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085B" w14:textId="77777777" w:rsidR="00342BC9" w:rsidRPr="00342BC9" w:rsidRDefault="00342BC9" w:rsidP="00342BC9">
      <w:pPr>
        <w:spacing w:line="480" w:lineRule="auto"/>
        <w:ind w:firstLine="720"/>
      </w:pPr>
    </w:p>
    <w:p w14:paraId="414593AE" w14:textId="77777777" w:rsidR="00342BC9" w:rsidRPr="00342BC9" w:rsidRDefault="00342BC9" w:rsidP="00342BC9">
      <w:pPr>
        <w:spacing w:line="480" w:lineRule="auto"/>
        <w:rPr>
          <w:b/>
          <w:bCs/>
        </w:rPr>
      </w:pPr>
    </w:p>
    <w:p w14:paraId="38D0DB5E" w14:textId="5172EEF2" w:rsidR="00F24D94" w:rsidRPr="00342BC9" w:rsidRDefault="00F24D94" w:rsidP="00342BC9">
      <w:pPr>
        <w:spacing w:line="480" w:lineRule="auto"/>
        <w:ind w:firstLine="720"/>
        <w:jc w:val="center"/>
        <w:rPr>
          <w:b/>
          <w:bCs/>
        </w:rPr>
      </w:pPr>
      <w:r w:rsidRPr="00342BC9">
        <w:rPr>
          <w:b/>
          <w:bCs/>
        </w:rPr>
        <w:t>Is</w:t>
      </w:r>
      <w:r w:rsidR="00AA13F0" w:rsidRPr="00342BC9">
        <w:rPr>
          <w:b/>
          <w:bCs/>
        </w:rPr>
        <w:t xml:space="preserve">lands of </w:t>
      </w:r>
      <w:r w:rsidR="00001385" w:rsidRPr="00342BC9">
        <w:rPr>
          <w:b/>
          <w:bCs/>
        </w:rPr>
        <w:t>P</w:t>
      </w:r>
      <w:r w:rsidR="00AA13F0" w:rsidRPr="00342BC9">
        <w:rPr>
          <w:b/>
          <w:bCs/>
        </w:rPr>
        <w:t xml:space="preserve">erspectival </w:t>
      </w:r>
      <w:r w:rsidR="00001385" w:rsidRPr="00342BC9">
        <w:rPr>
          <w:b/>
          <w:bCs/>
        </w:rPr>
        <w:t>T</w:t>
      </w:r>
      <w:r w:rsidR="00AA13F0" w:rsidRPr="00342BC9">
        <w:rPr>
          <w:b/>
          <w:bCs/>
        </w:rPr>
        <w:t xml:space="preserve">hought: </w:t>
      </w:r>
      <w:proofErr w:type="gramStart"/>
      <w:r w:rsidR="00AA13F0" w:rsidRPr="00342BC9">
        <w:rPr>
          <w:b/>
          <w:bCs/>
        </w:rPr>
        <w:t>a</w:t>
      </w:r>
      <w:proofErr w:type="gramEnd"/>
      <w:r w:rsidR="00AA13F0" w:rsidRPr="00342BC9">
        <w:rPr>
          <w:b/>
          <w:bCs/>
        </w:rPr>
        <w:t xml:space="preserve"> </w:t>
      </w:r>
      <w:r w:rsidR="00001385" w:rsidRPr="00342BC9">
        <w:rPr>
          <w:b/>
          <w:bCs/>
        </w:rPr>
        <w:t>C</w:t>
      </w:r>
      <w:r w:rsidR="00AA13F0" w:rsidRPr="00342BC9">
        <w:rPr>
          <w:b/>
          <w:bCs/>
        </w:rPr>
        <w:t xml:space="preserve">ase </w:t>
      </w:r>
      <w:r w:rsidR="00001385" w:rsidRPr="00342BC9">
        <w:rPr>
          <w:b/>
          <w:bCs/>
        </w:rPr>
        <w:t>S</w:t>
      </w:r>
      <w:r w:rsidR="00AA13F0" w:rsidRPr="00342BC9">
        <w:rPr>
          <w:b/>
          <w:bCs/>
        </w:rPr>
        <w:t>tudy</w:t>
      </w:r>
    </w:p>
    <w:p w14:paraId="6074A638" w14:textId="77777777" w:rsidR="0096153D" w:rsidRPr="00342BC9" w:rsidRDefault="0096153D" w:rsidP="00342BC9">
      <w:pPr>
        <w:spacing w:line="480" w:lineRule="auto"/>
        <w:jc w:val="center"/>
      </w:pPr>
    </w:p>
    <w:p w14:paraId="373B209A" w14:textId="77777777" w:rsidR="00D442E6" w:rsidRPr="00342BC9" w:rsidRDefault="00D442E6" w:rsidP="00342BC9">
      <w:pPr>
        <w:spacing w:line="480" w:lineRule="auto"/>
        <w:ind w:left="720"/>
        <w:jc w:val="center"/>
      </w:pPr>
    </w:p>
    <w:p w14:paraId="0743A286" w14:textId="142D421B" w:rsidR="00342BC9" w:rsidRPr="00342BC9" w:rsidRDefault="00D442E6" w:rsidP="00342BC9">
      <w:pPr>
        <w:spacing w:line="480" w:lineRule="auto"/>
        <w:ind w:left="720"/>
        <w:jc w:val="center"/>
      </w:pPr>
      <w:r w:rsidRPr="00342BC9">
        <w:t>Daniel Morgan</w:t>
      </w:r>
    </w:p>
    <w:p w14:paraId="2F80B48E" w14:textId="253F44EB" w:rsidR="00D442E6" w:rsidRPr="00342BC9" w:rsidRDefault="00D442E6" w:rsidP="00342BC9">
      <w:pPr>
        <w:spacing w:line="480" w:lineRule="auto"/>
        <w:ind w:left="720"/>
        <w:jc w:val="center"/>
      </w:pPr>
      <w:r w:rsidRPr="00342BC9">
        <w:t>University of York</w:t>
      </w:r>
    </w:p>
    <w:p w14:paraId="2471773D" w14:textId="77777777" w:rsidR="00D442E6" w:rsidRPr="00342BC9" w:rsidRDefault="00D442E6" w:rsidP="00342BC9">
      <w:pPr>
        <w:spacing w:line="480" w:lineRule="auto"/>
        <w:ind w:left="720"/>
      </w:pPr>
    </w:p>
    <w:p w14:paraId="48B30086" w14:textId="77777777" w:rsidR="00342BC9" w:rsidRPr="00342BC9" w:rsidRDefault="00342BC9" w:rsidP="00342BC9">
      <w:pPr>
        <w:spacing w:line="480" w:lineRule="auto"/>
      </w:pPr>
      <w:r w:rsidRPr="00342BC9">
        <w:br w:type="page"/>
      </w:r>
    </w:p>
    <w:p w14:paraId="5293BEE5" w14:textId="77777777" w:rsidR="00342BC9" w:rsidRPr="00342BC9" w:rsidRDefault="00342BC9" w:rsidP="00342BC9">
      <w:pPr>
        <w:spacing w:line="480" w:lineRule="auto"/>
        <w:ind w:left="720"/>
      </w:pPr>
    </w:p>
    <w:p w14:paraId="27DB85F1" w14:textId="77777777" w:rsidR="00342BC9" w:rsidRPr="00342BC9" w:rsidRDefault="00342BC9" w:rsidP="00342BC9">
      <w:pPr>
        <w:spacing w:line="480" w:lineRule="auto"/>
        <w:ind w:left="720"/>
      </w:pPr>
    </w:p>
    <w:p w14:paraId="5433A301" w14:textId="6F3DE153" w:rsidR="00342BC9" w:rsidRPr="00342BC9" w:rsidRDefault="00342BC9" w:rsidP="00342BC9">
      <w:pPr>
        <w:spacing w:line="480" w:lineRule="auto"/>
        <w:ind w:left="720"/>
        <w:jc w:val="center"/>
      </w:pPr>
      <w:r w:rsidRPr="00342BC9">
        <w:rPr>
          <w:b/>
          <w:bCs/>
        </w:rPr>
        <w:t>Abstract</w:t>
      </w:r>
      <w:r w:rsidRPr="00342BC9">
        <w:t>:</w:t>
      </w:r>
    </w:p>
    <w:p w14:paraId="13EB9D3E" w14:textId="77777777" w:rsidR="00342BC9" w:rsidRPr="00342BC9" w:rsidRDefault="00342BC9" w:rsidP="00342BC9">
      <w:pPr>
        <w:spacing w:line="480" w:lineRule="auto"/>
        <w:ind w:left="720"/>
      </w:pPr>
    </w:p>
    <w:p w14:paraId="43DFE773" w14:textId="2BAE2E51" w:rsidR="001033DF" w:rsidRPr="00342BC9" w:rsidRDefault="00AA13F0" w:rsidP="00342BC9">
      <w:pPr>
        <w:spacing w:line="480" w:lineRule="auto"/>
        <w:ind w:left="720"/>
      </w:pPr>
      <w:r w:rsidRPr="00342BC9">
        <w:t xml:space="preserve">This paper has two aims. The first concerns the question </w:t>
      </w:r>
      <w:r w:rsidR="00EA6026" w:rsidRPr="00342BC9">
        <w:t xml:space="preserve">of </w:t>
      </w:r>
      <w:r w:rsidRPr="00342BC9">
        <w:t>whether t</w:t>
      </w:r>
      <w:r w:rsidR="001033DF" w:rsidRPr="00342BC9">
        <w:t xml:space="preserve">here </w:t>
      </w:r>
      <w:r w:rsidR="00595ECE" w:rsidRPr="00342BC9">
        <w:t xml:space="preserve">is </w:t>
      </w:r>
      <w:r w:rsidR="001033DF" w:rsidRPr="00342BC9">
        <w:t xml:space="preserve">any essential involvement of perspectival thought in </w:t>
      </w:r>
      <w:r w:rsidR="00B945B0" w:rsidRPr="00342BC9">
        <w:t xml:space="preserve">intentional </w:t>
      </w:r>
      <w:r w:rsidR="001033DF" w:rsidRPr="00342BC9">
        <w:t>agency</w:t>
      </w:r>
      <w:r w:rsidR="005633E8" w:rsidRPr="00342BC9">
        <w:t>.</w:t>
      </w:r>
      <w:r w:rsidR="001033DF" w:rsidRPr="00342BC9">
        <w:t xml:space="preserve"> </w:t>
      </w:r>
      <w:r w:rsidR="00595ECE" w:rsidRPr="00342BC9">
        <w:t xml:space="preserve">I defend the view that the </w:t>
      </w:r>
      <w:r w:rsidR="0095191E" w:rsidRPr="00342BC9">
        <w:t>answer is ‘no’ for one kind of perspectival thought, and ‘yes’ for a different kind. Agency</w:t>
      </w:r>
      <w:r w:rsidR="00CA1FA6" w:rsidRPr="00342BC9">
        <w:t xml:space="preserve"> does not</w:t>
      </w:r>
      <w:r w:rsidR="0095191E" w:rsidRPr="00342BC9">
        <w:t xml:space="preserve"> depend on </w:t>
      </w:r>
      <w:r w:rsidR="0095191E" w:rsidRPr="00342BC9">
        <w:rPr>
          <w:i/>
          <w:iCs/>
        </w:rPr>
        <w:t xml:space="preserve">de </w:t>
      </w:r>
      <w:r w:rsidR="00CA1FA6" w:rsidRPr="00342BC9">
        <w:rPr>
          <w:i/>
          <w:iCs/>
        </w:rPr>
        <w:t>se</w:t>
      </w:r>
      <w:r w:rsidR="0095191E" w:rsidRPr="00342BC9">
        <w:rPr>
          <w:i/>
          <w:iCs/>
        </w:rPr>
        <w:t xml:space="preserve"> </w:t>
      </w:r>
      <w:r w:rsidR="0095191E" w:rsidRPr="00342BC9">
        <w:t xml:space="preserve">thought, but </w:t>
      </w:r>
      <w:r w:rsidR="00CA1FA6" w:rsidRPr="00342BC9">
        <w:t>it does depend on</w:t>
      </w:r>
      <w:r w:rsidR="0095191E" w:rsidRPr="00342BC9">
        <w:t xml:space="preserve"> </w:t>
      </w:r>
      <w:r w:rsidR="0095191E" w:rsidRPr="00342BC9">
        <w:rPr>
          <w:i/>
          <w:iCs/>
        </w:rPr>
        <w:t xml:space="preserve">de </w:t>
      </w:r>
      <w:proofErr w:type="spellStart"/>
      <w:r w:rsidR="00CA1FA6" w:rsidRPr="00342BC9">
        <w:rPr>
          <w:i/>
          <w:iCs/>
        </w:rPr>
        <w:t>nunc</w:t>
      </w:r>
      <w:proofErr w:type="spellEnd"/>
      <w:r w:rsidR="0095191E" w:rsidRPr="00342BC9">
        <w:rPr>
          <w:i/>
          <w:iCs/>
        </w:rPr>
        <w:t xml:space="preserve"> </w:t>
      </w:r>
      <w:r w:rsidR="0095191E" w:rsidRPr="00342BC9">
        <w:t>thought</w:t>
      </w:r>
      <w:r w:rsidR="005857AD" w:rsidRPr="00342BC9">
        <w:t>.</w:t>
      </w:r>
      <w:r w:rsidR="0095191E" w:rsidRPr="00342BC9">
        <w:t xml:space="preserve"> The second aim</w:t>
      </w:r>
      <w:r w:rsidR="00CA1FA6" w:rsidRPr="00342BC9">
        <w:t xml:space="preserve"> of the paper</w:t>
      </w:r>
      <w:r w:rsidR="0095191E" w:rsidRPr="00342BC9">
        <w:t xml:space="preserve"> is </w:t>
      </w:r>
      <w:r w:rsidR="003F2C63" w:rsidRPr="00342BC9">
        <w:t xml:space="preserve">to </w:t>
      </w:r>
      <w:r w:rsidR="001033DF" w:rsidRPr="00342BC9">
        <w:t>defend a claim</w:t>
      </w:r>
      <w:r w:rsidR="007F080F" w:rsidRPr="00342BC9">
        <w:t xml:space="preserve"> about </w:t>
      </w:r>
      <w:r w:rsidR="00B06407" w:rsidRPr="00342BC9">
        <w:t xml:space="preserve">the </w:t>
      </w:r>
      <w:r w:rsidR="007F080F" w:rsidRPr="00342BC9">
        <w:t>significance</w:t>
      </w:r>
      <w:r w:rsidR="00CA1FA6" w:rsidRPr="00342BC9">
        <w:t xml:space="preserve"> of th</w:t>
      </w:r>
      <w:r w:rsidR="005857AD" w:rsidRPr="00342BC9">
        <w:t xml:space="preserve">is </w:t>
      </w:r>
      <w:r w:rsidR="00CA1FA6" w:rsidRPr="00342BC9">
        <w:rPr>
          <w:i/>
          <w:iCs/>
        </w:rPr>
        <w:t xml:space="preserve">de se-de </w:t>
      </w:r>
      <w:proofErr w:type="spellStart"/>
      <w:r w:rsidR="00CA1FA6" w:rsidRPr="00342BC9">
        <w:rPr>
          <w:i/>
          <w:iCs/>
        </w:rPr>
        <w:t>nunc</w:t>
      </w:r>
      <w:proofErr w:type="spellEnd"/>
      <w:r w:rsidR="00CA1FA6" w:rsidRPr="00342BC9">
        <w:rPr>
          <w:i/>
          <w:iCs/>
        </w:rPr>
        <w:t xml:space="preserve"> </w:t>
      </w:r>
      <w:r w:rsidR="00CA1FA6" w:rsidRPr="00342BC9">
        <w:t>contrast</w:t>
      </w:r>
      <w:r w:rsidR="00090C4C" w:rsidRPr="00342BC9">
        <w:t xml:space="preserve"> as a case study</w:t>
      </w:r>
      <w:r w:rsidR="001033DF" w:rsidRPr="00342BC9">
        <w:t xml:space="preserve">. </w:t>
      </w:r>
      <w:r w:rsidR="00F5345B" w:rsidRPr="00342BC9">
        <w:t xml:space="preserve">I argue that </w:t>
      </w:r>
      <w:r w:rsidR="005857AD" w:rsidRPr="00342BC9">
        <w:t>the contrast</w:t>
      </w:r>
      <w:r w:rsidR="00573A79" w:rsidRPr="00342BC9">
        <w:t xml:space="preserve"> </w:t>
      </w:r>
      <w:r w:rsidR="005857AD" w:rsidRPr="00342BC9">
        <w:t xml:space="preserve">is </w:t>
      </w:r>
      <w:r w:rsidR="003F2C63" w:rsidRPr="00342BC9">
        <w:t xml:space="preserve">best explained by a </w:t>
      </w:r>
      <w:r w:rsidR="00F5345B" w:rsidRPr="00342BC9">
        <w:t>picture o</w:t>
      </w:r>
      <w:r w:rsidR="00C72AE4" w:rsidRPr="00342BC9">
        <w:t>n which</w:t>
      </w:r>
      <w:r w:rsidR="00F5345B" w:rsidRPr="00342BC9">
        <w:t xml:space="preserve"> </w:t>
      </w:r>
      <w:r w:rsidR="00B56380" w:rsidRPr="00342BC9">
        <w:t xml:space="preserve">different kinds of </w:t>
      </w:r>
      <w:r w:rsidR="00F5345B" w:rsidRPr="00342BC9">
        <w:t xml:space="preserve">perspectival thought </w:t>
      </w:r>
      <w:r w:rsidR="00C72AE4" w:rsidRPr="00342BC9">
        <w:t xml:space="preserve">are </w:t>
      </w:r>
      <w:r w:rsidR="00F13C02" w:rsidRPr="00342BC9">
        <w:t xml:space="preserve">seen </w:t>
      </w:r>
      <w:r w:rsidR="00F5345B" w:rsidRPr="00342BC9">
        <w:t>as islands</w:t>
      </w:r>
      <w:r w:rsidR="00B56380" w:rsidRPr="00342BC9">
        <w:t>. On this picture,</w:t>
      </w:r>
      <w:r w:rsidR="003F2C63" w:rsidRPr="00342BC9">
        <w:t xml:space="preserve"> </w:t>
      </w:r>
      <w:r w:rsidR="00F5345B" w:rsidRPr="00342BC9">
        <w:t xml:space="preserve">an account of the conceptual role of </w:t>
      </w:r>
      <w:r w:rsidR="00CA1FA6" w:rsidRPr="00342BC9">
        <w:t xml:space="preserve">one kind of perspectival thought </w:t>
      </w:r>
      <w:r w:rsidR="00F5345B" w:rsidRPr="00342BC9">
        <w:t>won’t settle much about any</w:t>
      </w:r>
      <w:r w:rsidR="003F2C63" w:rsidRPr="00342BC9">
        <w:t xml:space="preserve"> other kind of perspectival thought</w:t>
      </w:r>
      <w:r w:rsidR="00F5345B" w:rsidRPr="00342BC9">
        <w:t>.</w:t>
      </w:r>
      <w:r w:rsidR="00CA1FA6" w:rsidRPr="00342BC9">
        <w:t xml:space="preserve"> </w:t>
      </w:r>
      <w:r w:rsidR="00F13C02" w:rsidRPr="00342BC9">
        <w:t>The picture is proposed as a</w:t>
      </w:r>
      <w:r w:rsidR="00B05732" w:rsidRPr="00342BC9">
        <w:t xml:space="preserve"> </w:t>
      </w:r>
      <w:r w:rsidR="00F13C02" w:rsidRPr="00342BC9">
        <w:t xml:space="preserve">replacement for the standard picture, on which perspectival thought is </w:t>
      </w:r>
      <w:r w:rsidR="00AE4B5D" w:rsidRPr="00342BC9">
        <w:t>seen</w:t>
      </w:r>
      <w:r w:rsidR="00F13C02" w:rsidRPr="00342BC9">
        <w:t xml:space="preserve"> as a natural cognitive kind. </w:t>
      </w:r>
    </w:p>
    <w:p w14:paraId="00AC28B2" w14:textId="3C75E00F" w:rsidR="00235CDE" w:rsidRPr="00342BC9" w:rsidRDefault="00235CDE" w:rsidP="00342BC9">
      <w:pPr>
        <w:spacing w:line="480" w:lineRule="auto"/>
        <w:ind w:left="720"/>
      </w:pPr>
    </w:p>
    <w:p w14:paraId="6729CAB8" w14:textId="77777777" w:rsidR="00CA1FA6" w:rsidRPr="00342BC9" w:rsidRDefault="00CA1FA6" w:rsidP="00342BC9">
      <w:pPr>
        <w:spacing w:line="480" w:lineRule="auto"/>
        <w:ind w:left="720"/>
      </w:pPr>
    </w:p>
    <w:p w14:paraId="39B12438" w14:textId="77777777" w:rsidR="00F24D94" w:rsidRPr="00342BC9" w:rsidRDefault="00F24D94" w:rsidP="00342BC9">
      <w:pPr>
        <w:spacing w:line="480" w:lineRule="auto"/>
        <w:ind w:left="720"/>
        <w:rPr>
          <w:i/>
          <w:iCs/>
        </w:rPr>
      </w:pPr>
      <w:proofErr w:type="gramStart"/>
      <w:r w:rsidRPr="00342BC9">
        <w:t>Key-words</w:t>
      </w:r>
      <w:proofErr w:type="gramEnd"/>
      <w:r w:rsidRPr="00342BC9">
        <w:t xml:space="preserve">: perspectival thought; metaphysics-first; intentional action; </w:t>
      </w:r>
      <w:r w:rsidRPr="00342BC9">
        <w:rPr>
          <w:i/>
          <w:iCs/>
        </w:rPr>
        <w:t xml:space="preserve">de </w:t>
      </w:r>
      <w:proofErr w:type="spellStart"/>
      <w:r w:rsidRPr="00342BC9">
        <w:rPr>
          <w:i/>
          <w:iCs/>
        </w:rPr>
        <w:t>nunc</w:t>
      </w:r>
      <w:proofErr w:type="spellEnd"/>
      <w:r w:rsidRPr="00342BC9">
        <w:rPr>
          <w:i/>
          <w:iCs/>
        </w:rPr>
        <w:t xml:space="preserve">; de se. </w:t>
      </w:r>
    </w:p>
    <w:p w14:paraId="3602D7B4" w14:textId="77777777" w:rsidR="00DF7086" w:rsidRPr="00342BC9" w:rsidRDefault="00DF7086" w:rsidP="00342BC9">
      <w:pPr>
        <w:spacing w:line="480" w:lineRule="auto"/>
        <w:rPr>
          <w:i/>
          <w:iCs/>
        </w:rPr>
      </w:pPr>
    </w:p>
    <w:p w14:paraId="6E4165F6" w14:textId="5DF18068" w:rsidR="00DF7086" w:rsidRPr="00342BC9" w:rsidRDefault="00DF7086" w:rsidP="00342BC9">
      <w:pPr>
        <w:spacing w:line="480" w:lineRule="auto"/>
        <w:rPr>
          <w:i/>
          <w:iCs/>
        </w:rPr>
      </w:pPr>
    </w:p>
    <w:p w14:paraId="627438BB" w14:textId="77777777" w:rsidR="00DF7086" w:rsidRPr="00342BC9" w:rsidRDefault="00DF7086" w:rsidP="00342BC9">
      <w:pPr>
        <w:spacing w:line="480" w:lineRule="auto"/>
      </w:pPr>
      <w:r w:rsidRPr="00342BC9">
        <w:t xml:space="preserve">Acknowledgements: </w:t>
      </w:r>
    </w:p>
    <w:p w14:paraId="6FB7D5F1" w14:textId="77777777" w:rsidR="00DF7086" w:rsidRPr="00342BC9" w:rsidRDefault="00DF7086" w:rsidP="00342BC9">
      <w:pPr>
        <w:spacing w:line="480" w:lineRule="auto"/>
      </w:pPr>
    </w:p>
    <w:p w14:paraId="43DD0275" w14:textId="573B6860" w:rsidR="00DF7086" w:rsidRPr="00342BC9" w:rsidRDefault="00DF7086" w:rsidP="00342BC9">
      <w:pPr>
        <w:spacing w:line="480" w:lineRule="auto"/>
      </w:pPr>
      <w:r w:rsidRPr="00342BC9">
        <w:t>Thanks for help with this paper to audiences at Nantes, Barcelona, York</w:t>
      </w:r>
      <w:r w:rsidR="00DC630A">
        <w:t xml:space="preserve">, </w:t>
      </w:r>
      <w:proofErr w:type="spellStart"/>
      <w:r w:rsidR="00DC630A">
        <w:t>Umeå</w:t>
      </w:r>
      <w:proofErr w:type="spellEnd"/>
      <w:r w:rsidR="00DC630A">
        <w:t xml:space="preserve">, </w:t>
      </w:r>
      <w:r w:rsidRPr="00342BC9">
        <w:t xml:space="preserve">Oxford and to the </w:t>
      </w:r>
      <w:proofErr w:type="spellStart"/>
      <w:r w:rsidRPr="00342BC9">
        <w:t>Mindwork</w:t>
      </w:r>
      <w:proofErr w:type="spellEnd"/>
      <w:r w:rsidRPr="00342BC9">
        <w:t xml:space="preserve"> Group.</w:t>
      </w:r>
    </w:p>
    <w:p w14:paraId="355E064F" w14:textId="77777777" w:rsidR="00DF7086" w:rsidRPr="00342BC9" w:rsidRDefault="00DF7086" w:rsidP="00342BC9">
      <w:pPr>
        <w:spacing w:line="480" w:lineRule="auto"/>
      </w:pPr>
    </w:p>
    <w:p w14:paraId="11DF0348" w14:textId="365B8F86" w:rsidR="00F24D94" w:rsidRPr="00342BC9" w:rsidRDefault="00F24D94" w:rsidP="00342BC9">
      <w:pPr>
        <w:spacing w:line="480" w:lineRule="auto"/>
        <w:rPr>
          <w:i/>
          <w:iCs/>
        </w:rPr>
      </w:pPr>
    </w:p>
    <w:p w14:paraId="265FA123" w14:textId="29EA02A3" w:rsidR="00F13C02" w:rsidRPr="00342BC9" w:rsidRDefault="00B06407" w:rsidP="00342BC9">
      <w:pPr>
        <w:spacing w:line="480" w:lineRule="auto"/>
        <w:ind w:firstLine="720"/>
      </w:pPr>
      <w:r w:rsidRPr="00342BC9">
        <w:t>This paper has t</w:t>
      </w:r>
      <w:r w:rsidR="00AA13F0" w:rsidRPr="00342BC9">
        <w:t>w</w:t>
      </w:r>
      <w:r w:rsidRPr="00342BC9">
        <w:t xml:space="preserve">o main aims. </w:t>
      </w:r>
      <w:r w:rsidR="00AD7A03" w:rsidRPr="00342BC9">
        <w:t>The first aim is</w:t>
      </w:r>
      <w:r w:rsidRPr="00342BC9">
        <w:t xml:space="preserve"> to defend a pair of contrasting </w:t>
      </w:r>
      <w:r w:rsidR="00AD7A03" w:rsidRPr="00342BC9">
        <w:t>claim</w:t>
      </w:r>
      <w:r w:rsidR="00C72AE4" w:rsidRPr="00342BC9">
        <w:t>s</w:t>
      </w:r>
      <w:r w:rsidR="00AD7A03" w:rsidRPr="00342BC9">
        <w:t xml:space="preserve"> </w:t>
      </w:r>
      <w:r w:rsidRPr="00342BC9">
        <w:t xml:space="preserve">about the </w:t>
      </w:r>
      <w:r w:rsidRPr="00342BC9">
        <w:rPr>
          <w:i/>
          <w:iCs/>
        </w:rPr>
        <w:t xml:space="preserve">de se </w:t>
      </w:r>
      <w:r w:rsidRPr="00342BC9">
        <w:t xml:space="preserve">and the </w:t>
      </w:r>
      <w:r w:rsidRPr="00342BC9">
        <w:rPr>
          <w:i/>
          <w:iCs/>
        </w:rPr>
        <w:t xml:space="preserve">de </w:t>
      </w:r>
      <w:proofErr w:type="spellStart"/>
      <w:r w:rsidRPr="00342BC9">
        <w:rPr>
          <w:i/>
          <w:iCs/>
        </w:rPr>
        <w:t>nunc</w:t>
      </w:r>
      <w:proofErr w:type="spellEnd"/>
      <w:r w:rsidRPr="00342BC9">
        <w:t>.</w:t>
      </w:r>
      <w:r w:rsidR="00AD7A03" w:rsidRPr="00342BC9">
        <w:t xml:space="preserve"> </w:t>
      </w:r>
      <w:r w:rsidR="00AA13F0" w:rsidRPr="00342BC9">
        <w:t>t</w:t>
      </w:r>
      <w:r w:rsidR="00034949" w:rsidRPr="00342BC9">
        <w:t xml:space="preserve">he </w:t>
      </w:r>
      <w:r w:rsidR="00034949" w:rsidRPr="00342BC9">
        <w:rPr>
          <w:i/>
          <w:iCs/>
        </w:rPr>
        <w:t xml:space="preserve">de se </w:t>
      </w:r>
      <w:r w:rsidR="00034949" w:rsidRPr="00342BC9">
        <w:t>is not essential for (intentional) action</w:t>
      </w:r>
      <w:r w:rsidR="00AA13F0" w:rsidRPr="00342BC9">
        <w:t>,</w:t>
      </w:r>
      <w:r w:rsidR="00034949" w:rsidRPr="00342BC9">
        <w:t xml:space="preserve"> </w:t>
      </w:r>
      <w:r w:rsidR="00AA13F0" w:rsidRPr="00342BC9">
        <w:t>and t</w:t>
      </w:r>
      <w:r w:rsidRPr="00342BC9">
        <w:t xml:space="preserve">he </w:t>
      </w:r>
      <w:r w:rsidRPr="00342BC9">
        <w:rPr>
          <w:i/>
          <w:iCs/>
        </w:rPr>
        <w:t xml:space="preserve">de </w:t>
      </w:r>
      <w:proofErr w:type="spellStart"/>
      <w:r w:rsidRPr="00342BC9">
        <w:rPr>
          <w:i/>
          <w:iCs/>
        </w:rPr>
        <w:t>nunc</w:t>
      </w:r>
      <w:proofErr w:type="spellEnd"/>
      <w:r w:rsidRPr="00342BC9">
        <w:rPr>
          <w:i/>
          <w:iCs/>
        </w:rPr>
        <w:t xml:space="preserve"> </w:t>
      </w:r>
      <w:r w:rsidRPr="00342BC9">
        <w:t>is essential for action</w:t>
      </w:r>
      <w:r w:rsidR="00AD7A03" w:rsidRPr="00342BC9">
        <w:t>.</w:t>
      </w:r>
      <w:r w:rsidRPr="00342BC9">
        <w:t xml:space="preserve"> </w:t>
      </w:r>
      <w:r w:rsidR="00C72AE4" w:rsidRPr="00342BC9">
        <w:t xml:space="preserve">This </w:t>
      </w:r>
      <w:r w:rsidR="00F13C02" w:rsidRPr="00342BC9">
        <w:t>contrast result is</w:t>
      </w:r>
      <w:r w:rsidR="00C72AE4" w:rsidRPr="00342BC9">
        <w:t xml:space="preserve"> a standalone contribution to the debate about perspectival</w:t>
      </w:r>
      <w:r w:rsidR="00090C4C" w:rsidRPr="00342BC9">
        <w:t>/</w:t>
      </w:r>
      <w:r w:rsidR="00573A79" w:rsidRPr="00342BC9">
        <w:t xml:space="preserve"> </w:t>
      </w:r>
      <w:r w:rsidR="00F13C02" w:rsidRPr="00342BC9">
        <w:t>indexical</w:t>
      </w:r>
      <w:r w:rsidR="00C72AE4" w:rsidRPr="00342BC9">
        <w:t xml:space="preserve"> thought. </w:t>
      </w:r>
      <w:r w:rsidR="00F13C02" w:rsidRPr="00342BC9">
        <w:t>But it also serves as a case study</w:t>
      </w:r>
      <w:r w:rsidR="00723B23" w:rsidRPr="00342BC9">
        <w:t xml:space="preserve"> </w:t>
      </w:r>
      <w:r w:rsidR="00090C4C" w:rsidRPr="00342BC9">
        <w:t xml:space="preserve">in support of </w:t>
      </w:r>
      <w:r w:rsidR="00723B23" w:rsidRPr="00342BC9">
        <w:t>a broader claim</w:t>
      </w:r>
      <w:r w:rsidR="00F13C02" w:rsidRPr="00342BC9">
        <w:t xml:space="preserve">. </w:t>
      </w:r>
      <w:r w:rsidR="00AD7A03" w:rsidRPr="00342BC9">
        <w:t xml:space="preserve">The </w:t>
      </w:r>
      <w:r w:rsidR="00BF524A" w:rsidRPr="00342BC9">
        <w:t xml:space="preserve">broader claim, arguing for which is the </w:t>
      </w:r>
      <w:r w:rsidR="00AD7A03" w:rsidRPr="00342BC9">
        <w:t xml:space="preserve">second aim </w:t>
      </w:r>
      <w:r w:rsidR="00573A79" w:rsidRPr="00342BC9">
        <w:t>of the paper</w:t>
      </w:r>
      <w:r w:rsidR="00BF524A" w:rsidRPr="00342BC9">
        <w:t>,</w:t>
      </w:r>
      <w:r w:rsidR="00573A79" w:rsidRPr="00342BC9">
        <w:t xml:space="preserve"> </w:t>
      </w:r>
      <w:r w:rsidR="00AD7A03" w:rsidRPr="00342BC9">
        <w:t xml:space="preserve">is </w:t>
      </w:r>
      <w:r w:rsidR="00F13C02" w:rsidRPr="00342BC9">
        <w:t>that the</w:t>
      </w:r>
      <w:r w:rsidR="00021C35" w:rsidRPr="00342BC9">
        <w:t xml:space="preserve"> </w:t>
      </w:r>
      <w:r w:rsidR="00573A79" w:rsidRPr="00342BC9">
        <w:rPr>
          <w:i/>
          <w:iCs/>
        </w:rPr>
        <w:t xml:space="preserve">de se-de </w:t>
      </w:r>
      <w:proofErr w:type="spellStart"/>
      <w:r w:rsidR="00573A79" w:rsidRPr="00342BC9">
        <w:rPr>
          <w:i/>
          <w:iCs/>
        </w:rPr>
        <w:t>nunc</w:t>
      </w:r>
      <w:proofErr w:type="spellEnd"/>
      <w:r w:rsidR="00573A79" w:rsidRPr="00342BC9">
        <w:rPr>
          <w:i/>
          <w:iCs/>
        </w:rPr>
        <w:t xml:space="preserve"> </w:t>
      </w:r>
      <w:r w:rsidR="00F13C02" w:rsidRPr="00342BC9">
        <w:t xml:space="preserve">contrast is </w:t>
      </w:r>
      <w:r w:rsidR="00573A79" w:rsidRPr="00342BC9">
        <w:t xml:space="preserve">best explained by a picture on which different kinds of perspectival thoughts are </w:t>
      </w:r>
      <w:r w:rsidR="00F13C02" w:rsidRPr="00342BC9">
        <w:t xml:space="preserve">seen </w:t>
      </w:r>
      <w:r w:rsidR="00573A79" w:rsidRPr="00342BC9">
        <w:t>as islands</w:t>
      </w:r>
      <w:r w:rsidR="00090C4C" w:rsidRPr="00342BC9">
        <w:t>. On this picture,</w:t>
      </w:r>
      <w:r w:rsidR="00573A79" w:rsidRPr="00342BC9">
        <w:t xml:space="preserve"> an account of the conceptual role of any one of them won’t settle much about any of the others. Perspectival thought is standardly </w:t>
      </w:r>
      <w:r w:rsidR="00117391" w:rsidRPr="00342BC9">
        <w:t xml:space="preserve">framed as </w:t>
      </w:r>
      <w:r w:rsidRPr="00342BC9">
        <w:t xml:space="preserve">a natural cognitive kind. </w:t>
      </w:r>
      <w:r w:rsidR="00B945B0" w:rsidRPr="00342BC9">
        <w:t xml:space="preserve">Looking at how the argument </w:t>
      </w:r>
      <w:r w:rsidR="00F13C02" w:rsidRPr="00342BC9">
        <w:t xml:space="preserve">for the </w:t>
      </w:r>
      <w:r w:rsidR="00B945B0" w:rsidRPr="00342BC9">
        <w:rPr>
          <w:i/>
          <w:iCs/>
        </w:rPr>
        <w:t>de se</w:t>
      </w:r>
      <w:r w:rsidR="00F13C02" w:rsidRPr="00342BC9">
        <w:rPr>
          <w:i/>
          <w:iCs/>
        </w:rPr>
        <w:t>-</w:t>
      </w:r>
      <w:r w:rsidR="00B945B0" w:rsidRPr="00342BC9">
        <w:rPr>
          <w:i/>
          <w:iCs/>
        </w:rPr>
        <w:t xml:space="preserve">de </w:t>
      </w:r>
      <w:proofErr w:type="spellStart"/>
      <w:r w:rsidR="00B945B0" w:rsidRPr="00342BC9">
        <w:rPr>
          <w:i/>
          <w:iCs/>
        </w:rPr>
        <w:t>nunc</w:t>
      </w:r>
      <w:proofErr w:type="spellEnd"/>
      <w:r w:rsidR="00B945B0" w:rsidRPr="00342BC9">
        <w:rPr>
          <w:i/>
          <w:iCs/>
        </w:rPr>
        <w:t xml:space="preserve"> </w:t>
      </w:r>
      <w:r w:rsidR="00F13C02" w:rsidRPr="00342BC9">
        <w:t xml:space="preserve">contrast </w:t>
      </w:r>
      <w:r w:rsidR="00B945B0" w:rsidRPr="00342BC9">
        <w:t xml:space="preserve">works helps us see why this natural kind picture is </w:t>
      </w:r>
      <w:r w:rsidR="00090C4C" w:rsidRPr="00342BC9">
        <w:t>incorrect</w:t>
      </w:r>
      <w:r w:rsidR="00B945B0" w:rsidRPr="00342BC9">
        <w:t xml:space="preserve">, and the islands picture correct. The reason the </w:t>
      </w:r>
      <w:r w:rsidR="00B945B0" w:rsidRPr="00342BC9">
        <w:rPr>
          <w:i/>
          <w:iCs/>
        </w:rPr>
        <w:t xml:space="preserve">de se </w:t>
      </w:r>
      <w:r w:rsidR="00B945B0" w:rsidRPr="00342BC9">
        <w:t xml:space="preserve">is not needed in agency, while the </w:t>
      </w:r>
      <w:r w:rsidR="00B945B0" w:rsidRPr="00342BC9">
        <w:rPr>
          <w:i/>
          <w:iCs/>
        </w:rPr>
        <w:t xml:space="preserve">de </w:t>
      </w:r>
      <w:proofErr w:type="spellStart"/>
      <w:r w:rsidR="00B945B0" w:rsidRPr="00342BC9">
        <w:rPr>
          <w:i/>
          <w:iCs/>
        </w:rPr>
        <w:t>nunc</w:t>
      </w:r>
      <w:proofErr w:type="spellEnd"/>
      <w:r w:rsidR="00B945B0" w:rsidRPr="00342BC9">
        <w:rPr>
          <w:i/>
          <w:iCs/>
        </w:rPr>
        <w:t xml:space="preserve"> </w:t>
      </w:r>
      <w:r w:rsidR="00B945B0" w:rsidRPr="00342BC9">
        <w:t>is, has to do</w:t>
      </w:r>
      <w:r w:rsidR="00021C35" w:rsidRPr="00342BC9">
        <w:t xml:space="preserve"> with the level of metaphysics, or reference</w:t>
      </w:r>
      <w:r w:rsidR="00AE4B5D" w:rsidRPr="00342BC9">
        <w:t xml:space="preserve">. It has to do </w:t>
      </w:r>
      <w:r w:rsidR="00573A79" w:rsidRPr="00342BC9">
        <w:t xml:space="preserve">with the </w:t>
      </w:r>
      <w:r w:rsidR="00B945B0" w:rsidRPr="00342BC9">
        <w:t xml:space="preserve">fact that </w:t>
      </w:r>
      <w:r w:rsidR="00B945B0" w:rsidRPr="00342BC9">
        <w:rPr>
          <w:i/>
          <w:iCs/>
        </w:rPr>
        <w:t xml:space="preserve">de se </w:t>
      </w:r>
      <w:r w:rsidR="00B945B0" w:rsidRPr="00342BC9">
        <w:t xml:space="preserve">thought is about an agent, and </w:t>
      </w:r>
      <w:r w:rsidR="00B945B0" w:rsidRPr="00342BC9">
        <w:rPr>
          <w:i/>
          <w:iCs/>
        </w:rPr>
        <w:t xml:space="preserve">de </w:t>
      </w:r>
      <w:proofErr w:type="spellStart"/>
      <w:r w:rsidR="00B945B0" w:rsidRPr="00342BC9">
        <w:rPr>
          <w:i/>
          <w:iCs/>
        </w:rPr>
        <w:t>nunc</w:t>
      </w:r>
      <w:proofErr w:type="spellEnd"/>
      <w:r w:rsidR="00B945B0" w:rsidRPr="00342BC9">
        <w:rPr>
          <w:i/>
          <w:iCs/>
        </w:rPr>
        <w:t xml:space="preserve"> </w:t>
      </w:r>
      <w:r w:rsidR="00B945B0" w:rsidRPr="00342BC9">
        <w:t>thought is about a moment of time</w:t>
      </w:r>
      <w:r w:rsidR="00573A79" w:rsidRPr="00342BC9">
        <w:t xml:space="preserve">. </w:t>
      </w:r>
    </w:p>
    <w:p w14:paraId="71F9FEB0" w14:textId="4E1EDD64" w:rsidR="0047622B" w:rsidRPr="00342BC9" w:rsidRDefault="00AD7A03" w:rsidP="00342BC9">
      <w:pPr>
        <w:spacing w:line="480" w:lineRule="auto"/>
        <w:ind w:firstLine="720"/>
        <w:rPr>
          <w:i/>
          <w:iCs/>
        </w:rPr>
      </w:pPr>
      <w:r w:rsidRPr="00342BC9">
        <w:t xml:space="preserve">I begin with some reminders </w:t>
      </w:r>
      <w:r w:rsidR="00FA1077" w:rsidRPr="00342BC9">
        <w:t>of the kind of examples that generate this deba</w:t>
      </w:r>
      <w:r w:rsidR="00034949" w:rsidRPr="00342BC9">
        <w:t>t</w:t>
      </w:r>
      <w:r w:rsidR="00FA1077" w:rsidRPr="00342BC9">
        <w:t>e</w:t>
      </w:r>
      <w:r w:rsidR="00021C35" w:rsidRPr="00342BC9">
        <w:t xml:space="preserve"> about </w:t>
      </w:r>
      <w:proofErr w:type="gramStart"/>
      <w:r w:rsidR="00021C35" w:rsidRPr="00342BC9">
        <w:t>perspectival</w:t>
      </w:r>
      <w:r w:rsidR="00723B23" w:rsidRPr="00342BC9">
        <w:t xml:space="preserve"> </w:t>
      </w:r>
      <w:r w:rsidR="00021C35" w:rsidRPr="00342BC9">
        <w:t xml:space="preserve"> thoughts</w:t>
      </w:r>
      <w:proofErr w:type="gramEnd"/>
      <w:r w:rsidR="00FA1077" w:rsidRPr="00342BC9">
        <w:t xml:space="preserve">, and </w:t>
      </w:r>
      <w:r w:rsidR="00723B23" w:rsidRPr="00342BC9">
        <w:t>then discuss</w:t>
      </w:r>
      <w:r w:rsidR="00FA1077" w:rsidRPr="00342BC9">
        <w:t xml:space="preserve"> </w:t>
      </w:r>
      <w:r w:rsidR="00723B23" w:rsidRPr="00342BC9">
        <w:t xml:space="preserve">some </w:t>
      </w:r>
      <w:r w:rsidR="00FA1077" w:rsidRPr="00342BC9">
        <w:t>standard takes on</w:t>
      </w:r>
      <w:r w:rsidR="00723B23" w:rsidRPr="00342BC9">
        <w:t xml:space="preserve"> those </w:t>
      </w:r>
      <w:r w:rsidR="00034949" w:rsidRPr="00342BC9">
        <w:t>examples</w:t>
      </w:r>
      <w:r w:rsidR="00FA1077" w:rsidRPr="00342BC9">
        <w:t xml:space="preserve">. </w:t>
      </w:r>
    </w:p>
    <w:p w14:paraId="338D9502" w14:textId="77777777" w:rsidR="00F24D94" w:rsidRPr="00342BC9" w:rsidRDefault="00F24D94" w:rsidP="00342BC9">
      <w:pPr>
        <w:spacing w:line="480" w:lineRule="auto"/>
        <w:ind w:firstLine="720"/>
      </w:pPr>
      <w:r w:rsidRPr="00342BC9">
        <w:t xml:space="preserve">I, the satisfier of description </w:t>
      </w:r>
      <w:r w:rsidRPr="00342BC9">
        <w:rPr>
          <w:i/>
          <w:iCs/>
        </w:rPr>
        <w:t xml:space="preserve">d </w:t>
      </w:r>
      <w:r w:rsidRPr="00342BC9">
        <w:t xml:space="preserve">or and referent of name </w:t>
      </w:r>
      <w:r w:rsidRPr="00342BC9">
        <w:rPr>
          <w:i/>
          <w:iCs/>
        </w:rPr>
        <w:t>n</w:t>
      </w:r>
      <w:r w:rsidRPr="00342BC9">
        <w:t xml:space="preserve">, </w:t>
      </w:r>
      <w:proofErr w:type="gramStart"/>
      <w:r w:rsidRPr="00342BC9">
        <w:t>am well aware that</w:t>
      </w:r>
      <w:proofErr w:type="gramEnd"/>
      <w:r w:rsidRPr="00342BC9">
        <w:t xml:space="preserve"> ‘</w:t>
      </w:r>
      <w:r w:rsidRPr="00342BC9">
        <w:rPr>
          <w:i/>
          <w:iCs/>
        </w:rPr>
        <w:t xml:space="preserve">d </w:t>
      </w:r>
      <w:r w:rsidRPr="00342BC9">
        <w:t xml:space="preserve">is in immediate danger’, equally that </w:t>
      </w:r>
      <w:r w:rsidRPr="00342BC9">
        <w:rPr>
          <w:i/>
          <w:iCs/>
        </w:rPr>
        <w:t xml:space="preserve">‘n </w:t>
      </w:r>
      <w:r w:rsidRPr="00342BC9">
        <w:t xml:space="preserve">is in immediate danger’, but fail to take any appropriate action because I am unaware of ‘I am in danger’. That’s an interesting possibility. But surely it isn’t specific to the first-person, a mental or linguistic item that refers to a person or thinker. A relevantly similar case involves thought about the current moment. The current moment, the satisfier of description </w:t>
      </w:r>
      <w:r w:rsidRPr="00342BC9">
        <w:rPr>
          <w:i/>
          <w:iCs/>
        </w:rPr>
        <w:t>d</w:t>
      </w:r>
      <w:r w:rsidRPr="00342BC9">
        <w:rPr>
          <w:i/>
          <w:iCs/>
          <w:vertAlign w:val="subscript"/>
        </w:rPr>
        <w:t>t</w:t>
      </w:r>
      <w:r w:rsidRPr="00342BC9">
        <w:rPr>
          <w:i/>
          <w:iCs/>
        </w:rPr>
        <w:t xml:space="preserve"> </w:t>
      </w:r>
      <w:r w:rsidRPr="00342BC9">
        <w:t xml:space="preserve">and referent of name </w:t>
      </w:r>
      <w:proofErr w:type="spellStart"/>
      <w:r w:rsidRPr="00342BC9">
        <w:rPr>
          <w:i/>
          <w:iCs/>
        </w:rPr>
        <w:t>n</w:t>
      </w:r>
      <w:r w:rsidRPr="00342BC9">
        <w:rPr>
          <w:i/>
          <w:iCs/>
          <w:vertAlign w:val="subscript"/>
        </w:rPr>
        <w:t>t</w:t>
      </w:r>
      <w:proofErr w:type="spellEnd"/>
      <w:r w:rsidRPr="00342BC9">
        <w:t xml:space="preserve">, is the time at which a meeting I wish to attend is scheduled, but I fail take any steps towards going to the meeting because although I am aware of </w:t>
      </w:r>
      <w:r w:rsidRPr="00342BC9">
        <w:rPr>
          <w:i/>
          <w:iCs/>
        </w:rPr>
        <w:t>‘</w:t>
      </w:r>
      <w:r w:rsidRPr="00342BC9">
        <w:t xml:space="preserve">The meeting begins at </w:t>
      </w:r>
      <w:r w:rsidRPr="00342BC9">
        <w:rPr>
          <w:i/>
          <w:iCs/>
        </w:rPr>
        <w:t>d</w:t>
      </w:r>
      <w:r w:rsidRPr="00342BC9">
        <w:rPr>
          <w:i/>
          <w:iCs/>
          <w:vertAlign w:val="subscript"/>
        </w:rPr>
        <w:t>t</w:t>
      </w:r>
      <w:r w:rsidRPr="00342BC9">
        <w:t xml:space="preserve">’ and of ‘The meeting begins at </w:t>
      </w:r>
      <w:proofErr w:type="spellStart"/>
      <w:r w:rsidRPr="00342BC9">
        <w:rPr>
          <w:i/>
          <w:iCs/>
        </w:rPr>
        <w:t>n</w:t>
      </w:r>
      <w:r w:rsidRPr="00342BC9">
        <w:rPr>
          <w:i/>
          <w:iCs/>
          <w:vertAlign w:val="subscript"/>
        </w:rPr>
        <w:t>t</w:t>
      </w:r>
      <w:proofErr w:type="spellEnd"/>
      <w:r w:rsidRPr="00342BC9">
        <w:rPr>
          <w:i/>
          <w:iCs/>
        </w:rPr>
        <w:t>’</w:t>
      </w:r>
      <w:r w:rsidRPr="00342BC9">
        <w:t>,</w:t>
      </w:r>
      <w:r w:rsidRPr="00342BC9">
        <w:rPr>
          <w:i/>
          <w:iCs/>
        </w:rPr>
        <w:t xml:space="preserve"> </w:t>
      </w:r>
      <w:r w:rsidRPr="00342BC9">
        <w:t xml:space="preserve">I am unaware of ‘The meeting begins </w:t>
      </w:r>
      <w:r w:rsidRPr="00342BC9">
        <w:rPr>
          <w:i/>
          <w:iCs/>
        </w:rPr>
        <w:t>now</w:t>
      </w:r>
      <w:r w:rsidRPr="00342BC9">
        <w:t xml:space="preserve">’. This example, involving a time not a person, seems </w:t>
      </w:r>
      <w:r w:rsidRPr="00342BC9">
        <w:lastRenderedPageBreak/>
        <w:t>similar. This piece of the jig-saw puzzle, the one that is just a few centimetres in front of me, is piece 456. But I don’t pick it up because although I know ‘Piece 456 is the jigsaw piece needed to finish the hat’ I don’t know ‘</w:t>
      </w:r>
      <w:r w:rsidRPr="00342BC9">
        <w:rPr>
          <w:i/>
          <w:iCs/>
        </w:rPr>
        <w:t>This</w:t>
      </w:r>
      <w:r w:rsidRPr="00342BC9">
        <w:t xml:space="preserve"> is the piece needed to finish the hat’. This example, involving a jigsaw piece, not a time or a person, again seems similar.</w:t>
      </w:r>
      <w:r w:rsidRPr="00342BC9">
        <w:rPr>
          <w:rStyle w:val="FootnoteReference"/>
          <w:rFonts w:eastAsiaTheme="majorEastAsia"/>
          <w:iCs/>
        </w:rPr>
        <w:footnoteReference w:id="1"/>
      </w:r>
    </w:p>
    <w:p w14:paraId="0CF7EB87" w14:textId="77777777" w:rsidR="00F24D94" w:rsidRPr="00342BC9" w:rsidRDefault="00F24D94" w:rsidP="00342BC9">
      <w:pPr>
        <w:spacing w:line="480" w:lineRule="auto"/>
        <w:ind w:firstLine="720"/>
      </w:pPr>
      <w:r w:rsidRPr="00342BC9">
        <w:t xml:space="preserve">One can have an impression of similarity across these three cases without having an explicit view about what the similarity </w:t>
      </w:r>
      <w:proofErr w:type="gramStart"/>
      <w:r w:rsidRPr="00342BC9">
        <w:t>consists</w:t>
      </w:r>
      <w:proofErr w:type="gramEnd"/>
      <w:r w:rsidRPr="00342BC9">
        <w:t xml:space="preserve"> in. How one attempts to articulate one’s view about that will interact with the next question: is there a fourth case involving two non-perspectival terms: </w:t>
      </w:r>
      <w:proofErr w:type="gramStart"/>
      <w:r w:rsidRPr="00342BC9">
        <w:t>e.g.</w:t>
      </w:r>
      <w:proofErr w:type="gramEnd"/>
      <w:r w:rsidRPr="00342BC9">
        <w:t xml:space="preserve"> the two proper names ‘Hesperus’ and ‘Phosphorus’, that is as similar to the first three cases as they are to each other? I might want to send a missile to Hesperus, know how to get a missile to arrive at Phosphorus, but not take any appropriate action because I am unaware of ‘Hesperus is Phosphorus’. Does that illustrate the same phenomenon? </w:t>
      </w:r>
    </w:p>
    <w:p w14:paraId="641C09CC" w14:textId="33985F77" w:rsidR="00F24D94" w:rsidRPr="00342BC9" w:rsidRDefault="00F24D94" w:rsidP="00342BC9">
      <w:pPr>
        <w:spacing w:line="480" w:lineRule="auto"/>
        <w:ind w:firstLine="720"/>
      </w:pPr>
      <w:r w:rsidRPr="00342BC9">
        <w:t xml:space="preserve">If someone answers this question with a ‘yes’, then their view need not embrace perspectival thought as a natural kind. They can see all four cases as illustrating a generic point about thoughts, e.g. the point that co-referential expressions cannot be substituted </w:t>
      </w:r>
      <w:proofErr w:type="spellStart"/>
      <w:r w:rsidRPr="00342BC9">
        <w:t>salva</w:t>
      </w:r>
      <w:proofErr w:type="spellEnd"/>
      <w:r w:rsidRPr="00342BC9">
        <w:t xml:space="preserve"> </w:t>
      </w:r>
      <w:proofErr w:type="spellStart"/>
      <w:r w:rsidRPr="00342BC9">
        <w:t>veritate</w:t>
      </w:r>
      <w:proofErr w:type="spellEnd"/>
      <w:r w:rsidRPr="00342BC9">
        <w:t xml:space="preserve"> in action-explanation contexts.</w:t>
      </w:r>
      <w:r w:rsidRPr="00342BC9">
        <w:rPr>
          <w:rStyle w:val="FootnoteReference"/>
        </w:rPr>
        <w:footnoteReference w:id="2"/>
      </w:r>
      <w:r w:rsidRPr="00342BC9">
        <w:t xml:space="preserve"> </w:t>
      </w:r>
      <w:r w:rsidRPr="00342BC9">
        <w:rPr>
          <w:i/>
          <w:iCs/>
        </w:rPr>
        <w:t>Mammals native to Wyoming or France</w:t>
      </w:r>
      <w:r w:rsidRPr="00342BC9">
        <w:t xml:space="preserve"> is not a natural kind, because although things in the category have important things in common – warm-blood, giving birth to live young etc – those are just the things that mammals have in common. Similarly, perspectival thought is not a natural kind since although perspectival thoughts have important things in common those are just the things that thoughts have in common.</w:t>
      </w:r>
    </w:p>
    <w:p w14:paraId="74FBECD6" w14:textId="77777777" w:rsidR="00F24D94" w:rsidRPr="00342BC9" w:rsidRDefault="00F24D94" w:rsidP="00342BC9">
      <w:pPr>
        <w:spacing w:line="480" w:lineRule="auto"/>
        <w:ind w:firstLine="720"/>
      </w:pPr>
      <w:r w:rsidRPr="00342BC9">
        <w:t>But most people aren’t going to answer ‘yes’ to the last question. The following quotes are more standard takes on the category of perspectival thought:</w:t>
      </w:r>
    </w:p>
    <w:p w14:paraId="7FB9BD4F" w14:textId="77777777" w:rsidR="00F24D94" w:rsidRPr="00342BC9" w:rsidRDefault="00F24D94" w:rsidP="00342BC9">
      <w:pPr>
        <w:spacing w:line="480" w:lineRule="auto"/>
      </w:pPr>
    </w:p>
    <w:p w14:paraId="13A06B60" w14:textId="7C3CB73D" w:rsidR="00F24D94" w:rsidRPr="00342BC9" w:rsidRDefault="00F24D94" w:rsidP="00342BC9">
      <w:pPr>
        <w:spacing w:line="480" w:lineRule="auto"/>
        <w:ind w:left="720"/>
      </w:pPr>
      <w:r w:rsidRPr="00342BC9">
        <w:t>But there is also the kind of thought we operate with when actively engaged in the world, when the world is directly presented to our consciousness; and this seems shot through with indexicality</w:t>
      </w:r>
      <w:proofErr w:type="gramStart"/>
      <w:r w:rsidRPr="00342BC9">
        <w:t>....It</w:t>
      </w:r>
      <w:proofErr w:type="gramEnd"/>
      <w:r w:rsidRPr="00342BC9">
        <w:t xml:space="preserve"> thus seems that what the phenomenologists would call ‘being-in-the-world’ presupposes indexical thought. (</w:t>
      </w:r>
      <w:r w:rsidR="00123AC4" w:rsidRPr="00342BC9">
        <w:t xml:space="preserve">McGinn </w:t>
      </w:r>
      <w:r w:rsidRPr="00342BC9">
        <w:t>1983: 91)</w:t>
      </w:r>
    </w:p>
    <w:p w14:paraId="0C43F61A" w14:textId="77777777" w:rsidR="00F24D94" w:rsidRPr="00342BC9" w:rsidRDefault="00F24D94" w:rsidP="00342BC9">
      <w:pPr>
        <w:spacing w:line="480" w:lineRule="auto"/>
        <w:ind w:left="720"/>
      </w:pPr>
    </w:p>
    <w:p w14:paraId="26450E13" w14:textId="2C3E8151" w:rsidR="00F24D94" w:rsidRPr="00342BC9" w:rsidRDefault="00F24D94" w:rsidP="00342BC9">
      <w:pPr>
        <w:spacing w:line="480" w:lineRule="auto"/>
        <w:ind w:left="720"/>
      </w:pPr>
      <w:r w:rsidRPr="00342BC9">
        <w:t>[N]o transformation from indexical to non-indexical is possible without affecting the cognitive significance of the utterance and therefore changing the thought it expresses</w:t>
      </w:r>
      <w:proofErr w:type="gramStart"/>
      <w:r w:rsidRPr="00342BC9">
        <w:t>....The</w:t>
      </w:r>
      <w:proofErr w:type="gramEnd"/>
      <w:r w:rsidRPr="00342BC9">
        <w:t xml:space="preserve"> irreducibility and indispensability of </w:t>
      </w:r>
      <w:proofErr w:type="spellStart"/>
      <w:r w:rsidRPr="00342BC9">
        <w:t>indexicals</w:t>
      </w:r>
      <w:proofErr w:type="spellEnd"/>
      <w:r w:rsidRPr="00342BC9">
        <w:t xml:space="preserve"> is widely acknowledged. (</w:t>
      </w:r>
      <w:proofErr w:type="spellStart"/>
      <w:r w:rsidR="00123AC4" w:rsidRPr="00342BC9">
        <w:t>Recanati</w:t>
      </w:r>
      <w:proofErr w:type="spellEnd"/>
      <w:r w:rsidR="00123AC4" w:rsidRPr="00342BC9">
        <w:t xml:space="preserve"> </w:t>
      </w:r>
      <w:r w:rsidRPr="00342BC9">
        <w:t xml:space="preserve">2007: 243). </w:t>
      </w:r>
    </w:p>
    <w:p w14:paraId="4239C572" w14:textId="0EDC00C4" w:rsidR="00F24D94" w:rsidRPr="00342BC9" w:rsidRDefault="00F24D94" w:rsidP="00342BC9">
      <w:pPr>
        <w:spacing w:before="100" w:beforeAutospacing="1" w:after="100" w:afterAutospacing="1" w:line="480" w:lineRule="auto"/>
        <w:ind w:left="720"/>
      </w:pPr>
      <w:r w:rsidRPr="00342BC9">
        <w:t>It is widely agreed that agents need information in an egocentric form: they must think of places as “here” and “there”, times as “now” and “then” if they are to be able to act on what they know. (</w:t>
      </w:r>
      <w:r w:rsidR="00123AC4" w:rsidRPr="00342BC9">
        <w:t xml:space="preserve">Owens </w:t>
      </w:r>
      <w:r w:rsidRPr="00342BC9">
        <w:t xml:space="preserve">2011: 267) </w:t>
      </w:r>
    </w:p>
    <w:p w14:paraId="3D587863" w14:textId="77777777" w:rsidR="00F24D94" w:rsidRPr="00342BC9" w:rsidRDefault="00F24D94" w:rsidP="00342BC9">
      <w:pPr>
        <w:spacing w:before="100" w:beforeAutospacing="1" w:after="100" w:afterAutospacing="1" w:line="480" w:lineRule="auto"/>
        <w:ind w:left="720"/>
      </w:pPr>
      <w:r w:rsidRPr="00342BC9">
        <w:t xml:space="preserve">A </w:t>
      </w:r>
      <w:proofErr w:type="gramStart"/>
      <w:r w:rsidRPr="00342BC9">
        <w:t>strong contemporary current runs</w:t>
      </w:r>
      <w:proofErr w:type="gramEnd"/>
      <w:r w:rsidRPr="00342BC9">
        <w:t xml:space="preserve"> to the effect that the ability of an agent to project knowledge of the world into relevant action in the world depends upon the ability to think indexical thoughts. (Millikan 1990: 723) </w:t>
      </w:r>
    </w:p>
    <w:p w14:paraId="060F3CDE" w14:textId="77777777" w:rsidR="00F24D94" w:rsidRPr="00342BC9" w:rsidRDefault="00F24D94" w:rsidP="00342BC9">
      <w:pPr>
        <w:spacing w:before="100" w:beforeAutospacing="1" w:after="100" w:afterAutospacing="1" w:line="480" w:lineRule="auto"/>
        <w:ind w:left="720"/>
      </w:pPr>
      <w:r w:rsidRPr="00342BC9">
        <w:t xml:space="preserve">...practical guidance is, in Perry’s phrase, essentially indexical, in the sense that its function depends not only on which of many propositions it expresses but also on how that proposition is determined by the context—specifically, on its being determined in the same way as the reference of indexical expressions such as “I”, “you”, “here”, and “now”. (Velleman 1999:64) </w:t>
      </w:r>
    </w:p>
    <w:p w14:paraId="78756B31" w14:textId="77777777" w:rsidR="00342BC9" w:rsidRDefault="00F24D94" w:rsidP="00342BC9">
      <w:pPr>
        <w:spacing w:line="480" w:lineRule="auto"/>
      </w:pPr>
      <w:r w:rsidRPr="00342BC9">
        <w:t>These quotes vary quite a bit. Some focus explicitly on agency but not all do (</w:t>
      </w:r>
      <w:proofErr w:type="gramStart"/>
      <w:r w:rsidRPr="00342BC9">
        <w:t>e.g.</w:t>
      </w:r>
      <w:proofErr w:type="gramEnd"/>
      <w:r w:rsidRPr="00342BC9">
        <w:t xml:space="preserve"> </w:t>
      </w:r>
      <w:proofErr w:type="spellStart"/>
      <w:r w:rsidRPr="00342BC9">
        <w:t>Recanati</w:t>
      </w:r>
      <w:proofErr w:type="spellEnd"/>
      <w:r w:rsidRPr="00342BC9">
        <w:t xml:space="preserve"> uses the broader idea of ‘cognitive significance’). Of the ones that mention agency, what they </w:t>
      </w:r>
      <w:r w:rsidRPr="00342BC9">
        <w:lastRenderedPageBreak/>
        <w:t xml:space="preserve">say about perspectival </w:t>
      </w:r>
      <w:proofErr w:type="gramStart"/>
      <w:r w:rsidRPr="00342BC9">
        <w:t>thought</w:t>
      </w:r>
      <w:proofErr w:type="gramEnd"/>
      <w:r w:rsidRPr="00342BC9">
        <w:t xml:space="preserve"> and it is not transparently the same. Some focus on perspectival thought as something </w:t>
      </w:r>
      <w:r w:rsidRPr="00342BC9">
        <w:rPr>
          <w:i/>
          <w:iCs/>
        </w:rPr>
        <w:t>required</w:t>
      </w:r>
      <w:r w:rsidRPr="00342BC9">
        <w:t xml:space="preserve"> for agency, but not all do (</w:t>
      </w:r>
      <w:proofErr w:type="gramStart"/>
      <w:r w:rsidRPr="00342BC9">
        <w:t>e.g.</w:t>
      </w:r>
      <w:proofErr w:type="gramEnd"/>
      <w:r w:rsidRPr="00342BC9">
        <w:t xml:space="preserve"> Velleman). Among those that focus on perspectival thought as something required for agency, it’s not clear that what is being required is the same (</w:t>
      </w:r>
      <w:proofErr w:type="gramStart"/>
      <w:r w:rsidRPr="00342BC9">
        <w:t>e.g.</w:t>
      </w:r>
      <w:proofErr w:type="gramEnd"/>
      <w:r w:rsidRPr="00342BC9">
        <w:t xml:space="preserve"> the view Millikan mentions seems to be that what’s required for agency is </w:t>
      </w:r>
      <w:r w:rsidRPr="00342BC9">
        <w:rPr>
          <w:i/>
          <w:iCs/>
        </w:rPr>
        <w:t>some kind of perspectival thought or other</w:t>
      </w:r>
      <w:r w:rsidRPr="00342BC9">
        <w:t xml:space="preserve"> whereas Owens’s quote suggests the stronger view that agency depends on having </w:t>
      </w:r>
      <w:r w:rsidRPr="00342BC9">
        <w:rPr>
          <w:i/>
          <w:iCs/>
        </w:rPr>
        <w:t>each</w:t>
      </w:r>
      <w:r w:rsidRPr="00342BC9">
        <w:t xml:space="preserve"> of several varieties of perspectival thought). </w:t>
      </w:r>
      <w:proofErr w:type="gramStart"/>
      <w:r w:rsidRPr="00342BC9">
        <w:t>So</w:t>
      </w:r>
      <w:proofErr w:type="gramEnd"/>
      <w:r w:rsidRPr="00342BC9">
        <w:t xml:space="preserve"> there’s at least some diversity here and the diversity suggests some significant philosophical difficulty in answering the question ‘What is the role of perspectival thought in agency’? But the important point is that none of these authors would think it appropriate to add proper names, like ‘Hesperus’, to their list of examples. All would accept that the three examples I started with showcase something important that</w:t>
      </w:r>
      <w:r w:rsidR="00A44794" w:rsidRPr="00342BC9">
        <w:t xml:space="preserve"> distinguishes</w:t>
      </w:r>
      <w:r w:rsidRPr="00342BC9">
        <w:t xml:space="preserve"> perspectival thought</w:t>
      </w:r>
      <w:r w:rsidR="00A44794" w:rsidRPr="00342BC9">
        <w:t>s</w:t>
      </w:r>
      <w:r w:rsidR="00B24DB3" w:rsidRPr="00342BC9">
        <w:t xml:space="preserve"> from non-perspectival ones</w:t>
      </w:r>
      <w:r w:rsidRPr="00342BC9">
        <w:t xml:space="preserve">. </w:t>
      </w:r>
      <w:r w:rsidR="00342BC9">
        <w:tab/>
      </w:r>
    </w:p>
    <w:p w14:paraId="61A5D455" w14:textId="77777777" w:rsidR="00342BC9" w:rsidRDefault="00F24D94" w:rsidP="00342BC9">
      <w:pPr>
        <w:spacing w:line="480" w:lineRule="auto"/>
        <w:ind w:firstLine="720"/>
      </w:pPr>
      <w:r w:rsidRPr="00342BC9">
        <w:t xml:space="preserve">Two </w:t>
      </w:r>
      <w:r w:rsidR="00235CDE" w:rsidRPr="00342BC9">
        <w:t>statements of opposition</w:t>
      </w:r>
      <w:r w:rsidRPr="00342BC9">
        <w:t xml:space="preserve"> to this standard view are Herman </w:t>
      </w:r>
      <w:proofErr w:type="spellStart"/>
      <w:r w:rsidRPr="00342BC9">
        <w:t>Cappelen</w:t>
      </w:r>
      <w:proofErr w:type="spellEnd"/>
      <w:r w:rsidRPr="00342BC9">
        <w:t xml:space="preserve"> and Josh </w:t>
      </w:r>
      <w:proofErr w:type="spellStart"/>
      <w:r w:rsidRPr="00342BC9">
        <w:t>Dever</w:t>
      </w:r>
      <w:proofErr w:type="spellEnd"/>
      <w:r w:rsidR="00235CDE" w:rsidRPr="00342BC9">
        <w:t xml:space="preserve"> in their co-authored work</w:t>
      </w:r>
      <w:r w:rsidRPr="00342BC9">
        <w:t xml:space="preserve">, and </w:t>
      </w:r>
      <w:proofErr w:type="spellStart"/>
      <w:r w:rsidRPr="00342BC9">
        <w:t>Ofra</w:t>
      </w:r>
      <w:proofErr w:type="spellEnd"/>
      <w:r w:rsidRPr="00342BC9">
        <w:t xml:space="preserve"> </w:t>
      </w:r>
      <w:proofErr w:type="spellStart"/>
      <w:r w:rsidRPr="00342BC9">
        <w:t>Magidor</w:t>
      </w:r>
      <w:proofErr w:type="spellEnd"/>
      <w:r w:rsidRPr="00342BC9">
        <w:t xml:space="preserve">. </w:t>
      </w:r>
      <w:r w:rsidR="00235CDE" w:rsidRPr="00342BC9">
        <w:t xml:space="preserve">Their position is </w:t>
      </w:r>
      <w:r w:rsidRPr="00342BC9">
        <w:t xml:space="preserve">that the interesting features of perspectival thoughts are just the interesting features of thoughts. This is a one tier picture on which all thoughts are in principle equally intimately relation to agency. Suppose you think that this is wrong. Then you might think that the standard two-tier picture on which perspectival and non-perspectival thoughts play two basically different kinds of roles in the explanation of action </w:t>
      </w:r>
      <w:proofErr w:type="gramStart"/>
      <w:r w:rsidRPr="00342BC9">
        <w:t>has to</w:t>
      </w:r>
      <w:proofErr w:type="gramEnd"/>
      <w:r w:rsidRPr="00342BC9">
        <w:t xml:space="preserve"> be right. But there is a third picture that deserves consideration besides these familiar two, and that I flesh out in this paper. It’s a picture of islands. The </w:t>
      </w:r>
      <w:r w:rsidRPr="00342BC9">
        <w:rPr>
          <w:i/>
          <w:iCs/>
        </w:rPr>
        <w:t xml:space="preserve">de </w:t>
      </w:r>
      <w:proofErr w:type="spellStart"/>
      <w:r w:rsidRPr="00342BC9">
        <w:rPr>
          <w:i/>
          <w:iCs/>
        </w:rPr>
        <w:t>nunc</w:t>
      </w:r>
      <w:proofErr w:type="spellEnd"/>
      <w:r w:rsidRPr="00342BC9">
        <w:rPr>
          <w:i/>
          <w:iCs/>
        </w:rPr>
        <w:t xml:space="preserve"> </w:t>
      </w:r>
      <w:r w:rsidRPr="00342BC9">
        <w:t>is one island</w:t>
      </w:r>
      <w:r w:rsidR="00235CDE" w:rsidRPr="00342BC9">
        <w:t>, and obviously differs in important ways from thoughts of the ‘Hesperus’</w:t>
      </w:r>
      <w:r w:rsidR="00B24DB3" w:rsidRPr="00342BC9">
        <w:t>-</w:t>
      </w:r>
      <w:r w:rsidR="00235CDE" w:rsidRPr="00342BC9">
        <w:t>kind</w:t>
      </w:r>
      <w:r w:rsidR="00117391" w:rsidRPr="00342BC9">
        <w:t xml:space="preserve"> or of the ‘3pm’-kind</w:t>
      </w:r>
      <w:r w:rsidRPr="00342BC9">
        <w:t xml:space="preserve">. But it isn’t part of a perspectival archipelago that constitutes a natural cognitive kind. </w:t>
      </w:r>
    </w:p>
    <w:p w14:paraId="007686CD" w14:textId="77777777" w:rsidR="00342BC9" w:rsidRDefault="00F24D94" w:rsidP="00342BC9">
      <w:pPr>
        <w:spacing w:line="480" w:lineRule="auto"/>
        <w:ind w:firstLine="720"/>
      </w:pPr>
      <w:r w:rsidRPr="00342BC9">
        <w:t xml:space="preserve">What’s a general reason to doubt that perspectival thought is a natural cognitive kind, and to expect variety within the category of perspectival thoughts? Answer: a ‘metaphysics </w:t>
      </w:r>
      <w:r w:rsidRPr="00342BC9">
        <w:lastRenderedPageBreak/>
        <w:t xml:space="preserve">first’ approach to cognition. Christopher </w:t>
      </w:r>
      <w:proofErr w:type="spellStart"/>
      <w:r w:rsidRPr="00342BC9">
        <w:t>Peacocke</w:t>
      </w:r>
      <w:proofErr w:type="spellEnd"/>
      <w:r w:rsidRPr="00342BC9">
        <w:t>, from whom I borrow the phrase, expresses his approach by saying that, in general, an account of the metaphysics of a domain is prior to an account of thought about the things in the domain.</w:t>
      </w:r>
      <w:r w:rsidRPr="00342BC9">
        <w:rPr>
          <w:rStyle w:val="FootnoteReference"/>
        </w:rPr>
        <w:footnoteReference w:id="3"/>
      </w:r>
      <w:r w:rsidRPr="00342BC9">
        <w:t xml:space="preserve"> One way of hearing this is as follows: we need to sort out Metaphysics 101 topics before we sort our Mind 101 topics. Want an account of </w:t>
      </w:r>
      <w:r w:rsidRPr="00342BC9">
        <w:rPr>
          <w:i/>
          <w:iCs/>
        </w:rPr>
        <w:t>de se</w:t>
      </w:r>
      <w:r w:rsidRPr="00342BC9">
        <w:t xml:space="preserve">/first-person thought? First, you’d better tell me what a person is, focusing especially on the facets of being a person that hold on your account – </w:t>
      </w:r>
      <w:proofErr w:type="gramStart"/>
      <w:r w:rsidRPr="00342BC9">
        <w:t>e.g.</w:t>
      </w:r>
      <w:proofErr w:type="gramEnd"/>
      <w:r w:rsidRPr="00342BC9">
        <w:t xml:space="preserve"> ‘a person is something with the persistence conditions of a biological organism’ – but not on other peoples’. Want an account of the </w:t>
      </w:r>
      <w:r w:rsidRPr="00342BC9">
        <w:rPr>
          <w:i/>
          <w:iCs/>
        </w:rPr>
        <w:t xml:space="preserve">de </w:t>
      </w:r>
      <w:proofErr w:type="spellStart"/>
      <w:r w:rsidRPr="00342BC9">
        <w:rPr>
          <w:i/>
          <w:iCs/>
        </w:rPr>
        <w:t>nunc</w:t>
      </w:r>
      <w:proofErr w:type="spellEnd"/>
      <w:r w:rsidRPr="00342BC9">
        <w:t xml:space="preserve">? First, you’d better tell me what times are, focusing especially on the facets of being a time that hold on your account but not on other peoples’. This may or may not be the best way of understanding </w:t>
      </w:r>
      <w:proofErr w:type="spellStart"/>
      <w:r w:rsidRPr="00342BC9">
        <w:t>Peacocke</w:t>
      </w:r>
      <w:proofErr w:type="spellEnd"/>
      <w:r w:rsidRPr="00342BC9">
        <w:t xml:space="preserve">, and it may or not be true. But it anyway isn’t what I have in mind here. Instead, I argue that features of persons and times that pretty much </w:t>
      </w:r>
      <w:r w:rsidRPr="00342BC9">
        <w:rPr>
          <w:i/>
          <w:iCs/>
        </w:rPr>
        <w:t xml:space="preserve">any </w:t>
      </w:r>
      <w:r w:rsidRPr="00342BC9">
        <w:t xml:space="preserve">metaphysical theory will accept significantly constrain an account of the </w:t>
      </w:r>
      <w:r w:rsidRPr="00342BC9">
        <w:rPr>
          <w:i/>
          <w:iCs/>
        </w:rPr>
        <w:t xml:space="preserve">de se </w:t>
      </w:r>
      <w:r w:rsidRPr="00342BC9">
        <w:t xml:space="preserve">and the </w:t>
      </w:r>
      <w:r w:rsidRPr="00342BC9">
        <w:rPr>
          <w:i/>
          <w:iCs/>
        </w:rPr>
        <w:t xml:space="preserve">de </w:t>
      </w:r>
      <w:proofErr w:type="spellStart"/>
      <w:r w:rsidRPr="00342BC9">
        <w:rPr>
          <w:i/>
          <w:iCs/>
        </w:rPr>
        <w:t>nunc</w:t>
      </w:r>
      <w:proofErr w:type="spellEnd"/>
      <w:r w:rsidRPr="00342BC9">
        <w:t xml:space="preserve">. Want an account of the </w:t>
      </w:r>
      <w:r w:rsidRPr="00342BC9">
        <w:rPr>
          <w:i/>
          <w:iCs/>
        </w:rPr>
        <w:t xml:space="preserve">de se </w:t>
      </w:r>
      <w:r w:rsidRPr="00342BC9">
        <w:t xml:space="preserve">or </w:t>
      </w:r>
      <w:r w:rsidRPr="00342BC9">
        <w:rPr>
          <w:i/>
          <w:iCs/>
        </w:rPr>
        <w:t xml:space="preserve">de </w:t>
      </w:r>
      <w:proofErr w:type="spellStart"/>
      <w:r w:rsidRPr="00342BC9">
        <w:rPr>
          <w:i/>
          <w:iCs/>
        </w:rPr>
        <w:t>nunc</w:t>
      </w:r>
      <w:proofErr w:type="spellEnd"/>
      <w:r w:rsidRPr="00342BC9">
        <w:t xml:space="preserve">? The picture defended here is that it isn’t possible to give one in a way that abstracts from the most central, uncontentious features of the natures of times and persons. More generally, an account of a particular kind of perspectival thought will depend on the nature of its referent. </w:t>
      </w:r>
    </w:p>
    <w:p w14:paraId="6121AB98" w14:textId="096B9D19" w:rsidR="00B951B9" w:rsidRPr="00342BC9" w:rsidRDefault="00854C05" w:rsidP="00342BC9">
      <w:pPr>
        <w:spacing w:line="480" w:lineRule="auto"/>
        <w:ind w:firstLine="720"/>
      </w:pPr>
      <w:r w:rsidRPr="00342BC9">
        <w:t xml:space="preserve">One way to break </w:t>
      </w:r>
      <w:r w:rsidR="00F24D94" w:rsidRPr="00342BC9">
        <w:t xml:space="preserve">the mould of the </w:t>
      </w:r>
      <w:r w:rsidRPr="00342BC9">
        <w:t xml:space="preserve">natural </w:t>
      </w:r>
      <w:r w:rsidR="00F24D94" w:rsidRPr="00342BC9">
        <w:t xml:space="preserve">kind picture of perspectival thought </w:t>
      </w:r>
      <w:r w:rsidRPr="00342BC9">
        <w:t xml:space="preserve">is </w:t>
      </w:r>
      <w:r w:rsidR="00F24D94" w:rsidRPr="00342BC9">
        <w:t>by working through a</w:t>
      </w:r>
      <w:r w:rsidR="00021C35" w:rsidRPr="00342BC9">
        <w:t xml:space="preserve"> case study</w:t>
      </w:r>
      <w:r w:rsidR="00F24D94" w:rsidRPr="00342BC9">
        <w:t xml:space="preserve"> in which the metaphysics of a domain determines a different thought-kind. </w:t>
      </w:r>
      <w:r w:rsidR="00BB0553" w:rsidRPr="00342BC9">
        <w:t xml:space="preserve">That is the plan here. </w:t>
      </w:r>
      <w:r w:rsidR="00F24D94" w:rsidRPr="00342BC9">
        <w:rPr>
          <w:iCs/>
        </w:rPr>
        <w:t>(§1)</w:t>
      </w:r>
      <w:r w:rsidR="00F24D94" w:rsidRPr="00342BC9">
        <w:rPr>
          <w:b/>
          <w:bCs/>
          <w:iCs/>
        </w:rPr>
        <w:t xml:space="preserve"> </w:t>
      </w:r>
      <w:r w:rsidR="00F24D94" w:rsidRPr="00342BC9">
        <w:t>gives a précis of the recent debate about agency and perspectival thought</w:t>
      </w:r>
      <w:r w:rsidR="005267C2" w:rsidRPr="00342BC9">
        <w:t>, providing evidence that the natural kind picture is</w:t>
      </w:r>
      <w:r w:rsidR="007026D6" w:rsidRPr="00342BC9">
        <w:t xml:space="preserve"> not just accepted but doing important work in </w:t>
      </w:r>
      <w:r w:rsidR="00723B23" w:rsidRPr="00342BC9">
        <w:t xml:space="preserve">determining </w:t>
      </w:r>
      <w:r w:rsidR="007026D6" w:rsidRPr="00342BC9">
        <w:t>how the significance of some key c</w:t>
      </w:r>
      <w:r w:rsidR="005857AD" w:rsidRPr="00342BC9">
        <w:t>ases</w:t>
      </w:r>
      <w:r w:rsidR="007026D6" w:rsidRPr="00342BC9">
        <w:t xml:space="preserve"> is framed</w:t>
      </w:r>
      <w:r w:rsidR="005267C2" w:rsidRPr="00342BC9">
        <w:t xml:space="preserve">. </w:t>
      </w:r>
      <w:r w:rsidR="005267C2" w:rsidRPr="00342BC9">
        <w:rPr>
          <w:iCs/>
        </w:rPr>
        <w:t>(§2)</w:t>
      </w:r>
      <w:r w:rsidR="005267C2" w:rsidRPr="00342BC9">
        <w:t xml:space="preserve"> </w:t>
      </w:r>
      <w:r w:rsidR="00053EDD" w:rsidRPr="00342BC9">
        <w:t>introduces</w:t>
      </w:r>
      <w:r w:rsidR="00764807" w:rsidRPr="00342BC9">
        <w:t xml:space="preserve"> the</w:t>
      </w:r>
      <w:r w:rsidR="00053EDD" w:rsidRPr="00342BC9">
        <w:t xml:space="preserve"> </w:t>
      </w:r>
      <w:r w:rsidR="007026D6" w:rsidRPr="00342BC9">
        <w:t>recipe</w:t>
      </w:r>
      <w:r w:rsidR="005267C2" w:rsidRPr="00342BC9">
        <w:t xml:space="preserve"> </w:t>
      </w:r>
      <w:proofErr w:type="spellStart"/>
      <w:r w:rsidR="005267C2" w:rsidRPr="00342BC9">
        <w:t>Magidor</w:t>
      </w:r>
      <w:proofErr w:type="spellEnd"/>
      <w:r w:rsidR="005267C2" w:rsidRPr="00342BC9">
        <w:t xml:space="preserve">, and </w:t>
      </w:r>
      <w:proofErr w:type="spellStart"/>
      <w:r w:rsidR="005267C2" w:rsidRPr="00342BC9">
        <w:t>Cappelen</w:t>
      </w:r>
      <w:proofErr w:type="spellEnd"/>
      <w:r w:rsidR="005267C2" w:rsidRPr="00342BC9">
        <w:t xml:space="preserve"> and </w:t>
      </w:r>
      <w:proofErr w:type="spellStart"/>
      <w:r w:rsidR="005267C2" w:rsidRPr="00342BC9">
        <w:t>Dever</w:t>
      </w:r>
      <w:proofErr w:type="spellEnd"/>
      <w:r w:rsidR="005267C2" w:rsidRPr="00342BC9">
        <w:t xml:space="preserve">, have provided for action without the </w:t>
      </w:r>
      <w:r w:rsidR="005267C2" w:rsidRPr="00342BC9">
        <w:rPr>
          <w:i/>
          <w:iCs/>
        </w:rPr>
        <w:t>de se</w:t>
      </w:r>
      <w:r w:rsidR="005267C2" w:rsidRPr="00342BC9">
        <w:t xml:space="preserve">. </w:t>
      </w:r>
      <w:r w:rsidR="005267C2" w:rsidRPr="00342BC9">
        <w:rPr>
          <w:iCs/>
        </w:rPr>
        <w:t xml:space="preserve"> (§3) </w:t>
      </w:r>
      <w:r w:rsidR="00764807" w:rsidRPr="00342BC9">
        <w:rPr>
          <w:iCs/>
        </w:rPr>
        <w:t>considers</w:t>
      </w:r>
      <w:r w:rsidR="00053EDD" w:rsidRPr="00342BC9">
        <w:rPr>
          <w:iCs/>
        </w:rPr>
        <w:t xml:space="preserve"> whether this recipe extends to the </w:t>
      </w:r>
      <w:r w:rsidR="00053EDD" w:rsidRPr="00342BC9">
        <w:rPr>
          <w:i/>
        </w:rPr>
        <w:t xml:space="preserve">de </w:t>
      </w:r>
      <w:proofErr w:type="spellStart"/>
      <w:r w:rsidR="00053EDD" w:rsidRPr="00342BC9">
        <w:rPr>
          <w:i/>
        </w:rPr>
        <w:t>nunc</w:t>
      </w:r>
      <w:proofErr w:type="spellEnd"/>
      <w:r w:rsidR="00053EDD" w:rsidRPr="00342BC9">
        <w:rPr>
          <w:i/>
        </w:rPr>
        <w:t xml:space="preserve">. </w:t>
      </w:r>
      <w:r w:rsidR="00053EDD" w:rsidRPr="00342BC9">
        <w:rPr>
          <w:iCs/>
        </w:rPr>
        <w:t xml:space="preserve">Its first section argues for </w:t>
      </w:r>
      <w:r w:rsidR="00053EDD" w:rsidRPr="00342BC9">
        <w:rPr>
          <w:iCs/>
        </w:rPr>
        <w:lastRenderedPageBreak/>
        <w:t>some general constraints on action explanation</w:t>
      </w:r>
      <w:r w:rsidR="00021C35" w:rsidRPr="00342BC9">
        <w:rPr>
          <w:iCs/>
        </w:rPr>
        <w:t>.</w:t>
      </w:r>
      <w:r w:rsidR="00053EDD" w:rsidRPr="00342BC9">
        <w:rPr>
          <w:iCs/>
        </w:rPr>
        <w:t xml:space="preserve"> </w:t>
      </w:r>
      <w:r w:rsidR="00021C35" w:rsidRPr="00342BC9">
        <w:rPr>
          <w:iCs/>
        </w:rPr>
        <w:t>I</w:t>
      </w:r>
      <w:r w:rsidR="00053EDD" w:rsidRPr="00342BC9">
        <w:rPr>
          <w:iCs/>
        </w:rPr>
        <w:t xml:space="preserve">ts second section argues that </w:t>
      </w:r>
      <w:r w:rsidR="00F85D28" w:rsidRPr="00342BC9">
        <w:rPr>
          <w:iCs/>
        </w:rPr>
        <w:t xml:space="preserve">these </w:t>
      </w:r>
      <w:r w:rsidR="00053EDD" w:rsidRPr="00342BC9">
        <w:rPr>
          <w:iCs/>
        </w:rPr>
        <w:t xml:space="preserve">are satisfied in </w:t>
      </w:r>
      <w:proofErr w:type="spellStart"/>
      <w:r w:rsidR="00053EDD" w:rsidRPr="00342BC9">
        <w:rPr>
          <w:iCs/>
        </w:rPr>
        <w:t>Magidor</w:t>
      </w:r>
      <w:proofErr w:type="spellEnd"/>
      <w:r w:rsidR="00053EDD" w:rsidRPr="00342BC9">
        <w:rPr>
          <w:iCs/>
        </w:rPr>
        <w:t xml:space="preserve">, and </w:t>
      </w:r>
      <w:proofErr w:type="spellStart"/>
      <w:r w:rsidR="00053EDD" w:rsidRPr="00342BC9">
        <w:rPr>
          <w:iCs/>
        </w:rPr>
        <w:t>Cappelen</w:t>
      </w:r>
      <w:proofErr w:type="spellEnd"/>
      <w:r w:rsidR="00053EDD" w:rsidRPr="00342BC9">
        <w:rPr>
          <w:iCs/>
        </w:rPr>
        <w:t xml:space="preserve"> and </w:t>
      </w:r>
      <w:proofErr w:type="spellStart"/>
      <w:r w:rsidR="00053EDD" w:rsidRPr="00342BC9">
        <w:rPr>
          <w:iCs/>
        </w:rPr>
        <w:t>Dever’s</w:t>
      </w:r>
      <w:proofErr w:type="spellEnd"/>
      <w:r w:rsidR="00B24DB3" w:rsidRPr="00342BC9">
        <w:rPr>
          <w:iCs/>
        </w:rPr>
        <w:t xml:space="preserve">, </w:t>
      </w:r>
      <w:r w:rsidR="00764807" w:rsidRPr="00342BC9">
        <w:rPr>
          <w:i/>
        </w:rPr>
        <w:t xml:space="preserve">de se </w:t>
      </w:r>
      <w:r w:rsidR="00764807" w:rsidRPr="00342BC9">
        <w:rPr>
          <w:iCs/>
        </w:rPr>
        <w:t>free cases</w:t>
      </w:r>
      <w:r w:rsidR="00053EDD" w:rsidRPr="00342BC9">
        <w:rPr>
          <w:iCs/>
        </w:rPr>
        <w:t xml:space="preserve">, but </w:t>
      </w:r>
      <w:r w:rsidR="00021C35" w:rsidRPr="00342BC9">
        <w:rPr>
          <w:iCs/>
        </w:rPr>
        <w:t>c</w:t>
      </w:r>
      <w:r w:rsidR="00053EDD" w:rsidRPr="00342BC9">
        <w:rPr>
          <w:iCs/>
        </w:rPr>
        <w:t>ouldn’t be in</w:t>
      </w:r>
      <w:r w:rsidR="00764807" w:rsidRPr="00342BC9">
        <w:rPr>
          <w:iCs/>
        </w:rPr>
        <w:t xml:space="preserve"> parallel </w:t>
      </w:r>
      <w:r w:rsidR="00764807" w:rsidRPr="00342BC9">
        <w:rPr>
          <w:i/>
        </w:rPr>
        <w:t xml:space="preserve">de </w:t>
      </w:r>
      <w:proofErr w:type="spellStart"/>
      <w:r w:rsidR="00764807" w:rsidRPr="00342BC9">
        <w:rPr>
          <w:i/>
        </w:rPr>
        <w:t>nunc</w:t>
      </w:r>
      <w:proofErr w:type="spellEnd"/>
      <w:r w:rsidR="00B24DB3" w:rsidRPr="00342BC9">
        <w:rPr>
          <w:i/>
        </w:rPr>
        <w:t xml:space="preserve"> </w:t>
      </w:r>
      <w:r w:rsidR="00764807" w:rsidRPr="00342BC9">
        <w:rPr>
          <w:iCs/>
        </w:rPr>
        <w:t>free cases</w:t>
      </w:r>
      <w:r w:rsidR="00053EDD" w:rsidRPr="00342BC9">
        <w:rPr>
          <w:iCs/>
        </w:rPr>
        <w:t xml:space="preserve">. </w:t>
      </w:r>
      <w:r w:rsidR="00745FEA" w:rsidRPr="00342BC9">
        <w:rPr>
          <w:iCs/>
        </w:rPr>
        <w:t>Having given th</w:t>
      </w:r>
      <w:r w:rsidR="00B078D4" w:rsidRPr="00342BC9">
        <w:rPr>
          <w:iCs/>
        </w:rPr>
        <w:t>at</w:t>
      </w:r>
      <w:r w:rsidR="00745FEA" w:rsidRPr="00342BC9">
        <w:rPr>
          <w:iCs/>
        </w:rPr>
        <w:t xml:space="preserve"> </w:t>
      </w:r>
      <w:proofErr w:type="gramStart"/>
      <w:r w:rsidR="00745FEA" w:rsidRPr="00342BC9">
        <w:rPr>
          <w:iCs/>
        </w:rPr>
        <w:t xml:space="preserve">argument, </w:t>
      </w:r>
      <w:r w:rsidR="00EA43EF" w:rsidRPr="00342BC9">
        <w:rPr>
          <w:iCs/>
        </w:rPr>
        <w:t xml:space="preserve"> </w:t>
      </w:r>
      <w:r w:rsidR="00B078D4" w:rsidRPr="00342BC9">
        <w:rPr>
          <w:iCs/>
        </w:rPr>
        <w:t>I</w:t>
      </w:r>
      <w:proofErr w:type="gramEnd"/>
      <w:r w:rsidR="00B078D4" w:rsidRPr="00342BC9">
        <w:rPr>
          <w:iCs/>
        </w:rPr>
        <w:t xml:space="preserve"> </w:t>
      </w:r>
      <w:r w:rsidR="00EA43EF" w:rsidRPr="00342BC9">
        <w:rPr>
          <w:iCs/>
        </w:rPr>
        <w:t xml:space="preserve">provide a comparison between </w:t>
      </w:r>
      <w:r w:rsidR="0026637B" w:rsidRPr="00342BC9">
        <w:rPr>
          <w:iCs/>
        </w:rPr>
        <w:t>it</w:t>
      </w:r>
      <w:r w:rsidR="00374F67" w:rsidRPr="00342BC9">
        <w:rPr>
          <w:iCs/>
        </w:rPr>
        <w:t xml:space="preserve"> and</w:t>
      </w:r>
      <w:r w:rsidR="0026637B" w:rsidRPr="00342BC9">
        <w:rPr>
          <w:iCs/>
        </w:rPr>
        <w:t xml:space="preserve"> the argument</w:t>
      </w:r>
      <w:r w:rsidR="003C31AD" w:rsidRPr="00342BC9">
        <w:rPr>
          <w:iCs/>
        </w:rPr>
        <w:t xml:space="preserve"> of</w:t>
      </w:r>
      <w:r w:rsidR="0026637B" w:rsidRPr="00342BC9">
        <w:rPr>
          <w:iCs/>
        </w:rPr>
        <w:t xml:space="preserve"> </w:t>
      </w:r>
      <w:r w:rsidR="0096153D" w:rsidRPr="00342BC9">
        <w:rPr>
          <w:iCs/>
        </w:rPr>
        <w:t xml:space="preserve">two contributions </w:t>
      </w:r>
      <w:r w:rsidR="0026637B" w:rsidRPr="00342BC9">
        <w:rPr>
          <w:iCs/>
        </w:rPr>
        <w:t>that might appear</w:t>
      </w:r>
      <w:r w:rsidR="00187040" w:rsidRPr="00342BC9">
        <w:rPr>
          <w:iCs/>
        </w:rPr>
        <w:t xml:space="preserve"> to anticipate</w:t>
      </w:r>
      <w:r w:rsidR="00FB36C8" w:rsidRPr="00342BC9">
        <w:rPr>
          <w:iCs/>
        </w:rPr>
        <w:t xml:space="preserve"> </w:t>
      </w:r>
      <w:r w:rsidR="0026637B" w:rsidRPr="00342BC9">
        <w:rPr>
          <w:iCs/>
        </w:rPr>
        <w:t>this paper</w:t>
      </w:r>
      <w:r w:rsidR="00FB36C8" w:rsidRPr="00342BC9">
        <w:rPr>
          <w:iCs/>
        </w:rPr>
        <w:t xml:space="preserve">, </w:t>
      </w:r>
      <w:r w:rsidR="00FB36C8" w:rsidRPr="00342BC9">
        <w:rPr>
          <w:iCs/>
          <w:color w:val="000000" w:themeColor="text1"/>
        </w:rPr>
        <w:t xml:space="preserve">Ludlow (2019) and </w:t>
      </w:r>
      <w:r w:rsidR="00015F68" w:rsidRPr="00342BC9">
        <w:rPr>
          <w:iCs/>
          <w:color w:val="000000" w:themeColor="text1"/>
        </w:rPr>
        <w:t xml:space="preserve">my own earlier paper </w:t>
      </w:r>
      <w:r w:rsidR="00FB36C8" w:rsidRPr="00342BC9">
        <w:rPr>
          <w:iCs/>
          <w:color w:val="000000" w:themeColor="text1"/>
        </w:rPr>
        <w:t>Morgan (2019)</w:t>
      </w:r>
      <w:r w:rsidR="00187040" w:rsidRPr="00342BC9">
        <w:rPr>
          <w:iCs/>
          <w:color w:val="000000" w:themeColor="text1"/>
        </w:rPr>
        <w:t>.</w:t>
      </w:r>
      <w:r w:rsidR="00DF7086" w:rsidRPr="00342BC9">
        <w:rPr>
          <w:rStyle w:val="FootnoteReference"/>
          <w:iCs/>
          <w:color w:val="000000" w:themeColor="text1"/>
        </w:rPr>
        <w:footnoteReference w:id="4"/>
      </w:r>
      <w:r w:rsidR="00187040" w:rsidRPr="00342BC9">
        <w:rPr>
          <w:iCs/>
          <w:color w:val="000000" w:themeColor="text1"/>
        </w:rPr>
        <w:t xml:space="preserve"> </w:t>
      </w:r>
      <w:r w:rsidR="0010110D" w:rsidRPr="00342BC9">
        <w:rPr>
          <w:iCs/>
          <w:color w:val="000000" w:themeColor="text1"/>
        </w:rPr>
        <w:t>T</w:t>
      </w:r>
      <w:r w:rsidR="00187040" w:rsidRPr="00342BC9">
        <w:rPr>
          <w:iCs/>
          <w:color w:val="000000" w:themeColor="text1"/>
        </w:rPr>
        <w:t>he similarity between Ludlow (2019) and this paper</w:t>
      </w:r>
      <w:r w:rsidR="00745FEA" w:rsidRPr="00342BC9">
        <w:rPr>
          <w:iCs/>
          <w:color w:val="000000" w:themeColor="text1"/>
        </w:rPr>
        <w:t xml:space="preserve"> turns out to be quite small</w:t>
      </w:r>
      <w:r w:rsidR="00FB36C8" w:rsidRPr="00342BC9">
        <w:rPr>
          <w:iCs/>
          <w:color w:val="000000" w:themeColor="text1"/>
        </w:rPr>
        <w:t>.</w:t>
      </w:r>
      <w:r w:rsidR="00745FEA" w:rsidRPr="00342BC9">
        <w:rPr>
          <w:iCs/>
          <w:color w:val="000000" w:themeColor="text1"/>
        </w:rPr>
        <w:t xml:space="preserve"> </w:t>
      </w:r>
      <w:r w:rsidR="00187040" w:rsidRPr="00342BC9">
        <w:rPr>
          <w:iCs/>
          <w:color w:val="000000" w:themeColor="text1"/>
        </w:rPr>
        <w:t xml:space="preserve"> </w:t>
      </w:r>
      <w:r w:rsidR="00FB36C8" w:rsidRPr="00342BC9">
        <w:rPr>
          <w:iCs/>
          <w:color w:val="000000" w:themeColor="text1"/>
        </w:rPr>
        <w:t>L</w:t>
      </w:r>
      <w:r w:rsidR="00B078D4" w:rsidRPr="00342BC9">
        <w:rPr>
          <w:iCs/>
          <w:color w:val="000000" w:themeColor="text1"/>
        </w:rPr>
        <w:t xml:space="preserve">ike Ludlow (2019), </w:t>
      </w:r>
      <w:r w:rsidR="00FB36C8" w:rsidRPr="00342BC9">
        <w:rPr>
          <w:iCs/>
          <w:color w:val="000000" w:themeColor="text1"/>
        </w:rPr>
        <w:t>this paper starts from the idea that the</w:t>
      </w:r>
      <w:r w:rsidR="00187040" w:rsidRPr="00342BC9">
        <w:rPr>
          <w:iCs/>
          <w:color w:val="000000" w:themeColor="text1"/>
        </w:rPr>
        <w:t xml:space="preserve"> </w:t>
      </w:r>
      <w:r w:rsidR="00187040" w:rsidRPr="00342BC9">
        <w:rPr>
          <w:i/>
          <w:color w:val="000000" w:themeColor="text1"/>
        </w:rPr>
        <w:t xml:space="preserve">de </w:t>
      </w:r>
      <w:proofErr w:type="spellStart"/>
      <w:r w:rsidR="00187040" w:rsidRPr="00342BC9">
        <w:rPr>
          <w:i/>
          <w:color w:val="000000" w:themeColor="text1"/>
        </w:rPr>
        <w:t>nunc</w:t>
      </w:r>
      <w:proofErr w:type="spellEnd"/>
      <w:r w:rsidR="00187040" w:rsidRPr="00342BC9">
        <w:rPr>
          <w:i/>
          <w:color w:val="000000" w:themeColor="text1"/>
        </w:rPr>
        <w:t xml:space="preserve"> </w:t>
      </w:r>
      <w:r w:rsidR="00187040" w:rsidRPr="00342BC9">
        <w:rPr>
          <w:iCs/>
          <w:color w:val="000000" w:themeColor="text1"/>
        </w:rPr>
        <w:t>is underexplored.</w:t>
      </w:r>
      <w:r w:rsidR="0010110D" w:rsidRPr="00342BC9">
        <w:rPr>
          <w:iCs/>
          <w:color w:val="000000" w:themeColor="text1"/>
        </w:rPr>
        <w:t xml:space="preserve"> </w:t>
      </w:r>
      <w:r w:rsidR="00B078D4" w:rsidRPr="00342BC9">
        <w:rPr>
          <w:iCs/>
          <w:color w:val="000000" w:themeColor="text1"/>
        </w:rPr>
        <w:t xml:space="preserve">But </w:t>
      </w:r>
      <w:r w:rsidR="00187040" w:rsidRPr="00342BC9">
        <w:rPr>
          <w:iCs/>
          <w:color w:val="000000" w:themeColor="text1"/>
        </w:rPr>
        <w:t>Ludlow (2019) accepts the natural kind picture</w:t>
      </w:r>
      <w:r w:rsidR="00B078D4" w:rsidRPr="00342BC9">
        <w:rPr>
          <w:iCs/>
          <w:color w:val="000000" w:themeColor="text1"/>
        </w:rPr>
        <w:t xml:space="preserve"> of perspectival thought</w:t>
      </w:r>
      <w:r w:rsidR="00745FEA" w:rsidRPr="00342BC9">
        <w:rPr>
          <w:iCs/>
          <w:color w:val="000000" w:themeColor="text1"/>
        </w:rPr>
        <w:t xml:space="preserve"> and thinks that action depends equally on the </w:t>
      </w:r>
      <w:r w:rsidR="00745FEA" w:rsidRPr="00342BC9">
        <w:rPr>
          <w:i/>
          <w:color w:val="000000" w:themeColor="text1"/>
        </w:rPr>
        <w:t xml:space="preserve">de </w:t>
      </w:r>
      <w:proofErr w:type="spellStart"/>
      <w:r w:rsidR="00745FEA" w:rsidRPr="00342BC9">
        <w:rPr>
          <w:i/>
          <w:color w:val="000000" w:themeColor="text1"/>
        </w:rPr>
        <w:t>nunc</w:t>
      </w:r>
      <w:proofErr w:type="spellEnd"/>
      <w:r w:rsidR="00745FEA" w:rsidRPr="00342BC9">
        <w:rPr>
          <w:i/>
          <w:color w:val="000000" w:themeColor="text1"/>
        </w:rPr>
        <w:t xml:space="preserve"> </w:t>
      </w:r>
      <w:r w:rsidR="00745FEA" w:rsidRPr="00342BC9">
        <w:rPr>
          <w:iCs/>
          <w:color w:val="000000" w:themeColor="text1"/>
        </w:rPr>
        <w:t xml:space="preserve">and the </w:t>
      </w:r>
      <w:r w:rsidR="00745FEA" w:rsidRPr="00342BC9">
        <w:rPr>
          <w:i/>
          <w:color w:val="000000" w:themeColor="text1"/>
        </w:rPr>
        <w:t>de se</w:t>
      </w:r>
      <w:r w:rsidR="00187040" w:rsidRPr="00342BC9">
        <w:rPr>
          <w:iCs/>
          <w:color w:val="000000" w:themeColor="text1"/>
        </w:rPr>
        <w:t xml:space="preserve">. </w:t>
      </w:r>
      <w:r w:rsidR="00FB36C8" w:rsidRPr="00342BC9">
        <w:rPr>
          <w:iCs/>
          <w:color w:val="000000" w:themeColor="text1"/>
        </w:rPr>
        <w:t>T</w:t>
      </w:r>
      <w:r w:rsidR="00187040" w:rsidRPr="00342BC9">
        <w:rPr>
          <w:iCs/>
          <w:color w:val="000000" w:themeColor="text1"/>
        </w:rPr>
        <w:t xml:space="preserve">he similarity </w:t>
      </w:r>
      <w:r w:rsidR="00FB36C8" w:rsidRPr="00342BC9">
        <w:rPr>
          <w:iCs/>
          <w:color w:val="000000" w:themeColor="text1"/>
        </w:rPr>
        <w:t>with</w:t>
      </w:r>
      <w:r w:rsidR="00187040" w:rsidRPr="00342BC9">
        <w:rPr>
          <w:iCs/>
          <w:color w:val="000000" w:themeColor="text1"/>
        </w:rPr>
        <w:t xml:space="preserve"> </w:t>
      </w:r>
      <w:r w:rsidR="00015F68" w:rsidRPr="00342BC9">
        <w:rPr>
          <w:iCs/>
          <w:color w:val="000000" w:themeColor="text1"/>
        </w:rPr>
        <w:t xml:space="preserve">my own paper </w:t>
      </w:r>
      <w:r w:rsidR="00187040" w:rsidRPr="00342BC9">
        <w:rPr>
          <w:iCs/>
          <w:color w:val="000000" w:themeColor="text1"/>
        </w:rPr>
        <w:t xml:space="preserve">is </w:t>
      </w:r>
      <w:r w:rsidR="00656F19" w:rsidRPr="00342BC9">
        <w:rPr>
          <w:iCs/>
          <w:color w:val="000000" w:themeColor="text1"/>
        </w:rPr>
        <w:t xml:space="preserve">much </w:t>
      </w:r>
      <w:r w:rsidR="00187040" w:rsidRPr="00342BC9">
        <w:rPr>
          <w:iCs/>
          <w:color w:val="000000" w:themeColor="text1"/>
        </w:rPr>
        <w:t xml:space="preserve">greater. </w:t>
      </w:r>
      <w:r w:rsidR="00FB36C8" w:rsidRPr="00342BC9">
        <w:rPr>
          <w:iCs/>
        </w:rPr>
        <w:t xml:space="preserve">In </w:t>
      </w:r>
      <w:r w:rsidR="00015F68" w:rsidRPr="00342BC9">
        <w:rPr>
          <w:iCs/>
        </w:rPr>
        <w:t xml:space="preserve">it, I suggest </w:t>
      </w:r>
      <w:r w:rsidR="00FB36C8" w:rsidRPr="00342BC9">
        <w:rPr>
          <w:iCs/>
        </w:rPr>
        <w:t xml:space="preserve">that it ought to be possible to give </w:t>
      </w:r>
      <w:r w:rsidR="00786E86" w:rsidRPr="00342BC9">
        <w:rPr>
          <w:iCs/>
        </w:rPr>
        <w:t>a</w:t>
      </w:r>
      <w:r w:rsidR="00187040" w:rsidRPr="00342BC9">
        <w:rPr>
          <w:iCs/>
        </w:rPr>
        <w:t xml:space="preserve"> metaphysic</w:t>
      </w:r>
      <w:r w:rsidR="00FB36C8" w:rsidRPr="00342BC9">
        <w:rPr>
          <w:iCs/>
        </w:rPr>
        <w:t>s</w:t>
      </w:r>
      <w:r w:rsidR="00187040" w:rsidRPr="00342BC9">
        <w:rPr>
          <w:iCs/>
        </w:rPr>
        <w:t>-first</w:t>
      </w:r>
      <w:r w:rsidR="00786E86" w:rsidRPr="00342BC9">
        <w:rPr>
          <w:iCs/>
        </w:rPr>
        <w:t xml:space="preserve"> argument </w:t>
      </w:r>
      <w:r w:rsidR="00187040" w:rsidRPr="00342BC9">
        <w:rPr>
          <w:iCs/>
        </w:rPr>
        <w:t xml:space="preserve">for the </w:t>
      </w:r>
      <w:r w:rsidR="00187040" w:rsidRPr="00342BC9">
        <w:rPr>
          <w:i/>
        </w:rPr>
        <w:t xml:space="preserve">de </w:t>
      </w:r>
      <w:proofErr w:type="spellStart"/>
      <w:r w:rsidR="00187040" w:rsidRPr="00342BC9">
        <w:rPr>
          <w:i/>
        </w:rPr>
        <w:t>nunc</w:t>
      </w:r>
      <w:proofErr w:type="spellEnd"/>
      <w:r w:rsidR="00187040" w:rsidRPr="00342BC9">
        <w:rPr>
          <w:i/>
        </w:rPr>
        <w:t xml:space="preserve"> </w:t>
      </w:r>
      <w:r w:rsidR="00187040" w:rsidRPr="00342BC9">
        <w:rPr>
          <w:iCs/>
        </w:rPr>
        <w:t xml:space="preserve">but not the </w:t>
      </w:r>
      <w:r w:rsidR="00187040" w:rsidRPr="00342BC9">
        <w:rPr>
          <w:i/>
        </w:rPr>
        <w:t xml:space="preserve">de se </w:t>
      </w:r>
      <w:r w:rsidR="00187040" w:rsidRPr="00342BC9">
        <w:rPr>
          <w:iCs/>
        </w:rPr>
        <w:t>bein</w:t>
      </w:r>
      <w:r w:rsidR="00745FEA" w:rsidRPr="00342BC9">
        <w:rPr>
          <w:iCs/>
        </w:rPr>
        <w:t>g</w:t>
      </w:r>
      <w:r w:rsidR="00187040" w:rsidRPr="00342BC9">
        <w:rPr>
          <w:iCs/>
        </w:rPr>
        <w:t xml:space="preserve"> required for intentional action</w:t>
      </w:r>
      <w:r w:rsidR="00FB36C8" w:rsidRPr="00342BC9">
        <w:rPr>
          <w:iCs/>
        </w:rPr>
        <w:t xml:space="preserve">. </w:t>
      </w:r>
      <w:r w:rsidR="0048220C" w:rsidRPr="00342BC9">
        <w:rPr>
          <w:iCs/>
        </w:rPr>
        <w:t>T</w:t>
      </w:r>
      <w:r w:rsidR="00FB36C8" w:rsidRPr="00342BC9">
        <w:rPr>
          <w:iCs/>
        </w:rPr>
        <w:t xml:space="preserve">he current paper </w:t>
      </w:r>
      <w:proofErr w:type="gramStart"/>
      <w:r w:rsidR="00FB36C8" w:rsidRPr="00342BC9">
        <w:rPr>
          <w:iCs/>
        </w:rPr>
        <w:t>actually gives</w:t>
      </w:r>
      <w:proofErr w:type="gramEnd"/>
      <w:r w:rsidR="00FB36C8" w:rsidRPr="00342BC9">
        <w:rPr>
          <w:iCs/>
        </w:rPr>
        <w:t xml:space="preserve"> </w:t>
      </w:r>
      <w:r w:rsidR="0048220C" w:rsidRPr="00342BC9">
        <w:rPr>
          <w:iCs/>
        </w:rPr>
        <w:t xml:space="preserve">such </w:t>
      </w:r>
      <w:r w:rsidR="00FB36C8" w:rsidRPr="00342BC9">
        <w:rPr>
          <w:iCs/>
        </w:rPr>
        <w:t xml:space="preserve">an argument, and it </w:t>
      </w:r>
      <w:r w:rsidR="00B078D4" w:rsidRPr="00342BC9">
        <w:rPr>
          <w:iCs/>
        </w:rPr>
        <w:t xml:space="preserve">locates the significance of that argument as a problem for the natural kind picture of perspectival </w:t>
      </w:r>
      <w:r w:rsidR="00070798" w:rsidRPr="00342BC9">
        <w:rPr>
          <w:iCs/>
        </w:rPr>
        <w:t>thought</w:t>
      </w:r>
      <w:r w:rsidR="00B078D4" w:rsidRPr="00342BC9">
        <w:rPr>
          <w:iCs/>
        </w:rPr>
        <w:t xml:space="preserve">, and </w:t>
      </w:r>
      <w:r w:rsidR="0048220C" w:rsidRPr="00342BC9">
        <w:rPr>
          <w:iCs/>
        </w:rPr>
        <w:t xml:space="preserve">as </w:t>
      </w:r>
      <w:r w:rsidR="00B078D4" w:rsidRPr="00342BC9">
        <w:rPr>
          <w:iCs/>
        </w:rPr>
        <w:t>a support for the islands picture.</w:t>
      </w:r>
      <w:r w:rsidR="00786E86" w:rsidRPr="00342BC9">
        <w:rPr>
          <w:iCs/>
        </w:rPr>
        <w:t xml:space="preserve"> </w:t>
      </w:r>
      <w:r w:rsidR="00053EDD" w:rsidRPr="00342BC9">
        <w:rPr>
          <w:iCs/>
        </w:rPr>
        <w:t xml:space="preserve">(§4) </w:t>
      </w:r>
      <w:r w:rsidR="00021C35" w:rsidRPr="00342BC9">
        <w:rPr>
          <w:iCs/>
        </w:rPr>
        <w:t>returns to th</w:t>
      </w:r>
      <w:r w:rsidR="0048220C" w:rsidRPr="00342BC9">
        <w:rPr>
          <w:iCs/>
        </w:rPr>
        <w:t>e</w:t>
      </w:r>
      <w:r w:rsidR="00021C35" w:rsidRPr="00342BC9">
        <w:rPr>
          <w:iCs/>
        </w:rPr>
        <w:t xml:space="preserve"> bigger picture, and the signif</w:t>
      </w:r>
      <w:r w:rsidR="00F85D28" w:rsidRPr="00342BC9">
        <w:rPr>
          <w:iCs/>
        </w:rPr>
        <w:t>ic</w:t>
      </w:r>
      <w:r w:rsidR="00021C35" w:rsidRPr="00342BC9">
        <w:rPr>
          <w:iCs/>
        </w:rPr>
        <w:t xml:space="preserve">ance of </w:t>
      </w:r>
      <w:r w:rsidR="005D5F0D" w:rsidRPr="00342BC9">
        <w:rPr>
          <w:iCs/>
        </w:rPr>
        <w:t xml:space="preserve">my argument that there are </w:t>
      </w:r>
      <w:proofErr w:type="gramStart"/>
      <w:r w:rsidR="005D5F0D" w:rsidRPr="00342BC9">
        <w:rPr>
          <w:iCs/>
        </w:rPr>
        <w:t>no</w:t>
      </w:r>
      <w:proofErr w:type="gramEnd"/>
      <w:r w:rsidR="005D5F0D" w:rsidRPr="00342BC9">
        <w:rPr>
          <w:iCs/>
        </w:rPr>
        <w:t xml:space="preserve"> </w:t>
      </w:r>
      <w:r w:rsidR="005D5F0D" w:rsidRPr="00342BC9">
        <w:rPr>
          <w:i/>
        </w:rPr>
        <w:t xml:space="preserve">de </w:t>
      </w:r>
      <w:proofErr w:type="spellStart"/>
      <w:r w:rsidR="005D5F0D" w:rsidRPr="00342BC9">
        <w:rPr>
          <w:i/>
        </w:rPr>
        <w:t>nunc</w:t>
      </w:r>
      <w:proofErr w:type="spellEnd"/>
      <w:r w:rsidR="00B24DB3" w:rsidRPr="00342BC9">
        <w:rPr>
          <w:iCs/>
        </w:rPr>
        <w:t xml:space="preserve"> </w:t>
      </w:r>
      <w:r w:rsidR="005D5F0D" w:rsidRPr="00342BC9">
        <w:rPr>
          <w:iCs/>
        </w:rPr>
        <w:t>free cases</w:t>
      </w:r>
      <w:r w:rsidR="00021C35" w:rsidRPr="00342BC9">
        <w:rPr>
          <w:iCs/>
        </w:rPr>
        <w:t xml:space="preserve">. It </w:t>
      </w:r>
      <w:r w:rsidR="00053EDD" w:rsidRPr="00342BC9">
        <w:rPr>
          <w:iCs/>
        </w:rPr>
        <w:t>considers an objection from a</w:t>
      </w:r>
      <w:r w:rsidR="005D5F0D" w:rsidRPr="00342BC9">
        <w:rPr>
          <w:iCs/>
        </w:rPr>
        <w:t>n</w:t>
      </w:r>
      <w:r w:rsidR="00053EDD" w:rsidRPr="00342BC9">
        <w:rPr>
          <w:iCs/>
        </w:rPr>
        <w:t xml:space="preserve"> </w:t>
      </w:r>
      <w:r w:rsidR="00764807" w:rsidRPr="00342BC9">
        <w:rPr>
          <w:iCs/>
        </w:rPr>
        <w:t>opponent</w:t>
      </w:r>
      <w:r w:rsidR="00053EDD" w:rsidRPr="00342BC9">
        <w:rPr>
          <w:iCs/>
        </w:rPr>
        <w:t xml:space="preserve"> who agrees with what I say about </w:t>
      </w:r>
      <w:r w:rsidR="005D5F0D" w:rsidRPr="00342BC9">
        <w:rPr>
          <w:iCs/>
        </w:rPr>
        <w:t xml:space="preserve">the </w:t>
      </w:r>
      <w:r w:rsidR="005D5F0D" w:rsidRPr="00342BC9">
        <w:rPr>
          <w:i/>
        </w:rPr>
        <w:t xml:space="preserve">de </w:t>
      </w:r>
      <w:proofErr w:type="spellStart"/>
      <w:r w:rsidR="00053EDD" w:rsidRPr="00342BC9">
        <w:rPr>
          <w:i/>
        </w:rPr>
        <w:t>nun</w:t>
      </w:r>
      <w:r w:rsidR="00F85D28" w:rsidRPr="00342BC9">
        <w:rPr>
          <w:i/>
        </w:rPr>
        <w:t>c</w:t>
      </w:r>
      <w:proofErr w:type="spellEnd"/>
      <w:r w:rsidR="00053EDD" w:rsidRPr="00342BC9">
        <w:rPr>
          <w:i/>
        </w:rPr>
        <w:t xml:space="preserve"> </w:t>
      </w:r>
      <w:r w:rsidR="00053EDD" w:rsidRPr="00342BC9">
        <w:rPr>
          <w:iCs/>
        </w:rPr>
        <w:t>but who is committed to the natural kind picture</w:t>
      </w:r>
      <w:r w:rsidR="005D5F0D" w:rsidRPr="00342BC9">
        <w:rPr>
          <w:iCs/>
        </w:rPr>
        <w:t xml:space="preserve"> of perspectival</w:t>
      </w:r>
      <w:r w:rsidR="00053EDD" w:rsidRPr="00342BC9">
        <w:rPr>
          <w:iCs/>
        </w:rPr>
        <w:t xml:space="preserve"> </w:t>
      </w:r>
      <w:r w:rsidR="00A86622" w:rsidRPr="00342BC9">
        <w:rPr>
          <w:iCs/>
        </w:rPr>
        <w:t xml:space="preserve">thought </w:t>
      </w:r>
      <w:r w:rsidR="00053EDD" w:rsidRPr="00342BC9">
        <w:rPr>
          <w:iCs/>
        </w:rPr>
        <w:t xml:space="preserve">and </w:t>
      </w:r>
      <w:r w:rsidR="00764807" w:rsidRPr="00342BC9">
        <w:rPr>
          <w:iCs/>
        </w:rPr>
        <w:t>w</w:t>
      </w:r>
      <w:r w:rsidR="00053EDD" w:rsidRPr="00342BC9">
        <w:rPr>
          <w:iCs/>
        </w:rPr>
        <w:t>a</w:t>
      </w:r>
      <w:r w:rsidR="00764807" w:rsidRPr="00342BC9">
        <w:rPr>
          <w:iCs/>
        </w:rPr>
        <w:t>n</w:t>
      </w:r>
      <w:r w:rsidR="00053EDD" w:rsidRPr="00342BC9">
        <w:rPr>
          <w:iCs/>
        </w:rPr>
        <w:t>ts to use what I say about why the</w:t>
      </w:r>
      <w:r w:rsidR="005D5F0D" w:rsidRPr="00342BC9">
        <w:rPr>
          <w:iCs/>
        </w:rPr>
        <w:t>re</w:t>
      </w:r>
      <w:r w:rsidR="00053EDD" w:rsidRPr="00342BC9">
        <w:rPr>
          <w:iCs/>
        </w:rPr>
        <w:t xml:space="preserve"> can’t be action without the </w:t>
      </w:r>
      <w:r w:rsidR="00053EDD" w:rsidRPr="00342BC9">
        <w:rPr>
          <w:i/>
        </w:rPr>
        <w:t xml:space="preserve">de </w:t>
      </w:r>
      <w:proofErr w:type="spellStart"/>
      <w:r w:rsidR="00053EDD" w:rsidRPr="00342BC9">
        <w:rPr>
          <w:i/>
        </w:rPr>
        <w:t>nunc</w:t>
      </w:r>
      <w:proofErr w:type="spellEnd"/>
      <w:r w:rsidR="00053EDD" w:rsidRPr="00342BC9">
        <w:rPr>
          <w:i/>
        </w:rPr>
        <w:t xml:space="preserve"> </w:t>
      </w:r>
      <w:r w:rsidR="00053EDD" w:rsidRPr="00342BC9">
        <w:rPr>
          <w:iCs/>
        </w:rPr>
        <w:t xml:space="preserve">in </w:t>
      </w:r>
      <w:r w:rsidR="00A86622" w:rsidRPr="00342BC9">
        <w:rPr>
          <w:iCs/>
        </w:rPr>
        <w:t>arguing that</w:t>
      </w:r>
      <w:r w:rsidR="00053EDD" w:rsidRPr="00342BC9">
        <w:rPr>
          <w:iCs/>
        </w:rPr>
        <w:t xml:space="preserve"> there also cannot be</w:t>
      </w:r>
      <w:r w:rsidR="00764807" w:rsidRPr="00342BC9">
        <w:rPr>
          <w:iCs/>
        </w:rPr>
        <w:t xml:space="preserve"> </w:t>
      </w:r>
      <w:r w:rsidR="00053EDD" w:rsidRPr="00342BC9">
        <w:rPr>
          <w:iCs/>
        </w:rPr>
        <w:t xml:space="preserve">action without the </w:t>
      </w:r>
      <w:r w:rsidR="00053EDD" w:rsidRPr="00342BC9">
        <w:rPr>
          <w:i/>
        </w:rPr>
        <w:t>de se</w:t>
      </w:r>
      <w:r w:rsidR="00053EDD" w:rsidRPr="00342BC9">
        <w:rPr>
          <w:iCs/>
        </w:rPr>
        <w:t xml:space="preserve">. In replying to </w:t>
      </w:r>
      <w:r w:rsidR="005D5F0D" w:rsidRPr="00342BC9">
        <w:rPr>
          <w:iCs/>
        </w:rPr>
        <w:t>this objection</w:t>
      </w:r>
      <w:r w:rsidR="00053EDD" w:rsidRPr="00342BC9">
        <w:rPr>
          <w:iCs/>
        </w:rPr>
        <w:t xml:space="preserve">, </w:t>
      </w:r>
      <w:r w:rsidR="00764807" w:rsidRPr="00342BC9">
        <w:rPr>
          <w:iCs/>
        </w:rPr>
        <w:t xml:space="preserve">I </w:t>
      </w:r>
      <w:r w:rsidR="00053EDD" w:rsidRPr="00342BC9">
        <w:rPr>
          <w:iCs/>
        </w:rPr>
        <w:t>bring out the</w:t>
      </w:r>
      <w:r w:rsidR="00B24DB3" w:rsidRPr="00342BC9">
        <w:rPr>
          <w:iCs/>
        </w:rPr>
        <w:t xml:space="preserve"> crucial</w:t>
      </w:r>
      <w:r w:rsidR="00053EDD" w:rsidRPr="00342BC9">
        <w:rPr>
          <w:iCs/>
        </w:rPr>
        <w:t xml:space="preserve"> role metaphysics </w:t>
      </w:r>
      <w:r w:rsidR="005D5F0D" w:rsidRPr="00342BC9">
        <w:rPr>
          <w:iCs/>
        </w:rPr>
        <w:t xml:space="preserve">has </w:t>
      </w:r>
      <w:r w:rsidR="00053EDD" w:rsidRPr="00342BC9">
        <w:rPr>
          <w:iCs/>
        </w:rPr>
        <w:t xml:space="preserve">in explaining the original </w:t>
      </w:r>
      <w:r w:rsidR="00764807" w:rsidRPr="00342BC9">
        <w:rPr>
          <w:i/>
        </w:rPr>
        <w:t>de se</w:t>
      </w:r>
      <w:r w:rsidR="005D5F0D" w:rsidRPr="00342BC9">
        <w:rPr>
          <w:i/>
        </w:rPr>
        <w:t>-</w:t>
      </w:r>
      <w:r w:rsidR="00764807" w:rsidRPr="00342BC9">
        <w:rPr>
          <w:i/>
        </w:rPr>
        <w:t xml:space="preserve">de </w:t>
      </w:r>
      <w:proofErr w:type="spellStart"/>
      <w:r w:rsidR="00764807" w:rsidRPr="00342BC9">
        <w:rPr>
          <w:i/>
        </w:rPr>
        <w:t>nunc</w:t>
      </w:r>
      <w:proofErr w:type="spellEnd"/>
      <w:r w:rsidR="00764807" w:rsidRPr="00342BC9">
        <w:rPr>
          <w:i/>
        </w:rPr>
        <w:t xml:space="preserve"> </w:t>
      </w:r>
      <w:r w:rsidR="00764807" w:rsidRPr="00342BC9">
        <w:rPr>
          <w:iCs/>
        </w:rPr>
        <w:t>contrast</w:t>
      </w:r>
      <w:r w:rsidR="00214635" w:rsidRPr="00342BC9">
        <w:rPr>
          <w:iCs/>
        </w:rPr>
        <w:t>.</w:t>
      </w:r>
    </w:p>
    <w:p w14:paraId="26690488" w14:textId="72AE281C" w:rsidR="00F24D94" w:rsidRPr="00342BC9" w:rsidRDefault="00F24D94" w:rsidP="00342BC9">
      <w:pPr>
        <w:spacing w:before="100" w:beforeAutospacing="1" w:after="100" w:afterAutospacing="1" w:line="480" w:lineRule="auto"/>
      </w:pPr>
      <w:r w:rsidRPr="00342BC9">
        <w:rPr>
          <w:iCs/>
        </w:rPr>
        <w:t xml:space="preserve">(§1) </w:t>
      </w:r>
      <w:r w:rsidRPr="00342BC9">
        <w:rPr>
          <w:i/>
          <w:iCs/>
        </w:rPr>
        <w:t xml:space="preserve">The </w:t>
      </w:r>
      <w:r w:rsidR="00001385" w:rsidRPr="00342BC9">
        <w:rPr>
          <w:i/>
          <w:iCs/>
        </w:rPr>
        <w:t>D</w:t>
      </w:r>
      <w:r w:rsidRPr="00342BC9">
        <w:rPr>
          <w:i/>
          <w:iCs/>
        </w:rPr>
        <w:t xml:space="preserve">ebate about </w:t>
      </w:r>
      <w:r w:rsidR="00001385" w:rsidRPr="00342BC9">
        <w:rPr>
          <w:i/>
          <w:iCs/>
        </w:rPr>
        <w:t>A</w:t>
      </w:r>
      <w:r w:rsidRPr="00342BC9">
        <w:rPr>
          <w:i/>
          <w:iCs/>
        </w:rPr>
        <w:t xml:space="preserve">gency and </w:t>
      </w:r>
      <w:r w:rsidR="00001385" w:rsidRPr="00342BC9">
        <w:rPr>
          <w:i/>
          <w:iCs/>
        </w:rPr>
        <w:t>P</w:t>
      </w:r>
      <w:r w:rsidRPr="00342BC9">
        <w:rPr>
          <w:i/>
          <w:iCs/>
        </w:rPr>
        <w:t xml:space="preserve">erspectival </w:t>
      </w:r>
      <w:r w:rsidR="00001385" w:rsidRPr="00342BC9">
        <w:rPr>
          <w:i/>
          <w:iCs/>
        </w:rPr>
        <w:t>T</w:t>
      </w:r>
      <w:r w:rsidRPr="00342BC9">
        <w:rPr>
          <w:i/>
          <w:iCs/>
        </w:rPr>
        <w:t>hought</w:t>
      </w:r>
      <w:r w:rsidR="005267C2" w:rsidRPr="00342BC9">
        <w:rPr>
          <w:i/>
          <w:iCs/>
        </w:rPr>
        <w:t xml:space="preserve">: </w:t>
      </w:r>
      <w:proofErr w:type="gramStart"/>
      <w:r w:rsidR="005267C2" w:rsidRPr="00342BC9">
        <w:rPr>
          <w:i/>
          <w:iCs/>
        </w:rPr>
        <w:t>the</w:t>
      </w:r>
      <w:proofErr w:type="gramEnd"/>
      <w:r w:rsidR="005267C2" w:rsidRPr="00342BC9">
        <w:rPr>
          <w:i/>
          <w:iCs/>
        </w:rPr>
        <w:t xml:space="preserve"> </w:t>
      </w:r>
      <w:r w:rsidR="00001385" w:rsidRPr="00342BC9">
        <w:rPr>
          <w:i/>
          <w:iCs/>
        </w:rPr>
        <w:t>N</w:t>
      </w:r>
      <w:r w:rsidR="005267C2" w:rsidRPr="00342BC9">
        <w:rPr>
          <w:i/>
          <w:iCs/>
        </w:rPr>
        <w:t xml:space="preserve">atural </w:t>
      </w:r>
      <w:r w:rsidR="00001385" w:rsidRPr="00342BC9">
        <w:rPr>
          <w:i/>
          <w:iCs/>
        </w:rPr>
        <w:t>K</w:t>
      </w:r>
      <w:r w:rsidR="005267C2" w:rsidRPr="00342BC9">
        <w:rPr>
          <w:i/>
          <w:iCs/>
        </w:rPr>
        <w:t xml:space="preserve">ind </w:t>
      </w:r>
      <w:r w:rsidR="00001385" w:rsidRPr="00342BC9">
        <w:rPr>
          <w:i/>
          <w:iCs/>
        </w:rPr>
        <w:t>P</w:t>
      </w:r>
      <w:r w:rsidR="005267C2" w:rsidRPr="00342BC9">
        <w:rPr>
          <w:i/>
          <w:iCs/>
        </w:rPr>
        <w:t>icture</w:t>
      </w:r>
    </w:p>
    <w:p w14:paraId="25DFAEA6" w14:textId="77777777" w:rsidR="00F24D94" w:rsidRPr="00342BC9" w:rsidRDefault="00F24D94" w:rsidP="00342BC9">
      <w:pPr>
        <w:spacing w:before="100" w:beforeAutospacing="1" w:after="100" w:afterAutospacing="1" w:line="480" w:lineRule="auto"/>
        <w:ind w:firstLine="720"/>
      </w:pPr>
      <w:r w:rsidRPr="00342BC9">
        <w:t xml:space="preserve">Suppose one wants to articulate the distinctive contribution to action explanation of perspectival thought. One wants to only say </w:t>
      </w:r>
      <w:r w:rsidRPr="00342BC9">
        <w:rPr>
          <w:i/>
          <w:iCs/>
        </w:rPr>
        <w:t xml:space="preserve">true </w:t>
      </w:r>
      <w:r w:rsidRPr="00342BC9">
        <w:t xml:space="preserve">things about perspectival thought. And one </w:t>
      </w:r>
      <w:r w:rsidRPr="00342BC9">
        <w:lastRenderedPageBreak/>
        <w:t xml:space="preserve">wants to say things that are </w:t>
      </w:r>
      <w:r w:rsidRPr="00342BC9">
        <w:rPr>
          <w:i/>
          <w:iCs/>
        </w:rPr>
        <w:t xml:space="preserve">only </w:t>
      </w:r>
      <w:r w:rsidRPr="00342BC9">
        <w:t xml:space="preserve">true of perspectival thought. One might start by saying something like this: </w:t>
      </w:r>
    </w:p>
    <w:p w14:paraId="113BD699" w14:textId="77777777" w:rsidR="00F24D94" w:rsidRPr="00342BC9" w:rsidRDefault="00F24D94" w:rsidP="00342BC9">
      <w:pPr>
        <w:spacing w:line="480" w:lineRule="auto"/>
        <w:ind w:left="720" w:firstLine="720"/>
      </w:pPr>
      <w:r w:rsidRPr="00342BC9">
        <w:t xml:space="preserve">Some intentional action explanations involve a </w:t>
      </w:r>
      <w:r w:rsidRPr="00342BC9">
        <w:rPr>
          <w:i/>
          <w:iCs/>
        </w:rPr>
        <w:t xml:space="preserve">de se </w:t>
      </w:r>
      <w:r w:rsidRPr="00342BC9">
        <w:t xml:space="preserve">component. </w:t>
      </w:r>
    </w:p>
    <w:p w14:paraId="3FA45937" w14:textId="77777777" w:rsidR="00F24D94" w:rsidRPr="00342BC9" w:rsidRDefault="00F24D94" w:rsidP="00342BC9">
      <w:pPr>
        <w:spacing w:line="480" w:lineRule="auto"/>
      </w:pPr>
    </w:p>
    <w:p w14:paraId="7E3A8464" w14:textId="77777777" w:rsidR="00342BC9" w:rsidRDefault="00F24D94" w:rsidP="00342BC9">
      <w:pPr>
        <w:spacing w:line="480" w:lineRule="auto"/>
      </w:pPr>
      <w:r w:rsidRPr="00342BC9">
        <w:t xml:space="preserve">This seems true. For example, one might point out that, in explaining why I took some appropriate action it was essential that I thought ‘I am in danger’, thinking </w:t>
      </w:r>
      <w:r w:rsidRPr="00342BC9">
        <w:rPr>
          <w:i/>
          <w:iCs/>
        </w:rPr>
        <w:t xml:space="preserve">‘d </w:t>
      </w:r>
      <w:r w:rsidRPr="00342BC9">
        <w:t xml:space="preserve">is in danger’ wouldn’t have done, even though I am </w:t>
      </w:r>
      <w:r w:rsidRPr="00342BC9">
        <w:rPr>
          <w:i/>
          <w:iCs/>
        </w:rPr>
        <w:t>d</w:t>
      </w:r>
      <w:r w:rsidRPr="00342BC9">
        <w:t>. The problem is that it doesn’t seem only true of perspectival thoughts. The failing to send a missile example mentioned above suggests that there are action explanations where it matters than an agent is thinking of Hesperus ‘as Hesperus’.</w:t>
      </w:r>
    </w:p>
    <w:p w14:paraId="0423542B" w14:textId="25F5F03C" w:rsidR="00F24D94" w:rsidRPr="00342BC9" w:rsidRDefault="00F24D94" w:rsidP="00342BC9">
      <w:pPr>
        <w:spacing w:line="480" w:lineRule="auto"/>
        <w:ind w:firstLine="720"/>
      </w:pPr>
      <w:r w:rsidRPr="00342BC9">
        <w:t>That provides a motivation for focusing not on the existential generalization, but on the universal generalization:</w:t>
      </w:r>
    </w:p>
    <w:p w14:paraId="4694F4AA" w14:textId="670DE3AB" w:rsidR="00F24D94" w:rsidRPr="00342BC9" w:rsidRDefault="00F24D94" w:rsidP="00342BC9">
      <w:pPr>
        <w:spacing w:line="480" w:lineRule="auto"/>
        <w:ind w:firstLine="720"/>
      </w:pPr>
      <w:r w:rsidRPr="00342BC9">
        <w:tab/>
        <w:t xml:space="preserve">Every intentional action explanation involves a </w:t>
      </w:r>
      <w:r w:rsidRPr="00342BC9">
        <w:rPr>
          <w:i/>
          <w:iCs/>
        </w:rPr>
        <w:t xml:space="preserve">de se </w:t>
      </w:r>
      <w:r w:rsidRPr="00342BC9">
        <w:t>component.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w:t>
      </w:r>
    </w:p>
    <w:p w14:paraId="158830A1" w14:textId="1AE407F7" w:rsidR="00F24D94" w:rsidRPr="00342BC9" w:rsidRDefault="00F24D94" w:rsidP="00342BC9">
      <w:pPr>
        <w:spacing w:line="480" w:lineRule="auto"/>
      </w:pPr>
      <w:r w:rsidRPr="00342BC9">
        <w:t xml:space="preserve">The corresponding claim, concerning the non-perspectival way of thinking of Hesperus associated with the proper name ‘Hesperus’, would </w:t>
      </w:r>
      <w:proofErr w:type="gramStart"/>
      <w:r w:rsidRPr="00342BC9">
        <w:t>be</w:t>
      </w:r>
      <w:proofErr w:type="gramEnd"/>
    </w:p>
    <w:p w14:paraId="358C6683" w14:textId="39125756" w:rsidR="00F24D94" w:rsidRPr="00342BC9" w:rsidRDefault="00F24D94" w:rsidP="00342BC9">
      <w:pPr>
        <w:spacing w:line="480" w:lineRule="auto"/>
        <w:ind w:left="720" w:firstLine="720"/>
      </w:pPr>
      <w:r w:rsidRPr="00342BC9">
        <w:t xml:space="preserve">Every intentional action explanation involves a </w:t>
      </w:r>
      <w:r w:rsidRPr="00342BC9">
        <w:rPr>
          <w:i/>
          <w:iCs/>
        </w:rPr>
        <w:t>‘Hesperus’-</w:t>
      </w:r>
      <w:r w:rsidRPr="00342BC9">
        <w:t>component. (</w:t>
      </w:r>
      <w:proofErr w:type="spellStart"/>
      <w:r w:rsidRPr="00342BC9">
        <w:rPr>
          <w:i/>
          <w:iCs/>
        </w:rPr>
        <w:t>Every</w:t>
      </w:r>
      <w:r w:rsidRPr="00342BC9">
        <w:rPr>
          <w:i/>
          <w:iCs/>
          <w:vertAlign w:val="subscript"/>
        </w:rPr>
        <w:t>Hesperus</w:t>
      </w:r>
      <w:proofErr w:type="spellEnd"/>
      <w:r w:rsidRPr="00342BC9">
        <w:t>).</w:t>
      </w:r>
    </w:p>
    <w:p w14:paraId="664576C5" w14:textId="77777777" w:rsidR="00F24D94" w:rsidRPr="00342BC9" w:rsidRDefault="00F24D94" w:rsidP="00342BC9">
      <w:pPr>
        <w:spacing w:line="480" w:lineRule="auto"/>
      </w:pPr>
      <w:r w:rsidRPr="00342BC9">
        <w:t xml:space="preserve">This claim surely exaggerates the significance of a kind of thought that, even for philosophers and classicists, is not especially central. </w:t>
      </w:r>
      <w:proofErr w:type="gramStart"/>
      <w:r w:rsidRPr="00342BC9">
        <w:t>So</w:t>
      </w:r>
      <w:proofErr w:type="gramEnd"/>
      <w:r w:rsidRPr="00342BC9">
        <w:t xml:space="preserve"> it seems plausible that if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 xml:space="preserve"> is true it really captures something distinctive about perspectival thoughts. In the recent debate, </w:t>
      </w:r>
      <w:proofErr w:type="spellStart"/>
      <w:r w:rsidRPr="00342BC9">
        <w:t>skeptics</w:t>
      </w:r>
      <w:proofErr w:type="spellEnd"/>
      <w:r w:rsidRPr="00342BC9">
        <w:t xml:space="preserve"> about perspectival thought, like </w:t>
      </w:r>
      <w:proofErr w:type="spellStart"/>
      <w:r w:rsidRPr="00342BC9">
        <w:t>Cappelen</w:t>
      </w:r>
      <w:proofErr w:type="spellEnd"/>
      <w:r w:rsidRPr="00342BC9">
        <w:t xml:space="preserve"> and </w:t>
      </w:r>
      <w:proofErr w:type="spellStart"/>
      <w:r w:rsidRPr="00342BC9">
        <w:t>Dever</w:t>
      </w:r>
      <w:proofErr w:type="spellEnd"/>
      <w:r w:rsidRPr="00342BC9">
        <w:t xml:space="preserve"> and </w:t>
      </w:r>
      <w:proofErr w:type="spellStart"/>
      <w:r w:rsidRPr="00342BC9">
        <w:t>Magidor</w:t>
      </w:r>
      <w:proofErr w:type="spellEnd"/>
      <w:r w:rsidRPr="00342BC9">
        <w:t>, have taken</w:t>
      </w:r>
      <w:r w:rsidRPr="00342BC9">
        <w:rPr>
          <w:i/>
          <w:iCs/>
        </w:rPr>
        <w:t xml:space="preserve">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 xml:space="preserve"> as the claim they need to offer counterexamples to.</w:t>
      </w:r>
      <w:r w:rsidRPr="00342BC9">
        <w:rPr>
          <w:rStyle w:val="FootnoteReference"/>
        </w:rPr>
        <w:footnoteReference w:id="5"/>
      </w:r>
      <w:r w:rsidRPr="00342BC9">
        <w:t xml:space="preserve"> Fans of perspectival have typically sought to show that those counterexamples don’t work. </w:t>
      </w:r>
      <w:r w:rsidRPr="00342BC9">
        <w:rPr>
          <w:rStyle w:val="FootnoteReference"/>
        </w:rPr>
        <w:footnoteReference w:id="6"/>
      </w:r>
    </w:p>
    <w:p w14:paraId="6156D842" w14:textId="0FAD5876" w:rsidR="00F24D94" w:rsidRPr="00342BC9" w:rsidRDefault="00F24D94" w:rsidP="00342BC9">
      <w:pPr>
        <w:spacing w:line="480" w:lineRule="auto"/>
        <w:ind w:firstLine="720"/>
      </w:pPr>
      <w:r w:rsidRPr="00342BC9">
        <w:lastRenderedPageBreak/>
        <w:t xml:space="preserve">What’s striking is the significance the dispute about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 xml:space="preserve"> has been taken to have, by both sides. Both sides take for granted that the truth of the following claim </w:t>
      </w:r>
    </w:p>
    <w:p w14:paraId="07F5E424" w14:textId="08274EA8" w:rsidR="00F24D94" w:rsidRPr="00342BC9" w:rsidRDefault="00F24D94" w:rsidP="00342BC9">
      <w:pPr>
        <w:spacing w:line="480" w:lineRule="auto"/>
        <w:ind w:firstLine="720"/>
      </w:pPr>
      <w:r w:rsidRPr="00342BC9">
        <w:t xml:space="preserve">Every intentional action explanation involves a </w:t>
      </w:r>
      <w:r w:rsidRPr="00342BC9">
        <w:rPr>
          <w:i/>
          <w:iCs/>
        </w:rPr>
        <w:t xml:space="preserve">de </w:t>
      </w:r>
      <w:proofErr w:type="spellStart"/>
      <w:r w:rsidRPr="00342BC9">
        <w:rPr>
          <w:i/>
          <w:iCs/>
        </w:rPr>
        <w:t>nunc</w:t>
      </w:r>
      <w:proofErr w:type="spellEnd"/>
      <w:r w:rsidRPr="00342BC9">
        <w:rPr>
          <w:i/>
          <w:iCs/>
        </w:rPr>
        <w:t xml:space="preserve"> </w:t>
      </w:r>
      <w:r w:rsidRPr="00342BC9">
        <w:t>component. (</w:t>
      </w:r>
      <w:proofErr w:type="spellStart"/>
      <w:r w:rsidRPr="00342BC9">
        <w:rPr>
          <w:i/>
          <w:iCs/>
        </w:rPr>
        <w:t>Every</w:t>
      </w:r>
      <w:r w:rsidRPr="00342BC9">
        <w:rPr>
          <w:i/>
          <w:iCs/>
          <w:vertAlign w:val="subscript"/>
        </w:rPr>
        <w:t>de</w:t>
      </w:r>
      <w:proofErr w:type="spellEnd"/>
      <w:r w:rsidRPr="00342BC9">
        <w:rPr>
          <w:i/>
          <w:iCs/>
          <w:vertAlign w:val="subscript"/>
        </w:rPr>
        <w:t xml:space="preserve"> </w:t>
      </w:r>
      <w:proofErr w:type="spellStart"/>
      <w:r w:rsidRPr="00342BC9">
        <w:rPr>
          <w:i/>
          <w:iCs/>
          <w:vertAlign w:val="subscript"/>
        </w:rPr>
        <w:t>nunc</w:t>
      </w:r>
      <w:proofErr w:type="spellEnd"/>
      <w:r w:rsidRPr="00342BC9">
        <w:t>)</w:t>
      </w:r>
    </w:p>
    <w:p w14:paraId="05CE3395" w14:textId="670147D0" w:rsidR="00F24D94" w:rsidRPr="00342BC9" w:rsidRDefault="00F24D94" w:rsidP="00342BC9">
      <w:pPr>
        <w:spacing w:line="480" w:lineRule="auto"/>
      </w:pPr>
      <w:r w:rsidRPr="00342BC9">
        <w:t xml:space="preserve">stands or falls with the truth of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 xml:space="preserve">. The more general tendency this illustrates is to treat discussion of one species of perspectival thought as a proxy way of understanding every other (in nearly every case, the </w:t>
      </w:r>
      <w:r w:rsidRPr="00342BC9">
        <w:rPr>
          <w:i/>
          <w:iCs/>
        </w:rPr>
        <w:t xml:space="preserve">de se </w:t>
      </w:r>
      <w:r w:rsidRPr="00342BC9">
        <w:t>is the species that is discussed in detail, and the other species are understood by proxy</w:t>
      </w:r>
      <w:r w:rsidRPr="00342BC9">
        <w:rPr>
          <w:rStyle w:val="FootnoteReference"/>
        </w:rPr>
        <w:footnoteReference w:id="7"/>
      </w:r>
      <w:r w:rsidRPr="00342BC9">
        <w:t xml:space="preserve">). </w:t>
      </w:r>
    </w:p>
    <w:p w14:paraId="2A69F287" w14:textId="372CED06" w:rsidR="00F24D94" w:rsidRPr="00342BC9" w:rsidRDefault="00F24D94" w:rsidP="00342BC9">
      <w:pPr>
        <w:spacing w:line="480" w:lineRule="auto"/>
        <w:ind w:firstLine="720"/>
      </w:pPr>
      <w:r w:rsidRPr="00342BC9">
        <w:t>The risks inherent in th</w:t>
      </w:r>
      <w:r w:rsidR="00E841C1" w:rsidRPr="00342BC9">
        <w:t>e understanding-by-proxy</w:t>
      </w:r>
      <w:r w:rsidRPr="00342BC9">
        <w:t xml:space="preserve"> approach will perhaps be readily conceded</w:t>
      </w:r>
      <w:r w:rsidR="00E841C1" w:rsidRPr="00342BC9">
        <w:t xml:space="preserve">, once it’s explicit what the approach is. </w:t>
      </w:r>
      <w:r w:rsidR="0079441A" w:rsidRPr="00342BC9">
        <w:t xml:space="preserve">Is this approach </w:t>
      </w:r>
      <w:proofErr w:type="gramStart"/>
      <w:r w:rsidR="0079441A" w:rsidRPr="00342BC9">
        <w:t>really common</w:t>
      </w:r>
      <w:proofErr w:type="gramEnd"/>
      <w:r w:rsidR="0079441A" w:rsidRPr="00342BC9">
        <w:t xml:space="preserve"> in the literature? </w:t>
      </w:r>
      <w:r w:rsidRPr="00342BC9">
        <w:t>With this</w:t>
      </w:r>
      <w:r w:rsidR="00E841C1" w:rsidRPr="00342BC9">
        <w:t xml:space="preserve"> worry</w:t>
      </w:r>
      <w:r w:rsidRPr="00342BC9">
        <w:t xml:space="preserve"> in mind, I </w:t>
      </w:r>
      <w:r w:rsidR="00854C05" w:rsidRPr="00342BC9">
        <w:t>run through some examples</w:t>
      </w:r>
      <w:r w:rsidRPr="00342BC9">
        <w:t xml:space="preserve">.  </w:t>
      </w:r>
    </w:p>
    <w:p w14:paraId="717CDBD9" w14:textId="4ACB3AFA" w:rsidR="00F24D94" w:rsidRPr="00342BC9" w:rsidRDefault="00F24D94" w:rsidP="00342BC9">
      <w:pPr>
        <w:spacing w:line="480" w:lineRule="auto"/>
        <w:ind w:firstLine="720"/>
        <w:rPr>
          <w:iCs/>
        </w:rPr>
      </w:pPr>
      <w:r w:rsidRPr="00342BC9">
        <w:t xml:space="preserve">The title of </w:t>
      </w:r>
      <w:proofErr w:type="spellStart"/>
      <w:r w:rsidRPr="00342BC9">
        <w:t>Cappelen</w:t>
      </w:r>
      <w:proofErr w:type="spellEnd"/>
      <w:r w:rsidRPr="00342BC9">
        <w:t xml:space="preserve"> and </w:t>
      </w:r>
      <w:proofErr w:type="spellStart"/>
      <w:r w:rsidRPr="00342BC9">
        <w:t>Dever’s</w:t>
      </w:r>
      <w:proofErr w:type="spellEnd"/>
      <w:r w:rsidRPr="00342BC9">
        <w:t xml:space="preserve"> book is ‘The Inessential Indexical’ and the </w:t>
      </w:r>
      <w:r w:rsidRPr="00342BC9">
        <w:rPr>
          <w:lang w:val="en-US"/>
        </w:rPr>
        <w:t xml:space="preserve">first sentence of their chapter on agency is: ‘This chapter argues that there are no interesting or distinctive explanatory connections between </w:t>
      </w:r>
      <w:r w:rsidRPr="00342BC9">
        <w:rPr>
          <w:i/>
          <w:iCs/>
          <w:lang w:val="en-US"/>
        </w:rPr>
        <w:t>indexicality</w:t>
      </w:r>
      <w:r w:rsidRPr="00342BC9">
        <w:rPr>
          <w:lang w:val="en-US"/>
        </w:rPr>
        <w:t xml:space="preserve"> and agency’ (2013: 31) [my italics]. But the only cases they discuss are </w:t>
      </w:r>
      <w:r w:rsidRPr="00342BC9">
        <w:rPr>
          <w:i/>
          <w:iCs/>
          <w:lang w:val="en-US"/>
        </w:rPr>
        <w:t xml:space="preserve">de se </w:t>
      </w:r>
      <w:r w:rsidRPr="00342BC9">
        <w:rPr>
          <w:lang w:val="en-US"/>
        </w:rPr>
        <w:t xml:space="preserve">cases. Unless </w:t>
      </w:r>
      <w:r w:rsidRPr="00342BC9">
        <w:rPr>
          <w:iCs/>
        </w:rPr>
        <w:t xml:space="preserve">it’s a given that, if there are counterexample cases to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rPr>
          <w:iCs/>
        </w:rPr>
        <w:t xml:space="preserve">, then those cases, or suitably adjusted ones, will also be counterexamples to </w:t>
      </w:r>
      <w:proofErr w:type="spellStart"/>
      <w:r w:rsidRPr="00342BC9">
        <w:rPr>
          <w:i/>
          <w:iCs/>
        </w:rPr>
        <w:t>Every</w:t>
      </w:r>
      <w:r w:rsidRPr="00342BC9">
        <w:rPr>
          <w:i/>
          <w:iCs/>
          <w:vertAlign w:val="subscript"/>
        </w:rPr>
        <w:t>de</w:t>
      </w:r>
      <w:proofErr w:type="spellEnd"/>
      <w:r w:rsidRPr="00342BC9">
        <w:rPr>
          <w:i/>
          <w:iCs/>
          <w:vertAlign w:val="subscript"/>
        </w:rPr>
        <w:t xml:space="preserve"> </w:t>
      </w:r>
      <w:proofErr w:type="spellStart"/>
      <w:proofErr w:type="gramStart"/>
      <w:r w:rsidRPr="00342BC9">
        <w:rPr>
          <w:i/>
          <w:iCs/>
          <w:vertAlign w:val="subscript"/>
        </w:rPr>
        <w:t>nunc</w:t>
      </w:r>
      <w:proofErr w:type="spellEnd"/>
      <w:r w:rsidRPr="00342BC9">
        <w:rPr>
          <w:i/>
          <w:iCs/>
          <w:vertAlign w:val="subscript"/>
        </w:rPr>
        <w:t>,</w:t>
      </w:r>
      <w:r w:rsidRPr="00342BC9">
        <w:rPr>
          <w:iCs/>
        </w:rPr>
        <w:t>,</w:t>
      </w:r>
      <w:proofErr w:type="gramEnd"/>
      <w:r w:rsidRPr="00342BC9">
        <w:rPr>
          <w:iCs/>
        </w:rPr>
        <w:t xml:space="preserve"> this is fallacious. Action might depend on the </w:t>
      </w:r>
      <w:r w:rsidRPr="00342BC9">
        <w:rPr>
          <w:i/>
        </w:rPr>
        <w:t xml:space="preserve">de </w:t>
      </w:r>
      <w:proofErr w:type="spellStart"/>
      <w:r w:rsidRPr="00342BC9">
        <w:rPr>
          <w:i/>
        </w:rPr>
        <w:t>nunc</w:t>
      </w:r>
      <w:proofErr w:type="spellEnd"/>
      <w:r w:rsidRPr="00342BC9">
        <w:rPr>
          <w:i/>
        </w:rPr>
        <w:t xml:space="preserve"> </w:t>
      </w:r>
      <w:r w:rsidRPr="00342BC9">
        <w:rPr>
          <w:iCs/>
        </w:rPr>
        <w:t xml:space="preserve">but not the </w:t>
      </w:r>
      <w:r w:rsidRPr="00342BC9">
        <w:rPr>
          <w:i/>
        </w:rPr>
        <w:t>de se</w:t>
      </w:r>
      <w:r w:rsidRPr="00342BC9">
        <w:rPr>
          <w:iCs/>
        </w:rPr>
        <w:t>, the possibility I explore in this paper.</w:t>
      </w:r>
    </w:p>
    <w:p w14:paraId="325DC7F1" w14:textId="77777777" w:rsidR="00342BC9" w:rsidRDefault="00F24D94" w:rsidP="00342BC9">
      <w:pPr>
        <w:spacing w:line="480" w:lineRule="auto"/>
        <w:ind w:firstLine="720"/>
      </w:pPr>
      <w:r w:rsidRPr="00342BC9">
        <w:t xml:space="preserve">José Luiz </w:t>
      </w:r>
      <w:proofErr w:type="spellStart"/>
      <w:r w:rsidRPr="00342BC9">
        <w:t>Bermúdez</w:t>
      </w:r>
      <w:proofErr w:type="spellEnd"/>
      <w:r w:rsidRPr="00342BC9">
        <w:t xml:space="preserve"> (2017) offers a reply to </w:t>
      </w:r>
      <w:proofErr w:type="spellStart"/>
      <w:r w:rsidRPr="00342BC9">
        <w:t>Cappelen</w:t>
      </w:r>
      <w:proofErr w:type="spellEnd"/>
      <w:r w:rsidRPr="00342BC9">
        <w:t xml:space="preserve"> and </w:t>
      </w:r>
      <w:proofErr w:type="spellStart"/>
      <w:r w:rsidRPr="00342BC9">
        <w:t>Dever</w:t>
      </w:r>
      <w:proofErr w:type="spellEnd"/>
      <w:r w:rsidRPr="00342BC9">
        <w:t xml:space="preserve"> (2013). In it, he takes for granted that, to rebut their claim that action does not depend on indexical thought, he’s obliged to show that it does depend on </w:t>
      </w:r>
      <w:r w:rsidRPr="00342BC9">
        <w:rPr>
          <w:i/>
          <w:iCs/>
        </w:rPr>
        <w:t xml:space="preserve">de se </w:t>
      </w:r>
      <w:r w:rsidRPr="00342BC9">
        <w:t xml:space="preserve">thought. Again, this ignores the possibility that action might depend on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but not the </w:t>
      </w:r>
      <w:r w:rsidRPr="00342BC9">
        <w:rPr>
          <w:i/>
          <w:iCs/>
        </w:rPr>
        <w:t>de se</w:t>
      </w:r>
      <w:r w:rsidRPr="00342BC9">
        <w:t xml:space="preserve">. </w:t>
      </w:r>
    </w:p>
    <w:p w14:paraId="204AF4A6" w14:textId="77777777" w:rsidR="00342BC9" w:rsidRDefault="00F24D94" w:rsidP="00342BC9">
      <w:pPr>
        <w:spacing w:line="480" w:lineRule="auto"/>
        <w:ind w:firstLine="720"/>
      </w:pPr>
      <w:proofErr w:type="spellStart"/>
      <w:r w:rsidRPr="00342BC9">
        <w:rPr>
          <w:lang w:val="en-US"/>
        </w:rPr>
        <w:t>Magidor’s</w:t>
      </w:r>
      <w:proofErr w:type="spellEnd"/>
      <w:r w:rsidRPr="00342BC9">
        <w:rPr>
          <w:lang w:val="en-US"/>
        </w:rPr>
        <w:t xml:space="preserve"> focus might seem more restricted, since ‘</w:t>
      </w:r>
      <w:r w:rsidRPr="00342BC9">
        <w:rPr>
          <w:i/>
          <w:iCs/>
          <w:lang w:val="en-US"/>
        </w:rPr>
        <w:t>de se</w:t>
      </w:r>
      <w:r w:rsidRPr="00342BC9">
        <w:rPr>
          <w:lang w:val="en-US"/>
        </w:rPr>
        <w:t xml:space="preserve">’ figures in the title of her paper, ‘The Myth of the </w:t>
      </w:r>
      <w:r w:rsidRPr="00342BC9">
        <w:rPr>
          <w:i/>
          <w:iCs/>
          <w:lang w:val="en-US"/>
        </w:rPr>
        <w:t>De Se</w:t>
      </w:r>
      <w:r w:rsidRPr="00342BC9">
        <w:rPr>
          <w:lang w:val="en-US"/>
        </w:rPr>
        <w:t>’. But, in fact, she defines ‘</w:t>
      </w:r>
      <w:r w:rsidRPr="00342BC9">
        <w:rPr>
          <w:i/>
          <w:iCs/>
          <w:lang w:val="en-US"/>
        </w:rPr>
        <w:t xml:space="preserve">de se’ </w:t>
      </w:r>
      <w:r w:rsidRPr="00342BC9">
        <w:t xml:space="preserve">states as states ‘that are </w:t>
      </w:r>
      <w:r w:rsidRPr="00342BC9">
        <w:lastRenderedPageBreak/>
        <w:t xml:space="preserve">typically expressed using indexical expressions such as ‘I’ and ‘now’ (2015: 249)’. That is, as </w:t>
      </w:r>
      <w:r w:rsidRPr="00342BC9">
        <w:rPr>
          <w:i/>
          <w:iCs/>
        </w:rPr>
        <w:t xml:space="preserve">she </w:t>
      </w:r>
      <w:r w:rsidRPr="00342BC9">
        <w:t>uses ‘</w:t>
      </w:r>
      <w:r w:rsidRPr="00342BC9">
        <w:rPr>
          <w:i/>
          <w:iCs/>
        </w:rPr>
        <w:t>de se</w:t>
      </w:r>
      <w:r w:rsidRPr="00342BC9">
        <w:t xml:space="preserve">’, it is a synonym for ‘indexical’ or ‘perspectival’. So, </w:t>
      </w:r>
      <w:proofErr w:type="spellStart"/>
      <w:r w:rsidRPr="00342BC9">
        <w:t>Magidor’s</w:t>
      </w:r>
      <w:proofErr w:type="spellEnd"/>
      <w:r w:rsidRPr="00342BC9">
        <w:t xml:space="preserve"> denial of the claim that ‘</w:t>
      </w:r>
      <w:r w:rsidRPr="00342BC9">
        <w:rPr>
          <w:i/>
          <w:iCs/>
        </w:rPr>
        <w:t>de se</w:t>
      </w:r>
      <w:r w:rsidRPr="00342BC9">
        <w:t xml:space="preserve"> attitudes, as opposed to other kinds of attitudes, are an essential component of any practical deliberation or intentional action.’ (2015:58) is a denial of a claim about perspectival attitudes. But, just like </w:t>
      </w:r>
      <w:proofErr w:type="spellStart"/>
      <w:r w:rsidRPr="00342BC9">
        <w:t>Cappelen</w:t>
      </w:r>
      <w:proofErr w:type="spellEnd"/>
      <w:r w:rsidRPr="00342BC9">
        <w:t xml:space="preserve"> and </w:t>
      </w:r>
      <w:proofErr w:type="spellStart"/>
      <w:r w:rsidRPr="00342BC9">
        <w:t>Dever</w:t>
      </w:r>
      <w:proofErr w:type="spellEnd"/>
      <w:r w:rsidRPr="00342BC9">
        <w:t xml:space="preserve">, the example she uses to support that denial at most shows how to act without a </w:t>
      </w:r>
      <w:r w:rsidRPr="00342BC9">
        <w:rPr>
          <w:i/>
          <w:iCs/>
        </w:rPr>
        <w:t xml:space="preserve">de </w:t>
      </w:r>
      <w:proofErr w:type="spellStart"/>
      <w:r w:rsidRPr="00342BC9">
        <w:rPr>
          <w:i/>
          <w:iCs/>
        </w:rPr>
        <w:t>se</w:t>
      </w:r>
      <w:proofErr w:type="spellEnd"/>
      <w:r w:rsidRPr="00342BC9">
        <w:rPr>
          <w:i/>
          <w:iCs/>
        </w:rPr>
        <w:t xml:space="preserve"> </w:t>
      </w:r>
      <w:r w:rsidRPr="00342BC9">
        <w:t>attitude</w:t>
      </w:r>
      <w:r w:rsidR="005F732E" w:rsidRPr="00342BC9">
        <w:t xml:space="preserve"> (in the narrow sense)</w:t>
      </w:r>
      <w:r w:rsidRPr="00342BC9">
        <w:t xml:space="preserve">, not how to act without a </w:t>
      </w:r>
      <w:r w:rsidR="00214635" w:rsidRPr="00342BC9">
        <w:rPr>
          <w:i/>
          <w:iCs/>
        </w:rPr>
        <w:t>perspectival</w:t>
      </w:r>
      <w:r w:rsidRPr="00342BC9">
        <w:rPr>
          <w:i/>
          <w:iCs/>
        </w:rPr>
        <w:t xml:space="preserve"> </w:t>
      </w:r>
      <w:r w:rsidRPr="00342BC9">
        <w:t xml:space="preserve">attitude.  </w:t>
      </w:r>
    </w:p>
    <w:p w14:paraId="11755021" w14:textId="77777777" w:rsidR="00342BC9" w:rsidRDefault="00E841C1" w:rsidP="00342BC9">
      <w:pPr>
        <w:spacing w:line="480" w:lineRule="auto"/>
        <w:ind w:firstLine="720"/>
      </w:pPr>
      <w:r w:rsidRPr="00342BC9">
        <w:t>T</w:t>
      </w:r>
      <w:r w:rsidR="00F24D94" w:rsidRPr="00342BC9">
        <w:t>h</w:t>
      </w:r>
      <w:r w:rsidRPr="00342BC9">
        <w:t>o</w:t>
      </w:r>
      <w:r w:rsidR="00F24D94" w:rsidRPr="00342BC9">
        <w:t xml:space="preserve">se are three </w:t>
      </w:r>
      <w:proofErr w:type="gramStart"/>
      <w:r w:rsidR="00F24D94" w:rsidRPr="00342BC9">
        <w:t>fairly recent</w:t>
      </w:r>
      <w:proofErr w:type="gramEnd"/>
      <w:r w:rsidR="00F24D94" w:rsidRPr="00342BC9">
        <w:t xml:space="preserve"> contributions to the essential indexical debate. But they follow a pattern that goes back to the original papers by Lewis</w:t>
      </w:r>
      <w:r w:rsidR="00764807" w:rsidRPr="00342BC9">
        <w:rPr>
          <w:rStyle w:val="FootnoteReference"/>
        </w:rPr>
        <w:footnoteReference w:id="8"/>
      </w:r>
      <w:r w:rsidR="00F24D94" w:rsidRPr="00342BC9">
        <w:t xml:space="preserve"> and Perry that started the debate</w:t>
      </w:r>
      <w:r w:rsidR="007026D6" w:rsidRPr="00342BC9">
        <w:t xml:space="preserve"> and runs through the quotes offered abo</w:t>
      </w:r>
      <w:r w:rsidR="00764807" w:rsidRPr="00342BC9">
        <w:t xml:space="preserve">ve by Velleman, </w:t>
      </w:r>
      <w:proofErr w:type="spellStart"/>
      <w:r w:rsidR="00764807" w:rsidRPr="00342BC9">
        <w:t>Recanati</w:t>
      </w:r>
      <w:proofErr w:type="spellEnd"/>
      <w:r w:rsidR="00764807" w:rsidRPr="00342BC9">
        <w:t>, Owens</w:t>
      </w:r>
      <w:r w:rsidR="00021C35" w:rsidRPr="00342BC9">
        <w:t>, Millikan</w:t>
      </w:r>
      <w:r w:rsidR="00764807" w:rsidRPr="00342BC9">
        <w:t xml:space="preserve"> etc. </w:t>
      </w:r>
      <w:r w:rsidR="007026D6" w:rsidRPr="00342BC9">
        <w:t xml:space="preserve"> </w:t>
      </w:r>
    </w:p>
    <w:p w14:paraId="47B0D408" w14:textId="5C8FC07A" w:rsidR="0079441A" w:rsidRPr="00342BC9" w:rsidRDefault="005F732E" w:rsidP="00342BC9">
      <w:pPr>
        <w:spacing w:line="480" w:lineRule="auto"/>
        <w:ind w:firstLine="720"/>
      </w:pPr>
      <w:r w:rsidRPr="00342BC9">
        <w:t xml:space="preserve">In this paper, I </w:t>
      </w:r>
      <w:r w:rsidR="00F24D94" w:rsidRPr="00342BC9">
        <w:t xml:space="preserve">argue that </w:t>
      </w:r>
      <w:proofErr w:type="spellStart"/>
      <w:r w:rsidR="00F24D94" w:rsidRPr="00342BC9">
        <w:rPr>
          <w:i/>
          <w:iCs/>
        </w:rPr>
        <w:t>Every</w:t>
      </w:r>
      <w:r w:rsidR="00F24D94" w:rsidRPr="00342BC9">
        <w:rPr>
          <w:i/>
          <w:iCs/>
          <w:vertAlign w:val="subscript"/>
        </w:rPr>
        <w:t>de</w:t>
      </w:r>
      <w:proofErr w:type="spellEnd"/>
      <w:r w:rsidR="00F24D94" w:rsidRPr="00342BC9">
        <w:rPr>
          <w:i/>
          <w:iCs/>
          <w:vertAlign w:val="subscript"/>
        </w:rPr>
        <w:t xml:space="preserve"> </w:t>
      </w:r>
      <w:proofErr w:type="spellStart"/>
      <w:r w:rsidR="00F24D94" w:rsidRPr="00342BC9">
        <w:rPr>
          <w:i/>
          <w:iCs/>
          <w:vertAlign w:val="subscript"/>
        </w:rPr>
        <w:t>nunc</w:t>
      </w:r>
      <w:proofErr w:type="spellEnd"/>
      <w:r w:rsidR="00F24D94" w:rsidRPr="00342BC9">
        <w:t xml:space="preserve"> and </w:t>
      </w:r>
      <w:proofErr w:type="spellStart"/>
      <w:r w:rsidR="00F24D94" w:rsidRPr="00342BC9">
        <w:rPr>
          <w:i/>
          <w:iCs/>
        </w:rPr>
        <w:t>Every</w:t>
      </w:r>
      <w:r w:rsidR="00F24D94" w:rsidRPr="00342BC9">
        <w:rPr>
          <w:i/>
          <w:iCs/>
          <w:vertAlign w:val="subscript"/>
        </w:rPr>
        <w:t>de</w:t>
      </w:r>
      <w:proofErr w:type="spellEnd"/>
      <w:r w:rsidR="00F24D94" w:rsidRPr="00342BC9">
        <w:rPr>
          <w:i/>
          <w:iCs/>
          <w:vertAlign w:val="subscript"/>
        </w:rPr>
        <w:t xml:space="preserve"> se</w:t>
      </w:r>
      <w:r w:rsidR="00F24D94" w:rsidRPr="00342BC9">
        <w:t xml:space="preserve"> don’t stand or fall together, and that the understanding-by-proxy approach is a mistake. </w:t>
      </w:r>
    </w:p>
    <w:p w14:paraId="3A734A85" w14:textId="11D7F4E5" w:rsidR="00BE6B6C" w:rsidRPr="00342BC9" w:rsidRDefault="005267C2" w:rsidP="00342BC9">
      <w:pPr>
        <w:spacing w:line="480" w:lineRule="auto"/>
        <w:rPr>
          <w:i/>
          <w:iCs/>
        </w:rPr>
      </w:pPr>
      <w:r w:rsidRPr="00342BC9">
        <w:rPr>
          <w:iCs/>
        </w:rPr>
        <w:t xml:space="preserve">(§2) </w:t>
      </w:r>
      <w:r w:rsidRPr="00342BC9">
        <w:rPr>
          <w:i/>
          <w:iCs/>
        </w:rPr>
        <w:t xml:space="preserve">Action </w:t>
      </w:r>
      <w:r w:rsidR="00001385" w:rsidRPr="00342BC9">
        <w:rPr>
          <w:i/>
          <w:iCs/>
        </w:rPr>
        <w:t>W</w:t>
      </w:r>
      <w:r w:rsidRPr="00342BC9">
        <w:rPr>
          <w:i/>
          <w:iCs/>
        </w:rPr>
        <w:t xml:space="preserve">ithout the </w:t>
      </w:r>
      <w:r w:rsidR="00001385" w:rsidRPr="00342BC9">
        <w:t>D</w:t>
      </w:r>
      <w:r w:rsidRPr="00342BC9">
        <w:t xml:space="preserve">e </w:t>
      </w:r>
      <w:r w:rsidR="00001385" w:rsidRPr="00342BC9">
        <w:t>S</w:t>
      </w:r>
      <w:r w:rsidRPr="00342BC9">
        <w:t>e</w:t>
      </w:r>
      <w:r w:rsidRPr="00342BC9">
        <w:rPr>
          <w:i/>
          <w:iCs/>
        </w:rPr>
        <w:t xml:space="preserve"> </w:t>
      </w:r>
    </w:p>
    <w:p w14:paraId="02BC7A3B" w14:textId="24DAB03D" w:rsidR="00F24D94" w:rsidRPr="00342BC9" w:rsidRDefault="00F24D94" w:rsidP="00342BC9">
      <w:pPr>
        <w:spacing w:line="480" w:lineRule="auto"/>
        <w:ind w:firstLine="720"/>
      </w:pPr>
      <w:r w:rsidRPr="00342BC9">
        <w:t xml:space="preserve">Here is </w:t>
      </w:r>
      <w:proofErr w:type="spellStart"/>
      <w:r w:rsidRPr="00342BC9">
        <w:t>Magidor’s</w:t>
      </w:r>
      <w:proofErr w:type="spellEnd"/>
      <w:r w:rsidRPr="00342BC9">
        <w:t xml:space="preserve"> putative counterexample to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w:t>
      </w:r>
      <w:r w:rsidRPr="00342BC9">
        <w:rPr>
          <w:rStyle w:val="FootnoteReference"/>
        </w:rPr>
        <w:footnoteReference w:id="9"/>
      </w:r>
      <w:r w:rsidRPr="00342BC9">
        <w:t xml:space="preserve"> The agent, let’s say </w:t>
      </w:r>
      <w:proofErr w:type="spellStart"/>
      <w:r w:rsidRPr="00342BC9">
        <w:t>Ofra</w:t>
      </w:r>
      <w:proofErr w:type="spellEnd"/>
      <w:r w:rsidRPr="00342BC9">
        <w:t xml:space="preserve"> herself, has the intention </w:t>
      </w:r>
      <w:r w:rsidRPr="00342BC9">
        <w:rPr>
          <w:i/>
          <w:iCs/>
        </w:rPr>
        <w:t>that Oxfam receive a donation</w:t>
      </w:r>
      <w:r w:rsidRPr="00342BC9">
        <w:t xml:space="preserve">. Of course, if she is to execute her intention, </w:t>
      </w:r>
      <w:r w:rsidRPr="00342BC9">
        <w:rPr>
          <w:i/>
          <w:iCs/>
        </w:rPr>
        <w:t xml:space="preserve">she </w:t>
      </w:r>
      <w:r w:rsidRPr="00342BC9">
        <w:t xml:space="preserve">will have to do something, selecting some further means.  Let’s say what she does is:  she fishes in her pocket for a note. </w:t>
      </w:r>
      <w:proofErr w:type="gramStart"/>
      <w:r w:rsidRPr="00342BC9">
        <w:t>But,</w:t>
      </w:r>
      <w:proofErr w:type="gramEnd"/>
      <w:r w:rsidRPr="00342BC9">
        <w:t xml:space="preserve"> the idea is, she does not form any further intention directed at this particular means. Her selection of means is </w:t>
      </w:r>
      <w:proofErr w:type="spellStart"/>
      <w:r w:rsidRPr="00342BC9">
        <w:t>subpersonally</w:t>
      </w:r>
      <w:proofErr w:type="spellEnd"/>
      <w:r w:rsidRPr="00342BC9">
        <w:t xml:space="preserve"> achieved, just as her selection of mean</w:t>
      </w:r>
      <w:r w:rsidR="00BB0553" w:rsidRPr="00342BC9">
        <w:t>s</w:t>
      </w:r>
      <w:r w:rsidRPr="00342BC9">
        <w:t xml:space="preserve"> might be  </w:t>
      </w:r>
      <w:proofErr w:type="spellStart"/>
      <w:r w:rsidRPr="00342BC9">
        <w:t>subpersonally</w:t>
      </w:r>
      <w:proofErr w:type="spellEnd"/>
      <w:r w:rsidRPr="00342BC9">
        <w:t xml:space="preserve"> achieved in a case when she fishes around in her pocket for a note </w:t>
      </w:r>
      <w:r w:rsidRPr="00342BC9">
        <w:rPr>
          <w:i/>
          <w:iCs/>
        </w:rPr>
        <w:t xml:space="preserve">by </w:t>
      </w:r>
      <w:r w:rsidRPr="00342BC9">
        <w:t>performing a series of movements with her shoulder blade without having an intention directed at those shoulder blade movements.</w:t>
      </w:r>
      <w:r w:rsidRPr="00342BC9">
        <w:rPr>
          <w:rStyle w:val="FootnoteReference"/>
        </w:rPr>
        <w:t xml:space="preserve"> </w:t>
      </w:r>
      <w:r w:rsidRPr="00342BC9">
        <w:t xml:space="preserve">So the idea is that </w:t>
      </w:r>
      <w:r w:rsidRPr="00342BC9">
        <w:lastRenderedPageBreak/>
        <w:t xml:space="preserve">this is a case of action in which </w:t>
      </w:r>
      <w:proofErr w:type="spellStart"/>
      <w:r w:rsidRPr="00342BC9">
        <w:t>Ofra</w:t>
      </w:r>
      <w:proofErr w:type="spellEnd"/>
      <w:r w:rsidRPr="00342BC9">
        <w:t xml:space="preserve"> just forms a non </w:t>
      </w:r>
      <w:r w:rsidRPr="00342BC9">
        <w:rPr>
          <w:i/>
          <w:iCs/>
        </w:rPr>
        <w:t xml:space="preserve">de se </w:t>
      </w:r>
      <w:r w:rsidRPr="00342BC9">
        <w:t>‘Oxfam receives a donation’ intention, and acts on it directly.</w:t>
      </w:r>
      <w:r w:rsidRPr="00342BC9">
        <w:rPr>
          <w:rStyle w:val="FootnoteReference"/>
        </w:rPr>
        <w:t xml:space="preserve"> </w:t>
      </w:r>
      <w:r w:rsidRPr="00342BC9">
        <w:rPr>
          <w:rStyle w:val="FootnoteReference"/>
        </w:rPr>
        <w:footnoteReference w:id="10"/>
      </w:r>
    </w:p>
    <w:p w14:paraId="3844C392" w14:textId="77777777" w:rsidR="00342BC9" w:rsidRDefault="00F24D94" w:rsidP="00342BC9">
      <w:pPr>
        <w:spacing w:line="480" w:lineRule="auto"/>
        <w:ind w:firstLine="720"/>
      </w:pPr>
      <w:r w:rsidRPr="00342BC9">
        <w:t xml:space="preserve">I’ll pick out two ideas that the case depends on. We can think of them as together constituting a recipe for generating counterexamples to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w:t>
      </w:r>
    </w:p>
    <w:p w14:paraId="68D7E0F3" w14:textId="77777777" w:rsidR="00342BC9" w:rsidRDefault="00F24D94" w:rsidP="00342BC9">
      <w:pPr>
        <w:spacing w:line="480" w:lineRule="auto"/>
        <w:ind w:firstLine="720"/>
      </w:pPr>
      <w:r w:rsidRPr="00342BC9">
        <w:t xml:space="preserve">The first idea concerns intentions. It’s the idea that some intentions are not </w:t>
      </w:r>
      <w:r w:rsidRPr="00342BC9">
        <w:rPr>
          <w:i/>
          <w:iCs/>
        </w:rPr>
        <w:t>de se</w:t>
      </w:r>
      <w:r w:rsidRPr="00342BC9">
        <w:t xml:space="preserve">. An intention that </w:t>
      </w:r>
      <w:r w:rsidRPr="00342BC9">
        <w:rPr>
          <w:i/>
          <w:iCs/>
        </w:rPr>
        <w:t xml:space="preserve">I </w:t>
      </w:r>
      <w:r w:rsidRPr="00342BC9">
        <w:t xml:space="preserve">donate to Oxfam is clearly a </w:t>
      </w:r>
      <w:r w:rsidRPr="00342BC9">
        <w:rPr>
          <w:i/>
          <w:iCs/>
        </w:rPr>
        <w:t xml:space="preserve">de se </w:t>
      </w:r>
      <w:r w:rsidRPr="00342BC9">
        <w:t xml:space="preserve">intention. An intention </w:t>
      </w:r>
      <w:r w:rsidRPr="00342BC9">
        <w:rPr>
          <w:i/>
          <w:iCs/>
        </w:rPr>
        <w:t xml:space="preserve">to donate </w:t>
      </w:r>
      <w:r w:rsidRPr="00342BC9">
        <w:t xml:space="preserve">to Oxfam is clearly a </w:t>
      </w:r>
      <w:r w:rsidRPr="00342BC9">
        <w:rPr>
          <w:i/>
          <w:iCs/>
        </w:rPr>
        <w:t xml:space="preserve">de se </w:t>
      </w:r>
      <w:r w:rsidRPr="00342BC9">
        <w:t>intention (</w:t>
      </w:r>
      <w:r w:rsidR="00702EF4" w:rsidRPr="00342BC9">
        <w:t>on the face of it,</w:t>
      </w:r>
      <w:r w:rsidRPr="00342BC9">
        <w:t xml:space="preserve"> the very same one</w:t>
      </w:r>
      <w:r w:rsidRPr="00342BC9">
        <w:rPr>
          <w:rStyle w:val="FootnoteReference"/>
        </w:rPr>
        <w:footnoteReference w:id="11"/>
      </w:r>
      <w:r w:rsidRPr="00342BC9">
        <w:t xml:space="preserve">). </w:t>
      </w:r>
      <w:proofErr w:type="gramStart"/>
      <w:r w:rsidRPr="00342BC9">
        <w:t>But,</w:t>
      </w:r>
      <w:proofErr w:type="gramEnd"/>
      <w:r w:rsidRPr="00342BC9">
        <w:t xml:space="preserve"> the idea is, </w:t>
      </w:r>
      <w:proofErr w:type="spellStart"/>
      <w:r w:rsidRPr="00342BC9">
        <w:t>Ofra’s</w:t>
      </w:r>
      <w:proofErr w:type="spellEnd"/>
      <w:r w:rsidRPr="00342BC9">
        <w:t xml:space="preserve"> intention that Oxfam get a donation is not a </w:t>
      </w:r>
      <w:r w:rsidRPr="00342BC9">
        <w:rPr>
          <w:i/>
          <w:iCs/>
        </w:rPr>
        <w:t xml:space="preserve">de se </w:t>
      </w:r>
      <w:r w:rsidRPr="00342BC9">
        <w:t xml:space="preserve">intention. Someone might say that, really, ‘S intends that p’ ascribes to S the intention </w:t>
      </w:r>
      <w:r w:rsidRPr="00342BC9">
        <w:rPr>
          <w:i/>
          <w:iCs/>
        </w:rPr>
        <w:t>to bring it about that p</w:t>
      </w:r>
      <w:r w:rsidRPr="00342BC9">
        <w:t xml:space="preserve">, which is </w:t>
      </w:r>
      <w:r w:rsidRPr="00342BC9">
        <w:rPr>
          <w:i/>
          <w:iCs/>
        </w:rPr>
        <w:t>de se</w:t>
      </w:r>
      <w:r w:rsidRPr="00342BC9">
        <w:t>. The recipe assumes that we should instead take such ascriptions at face value as ascribing a relation, of intending, that holds between S and p.</w:t>
      </w:r>
      <w:r w:rsidRPr="00342BC9">
        <w:rPr>
          <w:rStyle w:val="FootnoteReference"/>
        </w:rPr>
        <w:footnoteReference w:id="12"/>
      </w:r>
      <w:r w:rsidRPr="00342BC9">
        <w:t xml:space="preserve"> </w:t>
      </w:r>
    </w:p>
    <w:p w14:paraId="6F82647F" w14:textId="77777777" w:rsidR="00342BC9" w:rsidRDefault="00F24D94" w:rsidP="00342BC9">
      <w:pPr>
        <w:spacing w:line="480" w:lineRule="auto"/>
        <w:ind w:firstLine="720"/>
      </w:pPr>
      <w:r w:rsidRPr="00342BC9">
        <w:t>The second idea concerns the</w:t>
      </w:r>
      <w:r w:rsidR="00214635" w:rsidRPr="00342BC9">
        <w:t xml:space="preserve"> limited</w:t>
      </w:r>
      <w:r w:rsidRPr="00342BC9">
        <w:t xml:space="preserve"> role intention plays in means-selection. As the ‘fishing in pocket by doing something with her shoulder blade’ example brings out, it’s indisputable that selecting the means to the execution of a particular intention doesn’t always involve forming a further intention. Granted that possibility, there’s no reason why it couldn’t in principle happen that means-selection for a given action is </w:t>
      </w:r>
      <w:proofErr w:type="spellStart"/>
      <w:r w:rsidRPr="00342BC9">
        <w:t>subpersonally</w:t>
      </w:r>
      <w:proofErr w:type="spellEnd"/>
      <w:r w:rsidRPr="00342BC9">
        <w:t xml:space="preserve"> implemented at such an early stage that, at the point where person-level explanation gives out, the agent themselves is not yet an object of any representation, and</w:t>
      </w:r>
      <w:proofErr w:type="gramStart"/>
      <w:r w:rsidRPr="00342BC9">
        <w:t>, in particular, not</w:t>
      </w:r>
      <w:proofErr w:type="gramEnd"/>
      <w:r w:rsidRPr="00342BC9">
        <w:t xml:space="preserve"> of any </w:t>
      </w:r>
      <w:r w:rsidRPr="00342BC9">
        <w:rPr>
          <w:i/>
          <w:iCs/>
        </w:rPr>
        <w:t xml:space="preserve">de se </w:t>
      </w:r>
      <w:r w:rsidRPr="00342BC9">
        <w:t xml:space="preserve">representation. </w:t>
      </w:r>
      <w:proofErr w:type="gramStart"/>
      <w:r w:rsidRPr="00342BC9">
        <w:t>E.g.</w:t>
      </w:r>
      <w:proofErr w:type="gramEnd"/>
      <w:r w:rsidRPr="00342BC9">
        <w:t xml:space="preserve"> in the example discussed above, by the time the level of person-level explanation gives out, Oxfam is in view, but </w:t>
      </w:r>
      <w:proofErr w:type="spellStart"/>
      <w:r w:rsidRPr="00342BC9">
        <w:t>Ofra</w:t>
      </w:r>
      <w:proofErr w:type="spellEnd"/>
      <w:r w:rsidRPr="00342BC9">
        <w:t xml:space="preserve"> herself is not. That’s the second idea the recipe depends on.</w:t>
      </w:r>
    </w:p>
    <w:p w14:paraId="5507934B" w14:textId="78564170" w:rsidR="000233EB" w:rsidRPr="00342BC9" w:rsidRDefault="00BF6AC7" w:rsidP="00342BC9">
      <w:pPr>
        <w:spacing w:line="480" w:lineRule="auto"/>
        <w:ind w:firstLine="720"/>
      </w:pPr>
      <w:r w:rsidRPr="00342BC9">
        <w:lastRenderedPageBreak/>
        <w:t>So</w:t>
      </w:r>
      <w:r w:rsidR="002676AD" w:rsidRPr="00342BC9">
        <w:t>,</w:t>
      </w:r>
      <w:r w:rsidRPr="00342BC9">
        <w:t xml:space="preserve"> a summary of the recipe to hold in view</w:t>
      </w:r>
      <w:r w:rsidR="00DA4C25" w:rsidRPr="00342BC9">
        <w:t xml:space="preserve">, for subsequent </w:t>
      </w:r>
      <w:r w:rsidR="00C80E6A" w:rsidRPr="00342BC9">
        <w:t>comparison</w:t>
      </w:r>
      <w:r w:rsidR="00DA4C25" w:rsidRPr="00342BC9">
        <w:t xml:space="preserve"> with the </w:t>
      </w:r>
      <w:r w:rsidR="00DA4C25" w:rsidRPr="00342BC9">
        <w:rPr>
          <w:i/>
          <w:iCs/>
        </w:rPr>
        <w:t xml:space="preserve">de </w:t>
      </w:r>
      <w:proofErr w:type="spellStart"/>
      <w:r w:rsidR="00DA4C25" w:rsidRPr="00342BC9">
        <w:rPr>
          <w:i/>
          <w:iCs/>
        </w:rPr>
        <w:t>nunc</w:t>
      </w:r>
      <w:proofErr w:type="spellEnd"/>
      <w:r w:rsidR="00DA4C25" w:rsidRPr="00342BC9">
        <w:rPr>
          <w:i/>
          <w:iCs/>
        </w:rPr>
        <w:t xml:space="preserve"> </w:t>
      </w:r>
      <w:r w:rsidR="00DA4C25" w:rsidRPr="00342BC9">
        <w:t>case,</w:t>
      </w:r>
      <w:r w:rsidRPr="00342BC9">
        <w:t xml:space="preserve"> is:</w:t>
      </w:r>
    </w:p>
    <w:p w14:paraId="2E1757ED" w14:textId="460DE112" w:rsidR="00BF6AC7" w:rsidRPr="00342BC9" w:rsidRDefault="00BF6AC7" w:rsidP="00342BC9">
      <w:pPr>
        <w:spacing w:line="480" w:lineRule="auto"/>
        <w:ind w:firstLine="720"/>
      </w:pPr>
      <w:r w:rsidRPr="00342BC9">
        <w:t>Agent has a worldly (</w:t>
      </w:r>
      <w:proofErr w:type="gramStart"/>
      <w:r w:rsidRPr="00342BC9">
        <w:t>i.e.</w:t>
      </w:r>
      <w:proofErr w:type="gramEnd"/>
      <w:r w:rsidRPr="00342BC9">
        <w:t xml:space="preserve"> not self-directed) intention</w:t>
      </w:r>
    </w:p>
    <w:p w14:paraId="55BD7FFC" w14:textId="37B46861" w:rsidR="000233EB" w:rsidRPr="00342BC9" w:rsidRDefault="00BF6AC7" w:rsidP="00342BC9">
      <w:pPr>
        <w:spacing w:line="480" w:lineRule="auto"/>
        <w:ind w:left="720"/>
      </w:pPr>
      <w:r w:rsidRPr="00342BC9">
        <w:t>Selection of means to the satisfaction of this</w:t>
      </w:r>
      <w:r w:rsidR="000233EB" w:rsidRPr="00342BC9">
        <w:t xml:space="preserve"> worldly</w:t>
      </w:r>
      <w:r w:rsidRPr="00342BC9">
        <w:t xml:space="preserve"> intention is </w:t>
      </w:r>
      <w:proofErr w:type="spellStart"/>
      <w:r w:rsidRPr="00342BC9">
        <w:t>subpersonally</w:t>
      </w:r>
      <w:proofErr w:type="spellEnd"/>
      <w:r w:rsidR="00342BC9">
        <w:t xml:space="preserve"> </w:t>
      </w:r>
      <w:r w:rsidRPr="00342BC9">
        <w:t>achieved.</w:t>
      </w:r>
      <w:r w:rsidR="00BE6B6C" w:rsidRPr="00342BC9">
        <w:rPr>
          <w:rStyle w:val="FootnoteReference"/>
        </w:rPr>
        <w:footnoteReference w:id="13"/>
      </w:r>
    </w:p>
    <w:p w14:paraId="08A0D7EC" w14:textId="1F151726" w:rsidR="0091631E" w:rsidRPr="00342BC9" w:rsidRDefault="007026D6" w:rsidP="00342BC9">
      <w:pPr>
        <w:spacing w:line="480" w:lineRule="auto"/>
        <w:rPr>
          <w:i/>
          <w:iCs/>
        </w:rPr>
      </w:pPr>
      <w:r w:rsidRPr="00342BC9">
        <w:rPr>
          <w:iCs/>
        </w:rPr>
        <w:t xml:space="preserve">(§3) </w:t>
      </w:r>
      <w:r w:rsidRPr="00342BC9">
        <w:rPr>
          <w:color w:val="222222"/>
        </w:rPr>
        <w:t xml:space="preserve">Action </w:t>
      </w:r>
      <w:r w:rsidR="00001385" w:rsidRPr="00342BC9">
        <w:rPr>
          <w:color w:val="222222"/>
        </w:rPr>
        <w:t>W</w:t>
      </w:r>
      <w:r w:rsidRPr="00342BC9">
        <w:rPr>
          <w:color w:val="222222"/>
        </w:rPr>
        <w:t xml:space="preserve">ithout the </w:t>
      </w:r>
      <w:r w:rsidR="00001385" w:rsidRPr="00342BC9">
        <w:rPr>
          <w:i/>
          <w:iCs/>
          <w:color w:val="222222"/>
        </w:rPr>
        <w:t>D</w:t>
      </w:r>
      <w:r w:rsidRPr="00342BC9">
        <w:rPr>
          <w:i/>
          <w:iCs/>
          <w:color w:val="222222"/>
        </w:rPr>
        <w:t xml:space="preserve">e </w:t>
      </w:r>
      <w:r w:rsidR="00001385" w:rsidRPr="00342BC9">
        <w:rPr>
          <w:i/>
          <w:iCs/>
          <w:color w:val="222222"/>
        </w:rPr>
        <w:t>N</w:t>
      </w:r>
      <w:r w:rsidRPr="00342BC9">
        <w:rPr>
          <w:i/>
          <w:iCs/>
          <w:color w:val="222222"/>
        </w:rPr>
        <w:t>unc?</w:t>
      </w:r>
    </w:p>
    <w:p w14:paraId="78E64E30" w14:textId="6E354DE8" w:rsidR="002676AD" w:rsidRPr="00342BC9" w:rsidRDefault="007026D6" w:rsidP="00342BC9">
      <w:pPr>
        <w:spacing w:line="480" w:lineRule="auto"/>
        <w:ind w:firstLine="720"/>
        <w:rPr>
          <w:color w:val="222222"/>
        </w:rPr>
      </w:pPr>
      <w:r w:rsidRPr="00342BC9">
        <w:rPr>
          <w:color w:val="222222"/>
        </w:rPr>
        <w:t xml:space="preserve">Arguments about what </w:t>
      </w:r>
      <w:r w:rsidR="000279D2" w:rsidRPr="00342BC9">
        <w:rPr>
          <w:color w:val="222222"/>
        </w:rPr>
        <w:t xml:space="preserve">specific </w:t>
      </w:r>
      <w:r w:rsidRPr="00342BC9">
        <w:rPr>
          <w:color w:val="222222"/>
        </w:rPr>
        <w:t>action explanation</w:t>
      </w:r>
      <w:r w:rsidR="000279D2" w:rsidRPr="00342BC9">
        <w:rPr>
          <w:color w:val="222222"/>
        </w:rPr>
        <w:t>s</w:t>
      </w:r>
      <w:r w:rsidRPr="00342BC9">
        <w:rPr>
          <w:color w:val="222222"/>
        </w:rPr>
        <w:t xml:space="preserve"> are adequate </w:t>
      </w:r>
      <w:proofErr w:type="gramStart"/>
      <w:r w:rsidRPr="00342BC9">
        <w:rPr>
          <w:color w:val="222222"/>
        </w:rPr>
        <w:t>have to</w:t>
      </w:r>
      <w:proofErr w:type="gramEnd"/>
      <w:r w:rsidRPr="00342BC9">
        <w:rPr>
          <w:color w:val="222222"/>
        </w:rPr>
        <w:t xml:space="preserve"> appeal to some general constraints. </w:t>
      </w:r>
      <w:r w:rsidR="002676AD" w:rsidRPr="00342BC9">
        <w:rPr>
          <w:color w:val="222222"/>
        </w:rPr>
        <w:t xml:space="preserve">In </w:t>
      </w:r>
      <w:r w:rsidR="00E250D8" w:rsidRPr="00342BC9">
        <w:rPr>
          <w:color w:val="222222"/>
        </w:rPr>
        <w:t xml:space="preserve">the first part of this section, </w:t>
      </w:r>
      <w:r w:rsidR="002676AD" w:rsidRPr="00342BC9">
        <w:rPr>
          <w:color w:val="222222"/>
        </w:rPr>
        <w:t>(</w:t>
      </w:r>
      <w:proofErr w:type="spellStart"/>
      <w:r w:rsidR="002676AD" w:rsidRPr="00342BC9">
        <w:rPr>
          <w:color w:val="222222"/>
        </w:rPr>
        <w:t>i</w:t>
      </w:r>
      <w:proofErr w:type="spellEnd"/>
      <w:r w:rsidR="002676AD" w:rsidRPr="00342BC9">
        <w:rPr>
          <w:color w:val="222222"/>
        </w:rPr>
        <w:t xml:space="preserve">), I </w:t>
      </w:r>
      <w:r w:rsidR="0091631E" w:rsidRPr="00342BC9">
        <w:rPr>
          <w:color w:val="222222"/>
        </w:rPr>
        <w:t>motivate</w:t>
      </w:r>
      <w:r w:rsidR="002676AD" w:rsidRPr="00342BC9">
        <w:rPr>
          <w:color w:val="222222"/>
        </w:rPr>
        <w:t xml:space="preserve"> some general constraints. In</w:t>
      </w:r>
      <w:r w:rsidR="00E250D8" w:rsidRPr="00342BC9">
        <w:rPr>
          <w:color w:val="222222"/>
        </w:rPr>
        <w:t xml:space="preserve"> the second part,</w:t>
      </w:r>
      <w:r w:rsidR="002676AD" w:rsidRPr="00342BC9">
        <w:rPr>
          <w:color w:val="222222"/>
        </w:rPr>
        <w:t xml:space="preserve"> (ii), I </w:t>
      </w:r>
      <w:r w:rsidR="000279D2" w:rsidRPr="00342BC9">
        <w:rPr>
          <w:color w:val="222222"/>
        </w:rPr>
        <w:t>argue</w:t>
      </w:r>
      <w:r w:rsidR="00BE6B6C" w:rsidRPr="00342BC9">
        <w:rPr>
          <w:color w:val="222222"/>
        </w:rPr>
        <w:t xml:space="preserve"> that while </w:t>
      </w:r>
      <w:r w:rsidR="00E9000D" w:rsidRPr="00342BC9">
        <w:rPr>
          <w:color w:val="222222"/>
        </w:rPr>
        <w:t>those constraints</w:t>
      </w:r>
      <w:r w:rsidR="00BE6B6C" w:rsidRPr="00342BC9">
        <w:rPr>
          <w:color w:val="222222"/>
        </w:rPr>
        <w:t xml:space="preserve"> do not</w:t>
      </w:r>
      <w:r w:rsidR="00E9000D" w:rsidRPr="00342BC9">
        <w:rPr>
          <w:color w:val="222222"/>
        </w:rPr>
        <w:t xml:space="preserve"> rule out action without the </w:t>
      </w:r>
      <w:r w:rsidR="00E9000D" w:rsidRPr="00342BC9">
        <w:rPr>
          <w:i/>
          <w:iCs/>
          <w:color w:val="222222"/>
        </w:rPr>
        <w:t xml:space="preserve">de </w:t>
      </w:r>
      <w:r w:rsidR="00BE6B6C" w:rsidRPr="00342BC9">
        <w:rPr>
          <w:i/>
          <w:iCs/>
          <w:color w:val="222222"/>
        </w:rPr>
        <w:t>se</w:t>
      </w:r>
      <w:r w:rsidR="00E9000D" w:rsidRPr="00342BC9">
        <w:rPr>
          <w:i/>
          <w:iCs/>
          <w:color w:val="222222"/>
        </w:rPr>
        <w:t xml:space="preserve"> </w:t>
      </w:r>
      <w:r w:rsidR="000279D2" w:rsidRPr="00342BC9">
        <w:rPr>
          <w:color w:val="222222"/>
        </w:rPr>
        <w:t>(</w:t>
      </w:r>
      <w:proofErr w:type="spellStart"/>
      <w:r w:rsidR="000279D2" w:rsidRPr="00342BC9">
        <w:rPr>
          <w:color w:val="222222"/>
        </w:rPr>
        <w:t>iia</w:t>
      </w:r>
      <w:proofErr w:type="spellEnd"/>
      <w:r w:rsidR="000279D2" w:rsidRPr="00342BC9">
        <w:rPr>
          <w:color w:val="222222"/>
        </w:rPr>
        <w:t xml:space="preserve">), </w:t>
      </w:r>
      <w:r w:rsidR="00E9000D" w:rsidRPr="00342BC9">
        <w:rPr>
          <w:color w:val="222222"/>
        </w:rPr>
        <w:t xml:space="preserve">they do rule out action without the </w:t>
      </w:r>
      <w:r w:rsidR="00E9000D" w:rsidRPr="00342BC9">
        <w:rPr>
          <w:i/>
          <w:iCs/>
          <w:color w:val="222222"/>
        </w:rPr>
        <w:t xml:space="preserve">de </w:t>
      </w:r>
      <w:proofErr w:type="spellStart"/>
      <w:r w:rsidR="0091631E" w:rsidRPr="00342BC9">
        <w:rPr>
          <w:i/>
          <w:iCs/>
          <w:color w:val="222222"/>
        </w:rPr>
        <w:t>nunc</w:t>
      </w:r>
      <w:proofErr w:type="spellEnd"/>
      <w:r w:rsidR="000279D2" w:rsidRPr="00342BC9">
        <w:rPr>
          <w:i/>
          <w:iCs/>
          <w:color w:val="222222"/>
        </w:rPr>
        <w:t xml:space="preserve"> </w:t>
      </w:r>
      <w:r w:rsidR="000279D2" w:rsidRPr="00342BC9">
        <w:rPr>
          <w:color w:val="222222"/>
        </w:rPr>
        <w:t>(</w:t>
      </w:r>
      <w:proofErr w:type="spellStart"/>
      <w:r w:rsidR="000279D2" w:rsidRPr="00342BC9">
        <w:rPr>
          <w:color w:val="222222"/>
        </w:rPr>
        <w:t>iib</w:t>
      </w:r>
      <w:proofErr w:type="spellEnd"/>
      <w:r w:rsidR="000279D2" w:rsidRPr="00342BC9">
        <w:rPr>
          <w:color w:val="222222"/>
        </w:rPr>
        <w:t>)</w:t>
      </w:r>
      <w:r w:rsidR="00E9000D" w:rsidRPr="00342BC9">
        <w:rPr>
          <w:color w:val="222222"/>
        </w:rPr>
        <w:t xml:space="preserve">. </w:t>
      </w:r>
    </w:p>
    <w:p w14:paraId="06BE8A3E" w14:textId="0DFAB04D" w:rsidR="006062A6" w:rsidRPr="00342BC9" w:rsidRDefault="002676AD" w:rsidP="00342BC9">
      <w:pPr>
        <w:spacing w:line="480" w:lineRule="auto"/>
        <w:rPr>
          <w:i/>
          <w:iCs/>
        </w:rPr>
      </w:pPr>
      <w:r w:rsidRPr="00342BC9">
        <w:t>(</w:t>
      </w:r>
      <w:proofErr w:type="spellStart"/>
      <w:r w:rsidRPr="00342BC9">
        <w:t>i</w:t>
      </w:r>
      <w:proofErr w:type="spellEnd"/>
      <w:r w:rsidRPr="00342BC9">
        <w:t>)</w:t>
      </w:r>
      <w:r w:rsidRPr="00342BC9">
        <w:rPr>
          <w:i/>
          <w:iCs/>
        </w:rPr>
        <w:t xml:space="preserve">Some general constraints on action.  </w:t>
      </w:r>
    </w:p>
    <w:p w14:paraId="6D43416B" w14:textId="3B0F35B7" w:rsidR="00F24D94" w:rsidRPr="00342BC9" w:rsidRDefault="00F24D94" w:rsidP="00342BC9">
      <w:pPr>
        <w:spacing w:line="480" w:lineRule="auto"/>
        <w:ind w:firstLine="720"/>
      </w:pPr>
      <w:r w:rsidRPr="00342BC9">
        <w:t>Anscombe said that intentional actions were ones to which a certain sense of ‘Why?’ can be applied.</w:t>
      </w:r>
      <w:r w:rsidRPr="00342BC9">
        <w:rPr>
          <w:rStyle w:val="FootnoteReference"/>
        </w:rPr>
        <w:footnoteReference w:id="14"/>
      </w:r>
      <w:r w:rsidRPr="00342BC9">
        <w:t xml:space="preserve"> The </w:t>
      </w:r>
      <w:proofErr w:type="gramStart"/>
      <w:r w:rsidRPr="00342BC9">
        <w:t>main focus</w:t>
      </w:r>
      <w:proofErr w:type="gramEnd"/>
      <w:r w:rsidRPr="00342BC9">
        <w:t xml:space="preserve"> for this ‘Why?’ </w:t>
      </w:r>
      <w:r w:rsidR="00BB0553" w:rsidRPr="00342BC9">
        <w:t xml:space="preserve">she had </w:t>
      </w:r>
      <w:r w:rsidRPr="00342BC9">
        <w:t xml:space="preserve">mind was ‘Why are they </w:t>
      </w:r>
      <w:r w:rsidRPr="00342BC9">
        <w:rPr>
          <w:color w:val="222222"/>
        </w:rPr>
        <w:t>φ</w:t>
      </w:r>
      <w:r w:rsidRPr="00342BC9">
        <w:t>-</w:t>
      </w:r>
      <w:proofErr w:type="spellStart"/>
      <w:r w:rsidRPr="00342BC9">
        <w:t>ing</w:t>
      </w:r>
      <w:proofErr w:type="spellEnd"/>
      <w:r w:rsidRPr="00342BC9">
        <w:t xml:space="preserve">, as opposed to refraining from </w:t>
      </w:r>
      <w:r w:rsidRPr="00342BC9">
        <w:rPr>
          <w:color w:val="222222"/>
        </w:rPr>
        <w:t>φ</w:t>
      </w:r>
      <w:r w:rsidRPr="00342BC9">
        <w:t>-</w:t>
      </w:r>
      <w:proofErr w:type="spellStart"/>
      <w:r w:rsidRPr="00342BC9">
        <w:t>ing</w:t>
      </w:r>
      <w:proofErr w:type="spellEnd"/>
      <w:r w:rsidRPr="00342BC9">
        <w:t xml:space="preserve">?’. I’ll call the question with this focus the ‘Why </w:t>
      </w:r>
      <w:r w:rsidRPr="00342BC9">
        <w:rPr>
          <w:color w:val="222222"/>
        </w:rPr>
        <w:t>φ</w:t>
      </w:r>
      <w:r w:rsidRPr="00342BC9">
        <w:t>-</w:t>
      </w:r>
      <w:proofErr w:type="spellStart"/>
      <w:r w:rsidRPr="00342BC9">
        <w:t>ing</w:t>
      </w:r>
      <w:proofErr w:type="spellEnd"/>
      <w:r w:rsidRPr="00342BC9">
        <w:t xml:space="preserve">?’ </w:t>
      </w:r>
      <w:r w:rsidRPr="00342BC9">
        <w:lastRenderedPageBreak/>
        <w:t xml:space="preserve">question.  </w:t>
      </w:r>
      <w:r w:rsidR="00D06360" w:rsidRPr="00342BC9">
        <w:t>T</w:t>
      </w:r>
      <w:r w:rsidRPr="00342BC9">
        <w:t>here are other possible focuses for ‘Why?’</w:t>
      </w:r>
      <w:r w:rsidR="009B4932" w:rsidRPr="00342BC9">
        <w:t>, asked about an agent’s action,</w:t>
      </w:r>
      <w:r w:rsidR="00D06360" w:rsidRPr="00342BC9">
        <w:t xml:space="preserve"> that are relevant here</w:t>
      </w:r>
      <w:r w:rsidRPr="00342BC9">
        <w:t xml:space="preserve">. One is: ‘Why are </w:t>
      </w:r>
      <w:r w:rsidRPr="00342BC9">
        <w:rPr>
          <w:i/>
          <w:iCs/>
        </w:rPr>
        <w:t xml:space="preserve">they </w:t>
      </w:r>
      <w:r w:rsidRPr="00342BC9">
        <w:rPr>
          <w:color w:val="222222"/>
        </w:rPr>
        <w:t>φ</w:t>
      </w:r>
      <w:r w:rsidRPr="00342BC9">
        <w:t>-</w:t>
      </w:r>
      <w:proofErr w:type="spellStart"/>
      <w:r w:rsidRPr="00342BC9">
        <w:t>ing</w:t>
      </w:r>
      <w:proofErr w:type="spellEnd"/>
      <w:r w:rsidRPr="00342BC9">
        <w:t xml:space="preserve">, in contrast to </w:t>
      </w:r>
      <w:r w:rsidRPr="00342BC9">
        <w:rPr>
          <w:i/>
          <w:iCs/>
        </w:rPr>
        <w:t>other agents</w:t>
      </w:r>
      <w:r w:rsidRPr="00342BC9">
        <w:t xml:space="preserve"> who are not?’ I’ll call this the ‘Why them?’ question. The other is: ‘Why are they </w:t>
      </w:r>
      <w:r w:rsidRPr="00342BC9">
        <w:rPr>
          <w:color w:val="222222"/>
        </w:rPr>
        <w:t>φ</w:t>
      </w:r>
      <w:r w:rsidRPr="00342BC9">
        <w:t>-</w:t>
      </w:r>
      <w:proofErr w:type="spellStart"/>
      <w:r w:rsidRPr="00342BC9">
        <w:t>ing</w:t>
      </w:r>
      <w:proofErr w:type="spellEnd"/>
      <w:r w:rsidRPr="00342BC9">
        <w:t xml:space="preserve"> </w:t>
      </w:r>
      <w:r w:rsidRPr="00342BC9">
        <w:rPr>
          <w:i/>
          <w:iCs/>
        </w:rPr>
        <w:t>now</w:t>
      </w:r>
      <w:r w:rsidRPr="00342BC9">
        <w:t xml:space="preserve">, in contrast to at </w:t>
      </w:r>
      <w:r w:rsidRPr="00342BC9">
        <w:rPr>
          <w:i/>
          <w:iCs/>
        </w:rPr>
        <w:t>other times</w:t>
      </w:r>
      <w:r w:rsidRPr="00342BC9">
        <w:t xml:space="preserve">, when they are not?’. I’ll call this the ‘Why then?’ question. </w:t>
      </w:r>
    </w:p>
    <w:p w14:paraId="1F73A562" w14:textId="77777777" w:rsidR="00342BC9" w:rsidRDefault="00F24D94" w:rsidP="00342BC9">
      <w:pPr>
        <w:spacing w:line="480" w:lineRule="auto"/>
        <w:ind w:firstLine="720"/>
      </w:pPr>
      <w:r w:rsidRPr="00342BC9">
        <w:t xml:space="preserve">The three ‘Why?’ questions we’ve distinguished – ‘Why </w:t>
      </w:r>
      <w:r w:rsidRPr="00342BC9">
        <w:rPr>
          <w:color w:val="222222"/>
        </w:rPr>
        <w:t>φ</w:t>
      </w:r>
      <w:r w:rsidRPr="00342BC9">
        <w:t>-</w:t>
      </w:r>
      <w:proofErr w:type="spellStart"/>
      <w:proofErr w:type="gramStart"/>
      <w:r w:rsidRPr="00342BC9">
        <w:t>ing</w:t>
      </w:r>
      <w:proofErr w:type="spellEnd"/>
      <w:r w:rsidRPr="00342BC9">
        <w:t>?,</w:t>
      </w:r>
      <w:proofErr w:type="gramEnd"/>
      <w:r w:rsidRPr="00342BC9">
        <w:t xml:space="preserve">’ ‘Why them?’, ‘Why then?’  – often won’t have answers that </w:t>
      </w:r>
      <w:proofErr w:type="gramStart"/>
      <w:r w:rsidRPr="00342BC9">
        <w:t>connect up</w:t>
      </w:r>
      <w:proofErr w:type="gramEnd"/>
      <w:r w:rsidRPr="00342BC9">
        <w:t xml:space="preserve"> an action-triggering state with a state involving some further conceptual material. </w:t>
      </w:r>
      <w:proofErr w:type="gramStart"/>
      <w:r w:rsidRPr="00342BC9">
        <w:t>E.g.</w:t>
      </w:r>
      <w:proofErr w:type="gramEnd"/>
      <w:r w:rsidRPr="00342BC9">
        <w:t xml:space="preserve"> I might be juggling, and there might not be more to be said in answer to the ‘Why </w:t>
      </w:r>
      <w:r w:rsidRPr="00342BC9">
        <w:rPr>
          <w:color w:val="222222"/>
        </w:rPr>
        <w:t>φ</w:t>
      </w:r>
      <w:r w:rsidRPr="00342BC9">
        <w:t>-</w:t>
      </w:r>
      <w:proofErr w:type="spellStart"/>
      <w:r w:rsidRPr="00342BC9">
        <w:t>ing</w:t>
      </w:r>
      <w:proofErr w:type="spellEnd"/>
      <w:r w:rsidRPr="00342BC9">
        <w:t xml:space="preserve">?’ question other than that I wanted to juggle. I need not be juggling with some further end in view, </w:t>
      </w:r>
      <w:proofErr w:type="gramStart"/>
      <w:r w:rsidRPr="00342BC9">
        <w:t>e.g.</w:t>
      </w:r>
      <w:proofErr w:type="gramEnd"/>
      <w:r w:rsidRPr="00342BC9">
        <w:t xml:space="preserve"> acting on the thought ‘Juggling would be </w:t>
      </w:r>
      <w:r w:rsidRPr="00342BC9">
        <w:rPr>
          <w:i/>
          <w:iCs/>
        </w:rPr>
        <w:t>a nice way</w:t>
      </w:r>
      <w:r w:rsidRPr="00342BC9">
        <w:t xml:space="preserve"> </w:t>
      </w:r>
      <w:r w:rsidRPr="00342BC9">
        <w:rPr>
          <w:i/>
          <w:iCs/>
        </w:rPr>
        <w:t>to entertain the children</w:t>
      </w:r>
      <w:r w:rsidRPr="00342BC9">
        <w:t xml:space="preserve">’. Similarly, it need not be that I am juggling </w:t>
      </w:r>
      <w:r w:rsidRPr="00342BC9">
        <w:rPr>
          <w:i/>
          <w:iCs/>
        </w:rPr>
        <w:t>now</w:t>
      </w:r>
      <w:r w:rsidRPr="00342BC9">
        <w:t>, as opposed to a few minutes before or after,</w:t>
      </w:r>
      <w:r w:rsidRPr="00342BC9">
        <w:rPr>
          <w:i/>
          <w:iCs/>
        </w:rPr>
        <w:t xml:space="preserve"> </w:t>
      </w:r>
      <w:r w:rsidRPr="00342BC9">
        <w:t xml:space="preserve">because I think ‘The time to juggle is </w:t>
      </w:r>
      <w:r w:rsidRPr="00342BC9">
        <w:rPr>
          <w:i/>
          <w:iCs/>
        </w:rPr>
        <w:t>when the cake comes</w:t>
      </w:r>
      <w:r w:rsidRPr="00342BC9">
        <w:t xml:space="preserve"> in’ and ‘The cake is coming in </w:t>
      </w:r>
      <w:r w:rsidRPr="00342BC9">
        <w:rPr>
          <w:i/>
          <w:iCs/>
        </w:rPr>
        <w:t>now</w:t>
      </w:r>
      <w:r w:rsidRPr="00342BC9">
        <w:t xml:space="preserve">’. And it need be that </w:t>
      </w:r>
      <w:r w:rsidRPr="00342BC9">
        <w:rPr>
          <w:i/>
          <w:iCs/>
        </w:rPr>
        <w:t xml:space="preserve">I </w:t>
      </w:r>
      <w:r w:rsidRPr="00342BC9">
        <w:t xml:space="preserve">am juggling, in contrast to others who are not, because I think ‘The person who ought to juggle is </w:t>
      </w:r>
      <w:r w:rsidRPr="00342BC9">
        <w:rPr>
          <w:i/>
          <w:iCs/>
        </w:rPr>
        <w:t>the person who’s been hired for that express purpose</w:t>
      </w:r>
      <w:r w:rsidRPr="00342BC9">
        <w:t>’ and ‘</w:t>
      </w:r>
      <w:r w:rsidRPr="00342BC9">
        <w:rPr>
          <w:i/>
          <w:iCs/>
        </w:rPr>
        <w:t>I</w:t>
      </w:r>
      <w:r w:rsidRPr="00342BC9">
        <w:t xml:space="preserve"> am the person who’s been hired for that express purpose’.</w:t>
      </w:r>
    </w:p>
    <w:p w14:paraId="005EDED5" w14:textId="329C71D3" w:rsidR="002676AD" w:rsidRPr="00342BC9" w:rsidRDefault="006062A6" w:rsidP="00342BC9">
      <w:pPr>
        <w:spacing w:line="480" w:lineRule="auto"/>
        <w:ind w:firstLine="720"/>
      </w:pPr>
      <w:r w:rsidRPr="00342BC9">
        <w:t xml:space="preserve">Even so, </w:t>
      </w:r>
      <w:r w:rsidR="00F24D94" w:rsidRPr="00342BC9">
        <w:t>these three ‘Why’ questions answers</w:t>
      </w:r>
      <w:r w:rsidR="000279D2" w:rsidRPr="00342BC9">
        <w:t xml:space="preserve"> should get answers</w:t>
      </w:r>
      <w:r w:rsidR="00F24D94" w:rsidRPr="00342BC9">
        <w:t xml:space="preserve">, if only answers that are ‘superficial’ in the sense that they don’t bring in extra conceptual material </w:t>
      </w:r>
      <w:r w:rsidR="00BB0553" w:rsidRPr="00342BC9">
        <w:t xml:space="preserve">relevant to the </w:t>
      </w:r>
      <w:r w:rsidR="00F24D94" w:rsidRPr="00342BC9">
        <w:t>agent’s motivation. It</w:t>
      </w:r>
      <w:r w:rsidRPr="00342BC9">
        <w:t xml:space="preserve">’s </w:t>
      </w:r>
      <w:r w:rsidR="00F24D94" w:rsidRPr="00342BC9">
        <w:t xml:space="preserve">bizarre to think that that there could be a case in which I do count as juggling, intentionally, but I neither see juggling </w:t>
      </w:r>
      <w:proofErr w:type="gramStart"/>
      <w:r w:rsidR="00F24D94" w:rsidRPr="00342BC9">
        <w:t>as a means to</w:t>
      </w:r>
      <w:proofErr w:type="gramEnd"/>
      <w:r w:rsidR="00F24D94" w:rsidRPr="00342BC9">
        <w:t xml:space="preserve"> some further desirable end, nor even </w:t>
      </w:r>
      <w:r w:rsidR="00BB0553" w:rsidRPr="00342BC9">
        <w:t xml:space="preserve">just </w:t>
      </w:r>
      <w:r w:rsidR="00F24D94" w:rsidRPr="00342BC9">
        <w:t xml:space="preserve">want to juggle. </w:t>
      </w:r>
      <w:proofErr w:type="gramStart"/>
      <w:r w:rsidR="00F24D94" w:rsidRPr="00342BC9">
        <w:t>So</w:t>
      </w:r>
      <w:proofErr w:type="gramEnd"/>
      <w:r w:rsidR="00F24D94" w:rsidRPr="00342BC9">
        <w:t xml:space="preserve"> the ‘Why </w:t>
      </w:r>
      <w:r w:rsidR="00F24D94" w:rsidRPr="00342BC9">
        <w:rPr>
          <w:i/>
          <w:iCs/>
        </w:rPr>
        <w:t>juggling</w:t>
      </w:r>
      <w:r w:rsidR="00F24D94" w:rsidRPr="00342BC9">
        <w:t>?’ question at least get</w:t>
      </w:r>
      <w:r w:rsidRPr="00342BC9">
        <w:t>s</w:t>
      </w:r>
      <w:r w:rsidR="00F24D94" w:rsidRPr="00342BC9">
        <w:t xml:space="preserve"> the superficial answer ‘They wanted to juggle’</w:t>
      </w:r>
      <w:r w:rsidR="00D06360" w:rsidRPr="00342BC9">
        <w:t xml:space="preserve">. </w:t>
      </w:r>
      <w:r w:rsidR="00150FD1" w:rsidRPr="00342BC9">
        <w:t xml:space="preserve">Similarly, it doesn’t seem there </w:t>
      </w:r>
      <w:r w:rsidR="00F24D94" w:rsidRPr="00342BC9">
        <w:t xml:space="preserve">could be a case of intentional action where either of other two ‘Why?’ questions </w:t>
      </w:r>
      <w:proofErr w:type="gramStart"/>
      <w:r w:rsidR="00F24D94" w:rsidRPr="00342BC9">
        <w:t>fails</w:t>
      </w:r>
      <w:proofErr w:type="gramEnd"/>
      <w:r w:rsidR="00F24D94" w:rsidRPr="00342BC9">
        <w:t xml:space="preserve"> to get even a superficial answer. </w:t>
      </w:r>
      <w:r w:rsidR="00E9000D" w:rsidRPr="00342BC9">
        <w:t xml:space="preserve">To anticipate, I am going to argue that a superficial answer to the ‘Why them?’ question need not involve the </w:t>
      </w:r>
      <w:r w:rsidR="00E9000D" w:rsidRPr="00342BC9">
        <w:rPr>
          <w:i/>
          <w:iCs/>
        </w:rPr>
        <w:t>de se</w:t>
      </w:r>
      <w:r w:rsidR="00BE6B6C" w:rsidRPr="00342BC9">
        <w:rPr>
          <w:i/>
          <w:iCs/>
        </w:rPr>
        <w:t xml:space="preserve"> </w:t>
      </w:r>
      <w:r w:rsidR="00DD3029" w:rsidRPr="00342BC9">
        <w:t>(</w:t>
      </w:r>
      <w:proofErr w:type="gramStart"/>
      <w:r w:rsidR="00DD3029" w:rsidRPr="00342BC9">
        <w:t>e.g.</w:t>
      </w:r>
      <w:proofErr w:type="gramEnd"/>
      <w:r w:rsidR="00DD3029" w:rsidRPr="00342BC9">
        <w:t xml:space="preserve"> in cases of the sort </w:t>
      </w:r>
      <w:proofErr w:type="spellStart"/>
      <w:r w:rsidR="00DD3029" w:rsidRPr="00342BC9">
        <w:t>Magidor</w:t>
      </w:r>
      <w:proofErr w:type="spellEnd"/>
      <w:r w:rsidR="00DD3029" w:rsidRPr="00342BC9">
        <w:t xml:space="preserve"> highlights it won’t)</w:t>
      </w:r>
      <w:r w:rsidR="00DD3029" w:rsidRPr="00342BC9">
        <w:rPr>
          <w:i/>
          <w:iCs/>
        </w:rPr>
        <w:t xml:space="preserve"> </w:t>
      </w:r>
      <w:r w:rsidR="00E9000D" w:rsidRPr="00342BC9">
        <w:t xml:space="preserve">but </w:t>
      </w:r>
      <w:r w:rsidR="00E9000D" w:rsidRPr="00342BC9">
        <w:lastRenderedPageBreak/>
        <w:t xml:space="preserve">a superficial answer to the ‘Why then?’ question must involve the </w:t>
      </w:r>
      <w:r w:rsidR="00E9000D" w:rsidRPr="00342BC9">
        <w:rPr>
          <w:i/>
          <w:iCs/>
        </w:rPr>
        <w:t xml:space="preserve">de </w:t>
      </w:r>
      <w:proofErr w:type="spellStart"/>
      <w:r w:rsidR="00E9000D" w:rsidRPr="00342BC9">
        <w:rPr>
          <w:i/>
          <w:iCs/>
        </w:rPr>
        <w:t>nunc</w:t>
      </w:r>
      <w:proofErr w:type="spellEnd"/>
      <w:r w:rsidR="00E9000D" w:rsidRPr="00342BC9">
        <w:t>. That’s why</w:t>
      </w:r>
      <w:r w:rsidR="00E9000D" w:rsidRPr="00342BC9">
        <w:rPr>
          <w:i/>
          <w:iCs/>
        </w:rPr>
        <w:t xml:space="preserve"> </w:t>
      </w:r>
      <w:r w:rsidR="00E9000D" w:rsidRPr="00342BC9">
        <w:t xml:space="preserve">even </w:t>
      </w:r>
      <w:r w:rsidR="00DD3029" w:rsidRPr="00342BC9">
        <w:t>though</w:t>
      </w:r>
      <w:r w:rsidR="00E9000D" w:rsidRPr="00342BC9">
        <w:t xml:space="preserve"> intentional action without the </w:t>
      </w:r>
      <w:r w:rsidR="00E9000D" w:rsidRPr="00342BC9">
        <w:rPr>
          <w:i/>
          <w:iCs/>
        </w:rPr>
        <w:t xml:space="preserve">de se </w:t>
      </w:r>
      <w:r w:rsidR="00E9000D" w:rsidRPr="00342BC9">
        <w:t xml:space="preserve">is possible, action without the </w:t>
      </w:r>
      <w:r w:rsidR="00E9000D" w:rsidRPr="00342BC9">
        <w:rPr>
          <w:i/>
          <w:iCs/>
        </w:rPr>
        <w:t xml:space="preserve">de </w:t>
      </w:r>
      <w:proofErr w:type="spellStart"/>
      <w:r w:rsidR="00E9000D" w:rsidRPr="00342BC9">
        <w:rPr>
          <w:i/>
          <w:iCs/>
        </w:rPr>
        <w:t>nunc</w:t>
      </w:r>
      <w:proofErr w:type="spellEnd"/>
      <w:r w:rsidR="00E9000D" w:rsidRPr="00342BC9">
        <w:rPr>
          <w:i/>
          <w:iCs/>
        </w:rPr>
        <w:t xml:space="preserve"> </w:t>
      </w:r>
      <w:r w:rsidR="00E9000D" w:rsidRPr="00342BC9">
        <w:t>isn’t.</w:t>
      </w:r>
    </w:p>
    <w:p w14:paraId="12A894BB" w14:textId="36C78199" w:rsidR="00DD3029" w:rsidRPr="00342BC9" w:rsidRDefault="00E9000D" w:rsidP="00342BC9">
      <w:pPr>
        <w:spacing w:line="480" w:lineRule="auto"/>
      </w:pPr>
      <w:r w:rsidRPr="00342BC9">
        <w:t>(</w:t>
      </w:r>
      <w:proofErr w:type="spellStart"/>
      <w:r w:rsidRPr="00342BC9">
        <w:t>iia</w:t>
      </w:r>
      <w:proofErr w:type="spellEnd"/>
      <w:r w:rsidRPr="00342BC9">
        <w:t xml:space="preserve">) ‘Why </w:t>
      </w:r>
      <w:r w:rsidR="00001385" w:rsidRPr="00342BC9">
        <w:t>T</w:t>
      </w:r>
      <w:r w:rsidRPr="00342BC9">
        <w:t>hem?’ and</w:t>
      </w:r>
      <w:r w:rsidR="006A76D8" w:rsidRPr="00342BC9">
        <w:t xml:space="preserve"> </w:t>
      </w:r>
      <w:r w:rsidR="00001385" w:rsidRPr="00342BC9">
        <w:rPr>
          <w:i/>
          <w:iCs/>
        </w:rPr>
        <w:t>D</w:t>
      </w:r>
      <w:r w:rsidR="006A76D8" w:rsidRPr="00342BC9">
        <w:rPr>
          <w:i/>
          <w:iCs/>
        </w:rPr>
        <w:t xml:space="preserve">e </w:t>
      </w:r>
      <w:r w:rsidR="00001385" w:rsidRPr="00342BC9">
        <w:rPr>
          <w:i/>
          <w:iCs/>
        </w:rPr>
        <w:t>S</w:t>
      </w:r>
      <w:r w:rsidR="006A76D8" w:rsidRPr="00342BC9">
        <w:rPr>
          <w:i/>
          <w:iCs/>
        </w:rPr>
        <w:t xml:space="preserve">e </w:t>
      </w:r>
      <w:r w:rsidR="00001385" w:rsidRPr="00342BC9">
        <w:t>T</w:t>
      </w:r>
      <w:r w:rsidR="006A76D8" w:rsidRPr="00342BC9">
        <w:t>hought</w:t>
      </w:r>
    </w:p>
    <w:p w14:paraId="1A8B3B92" w14:textId="4EBEE07D" w:rsidR="00F24D94" w:rsidRPr="00342BC9" w:rsidRDefault="00DD3029" w:rsidP="00342BC9">
      <w:pPr>
        <w:spacing w:line="480" w:lineRule="auto"/>
        <w:ind w:firstLine="720"/>
      </w:pPr>
      <w:r w:rsidRPr="00342BC9">
        <w:t xml:space="preserve">Suppose </w:t>
      </w:r>
      <w:proofErr w:type="spellStart"/>
      <w:r w:rsidRPr="00342BC9">
        <w:t>Ofra</w:t>
      </w:r>
      <w:proofErr w:type="spellEnd"/>
      <w:r w:rsidRPr="00342BC9">
        <w:t xml:space="preserve"> donates to Oxfam. W</w:t>
      </w:r>
      <w:r w:rsidR="00F24D94" w:rsidRPr="00342BC9">
        <w:t xml:space="preserve">e’re interested in why </w:t>
      </w:r>
      <w:r w:rsidR="00F24D94" w:rsidRPr="00342BC9">
        <w:rPr>
          <w:i/>
          <w:iCs/>
        </w:rPr>
        <w:t>she</w:t>
      </w:r>
      <w:r w:rsidR="00F24D94" w:rsidRPr="00342BC9">
        <w:t xml:space="preserve"> is donating, in contrast to the many others who are not. We’re not </w:t>
      </w:r>
      <w:r w:rsidR="00777697" w:rsidRPr="00342BC9">
        <w:t>assuming that there must be a</w:t>
      </w:r>
      <w:r w:rsidR="00F24D94" w:rsidRPr="00342BC9">
        <w:t xml:space="preserve"> non-superficial answer to th</w:t>
      </w:r>
      <w:r w:rsidR="00D06360" w:rsidRPr="00342BC9">
        <w:t>is</w:t>
      </w:r>
      <w:r w:rsidR="00F24D94" w:rsidRPr="00342BC9">
        <w:t xml:space="preserve"> question</w:t>
      </w:r>
      <w:r w:rsidR="00D06360" w:rsidRPr="00342BC9">
        <w:t xml:space="preserve"> – that</w:t>
      </w:r>
      <w:r w:rsidR="00F24D94" w:rsidRPr="00342BC9">
        <w:t xml:space="preserve"> </w:t>
      </w:r>
      <w:proofErr w:type="spellStart"/>
      <w:r w:rsidR="00777697" w:rsidRPr="00342BC9">
        <w:t>Ofra</w:t>
      </w:r>
      <w:proofErr w:type="spellEnd"/>
      <w:r w:rsidR="00777697" w:rsidRPr="00342BC9">
        <w:t xml:space="preserve"> </w:t>
      </w:r>
      <w:r w:rsidR="00F24D94" w:rsidRPr="00342BC9">
        <w:t>thinks</w:t>
      </w:r>
      <w:r w:rsidR="00D06360" w:rsidRPr="00342BC9">
        <w:t xml:space="preserve"> something like</w:t>
      </w:r>
      <w:r w:rsidR="00F24D94" w:rsidRPr="00342BC9">
        <w:t xml:space="preserve"> ‘The person who has the most money ought to donate’ and ‘I have the most money’. But we assume that there is </w:t>
      </w:r>
      <w:r w:rsidR="00777697" w:rsidRPr="00342BC9">
        <w:t>some</w:t>
      </w:r>
      <w:r w:rsidR="00F24D94" w:rsidRPr="00342BC9">
        <w:t xml:space="preserve"> state that answers th</w:t>
      </w:r>
      <w:r w:rsidR="00777697" w:rsidRPr="00342BC9">
        <w:t>e</w:t>
      </w:r>
      <w:r w:rsidR="00F24D94" w:rsidRPr="00342BC9">
        <w:t xml:space="preserve"> ‘Why them?’ question, if only in a superficial way. The question is whether this state has to be </w:t>
      </w:r>
      <w:r w:rsidR="00F24D94" w:rsidRPr="00342BC9">
        <w:rPr>
          <w:i/>
          <w:iCs/>
        </w:rPr>
        <w:t xml:space="preserve">de se </w:t>
      </w:r>
      <w:r w:rsidR="00F24D94" w:rsidRPr="00342BC9">
        <w:t xml:space="preserve">– </w:t>
      </w:r>
      <w:proofErr w:type="gramStart"/>
      <w:r w:rsidR="00F24D94" w:rsidRPr="00342BC9">
        <w:t>e.g.</w:t>
      </w:r>
      <w:proofErr w:type="gramEnd"/>
      <w:r w:rsidR="00F24D94" w:rsidRPr="00342BC9">
        <w:t xml:space="preserve"> something like a state of </w:t>
      </w:r>
      <w:proofErr w:type="spellStart"/>
      <w:r w:rsidR="00F24D94" w:rsidRPr="00342BC9">
        <w:t>Ofra</w:t>
      </w:r>
      <w:proofErr w:type="spellEnd"/>
      <w:r w:rsidR="00F24D94" w:rsidRPr="00342BC9">
        <w:t xml:space="preserve"> intending ‘to donate to Oxfam’</w:t>
      </w:r>
      <w:r w:rsidR="00777697" w:rsidRPr="00342BC9">
        <w:t xml:space="preserve"> or ‘that I donate to Oxfam’</w:t>
      </w:r>
      <w:r w:rsidRPr="00342BC9">
        <w:t xml:space="preserve"> or ‘that I bring it about that Oxfam</w:t>
      </w:r>
      <w:r w:rsidR="005A39CD" w:rsidRPr="00342BC9">
        <w:t xml:space="preserve"> receives</w:t>
      </w:r>
      <w:r w:rsidRPr="00342BC9">
        <w:t xml:space="preserve"> a donation’</w:t>
      </w:r>
      <w:r w:rsidR="00F24D94" w:rsidRPr="00342BC9">
        <w:t>.</w:t>
      </w:r>
    </w:p>
    <w:p w14:paraId="1EF97B85" w14:textId="77777777" w:rsidR="00342BC9" w:rsidRDefault="00F24D94" w:rsidP="00342BC9">
      <w:pPr>
        <w:spacing w:line="480" w:lineRule="auto"/>
        <w:ind w:firstLine="720"/>
      </w:pPr>
      <w:r w:rsidRPr="00342BC9">
        <w:t xml:space="preserve">On the face of it, it doesn’t. Suppose that </w:t>
      </w:r>
      <w:proofErr w:type="spellStart"/>
      <w:r w:rsidRPr="00342BC9">
        <w:t>Ofra</w:t>
      </w:r>
      <w:proofErr w:type="spellEnd"/>
      <w:r w:rsidRPr="00342BC9">
        <w:t xml:space="preserve"> simply </w:t>
      </w:r>
      <w:r w:rsidR="009B4932" w:rsidRPr="00342BC9">
        <w:t xml:space="preserve">has the non </w:t>
      </w:r>
      <w:r w:rsidR="009B4932" w:rsidRPr="00342BC9">
        <w:rPr>
          <w:i/>
          <w:iCs/>
        </w:rPr>
        <w:t xml:space="preserve">de se </w:t>
      </w:r>
      <w:r w:rsidR="009B4932" w:rsidRPr="00342BC9">
        <w:t>intention</w:t>
      </w:r>
      <w:r w:rsidRPr="00342BC9">
        <w:t xml:space="preserve"> ‘Oxfam receives a donation’. </w:t>
      </w:r>
      <w:r w:rsidR="00F77A05" w:rsidRPr="00342BC9">
        <w:t>C</w:t>
      </w:r>
      <w:r w:rsidRPr="00342BC9">
        <w:t>iting the fact that</w:t>
      </w:r>
      <w:r w:rsidRPr="00342BC9">
        <w:rPr>
          <w:i/>
          <w:iCs/>
        </w:rPr>
        <w:t xml:space="preserve"> she</w:t>
      </w:r>
      <w:r w:rsidRPr="00342BC9">
        <w:t xml:space="preserve"> </w:t>
      </w:r>
      <w:r w:rsidR="009B4932" w:rsidRPr="00342BC9">
        <w:t xml:space="preserve">is the one whose intention it is </w:t>
      </w:r>
      <w:r w:rsidRPr="00342BC9">
        <w:t xml:space="preserve">does seem to make sense of the fact that </w:t>
      </w:r>
      <w:r w:rsidRPr="00342BC9">
        <w:rPr>
          <w:i/>
          <w:iCs/>
        </w:rPr>
        <w:t xml:space="preserve">she </w:t>
      </w:r>
      <w:r w:rsidR="009B4932" w:rsidRPr="00342BC9">
        <w:t>is the one who is</w:t>
      </w:r>
      <w:r w:rsidRPr="00342BC9">
        <w:t xml:space="preserve"> donating. </w:t>
      </w:r>
      <w:r w:rsidR="00150FD1" w:rsidRPr="00342BC9">
        <w:t xml:space="preserve">After all, </w:t>
      </w:r>
      <w:r w:rsidRPr="00342BC9">
        <w:t xml:space="preserve">in who else’s action </w:t>
      </w:r>
      <w:r w:rsidR="009B4932" w:rsidRPr="00342BC9">
        <w:t xml:space="preserve">if not </w:t>
      </w:r>
      <w:proofErr w:type="spellStart"/>
      <w:r w:rsidR="009B4932" w:rsidRPr="00342BC9">
        <w:t>Ofra’s</w:t>
      </w:r>
      <w:proofErr w:type="spellEnd"/>
      <w:r w:rsidR="009B4932" w:rsidRPr="00342BC9">
        <w:t xml:space="preserve"> </w:t>
      </w:r>
      <w:r w:rsidRPr="00342BC9">
        <w:t xml:space="preserve">might </w:t>
      </w:r>
      <w:r w:rsidR="00777697" w:rsidRPr="00342BC9">
        <w:t xml:space="preserve">the </w:t>
      </w:r>
      <w:r w:rsidR="005A39CD" w:rsidRPr="00342BC9">
        <w:t xml:space="preserve">intention </w:t>
      </w:r>
      <w:r w:rsidRPr="00342BC9">
        <w:t xml:space="preserve">instead get expressed? </w:t>
      </w:r>
    </w:p>
    <w:p w14:paraId="72175B2D" w14:textId="77777777" w:rsidR="00342BC9" w:rsidRDefault="00150FD1" w:rsidP="00342BC9">
      <w:pPr>
        <w:spacing w:line="480" w:lineRule="auto"/>
        <w:ind w:firstLine="720"/>
      </w:pPr>
      <w:r w:rsidRPr="00342BC9">
        <w:t xml:space="preserve">I think there is a </w:t>
      </w:r>
      <w:r w:rsidR="00F24D94" w:rsidRPr="00342BC9">
        <w:t xml:space="preserve">metaphysics-first explanation of why the non </w:t>
      </w:r>
      <w:r w:rsidR="00F24D94" w:rsidRPr="00342BC9">
        <w:rPr>
          <w:i/>
          <w:iCs/>
        </w:rPr>
        <w:t xml:space="preserve">de se </w:t>
      </w:r>
      <w:r w:rsidR="005A39CD" w:rsidRPr="00342BC9">
        <w:t>intention</w:t>
      </w:r>
      <w:r w:rsidR="00F24D94" w:rsidRPr="00342BC9">
        <w:t xml:space="preserve"> can answer the ‘Why them?’ question. The pertinent metaphysical fact is that who </w:t>
      </w:r>
      <w:r w:rsidR="00F24D94" w:rsidRPr="00342BC9">
        <w:rPr>
          <w:i/>
          <w:iCs/>
        </w:rPr>
        <w:t>the owner of an intention is</w:t>
      </w:r>
      <w:r w:rsidR="00F24D94" w:rsidRPr="00342BC9">
        <w:t xml:space="preserve"> fixes </w:t>
      </w:r>
      <w:r w:rsidR="00F24D94" w:rsidRPr="00342BC9">
        <w:rPr>
          <w:i/>
          <w:iCs/>
        </w:rPr>
        <w:t>in whose action</w:t>
      </w:r>
      <w:r w:rsidR="00F24D94" w:rsidRPr="00342BC9">
        <w:t xml:space="preserve"> it will get expressed.  So, whatever the further specifics of the intention are, and </w:t>
      </w:r>
      <w:proofErr w:type="gramStart"/>
      <w:r w:rsidR="00F24D94" w:rsidRPr="00342BC9">
        <w:t>in particular whether</w:t>
      </w:r>
      <w:proofErr w:type="gramEnd"/>
      <w:r w:rsidR="00F24D94" w:rsidRPr="00342BC9">
        <w:t xml:space="preserve"> or not it is </w:t>
      </w:r>
      <w:r w:rsidR="00F24D94" w:rsidRPr="00342BC9">
        <w:rPr>
          <w:i/>
          <w:iCs/>
        </w:rPr>
        <w:t>de se</w:t>
      </w:r>
      <w:r w:rsidR="00F24D94" w:rsidRPr="00342BC9">
        <w:t xml:space="preserve">, the fact that its owner is </w:t>
      </w:r>
      <w:proofErr w:type="spellStart"/>
      <w:r w:rsidR="00F24D94" w:rsidRPr="00342BC9">
        <w:t>Ofra</w:t>
      </w:r>
      <w:proofErr w:type="spellEnd"/>
      <w:r w:rsidR="00F24D94" w:rsidRPr="00342BC9">
        <w:t xml:space="preserve"> is enough to explain why it is in </w:t>
      </w:r>
      <w:proofErr w:type="spellStart"/>
      <w:r w:rsidR="00777697" w:rsidRPr="00342BC9">
        <w:t>Ofra’s</w:t>
      </w:r>
      <w:proofErr w:type="spellEnd"/>
      <w:r w:rsidR="00F24D94" w:rsidRPr="00342BC9">
        <w:t xml:space="preserve"> action that it gets expressed. </w:t>
      </w:r>
    </w:p>
    <w:p w14:paraId="6981D3CE" w14:textId="77777777" w:rsidR="00342BC9" w:rsidRDefault="00F24D94" w:rsidP="00342BC9">
      <w:pPr>
        <w:spacing w:line="480" w:lineRule="auto"/>
        <w:ind w:firstLine="720"/>
      </w:pPr>
      <w:r w:rsidRPr="00342BC9">
        <w:t>I put this as an observation about intentions, which are in focus here</w:t>
      </w:r>
      <w:r w:rsidR="00D06360" w:rsidRPr="00342BC9">
        <w:t xml:space="preserve"> because they are the mental states most proximate to action</w:t>
      </w:r>
      <w:r w:rsidRPr="00342BC9">
        <w:t xml:space="preserve">. But the point equally applies to other mental states. Mental states, of S’s, that get expressed in action get expressed in actions of S. Suppose that at </w:t>
      </w:r>
      <w:r w:rsidRPr="00342BC9">
        <w:rPr>
          <w:i/>
          <w:iCs/>
        </w:rPr>
        <w:t xml:space="preserve">t </w:t>
      </w:r>
      <w:r w:rsidRPr="00342BC9">
        <w:t xml:space="preserve">an intention or desire that Oxfam receive a donation were </w:t>
      </w:r>
      <w:proofErr w:type="spellStart"/>
      <w:r w:rsidRPr="00342BC9">
        <w:t>Ofra’s</w:t>
      </w:r>
      <w:proofErr w:type="spellEnd"/>
      <w:r w:rsidRPr="00342BC9">
        <w:t xml:space="preserve"> and at </w:t>
      </w:r>
      <w:r w:rsidRPr="00342BC9">
        <w:rPr>
          <w:i/>
          <w:iCs/>
        </w:rPr>
        <w:t xml:space="preserve">t </w:t>
      </w:r>
      <w:r w:rsidRPr="00342BC9">
        <w:t xml:space="preserve">plus 5 minutes that same intention was magically transferred to Herman. Then merely citing the fact that it was </w:t>
      </w:r>
      <w:proofErr w:type="spellStart"/>
      <w:r w:rsidRPr="00342BC9">
        <w:t>Ofra’s</w:t>
      </w:r>
      <w:proofErr w:type="spellEnd"/>
      <w:r w:rsidRPr="00342BC9">
        <w:t xml:space="preserve"> intention or desire at </w:t>
      </w:r>
      <w:r w:rsidRPr="00342BC9">
        <w:rPr>
          <w:i/>
          <w:iCs/>
        </w:rPr>
        <w:t>t</w:t>
      </w:r>
      <w:r w:rsidRPr="00342BC9">
        <w:t xml:space="preserve"> wouldn’t fix whether it got expressed in </w:t>
      </w:r>
      <w:proofErr w:type="spellStart"/>
      <w:r w:rsidRPr="00342BC9">
        <w:lastRenderedPageBreak/>
        <w:t>Ofra’s</w:t>
      </w:r>
      <w:proofErr w:type="spellEnd"/>
      <w:r w:rsidRPr="00342BC9">
        <w:t xml:space="preserve"> action (at </w:t>
      </w:r>
      <w:r w:rsidRPr="00342BC9">
        <w:rPr>
          <w:i/>
          <w:iCs/>
        </w:rPr>
        <w:t>t</w:t>
      </w:r>
      <w:r w:rsidRPr="00342BC9">
        <w:t xml:space="preserve">) or in Herman’s (at least five minutes later). But that isn’t possible. Mental states </w:t>
      </w:r>
      <w:r w:rsidR="00D35D48" w:rsidRPr="00342BC9">
        <w:t xml:space="preserve">are </w:t>
      </w:r>
      <w:r w:rsidR="00D35D48" w:rsidRPr="00342BC9">
        <w:rPr>
          <w:i/>
          <w:iCs/>
        </w:rPr>
        <w:t>non-transferable</w:t>
      </w:r>
      <w:r w:rsidR="00D35D48" w:rsidRPr="00342BC9">
        <w:t xml:space="preserve">. </w:t>
      </w:r>
      <w:r w:rsidRPr="00342BC9">
        <w:t xml:space="preserve">There’s only one person in whose agency the states of a given person get expressed: that person themselves. That metaphysical </w:t>
      </w:r>
      <w:r w:rsidR="00AD73F3" w:rsidRPr="00342BC9">
        <w:t>truth</w:t>
      </w:r>
      <w:r w:rsidRPr="00342BC9">
        <w:t xml:space="preserve"> is crucial to the possibility of a non-</w:t>
      </w:r>
      <w:r w:rsidRPr="00342BC9">
        <w:rPr>
          <w:i/>
          <w:iCs/>
        </w:rPr>
        <w:t xml:space="preserve">de se </w:t>
      </w:r>
      <w:r w:rsidRPr="00342BC9">
        <w:t xml:space="preserve">intention answering the ‘Why them?’ question. </w:t>
      </w:r>
    </w:p>
    <w:p w14:paraId="1981C41E" w14:textId="77777777" w:rsidR="00342BC9" w:rsidRDefault="00FB36C8" w:rsidP="00342BC9">
      <w:pPr>
        <w:spacing w:line="480" w:lineRule="auto"/>
        <w:ind w:firstLine="720"/>
      </w:pPr>
      <w:r w:rsidRPr="00342BC9">
        <w:t>Since</w:t>
      </w:r>
      <w:r w:rsidR="00AD73F3" w:rsidRPr="00342BC9">
        <w:t xml:space="preserve"> the non-transferability claim is so crucial, </w:t>
      </w:r>
      <w:r w:rsidR="00F75096" w:rsidRPr="00342BC9">
        <w:t xml:space="preserve">we had better </w:t>
      </w:r>
      <w:r w:rsidR="0048220C" w:rsidRPr="00342BC9">
        <w:t>b</w:t>
      </w:r>
      <w:r w:rsidR="00F75096" w:rsidRPr="00342BC9">
        <w:t xml:space="preserve">e sure </w:t>
      </w:r>
      <w:r w:rsidR="00AD73F3" w:rsidRPr="00342BC9">
        <w:t>that</w:t>
      </w:r>
      <w:r w:rsidR="00F75096" w:rsidRPr="00342BC9">
        <w:t xml:space="preserve"> </w:t>
      </w:r>
      <w:r w:rsidR="00AD73F3" w:rsidRPr="00342BC9">
        <w:t xml:space="preserve">it </w:t>
      </w:r>
      <w:r w:rsidR="00F75096" w:rsidRPr="00342BC9">
        <w:t xml:space="preserve">really is </w:t>
      </w:r>
      <w:r w:rsidR="00AD73F3" w:rsidRPr="00342BC9">
        <w:t>true</w:t>
      </w:r>
      <w:r w:rsidR="00F75096" w:rsidRPr="00342BC9">
        <w:t>. One way of stress</w:t>
      </w:r>
      <w:r w:rsidR="00CD2F97" w:rsidRPr="00342BC9">
        <w:t>-</w:t>
      </w:r>
      <w:r w:rsidR="00F75096" w:rsidRPr="00342BC9">
        <w:t xml:space="preserve">testing </w:t>
      </w:r>
      <w:r w:rsidR="00AD73F3" w:rsidRPr="00342BC9">
        <w:t xml:space="preserve">it </w:t>
      </w:r>
      <w:r w:rsidR="00745FEA" w:rsidRPr="00342BC9">
        <w:t xml:space="preserve">is by thinking </w:t>
      </w:r>
      <w:r w:rsidR="00AD73F3" w:rsidRPr="00342BC9">
        <w:t xml:space="preserve">through a </w:t>
      </w:r>
      <w:r w:rsidR="00745FEA" w:rsidRPr="00342BC9">
        <w:t>case that might</w:t>
      </w:r>
      <w:r w:rsidR="00F12F26" w:rsidRPr="00342BC9">
        <w:t xml:space="preserve"> appear to be a counterexample</w:t>
      </w:r>
      <w:r w:rsidR="00745FEA" w:rsidRPr="00342BC9">
        <w:t xml:space="preserve">.  </w:t>
      </w:r>
      <w:r w:rsidR="00AD73F3" w:rsidRPr="00342BC9">
        <w:t>The following</w:t>
      </w:r>
      <w:r w:rsidR="00F12F26" w:rsidRPr="00342BC9">
        <w:t xml:space="preserve"> case</w:t>
      </w:r>
      <w:r w:rsidR="00AD73F3" w:rsidRPr="00342BC9">
        <w:t xml:space="preserve"> seems </w:t>
      </w:r>
      <w:r w:rsidR="00745FEA" w:rsidRPr="00342BC9">
        <w:t>at least conceptual</w:t>
      </w:r>
      <w:r w:rsidR="00AD73F3" w:rsidRPr="00342BC9">
        <w:t>ly</w:t>
      </w:r>
      <w:r w:rsidR="00745FEA" w:rsidRPr="00342BC9">
        <w:t xml:space="preserve"> </w:t>
      </w:r>
      <w:r w:rsidR="00AD73F3" w:rsidRPr="00342BC9">
        <w:t>possible:</w:t>
      </w:r>
      <w:r w:rsidR="00745FEA" w:rsidRPr="00342BC9">
        <w:t xml:space="preserve"> I become wired to a body other than the one that I normally control. </w:t>
      </w:r>
      <w:proofErr w:type="gramStart"/>
      <w:r w:rsidR="00745FEA" w:rsidRPr="00342BC9">
        <w:t>E.g.</w:t>
      </w:r>
      <w:proofErr w:type="gramEnd"/>
      <w:r w:rsidR="00745FEA" w:rsidRPr="00342BC9">
        <w:t xml:space="preserve"> your consciousness is temporarily muted, and, while it is, I am somehow able remotely to make use of your body. </w:t>
      </w:r>
      <w:r w:rsidR="00F12F26" w:rsidRPr="00342BC9">
        <w:t>In this way, y</w:t>
      </w:r>
      <w:r w:rsidR="00745FEA" w:rsidRPr="00342BC9">
        <w:t xml:space="preserve">ou become my avatar.  I use your body to execute my intention to shoot the President. </w:t>
      </w:r>
    </w:p>
    <w:p w14:paraId="5BEF8E3C" w14:textId="77777777" w:rsidR="00342BC9" w:rsidRDefault="00AD73F3" w:rsidP="00342BC9">
      <w:pPr>
        <w:spacing w:line="480" w:lineRule="auto"/>
        <w:ind w:firstLine="720"/>
      </w:pPr>
      <w:r w:rsidRPr="00342BC9">
        <w:t xml:space="preserve">Might this be a case of transfer, </w:t>
      </w:r>
      <w:proofErr w:type="gramStart"/>
      <w:r w:rsidRPr="00342BC9">
        <w:t>i.e.</w:t>
      </w:r>
      <w:proofErr w:type="gramEnd"/>
      <w:r w:rsidRPr="00342BC9">
        <w:t xml:space="preserve"> a case in which my intention gets expressed in your action?</w:t>
      </w:r>
      <w:r w:rsidR="00015F68" w:rsidRPr="00342BC9">
        <w:rPr>
          <w:rStyle w:val="FootnoteReference"/>
        </w:rPr>
        <w:t xml:space="preserve"> </w:t>
      </w:r>
      <w:r w:rsidR="00015F68" w:rsidRPr="00342BC9">
        <w:rPr>
          <w:rStyle w:val="FootnoteReference"/>
        </w:rPr>
        <w:footnoteReference w:id="15"/>
      </w:r>
      <w:r w:rsidRPr="00342BC9">
        <w:t xml:space="preserve"> I</w:t>
      </w:r>
      <w:r w:rsidR="00CD2F97" w:rsidRPr="00342BC9">
        <w:t xml:space="preserve"> say not</w:t>
      </w:r>
      <w:r w:rsidRPr="00342BC9">
        <w:t xml:space="preserve">. </w:t>
      </w:r>
      <w:r w:rsidR="00745FEA" w:rsidRPr="00342BC9">
        <w:t>T</w:t>
      </w:r>
      <w:r w:rsidRPr="00342BC9">
        <w:t>ransfer</w:t>
      </w:r>
      <w:r w:rsidR="00F12F26" w:rsidRPr="00342BC9">
        <w:t xml:space="preserve"> w</w:t>
      </w:r>
      <w:r w:rsidR="00745FEA" w:rsidRPr="00342BC9">
        <w:t>ould</w:t>
      </w:r>
      <w:r w:rsidRPr="00342BC9">
        <w:t xml:space="preserve"> </w:t>
      </w:r>
      <w:r w:rsidR="00F12F26" w:rsidRPr="00342BC9">
        <w:t xml:space="preserve">have to </w:t>
      </w:r>
      <w:r w:rsidRPr="00342BC9">
        <w:t xml:space="preserve">happen in one of two ways. It </w:t>
      </w:r>
      <w:r w:rsidR="00F12F26" w:rsidRPr="00342BC9">
        <w:t>w</w:t>
      </w:r>
      <w:r w:rsidRPr="00342BC9">
        <w:t>ould</w:t>
      </w:r>
      <w:r w:rsidR="00745FEA" w:rsidRPr="00342BC9">
        <w:t xml:space="preserve"> happen if my intention became </w:t>
      </w:r>
      <w:r w:rsidR="00745FEA" w:rsidRPr="00342BC9">
        <w:rPr>
          <w:i/>
          <w:iCs/>
        </w:rPr>
        <w:t xml:space="preserve">your </w:t>
      </w:r>
      <w:proofErr w:type="gramStart"/>
      <w:r w:rsidR="00745FEA" w:rsidRPr="00342BC9">
        <w:t>intention, and</w:t>
      </w:r>
      <w:proofErr w:type="gramEnd"/>
      <w:r w:rsidR="00745FEA" w:rsidRPr="00342BC9">
        <w:t xml:space="preserve"> got expressed in your action. But this is not a case in which, while unconscious, you formed an intention to shoot the President. If </w:t>
      </w:r>
      <w:r w:rsidR="00745FEA" w:rsidRPr="00342BC9">
        <w:rPr>
          <w:i/>
          <w:iCs/>
        </w:rPr>
        <w:t xml:space="preserve">forming </w:t>
      </w:r>
      <w:r w:rsidRPr="00342BC9">
        <w:rPr>
          <w:i/>
          <w:iCs/>
        </w:rPr>
        <w:t xml:space="preserve">an intention to kill </w:t>
      </w:r>
      <w:r w:rsidR="00745FEA" w:rsidRPr="00342BC9">
        <w:t xml:space="preserve">is morally appalling, then I have done something morally appalling, but you haven’t. Alternatively, transfer </w:t>
      </w:r>
      <w:r w:rsidR="00F12F26" w:rsidRPr="00342BC9">
        <w:t>w</w:t>
      </w:r>
      <w:r w:rsidR="00745FEA" w:rsidRPr="00342BC9">
        <w:t xml:space="preserve">ould happen if my intention, while remaining my intention, got expressed in </w:t>
      </w:r>
      <w:r w:rsidR="00745FEA" w:rsidRPr="00342BC9">
        <w:rPr>
          <w:i/>
          <w:iCs/>
        </w:rPr>
        <w:t>your</w:t>
      </w:r>
      <w:r w:rsidR="00745FEA" w:rsidRPr="00342BC9">
        <w:t xml:space="preserve"> action. But that doesn’t happen </w:t>
      </w:r>
      <w:r w:rsidR="00105050" w:rsidRPr="00342BC9">
        <w:t>either</w:t>
      </w:r>
      <w:r w:rsidRPr="00342BC9">
        <w:t>.</w:t>
      </w:r>
      <w:r w:rsidR="00745FEA" w:rsidRPr="00342BC9">
        <w:t xml:space="preserve"> You haven’t performed any action</w:t>
      </w:r>
      <w:r w:rsidR="00F75096" w:rsidRPr="00342BC9">
        <w:t xml:space="preserve">, granted that </w:t>
      </w:r>
      <w:r w:rsidR="00F12F26" w:rsidRPr="00342BC9">
        <w:t>‘</w:t>
      </w:r>
      <w:r w:rsidR="00745FEA" w:rsidRPr="00342BC9">
        <w:t>action</w:t>
      </w:r>
      <w:r w:rsidR="00F12F26" w:rsidRPr="00342BC9">
        <w:t>’</w:t>
      </w:r>
      <w:r w:rsidR="00745FEA" w:rsidRPr="00342BC9">
        <w:t xml:space="preserve"> </w:t>
      </w:r>
      <w:r w:rsidR="00F81A9C" w:rsidRPr="00342BC9">
        <w:t>refers to</w:t>
      </w:r>
      <w:r w:rsidR="00745FEA" w:rsidRPr="00342BC9">
        <w:t xml:space="preserve"> intentional action</w:t>
      </w:r>
      <w:r w:rsidR="00F75096" w:rsidRPr="00342BC9">
        <w:t xml:space="preserve">. </w:t>
      </w:r>
      <w:r w:rsidR="00745FEA" w:rsidRPr="00342BC9">
        <w:t xml:space="preserve">If </w:t>
      </w:r>
      <w:r w:rsidR="00745FEA" w:rsidRPr="00342BC9">
        <w:rPr>
          <w:i/>
          <w:iCs/>
        </w:rPr>
        <w:t xml:space="preserve">killing </w:t>
      </w:r>
      <w:r w:rsidR="00745FEA" w:rsidRPr="00342BC9">
        <w:t>is morally appalling, then I have done something morally appalling but you haven’t</w:t>
      </w:r>
      <w:r w:rsidR="00073155" w:rsidRPr="00342BC9">
        <w:t xml:space="preserve"> (your role, later, may be more like that of a traumatised witness)</w:t>
      </w:r>
      <w:r w:rsidR="00745FEA" w:rsidRPr="00342BC9">
        <w:t xml:space="preserve">. </w:t>
      </w:r>
      <w:r w:rsidR="00F75096" w:rsidRPr="00342BC9">
        <w:t xml:space="preserve">Of course, it will </w:t>
      </w:r>
      <w:r w:rsidR="00F12F26" w:rsidRPr="00342BC9">
        <w:rPr>
          <w:i/>
          <w:iCs/>
        </w:rPr>
        <w:t>look</w:t>
      </w:r>
      <w:r w:rsidR="00F75096" w:rsidRPr="00342BC9">
        <w:rPr>
          <w:i/>
          <w:iCs/>
        </w:rPr>
        <w:t xml:space="preserve"> </w:t>
      </w:r>
      <w:r w:rsidR="00F75096" w:rsidRPr="00342BC9">
        <w:t xml:space="preserve">to an observer as though you are acting. Moreover, </w:t>
      </w:r>
      <w:r w:rsidR="00745FEA" w:rsidRPr="00342BC9">
        <w:t xml:space="preserve">the </w:t>
      </w:r>
      <w:r w:rsidR="00073155" w:rsidRPr="00342BC9">
        <w:t xml:space="preserve">specific </w:t>
      </w:r>
      <w:r w:rsidR="00745FEA" w:rsidRPr="00342BC9">
        <w:t>means via which I acted</w:t>
      </w:r>
      <w:r w:rsidR="00F75096" w:rsidRPr="00342BC9">
        <w:t xml:space="preserve"> might </w:t>
      </w:r>
      <w:r w:rsidR="00745FEA" w:rsidRPr="00342BC9">
        <w:t>only</w:t>
      </w:r>
      <w:r w:rsidR="00F12F26" w:rsidRPr="00342BC9">
        <w:t xml:space="preserve"> be</w:t>
      </w:r>
      <w:r w:rsidR="00745FEA" w:rsidRPr="00342BC9">
        <w:t xml:space="preserve"> available to me because I</w:t>
      </w:r>
      <w:r w:rsidR="00F12F26" w:rsidRPr="00342BC9">
        <w:t xml:space="preserve"> am using</w:t>
      </w:r>
      <w:r w:rsidR="00F81A9C" w:rsidRPr="00342BC9">
        <w:t xml:space="preserve"> you as</w:t>
      </w:r>
      <w:r w:rsidR="00F12F26" w:rsidRPr="00342BC9">
        <w:t xml:space="preserve"> an avatar</w:t>
      </w:r>
      <w:r w:rsidR="00745FEA" w:rsidRPr="00342BC9">
        <w:t xml:space="preserve">. </w:t>
      </w:r>
      <w:proofErr w:type="gramStart"/>
      <w:r w:rsidR="00745FEA" w:rsidRPr="00342BC9">
        <w:t>E.g.</w:t>
      </w:r>
      <w:proofErr w:type="gramEnd"/>
      <w:r w:rsidR="00745FEA" w:rsidRPr="00342BC9">
        <w:t xml:space="preserve"> A bazooka was my weapon of choice </w:t>
      </w:r>
      <w:r w:rsidR="00073155" w:rsidRPr="00342BC9">
        <w:t xml:space="preserve">even though my own body is far too weak for such a heavy </w:t>
      </w:r>
      <w:r w:rsidR="00F12F26" w:rsidRPr="00342BC9">
        <w:t>gun</w:t>
      </w:r>
      <w:r w:rsidR="00073155" w:rsidRPr="00342BC9">
        <w:t xml:space="preserve">. </w:t>
      </w:r>
      <w:r w:rsidR="00745FEA" w:rsidRPr="00342BC9">
        <w:t xml:space="preserve">To that extent, the </w:t>
      </w:r>
      <w:r w:rsidR="00073155" w:rsidRPr="00342BC9">
        <w:t>action</w:t>
      </w:r>
      <w:r w:rsidR="00745FEA" w:rsidRPr="00342BC9">
        <w:t xml:space="preserve"> bears the distinctive agential signature of your bodily capacities. But that is analogous to the way that, if I am </w:t>
      </w:r>
      <w:r w:rsidR="00073155" w:rsidRPr="00342BC9">
        <w:t>in</w:t>
      </w:r>
      <w:r w:rsidR="00745FEA" w:rsidRPr="00342BC9">
        <w:t xml:space="preserve"> a Ferrari, </w:t>
      </w:r>
      <w:r w:rsidR="00F12F26" w:rsidRPr="00342BC9">
        <w:lastRenderedPageBreak/>
        <w:t>how</w:t>
      </w:r>
      <w:r w:rsidRPr="00342BC9">
        <w:t xml:space="preserve"> I accelerate may</w:t>
      </w:r>
      <w:r w:rsidR="00745FEA" w:rsidRPr="00342BC9">
        <w:t xml:space="preserve"> bear the signature of</w:t>
      </w:r>
      <w:r w:rsidRPr="00342BC9">
        <w:t xml:space="preserve"> the</w:t>
      </w:r>
      <w:r w:rsidR="00745FEA" w:rsidRPr="00342BC9">
        <w:t xml:space="preserve"> car’s</w:t>
      </w:r>
      <w:r w:rsidRPr="00342BC9">
        <w:t xml:space="preserve"> distinctive</w:t>
      </w:r>
      <w:r w:rsidR="00745FEA" w:rsidRPr="00342BC9">
        <w:t xml:space="preserve"> capacities. It doesn’t mean that</w:t>
      </w:r>
      <w:r w:rsidR="00105050" w:rsidRPr="00342BC9">
        <w:t xml:space="preserve"> you are really the agent, any more than it means</w:t>
      </w:r>
      <w:r w:rsidR="00745FEA" w:rsidRPr="00342BC9">
        <w:t xml:space="preserve"> the</w:t>
      </w:r>
      <w:r w:rsidRPr="00342BC9">
        <w:t xml:space="preserve"> </w:t>
      </w:r>
      <w:r w:rsidR="00CD2F97" w:rsidRPr="00342BC9">
        <w:t>car</w:t>
      </w:r>
      <w:r w:rsidRPr="00342BC9">
        <w:t xml:space="preserve"> is really the agent</w:t>
      </w:r>
      <w:r w:rsidR="00105050" w:rsidRPr="00342BC9">
        <w:t xml:space="preserve">. </w:t>
      </w:r>
    </w:p>
    <w:p w14:paraId="6BEE8283" w14:textId="103076A1" w:rsidR="00F24D94" w:rsidRPr="00342BC9" w:rsidRDefault="00F24D94" w:rsidP="00342BC9">
      <w:pPr>
        <w:spacing w:line="480" w:lineRule="auto"/>
        <w:ind w:firstLine="720"/>
      </w:pPr>
      <w:r w:rsidRPr="00342BC9">
        <w:t xml:space="preserve">We’ve now discussed the action without the </w:t>
      </w:r>
      <w:r w:rsidRPr="00342BC9">
        <w:rPr>
          <w:i/>
          <w:iCs/>
        </w:rPr>
        <w:t xml:space="preserve">de se </w:t>
      </w:r>
      <w:r w:rsidRPr="00342BC9">
        <w:t xml:space="preserve">cases the literature explicitly focuses on. </w:t>
      </w:r>
      <w:r w:rsidR="009D79DC" w:rsidRPr="00342BC9">
        <w:t xml:space="preserve">Assuming you buy that action without the </w:t>
      </w:r>
      <w:r w:rsidR="009D79DC" w:rsidRPr="00342BC9">
        <w:rPr>
          <w:i/>
          <w:iCs/>
        </w:rPr>
        <w:t xml:space="preserve">de se </w:t>
      </w:r>
      <w:r w:rsidR="009D79DC" w:rsidRPr="00342BC9">
        <w:t xml:space="preserve">cases are possible, should you also accept the possibility of action without the </w:t>
      </w:r>
      <w:r w:rsidR="009D79DC" w:rsidRPr="00342BC9">
        <w:rPr>
          <w:i/>
          <w:iCs/>
        </w:rPr>
        <w:t xml:space="preserve">de </w:t>
      </w:r>
      <w:proofErr w:type="spellStart"/>
      <w:r w:rsidR="009D79DC" w:rsidRPr="00342BC9">
        <w:rPr>
          <w:i/>
          <w:iCs/>
        </w:rPr>
        <w:t>nun</w:t>
      </w:r>
      <w:r w:rsidR="00150FD1" w:rsidRPr="00342BC9">
        <w:rPr>
          <w:i/>
          <w:iCs/>
        </w:rPr>
        <w:t>c</w:t>
      </w:r>
      <w:proofErr w:type="spellEnd"/>
      <w:r w:rsidR="009D79DC" w:rsidRPr="00342BC9">
        <w:rPr>
          <w:i/>
          <w:iCs/>
        </w:rPr>
        <w:t>?</w:t>
      </w:r>
    </w:p>
    <w:p w14:paraId="1E18E44B" w14:textId="2E43C85E" w:rsidR="00F24D94" w:rsidRPr="00342BC9" w:rsidRDefault="006A76D8" w:rsidP="00342BC9">
      <w:pPr>
        <w:spacing w:line="480" w:lineRule="auto"/>
      </w:pPr>
      <w:r w:rsidRPr="00342BC9">
        <w:t>(</w:t>
      </w:r>
      <w:proofErr w:type="spellStart"/>
      <w:r w:rsidRPr="00342BC9">
        <w:t>iib</w:t>
      </w:r>
      <w:proofErr w:type="spellEnd"/>
      <w:r w:rsidRPr="00342BC9">
        <w:t xml:space="preserve">) ‘Why </w:t>
      </w:r>
      <w:r w:rsidR="00001385" w:rsidRPr="00342BC9">
        <w:t>T</w:t>
      </w:r>
      <w:r w:rsidRPr="00342BC9">
        <w:t xml:space="preserve">hen?’ and </w:t>
      </w:r>
      <w:r w:rsidR="00001385" w:rsidRPr="00342BC9">
        <w:rPr>
          <w:i/>
          <w:iCs/>
        </w:rPr>
        <w:t>D</w:t>
      </w:r>
      <w:r w:rsidRPr="00342BC9">
        <w:rPr>
          <w:i/>
          <w:iCs/>
        </w:rPr>
        <w:t xml:space="preserve">e </w:t>
      </w:r>
      <w:r w:rsidR="00001385" w:rsidRPr="00342BC9">
        <w:rPr>
          <w:i/>
          <w:iCs/>
        </w:rPr>
        <w:t>N</w:t>
      </w:r>
      <w:r w:rsidRPr="00342BC9">
        <w:rPr>
          <w:i/>
          <w:iCs/>
        </w:rPr>
        <w:t xml:space="preserve">unc </w:t>
      </w:r>
      <w:r w:rsidR="00001385" w:rsidRPr="00342BC9">
        <w:t>T</w:t>
      </w:r>
      <w:r w:rsidRPr="00342BC9">
        <w:t>hought</w:t>
      </w:r>
    </w:p>
    <w:p w14:paraId="1DFAE326" w14:textId="3D3F5A0D" w:rsidR="00F24D94" w:rsidRPr="00342BC9" w:rsidRDefault="00F24D94" w:rsidP="00342BC9">
      <w:pPr>
        <w:spacing w:line="480" w:lineRule="auto"/>
        <w:ind w:firstLine="720"/>
      </w:pPr>
      <w:r w:rsidRPr="00342BC9">
        <w:t xml:space="preserve">If an agent ever does anything, there will be some </w:t>
      </w:r>
      <w:proofErr w:type="gramStart"/>
      <w:r w:rsidRPr="00342BC9">
        <w:t>particular time</w:t>
      </w:r>
      <w:proofErr w:type="gramEnd"/>
      <w:r w:rsidRPr="00342BC9">
        <w:t xml:space="preserve"> at which they do that thing. We can ask ‘Why </w:t>
      </w:r>
      <w:r w:rsidR="00777697" w:rsidRPr="00342BC9">
        <w:t>were</w:t>
      </w:r>
      <w:r w:rsidRPr="00342BC9">
        <w:t xml:space="preserve"> they doing it </w:t>
      </w:r>
      <w:r w:rsidRPr="00342BC9">
        <w:rPr>
          <w:i/>
          <w:iCs/>
        </w:rPr>
        <w:t>then</w:t>
      </w:r>
      <w:r w:rsidRPr="00342BC9">
        <w:t>, as opposed to a few minutes before or after?’</w:t>
      </w:r>
      <w:r w:rsidR="009D79DC" w:rsidRPr="00342BC9">
        <w:t>.</w:t>
      </w:r>
      <w:r w:rsidRPr="00342BC9">
        <w:t xml:space="preserve"> There won’t always be a non-superficial answer to this question (</w:t>
      </w:r>
      <w:proofErr w:type="gramStart"/>
      <w:r w:rsidR="00777697" w:rsidRPr="00342BC9">
        <w:t>e.g.</w:t>
      </w:r>
      <w:proofErr w:type="gramEnd"/>
      <w:r w:rsidR="00777697" w:rsidRPr="00342BC9">
        <w:t xml:space="preserve"> </w:t>
      </w:r>
      <w:r w:rsidRPr="00342BC9">
        <w:rPr>
          <w:i/>
          <w:iCs/>
        </w:rPr>
        <w:t xml:space="preserve">‘I </w:t>
      </w:r>
      <w:r w:rsidRPr="00342BC9">
        <w:t xml:space="preserve">want to do it to coincide with </w:t>
      </w:r>
      <w:r w:rsidRPr="00342BC9">
        <w:rPr>
          <w:i/>
          <w:iCs/>
        </w:rPr>
        <w:t xml:space="preserve">x. x </w:t>
      </w:r>
      <w:r w:rsidRPr="00342BC9">
        <w:t xml:space="preserve">is happening now’). But there will always be </w:t>
      </w:r>
      <w:r w:rsidR="00150FD1" w:rsidRPr="00342BC9">
        <w:t xml:space="preserve">at least </w:t>
      </w:r>
      <w:r w:rsidRPr="00342BC9">
        <w:t xml:space="preserve">a superficial answer to this question. The question is whether the superficial answer could fail to be </w:t>
      </w:r>
      <w:r w:rsidRPr="00342BC9">
        <w:rPr>
          <w:i/>
          <w:iCs/>
        </w:rPr>
        <w:t xml:space="preserve">de </w:t>
      </w:r>
      <w:proofErr w:type="spellStart"/>
      <w:r w:rsidRPr="00342BC9">
        <w:rPr>
          <w:i/>
          <w:iCs/>
        </w:rPr>
        <w:t>nunc</w:t>
      </w:r>
      <w:proofErr w:type="spellEnd"/>
      <w:r w:rsidRPr="00342BC9">
        <w:rPr>
          <w:i/>
          <w:iCs/>
        </w:rPr>
        <w:t xml:space="preserve">. </w:t>
      </w:r>
      <w:r w:rsidRPr="00342BC9">
        <w:t xml:space="preserve">For concreteness, let’s say the action is: doing </w:t>
      </w:r>
      <w:r w:rsidR="009D79DC" w:rsidRPr="00342BC9">
        <w:t xml:space="preserve">a certain </w:t>
      </w:r>
      <w:r w:rsidRPr="00342BC9">
        <w:t>physio exercise.</w:t>
      </w:r>
      <w:r w:rsidRPr="00342BC9">
        <w:rPr>
          <w:i/>
          <w:iCs/>
        </w:rPr>
        <w:t xml:space="preserve"> </w:t>
      </w:r>
      <w:r w:rsidRPr="00342BC9">
        <w:t xml:space="preserve">The time </w:t>
      </w:r>
      <w:r w:rsidR="002D32A1" w:rsidRPr="00342BC9">
        <w:t xml:space="preserve">of the </w:t>
      </w:r>
      <w:r w:rsidRPr="00342BC9">
        <w:t xml:space="preserve">action is: </w:t>
      </w:r>
      <w:r w:rsidRPr="00342BC9">
        <w:rPr>
          <w:i/>
          <w:iCs/>
        </w:rPr>
        <w:t xml:space="preserve">12.03 </w:t>
      </w:r>
      <w:r w:rsidRPr="00342BC9">
        <w:t xml:space="preserve">(on a given day). I, Author, am the agent. I’ll first distinguish a few different kinds of </w:t>
      </w:r>
      <w:r w:rsidR="00D35D48" w:rsidRPr="00342BC9">
        <w:t>possibilities for answering the ‘Why then?’ question</w:t>
      </w:r>
      <w:r w:rsidRPr="00342BC9">
        <w:t xml:space="preserve"> that one naturally thinks of for a case like </w:t>
      </w:r>
      <w:proofErr w:type="gramStart"/>
      <w:r w:rsidRPr="00342BC9">
        <w:t>this, and</w:t>
      </w:r>
      <w:proofErr w:type="gramEnd"/>
      <w:r w:rsidRPr="00342BC9">
        <w:t xml:space="preserve"> note how they all on examination turn out to be </w:t>
      </w:r>
      <w:r w:rsidRPr="00342BC9">
        <w:rPr>
          <w:i/>
          <w:iCs/>
        </w:rPr>
        <w:t xml:space="preserve">de </w:t>
      </w:r>
      <w:proofErr w:type="spellStart"/>
      <w:r w:rsidRPr="00342BC9">
        <w:rPr>
          <w:i/>
          <w:iCs/>
        </w:rPr>
        <w:t>nunc</w:t>
      </w:r>
      <w:proofErr w:type="spellEnd"/>
      <w:r w:rsidRPr="00342BC9">
        <w:t xml:space="preserve">. I’ll then </w:t>
      </w:r>
      <w:r w:rsidR="00777697" w:rsidRPr="00342BC9">
        <w:t>explain why</w:t>
      </w:r>
      <w:r w:rsidRPr="00342BC9">
        <w:t xml:space="preserve"> the ‘action without the </w:t>
      </w:r>
      <w:r w:rsidRPr="00342BC9">
        <w:rPr>
          <w:i/>
          <w:iCs/>
        </w:rPr>
        <w:t>de se</w:t>
      </w:r>
      <w:r w:rsidRPr="00342BC9">
        <w:t xml:space="preserve">’ </w:t>
      </w:r>
      <w:r w:rsidR="00226193" w:rsidRPr="00342BC9">
        <w:t>recipe</w:t>
      </w:r>
      <w:r w:rsidRPr="00342BC9">
        <w:t xml:space="preserve"> the Oxfam example </w:t>
      </w:r>
      <w:r w:rsidR="00226193" w:rsidRPr="00342BC9">
        <w:t xml:space="preserve">exemplifies </w:t>
      </w:r>
      <w:r w:rsidRPr="00342BC9">
        <w:t xml:space="preserve">fails to provide a </w:t>
      </w:r>
      <w:r w:rsidR="002D32A1" w:rsidRPr="00342BC9">
        <w:t>model</w:t>
      </w:r>
      <w:r w:rsidRPr="00342BC9">
        <w:t xml:space="preserve"> for constructing a different</w:t>
      </w:r>
      <w:r w:rsidR="002D32A1" w:rsidRPr="00342BC9">
        <w:t xml:space="preserve">, non </w:t>
      </w:r>
      <w:r w:rsidR="002D32A1" w:rsidRPr="00342BC9">
        <w:rPr>
          <w:i/>
          <w:iCs/>
        </w:rPr>
        <w:t xml:space="preserve">de </w:t>
      </w:r>
      <w:proofErr w:type="spellStart"/>
      <w:r w:rsidR="002D32A1" w:rsidRPr="00342BC9">
        <w:rPr>
          <w:i/>
          <w:iCs/>
        </w:rPr>
        <w:t>nunc</w:t>
      </w:r>
      <w:proofErr w:type="spellEnd"/>
      <w:r w:rsidRPr="00342BC9">
        <w:t xml:space="preserve"> kind of </w:t>
      </w:r>
      <w:r w:rsidR="005C78DD" w:rsidRPr="00342BC9">
        <w:t>answer</w:t>
      </w:r>
      <w:r w:rsidRPr="00342BC9">
        <w:t xml:space="preserve">.  </w:t>
      </w:r>
    </w:p>
    <w:p w14:paraId="3B97878D" w14:textId="77777777" w:rsidR="00342BC9" w:rsidRDefault="00F24D94" w:rsidP="00342BC9">
      <w:pPr>
        <w:spacing w:line="480" w:lineRule="auto"/>
        <w:ind w:firstLine="720"/>
      </w:pPr>
      <w:r w:rsidRPr="00342BC9">
        <w:t xml:space="preserve">In one kind of </w:t>
      </w:r>
      <w:r w:rsidRPr="00342BC9">
        <w:rPr>
          <w:i/>
          <w:iCs/>
        </w:rPr>
        <w:t xml:space="preserve">de </w:t>
      </w:r>
      <w:proofErr w:type="spellStart"/>
      <w:r w:rsidRPr="00342BC9">
        <w:rPr>
          <w:i/>
          <w:iCs/>
        </w:rPr>
        <w:t>nunc</w:t>
      </w:r>
      <w:proofErr w:type="spellEnd"/>
      <w:r w:rsidRPr="00342BC9">
        <w:rPr>
          <w:i/>
          <w:iCs/>
        </w:rPr>
        <w:t>-</w:t>
      </w:r>
      <w:r w:rsidRPr="00342BC9">
        <w:t xml:space="preserve">involving case, </w:t>
      </w:r>
      <w:r w:rsidR="008B215D" w:rsidRPr="00342BC9">
        <w:t xml:space="preserve">I form </w:t>
      </w:r>
      <w:r w:rsidRPr="00342BC9">
        <w:t xml:space="preserve">an intention, at some earlier point, to do </w:t>
      </w:r>
      <w:r w:rsidR="008B215D" w:rsidRPr="00342BC9">
        <w:t xml:space="preserve">my </w:t>
      </w:r>
      <w:r w:rsidRPr="00342BC9">
        <w:t xml:space="preserve">physio exercise </w:t>
      </w:r>
      <w:r w:rsidRPr="00342BC9">
        <w:rPr>
          <w:i/>
          <w:iCs/>
        </w:rPr>
        <w:t>at some time or other</w:t>
      </w:r>
      <w:r w:rsidRPr="00342BC9">
        <w:t xml:space="preserve"> and, at </w:t>
      </w:r>
      <w:r w:rsidRPr="00342BC9">
        <w:rPr>
          <w:i/>
          <w:iCs/>
        </w:rPr>
        <w:t>12.03</w:t>
      </w:r>
      <w:r w:rsidRPr="00342BC9">
        <w:t xml:space="preserve">, this gives way to a </w:t>
      </w:r>
      <w:r w:rsidRPr="00342BC9">
        <w:rPr>
          <w:i/>
          <w:iCs/>
        </w:rPr>
        <w:t xml:space="preserve">de </w:t>
      </w:r>
      <w:proofErr w:type="spellStart"/>
      <w:r w:rsidRPr="00342BC9">
        <w:rPr>
          <w:i/>
          <w:iCs/>
        </w:rPr>
        <w:t>nunc</w:t>
      </w:r>
      <w:proofErr w:type="spellEnd"/>
      <w:r w:rsidRPr="00342BC9">
        <w:t xml:space="preserve"> intention, and yields action then. There could be some feature of that moment that makes it seem like the right time to act</w:t>
      </w:r>
      <w:r w:rsidR="00D35D48" w:rsidRPr="00342BC9">
        <w:t>. B</w:t>
      </w:r>
      <w:r w:rsidRPr="00342BC9">
        <w:t xml:space="preserve">ut there need not be. Time is a fertile source of </w:t>
      </w:r>
      <w:proofErr w:type="spellStart"/>
      <w:r w:rsidRPr="00342BC9">
        <w:t>Buridan’s</w:t>
      </w:r>
      <w:proofErr w:type="spellEnd"/>
      <w:r w:rsidRPr="00342BC9">
        <w:t xml:space="preserve"> ass cases. People regularly act at one time in full awareness that acting a </w:t>
      </w:r>
      <w:proofErr w:type="gramStart"/>
      <w:r w:rsidRPr="00342BC9">
        <w:t>bit</w:t>
      </w:r>
      <w:proofErr w:type="gramEnd"/>
      <w:r w:rsidRPr="00342BC9">
        <w:t xml:space="preserve"> </w:t>
      </w:r>
      <w:r w:rsidR="00226193" w:rsidRPr="00342BC9">
        <w:t xml:space="preserve">or a lot </w:t>
      </w:r>
      <w:r w:rsidRPr="00342BC9">
        <w:t xml:space="preserve">later would be equally fine. </w:t>
      </w:r>
      <w:r w:rsidR="002D32A1" w:rsidRPr="00342BC9">
        <w:t>I</w:t>
      </w:r>
      <w:r w:rsidR="00D35D48" w:rsidRPr="00342BC9">
        <w:t xml:space="preserve"> can</w:t>
      </w:r>
      <w:r w:rsidR="002D32A1" w:rsidRPr="00342BC9">
        <w:t xml:space="preserve"> </w:t>
      </w:r>
      <w:r w:rsidRPr="00342BC9">
        <w:t>plump for a time.</w:t>
      </w:r>
    </w:p>
    <w:p w14:paraId="766BB46D" w14:textId="77777777" w:rsidR="00342BC9" w:rsidRDefault="00F24D94" w:rsidP="00342BC9">
      <w:pPr>
        <w:spacing w:line="480" w:lineRule="auto"/>
        <w:ind w:firstLine="720"/>
      </w:pPr>
      <w:r w:rsidRPr="00342BC9">
        <w:t xml:space="preserve">In a different kind of </w:t>
      </w:r>
      <w:r w:rsidRPr="00342BC9">
        <w:rPr>
          <w:i/>
          <w:iCs/>
        </w:rPr>
        <w:t xml:space="preserve">de </w:t>
      </w:r>
      <w:proofErr w:type="spellStart"/>
      <w:r w:rsidRPr="00342BC9">
        <w:rPr>
          <w:i/>
          <w:iCs/>
        </w:rPr>
        <w:t>nunc</w:t>
      </w:r>
      <w:proofErr w:type="spellEnd"/>
      <w:r w:rsidRPr="00342BC9">
        <w:rPr>
          <w:i/>
          <w:iCs/>
        </w:rPr>
        <w:t>-</w:t>
      </w:r>
      <w:r w:rsidRPr="00342BC9">
        <w:t xml:space="preserve">involving case, </w:t>
      </w:r>
      <w:r w:rsidR="008B215D" w:rsidRPr="00342BC9">
        <w:t xml:space="preserve">I </w:t>
      </w:r>
      <w:r w:rsidRPr="00342BC9">
        <w:t xml:space="preserve">form an intention, earlier, to do </w:t>
      </w:r>
      <w:r w:rsidR="008B215D" w:rsidRPr="00342BC9">
        <w:t>my</w:t>
      </w:r>
      <w:r w:rsidRPr="00342BC9">
        <w:t xml:space="preserve"> physio exercise at some specific time, </w:t>
      </w:r>
      <w:r w:rsidRPr="00342BC9">
        <w:rPr>
          <w:i/>
          <w:iCs/>
        </w:rPr>
        <w:t>12.03</w:t>
      </w:r>
      <w:r w:rsidRPr="00342BC9">
        <w:t>, and, at 12.03</w:t>
      </w:r>
      <w:r w:rsidRPr="00342BC9">
        <w:rPr>
          <w:i/>
          <w:iCs/>
        </w:rPr>
        <w:t xml:space="preserve">, </w:t>
      </w:r>
      <w:r w:rsidRPr="00342BC9">
        <w:t xml:space="preserve">this gives way to a </w:t>
      </w:r>
      <w:r w:rsidRPr="00342BC9">
        <w:rPr>
          <w:i/>
          <w:iCs/>
        </w:rPr>
        <w:t xml:space="preserve">de </w:t>
      </w:r>
      <w:proofErr w:type="spellStart"/>
      <w:r w:rsidRPr="00342BC9">
        <w:rPr>
          <w:i/>
          <w:iCs/>
        </w:rPr>
        <w:t>nunc</w:t>
      </w:r>
      <w:proofErr w:type="spellEnd"/>
      <w:r w:rsidRPr="00342BC9">
        <w:t xml:space="preserve"> </w:t>
      </w:r>
      <w:r w:rsidRPr="00342BC9">
        <w:lastRenderedPageBreak/>
        <w:t xml:space="preserve">intention because, at 12.03, </w:t>
      </w:r>
      <w:r w:rsidR="008B215D" w:rsidRPr="00342BC9">
        <w:t>I</w:t>
      </w:r>
      <w:r w:rsidRPr="00342BC9">
        <w:t xml:space="preserve"> know ‘It’s 12.03’. </w:t>
      </w:r>
      <w:r w:rsidR="008B215D" w:rsidRPr="00342BC9">
        <w:t xml:space="preserve">I </w:t>
      </w:r>
      <w:r w:rsidRPr="00342BC9">
        <w:t>execute a previously formed</w:t>
      </w:r>
      <w:r w:rsidR="0026637B" w:rsidRPr="00342BC9">
        <w:t>, temporally determinate</w:t>
      </w:r>
      <w:r w:rsidRPr="00342BC9">
        <w:t xml:space="preserve"> plan.</w:t>
      </w:r>
    </w:p>
    <w:p w14:paraId="73F88226" w14:textId="77777777" w:rsidR="00342BC9" w:rsidRDefault="00F24D94" w:rsidP="00342BC9">
      <w:pPr>
        <w:spacing w:line="480" w:lineRule="auto"/>
        <w:ind w:firstLine="720"/>
      </w:pPr>
      <w:r w:rsidRPr="00342BC9">
        <w:t xml:space="preserve">Neither of these cases is a counterexample to </w:t>
      </w:r>
      <w:proofErr w:type="spellStart"/>
      <w:r w:rsidRPr="00342BC9">
        <w:rPr>
          <w:i/>
          <w:iCs/>
        </w:rPr>
        <w:t>Every</w:t>
      </w:r>
      <w:r w:rsidRPr="00342BC9">
        <w:rPr>
          <w:i/>
          <w:iCs/>
          <w:vertAlign w:val="subscript"/>
        </w:rPr>
        <w:t>de</w:t>
      </w:r>
      <w:proofErr w:type="spellEnd"/>
      <w:r w:rsidRPr="00342BC9">
        <w:rPr>
          <w:i/>
          <w:iCs/>
          <w:vertAlign w:val="subscript"/>
        </w:rPr>
        <w:t xml:space="preserve"> </w:t>
      </w:r>
      <w:proofErr w:type="spellStart"/>
      <w:r w:rsidRPr="00342BC9">
        <w:rPr>
          <w:i/>
          <w:iCs/>
          <w:vertAlign w:val="subscript"/>
        </w:rPr>
        <w:t>nunc</w:t>
      </w:r>
      <w:proofErr w:type="spellEnd"/>
      <w:r w:rsidRPr="00342BC9">
        <w:t xml:space="preserve"> since each involves the </w:t>
      </w:r>
      <w:r w:rsidRPr="00342BC9">
        <w:rPr>
          <w:i/>
          <w:iCs/>
        </w:rPr>
        <w:t xml:space="preserve">de </w:t>
      </w:r>
      <w:proofErr w:type="spellStart"/>
      <w:r w:rsidRPr="00342BC9">
        <w:rPr>
          <w:i/>
          <w:iCs/>
        </w:rPr>
        <w:t>nunc</w:t>
      </w:r>
      <w:proofErr w:type="spellEnd"/>
      <w:r w:rsidRPr="00342BC9">
        <w:t xml:space="preserve">. What would a </w:t>
      </w:r>
      <w:r w:rsidRPr="00342BC9">
        <w:rPr>
          <w:i/>
          <w:iCs/>
        </w:rPr>
        <w:t xml:space="preserve">de </w:t>
      </w:r>
      <w:proofErr w:type="spellStart"/>
      <w:r w:rsidRPr="00342BC9">
        <w:rPr>
          <w:i/>
          <w:iCs/>
        </w:rPr>
        <w:t>nunc</w:t>
      </w:r>
      <w:proofErr w:type="spellEnd"/>
      <w:r w:rsidRPr="00342BC9">
        <w:rPr>
          <w:i/>
          <w:iCs/>
        </w:rPr>
        <w:t xml:space="preserve"> </w:t>
      </w:r>
      <w:r w:rsidRPr="00342BC9">
        <w:t>free case look like</w:t>
      </w:r>
      <w:r w:rsidR="005E23D1" w:rsidRPr="00342BC9">
        <w:t>, and how</w:t>
      </w:r>
      <w:r w:rsidRPr="00342BC9">
        <w:t xml:space="preserve"> might the ‘Why then?’ question be answered in it? </w:t>
      </w:r>
      <w:r w:rsidR="005E23D1" w:rsidRPr="00342BC9">
        <w:t xml:space="preserve">Why </w:t>
      </w:r>
      <w:r w:rsidR="00F26E47" w:rsidRPr="00342BC9">
        <w:t>shouldn’t</w:t>
      </w:r>
      <w:r w:rsidR="005E23D1" w:rsidRPr="00342BC9">
        <w:t xml:space="preserve"> the </w:t>
      </w:r>
      <w:r w:rsidR="00226193" w:rsidRPr="00342BC9">
        <w:t>way</w:t>
      </w:r>
      <w:r w:rsidRPr="00342BC9">
        <w:t xml:space="preserve"> in which a non-</w:t>
      </w:r>
      <w:r w:rsidRPr="00342BC9">
        <w:rPr>
          <w:i/>
          <w:iCs/>
        </w:rPr>
        <w:t xml:space="preserve">de se </w:t>
      </w:r>
      <w:r w:rsidRPr="00342BC9">
        <w:t>state answers the ‘Why them?’ question serve as a useful model here</w:t>
      </w:r>
      <w:r w:rsidR="005E23D1" w:rsidRPr="00342BC9">
        <w:t>?</w:t>
      </w:r>
    </w:p>
    <w:p w14:paraId="46EBF35F" w14:textId="1FA5EB8F" w:rsidR="008B215D" w:rsidRPr="00342BC9" w:rsidRDefault="00F24D94" w:rsidP="00342BC9">
      <w:pPr>
        <w:spacing w:line="480" w:lineRule="auto"/>
        <w:ind w:firstLine="720"/>
      </w:pPr>
      <w:r w:rsidRPr="00342BC9">
        <w:t>A reminder that the relevant state, mentioning which answers the question</w:t>
      </w:r>
      <w:r w:rsidR="00D35D48" w:rsidRPr="00342BC9">
        <w:t xml:space="preserve"> in the Oxfam case</w:t>
      </w:r>
      <w:r w:rsidRPr="00342BC9">
        <w:t xml:space="preserve">, is: </w:t>
      </w:r>
    </w:p>
    <w:p w14:paraId="0516D3C2" w14:textId="3B4A9B40" w:rsidR="00F24D94" w:rsidRPr="00342BC9" w:rsidRDefault="00F24D94" w:rsidP="00342BC9">
      <w:pPr>
        <w:spacing w:line="480" w:lineRule="auto"/>
      </w:pPr>
      <w:r w:rsidRPr="00342BC9">
        <w:tab/>
      </w:r>
      <w:proofErr w:type="spellStart"/>
      <w:r w:rsidRPr="00342BC9">
        <w:t>Ofra’s</w:t>
      </w:r>
      <w:proofErr w:type="spellEnd"/>
      <w:r w:rsidRPr="00342BC9">
        <w:t xml:space="preserve"> intention that Oxfam receive a donation. </w:t>
      </w:r>
    </w:p>
    <w:p w14:paraId="7026B724" w14:textId="0CEEF051" w:rsidR="00F24D94" w:rsidRPr="00342BC9" w:rsidRDefault="00F24D94" w:rsidP="00342BC9">
      <w:pPr>
        <w:spacing w:line="480" w:lineRule="auto"/>
      </w:pPr>
      <w:r w:rsidRPr="00342BC9">
        <w:t>A non-</w:t>
      </w:r>
      <w:r w:rsidRPr="00342BC9">
        <w:rPr>
          <w:i/>
          <w:iCs/>
        </w:rPr>
        <w:t xml:space="preserve">de se </w:t>
      </w:r>
      <w:r w:rsidRPr="00342BC9">
        <w:t xml:space="preserve">state like this might not be about any individual, but it does have an individual </w:t>
      </w:r>
      <w:r w:rsidRPr="00342BC9">
        <w:rPr>
          <w:i/>
          <w:iCs/>
        </w:rPr>
        <w:t>who owns it</w:t>
      </w:r>
      <w:r w:rsidR="008B1B5C" w:rsidRPr="00342BC9">
        <w:t>.</w:t>
      </w:r>
      <w:r w:rsidRPr="00342BC9">
        <w:t xml:space="preserve"> </w:t>
      </w:r>
      <w:r w:rsidR="005E23D1" w:rsidRPr="00342BC9">
        <w:t xml:space="preserve">I have argued that </w:t>
      </w:r>
      <w:r w:rsidRPr="00342BC9">
        <w:t xml:space="preserve">the fact about who owns </w:t>
      </w:r>
      <w:r w:rsidR="008B215D" w:rsidRPr="00342BC9">
        <w:t xml:space="preserve">it </w:t>
      </w:r>
      <w:r w:rsidR="005E23D1" w:rsidRPr="00342BC9">
        <w:t>makes it fit to</w:t>
      </w:r>
      <w:r w:rsidRPr="00342BC9">
        <w:t xml:space="preserve"> answer the ‘Why them?’ question</w:t>
      </w:r>
      <w:r w:rsidR="00A82635" w:rsidRPr="00342BC9">
        <w:t xml:space="preserve">, because mental states are </w:t>
      </w:r>
      <w:r w:rsidR="00A82635" w:rsidRPr="00342BC9">
        <w:rPr>
          <w:i/>
          <w:iCs/>
        </w:rPr>
        <w:t>non-transferable</w:t>
      </w:r>
      <w:r w:rsidRPr="00342BC9">
        <w:t xml:space="preserve">. </w:t>
      </w:r>
      <w:r w:rsidR="005E23D1" w:rsidRPr="00342BC9">
        <w:t xml:space="preserve">Can we pull off the same trick in the </w:t>
      </w:r>
      <w:r w:rsidR="005E23D1" w:rsidRPr="00342BC9">
        <w:rPr>
          <w:i/>
          <w:iCs/>
        </w:rPr>
        <w:t xml:space="preserve">de </w:t>
      </w:r>
      <w:proofErr w:type="spellStart"/>
      <w:r w:rsidR="005E23D1" w:rsidRPr="00342BC9">
        <w:rPr>
          <w:i/>
          <w:iCs/>
        </w:rPr>
        <w:t>nunc</w:t>
      </w:r>
      <w:proofErr w:type="spellEnd"/>
      <w:r w:rsidR="005E23D1" w:rsidRPr="00342BC9">
        <w:rPr>
          <w:i/>
          <w:iCs/>
        </w:rPr>
        <w:t xml:space="preserve"> </w:t>
      </w:r>
      <w:r w:rsidR="005E23D1" w:rsidRPr="00342BC9">
        <w:t xml:space="preserve">case? </w:t>
      </w:r>
      <w:r w:rsidRPr="00342BC9">
        <w:t xml:space="preserve">In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case, the </w:t>
      </w:r>
      <w:r w:rsidR="005E23D1" w:rsidRPr="00342BC9">
        <w:t>parallel</w:t>
      </w:r>
      <w:r w:rsidRPr="00342BC9">
        <w:t xml:space="preserve"> answer would note when the intention appeal</w:t>
      </w:r>
      <w:r w:rsidR="00226193" w:rsidRPr="00342BC9">
        <w:t>ed</w:t>
      </w:r>
      <w:r w:rsidRPr="00342BC9">
        <w:t xml:space="preserve"> to was </w:t>
      </w:r>
      <w:r w:rsidRPr="00342BC9">
        <w:rPr>
          <w:i/>
          <w:iCs/>
        </w:rPr>
        <w:t>had</w:t>
      </w:r>
      <w:r w:rsidRPr="00342BC9">
        <w:t xml:space="preserve">. </w:t>
      </w:r>
      <w:proofErr w:type="gramStart"/>
      <w:r w:rsidRPr="00342BC9">
        <w:t>E.g.</w:t>
      </w:r>
      <w:proofErr w:type="gramEnd"/>
      <w:r w:rsidRPr="00342BC9">
        <w:t xml:space="preserve"> ‘Why </w:t>
      </w:r>
      <w:r w:rsidR="008B215D" w:rsidRPr="00342BC9">
        <w:t xml:space="preserve">was Author </w:t>
      </w:r>
      <w:r w:rsidRPr="00342BC9">
        <w:t xml:space="preserve">doing </w:t>
      </w:r>
      <w:r w:rsidR="005E23D1" w:rsidRPr="00342BC9">
        <w:t>their</w:t>
      </w:r>
      <w:r w:rsidRPr="00342BC9">
        <w:t xml:space="preserve"> physio at 12.03?’ Candidate non-</w:t>
      </w:r>
      <w:r w:rsidRPr="00342BC9">
        <w:rPr>
          <w:i/>
          <w:iCs/>
        </w:rPr>
        <w:t xml:space="preserve">de </w:t>
      </w:r>
      <w:proofErr w:type="spellStart"/>
      <w:r w:rsidRPr="00342BC9">
        <w:rPr>
          <w:i/>
          <w:iCs/>
        </w:rPr>
        <w:t>nunc</w:t>
      </w:r>
      <w:proofErr w:type="spellEnd"/>
      <w:r w:rsidRPr="00342BC9">
        <w:rPr>
          <w:i/>
          <w:iCs/>
        </w:rPr>
        <w:t xml:space="preserve"> </w:t>
      </w:r>
      <w:r w:rsidR="008B215D" w:rsidRPr="00342BC9">
        <w:t>states to mention in an answer</w:t>
      </w:r>
      <w:r w:rsidRPr="00342BC9">
        <w:t xml:space="preserve"> include: </w:t>
      </w:r>
    </w:p>
    <w:p w14:paraId="184CD173" w14:textId="5E9939E6" w:rsidR="00F24D94" w:rsidRPr="00342BC9" w:rsidRDefault="00F24D94" w:rsidP="00342BC9">
      <w:pPr>
        <w:spacing w:line="480" w:lineRule="auto"/>
        <w:ind w:firstLine="720"/>
      </w:pPr>
      <w:r w:rsidRPr="00342BC9">
        <w:t xml:space="preserve">Author’s 12.03 intention to do </w:t>
      </w:r>
      <w:r w:rsidR="005E23D1" w:rsidRPr="00342BC9">
        <w:t>their</w:t>
      </w:r>
      <w:r w:rsidRPr="00342BC9">
        <w:t xml:space="preserve"> exercise </w:t>
      </w:r>
      <w:r w:rsidRPr="00342BC9">
        <w:rPr>
          <w:i/>
          <w:iCs/>
        </w:rPr>
        <w:t>at 12.03</w:t>
      </w:r>
      <w:r w:rsidRPr="00342BC9">
        <w:t>.</w:t>
      </w:r>
    </w:p>
    <w:p w14:paraId="560BD582" w14:textId="77777777" w:rsidR="00F24D94" w:rsidRPr="00342BC9" w:rsidRDefault="00F24D94" w:rsidP="00342BC9">
      <w:pPr>
        <w:spacing w:line="480" w:lineRule="auto"/>
      </w:pPr>
      <w:r w:rsidRPr="00342BC9">
        <w:t>And</w:t>
      </w:r>
    </w:p>
    <w:p w14:paraId="7B7E3EBF" w14:textId="45860E52" w:rsidR="00F24D94" w:rsidRPr="00342BC9" w:rsidRDefault="00F24D94" w:rsidP="00342BC9">
      <w:pPr>
        <w:spacing w:line="480" w:lineRule="auto"/>
      </w:pPr>
      <w:r w:rsidRPr="00342BC9">
        <w:tab/>
        <w:t xml:space="preserve">Author’s 12.03 intention to do </w:t>
      </w:r>
      <w:r w:rsidR="005E23D1" w:rsidRPr="00342BC9">
        <w:t>their</w:t>
      </w:r>
      <w:r w:rsidRPr="00342BC9">
        <w:t xml:space="preserve"> exercises </w:t>
      </w:r>
      <w:r w:rsidRPr="00342BC9">
        <w:rPr>
          <w:i/>
          <w:iCs/>
        </w:rPr>
        <w:t xml:space="preserve">at some time or other. </w:t>
      </w:r>
    </w:p>
    <w:p w14:paraId="3217DA30" w14:textId="77777777" w:rsidR="00342BC9" w:rsidRDefault="00F24D94" w:rsidP="00342BC9">
      <w:pPr>
        <w:spacing w:line="480" w:lineRule="auto"/>
      </w:pPr>
      <w:r w:rsidRPr="00342BC9">
        <w:t xml:space="preserve">The fact about that the intentions </w:t>
      </w:r>
      <w:r w:rsidR="005C78DD" w:rsidRPr="00342BC9">
        <w:t>is</w:t>
      </w:r>
      <w:r w:rsidRPr="00342BC9">
        <w:t xml:space="preserve"> </w:t>
      </w:r>
      <w:r w:rsidRPr="00342BC9">
        <w:rPr>
          <w:i/>
          <w:iCs/>
        </w:rPr>
        <w:t xml:space="preserve">had </w:t>
      </w:r>
      <w:r w:rsidRPr="00342BC9">
        <w:t xml:space="preserve">at 12.03 would answer the question about why </w:t>
      </w:r>
      <w:r w:rsidR="008B215D" w:rsidRPr="00342BC9">
        <w:t xml:space="preserve">I am doing my </w:t>
      </w:r>
      <w:r w:rsidRPr="00342BC9">
        <w:t xml:space="preserve">physio at 12.03 if intentions were </w:t>
      </w:r>
      <w:r w:rsidRPr="00342BC9">
        <w:rPr>
          <w:i/>
          <w:iCs/>
        </w:rPr>
        <w:t>ephemeral</w:t>
      </w:r>
      <w:r w:rsidRPr="00342BC9">
        <w:t xml:space="preserve">, </w:t>
      </w:r>
      <w:proofErr w:type="gramStart"/>
      <w:r w:rsidRPr="00342BC9">
        <w:t>i.e.</w:t>
      </w:r>
      <w:proofErr w:type="gramEnd"/>
      <w:r w:rsidRPr="00342BC9">
        <w:t xml:space="preserve"> if there </w:t>
      </w:r>
      <w:r w:rsidR="0026637B" w:rsidRPr="00342BC9">
        <w:t>were</w:t>
      </w:r>
      <w:r w:rsidRPr="00342BC9">
        <w:t xml:space="preserve"> always just one moment at which </w:t>
      </w:r>
      <w:r w:rsidR="005C78DD" w:rsidRPr="00342BC9">
        <w:t xml:space="preserve">an </w:t>
      </w:r>
      <w:r w:rsidRPr="00342BC9">
        <w:t>intention</w:t>
      </w:r>
      <w:r w:rsidR="005C78DD" w:rsidRPr="00342BC9">
        <w:t xml:space="preserve"> is</w:t>
      </w:r>
      <w:r w:rsidRPr="00342BC9">
        <w:t xml:space="preserve"> had, the moment at which </w:t>
      </w:r>
      <w:r w:rsidR="005C78DD" w:rsidRPr="00342BC9">
        <w:t>it was</w:t>
      </w:r>
      <w:r w:rsidRPr="00342BC9">
        <w:t xml:space="preserve"> first formed, and </w:t>
      </w:r>
      <w:r w:rsidR="00A445AB" w:rsidRPr="00342BC9">
        <w:t xml:space="preserve">it </w:t>
      </w:r>
      <w:r w:rsidR="0026637B" w:rsidRPr="00342BC9">
        <w:t>was</w:t>
      </w:r>
      <w:r w:rsidRPr="00342BC9">
        <w:t xml:space="preserve"> always expressed in action at this same moment</w:t>
      </w:r>
      <w:r w:rsidR="005C78DD" w:rsidRPr="00342BC9">
        <w:t>. E</w:t>
      </w:r>
      <w:r w:rsidR="00A809DA" w:rsidRPr="00342BC9">
        <w:t>phemeralness</w:t>
      </w:r>
      <w:r w:rsidR="00A82635" w:rsidRPr="00342BC9">
        <w:t xml:space="preserve"> is a temporal analogue of non-</w:t>
      </w:r>
      <w:proofErr w:type="spellStart"/>
      <w:r w:rsidR="00A82635" w:rsidRPr="00342BC9">
        <w:t>transferabl</w:t>
      </w:r>
      <w:r w:rsidR="00A809DA" w:rsidRPr="00342BC9">
        <w:t>e</w:t>
      </w:r>
      <w:r w:rsidR="00A82635" w:rsidRPr="00342BC9">
        <w:t>n</w:t>
      </w:r>
      <w:r w:rsidR="00A809DA" w:rsidRPr="00342BC9">
        <w:t>e</w:t>
      </w:r>
      <w:r w:rsidR="00A82635" w:rsidRPr="00342BC9">
        <w:t>ss</w:t>
      </w:r>
      <w:proofErr w:type="spellEnd"/>
      <w:r w:rsidRPr="00342BC9">
        <w:t>.</w:t>
      </w:r>
      <w:r w:rsidR="00A82635" w:rsidRPr="00342BC9">
        <w:t xml:space="preserve"> </w:t>
      </w:r>
      <w:r w:rsidRPr="00342BC9">
        <w:t xml:space="preserve"> Then we could say that the fact that the intentions </w:t>
      </w:r>
      <w:r w:rsidR="00A445AB" w:rsidRPr="00342BC9">
        <w:rPr>
          <w:i/>
          <w:iCs/>
        </w:rPr>
        <w:t>is</w:t>
      </w:r>
      <w:r w:rsidRPr="00342BC9">
        <w:rPr>
          <w:i/>
          <w:iCs/>
        </w:rPr>
        <w:t xml:space="preserve"> had</w:t>
      </w:r>
      <w:r w:rsidRPr="00342BC9">
        <w:t xml:space="preserve"> at 12.03 explains why </w:t>
      </w:r>
      <w:r w:rsidR="008B215D" w:rsidRPr="00342BC9">
        <w:t>I am</w:t>
      </w:r>
      <w:r w:rsidRPr="00342BC9">
        <w:rPr>
          <w:i/>
          <w:iCs/>
        </w:rPr>
        <w:t xml:space="preserve"> acting </w:t>
      </w:r>
      <w:r w:rsidRPr="00342BC9">
        <w:t xml:space="preserve">at 12.03. The key rhetorical question (parallel to the rhetorical </w:t>
      </w:r>
      <w:r w:rsidRPr="00342BC9">
        <w:lastRenderedPageBreak/>
        <w:t xml:space="preserve">question mentioned in the </w:t>
      </w:r>
      <w:r w:rsidRPr="00342BC9">
        <w:rPr>
          <w:i/>
          <w:iCs/>
        </w:rPr>
        <w:t xml:space="preserve">de se </w:t>
      </w:r>
      <w:r w:rsidRPr="00342BC9">
        <w:t>discussion</w:t>
      </w:r>
      <w:r w:rsidR="003C31AD" w:rsidRPr="00342BC9">
        <w:t xml:space="preserve"> – ‘in who else’s agency might it be expressed?’</w:t>
      </w:r>
      <w:r w:rsidRPr="00342BC9">
        <w:t xml:space="preserve">) would be: </w:t>
      </w:r>
      <w:r w:rsidR="003C31AD" w:rsidRPr="00342BC9">
        <w:t>‘</w:t>
      </w:r>
      <w:r w:rsidRPr="00342BC9">
        <w:t xml:space="preserve">at what other moment could </w:t>
      </w:r>
      <w:r w:rsidR="00A445AB" w:rsidRPr="00342BC9">
        <w:t>it</w:t>
      </w:r>
      <w:r w:rsidRPr="00342BC9">
        <w:t xml:space="preserve"> be expressed?</w:t>
      </w:r>
      <w:r w:rsidR="003C31AD" w:rsidRPr="00342BC9">
        <w:t>’</w:t>
      </w:r>
      <w:r w:rsidRPr="00342BC9">
        <w:t xml:space="preserve"> </w:t>
      </w:r>
    </w:p>
    <w:p w14:paraId="7C2CD030" w14:textId="77777777" w:rsidR="00342BC9" w:rsidRDefault="00F24D94" w:rsidP="00342BC9">
      <w:pPr>
        <w:spacing w:line="480" w:lineRule="auto"/>
        <w:ind w:firstLine="720"/>
        <w:rPr>
          <w:rStyle w:val="FootnoteReference"/>
        </w:rPr>
      </w:pPr>
      <w:r w:rsidRPr="00342BC9">
        <w:t>But, of course, intentions</w:t>
      </w:r>
      <w:r w:rsidR="003C31AD" w:rsidRPr="00342BC9">
        <w:t xml:space="preserve"> aren’t ephemeral</w:t>
      </w:r>
      <w:r w:rsidRPr="00342BC9">
        <w:t xml:space="preserve">. Intentions can be acted </w:t>
      </w:r>
      <w:r w:rsidR="00597CF6" w:rsidRPr="00342BC9">
        <w:t xml:space="preserve">on </w:t>
      </w:r>
      <w:r w:rsidR="00A82635" w:rsidRPr="00342BC9">
        <w:t>as soon as formed</w:t>
      </w:r>
      <w:r w:rsidRPr="00342BC9">
        <w:t>. But it’s also commonplace for them to</w:t>
      </w:r>
      <w:r w:rsidR="008B215D" w:rsidRPr="00342BC9">
        <w:t xml:space="preserve"> </w:t>
      </w:r>
      <w:r w:rsidRPr="00342BC9">
        <w:t xml:space="preserve">get expressed in action only </w:t>
      </w:r>
      <w:proofErr w:type="spellStart"/>
      <w:r w:rsidR="008B215D" w:rsidRPr="00342BC9">
        <w:t>some time</w:t>
      </w:r>
      <w:proofErr w:type="spellEnd"/>
      <w:r w:rsidRPr="00342BC9">
        <w:t xml:space="preserve"> after they were first formed (on many views of intention, facilitating coordination across time is their raison </w:t>
      </w:r>
      <w:proofErr w:type="spellStart"/>
      <w:r w:rsidRPr="00342BC9">
        <w:t>d’etre</w:t>
      </w:r>
      <w:proofErr w:type="spellEnd"/>
      <w:r w:rsidRPr="00342BC9">
        <w:t>).</w:t>
      </w:r>
      <w:r w:rsidR="009B0DEA" w:rsidRPr="00342BC9">
        <w:t xml:space="preserve"> The rhetorical question gets the answer: ‘at any subsequent moment’.</w:t>
      </w:r>
    </w:p>
    <w:p w14:paraId="0A932D73" w14:textId="77777777" w:rsidR="00342BC9" w:rsidRDefault="00F24D94" w:rsidP="00342BC9">
      <w:pPr>
        <w:spacing w:line="480" w:lineRule="auto"/>
        <w:ind w:firstLine="720"/>
      </w:pPr>
      <w:r w:rsidRPr="00342BC9">
        <w:t xml:space="preserve">Since </w:t>
      </w:r>
      <w:r w:rsidRPr="00342BC9">
        <w:rPr>
          <w:i/>
          <w:iCs/>
        </w:rPr>
        <w:t>the timing of the intention</w:t>
      </w:r>
      <w:r w:rsidRPr="00342BC9">
        <w:t xml:space="preserve"> (when it was had) can’t answer the question about the timing of the action, the slack needs to be taken up by something else about the intention – its temporal content. It’s easy to see how that slack could be taken up by a</w:t>
      </w:r>
      <w:r w:rsidR="008B215D" w:rsidRPr="00342BC9">
        <w:t>n</w:t>
      </w:r>
      <w:r w:rsidRPr="00342BC9">
        <w:rPr>
          <w:i/>
          <w:iCs/>
        </w:rPr>
        <w:t xml:space="preserve"> </w:t>
      </w:r>
      <w:r w:rsidRPr="00342BC9">
        <w:t>intention</w:t>
      </w:r>
      <w:r w:rsidR="008B215D" w:rsidRPr="00342BC9">
        <w:t xml:space="preserve"> with a </w:t>
      </w:r>
      <w:r w:rsidR="008B215D" w:rsidRPr="00342BC9">
        <w:rPr>
          <w:i/>
          <w:iCs/>
        </w:rPr>
        <w:t xml:space="preserve">de </w:t>
      </w:r>
      <w:proofErr w:type="spellStart"/>
      <w:r w:rsidR="008B215D" w:rsidRPr="00342BC9">
        <w:rPr>
          <w:i/>
          <w:iCs/>
        </w:rPr>
        <w:t>nunc</w:t>
      </w:r>
      <w:proofErr w:type="spellEnd"/>
      <w:r w:rsidR="008B215D" w:rsidRPr="00342BC9">
        <w:rPr>
          <w:i/>
          <w:iCs/>
        </w:rPr>
        <w:t xml:space="preserve"> </w:t>
      </w:r>
      <w:r w:rsidR="008B215D" w:rsidRPr="00342BC9">
        <w:t>content</w:t>
      </w:r>
      <w:r w:rsidRPr="00342BC9">
        <w:t xml:space="preserve">. ‘At 12.03, </w:t>
      </w:r>
      <w:r w:rsidR="008B215D" w:rsidRPr="00342BC9">
        <w:t xml:space="preserve">Author </w:t>
      </w:r>
      <w:r w:rsidRPr="00342BC9">
        <w:t xml:space="preserve">intended to be doing </w:t>
      </w:r>
      <w:r w:rsidR="005E23D1" w:rsidRPr="00342BC9">
        <w:t>their</w:t>
      </w:r>
      <w:r w:rsidRPr="00342BC9">
        <w:t xml:space="preserve"> physio exercise </w:t>
      </w:r>
      <w:r w:rsidRPr="00342BC9">
        <w:rPr>
          <w:i/>
          <w:iCs/>
        </w:rPr>
        <w:t>then</w:t>
      </w:r>
      <w:r w:rsidRPr="00342BC9">
        <w:t xml:space="preserve">’ makes it intelligible that </w:t>
      </w:r>
      <w:r w:rsidR="008B215D" w:rsidRPr="00342BC9">
        <w:t xml:space="preserve">I am </w:t>
      </w:r>
      <w:r w:rsidRPr="00342BC9">
        <w:t xml:space="preserve">doing </w:t>
      </w:r>
      <w:r w:rsidR="008B215D" w:rsidRPr="00342BC9">
        <w:t>my</w:t>
      </w:r>
      <w:r w:rsidRPr="00342BC9">
        <w:t xml:space="preserve"> physio at 12.03. But we are trying to do without the </w:t>
      </w:r>
      <w:r w:rsidRPr="00342BC9">
        <w:rPr>
          <w:i/>
          <w:iCs/>
        </w:rPr>
        <w:t xml:space="preserve">de </w:t>
      </w:r>
      <w:proofErr w:type="spellStart"/>
      <w:r w:rsidRPr="00342BC9">
        <w:rPr>
          <w:i/>
          <w:iCs/>
        </w:rPr>
        <w:t>nunc</w:t>
      </w:r>
      <w:proofErr w:type="spellEnd"/>
      <w:r w:rsidRPr="00342BC9">
        <w:t xml:space="preserve">. </w:t>
      </w:r>
    </w:p>
    <w:p w14:paraId="7D095E8E" w14:textId="77777777" w:rsidR="00342BC9" w:rsidRDefault="00F24D94" w:rsidP="00342BC9">
      <w:pPr>
        <w:spacing w:line="480" w:lineRule="auto"/>
        <w:ind w:firstLine="720"/>
      </w:pPr>
      <w:r w:rsidRPr="00342BC9">
        <w:t xml:space="preserve">As between our non </w:t>
      </w:r>
      <w:r w:rsidRPr="00342BC9">
        <w:rPr>
          <w:i/>
          <w:iCs/>
        </w:rPr>
        <w:t xml:space="preserve">de </w:t>
      </w:r>
      <w:proofErr w:type="spellStart"/>
      <w:r w:rsidRPr="00342BC9">
        <w:rPr>
          <w:i/>
          <w:iCs/>
        </w:rPr>
        <w:t>nunc</w:t>
      </w:r>
      <w:proofErr w:type="spellEnd"/>
      <w:r w:rsidRPr="00342BC9">
        <w:rPr>
          <w:i/>
          <w:iCs/>
        </w:rPr>
        <w:t xml:space="preserve"> </w:t>
      </w:r>
      <w:r w:rsidRPr="00342BC9">
        <w:t xml:space="preserve">two candidates – Author’s 12.03 intention to do </w:t>
      </w:r>
      <w:r w:rsidR="008B1B5C" w:rsidRPr="00342BC9">
        <w:t>their</w:t>
      </w:r>
      <w:r w:rsidRPr="00342BC9">
        <w:t xml:space="preserve"> exercise at 12.03, Author’s 12.03 intention to do </w:t>
      </w:r>
      <w:r w:rsidR="008B1B5C" w:rsidRPr="00342BC9">
        <w:t>their</w:t>
      </w:r>
      <w:r w:rsidRPr="00342BC9">
        <w:t xml:space="preserve"> exercise at some time or other – it’s the second that more closely resembles </w:t>
      </w:r>
      <w:proofErr w:type="spellStart"/>
      <w:r w:rsidRPr="00342BC9">
        <w:t>Ofra’s</w:t>
      </w:r>
      <w:proofErr w:type="spellEnd"/>
      <w:r w:rsidRPr="00342BC9">
        <w:t xml:space="preserve"> non-</w:t>
      </w:r>
      <w:r w:rsidRPr="00342BC9">
        <w:rPr>
          <w:i/>
          <w:iCs/>
        </w:rPr>
        <w:t xml:space="preserve">de se </w:t>
      </w:r>
      <w:r w:rsidRPr="00342BC9">
        <w:t>Oxfam-directed intention</w:t>
      </w:r>
      <w:r w:rsidR="005E23D1" w:rsidRPr="00342BC9">
        <w:t xml:space="preserve">. </w:t>
      </w:r>
      <w:proofErr w:type="spellStart"/>
      <w:r w:rsidRPr="00342BC9">
        <w:t>Ofra’s</w:t>
      </w:r>
      <w:proofErr w:type="spellEnd"/>
      <w:r w:rsidRPr="00342BC9">
        <w:t xml:space="preserve"> Oxfam-directed intention is not self-directed, and an ‘at some time or other’ intention is not present-directed. But an ‘at some time or other’ intention patently contributes nothing to explaining why I am doing my physio at 12.03, rather than at some other time. </w:t>
      </w:r>
    </w:p>
    <w:p w14:paraId="00151F8C" w14:textId="77777777" w:rsidR="00342BC9" w:rsidRDefault="00F24D94" w:rsidP="00342BC9">
      <w:pPr>
        <w:spacing w:line="480" w:lineRule="auto"/>
        <w:ind w:firstLine="720"/>
      </w:pPr>
      <w:r w:rsidRPr="00342BC9">
        <w:t xml:space="preserve">That leaves us with the other candidate. Why is Author doing </w:t>
      </w:r>
      <w:r w:rsidR="004C74B2" w:rsidRPr="00342BC9">
        <w:t>their</w:t>
      </w:r>
      <w:r w:rsidRPr="00342BC9">
        <w:t xml:space="preserve"> physio at 12.03? The answer given is: ‘At 12.03, </w:t>
      </w:r>
      <w:r w:rsidR="00A445AB" w:rsidRPr="00342BC9">
        <w:t>they</w:t>
      </w:r>
      <w:r w:rsidRPr="00342BC9">
        <w:t xml:space="preserve"> intended to do </w:t>
      </w:r>
      <w:r w:rsidR="00A445AB" w:rsidRPr="00342BC9">
        <w:t>their</w:t>
      </w:r>
      <w:r w:rsidRPr="00342BC9">
        <w:t xml:space="preserve"> physio at 12.03’. </w:t>
      </w:r>
    </w:p>
    <w:p w14:paraId="0064C974" w14:textId="77777777" w:rsidR="00342BC9" w:rsidRDefault="00F24D94" w:rsidP="00342BC9">
      <w:pPr>
        <w:spacing w:line="480" w:lineRule="auto"/>
        <w:ind w:firstLine="720"/>
      </w:pPr>
      <w:r w:rsidRPr="00342BC9">
        <w:t xml:space="preserve">This sentence might well be offered as an answer to the question. But someone doing so would probably be assuming that, at 12.03, I knew what time it was. That is, what happened at 12.03 is that I formed a </w:t>
      </w:r>
      <w:r w:rsidRPr="00342BC9">
        <w:rPr>
          <w:i/>
          <w:iCs/>
        </w:rPr>
        <w:t xml:space="preserve">de </w:t>
      </w:r>
      <w:proofErr w:type="spellStart"/>
      <w:r w:rsidRPr="00342BC9">
        <w:rPr>
          <w:i/>
          <w:iCs/>
        </w:rPr>
        <w:t>nunc</w:t>
      </w:r>
      <w:proofErr w:type="spellEnd"/>
      <w:r w:rsidRPr="00342BC9">
        <w:rPr>
          <w:i/>
          <w:iCs/>
        </w:rPr>
        <w:t xml:space="preserve"> </w:t>
      </w:r>
      <w:r w:rsidRPr="00342BC9">
        <w:t xml:space="preserve">intention because I was aware that the time I had already pegged for action, 12.03, had come round. This is the second of the two </w:t>
      </w:r>
      <w:r w:rsidRPr="00342BC9">
        <w:rPr>
          <w:i/>
          <w:iCs/>
        </w:rPr>
        <w:t xml:space="preserve">de </w:t>
      </w:r>
      <w:proofErr w:type="spellStart"/>
      <w:r w:rsidRPr="00342BC9">
        <w:rPr>
          <w:i/>
          <w:iCs/>
        </w:rPr>
        <w:t>nunc</w:t>
      </w:r>
      <w:proofErr w:type="spellEnd"/>
      <w:r w:rsidRPr="00342BC9">
        <w:t>-involving cases we already looked at</w:t>
      </w:r>
      <w:r w:rsidR="008B215D" w:rsidRPr="00342BC9">
        <w:t>, the one in which I execute a previously formed</w:t>
      </w:r>
      <w:r w:rsidR="003C31AD" w:rsidRPr="00342BC9">
        <w:t>, temporally determinate</w:t>
      </w:r>
      <w:r w:rsidR="008B215D" w:rsidRPr="00342BC9">
        <w:t xml:space="preserve"> plan</w:t>
      </w:r>
      <w:r w:rsidRPr="00342BC9">
        <w:t xml:space="preserve">. </w:t>
      </w:r>
    </w:p>
    <w:p w14:paraId="30A30918" w14:textId="77777777" w:rsidR="00342BC9" w:rsidRDefault="00F24D94" w:rsidP="00342BC9">
      <w:pPr>
        <w:spacing w:line="480" w:lineRule="auto"/>
        <w:ind w:firstLine="720"/>
      </w:pPr>
      <w:r w:rsidRPr="00342BC9">
        <w:lastRenderedPageBreak/>
        <w:t>If we clarify that this case isn’t that case – that the</w:t>
      </w:r>
      <w:r w:rsidRPr="00342BC9">
        <w:rPr>
          <w:i/>
          <w:iCs/>
        </w:rPr>
        <w:t xml:space="preserve"> only</w:t>
      </w:r>
      <w:r w:rsidRPr="00342BC9">
        <w:t xml:space="preserve"> present-directed </w:t>
      </w:r>
      <w:proofErr w:type="gramStart"/>
      <w:r w:rsidRPr="00342BC9">
        <w:t>thought</w:t>
      </w:r>
      <w:proofErr w:type="gramEnd"/>
      <w:r w:rsidRPr="00342BC9">
        <w:t xml:space="preserve"> I have is an intention to do my physio-exercises ‘</w:t>
      </w:r>
      <w:r w:rsidRPr="00342BC9">
        <w:rPr>
          <w:i/>
          <w:iCs/>
        </w:rPr>
        <w:t>at 12.03</w:t>
      </w:r>
      <w:r w:rsidRPr="00342BC9">
        <w:t>’ – the case becomes mysterious. Why would someone</w:t>
      </w:r>
      <w:r w:rsidR="00E63B90" w:rsidRPr="00342BC9">
        <w:t>’s</w:t>
      </w:r>
      <w:r w:rsidRPr="00342BC9">
        <w:t xml:space="preserve"> wanting, at 12.03, to </w:t>
      </w:r>
      <w:r w:rsidR="009B0DEA" w:rsidRPr="00342BC9">
        <w:t xml:space="preserve">do </w:t>
      </w:r>
      <w:r w:rsidRPr="00342BC9">
        <w:t xml:space="preserve">her physio exercises at 12.03, simply conceptualized ‘as 12.03’, make them act? The central virtue of the action without the </w:t>
      </w:r>
      <w:r w:rsidRPr="00342BC9">
        <w:rPr>
          <w:i/>
          <w:iCs/>
        </w:rPr>
        <w:t xml:space="preserve">de </w:t>
      </w:r>
      <w:proofErr w:type="spellStart"/>
      <w:r w:rsidRPr="00342BC9">
        <w:rPr>
          <w:i/>
          <w:iCs/>
        </w:rPr>
        <w:t>se</w:t>
      </w:r>
      <w:proofErr w:type="spellEnd"/>
      <w:r w:rsidRPr="00342BC9">
        <w:rPr>
          <w:i/>
          <w:iCs/>
        </w:rPr>
        <w:t xml:space="preserve"> </w:t>
      </w:r>
      <w:r w:rsidRPr="00342BC9">
        <w:t xml:space="preserve">recipe </w:t>
      </w:r>
      <w:proofErr w:type="spellStart"/>
      <w:r w:rsidRPr="00342BC9">
        <w:t>Magidor</w:t>
      </w:r>
      <w:proofErr w:type="spellEnd"/>
      <w:r w:rsidRPr="00342BC9">
        <w:t xml:space="preserve"> </w:t>
      </w:r>
      <w:r w:rsidR="008B215D" w:rsidRPr="00342BC9">
        <w:t xml:space="preserve">and </w:t>
      </w:r>
      <w:proofErr w:type="spellStart"/>
      <w:r w:rsidR="008B215D" w:rsidRPr="00342BC9">
        <w:t>Cappelen</w:t>
      </w:r>
      <w:proofErr w:type="spellEnd"/>
      <w:r w:rsidR="008B215D" w:rsidRPr="00342BC9">
        <w:t xml:space="preserve"> and </w:t>
      </w:r>
      <w:proofErr w:type="spellStart"/>
      <w:r w:rsidR="008B215D" w:rsidRPr="00342BC9">
        <w:t>Dever</w:t>
      </w:r>
      <w:proofErr w:type="spellEnd"/>
      <w:r w:rsidR="008B215D" w:rsidRPr="00342BC9">
        <w:t xml:space="preserve"> </w:t>
      </w:r>
      <w:r w:rsidRPr="00342BC9">
        <w:t xml:space="preserve">constructed was that it wasn’t just a case in which </w:t>
      </w:r>
      <w:r w:rsidR="00600DC5" w:rsidRPr="00342BC9">
        <w:t xml:space="preserve">the agent </w:t>
      </w:r>
      <w:r w:rsidRPr="00342BC9">
        <w:t>was supposed to have a self-directed, no</w:t>
      </w:r>
      <w:r w:rsidR="00600DC5" w:rsidRPr="00342BC9">
        <w:t>n</w:t>
      </w:r>
      <w:r w:rsidRPr="00342BC9">
        <w:t xml:space="preserve"> </w:t>
      </w:r>
      <w:r w:rsidRPr="00342BC9">
        <w:rPr>
          <w:i/>
          <w:iCs/>
        </w:rPr>
        <w:t xml:space="preserve">de </w:t>
      </w:r>
      <w:proofErr w:type="spellStart"/>
      <w:r w:rsidRPr="00342BC9">
        <w:rPr>
          <w:i/>
          <w:iCs/>
        </w:rPr>
        <w:t>se</w:t>
      </w:r>
      <w:proofErr w:type="spellEnd"/>
      <w:r w:rsidRPr="00342BC9">
        <w:rPr>
          <w:i/>
          <w:iCs/>
        </w:rPr>
        <w:t xml:space="preserve"> </w:t>
      </w:r>
      <w:proofErr w:type="gramStart"/>
      <w:r w:rsidRPr="00342BC9">
        <w:t xml:space="preserve">attitude </w:t>
      </w:r>
      <w:r w:rsidRPr="00342BC9">
        <w:rPr>
          <w:i/>
          <w:iCs/>
        </w:rPr>
        <w:t xml:space="preserve"> </w:t>
      </w:r>
      <w:r w:rsidRPr="00342BC9">
        <w:t>–</w:t>
      </w:r>
      <w:proofErr w:type="gramEnd"/>
      <w:r w:rsidRPr="00342BC9">
        <w:t xml:space="preserve"> e.g. a desire</w:t>
      </w:r>
      <w:r w:rsidR="00A809DA" w:rsidRPr="00342BC9">
        <w:t xml:space="preserve"> of </w:t>
      </w:r>
      <w:proofErr w:type="spellStart"/>
      <w:r w:rsidR="00A809DA" w:rsidRPr="00342BC9">
        <w:t>Ofra’s</w:t>
      </w:r>
      <w:proofErr w:type="spellEnd"/>
      <w:r w:rsidRPr="00342BC9">
        <w:t xml:space="preserve"> that</w:t>
      </w:r>
      <w:r w:rsidRPr="00342BC9">
        <w:rPr>
          <w:i/>
          <w:iCs/>
        </w:rPr>
        <w:t xml:space="preserve"> </w:t>
      </w:r>
      <w:proofErr w:type="spellStart"/>
      <w:r w:rsidRPr="00342BC9">
        <w:rPr>
          <w:i/>
          <w:iCs/>
        </w:rPr>
        <w:t>Ofra</w:t>
      </w:r>
      <w:proofErr w:type="spellEnd"/>
      <w:r w:rsidRPr="00342BC9">
        <w:t xml:space="preserve"> donate to Oxfam – that</w:t>
      </w:r>
      <w:r w:rsidR="00600DC5" w:rsidRPr="00342BC9">
        <w:t xml:space="preserve"> they</w:t>
      </w:r>
      <w:r w:rsidRPr="00342BC9">
        <w:t xml:space="preserve"> acted on. If it was such a case, it would have attracted the reaction, whose</w:t>
      </w:r>
      <w:r w:rsidR="006A76D8" w:rsidRPr="00342BC9">
        <w:t xml:space="preserve"> potency</w:t>
      </w:r>
      <w:r w:rsidRPr="00342BC9">
        <w:t xml:space="preserve"> Lewis and Perry highlighted decades ago: ‘But why should that lead to action, if </w:t>
      </w:r>
      <w:proofErr w:type="spellStart"/>
      <w:r w:rsidRPr="00342BC9">
        <w:t>Ofra</w:t>
      </w:r>
      <w:proofErr w:type="spellEnd"/>
      <w:r w:rsidRPr="00342BC9">
        <w:t xml:space="preserve"> doesn’t know that</w:t>
      </w:r>
      <w:r w:rsidR="009B0DEA" w:rsidRPr="00342BC9">
        <w:t xml:space="preserve"> </w:t>
      </w:r>
      <w:r w:rsidR="009B0DEA" w:rsidRPr="00342BC9">
        <w:rPr>
          <w:i/>
          <w:iCs/>
        </w:rPr>
        <w:t xml:space="preserve">she </w:t>
      </w:r>
      <w:r w:rsidR="009B0DEA" w:rsidRPr="00342BC9">
        <w:t>is</w:t>
      </w:r>
      <w:r w:rsidRPr="00342BC9">
        <w:t xml:space="preserve"> </w:t>
      </w:r>
      <w:proofErr w:type="spellStart"/>
      <w:r w:rsidRPr="00342BC9">
        <w:t>Ofra</w:t>
      </w:r>
      <w:proofErr w:type="spellEnd"/>
      <w:r w:rsidRPr="00342BC9">
        <w:t xml:space="preserve">?’ The key to making the action without the </w:t>
      </w:r>
      <w:r w:rsidRPr="00342BC9">
        <w:rPr>
          <w:i/>
          <w:iCs/>
        </w:rPr>
        <w:t xml:space="preserve">de se </w:t>
      </w:r>
      <w:r w:rsidRPr="00342BC9">
        <w:t xml:space="preserve">possibility plausible is to extrude the self-directed aspect, not just the </w:t>
      </w:r>
      <w:r w:rsidRPr="00342BC9">
        <w:rPr>
          <w:i/>
          <w:iCs/>
        </w:rPr>
        <w:t xml:space="preserve">de se </w:t>
      </w:r>
      <w:r w:rsidRPr="00342BC9">
        <w:t>aspect. If we keep in the self-directed aspect, we get the ‘but that’s not the action-triggering way of thinking of the self’ worry. Similarly, if we keep in the present-directed element, we get the parallel ‘but that’s not the action</w:t>
      </w:r>
      <w:r w:rsidR="003C31AD" w:rsidRPr="00342BC9">
        <w:t>-</w:t>
      </w:r>
      <w:r w:rsidRPr="00342BC9">
        <w:t>triggering way of thinking of the present’ worry. So far so similar</w:t>
      </w:r>
      <w:r w:rsidR="006A76D8" w:rsidRPr="00342BC9">
        <w:t xml:space="preserve"> between the </w:t>
      </w:r>
      <w:r w:rsidR="006A76D8" w:rsidRPr="00342BC9">
        <w:rPr>
          <w:i/>
          <w:iCs/>
        </w:rPr>
        <w:t xml:space="preserve">de se </w:t>
      </w:r>
      <w:r w:rsidR="006A76D8" w:rsidRPr="00342BC9">
        <w:t xml:space="preserve">and the </w:t>
      </w:r>
      <w:r w:rsidR="006A76D8" w:rsidRPr="00342BC9">
        <w:rPr>
          <w:i/>
          <w:iCs/>
        </w:rPr>
        <w:t xml:space="preserve">de </w:t>
      </w:r>
      <w:proofErr w:type="spellStart"/>
      <w:r w:rsidR="006A76D8" w:rsidRPr="00342BC9">
        <w:rPr>
          <w:i/>
          <w:iCs/>
        </w:rPr>
        <w:t>nunc</w:t>
      </w:r>
      <w:proofErr w:type="spellEnd"/>
      <w:r w:rsidRPr="00342BC9">
        <w:t xml:space="preserve">. The difference is that when we extrude the present-directed element of a state (focusing on my 12.03 intention to do </w:t>
      </w:r>
      <w:r w:rsidR="00567942" w:rsidRPr="00342BC9">
        <w:t>the</w:t>
      </w:r>
      <w:r w:rsidRPr="00342BC9">
        <w:t xml:space="preserve"> physio</w:t>
      </w:r>
      <w:r w:rsidR="001C543C" w:rsidRPr="00342BC9">
        <w:t xml:space="preserve"> </w:t>
      </w:r>
      <w:r w:rsidRPr="00342BC9">
        <w:t>at some time or other), we have nothing left to explain why the action occurs when it does</w:t>
      </w:r>
      <w:r w:rsidR="00600DC5" w:rsidRPr="00342BC9">
        <w:t>.</w:t>
      </w:r>
      <w:r w:rsidRPr="00342BC9">
        <w:t xml:space="preserve"> </w:t>
      </w:r>
      <w:r w:rsidR="00600DC5" w:rsidRPr="00342BC9">
        <w:t>I</w:t>
      </w:r>
      <w:r w:rsidRPr="00342BC9">
        <w:t xml:space="preserve">n particular, the time at which </w:t>
      </w:r>
      <w:r w:rsidR="00567942" w:rsidRPr="00342BC9">
        <w:t>intention</w:t>
      </w:r>
      <w:r w:rsidRPr="00342BC9">
        <w:t xml:space="preserve"> </w:t>
      </w:r>
      <w:r w:rsidRPr="00342BC9">
        <w:rPr>
          <w:i/>
          <w:iCs/>
        </w:rPr>
        <w:t>is had</w:t>
      </w:r>
      <w:r w:rsidRPr="00342BC9">
        <w:t xml:space="preserve"> doesn’t explain that</w:t>
      </w:r>
      <w:r w:rsidR="00600DC5" w:rsidRPr="00342BC9">
        <w:t xml:space="preserve">. </w:t>
      </w:r>
    </w:p>
    <w:p w14:paraId="1088DA13" w14:textId="77777777" w:rsidR="00342BC9" w:rsidRDefault="000353FE" w:rsidP="00342BC9">
      <w:pPr>
        <w:spacing w:line="480" w:lineRule="auto"/>
        <w:ind w:firstLine="720"/>
      </w:pPr>
      <w:r w:rsidRPr="00342BC9">
        <w:t xml:space="preserve">In the previous subsection, I argued that the ‘Why them?’ and ‘Why then?’ questions always get answered. In </w:t>
      </w:r>
      <w:r w:rsidR="00567942" w:rsidRPr="00342BC9">
        <w:t xml:space="preserve">the two parts of </w:t>
      </w:r>
      <w:r w:rsidRPr="00342BC9">
        <w:t>this subsection</w:t>
      </w:r>
      <w:r w:rsidR="00567942" w:rsidRPr="00342BC9">
        <w:t>,</w:t>
      </w:r>
      <w:r w:rsidRPr="00342BC9">
        <w:t xml:space="preserve"> I’ve argued that </w:t>
      </w:r>
      <w:r w:rsidR="00D54EA8" w:rsidRPr="00342BC9">
        <w:t xml:space="preserve">this constraint </w:t>
      </w:r>
      <w:r w:rsidR="00F24D94" w:rsidRPr="00342BC9">
        <w:t xml:space="preserve">rules out action without the </w:t>
      </w:r>
      <w:r w:rsidR="00F24D94" w:rsidRPr="00342BC9">
        <w:rPr>
          <w:i/>
          <w:iCs/>
        </w:rPr>
        <w:t xml:space="preserve">de </w:t>
      </w:r>
      <w:proofErr w:type="spellStart"/>
      <w:r w:rsidR="00F24D94" w:rsidRPr="00342BC9">
        <w:rPr>
          <w:i/>
          <w:iCs/>
        </w:rPr>
        <w:t>nunc</w:t>
      </w:r>
      <w:proofErr w:type="spellEnd"/>
      <w:r w:rsidR="00F24D94" w:rsidRPr="00342BC9">
        <w:t xml:space="preserve">, even though it doesn’t rule out action without the </w:t>
      </w:r>
      <w:r w:rsidR="00F24D94" w:rsidRPr="00342BC9">
        <w:rPr>
          <w:i/>
          <w:iCs/>
        </w:rPr>
        <w:t>de se</w:t>
      </w:r>
      <w:r w:rsidR="00F24D94" w:rsidRPr="00342BC9">
        <w:t xml:space="preserve">. </w:t>
      </w:r>
      <w:r w:rsidR="000A1C64" w:rsidRPr="00342BC9">
        <w:t xml:space="preserve"> </w:t>
      </w:r>
      <w:r w:rsidR="00D54EA8" w:rsidRPr="00342BC9">
        <w:t>That completes the section’s ‘Why</w:t>
      </w:r>
      <w:r w:rsidR="00FF4CC1" w:rsidRPr="00342BC9">
        <w:t>?</w:t>
      </w:r>
      <w:r w:rsidR="00D54EA8" w:rsidRPr="00342BC9">
        <w:t>’</w:t>
      </w:r>
      <w:r w:rsidR="00FF4CC1" w:rsidRPr="00342BC9">
        <w:t>-</w:t>
      </w:r>
      <w:r w:rsidR="00D54EA8" w:rsidRPr="00342BC9">
        <w:t xml:space="preserve">based argument that there can’t be action without the </w:t>
      </w:r>
      <w:r w:rsidR="00D54EA8" w:rsidRPr="00342BC9">
        <w:rPr>
          <w:i/>
          <w:iCs/>
        </w:rPr>
        <w:t xml:space="preserve">de </w:t>
      </w:r>
      <w:proofErr w:type="spellStart"/>
      <w:r w:rsidR="00D54EA8" w:rsidRPr="00342BC9">
        <w:rPr>
          <w:i/>
          <w:iCs/>
        </w:rPr>
        <w:t>nunc</w:t>
      </w:r>
      <w:proofErr w:type="spellEnd"/>
      <w:r w:rsidR="00567942" w:rsidRPr="00342BC9">
        <w:t xml:space="preserve">, even though there can be without the </w:t>
      </w:r>
      <w:r w:rsidR="00567942" w:rsidRPr="00342BC9">
        <w:rPr>
          <w:i/>
          <w:iCs/>
        </w:rPr>
        <w:t>de se</w:t>
      </w:r>
      <w:r w:rsidR="00D54EA8" w:rsidRPr="00342BC9">
        <w:rPr>
          <w:i/>
          <w:iCs/>
        </w:rPr>
        <w:t xml:space="preserve">. </w:t>
      </w:r>
      <w:r w:rsidR="00F24D94" w:rsidRPr="00342BC9">
        <w:t>I note</w:t>
      </w:r>
      <w:r w:rsidR="00105050" w:rsidRPr="00342BC9">
        <w:t>,</w:t>
      </w:r>
      <w:r w:rsidR="00567942" w:rsidRPr="00342BC9">
        <w:t xml:space="preserve"> before moving on</w:t>
      </w:r>
      <w:r w:rsidR="00717034" w:rsidRPr="00342BC9">
        <w:t>,</w:t>
      </w:r>
      <w:r w:rsidR="00F24D94" w:rsidRPr="00342BC9">
        <w:t xml:space="preserve"> </w:t>
      </w:r>
      <w:r w:rsidR="00105050" w:rsidRPr="00342BC9">
        <w:t xml:space="preserve">two things that help contextualize the argument. </w:t>
      </w:r>
    </w:p>
    <w:p w14:paraId="44D32533" w14:textId="77777777" w:rsidR="00342BC9" w:rsidRDefault="00105050" w:rsidP="00342BC9">
      <w:pPr>
        <w:spacing w:line="480" w:lineRule="auto"/>
        <w:ind w:firstLine="720"/>
      </w:pPr>
      <w:r w:rsidRPr="00342BC9">
        <w:t>F</w:t>
      </w:r>
      <w:r w:rsidR="00717034" w:rsidRPr="00342BC9">
        <w:t>irst</w:t>
      </w:r>
      <w:r w:rsidRPr="00342BC9">
        <w:t>,</w:t>
      </w:r>
      <w:r w:rsidR="00717034" w:rsidRPr="00342BC9">
        <w:t xml:space="preserve"> </w:t>
      </w:r>
      <w:r w:rsidRPr="00342BC9">
        <w:t xml:space="preserve">the </w:t>
      </w:r>
      <w:r w:rsidR="00A809DA" w:rsidRPr="00342BC9">
        <w:t>two</w:t>
      </w:r>
      <w:r w:rsidR="00F24D94" w:rsidRPr="00342BC9">
        <w:t xml:space="preserve"> ‘Why?’ questions</w:t>
      </w:r>
      <w:r w:rsidR="00717034" w:rsidRPr="00342BC9">
        <w:t xml:space="preserve"> the argument focuses on</w:t>
      </w:r>
      <w:r w:rsidR="00F24D94" w:rsidRPr="00342BC9">
        <w:t xml:space="preserve"> naturally suggest the perspective of an onlooker, trying to understand another agent’s action. From the agent’s own </w:t>
      </w:r>
      <w:r w:rsidR="00F24D94" w:rsidRPr="00342BC9">
        <w:lastRenderedPageBreak/>
        <w:t>perspective, the contrast looks a bit different. It isn’t that the agent faces both a ‘Why me?’ and a ‘Why now?’ question, and, from their perspective, the ‘Why me?’ question can be answered by a non-</w:t>
      </w:r>
      <w:r w:rsidR="00F24D94" w:rsidRPr="00342BC9">
        <w:rPr>
          <w:i/>
          <w:iCs/>
        </w:rPr>
        <w:t xml:space="preserve">de se </w:t>
      </w:r>
      <w:r w:rsidR="00F24D94" w:rsidRPr="00342BC9">
        <w:t xml:space="preserve">state but the ‘Why now?’ question can’t be answered without the </w:t>
      </w:r>
      <w:r w:rsidR="00F24D94" w:rsidRPr="00342BC9">
        <w:rPr>
          <w:i/>
          <w:iCs/>
        </w:rPr>
        <w:t xml:space="preserve">de </w:t>
      </w:r>
      <w:proofErr w:type="spellStart"/>
      <w:r w:rsidR="00F24D94" w:rsidRPr="00342BC9">
        <w:rPr>
          <w:i/>
          <w:iCs/>
        </w:rPr>
        <w:t>nunc</w:t>
      </w:r>
      <w:proofErr w:type="spellEnd"/>
      <w:r w:rsidR="00F24D94" w:rsidRPr="00342BC9">
        <w:t xml:space="preserve">. It’s rather that, from the agent’s perspective, only one of these two questions arises. In acting, I </w:t>
      </w:r>
      <w:proofErr w:type="gramStart"/>
      <w:r w:rsidR="00F24D94" w:rsidRPr="00342BC9">
        <w:t>have to</w:t>
      </w:r>
      <w:proofErr w:type="gramEnd"/>
      <w:r w:rsidR="00F24D94" w:rsidRPr="00342BC9">
        <w:t xml:space="preserve"> select a moment to act at, and it’s hard to see how this selection happens without something like the thought ‘</w:t>
      </w:r>
      <w:r w:rsidR="00600DC5" w:rsidRPr="00342BC9">
        <w:rPr>
          <w:i/>
          <w:iCs/>
        </w:rPr>
        <w:t xml:space="preserve">now </w:t>
      </w:r>
      <w:r w:rsidR="00600DC5" w:rsidRPr="00342BC9">
        <w:t>is the time</w:t>
      </w:r>
      <w:r w:rsidR="000C74DD" w:rsidRPr="00342BC9">
        <w:t xml:space="preserve"> to do it</w:t>
      </w:r>
      <w:r w:rsidR="00F24D94" w:rsidRPr="00342BC9">
        <w:t xml:space="preserve">’. But, in acting, I don’t have to select an agent via whom to act. That choice is already made for me: </w:t>
      </w:r>
      <w:proofErr w:type="spellStart"/>
      <w:r w:rsidR="00600DC5" w:rsidRPr="00342BC9">
        <w:t>platitudinous</w:t>
      </w:r>
      <w:r w:rsidR="009B0DEA" w:rsidRPr="00342BC9">
        <w:t>ly</w:t>
      </w:r>
      <w:proofErr w:type="spellEnd"/>
      <w:r w:rsidR="00F24D94" w:rsidRPr="00342BC9">
        <w:t xml:space="preserve">, the agent via whose agency I act is myself. </w:t>
      </w:r>
      <w:proofErr w:type="gramStart"/>
      <w:r w:rsidR="00F24D94" w:rsidRPr="00342BC9">
        <w:t>So</w:t>
      </w:r>
      <w:proofErr w:type="gramEnd"/>
      <w:r w:rsidR="00F24D94" w:rsidRPr="00342BC9">
        <w:t xml:space="preserve"> there’s no parallel need for something like the thought ‘I am the </w:t>
      </w:r>
      <w:r w:rsidR="00600DC5" w:rsidRPr="00342BC9">
        <w:t>one</w:t>
      </w:r>
      <w:r w:rsidR="000C74DD" w:rsidRPr="00342BC9">
        <w:t xml:space="preserve"> to do it</w:t>
      </w:r>
      <w:r w:rsidR="00F24D94" w:rsidRPr="00342BC9">
        <w:t xml:space="preserve">!’. A metaphysical contrast – agents </w:t>
      </w:r>
      <w:proofErr w:type="gramStart"/>
      <w:r w:rsidR="00F24D94" w:rsidRPr="00342BC9">
        <w:t>spans</w:t>
      </w:r>
      <w:proofErr w:type="gramEnd"/>
      <w:r w:rsidR="00F24D94" w:rsidRPr="00342BC9">
        <w:t xml:space="preserve"> times, but not agents – yields a role for the </w:t>
      </w:r>
      <w:r w:rsidR="00F24D94" w:rsidRPr="00342BC9">
        <w:rPr>
          <w:i/>
          <w:iCs/>
        </w:rPr>
        <w:t xml:space="preserve">de </w:t>
      </w:r>
      <w:proofErr w:type="spellStart"/>
      <w:r w:rsidR="00F24D94" w:rsidRPr="00342BC9">
        <w:rPr>
          <w:i/>
          <w:iCs/>
        </w:rPr>
        <w:t>nunc</w:t>
      </w:r>
      <w:proofErr w:type="spellEnd"/>
      <w:r w:rsidR="00F24D94" w:rsidRPr="00342BC9">
        <w:rPr>
          <w:i/>
          <w:iCs/>
        </w:rPr>
        <w:t xml:space="preserve"> </w:t>
      </w:r>
      <w:r w:rsidR="00F24D94" w:rsidRPr="00342BC9">
        <w:t xml:space="preserve">in action that the </w:t>
      </w:r>
      <w:r w:rsidR="00F24D94" w:rsidRPr="00342BC9">
        <w:rPr>
          <w:i/>
          <w:iCs/>
        </w:rPr>
        <w:t xml:space="preserve">de se </w:t>
      </w:r>
      <w:r w:rsidR="00F24D94" w:rsidRPr="00342BC9">
        <w:t xml:space="preserve">simply does not have. </w:t>
      </w:r>
    </w:p>
    <w:p w14:paraId="6E1C8806" w14:textId="7346E878" w:rsidR="00CC545E" w:rsidRPr="00342BC9" w:rsidRDefault="00105050" w:rsidP="00342BC9">
      <w:pPr>
        <w:spacing w:line="480" w:lineRule="auto"/>
        <w:ind w:firstLine="720"/>
      </w:pPr>
      <w:r w:rsidRPr="00342BC9">
        <w:rPr>
          <w:iCs/>
          <w:color w:val="000000" w:themeColor="text1"/>
        </w:rPr>
        <w:t>Second, I</w:t>
      </w:r>
      <w:r w:rsidR="00CC545E" w:rsidRPr="00342BC9">
        <w:rPr>
          <w:iCs/>
          <w:color w:val="000000" w:themeColor="text1"/>
        </w:rPr>
        <w:t xml:space="preserve"> provide a comparison between </w:t>
      </w:r>
      <w:r w:rsidRPr="00342BC9">
        <w:rPr>
          <w:iCs/>
          <w:color w:val="000000" w:themeColor="text1"/>
        </w:rPr>
        <w:t xml:space="preserve">my argument and the argument of </w:t>
      </w:r>
      <w:r w:rsidR="00CC545E" w:rsidRPr="00342BC9">
        <w:rPr>
          <w:iCs/>
          <w:color w:val="000000" w:themeColor="text1"/>
        </w:rPr>
        <w:t>Ludlow (2019) and Morgan (2019), two contributions that might appear to anticipate</w:t>
      </w:r>
      <w:r w:rsidR="00F75096" w:rsidRPr="00342BC9">
        <w:rPr>
          <w:iCs/>
          <w:color w:val="000000" w:themeColor="text1"/>
        </w:rPr>
        <w:t xml:space="preserve"> </w:t>
      </w:r>
      <w:r w:rsidR="003C31AD" w:rsidRPr="00342BC9">
        <w:rPr>
          <w:iCs/>
          <w:color w:val="000000" w:themeColor="text1"/>
        </w:rPr>
        <w:t>this paper</w:t>
      </w:r>
      <w:r w:rsidR="00CC545E" w:rsidRPr="00342BC9">
        <w:rPr>
          <w:iCs/>
          <w:color w:val="000000" w:themeColor="text1"/>
        </w:rPr>
        <w:t xml:space="preserve">. </w:t>
      </w:r>
      <w:proofErr w:type="gramStart"/>
      <w:r w:rsidR="00CC545E" w:rsidRPr="00342BC9">
        <w:rPr>
          <w:iCs/>
          <w:color w:val="000000" w:themeColor="text1"/>
        </w:rPr>
        <w:t>Both of these</w:t>
      </w:r>
      <w:proofErr w:type="gramEnd"/>
      <w:r w:rsidR="00CC545E" w:rsidRPr="00342BC9">
        <w:rPr>
          <w:iCs/>
          <w:color w:val="000000" w:themeColor="text1"/>
        </w:rPr>
        <w:t xml:space="preserve"> papers </w:t>
      </w:r>
      <w:r w:rsidR="00902910" w:rsidRPr="00342BC9">
        <w:rPr>
          <w:iCs/>
          <w:color w:val="000000" w:themeColor="text1"/>
        </w:rPr>
        <w:t>agree</w:t>
      </w:r>
      <w:r w:rsidR="00CC545E" w:rsidRPr="00342BC9">
        <w:rPr>
          <w:iCs/>
          <w:color w:val="000000" w:themeColor="text1"/>
        </w:rPr>
        <w:t xml:space="preserve"> that the </w:t>
      </w:r>
      <w:r w:rsidR="00CC545E" w:rsidRPr="00342BC9">
        <w:rPr>
          <w:i/>
          <w:color w:val="000000" w:themeColor="text1"/>
        </w:rPr>
        <w:t xml:space="preserve">de </w:t>
      </w:r>
      <w:proofErr w:type="spellStart"/>
      <w:r w:rsidR="00CC545E" w:rsidRPr="00342BC9">
        <w:rPr>
          <w:i/>
          <w:color w:val="000000" w:themeColor="text1"/>
        </w:rPr>
        <w:t>nunc</w:t>
      </w:r>
      <w:proofErr w:type="spellEnd"/>
      <w:r w:rsidR="00CC545E" w:rsidRPr="00342BC9">
        <w:rPr>
          <w:i/>
          <w:color w:val="000000" w:themeColor="text1"/>
        </w:rPr>
        <w:t xml:space="preserve"> </w:t>
      </w:r>
      <w:r w:rsidR="00CC545E" w:rsidRPr="00342BC9">
        <w:rPr>
          <w:iCs/>
          <w:color w:val="000000" w:themeColor="text1"/>
        </w:rPr>
        <w:t>is importantly underexplored. In the case of Ludlow (2019), that is the extent of the similarity</w:t>
      </w:r>
      <w:r w:rsidR="00902910" w:rsidRPr="00342BC9">
        <w:rPr>
          <w:iCs/>
          <w:color w:val="000000" w:themeColor="text1"/>
        </w:rPr>
        <w:t xml:space="preserve"> with this paper</w:t>
      </w:r>
      <w:r w:rsidRPr="00342BC9">
        <w:rPr>
          <w:iCs/>
          <w:color w:val="000000" w:themeColor="text1"/>
        </w:rPr>
        <w:t>.</w:t>
      </w:r>
      <w:r w:rsidR="00CC545E" w:rsidRPr="00342BC9">
        <w:rPr>
          <w:iCs/>
          <w:color w:val="000000" w:themeColor="text1"/>
        </w:rPr>
        <w:t xml:space="preserve"> </w:t>
      </w:r>
      <w:r w:rsidRPr="00342BC9">
        <w:rPr>
          <w:iCs/>
          <w:color w:val="000000" w:themeColor="text1"/>
        </w:rPr>
        <w:t>B</w:t>
      </w:r>
      <w:r w:rsidR="00CC545E" w:rsidRPr="00342BC9">
        <w:rPr>
          <w:iCs/>
          <w:color w:val="000000" w:themeColor="text1"/>
        </w:rPr>
        <w:t>ut in the case of Morgan</w:t>
      </w:r>
      <w:r w:rsidR="00656F19" w:rsidRPr="00342BC9">
        <w:rPr>
          <w:iCs/>
          <w:color w:val="000000" w:themeColor="text1"/>
        </w:rPr>
        <w:t xml:space="preserve"> </w:t>
      </w:r>
      <w:r w:rsidR="00CC545E" w:rsidRPr="00342BC9">
        <w:rPr>
          <w:iCs/>
          <w:color w:val="000000" w:themeColor="text1"/>
        </w:rPr>
        <w:t>(2019)</w:t>
      </w:r>
      <w:r w:rsidR="00F75096" w:rsidRPr="00342BC9">
        <w:rPr>
          <w:iCs/>
          <w:color w:val="000000" w:themeColor="text1"/>
        </w:rPr>
        <w:t>,</w:t>
      </w:r>
      <w:r w:rsidR="00CC545E" w:rsidRPr="00342BC9">
        <w:rPr>
          <w:iCs/>
          <w:color w:val="000000" w:themeColor="text1"/>
        </w:rPr>
        <w:t xml:space="preserve"> th</w:t>
      </w:r>
      <w:r w:rsidR="00902910" w:rsidRPr="00342BC9">
        <w:rPr>
          <w:iCs/>
          <w:color w:val="000000" w:themeColor="text1"/>
        </w:rPr>
        <w:t>e</w:t>
      </w:r>
      <w:r w:rsidR="00CC545E" w:rsidRPr="00342BC9">
        <w:rPr>
          <w:iCs/>
          <w:color w:val="000000" w:themeColor="text1"/>
        </w:rPr>
        <w:t xml:space="preserve"> similarity</w:t>
      </w:r>
      <w:r w:rsidR="00902910" w:rsidRPr="00342BC9">
        <w:rPr>
          <w:iCs/>
          <w:color w:val="000000" w:themeColor="text1"/>
        </w:rPr>
        <w:t xml:space="preserve"> goes beyond that.</w:t>
      </w:r>
      <w:r w:rsidR="00CC545E" w:rsidRPr="00342BC9">
        <w:rPr>
          <w:iCs/>
          <w:color w:val="000000" w:themeColor="text1"/>
        </w:rPr>
        <w:t xml:space="preserve"> I take the two comparisons separately. </w:t>
      </w:r>
    </w:p>
    <w:p w14:paraId="304A3084" w14:textId="025146B9" w:rsidR="003C31AD" w:rsidRPr="00342BC9" w:rsidRDefault="00CC545E" w:rsidP="00342BC9">
      <w:pPr>
        <w:spacing w:line="480" w:lineRule="auto"/>
        <w:rPr>
          <w:iCs/>
          <w:u w:val="single"/>
        </w:rPr>
      </w:pPr>
      <w:r w:rsidRPr="00342BC9">
        <w:rPr>
          <w:iCs/>
          <w:u w:val="single"/>
        </w:rPr>
        <w:t>Ludlow</w:t>
      </w:r>
    </w:p>
    <w:p w14:paraId="5DFEA617" w14:textId="0312D5E4" w:rsidR="00FB51F4" w:rsidRPr="00342BC9" w:rsidRDefault="00CC545E" w:rsidP="00342BC9">
      <w:pPr>
        <w:spacing w:line="480" w:lineRule="auto"/>
        <w:rPr>
          <w:iCs/>
        </w:rPr>
      </w:pPr>
      <w:r w:rsidRPr="00342BC9">
        <w:rPr>
          <w:iCs/>
        </w:rPr>
        <w:t xml:space="preserve">It’s helpful to begin by focusing just on the comparison between Ludlow’s take on the </w:t>
      </w:r>
      <w:proofErr w:type="spellStart"/>
      <w:r w:rsidRPr="00342BC9">
        <w:rPr>
          <w:iCs/>
        </w:rPr>
        <w:t>Cappelen</w:t>
      </w:r>
      <w:proofErr w:type="spellEnd"/>
      <w:r w:rsidRPr="00342BC9">
        <w:rPr>
          <w:iCs/>
        </w:rPr>
        <w:t xml:space="preserve"> and </w:t>
      </w:r>
      <w:proofErr w:type="spellStart"/>
      <w:r w:rsidRPr="00342BC9">
        <w:rPr>
          <w:iCs/>
        </w:rPr>
        <w:t>Dever</w:t>
      </w:r>
      <w:proofErr w:type="spellEnd"/>
      <w:r w:rsidRPr="00342BC9">
        <w:rPr>
          <w:iCs/>
        </w:rPr>
        <w:t>/</w:t>
      </w:r>
      <w:proofErr w:type="spellStart"/>
      <w:r w:rsidRPr="00342BC9">
        <w:rPr>
          <w:iCs/>
        </w:rPr>
        <w:t>Magidor</w:t>
      </w:r>
      <w:proofErr w:type="spellEnd"/>
      <w:r w:rsidRPr="00342BC9">
        <w:rPr>
          <w:iCs/>
        </w:rPr>
        <w:t xml:space="preserve"> </w:t>
      </w:r>
      <w:r w:rsidR="002749A5" w:rsidRPr="00342BC9">
        <w:rPr>
          <w:iCs/>
        </w:rPr>
        <w:t>recipe</w:t>
      </w:r>
      <w:r w:rsidR="00902910" w:rsidRPr="00342BC9">
        <w:rPr>
          <w:iCs/>
        </w:rPr>
        <w:t>,</w:t>
      </w:r>
      <w:r w:rsidRPr="00342BC9">
        <w:rPr>
          <w:iCs/>
        </w:rPr>
        <w:t xml:space="preserve"> and mine. </w:t>
      </w:r>
      <w:r w:rsidR="00427CA4" w:rsidRPr="00342BC9">
        <w:rPr>
          <w:iCs/>
        </w:rPr>
        <w:t xml:space="preserve">Ludlow (2019) engages with </w:t>
      </w:r>
      <w:proofErr w:type="spellStart"/>
      <w:r w:rsidR="00427CA4" w:rsidRPr="00342BC9">
        <w:rPr>
          <w:iCs/>
        </w:rPr>
        <w:t>Cappelen</w:t>
      </w:r>
      <w:proofErr w:type="spellEnd"/>
      <w:r w:rsidR="00427CA4" w:rsidRPr="00342BC9">
        <w:rPr>
          <w:iCs/>
        </w:rPr>
        <w:t xml:space="preserve"> and </w:t>
      </w:r>
      <w:proofErr w:type="spellStart"/>
      <w:r w:rsidR="00427CA4" w:rsidRPr="00342BC9">
        <w:rPr>
          <w:iCs/>
        </w:rPr>
        <w:t>Dever’s</w:t>
      </w:r>
      <w:proofErr w:type="spellEnd"/>
      <w:r w:rsidR="00427CA4" w:rsidRPr="00342BC9">
        <w:rPr>
          <w:iCs/>
        </w:rPr>
        <w:t xml:space="preserve"> example of the </w:t>
      </w:r>
      <w:r w:rsidR="0096153D" w:rsidRPr="00342BC9">
        <w:rPr>
          <w:iCs/>
        </w:rPr>
        <w:t>recipe</w:t>
      </w:r>
      <w:r w:rsidR="00F75096" w:rsidRPr="00342BC9">
        <w:rPr>
          <w:iCs/>
        </w:rPr>
        <w:t>,</w:t>
      </w:r>
      <w:r w:rsidR="00427CA4" w:rsidRPr="00342BC9">
        <w:rPr>
          <w:iCs/>
        </w:rPr>
        <w:t xml:space="preserve"> in which an agent, Herman, is supposed to be saving a particular child, Nora, while just having mental states directed at</w:t>
      </w:r>
      <w:r w:rsidR="00105050" w:rsidRPr="00342BC9">
        <w:rPr>
          <w:iCs/>
        </w:rPr>
        <w:t xml:space="preserve"> Nora</w:t>
      </w:r>
      <w:r w:rsidR="004C7536" w:rsidRPr="00342BC9">
        <w:rPr>
          <w:iCs/>
        </w:rPr>
        <w:t xml:space="preserve">, and none at </w:t>
      </w:r>
      <w:r w:rsidR="0096153D" w:rsidRPr="00342BC9">
        <w:rPr>
          <w:iCs/>
        </w:rPr>
        <w:t>himself</w:t>
      </w:r>
      <w:r w:rsidR="00427CA4" w:rsidRPr="00342BC9">
        <w:rPr>
          <w:iCs/>
        </w:rPr>
        <w:t>. Ludlow comments as follow</w:t>
      </w:r>
      <w:r w:rsidR="00105050" w:rsidRPr="00342BC9">
        <w:rPr>
          <w:iCs/>
        </w:rPr>
        <w:t>s:</w:t>
      </w:r>
      <w:r w:rsidR="00427CA4" w:rsidRPr="00342BC9">
        <w:rPr>
          <w:iCs/>
        </w:rPr>
        <w:t xml:space="preserve"> </w:t>
      </w:r>
    </w:p>
    <w:p w14:paraId="61EC9C38" w14:textId="3C4A193A" w:rsidR="00215508" w:rsidRPr="00342BC9" w:rsidRDefault="0096153D" w:rsidP="00342BC9">
      <w:pPr>
        <w:spacing w:line="480" w:lineRule="auto"/>
        <w:ind w:left="720"/>
      </w:pPr>
      <w:r w:rsidRPr="00342BC9">
        <w:t xml:space="preserve">It is </w:t>
      </w:r>
      <w:proofErr w:type="gramStart"/>
      <w:r w:rsidRPr="00342BC9">
        <w:t>really hard</w:t>
      </w:r>
      <w:proofErr w:type="gramEnd"/>
      <w:r w:rsidRPr="00342BC9">
        <w:t xml:space="preserve"> to make sense of Herman’s beliefs and desires apart from some additional perspectival facts. There are billions of children in the world. Why is that Herman cares about Nora? Why does he desire that she </w:t>
      </w:r>
      <w:proofErr w:type="gramStart"/>
      <w:r w:rsidRPr="00342BC9">
        <w:t>in particular be</w:t>
      </w:r>
      <w:proofErr w:type="gramEnd"/>
      <w:r w:rsidRPr="00342BC9">
        <w:t xml:space="preserve"> safe? And </w:t>
      </w:r>
      <w:r w:rsidRPr="00342BC9">
        <w:lastRenderedPageBreak/>
        <w:t>why does he think that he, among all the adults in the worl</w:t>
      </w:r>
      <w:r w:rsidR="00CC545E" w:rsidRPr="00342BC9">
        <w:t>d</w:t>
      </w:r>
      <w:r w:rsidRPr="00342BC9">
        <w:t xml:space="preserve">, is responsible for taking care for her. </w:t>
      </w:r>
      <w:r w:rsidR="00175235" w:rsidRPr="00342BC9">
        <w:t xml:space="preserve">Well, one natural explanation is that she is </w:t>
      </w:r>
      <w:r w:rsidR="00175235" w:rsidRPr="00342BC9">
        <w:rPr>
          <w:i/>
          <w:iCs/>
        </w:rPr>
        <w:t xml:space="preserve">his </w:t>
      </w:r>
      <w:r w:rsidR="00175235" w:rsidRPr="00342BC9">
        <w:t>daughter</w:t>
      </w:r>
      <w:r w:rsidR="00902910" w:rsidRPr="00342BC9">
        <w:t>…</w:t>
      </w:r>
    </w:p>
    <w:p w14:paraId="130B0F8C" w14:textId="77777777" w:rsidR="00215508" w:rsidRPr="00342BC9" w:rsidRDefault="00215508" w:rsidP="00342BC9">
      <w:pPr>
        <w:spacing w:line="480" w:lineRule="auto"/>
        <w:ind w:left="720"/>
        <w:rPr>
          <w:i/>
          <w:iCs/>
        </w:rPr>
      </w:pPr>
    </w:p>
    <w:p w14:paraId="5CBCF50B" w14:textId="053A88E1" w:rsidR="00427CA4" w:rsidRPr="00342BC9" w:rsidRDefault="00427CA4" w:rsidP="00342BC9">
      <w:pPr>
        <w:spacing w:line="480" w:lineRule="auto"/>
        <w:ind w:left="720"/>
        <w:rPr>
          <w:i/>
          <w:iCs/>
        </w:rPr>
      </w:pPr>
      <w:r w:rsidRPr="00342BC9">
        <w:t xml:space="preserve">The creep of assumed perspectival contents does not end there. It seems that smuggled into </w:t>
      </w:r>
      <w:proofErr w:type="spellStart"/>
      <w:r w:rsidRPr="00342BC9">
        <w:t>Cappelen</w:t>
      </w:r>
      <w:proofErr w:type="spellEnd"/>
      <w:r w:rsidRPr="00342BC9">
        <w:t xml:space="preserve"> and </w:t>
      </w:r>
      <w:proofErr w:type="spellStart"/>
      <w:r w:rsidRPr="00342BC9">
        <w:t>Dever’s</w:t>
      </w:r>
      <w:proofErr w:type="spellEnd"/>
      <w:r w:rsidRPr="00342BC9">
        <w:t xml:space="preserve"> rationalizations above are some of the key perspectival contents that this book is arguing for</w:t>
      </w:r>
      <w:r w:rsidR="00902910" w:rsidRPr="00342BC9">
        <w:t xml:space="preserve"> </w:t>
      </w:r>
      <w:r w:rsidRPr="00342BC9">
        <w:t xml:space="preserve">— the temporal ones. When we say that Herman’s belief is that Nora is in danger, we are saying his belief is that she is in danger now. When we say that he believes that if the door will be </w:t>
      </w:r>
      <w:proofErr w:type="gramStart"/>
      <w:r w:rsidRPr="00342BC9">
        <w:t>closed</w:t>
      </w:r>
      <w:proofErr w:type="gramEnd"/>
      <w:r w:rsidRPr="00342BC9">
        <w:t xml:space="preserve"> she will be safe, we are obviously saying that if the door is closed now, she will be safe now.</w:t>
      </w:r>
      <w:r w:rsidR="00105050" w:rsidRPr="00342BC9">
        <w:t>..</w:t>
      </w:r>
      <w:r w:rsidRPr="00342BC9">
        <w:t xml:space="preserve">All of these are temporal perspectival contents </w:t>
      </w:r>
      <w:r w:rsidR="00902910" w:rsidRPr="00342BC9">
        <w:t>(</w:t>
      </w:r>
      <w:r w:rsidRPr="00342BC9">
        <w:t>2019:</w:t>
      </w:r>
      <w:r w:rsidR="004C7536" w:rsidRPr="00342BC9">
        <w:t>29</w:t>
      </w:r>
      <w:r w:rsidR="00902910" w:rsidRPr="00342BC9">
        <w:t>)</w:t>
      </w:r>
      <w:r w:rsidRPr="00342BC9">
        <w:t xml:space="preserve">. </w:t>
      </w:r>
    </w:p>
    <w:p w14:paraId="190E39C9" w14:textId="77777777" w:rsidR="00CC545E" w:rsidRPr="00342BC9" w:rsidRDefault="00CC545E" w:rsidP="00342BC9">
      <w:pPr>
        <w:spacing w:line="480" w:lineRule="auto"/>
        <w:ind w:left="720"/>
      </w:pPr>
    </w:p>
    <w:p w14:paraId="42FF7659" w14:textId="77777777" w:rsidR="00342BC9" w:rsidRDefault="00CC545E" w:rsidP="00342BC9">
      <w:pPr>
        <w:spacing w:line="480" w:lineRule="auto"/>
        <w:ind w:firstLine="720"/>
      </w:pPr>
      <w:r w:rsidRPr="00342BC9">
        <w:t>Ludlow’s position</w:t>
      </w:r>
      <w:r w:rsidR="00902910" w:rsidRPr="00342BC9">
        <w:t xml:space="preserve"> here</w:t>
      </w:r>
      <w:r w:rsidRPr="00342BC9">
        <w:t xml:space="preserve"> is that </w:t>
      </w:r>
      <w:r w:rsidR="00610A5D" w:rsidRPr="00342BC9">
        <w:t>Herman’s</w:t>
      </w:r>
      <w:r w:rsidRPr="00342BC9">
        <w:t xml:space="preserve"> </w:t>
      </w:r>
      <w:r w:rsidR="00215508" w:rsidRPr="00342BC9">
        <w:t xml:space="preserve">action </w:t>
      </w:r>
      <w:r w:rsidRPr="00342BC9">
        <w:t xml:space="preserve">requires the </w:t>
      </w:r>
      <w:r w:rsidRPr="00342BC9">
        <w:rPr>
          <w:i/>
          <w:iCs/>
        </w:rPr>
        <w:t xml:space="preserve">de se </w:t>
      </w:r>
      <w:r w:rsidRPr="00342BC9">
        <w:t xml:space="preserve">and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The </w:t>
      </w:r>
      <w:r w:rsidR="00105050" w:rsidRPr="00342BC9">
        <w:t xml:space="preserve">Nora </w:t>
      </w:r>
      <w:r w:rsidRPr="00342BC9">
        <w:t>case</w:t>
      </w:r>
      <w:r w:rsidR="00610A5D" w:rsidRPr="00342BC9">
        <w:t xml:space="preserve"> </w:t>
      </w:r>
      <w:r w:rsidRPr="00342BC9">
        <w:t xml:space="preserve">is unsuccessful, in his view, because of the creep of ‘assumed perspectival contents’. The assumed perspectival contents </w:t>
      </w:r>
      <w:r w:rsidR="00205D8E" w:rsidRPr="00342BC9">
        <w:t xml:space="preserve">he mentions first </w:t>
      </w:r>
      <w:r w:rsidRPr="00342BC9">
        <w:t xml:space="preserve">are </w:t>
      </w:r>
      <w:r w:rsidRPr="00342BC9">
        <w:rPr>
          <w:i/>
          <w:iCs/>
        </w:rPr>
        <w:t>de se</w:t>
      </w:r>
      <w:r w:rsidR="00610A5D" w:rsidRPr="00342BC9">
        <w:t>. But</w:t>
      </w:r>
      <w:r w:rsidR="00205D8E" w:rsidRPr="00342BC9">
        <w:t xml:space="preserve"> he thinks</w:t>
      </w:r>
      <w:r w:rsidR="00215508" w:rsidRPr="00342BC9">
        <w:t xml:space="preserve"> it would be a mistake to stop </w:t>
      </w:r>
      <w:r w:rsidR="002749A5" w:rsidRPr="00342BC9">
        <w:t>there</w:t>
      </w:r>
      <w:r w:rsidR="00205D8E" w:rsidRPr="00342BC9">
        <w:t>.</w:t>
      </w:r>
      <w:r w:rsidR="00215508" w:rsidRPr="00342BC9">
        <w:t xml:space="preserve"> </w:t>
      </w:r>
      <w:r w:rsidR="00205D8E" w:rsidRPr="00342BC9">
        <w:t>O</w:t>
      </w:r>
      <w:r w:rsidR="00610A5D" w:rsidRPr="00342BC9">
        <w:t xml:space="preserve">n examination, it turns out that </w:t>
      </w:r>
      <w:r w:rsidR="00215508" w:rsidRPr="00342BC9">
        <w:t xml:space="preserve">there are other equally essential assumed perspectival contents, the </w:t>
      </w:r>
      <w:r w:rsidR="00215508" w:rsidRPr="00342BC9">
        <w:rPr>
          <w:i/>
          <w:iCs/>
        </w:rPr>
        <w:t xml:space="preserve">de </w:t>
      </w:r>
      <w:proofErr w:type="spellStart"/>
      <w:r w:rsidR="00215508" w:rsidRPr="00342BC9">
        <w:rPr>
          <w:i/>
          <w:iCs/>
        </w:rPr>
        <w:t>nunc</w:t>
      </w:r>
      <w:proofErr w:type="spellEnd"/>
      <w:r w:rsidR="00215508" w:rsidRPr="00342BC9">
        <w:rPr>
          <w:i/>
          <w:iCs/>
        </w:rPr>
        <w:t xml:space="preserve"> </w:t>
      </w:r>
      <w:r w:rsidR="00105050" w:rsidRPr="00342BC9">
        <w:t>contents</w:t>
      </w:r>
      <w:r w:rsidR="00F75096" w:rsidRPr="00342BC9">
        <w:t>, which he thinks have been unjustly neglected.</w:t>
      </w:r>
    </w:p>
    <w:p w14:paraId="5F6EB8F4" w14:textId="77777777" w:rsidR="00342BC9" w:rsidRDefault="00073155" w:rsidP="00342BC9">
      <w:pPr>
        <w:spacing w:line="480" w:lineRule="auto"/>
        <w:ind w:firstLine="720"/>
      </w:pPr>
      <w:r w:rsidRPr="00342BC9">
        <w:t xml:space="preserve">Another </w:t>
      </w:r>
      <w:r w:rsidR="002749A5" w:rsidRPr="00342BC9">
        <w:t>similar take is Ludlow’s</w:t>
      </w:r>
      <w:r w:rsidRPr="00342BC9">
        <w:t xml:space="preserve"> comment on</w:t>
      </w:r>
      <w:r w:rsidR="00610A5D" w:rsidRPr="00342BC9">
        <w:t xml:space="preserve"> Velleman’s view </w:t>
      </w:r>
      <w:r w:rsidR="002749A5" w:rsidRPr="00342BC9">
        <w:t>about</w:t>
      </w:r>
      <w:r w:rsidR="00610A5D" w:rsidRPr="00342BC9">
        <w:t xml:space="preserve"> specifically ethical agenc</w:t>
      </w:r>
      <w:r w:rsidRPr="00342BC9">
        <w:t>y</w:t>
      </w:r>
      <w:r w:rsidR="00215508" w:rsidRPr="00342BC9">
        <w:t>. Velleman says</w:t>
      </w:r>
      <w:r w:rsidR="00610A5D" w:rsidRPr="00342BC9">
        <w:t xml:space="preserve"> that the Kantian maxim that I should only do thing</w:t>
      </w:r>
      <w:r w:rsidRPr="00342BC9">
        <w:t>s</w:t>
      </w:r>
      <w:r w:rsidR="00610A5D" w:rsidRPr="00342BC9">
        <w:t xml:space="preserve"> I </w:t>
      </w:r>
      <w:proofErr w:type="gramStart"/>
      <w:r w:rsidR="00610A5D" w:rsidRPr="00342BC9">
        <w:t>could will</w:t>
      </w:r>
      <w:proofErr w:type="gramEnd"/>
      <w:r w:rsidR="00610A5D" w:rsidRPr="00342BC9">
        <w:t xml:space="preserve"> to be universal law is </w:t>
      </w:r>
      <w:r w:rsidR="00215508" w:rsidRPr="00342BC9">
        <w:t xml:space="preserve">essentially </w:t>
      </w:r>
      <w:r w:rsidR="00610A5D" w:rsidRPr="00342BC9">
        <w:t xml:space="preserve">perspectival in that it essentially involves the </w:t>
      </w:r>
      <w:r w:rsidRPr="00342BC9">
        <w:rPr>
          <w:i/>
          <w:iCs/>
        </w:rPr>
        <w:t>de se</w:t>
      </w:r>
      <w:r w:rsidR="00610A5D" w:rsidRPr="00342BC9">
        <w:t xml:space="preserve">. Ludlow </w:t>
      </w:r>
      <w:r w:rsidR="00215508" w:rsidRPr="00342BC9">
        <w:t>agrees</w:t>
      </w:r>
      <w:r w:rsidR="00205D8E" w:rsidRPr="00342BC9">
        <w:t xml:space="preserve">. But he thinks it would be a mistake to stop there. </w:t>
      </w:r>
      <w:r w:rsidR="00215508" w:rsidRPr="00342BC9">
        <w:t xml:space="preserve"> </w:t>
      </w:r>
      <w:r w:rsidR="00205D8E" w:rsidRPr="00342BC9">
        <w:t xml:space="preserve">Ludlow argues that, </w:t>
      </w:r>
      <w:r w:rsidR="00610A5D" w:rsidRPr="00342BC9">
        <w:t xml:space="preserve">on examination, the maxim also turns out to </w:t>
      </w:r>
      <w:r w:rsidR="002749A5" w:rsidRPr="00342BC9">
        <w:t xml:space="preserve">involve the </w:t>
      </w:r>
      <w:r w:rsidR="002749A5" w:rsidRPr="00342BC9">
        <w:rPr>
          <w:i/>
          <w:iCs/>
        </w:rPr>
        <w:t xml:space="preserve">de </w:t>
      </w:r>
      <w:proofErr w:type="spellStart"/>
      <w:r w:rsidR="002749A5" w:rsidRPr="00342BC9">
        <w:rPr>
          <w:i/>
          <w:iCs/>
        </w:rPr>
        <w:t>nunc</w:t>
      </w:r>
      <w:proofErr w:type="spellEnd"/>
      <w:r w:rsidR="002749A5" w:rsidRPr="00342BC9">
        <w:rPr>
          <w:i/>
          <w:iCs/>
        </w:rPr>
        <w:t xml:space="preserve"> </w:t>
      </w:r>
      <w:r w:rsidR="00215508" w:rsidRPr="00342BC9">
        <w:t>(</w:t>
      </w:r>
      <w:r w:rsidR="004F16B1" w:rsidRPr="00342BC9">
        <w:t xml:space="preserve">2019: </w:t>
      </w:r>
      <w:r w:rsidR="008A1118" w:rsidRPr="00342BC9">
        <w:t>9</w:t>
      </w:r>
      <w:r w:rsidR="00215508" w:rsidRPr="00342BC9">
        <w:t>)</w:t>
      </w:r>
      <w:r w:rsidR="00205D8E" w:rsidRPr="00342BC9">
        <w:t xml:space="preserve"> This is </w:t>
      </w:r>
      <w:r w:rsidRPr="00342BC9">
        <w:t>consistent with everything</w:t>
      </w:r>
      <w:r w:rsidR="00205D8E" w:rsidRPr="00342BC9">
        <w:t xml:space="preserve"> that Velleman </w:t>
      </w:r>
      <w:r w:rsidRPr="00342BC9">
        <w:t>says</w:t>
      </w:r>
      <w:r w:rsidR="00205D8E" w:rsidRPr="00342BC9">
        <w:t xml:space="preserve">, but equally not something </w:t>
      </w:r>
      <w:r w:rsidR="002749A5" w:rsidRPr="00342BC9">
        <w:t>Velleman</w:t>
      </w:r>
      <w:r w:rsidR="00F75096" w:rsidRPr="00342BC9">
        <w:t xml:space="preserve"> mentions. </w:t>
      </w:r>
    </w:p>
    <w:p w14:paraId="614E42C7" w14:textId="77777777" w:rsidR="00342BC9" w:rsidRDefault="00215508" w:rsidP="00342BC9">
      <w:pPr>
        <w:spacing w:line="480" w:lineRule="auto"/>
        <w:ind w:firstLine="720"/>
      </w:pPr>
      <w:r w:rsidRPr="00342BC9">
        <w:t xml:space="preserve">The </w:t>
      </w:r>
      <w:r w:rsidR="00205D8E" w:rsidRPr="00342BC9">
        <w:t>similarity</w:t>
      </w:r>
      <w:r w:rsidRPr="00342BC9">
        <w:t xml:space="preserve"> </w:t>
      </w:r>
      <w:r w:rsidR="00105050" w:rsidRPr="00342BC9">
        <w:t xml:space="preserve">between </w:t>
      </w:r>
      <w:r w:rsidRPr="00342BC9">
        <w:t>Ludlow (2019) and this paper</w:t>
      </w:r>
      <w:r w:rsidR="00105050" w:rsidRPr="00342BC9">
        <w:t>, which comes out in the examples I’ve just mentioned,</w:t>
      </w:r>
      <w:r w:rsidRPr="00342BC9">
        <w:t xml:space="preserve"> is that Lud</w:t>
      </w:r>
      <w:r w:rsidR="00656F19" w:rsidRPr="00342BC9">
        <w:t>l</w:t>
      </w:r>
      <w:r w:rsidRPr="00342BC9">
        <w:t xml:space="preserve">ow anticipates something that this paper </w:t>
      </w:r>
      <w:r w:rsidR="00205D8E" w:rsidRPr="00342BC9">
        <w:t xml:space="preserve">has made </w:t>
      </w:r>
      <w:r w:rsidR="00205D8E" w:rsidRPr="00342BC9">
        <w:lastRenderedPageBreak/>
        <w:t xml:space="preserve">a great deal of </w:t>
      </w:r>
      <w:proofErr w:type="gramStart"/>
      <w:r w:rsidRPr="00342BC9">
        <w:t>–</w:t>
      </w:r>
      <w:r w:rsidR="00205D8E" w:rsidRPr="00342BC9">
        <w:t xml:space="preserve">  the</w:t>
      </w:r>
      <w:proofErr w:type="gramEnd"/>
      <w:r w:rsidR="00205D8E" w:rsidRPr="00342BC9">
        <w:t xml:space="preserve"> </w:t>
      </w:r>
      <w:r w:rsidR="00205D8E" w:rsidRPr="00342BC9">
        <w:rPr>
          <w:i/>
          <w:iCs/>
        </w:rPr>
        <w:t xml:space="preserve">de </w:t>
      </w:r>
      <w:proofErr w:type="spellStart"/>
      <w:r w:rsidR="00205D8E" w:rsidRPr="00342BC9">
        <w:rPr>
          <w:i/>
          <w:iCs/>
        </w:rPr>
        <w:t>nunc</w:t>
      </w:r>
      <w:proofErr w:type="spellEnd"/>
      <w:r w:rsidR="00205D8E" w:rsidRPr="00342BC9">
        <w:rPr>
          <w:i/>
          <w:iCs/>
        </w:rPr>
        <w:t xml:space="preserve"> </w:t>
      </w:r>
      <w:r w:rsidR="00205D8E" w:rsidRPr="00342BC9">
        <w:t>is underexplored</w:t>
      </w:r>
      <w:r w:rsidR="002047AA" w:rsidRPr="00342BC9">
        <w:t xml:space="preserve">. </w:t>
      </w:r>
      <w:r w:rsidRPr="00342BC9">
        <w:t>The difference</w:t>
      </w:r>
      <w:r w:rsidR="00F75096" w:rsidRPr="00342BC9">
        <w:t xml:space="preserve"> between Ludlow (2019)</w:t>
      </w:r>
      <w:r w:rsidRPr="00342BC9">
        <w:t xml:space="preserve"> is in what is supposed to happen when</w:t>
      </w:r>
      <w:r w:rsidR="004F16B1" w:rsidRPr="00342BC9">
        <w:t>, having recognised that</w:t>
      </w:r>
      <w:r w:rsidR="002749A5" w:rsidRPr="00342BC9">
        <w:t xml:space="preserve"> fact</w:t>
      </w:r>
      <w:r w:rsidR="004F16B1" w:rsidRPr="00342BC9">
        <w:t>,</w:t>
      </w:r>
      <w:r w:rsidRPr="00342BC9">
        <w:t xml:space="preserve"> we make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our explicit focus. </w:t>
      </w:r>
      <w:r w:rsidR="00F75096" w:rsidRPr="00342BC9">
        <w:t xml:space="preserve">According to me, what happens is that we discover </w:t>
      </w:r>
      <w:r w:rsidR="004F16B1" w:rsidRPr="00342BC9">
        <w:t xml:space="preserve">something that </w:t>
      </w:r>
      <w:r w:rsidR="00F75096" w:rsidRPr="00342BC9">
        <w:t xml:space="preserve">appeared to hold for the </w:t>
      </w:r>
      <w:r w:rsidR="00F75096" w:rsidRPr="00342BC9">
        <w:rPr>
          <w:i/>
          <w:iCs/>
        </w:rPr>
        <w:t>de se</w:t>
      </w:r>
      <w:r w:rsidR="00F75096" w:rsidRPr="00342BC9">
        <w:t xml:space="preserve">, and in fact does not, in fact does hold for the </w:t>
      </w:r>
      <w:r w:rsidR="00F75096" w:rsidRPr="00342BC9">
        <w:rPr>
          <w:i/>
          <w:iCs/>
        </w:rPr>
        <w:t xml:space="preserve">de </w:t>
      </w:r>
      <w:proofErr w:type="spellStart"/>
      <w:r w:rsidR="00F75096" w:rsidRPr="00342BC9">
        <w:rPr>
          <w:i/>
          <w:iCs/>
        </w:rPr>
        <w:t>nunc</w:t>
      </w:r>
      <w:proofErr w:type="spellEnd"/>
      <w:r w:rsidR="00F75096" w:rsidRPr="00342BC9">
        <w:rPr>
          <w:i/>
          <w:iCs/>
        </w:rPr>
        <w:t xml:space="preserve"> </w:t>
      </w:r>
      <w:r w:rsidR="00F75096" w:rsidRPr="00342BC9">
        <w:t>– action requires it. Th</w:t>
      </w:r>
      <w:r w:rsidR="00CD2F97" w:rsidRPr="00342BC9">
        <w:t>is</w:t>
      </w:r>
      <w:r w:rsidR="00F75096" w:rsidRPr="00342BC9">
        <w:t xml:space="preserve"> goes against the natural kind picture. </w:t>
      </w:r>
      <w:r w:rsidRPr="00342BC9">
        <w:t xml:space="preserve">According to Ludlow (2019), what happens is that we see that parallel interesting connections that obtain for the </w:t>
      </w:r>
      <w:r w:rsidRPr="00342BC9">
        <w:rPr>
          <w:i/>
          <w:iCs/>
        </w:rPr>
        <w:t xml:space="preserve">de se </w:t>
      </w:r>
      <w:r w:rsidRPr="00342BC9">
        <w:t xml:space="preserve">also hold for the </w:t>
      </w:r>
      <w:r w:rsidRPr="00342BC9">
        <w:rPr>
          <w:i/>
          <w:iCs/>
        </w:rPr>
        <w:t xml:space="preserve">de </w:t>
      </w:r>
      <w:proofErr w:type="spellStart"/>
      <w:r w:rsidRPr="00342BC9">
        <w:rPr>
          <w:i/>
          <w:iCs/>
        </w:rPr>
        <w:t>nunc</w:t>
      </w:r>
      <w:proofErr w:type="spellEnd"/>
      <w:r w:rsidRPr="00342BC9">
        <w:rPr>
          <w:i/>
          <w:iCs/>
        </w:rPr>
        <w:t>.</w:t>
      </w:r>
      <w:r w:rsidR="00205D8E" w:rsidRPr="00342BC9">
        <w:rPr>
          <w:i/>
          <w:iCs/>
        </w:rPr>
        <w:t xml:space="preserve"> </w:t>
      </w:r>
      <w:r w:rsidR="00205D8E" w:rsidRPr="00342BC9">
        <w:t>Herman need</w:t>
      </w:r>
      <w:r w:rsidR="00105050" w:rsidRPr="00342BC9">
        <w:t>s</w:t>
      </w:r>
      <w:r w:rsidR="00205D8E" w:rsidRPr="00342BC9">
        <w:t xml:space="preserve"> the </w:t>
      </w:r>
      <w:r w:rsidR="00205D8E" w:rsidRPr="00342BC9">
        <w:rPr>
          <w:i/>
          <w:iCs/>
        </w:rPr>
        <w:t xml:space="preserve">de </w:t>
      </w:r>
      <w:proofErr w:type="spellStart"/>
      <w:r w:rsidR="00205D8E" w:rsidRPr="00342BC9">
        <w:rPr>
          <w:i/>
          <w:iCs/>
        </w:rPr>
        <w:t>nunc</w:t>
      </w:r>
      <w:proofErr w:type="spellEnd"/>
      <w:r w:rsidR="00205D8E" w:rsidRPr="00342BC9">
        <w:rPr>
          <w:i/>
          <w:iCs/>
        </w:rPr>
        <w:t xml:space="preserve">, </w:t>
      </w:r>
      <w:r w:rsidR="00205D8E" w:rsidRPr="00342BC9">
        <w:t xml:space="preserve">and not just the </w:t>
      </w:r>
      <w:r w:rsidR="00205D8E" w:rsidRPr="00342BC9">
        <w:rPr>
          <w:i/>
          <w:iCs/>
        </w:rPr>
        <w:t>de se</w:t>
      </w:r>
      <w:r w:rsidR="00205D8E" w:rsidRPr="00342BC9">
        <w:t>, to save Nora. The Kantian promiser needs to be thinking about h</w:t>
      </w:r>
      <w:r w:rsidR="00E52EFA" w:rsidRPr="00342BC9">
        <w:t>er</w:t>
      </w:r>
      <w:r w:rsidR="00205D8E" w:rsidRPr="00342BC9">
        <w:t>self</w:t>
      </w:r>
      <w:r w:rsidR="00E52EFA" w:rsidRPr="00342BC9">
        <w:t xml:space="preserve"> in </w:t>
      </w:r>
      <w:r w:rsidR="002749A5" w:rsidRPr="00342BC9">
        <w:t xml:space="preserve">a </w:t>
      </w:r>
      <w:r w:rsidR="00E52EFA" w:rsidRPr="00342BC9">
        <w:t>perspectival way</w:t>
      </w:r>
      <w:r w:rsidR="00205D8E" w:rsidRPr="00342BC9">
        <w:t xml:space="preserve">, but also </w:t>
      </w:r>
      <w:r w:rsidR="00105050" w:rsidRPr="00342BC9">
        <w:t xml:space="preserve">to be thinking </w:t>
      </w:r>
      <w:r w:rsidR="004F16B1" w:rsidRPr="00342BC9">
        <w:t xml:space="preserve">perspectival thoughts about </w:t>
      </w:r>
      <w:r w:rsidR="004F16B1" w:rsidRPr="00342BC9">
        <w:rPr>
          <w:i/>
          <w:iCs/>
        </w:rPr>
        <w:t>when</w:t>
      </w:r>
      <w:r w:rsidR="004F16B1" w:rsidRPr="00342BC9">
        <w:t xml:space="preserve"> the promises </w:t>
      </w:r>
      <w:r w:rsidR="00E52EFA" w:rsidRPr="00342BC9">
        <w:t>s</w:t>
      </w:r>
      <w:r w:rsidR="004F16B1" w:rsidRPr="00342BC9">
        <w:t xml:space="preserve">he is making are to be kept. </w:t>
      </w:r>
      <w:r w:rsidR="00205D8E" w:rsidRPr="00342BC9">
        <w:t>This is exactly what, e.g., Perry (1979) or Lewis (1979) suggested</w:t>
      </w:r>
      <w:r w:rsidR="00656F19" w:rsidRPr="00342BC9">
        <w:t xml:space="preserve"> we would find</w:t>
      </w:r>
      <w:r w:rsidR="002047AA" w:rsidRPr="00342BC9">
        <w:t xml:space="preserve">, and </w:t>
      </w:r>
      <w:r w:rsidR="00E52EFA" w:rsidRPr="00342BC9">
        <w:t xml:space="preserve">entirely </w:t>
      </w:r>
      <w:r w:rsidR="00656F19" w:rsidRPr="00342BC9">
        <w:t xml:space="preserve">in keeping </w:t>
      </w:r>
      <w:r w:rsidR="002749A5" w:rsidRPr="00342BC9">
        <w:t xml:space="preserve">with </w:t>
      </w:r>
      <w:r w:rsidR="002047AA" w:rsidRPr="00342BC9">
        <w:t>the natural kind picture</w:t>
      </w:r>
      <w:r w:rsidR="004F16B1" w:rsidRPr="00342BC9">
        <w:t xml:space="preserve"> of perspectival thought</w:t>
      </w:r>
      <w:r w:rsidR="002047AA" w:rsidRPr="00342BC9">
        <w:t xml:space="preserve">. </w:t>
      </w:r>
      <w:r w:rsidR="00205D8E" w:rsidRPr="00342BC9">
        <w:t xml:space="preserve"> </w:t>
      </w:r>
    </w:p>
    <w:p w14:paraId="39B72F66" w14:textId="1264C95A" w:rsidR="00E52EFA" w:rsidRPr="00342BC9" w:rsidRDefault="002047AA" w:rsidP="00342BC9">
      <w:pPr>
        <w:spacing w:line="480" w:lineRule="auto"/>
        <w:ind w:firstLine="720"/>
      </w:pPr>
      <w:r w:rsidRPr="00342BC9">
        <w:t xml:space="preserve">To see that there’s nothing in </w:t>
      </w:r>
      <w:r w:rsidR="00105050" w:rsidRPr="00342BC9">
        <w:t xml:space="preserve">Ludlow’s overall </w:t>
      </w:r>
      <w:r w:rsidRPr="00342BC9">
        <w:t xml:space="preserve">project to </w:t>
      </w:r>
      <w:r w:rsidR="00E52EFA" w:rsidRPr="00342BC9">
        <w:t>disrupt th</w:t>
      </w:r>
      <w:r w:rsidR="009F2E6D" w:rsidRPr="00342BC9">
        <w:t>e</w:t>
      </w:r>
      <w:r w:rsidR="002749A5" w:rsidRPr="00342BC9">
        <w:t xml:space="preserve"> natural kind</w:t>
      </w:r>
      <w:r w:rsidR="00E52EFA" w:rsidRPr="00342BC9">
        <w:t xml:space="preserve"> </w:t>
      </w:r>
      <w:r w:rsidRPr="00342BC9">
        <w:t>picture</w:t>
      </w:r>
      <w:r w:rsidR="004F16B1" w:rsidRPr="00342BC9">
        <w:t>,</w:t>
      </w:r>
      <w:r w:rsidRPr="00342BC9">
        <w:t xml:space="preserve"> it’s </w:t>
      </w:r>
      <w:r w:rsidR="003C31AD" w:rsidRPr="00342BC9">
        <w:t xml:space="preserve">additionally </w:t>
      </w:r>
      <w:r w:rsidRPr="00342BC9">
        <w:t xml:space="preserve">helpful </w:t>
      </w:r>
      <w:r w:rsidR="00E52EFA" w:rsidRPr="00342BC9">
        <w:t xml:space="preserve">to look at </w:t>
      </w:r>
      <w:r w:rsidR="003C31AD" w:rsidRPr="00342BC9">
        <w:t>his</w:t>
      </w:r>
      <w:r w:rsidR="00E52EFA" w:rsidRPr="00342BC9">
        <w:t xml:space="preserve"> summary</w:t>
      </w:r>
      <w:r w:rsidR="00CD2F97" w:rsidRPr="00342BC9">
        <w:t xml:space="preserve"> of his project</w:t>
      </w:r>
      <w:r w:rsidR="00BA0665" w:rsidRPr="00342BC9">
        <w:t>.</w:t>
      </w:r>
      <w:r w:rsidR="002749A5" w:rsidRPr="00342BC9">
        <w:t xml:space="preserve"> </w:t>
      </w:r>
      <w:r w:rsidR="00BA0665" w:rsidRPr="00342BC9">
        <w:t>I</w:t>
      </w:r>
      <w:r w:rsidR="002749A5" w:rsidRPr="00342BC9">
        <w:t>n the abstract to his concluding chapter</w:t>
      </w:r>
      <w:r w:rsidR="00BA0665" w:rsidRPr="00342BC9">
        <w:t>,</w:t>
      </w:r>
      <w:r w:rsidR="002749A5" w:rsidRPr="00342BC9">
        <w:t xml:space="preserve"> </w:t>
      </w:r>
      <w:r w:rsidR="00BA0665" w:rsidRPr="00342BC9">
        <w:t>h</w:t>
      </w:r>
      <w:r w:rsidR="002749A5" w:rsidRPr="00342BC9">
        <w:t xml:space="preserve">e writes that his key ideas are: </w:t>
      </w:r>
    </w:p>
    <w:p w14:paraId="5F43C051" w14:textId="3F8D3B3E" w:rsidR="002749A5" w:rsidRPr="00342BC9" w:rsidRDefault="002047AA" w:rsidP="00342BC9">
      <w:pPr>
        <w:spacing w:line="480" w:lineRule="auto"/>
        <w:ind w:left="720" w:firstLine="60"/>
      </w:pPr>
      <w:r w:rsidRPr="00342BC9">
        <w:t>‘</w:t>
      </w:r>
      <w:proofErr w:type="gramStart"/>
      <w:r w:rsidRPr="00342BC9">
        <w:t>that</w:t>
      </w:r>
      <w:proofErr w:type="gramEnd"/>
      <w:r w:rsidRPr="00342BC9">
        <w:t xml:space="preserve"> perspectival contents are ubiquitous and run through our accounts of human action, emotion, normativity, computation, and information and furthermore that communication across diverse perspectives is not only possible but routinely accomplished</w:t>
      </w:r>
      <w:r w:rsidR="008A1118" w:rsidRPr="00342BC9">
        <w:t xml:space="preserve"> thanks to our ability to dynamically track modes of expression across perspectival positions.</w:t>
      </w:r>
      <w:r w:rsidR="004F16B1" w:rsidRPr="00342BC9">
        <w:t xml:space="preserve"> (2019</w:t>
      </w:r>
      <w:r w:rsidR="008A1118" w:rsidRPr="00342BC9">
        <w:t>:182</w:t>
      </w:r>
      <w:r w:rsidR="004F16B1" w:rsidRPr="00342BC9">
        <w:t>).</w:t>
      </w:r>
      <w:r w:rsidR="008A1118" w:rsidRPr="00342BC9">
        <w:t>’</w:t>
      </w:r>
      <w:r w:rsidR="00F75096" w:rsidRPr="00342BC9">
        <w:t xml:space="preserve"> </w:t>
      </w:r>
    </w:p>
    <w:p w14:paraId="6DF40BF0" w14:textId="2826802F" w:rsidR="00215508" w:rsidRPr="00342BC9" w:rsidRDefault="002749A5" w:rsidP="00342BC9">
      <w:pPr>
        <w:spacing w:line="480" w:lineRule="auto"/>
      </w:pPr>
      <w:r w:rsidRPr="00342BC9">
        <w:t>The key point to note is that</w:t>
      </w:r>
      <w:r w:rsidR="00B32250" w:rsidRPr="00342BC9">
        <w:t xml:space="preserve"> </w:t>
      </w:r>
      <w:r w:rsidRPr="00342BC9">
        <w:t xml:space="preserve">this summary is pitched at the level of perspectival </w:t>
      </w:r>
      <w:proofErr w:type="gramStart"/>
      <w:r w:rsidRPr="00342BC9">
        <w:t>thought, and</w:t>
      </w:r>
      <w:proofErr w:type="gramEnd"/>
      <w:r w:rsidRPr="00342BC9">
        <w:t xml:space="preserve"> does not mention any </w:t>
      </w:r>
      <w:r w:rsidRPr="00342BC9">
        <w:rPr>
          <w:i/>
          <w:iCs/>
        </w:rPr>
        <w:t xml:space="preserve">de se-de </w:t>
      </w:r>
      <w:proofErr w:type="spellStart"/>
      <w:r w:rsidRPr="00342BC9">
        <w:rPr>
          <w:i/>
          <w:iCs/>
        </w:rPr>
        <w:t>nunc</w:t>
      </w:r>
      <w:proofErr w:type="spellEnd"/>
      <w:r w:rsidRPr="00342BC9">
        <w:rPr>
          <w:i/>
          <w:iCs/>
        </w:rPr>
        <w:t xml:space="preserve"> </w:t>
      </w:r>
      <w:r w:rsidRPr="00342BC9">
        <w:t>contrasts</w:t>
      </w:r>
      <w:r w:rsidR="00B32250" w:rsidRPr="00342BC9">
        <w:t xml:space="preserve">. That’s because no such contrasts are central to Ludlow’s project.  </w:t>
      </w:r>
    </w:p>
    <w:p w14:paraId="13CEF071" w14:textId="68104990" w:rsidR="009F2E6D" w:rsidRPr="00342BC9" w:rsidRDefault="00205D8E" w:rsidP="00342BC9">
      <w:pPr>
        <w:spacing w:line="480" w:lineRule="auto"/>
        <w:rPr>
          <w:color w:val="000000" w:themeColor="text1"/>
          <w:u w:val="single"/>
        </w:rPr>
      </w:pPr>
      <w:r w:rsidRPr="00342BC9">
        <w:rPr>
          <w:color w:val="000000" w:themeColor="text1"/>
          <w:u w:val="single"/>
        </w:rPr>
        <w:t>Morgan (2019)</w:t>
      </w:r>
    </w:p>
    <w:p w14:paraId="150D7FB2" w14:textId="53E305E2" w:rsidR="005448DB" w:rsidRPr="00342BC9" w:rsidRDefault="005448DB" w:rsidP="00342BC9">
      <w:pPr>
        <w:spacing w:line="480" w:lineRule="auto"/>
        <w:ind w:firstLine="720"/>
        <w:rPr>
          <w:color w:val="000000" w:themeColor="text1"/>
        </w:rPr>
      </w:pPr>
      <w:r w:rsidRPr="00342BC9">
        <w:rPr>
          <w:color w:val="000000" w:themeColor="text1"/>
        </w:rPr>
        <w:lastRenderedPageBreak/>
        <w:t xml:space="preserve">The similarity between this paper and Morgan (2019) goes beyond the idea that the </w:t>
      </w:r>
      <w:r w:rsidRPr="00342BC9">
        <w:rPr>
          <w:i/>
          <w:iCs/>
          <w:color w:val="000000" w:themeColor="text1"/>
        </w:rPr>
        <w:t xml:space="preserve">de </w:t>
      </w:r>
      <w:proofErr w:type="spellStart"/>
      <w:r w:rsidRPr="00342BC9">
        <w:rPr>
          <w:i/>
          <w:iCs/>
          <w:color w:val="000000" w:themeColor="text1"/>
        </w:rPr>
        <w:t>nunc</w:t>
      </w:r>
      <w:proofErr w:type="spellEnd"/>
      <w:r w:rsidRPr="00342BC9">
        <w:rPr>
          <w:i/>
          <w:iCs/>
          <w:color w:val="000000" w:themeColor="text1"/>
        </w:rPr>
        <w:t xml:space="preserve"> </w:t>
      </w:r>
      <w:r w:rsidRPr="00342BC9">
        <w:rPr>
          <w:color w:val="000000" w:themeColor="text1"/>
        </w:rPr>
        <w:t xml:space="preserve">is underexplored. </w:t>
      </w:r>
      <w:r w:rsidR="00015F68" w:rsidRPr="00342BC9">
        <w:rPr>
          <w:color w:val="000000" w:themeColor="text1"/>
        </w:rPr>
        <w:t xml:space="preserve">In that paper, I claim </w:t>
      </w:r>
      <w:r w:rsidRPr="00342BC9">
        <w:rPr>
          <w:color w:val="000000" w:themeColor="text1"/>
        </w:rPr>
        <w:t xml:space="preserve">that action requires that </w:t>
      </w:r>
      <w:r w:rsidRPr="00342BC9">
        <w:rPr>
          <w:i/>
          <w:iCs/>
          <w:color w:val="000000" w:themeColor="text1"/>
        </w:rPr>
        <w:t xml:space="preserve">de </w:t>
      </w:r>
      <w:proofErr w:type="spellStart"/>
      <w:r w:rsidRPr="00342BC9">
        <w:rPr>
          <w:i/>
          <w:iCs/>
          <w:color w:val="000000" w:themeColor="text1"/>
        </w:rPr>
        <w:t>nunc</w:t>
      </w:r>
      <w:proofErr w:type="spellEnd"/>
      <w:r w:rsidRPr="00342BC9">
        <w:rPr>
          <w:i/>
          <w:iCs/>
          <w:color w:val="000000" w:themeColor="text1"/>
        </w:rPr>
        <w:t xml:space="preserve"> </w:t>
      </w:r>
      <w:r w:rsidRPr="00342BC9">
        <w:rPr>
          <w:color w:val="000000" w:themeColor="text1"/>
        </w:rPr>
        <w:t xml:space="preserve">but not the </w:t>
      </w:r>
      <w:r w:rsidRPr="00342BC9">
        <w:rPr>
          <w:i/>
          <w:iCs/>
          <w:color w:val="000000" w:themeColor="text1"/>
        </w:rPr>
        <w:t>de se</w:t>
      </w:r>
      <w:r w:rsidRPr="00342BC9">
        <w:rPr>
          <w:color w:val="000000" w:themeColor="text1"/>
        </w:rPr>
        <w:t>. Moreover,</w:t>
      </w:r>
      <w:r w:rsidR="00015F68" w:rsidRPr="00342BC9">
        <w:rPr>
          <w:color w:val="000000" w:themeColor="text1"/>
        </w:rPr>
        <w:t xml:space="preserve"> I </w:t>
      </w:r>
      <w:r w:rsidRPr="00342BC9">
        <w:rPr>
          <w:color w:val="000000" w:themeColor="text1"/>
        </w:rPr>
        <w:t>sketche</w:t>
      </w:r>
      <w:r w:rsidR="00EE659C" w:rsidRPr="00342BC9">
        <w:rPr>
          <w:color w:val="000000" w:themeColor="text1"/>
        </w:rPr>
        <w:t>d</w:t>
      </w:r>
      <w:r w:rsidRPr="00342BC9">
        <w:rPr>
          <w:color w:val="000000" w:themeColor="text1"/>
        </w:rPr>
        <w:t xml:space="preserve"> a metaphysics-first argument for that claim</w:t>
      </w:r>
      <w:r w:rsidR="00B32250" w:rsidRPr="00342BC9">
        <w:rPr>
          <w:color w:val="000000" w:themeColor="text1"/>
        </w:rPr>
        <w:t xml:space="preserve">: </w:t>
      </w:r>
    </w:p>
    <w:p w14:paraId="4EB429DD" w14:textId="139F564F" w:rsidR="005448DB" w:rsidRPr="00342BC9" w:rsidRDefault="005448DB" w:rsidP="00342BC9">
      <w:pPr>
        <w:spacing w:line="480" w:lineRule="auto"/>
        <w:ind w:left="720"/>
        <w:rPr>
          <w:color w:val="000000" w:themeColor="text1"/>
          <w:lang w:val="en-US"/>
        </w:rPr>
      </w:pPr>
      <w:r w:rsidRPr="00342BC9">
        <w:rPr>
          <w:color w:val="000000" w:themeColor="text1"/>
          <w:lang w:val="en-US"/>
        </w:rPr>
        <w:t>“</w:t>
      </w:r>
      <w:r w:rsidRPr="00342BC9">
        <w:rPr>
          <w:color w:val="000000" w:themeColor="text1"/>
        </w:rPr>
        <w:t xml:space="preserve">Intuitively, the source of the need for de </w:t>
      </w:r>
      <w:proofErr w:type="spellStart"/>
      <w:r w:rsidRPr="00342BC9">
        <w:rPr>
          <w:color w:val="000000" w:themeColor="text1"/>
        </w:rPr>
        <w:t>nunc</w:t>
      </w:r>
      <w:proofErr w:type="spellEnd"/>
      <w:r w:rsidRPr="00342BC9">
        <w:rPr>
          <w:color w:val="000000" w:themeColor="text1"/>
        </w:rPr>
        <w:t xml:space="preserve"> attitudes in action has something to do with the fact that agents exist over time and </w:t>
      </w:r>
      <w:proofErr w:type="gramStart"/>
      <w:r w:rsidRPr="00342BC9">
        <w:rPr>
          <w:color w:val="000000" w:themeColor="text1"/>
        </w:rPr>
        <w:t>have to</w:t>
      </w:r>
      <w:proofErr w:type="gramEnd"/>
      <w:r w:rsidRPr="00342BC9">
        <w:rPr>
          <w:color w:val="000000" w:themeColor="text1"/>
        </w:rPr>
        <w:t xml:space="preserve"> choose one particular time at which to perform a given act, from all the different times at which they could perform it. If the source of the (claimed) need for de se attitudes were the same, it would have something to do with the fact that agents exist ‘over agents’ and have to </w:t>
      </w:r>
      <w:proofErr w:type="gramStart"/>
      <w:r w:rsidRPr="00342BC9">
        <w:rPr>
          <w:color w:val="000000" w:themeColor="text1"/>
        </w:rPr>
        <w:t>choose,</w:t>
      </w:r>
      <w:proofErr w:type="gramEnd"/>
      <w:r w:rsidRPr="00342BC9">
        <w:rPr>
          <w:color w:val="000000" w:themeColor="text1"/>
        </w:rPr>
        <w:t xml:space="preserve"> from the all different agents through which they might act, just one agent through which to act. That doesn’t sound right.</w:t>
      </w:r>
      <w:r w:rsidRPr="00342BC9">
        <w:rPr>
          <w:color w:val="000000" w:themeColor="text1"/>
          <w:lang w:val="en-US"/>
        </w:rPr>
        <w:t xml:space="preserve"> </w:t>
      </w:r>
      <w:r w:rsidRPr="00342BC9">
        <w:rPr>
          <w:color w:val="000000" w:themeColor="text1"/>
        </w:rPr>
        <w:t>The kind of thing that chooses, an agent, spans times but does not span agents.</w:t>
      </w:r>
      <w:r w:rsidR="00151382" w:rsidRPr="00342BC9">
        <w:rPr>
          <w:color w:val="000000" w:themeColor="text1"/>
        </w:rPr>
        <w:t xml:space="preserve"> (2019:60)</w:t>
      </w:r>
      <w:r w:rsidRPr="00342BC9">
        <w:rPr>
          <w:color w:val="000000" w:themeColor="text1"/>
          <w:lang w:val="en-US"/>
        </w:rPr>
        <w:t xml:space="preserve">” </w:t>
      </w:r>
    </w:p>
    <w:p w14:paraId="78535085" w14:textId="4E79D5F1" w:rsidR="00342BC9" w:rsidRDefault="005448DB" w:rsidP="00342BC9">
      <w:pPr>
        <w:spacing w:line="480" w:lineRule="auto"/>
        <w:rPr>
          <w:color w:val="000000" w:themeColor="text1"/>
        </w:rPr>
      </w:pPr>
      <w:r w:rsidRPr="00342BC9">
        <w:rPr>
          <w:color w:val="000000" w:themeColor="text1"/>
        </w:rPr>
        <w:t>This is exactly the sort of argument I’ve tried to give in this paper</w:t>
      </w:r>
      <w:r w:rsidR="009F2E6D" w:rsidRPr="00342BC9">
        <w:rPr>
          <w:color w:val="000000" w:themeColor="text1"/>
        </w:rPr>
        <w:t>!</w:t>
      </w:r>
      <w:r w:rsidR="00151382" w:rsidRPr="00342BC9">
        <w:rPr>
          <w:color w:val="000000" w:themeColor="text1"/>
        </w:rPr>
        <w:t xml:space="preserve"> S</w:t>
      </w:r>
      <w:r w:rsidR="003427E3" w:rsidRPr="00342BC9">
        <w:rPr>
          <w:color w:val="000000" w:themeColor="text1"/>
        </w:rPr>
        <w:t>o</w:t>
      </w:r>
      <w:r w:rsidR="00151382" w:rsidRPr="00342BC9">
        <w:rPr>
          <w:color w:val="000000" w:themeColor="text1"/>
        </w:rPr>
        <w:t xml:space="preserve">, of course, I regard </w:t>
      </w:r>
      <w:r w:rsidR="00B80D61" w:rsidRPr="00342BC9">
        <w:rPr>
          <w:color w:val="000000" w:themeColor="text1"/>
        </w:rPr>
        <w:t xml:space="preserve">it as insightful. </w:t>
      </w:r>
      <w:r w:rsidR="003427E3" w:rsidRPr="00342BC9">
        <w:rPr>
          <w:color w:val="000000" w:themeColor="text1"/>
        </w:rPr>
        <w:t xml:space="preserve"> </w:t>
      </w:r>
      <w:r w:rsidR="00B80D61" w:rsidRPr="00342BC9">
        <w:rPr>
          <w:color w:val="000000" w:themeColor="text1"/>
        </w:rPr>
        <w:t>It is just an argument</w:t>
      </w:r>
      <w:r w:rsidR="00EE659C" w:rsidRPr="00342BC9">
        <w:rPr>
          <w:color w:val="000000" w:themeColor="text1"/>
        </w:rPr>
        <w:t xml:space="preserve"> </w:t>
      </w:r>
      <w:r w:rsidR="00B80D61" w:rsidRPr="00342BC9">
        <w:rPr>
          <w:color w:val="000000" w:themeColor="text1"/>
        </w:rPr>
        <w:t>sketch though</w:t>
      </w:r>
      <w:r w:rsidR="00B32250" w:rsidRPr="00342BC9">
        <w:rPr>
          <w:color w:val="000000" w:themeColor="text1"/>
        </w:rPr>
        <w:t xml:space="preserve">, </w:t>
      </w:r>
      <w:r w:rsidR="00CD2F97" w:rsidRPr="00342BC9">
        <w:rPr>
          <w:color w:val="000000" w:themeColor="text1"/>
        </w:rPr>
        <w:t>which</w:t>
      </w:r>
      <w:r w:rsidR="00B32250" w:rsidRPr="00342BC9">
        <w:rPr>
          <w:color w:val="000000" w:themeColor="text1"/>
        </w:rPr>
        <w:t xml:space="preserve"> needs unpacking.</w:t>
      </w:r>
      <w:r w:rsidR="00015F68" w:rsidRPr="00342BC9">
        <w:rPr>
          <w:color w:val="000000" w:themeColor="text1"/>
        </w:rPr>
        <w:t xml:space="preserve"> </w:t>
      </w:r>
      <w:r w:rsidR="00CD2F97" w:rsidRPr="00342BC9">
        <w:rPr>
          <w:color w:val="000000" w:themeColor="text1"/>
        </w:rPr>
        <w:t>P</w:t>
      </w:r>
      <w:r w:rsidR="00B32250" w:rsidRPr="00342BC9">
        <w:rPr>
          <w:color w:val="000000" w:themeColor="text1"/>
        </w:rPr>
        <w:t>resented in this form,</w:t>
      </w:r>
      <w:r w:rsidR="00B80D61" w:rsidRPr="00342BC9">
        <w:rPr>
          <w:color w:val="000000" w:themeColor="text1"/>
        </w:rPr>
        <w:t xml:space="preserve"> </w:t>
      </w:r>
      <w:r w:rsidR="005E2564" w:rsidRPr="00342BC9">
        <w:rPr>
          <w:color w:val="000000" w:themeColor="text1"/>
        </w:rPr>
        <w:t xml:space="preserve">there are lots of ways for someone hostile to its conclusion to respond. </w:t>
      </w:r>
      <w:r w:rsidR="003427E3" w:rsidRPr="00342BC9">
        <w:rPr>
          <w:color w:val="000000" w:themeColor="text1"/>
        </w:rPr>
        <w:t xml:space="preserve">Granted, times and agents are radically different sorts of thing, but why should that yield a dependence of action on the </w:t>
      </w:r>
      <w:r w:rsidR="003427E3" w:rsidRPr="00342BC9">
        <w:rPr>
          <w:i/>
          <w:iCs/>
          <w:color w:val="000000" w:themeColor="text1"/>
        </w:rPr>
        <w:t xml:space="preserve">de </w:t>
      </w:r>
      <w:proofErr w:type="spellStart"/>
      <w:r w:rsidR="003427E3" w:rsidRPr="00342BC9">
        <w:rPr>
          <w:i/>
          <w:iCs/>
          <w:color w:val="000000" w:themeColor="text1"/>
        </w:rPr>
        <w:t>nunc</w:t>
      </w:r>
      <w:proofErr w:type="spellEnd"/>
      <w:r w:rsidR="003427E3" w:rsidRPr="00342BC9">
        <w:rPr>
          <w:i/>
          <w:iCs/>
          <w:color w:val="000000" w:themeColor="text1"/>
        </w:rPr>
        <w:t xml:space="preserve"> </w:t>
      </w:r>
      <w:r w:rsidR="003427E3" w:rsidRPr="00342BC9">
        <w:rPr>
          <w:color w:val="000000" w:themeColor="text1"/>
        </w:rPr>
        <w:t xml:space="preserve">but not the </w:t>
      </w:r>
      <w:r w:rsidR="003427E3" w:rsidRPr="00342BC9">
        <w:rPr>
          <w:i/>
          <w:iCs/>
          <w:color w:val="000000" w:themeColor="text1"/>
        </w:rPr>
        <w:t>de se</w:t>
      </w:r>
      <w:r w:rsidR="00151382" w:rsidRPr="00342BC9">
        <w:rPr>
          <w:color w:val="000000" w:themeColor="text1"/>
        </w:rPr>
        <w:t>?</w:t>
      </w:r>
      <w:r w:rsidR="003427E3" w:rsidRPr="00342BC9">
        <w:rPr>
          <w:color w:val="000000" w:themeColor="text1"/>
        </w:rPr>
        <w:t xml:space="preserve"> Maybe the </w:t>
      </w:r>
      <w:r w:rsidR="003427E3" w:rsidRPr="00342BC9">
        <w:rPr>
          <w:i/>
          <w:iCs/>
          <w:color w:val="000000" w:themeColor="text1"/>
        </w:rPr>
        <w:t xml:space="preserve">de se </w:t>
      </w:r>
      <w:r w:rsidR="003427E3" w:rsidRPr="00342BC9">
        <w:rPr>
          <w:color w:val="000000" w:themeColor="text1"/>
        </w:rPr>
        <w:t xml:space="preserve">is as necessary as the </w:t>
      </w:r>
      <w:r w:rsidR="003427E3" w:rsidRPr="00342BC9">
        <w:rPr>
          <w:i/>
          <w:iCs/>
          <w:color w:val="000000" w:themeColor="text1"/>
        </w:rPr>
        <w:t xml:space="preserve">de </w:t>
      </w:r>
      <w:proofErr w:type="spellStart"/>
      <w:r w:rsidR="003427E3" w:rsidRPr="00342BC9">
        <w:rPr>
          <w:i/>
          <w:iCs/>
          <w:color w:val="000000" w:themeColor="text1"/>
        </w:rPr>
        <w:t>nunc</w:t>
      </w:r>
      <w:proofErr w:type="spellEnd"/>
      <w:r w:rsidR="003427E3" w:rsidRPr="00342BC9">
        <w:rPr>
          <w:i/>
          <w:iCs/>
          <w:color w:val="000000" w:themeColor="text1"/>
        </w:rPr>
        <w:t xml:space="preserve"> </w:t>
      </w:r>
      <w:r w:rsidR="003427E3" w:rsidRPr="00342BC9">
        <w:rPr>
          <w:color w:val="000000" w:themeColor="text1"/>
        </w:rPr>
        <w:t xml:space="preserve">because in some sense an agent </w:t>
      </w:r>
      <w:r w:rsidR="003427E3" w:rsidRPr="00342BC9">
        <w:rPr>
          <w:i/>
          <w:iCs/>
          <w:color w:val="000000" w:themeColor="text1"/>
        </w:rPr>
        <w:t xml:space="preserve">does </w:t>
      </w:r>
      <w:r w:rsidR="003427E3" w:rsidRPr="00342BC9">
        <w:rPr>
          <w:color w:val="000000" w:themeColor="text1"/>
        </w:rPr>
        <w:t xml:space="preserve">have to select an agent through which to act (just like they have to choose a time at which to act) even though, of course, agents don’t exist ‘over </w:t>
      </w:r>
      <w:proofErr w:type="gramStart"/>
      <w:r w:rsidR="003427E3" w:rsidRPr="00342BC9">
        <w:rPr>
          <w:color w:val="000000" w:themeColor="text1"/>
        </w:rPr>
        <w:t>agents’</w:t>
      </w:r>
      <w:proofErr w:type="gramEnd"/>
      <w:r w:rsidR="003427E3" w:rsidRPr="00342BC9">
        <w:rPr>
          <w:color w:val="000000" w:themeColor="text1"/>
        </w:rPr>
        <w:t>. Or maybe the suggest</w:t>
      </w:r>
      <w:r w:rsidR="009F2E6D" w:rsidRPr="00342BC9">
        <w:rPr>
          <w:color w:val="000000" w:themeColor="text1"/>
        </w:rPr>
        <w:t>ion</w:t>
      </w:r>
      <w:r w:rsidR="003427E3" w:rsidRPr="00342BC9">
        <w:rPr>
          <w:color w:val="000000" w:themeColor="text1"/>
        </w:rPr>
        <w:t xml:space="preserve"> that the source of the </w:t>
      </w:r>
      <w:r w:rsidR="00151382" w:rsidRPr="00342BC9">
        <w:rPr>
          <w:color w:val="000000" w:themeColor="text1"/>
        </w:rPr>
        <w:t>apparent</w:t>
      </w:r>
      <w:r w:rsidR="003427E3" w:rsidRPr="00342BC9">
        <w:rPr>
          <w:color w:val="000000" w:themeColor="text1"/>
        </w:rPr>
        <w:t xml:space="preserve"> need for the </w:t>
      </w:r>
      <w:r w:rsidR="003427E3" w:rsidRPr="00342BC9">
        <w:rPr>
          <w:i/>
          <w:iCs/>
          <w:color w:val="000000" w:themeColor="text1"/>
        </w:rPr>
        <w:t xml:space="preserve">de se </w:t>
      </w:r>
      <w:r w:rsidR="00151382" w:rsidRPr="00342BC9">
        <w:rPr>
          <w:color w:val="000000" w:themeColor="text1"/>
        </w:rPr>
        <w:t xml:space="preserve">has to do with ‘selecting an agent through which to act’ is just false. Maybe the need for the </w:t>
      </w:r>
      <w:r w:rsidR="00151382" w:rsidRPr="00342BC9">
        <w:rPr>
          <w:i/>
          <w:iCs/>
          <w:color w:val="000000" w:themeColor="text1"/>
        </w:rPr>
        <w:t xml:space="preserve">de se </w:t>
      </w:r>
      <w:r w:rsidR="00151382" w:rsidRPr="00342BC9">
        <w:rPr>
          <w:color w:val="000000" w:themeColor="text1"/>
        </w:rPr>
        <w:t>comes from somewhere else. These are, in my opinion, reasonable worries to have</w:t>
      </w:r>
      <w:r w:rsidR="005E2564" w:rsidRPr="00342BC9">
        <w:rPr>
          <w:color w:val="000000" w:themeColor="text1"/>
        </w:rPr>
        <w:t>.</w:t>
      </w:r>
      <w:r w:rsidR="00151382" w:rsidRPr="00342BC9">
        <w:rPr>
          <w:color w:val="000000" w:themeColor="text1"/>
        </w:rPr>
        <w:t xml:space="preserve"> I’ve tried in this paper to allay them, by giving a </w:t>
      </w:r>
      <w:proofErr w:type="gramStart"/>
      <w:r w:rsidR="00151382" w:rsidRPr="00342BC9">
        <w:rPr>
          <w:color w:val="000000" w:themeColor="text1"/>
        </w:rPr>
        <w:t>fleshed out</w:t>
      </w:r>
      <w:proofErr w:type="gramEnd"/>
      <w:r w:rsidR="00151382" w:rsidRPr="00342BC9">
        <w:rPr>
          <w:color w:val="000000" w:themeColor="text1"/>
        </w:rPr>
        <w:t xml:space="preserve"> argument</w:t>
      </w:r>
      <w:r w:rsidR="00B80D61" w:rsidRPr="00342BC9">
        <w:rPr>
          <w:color w:val="000000" w:themeColor="text1"/>
        </w:rPr>
        <w:t>,</w:t>
      </w:r>
      <w:r w:rsidR="00151382" w:rsidRPr="00342BC9">
        <w:rPr>
          <w:color w:val="000000" w:themeColor="text1"/>
        </w:rPr>
        <w:t xml:space="preserve"> oriented around the ‘Why them?’ and ‘Why then?’ questions</w:t>
      </w:r>
      <w:r w:rsidR="00B80D61" w:rsidRPr="00342BC9">
        <w:rPr>
          <w:color w:val="000000" w:themeColor="text1"/>
        </w:rPr>
        <w:t>, of the sort</w:t>
      </w:r>
      <w:r w:rsidR="00B32250" w:rsidRPr="00342BC9">
        <w:rPr>
          <w:color w:val="000000" w:themeColor="text1"/>
        </w:rPr>
        <w:t xml:space="preserve"> that</w:t>
      </w:r>
      <w:r w:rsidR="00015F68" w:rsidRPr="00342BC9">
        <w:rPr>
          <w:color w:val="000000" w:themeColor="text1"/>
        </w:rPr>
        <w:t xml:space="preserve"> I earlier said</w:t>
      </w:r>
      <w:r w:rsidR="00B80D61" w:rsidRPr="00342BC9">
        <w:rPr>
          <w:color w:val="000000" w:themeColor="text1"/>
        </w:rPr>
        <w:t xml:space="preserve"> it should be possible to give</w:t>
      </w:r>
      <w:r w:rsidR="00151382" w:rsidRPr="00342BC9">
        <w:rPr>
          <w:color w:val="000000" w:themeColor="text1"/>
        </w:rPr>
        <w:t xml:space="preserve">. </w:t>
      </w:r>
      <w:r w:rsidR="00DC630A">
        <w:rPr>
          <w:color w:val="000000" w:themeColor="text1"/>
        </w:rPr>
        <w:t xml:space="preserve">In the next section, I try to locate the broader significance of that argument. </w:t>
      </w:r>
    </w:p>
    <w:p w14:paraId="33115F6F" w14:textId="77777777" w:rsidR="00DC630A" w:rsidRDefault="00DC630A" w:rsidP="00342BC9">
      <w:pPr>
        <w:spacing w:line="480" w:lineRule="auto"/>
        <w:rPr>
          <w:color w:val="000000" w:themeColor="text1"/>
        </w:rPr>
      </w:pPr>
    </w:p>
    <w:p w14:paraId="3AC92746" w14:textId="77777777" w:rsidR="00342BC9" w:rsidRDefault="004C74B2" w:rsidP="00342BC9">
      <w:pPr>
        <w:spacing w:line="480" w:lineRule="auto"/>
      </w:pPr>
      <w:r w:rsidRPr="00342BC9">
        <w:rPr>
          <w:iCs/>
        </w:rPr>
        <w:lastRenderedPageBreak/>
        <w:t>(§</w:t>
      </w:r>
      <w:r w:rsidR="007A42DD" w:rsidRPr="00342BC9">
        <w:rPr>
          <w:iCs/>
        </w:rPr>
        <w:t>4</w:t>
      </w:r>
      <w:r w:rsidRPr="00342BC9">
        <w:rPr>
          <w:iCs/>
        </w:rPr>
        <w:t xml:space="preserve">) </w:t>
      </w:r>
      <w:r w:rsidR="00A12D84" w:rsidRPr="00342BC9">
        <w:rPr>
          <w:i/>
          <w:iCs/>
        </w:rPr>
        <w:t>I</w:t>
      </w:r>
      <w:r w:rsidR="00D54EA8" w:rsidRPr="00342BC9">
        <w:rPr>
          <w:i/>
          <w:iCs/>
        </w:rPr>
        <w:t>slands</w:t>
      </w:r>
      <w:r w:rsidR="00A12D84" w:rsidRPr="00342BC9">
        <w:rPr>
          <w:i/>
          <w:iCs/>
        </w:rPr>
        <w:t xml:space="preserve"> of </w:t>
      </w:r>
      <w:r w:rsidR="00001385" w:rsidRPr="00342BC9">
        <w:rPr>
          <w:i/>
          <w:iCs/>
        </w:rPr>
        <w:t>P</w:t>
      </w:r>
      <w:r w:rsidR="00A12D84" w:rsidRPr="00342BC9">
        <w:rPr>
          <w:i/>
          <w:iCs/>
        </w:rPr>
        <w:t xml:space="preserve">erspectival </w:t>
      </w:r>
      <w:r w:rsidR="00001385" w:rsidRPr="00342BC9">
        <w:rPr>
          <w:i/>
          <w:iCs/>
        </w:rPr>
        <w:t>T</w:t>
      </w:r>
      <w:r w:rsidR="00A12D84" w:rsidRPr="00342BC9">
        <w:rPr>
          <w:i/>
          <w:iCs/>
        </w:rPr>
        <w:t>hought</w:t>
      </w:r>
    </w:p>
    <w:p w14:paraId="1A858849" w14:textId="77777777" w:rsidR="00342BC9" w:rsidRDefault="00F24D94" w:rsidP="00342BC9">
      <w:pPr>
        <w:spacing w:line="480" w:lineRule="auto"/>
        <w:ind w:firstLine="720"/>
      </w:pPr>
      <w:r w:rsidRPr="00342BC9">
        <w:t xml:space="preserve">I’ve argued that action explanation always has a </w:t>
      </w:r>
      <w:r w:rsidRPr="00342BC9">
        <w:rPr>
          <w:i/>
          <w:iCs/>
        </w:rPr>
        <w:t xml:space="preserve">de </w:t>
      </w:r>
      <w:proofErr w:type="spellStart"/>
      <w:r w:rsidRPr="00342BC9">
        <w:rPr>
          <w:i/>
          <w:iCs/>
        </w:rPr>
        <w:t>nunc</w:t>
      </w:r>
      <w:proofErr w:type="spellEnd"/>
      <w:r w:rsidRPr="00342BC9">
        <w:rPr>
          <w:i/>
          <w:iCs/>
        </w:rPr>
        <w:t xml:space="preserve"> </w:t>
      </w:r>
      <w:r w:rsidRPr="00342BC9">
        <w:t xml:space="preserve">component. I take this to be a </w:t>
      </w:r>
      <w:r w:rsidRPr="00342BC9">
        <w:rPr>
          <w:i/>
          <w:iCs/>
        </w:rPr>
        <w:t xml:space="preserve">contrast </w:t>
      </w:r>
      <w:r w:rsidRPr="00342BC9">
        <w:t xml:space="preserve">with the </w:t>
      </w:r>
      <w:r w:rsidRPr="00342BC9">
        <w:rPr>
          <w:i/>
          <w:iCs/>
        </w:rPr>
        <w:t xml:space="preserve">de se </w:t>
      </w:r>
      <w:r w:rsidRPr="00342BC9">
        <w:t xml:space="preserve">case, where there are counterexamples to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 xml:space="preserve"> to be had. </w:t>
      </w:r>
      <w:r w:rsidR="000A1C64" w:rsidRPr="00342BC9">
        <w:t xml:space="preserve">What if someone is committed to the natural kind picture and </w:t>
      </w:r>
      <w:r w:rsidR="00A12D84" w:rsidRPr="00342BC9">
        <w:t xml:space="preserve">so endorses </w:t>
      </w:r>
      <w:r w:rsidR="000A1C64" w:rsidRPr="00342BC9">
        <w:t xml:space="preserve">the </w:t>
      </w:r>
      <w:r w:rsidR="003926EE" w:rsidRPr="00342BC9">
        <w:t xml:space="preserve">biconditional </w:t>
      </w:r>
      <w:r w:rsidR="000A1C64" w:rsidRPr="00342BC9">
        <w:t xml:space="preserve">that there will be counterexamples to </w:t>
      </w:r>
      <w:proofErr w:type="spellStart"/>
      <w:r w:rsidR="000A1C64" w:rsidRPr="00342BC9">
        <w:rPr>
          <w:i/>
          <w:iCs/>
        </w:rPr>
        <w:t>Every</w:t>
      </w:r>
      <w:r w:rsidR="000A1C64" w:rsidRPr="00342BC9">
        <w:rPr>
          <w:i/>
          <w:iCs/>
          <w:vertAlign w:val="subscript"/>
        </w:rPr>
        <w:t>de</w:t>
      </w:r>
      <w:proofErr w:type="spellEnd"/>
      <w:r w:rsidR="000A1C64" w:rsidRPr="00342BC9">
        <w:rPr>
          <w:i/>
          <w:iCs/>
          <w:vertAlign w:val="subscript"/>
        </w:rPr>
        <w:t xml:space="preserve"> se </w:t>
      </w:r>
      <w:r w:rsidR="000A1C64" w:rsidRPr="00342BC9">
        <w:t xml:space="preserve">if and only if there </w:t>
      </w:r>
      <w:r w:rsidR="00A12D84" w:rsidRPr="00342BC9">
        <w:t xml:space="preserve">are </w:t>
      </w:r>
      <w:r w:rsidR="000A1C64" w:rsidRPr="00342BC9">
        <w:t>counterexamples</w:t>
      </w:r>
      <w:r w:rsidR="00A12D84" w:rsidRPr="00342BC9">
        <w:t xml:space="preserve"> to</w:t>
      </w:r>
      <w:r w:rsidR="00D54EA8" w:rsidRPr="00342BC9">
        <w:t xml:space="preserve"> </w:t>
      </w:r>
      <w:proofErr w:type="spellStart"/>
      <w:r w:rsidR="00D54EA8" w:rsidRPr="00342BC9">
        <w:rPr>
          <w:i/>
          <w:iCs/>
        </w:rPr>
        <w:t>Every</w:t>
      </w:r>
      <w:r w:rsidR="00D54EA8" w:rsidRPr="00342BC9">
        <w:rPr>
          <w:i/>
          <w:iCs/>
          <w:vertAlign w:val="subscript"/>
        </w:rPr>
        <w:t>de</w:t>
      </w:r>
      <w:proofErr w:type="spellEnd"/>
      <w:r w:rsidR="00D54EA8" w:rsidRPr="00342BC9">
        <w:rPr>
          <w:i/>
          <w:iCs/>
          <w:vertAlign w:val="subscript"/>
        </w:rPr>
        <w:t xml:space="preserve"> </w:t>
      </w:r>
      <w:proofErr w:type="spellStart"/>
      <w:r w:rsidR="00D54EA8" w:rsidRPr="00342BC9">
        <w:rPr>
          <w:i/>
          <w:iCs/>
          <w:vertAlign w:val="subscript"/>
        </w:rPr>
        <w:t>nunc</w:t>
      </w:r>
      <w:proofErr w:type="spellEnd"/>
      <w:r w:rsidR="00A12D84" w:rsidRPr="00342BC9">
        <w:t>?</w:t>
      </w:r>
      <w:r w:rsidR="003926EE" w:rsidRPr="00342BC9">
        <w:t xml:space="preserve"> </w:t>
      </w:r>
      <w:r w:rsidR="000A1C64" w:rsidRPr="00342BC9">
        <w:t xml:space="preserve">An alternative response they might have is to agree with what I’ve said about the </w:t>
      </w:r>
      <w:r w:rsidR="000A1C64" w:rsidRPr="00342BC9">
        <w:rPr>
          <w:i/>
          <w:iCs/>
        </w:rPr>
        <w:t xml:space="preserve">de </w:t>
      </w:r>
      <w:proofErr w:type="spellStart"/>
      <w:r w:rsidR="000A1C64" w:rsidRPr="00342BC9">
        <w:rPr>
          <w:i/>
          <w:iCs/>
        </w:rPr>
        <w:t>nunc</w:t>
      </w:r>
      <w:proofErr w:type="spellEnd"/>
      <w:r w:rsidR="000A1C64" w:rsidRPr="00342BC9">
        <w:rPr>
          <w:i/>
          <w:iCs/>
        </w:rPr>
        <w:t xml:space="preserve"> </w:t>
      </w:r>
      <w:r w:rsidR="000A1C64" w:rsidRPr="00342BC9">
        <w:t xml:space="preserve">and see it as helping </w:t>
      </w:r>
      <w:r w:rsidR="001F6C13" w:rsidRPr="00342BC9">
        <w:t xml:space="preserve">pinpoint what’s wrong with the original cases </w:t>
      </w:r>
      <w:proofErr w:type="spellStart"/>
      <w:r w:rsidR="001F6C13" w:rsidRPr="00342BC9">
        <w:t>Magidor</w:t>
      </w:r>
      <w:proofErr w:type="spellEnd"/>
      <w:r w:rsidR="001F6C13" w:rsidRPr="00342BC9">
        <w:t xml:space="preserve"> and </w:t>
      </w:r>
      <w:proofErr w:type="spellStart"/>
      <w:r w:rsidR="001F6C13" w:rsidRPr="00342BC9">
        <w:t>Cappelen</w:t>
      </w:r>
      <w:proofErr w:type="spellEnd"/>
      <w:r w:rsidR="001F6C13" w:rsidRPr="00342BC9">
        <w:t xml:space="preserve"> and </w:t>
      </w:r>
      <w:proofErr w:type="spellStart"/>
      <w:r w:rsidR="001F6C13" w:rsidRPr="00342BC9">
        <w:t>Dever</w:t>
      </w:r>
      <w:proofErr w:type="spellEnd"/>
      <w:r w:rsidR="001F6C13" w:rsidRPr="00342BC9">
        <w:t xml:space="preserve"> gave against </w:t>
      </w:r>
      <w:proofErr w:type="spellStart"/>
      <w:r w:rsidR="001F6C13" w:rsidRPr="00342BC9">
        <w:rPr>
          <w:i/>
          <w:iCs/>
        </w:rPr>
        <w:t>Every</w:t>
      </w:r>
      <w:r w:rsidR="001F6C13" w:rsidRPr="00342BC9">
        <w:rPr>
          <w:i/>
          <w:iCs/>
          <w:vertAlign w:val="subscript"/>
        </w:rPr>
        <w:t>de</w:t>
      </w:r>
      <w:proofErr w:type="spellEnd"/>
      <w:r w:rsidR="001F6C13" w:rsidRPr="00342BC9">
        <w:rPr>
          <w:i/>
          <w:iCs/>
          <w:vertAlign w:val="subscript"/>
        </w:rPr>
        <w:t xml:space="preserve"> se</w:t>
      </w:r>
      <w:r w:rsidR="001F6C13" w:rsidRPr="00342BC9">
        <w:t>.</w:t>
      </w:r>
      <w:r w:rsidR="00D54EA8" w:rsidRPr="00342BC9">
        <w:t xml:space="preserve"> Saying how I want to reply to this objection gives me an opportunity to say what I think the sig</w:t>
      </w:r>
      <w:r w:rsidR="00BE6B6C" w:rsidRPr="00342BC9">
        <w:t>nific</w:t>
      </w:r>
      <w:r w:rsidR="00D54EA8" w:rsidRPr="00342BC9">
        <w:t>a</w:t>
      </w:r>
      <w:r w:rsidR="00BE6B6C" w:rsidRPr="00342BC9">
        <w:t>n</w:t>
      </w:r>
      <w:r w:rsidR="00D54EA8" w:rsidRPr="00342BC9">
        <w:t xml:space="preserve">ce of the </w:t>
      </w:r>
      <w:r w:rsidR="00D54EA8" w:rsidRPr="00342BC9">
        <w:rPr>
          <w:i/>
          <w:iCs/>
        </w:rPr>
        <w:t>de se</w:t>
      </w:r>
      <w:r w:rsidR="00A12D84" w:rsidRPr="00342BC9">
        <w:t>-</w:t>
      </w:r>
      <w:r w:rsidR="00D54EA8" w:rsidRPr="00342BC9">
        <w:rPr>
          <w:i/>
          <w:iCs/>
        </w:rPr>
        <w:t xml:space="preserve">de </w:t>
      </w:r>
      <w:proofErr w:type="spellStart"/>
      <w:r w:rsidR="00D54EA8" w:rsidRPr="00342BC9">
        <w:rPr>
          <w:i/>
          <w:iCs/>
        </w:rPr>
        <w:t>nunc</w:t>
      </w:r>
      <w:proofErr w:type="spellEnd"/>
      <w:r w:rsidR="00D54EA8" w:rsidRPr="00342BC9">
        <w:t xml:space="preserve"> contrast is and the role metaphysics has in explaining it</w:t>
      </w:r>
      <w:r w:rsidR="003926EE" w:rsidRPr="00342BC9">
        <w:t xml:space="preserve"> – to say why, i</w:t>
      </w:r>
      <w:r w:rsidR="00BE6B6C" w:rsidRPr="00342BC9">
        <w:t>f you buy what I’ve already argued</w:t>
      </w:r>
      <w:r w:rsidR="003926EE" w:rsidRPr="00342BC9">
        <w:t>,</w:t>
      </w:r>
      <w:r w:rsidR="00BE6B6C" w:rsidRPr="00342BC9">
        <w:rPr>
          <w:i/>
          <w:iCs/>
        </w:rPr>
        <w:t xml:space="preserve"> </w:t>
      </w:r>
      <w:r w:rsidR="00BE6B6C" w:rsidRPr="00342BC9">
        <w:t>you should reject the idea of perspectival thought as a natural kind</w:t>
      </w:r>
      <w:r w:rsidR="00FF4CC1" w:rsidRPr="00342BC9">
        <w:t xml:space="preserve"> and embrace the islands picture</w:t>
      </w:r>
      <w:r w:rsidR="00BE6B6C" w:rsidRPr="00342BC9">
        <w:t>.</w:t>
      </w:r>
    </w:p>
    <w:p w14:paraId="3B66D958" w14:textId="661A5040" w:rsidR="00A809DA" w:rsidRPr="00342BC9" w:rsidRDefault="001F6C13" w:rsidP="00342BC9">
      <w:pPr>
        <w:spacing w:line="480" w:lineRule="auto"/>
        <w:ind w:left="720"/>
      </w:pPr>
      <w:r w:rsidRPr="00342BC9">
        <w:t>Her</w:t>
      </w:r>
      <w:r w:rsidR="00D54EA8" w:rsidRPr="00342BC9">
        <w:t>e is the objection</w:t>
      </w:r>
      <w:r w:rsidRPr="00342BC9">
        <w:t xml:space="preserve">: </w:t>
      </w:r>
    </w:p>
    <w:p w14:paraId="197CFA43" w14:textId="40121D3D" w:rsidR="00F24D94" w:rsidRPr="00342BC9" w:rsidRDefault="00F24D94" w:rsidP="00342BC9">
      <w:pPr>
        <w:spacing w:before="100" w:beforeAutospacing="1" w:after="100" w:afterAutospacing="1" w:line="480" w:lineRule="auto"/>
        <w:ind w:left="720"/>
      </w:pPr>
      <w:r w:rsidRPr="00342BC9">
        <w:t xml:space="preserve">‘Your argument that action requires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is plausible. But it doesn’t support any </w:t>
      </w:r>
      <w:r w:rsidRPr="00342BC9">
        <w:rPr>
          <w:i/>
          <w:iCs/>
        </w:rPr>
        <w:t xml:space="preserve">de se -de </w:t>
      </w:r>
      <w:proofErr w:type="spellStart"/>
      <w:r w:rsidRPr="00342BC9">
        <w:rPr>
          <w:i/>
          <w:iCs/>
        </w:rPr>
        <w:t>nunc</w:t>
      </w:r>
      <w:proofErr w:type="spellEnd"/>
      <w:r w:rsidRPr="00342BC9">
        <w:rPr>
          <w:i/>
          <w:iCs/>
        </w:rPr>
        <w:t xml:space="preserve"> </w:t>
      </w:r>
      <w:r w:rsidRPr="00342BC9">
        <w:t xml:space="preserve">contrast. On the contrary, we can use your argument about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to pinpoint </w:t>
      </w:r>
      <w:r w:rsidR="000714E9" w:rsidRPr="00342BC9">
        <w:t>where the action with</w:t>
      </w:r>
      <w:r w:rsidR="00BE6B6C" w:rsidRPr="00342BC9">
        <w:t>out</w:t>
      </w:r>
      <w:r w:rsidR="000714E9" w:rsidRPr="00342BC9">
        <w:t xml:space="preserve"> the </w:t>
      </w:r>
      <w:r w:rsidR="000714E9" w:rsidRPr="00342BC9">
        <w:rPr>
          <w:i/>
          <w:iCs/>
        </w:rPr>
        <w:t xml:space="preserve">de </w:t>
      </w:r>
      <w:proofErr w:type="spellStart"/>
      <w:r w:rsidR="000714E9" w:rsidRPr="00342BC9">
        <w:rPr>
          <w:i/>
          <w:iCs/>
        </w:rPr>
        <w:t>se</w:t>
      </w:r>
      <w:proofErr w:type="spellEnd"/>
      <w:r w:rsidR="000714E9" w:rsidRPr="00342BC9">
        <w:rPr>
          <w:i/>
          <w:iCs/>
        </w:rPr>
        <w:t xml:space="preserve"> </w:t>
      </w:r>
      <w:r w:rsidR="000714E9" w:rsidRPr="00342BC9">
        <w:t xml:space="preserve">recipe goes wrong. </w:t>
      </w:r>
      <w:r w:rsidRPr="00342BC9">
        <w:t xml:space="preserve">Your argument was that acting always involves selecting one’s moment for action, and there’s no selecting one’s moment without the </w:t>
      </w:r>
      <w:r w:rsidRPr="00342BC9">
        <w:rPr>
          <w:i/>
          <w:iCs/>
        </w:rPr>
        <w:t xml:space="preserve">de </w:t>
      </w:r>
      <w:proofErr w:type="spellStart"/>
      <w:r w:rsidRPr="00342BC9">
        <w:rPr>
          <w:i/>
          <w:iCs/>
        </w:rPr>
        <w:t>nunc</w:t>
      </w:r>
      <w:proofErr w:type="spellEnd"/>
      <w:r w:rsidRPr="00342BC9">
        <w:t xml:space="preserve">. The contrast you claimed was that one does not, in parallel fashion, select an agent when one acts. Delegation falsifies this. In action, one always </w:t>
      </w:r>
      <w:proofErr w:type="gramStart"/>
      <w:r w:rsidRPr="00342BC9">
        <w:t>select</w:t>
      </w:r>
      <w:proofErr w:type="gramEnd"/>
      <w:r w:rsidRPr="00342BC9">
        <w:t xml:space="preserve"> an agent. Most commonly, one selects oneself. But one can also select others (delegation cases). We might even view </w:t>
      </w:r>
      <w:r w:rsidR="000714E9" w:rsidRPr="00342BC9">
        <w:t>a</w:t>
      </w:r>
      <w:r w:rsidRPr="00342BC9">
        <w:t xml:space="preserve"> phenomenon you </w:t>
      </w:r>
      <w:r w:rsidR="000714E9" w:rsidRPr="00342BC9">
        <w:t xml:space="preserve">mentioned </w:t>
      </w:r>
      <w:r w:rsidRPr="00342BC9">
        <w:t xml:space="preserve">in your argument about the </w:t>
      </w:r>
      <w:r w:rsidRPr="00342BC9">
        <w:rPr>
          <w:i/>
          <w:iCs/>
        </w:rPr>
        <w:t xml:space="preserve">de </w:t>
      </w:r>
      <w:proofErr w:type="spellStart"/>
      <w:r w:rsidRPr="00342BC9">
        <w:rPr>
          <w:i/>
          <w:iCs/>
        </w:rPr>
        <w:t>nunc</w:t>
      </w:r>
      <w:proofErr w:type="spellEnd"/>
      <w:r w:rsidRPr="00342BC9">
        <w:t xml:space="preserve"> – forming an intention at an earlier point and acting on it later – as a special case of delegation. When I form an intention, which I will act on later, I am delegating to my future self. In other cases, when I form an intention, and act on it immediately, the reason it </w:t>
      </w:r>
      <w:r w:rsidRPr="00342BC9">
        <w:lastRenderedPageBreak/>
        <w:t xml:space="preserve">triggers immediate action is that it is </w:t>
      </w:r>
      <w:r w:rsidRPr="00342BC9">
        <w:rPr>
          <w:i/>
          <w:iCs/>
        </w:rPr>
        <w:t xml:space="preserve">de </w:t>
      </w:r>
      <w:proofErr w:type="spellStart"/>
      <w:r w:rsidRPr="00342BC9">
        <w:rPr>
          <w:i/>
          <w:iCs/>
        </w:rPr>
        <w:t>nunc</w:t>
      </w:r>
      <w:proofErr w:type="spellEnd"/>
      <w:r w:rsidRPr="00342BC9">
        <w:t xml:space="preserve">. Similarly, in cases where I act on an intention, and act on it directly, the reason it triggers my own action, rather than another’s, will be that it is a </w:t>
      </w:r>
      <w:r w:rsidRPr="00342BC9">
        <w:rPr>
          <w:i/>
          <w:iCs/>
        </w:rPr>
        <w:t xml:space="preserve">de se </w:t>
      </w:r>
      <w:r w:rsidRPr="00342BC9">
        <w:t xml:space="preserve">intention.  If, in fact, </w:t>
      </w:r>
      <w:proofErr w:type="spellStart"/>
      <w:r w:rsidRPr="00342BC9">
        <w:t>Ofra</w:t>
      </w:r>
      <w:proofErr w:type="spellEnd"/>
      <w:r w:rsidRPr="00342BC9">
        <w:t xml:space="preserve"> selected herself as the agent of her action, then she must have formed the intention ‘</w:t>
      </w:r>
      <w:r w:rsidRPr="00342BC9">
        <w:rPr>
          <w:i/>
          <w:iCs/>
        </w:rPr>
        <w:t>I</w:t>
      </w:r>
      <w:r w:rsidRPr="00342BC9">
        <w:t xml:space="preserve"> bring it about that Oxfam receive a donation’. Without the </w:t>
      </w:r>
      <w:r w:rsidRPr="00342BC9">
        <w:rPr>
          <w:i/>
          <w:iCs/>
        </w:rPr>
        <w:t>de se</w:t>
      </w:r>
      <w:r w:rsidRPr="00342BC9">
        <w:t xml:space="preserve">, nothing about the states </w:t>
      </w:r>
      <w:proofErr w:type="spellStart"/>
      <w:r w:rsidRPr="00342BC9">
        <w:t>Ofra</w:t>
      </w:r>
      <w:proofErr w:type="spellEnd"/>
      <w:r w:rsidRPr="00342BC9">
        <w:t xml:space="preserve"> acted on explains why she acted directly, rather than via delegation. That is why the </w:t>
      </w:r>
      <w:r w:rsidRPr="00342BC9">
        <w:rPr>
          <w:i/>
          <w:iCs/>
        </w:rPr>
        <w:t xml:space="preserve">de se </w:t>
      </w:r>
      <w:r w:rsidRPr="00342BC9">
        <w:t xml:space="preserve">is always essential for action. </w:t>
      </w:r>
    </w:p>
    <w:p w14:paraId="5E35CC83" w14:textId="77777777" w:rsidR="00342BC9" w:rsidRDefault="00F24D94" w:rsidP="00342BC9">
      <w:pPr>
        <w:spacing w:line="480" w:lineRule="auto"/>
        <w:ind w:firstLine="720"/>
      </w:pPr>
      <w:r w:rsidRPr="00342BC9">
        <w:t xml:space="preserve">There must be something wrong with this argument. First, focusing on the final concluding line, this argument couldn’t establish a general connection between agency and the </w:t>
      </w:r>
      <w:r w:rsidRPr="00342BC9">
        <w:rPr>
          <w:i/>
          <w:iCs/>
        </w:rPr>
        <w:t xml:space="preserve">de se </w:t>
      </w:r>
      <w:r w:rsidRPr="00342BC9">
        <w:t xml:space="preserve">(which is required to yield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w:t>
      </w:r>
      <w:r w:rsidRPr="00342BC9">
        <w:rPr>
          <w:i/>
          <w:iCs/>
        </w:rPr>
        <w:t xml:space="preserve"> </w:t>
      </w:r>
      <w:r w:rsidRPr="00342BC9">
        <w:t xml:space="preserve">precisely because what it says is that there’s a connection between the </w:t>
      </w:r>
      <w:r w:rsidRPr="00342BC9">
        <w:rPr>
          <w:i/>
          <w:iCs/>
        </w:rPr>
        <w:t xml:space="preserve">de se </w:t>
      </w:r>
      <w:r w:rsidRPr="00342BC9">
        <w:t xml:space="preserve">and a particular subspecies of intentional agency – intentional agency </w:t>
      </w:r>
      <w:r w:rsidRPr="00342BC9">
        <w:rPr>
          <w:i/>
          <w:iCs/>
        </w:rPr>
        <w:t>not involving delegation</w:t>
      </w:r>
      <w:r w:rsidRPr="00342BC9">
        <w:t>.</w:t>
      </w:r>
      <w:r w:rsidR="00C70290" w:rsidRPr="00342BC9">
        <w:rPr>
          <w:rStyle w:val="FootnoteReference"/>
        </w:rPr>
        <w:footnoteReference w:id="16"/>
      </w:r>
      <w:r w:rsidRPr="00342BC9">
        <w:t>Second, the specific proposal about how the ‘</w:t>
      </w:r>
      <w:r w:rsidRPr="00342BC9">
        <w:rPr>
          <w:i/>
          <w:iCs/>
        </w:rPr>
        <w:t>de se</w:t>
      </w:r>
      <w:r w:rsidRPr="00342BC9">
        <w:t>’ figures in cases where someone acts not via delegation cannot be right. The ‘I bring it about that p’ formulation is maximally coy about means selected. So</w:t>
      </w:r>
      <w:proofErr w:type="gramStart"/>
      <w:r w:rsidRPr="00342BC9">
        <w:t>, in particular, it’s</w:t>
      </w:r>
      <w:proofErr w:type="gramEnd"/>
      <w:r w:rsidRPr="00342BC9">
        <w:t xml:space="preserve"> compatible with the means one selects involving delegation. </w:t>
      </w:r>
    </w:p>
    <w:p w14:paraId="7D24BE5C" w14:textId="77777777" w:rsidR="00342BC9" w:rsidRDefault="00F24D94" w:rsidP="00342BC9">
      <w:pPr>
        <w:spacing w:line="480" w:lineRule="auto"/>
        <w:ind w:firstLine="720"/>
      </w:pPr>
      <w:r w:rsidRPr="00342BC9">
        <w:t xml:space="preserve">Lurking beneath these two objections is a simpler point, which captures a sense in which ‘temporal delegation’ (doing something one formed an intention to do at some earlier point) is different from </w:t>
      </w:r>
      <w:proofErr w:type="gramStart"/>
      <w:r w:rsidRPr="00342BC9">
        <w:t>person</w:t>
      </w:r>
      <w:r w:rsidR="000C74DD" w:rsidRPr="00342BC9">
        <w:t xml:space="preserve"> </w:t>
      </w:r>
      <w:r w:rsidRPr="00342BC9">
        <w:t>to</w:t>
      </w:r>
      <w:r w:rsidR="000C74DD" w:rsidRPr="00342BC9">
        <w:t xml:space="preserve"> </w:t>
      </w:r>
      <w:r w:rsidRPr="00342BC9">
        <w:t>person</w:t>
      </w:r>
      <w:proofErr w:type="gramEnd"/>
      <w:r w:rsidRPr="00342BC9">
        <w:t xml:space="preserve"> delegation. Suppose I form an intention at 9am to do my physio at 11am, which I then execute at 11am. It’s only at 11am that any action is performed. I don’t perform an action at 9am. The intention I form at 9am simply persists over </w:t>
      </w:r>
      <w:r w:rsidRPr="00342BC9">
        <w:lastRenderedPageBreak/>
        <w:t xml:space="preserve">two hours, updating at 11am into a </w:t>
      </w:r>
      <w:r w:rsidRPr="00342BC9">
        <w:rPr>
          <w:i/>
          <w:iCs/>
        </w:rPr>
        <w:t xml:space="preserve">de </w:t>
      </w:r>
      <w:proofErr w:type="spellStart"/>
      <w:r w:rsidRPr="00342BC9">
        <w:rPr>
          <w:i/>
          <w:iCs/>
        </w:rPr>
        <w:t>nunc</w:t>
      </w:r>
      <w:proofErr w:type="spellEnd"/>
      <w:r w:rsidRPr="00342BC9">
        <w:t xml:space="preserve"> intention and, at that point, yielding action. By contrast, if </w:t>
      </w:r>
      <w:proofErr w:type="spellStart"/>
      <w:r w:rsidRPr="00342BC9">
        <w:t>Ofra’s</w:t>
      </w:r>
      <w:proofErr w:type="spellEnd"/>
      <w:r w:rsidRPr="00342BC9">
        <w:t xml:space="preserve"> intention leads her to delegate to Herman, then </w:t>
      </w:r>
      <w:proofErr w:type="spellStart"/>
      <w:r w:rsidRPr="00342BC9">
        <w:t>Ofra</w:t>
      </w:r>
      <w:proofErr w:type="spellEnd"/>
      <w:r w:rsidRPr="00342BC9">
        <w:t xml:space="preserve"> still acts. In particular, she acts </w:t>
      </w:r>
      <w:proofErr w:type="gramStart"/>
      <w:r w:rsidRPr="00342BC9">
        <w:t>by:</w:t>
      </w:r>
      <w:proofErr w:type="gramEnd"/>
      <w:r w:rsidRPr="00342BC9">
        <w:t xml:space="preserve"> delegating to Herman. Perhaps she utters the sentence ‘Please Herman can you make a donation to Oxfam?’. Herman now has his own intention that Oxfam receive a donation, and he has that intention because </w:t>
      </w:r>
      <w:proofErr w:type="spellStart"/>
      <w:r w:rsidRPr="00342BC9">
        <w:t>Ofra</w:t>
      </w:r>
      <w:proofErr w:type="spellEnd"/>
      <w:r w:rsidRPr="00342BC9">
        <w:t xml:space="preserve"> has delegated to him. It’s not chillingly atomistic to think what happens in </w:t>
      </w:r>
      <w:proofErr w:type="gramStart"/>
      <w:r w:rsidRPr="00342BC9">
        <w:t>person to person</w:t>
      </w:r>
      <w:proofErr w:type="gramEnd"/>
      <w:r w:rsidRPr="00342BC9">
        <w:t xml:space="preserve"> delegation is that one person’s goal becomes the other’s, through the other person forming their own intention, as a result of something the first person has done (request, threaten, instruct etc). </w:t>
      </w:r>
    </w:p>
    <w:p w14:paraId="66858FC3" w14:textId="77777777" w:rsidR="00342BC9" w:rsidRDefault="00F24D94" w:rsidP="00342BC9">
      <w:pPr>
        <w:spacing w:line="480" w:lineRule="auto"/>
        <w:ind w:firstLine="720"/>
      </w:pPr>
      <w:r w:rsidRPr="00342BC9">
        <w:t xml:space="preserve">In delegation, each person, the </w:t>
      </w:r>
      <w:proofErr w:type="gramStart"/>
      <w:r w:rsidRPr="00342BC9">
        <w:t>delegator</w:t>
      </w:r>
      <w:proofErr w:type="gramEnd"/>
      <w:r w:rsidRPr="00342BC9">
        <w:t xml:space="preserve"> and the delegate, acts on an intention that they have. There is no action of </w:t>
      </w:r>
      <w:proofErr w:type="gramStart"/>
      <w:r w:rsidRPr="00342BC9">
        <w:t>S’s</w:t>
      </w:r>
      <w:proofErr w:type="gramEnd"/>
      <w:r w:rsidRPr="00342BC9">
        <w:t xml:space="preserve"> without S doing something, even if what S does is: delegate.  So, the claim that the </w:t>
      </w:r>
      <w:r w:rsidRPr="00342BC9">
        <w:rPr>
          <w:i/>
          <w:iCs/>
        </w:rPr>
        <w:t xml:space="preserve">de se </w:t>
      </w:r>
      <w:r w:rsidRPr="00342BC9">
        <w:t xml:space="preserve">is involved in selecting oneself as the agent of one’s action could be the claim that the </w:t>
      </w:r>
      <w:r w:rsidRPr="00342BC9">
        <w:rPr>
          <w:i/>
          <w:iCs/>
        </w:rPr>
        <w:t xml:space="preserve">de se </w:t>
      </w:r>
      <w:r w:rsidRPr="00342BC9">
        <w:t xml:space="preserve">is involved in selecting oneself ‘qua ultimate source’ of one’s action. Or it could be involved in selecting oneself ‘qua means of execution’. </w:t>
      </w:r>
    </w:p>
    <w:p w14:paraId="0D5C7AC8" w14:textId="77777777" w:rsidR="00342BC9" w:rsidRDefault="00F24D94" w:rsidP="00342BC9">
      <w:pPr>
        <w:spacing w:line="480" w:lineRule="auto"/>
        <w:ind w:firstLine="720"/>
      </w:pPr>
      <w:r w:rsidRPr="00342BC9">
        <w:t xml:space="preserve">The first claim should be rejected. As a metaphysical fact, there is only one person who is the ultimate source of an action yielded by states of </w:t>
      </w:r>
      <w:proofErr w:type="spellStart"/>
      <w:r w:rsidRPr="00342BC9">
        <w:t>Ofra</w:t>
      </w:r>
      <w:proofErr w:type="spellEnd"/>
      <w:r w:rsidRPr="00342BC9">
        <w:t xml:space="preserve">: </w:t>
      </w:r>
      <w:proofErr w:type="spellStart"/>
      <w:r w:rsidRPr="00342BC9">
        <w:t>Ofra</w:t>
      </w:r>
      <w:proofErr w:type="spellEnd"/>
      <w:r w:rsidRPr="00342BC9">
        <w:t xml:space="preserve"> herself. When </w:t>
      </w:r>
      <w:proofErr w:type="spellStart"/>
      <w:r w:rsidRPr="00342BC9">
        <w:t>Ofra</w:t>
      </w:r>
      <w:proofErr w:type="spellEnd"/>
      <w:r w:rsidRPr="00342BC9">
        <w:t xml:space="preserve"> acts, </w:t>
      </w:r>
      <w:proofErr w:type="spellStart"/>
      <w:r w:rsidRPr="00342BC9">
        <w:t>Ofra</w:t>
      </w:r>
      <w:proofErr w:type="spellEnd"/>
      <w:r w:rsidRPr="00342BC9">
        <w:t xml:space="preserve"> acts. </w:t>
      </w:r>
      <w:proofErr w:type="gramStart"/>
      <w:r w:rsidRPr="00342BC9">
        <w:t>So</w:t>
      </w:r>
      <w:proofErr w:type="gramEnd"/>
      <w:r w:rsidRPr="00342BC9">
        <w:t xml:space="preserve"> there is never any need for her to select who will play this ‘ultimate source’ role. The ‘Why them?’ question, seen as asking why someone is the ultimate source of a given action, can be answered simply by noting who owns a given intention. Hence, there is no need to answer that question by reference to the </w:t>
      </w:r>
      <w:r w:rsidRPr="00342BC9">
        <w:rPr>
          <w:i/>
          <w:iCs/>
        </w:rPr>
        <w:t>de se</w:t>
      </w:r>
      <w:r w:rsidRPr="00342BC9">
        <w:t xml:space="preserve">. </w:t>
      </w:r>
    </w:p>
    <w:p w14:paraId="6C3C55EE" w14:textId="77777777" w:rsidR="00342BC9" w:rsidRDefault="00F24D94" w:rsidP="00342BC9">
      <w:pPr>
        <w:spacing w:line="480" w:lineRule="auto"/>
        <w:ind w:firstLine="720"/>
      </w:pPr>
      <w:r w:rsidRPr="00342BC9">
        <w:t xml:space="preserve">The ‘Why them?’ question could be understood in the second way. It could be understood as asking about the </w:t>
      </w:r>
      <w:r w:rsidRPr="00342BC9">
        <w:rPr>
          <w:i/>
          <w:iCs/>
        </w:rPr>
        <w:t xml:space="preserve">means </w:t>
      </w:r>
      <w:r w:rsidRPr="00342BC9">
        <w:t xml:space="preserve">via which someone is acting. Why is it that this action, whose ultimate source is </w:t>
      </w:r>
      <w:proofErr w:type="spellStart"/>
      <w:r w:rsidRPr="00342BC9">
        <w:t>Ofra</w:t>
      </w:r>
      <w:proofErr w:type="spellEnd"/>
      <w:r w:rsidRPr="00342BC9">
        <w:t xml:space="preserve">, is being executed by </w:t>
      </w:r>
      <w:proofErr w:type="spellStart"/>
      <w:r w:rsidRPr="00342BC9">
        <w:t>Ofra</w:t>
      </w:r>
      <w:proofErr w:type="spellEnd"/>
      <w:r w:rsidRPr="00342BC9">
        <w:t xml:space="preserve"> herself, rather than by Herman on </w:t>
      </w:r>
      <w:proofErr w:type="spellStart"/>
      <w:r w:rsidRPr="00342BC9">
        <w:t>Ofra’s</w:t>
      </w:r>
      <w:proofErr w:type="spellEnd"/>
      <w:r w:rsidRPr="00342BC9">
        <w:t xml:space="preserve"> behalf? And the answer could </w:t>
      </w:r>
      <w:proofErr w:type="gramStart"/>
      <w:r w:rsidRPr="00342BC9">
        <w:t>be:</w:t>
      </w:r>
      <w:proofErr w:type="gramEnd"/>
      <w:r w:rsidRPr="00342BC9">
        <w:t xml:space="preserve"> this was a case in which </w:t>
      </w:r>
      <w:proofErr w:type="spellStart"/>
      <w:r w:rsidRPr="00342BC9">
        <w:t>Ofra’s</w:t>
      </w:r>
      <w:proofErr w:type="spellEnd"/>
      <w:r w:rsidRPr="00342BC9">
        <w:t xml:space="preserve"> intention that Oxfam get a donation led her to form the follow up intention ‘I fish in my pocket for a note’, not the follow up intention ‘I persuade Herman to fish in his pocket for a note’. </w:t>
      </w:r>
    </w:p>
    <w:p w14:paraId="559D398B" w14:textId="77777777" w:rsidR="00342BC9" w:rsidRDefault="00F24D94" w:rsidP="00342BC9">
      <w:pPr>
        <w:spacing w:line="480" w:lineRule="auto"/>
        <w:ind w:firstLine="720"/>
      </w:pPr>
      <w:r w:rsidRPr="00342BC9">
        <w:lastRenderedPageBreak/>
        <w:t xml:space="preserve">What’s hard to see is why we should expect the ‘Why them?’ question, disambiguated as a version of the ‘Why this means?’ question, always to be answered at the person level. We know that the ‘Why this means?’ question is very often not answered at the person level. We accept that it’s a brute fact about how </w:t>
      </w:r>
      <w:proofErr w:type="spellStart"/>
      <w:r w:rsidRPr="00342BC9">
        <w:t>Ofra</w:t>
      </w:r>
      <w:proofErr w:type="spellEnd"/>
      <w:r w:rsidRPr="00342BC9">
        <w:t xml:space="preserve"> is hardwired that the intention ‘Move my arm’ gets executed by her doing one thing rather than another with her shoulder muscles even though she has no shoulder-muscle directed intentions. Why shouldn’t it be a brute fact about how </w:t>
      </w:r>
      <w:proofErr w:type="spellStart"/>
      <w:r w:rsidRPr="00342BC9">
        <w:t>Ofra</w:t>
      </w:r>
      <w:proofErr w:type="spellEnd"/>
      <w:r w:rsidRPr="00342BC9">
        <w:t xml:space="preserve"> is hardwired that her intention that Oxfam receives a donation leads next to her body (her arms) moving in such a way that she fishes in her pocket in her note rather than leading to her body (her lips) moving in such a way that she utters the words ‘Herman, please give something to Oxfam’. There’s no obvious reason why there couldn’t be an agent whose states are exclusively directed outward, at the things in the world on which they are acting, and where the changing relations between themselves and those things, and the consequent changes in what specific movements are required to produce what outcomes, are monitored </w:t>
      </w:r>
      <w:proofErr w:type="spellStart"/>
      <w:r w:rsidRPr="00342BC9">
        <w:t>subpersonally</w:t>
      </w:r>
      <w:proofErr w:type="spellEnd"/>
      <w:r w:rsidRPr="00342BC9">
        <w:t xml:space="preserve">. And, to recall, since </w:t>
      </w:r>
      <w:proofErr w:type="spellStart"/>
      <w:r w:rsidRPr="00342BC9">
        <w:rPr>
          <w:i/>
          <w:iCs/>
        </w:rPr>
        <w:t>Every</w:t>
      </w:r>
      <w:r w:rsidRPr="00342BC9">
        <w:rPr>
          <w:i/>
          <w:iCs/>
          <w:vertAlign w:val="subscript"/>
        </w:rPr>
        <w:t>de</w:t>
      </w:r>
      <w:proofErr w:type="spellEnd"/>
      <w:r w:rsidRPr="00342BC9">
        <w:rPr>
          <w:i/>
          <w:iCs/>
          <w:vertAlign w:val="subscript"/>
        </w:rPr>
        <w:t xml:space="preserve"> se</w:t>
      </w:r>
      <w:r w:rsidRPr="00342BC9">
        <w:t xml:space="preserve"> is a claim about any possible instance of intentional agency, the possibility of such an agent is all that is needed for a counterexample.</w:t>
      </w:r>
    </w:p>
    <w:p w14:paraId="5C08162B" w14:textId="77777777" w:rsidR="00342BC9" w:rsidRDefault="00D54EA8" w:rsidP="00342BC9">
      <w:pPr>
        <w:spacing w:line="480" w:lineRule="auto"/>
        <w:ind w:firstLine="720"/>
      </w:pPr>
      <w:r w:rsidRPr="00342BC9">
        <w:t>Having seen what my reply is to the hypothetical objection, l</w:t>
      </w:r>
      <w:r w:rsidR="00F24D94" w:rsidRPr="00342BC9">
        <w:t xml:space="preserve">et’s remind ourselves of the larger project my case-study involving the </w:t>
      </w:r>
      <w:r w:rsidR="00F24D94" w:rsidRPr="00342BC9">
        <w:rPr>
          <w:i/>
          <w:iCs/>
        </w:rPr>
        <w:t xml:space="preserve">de </w:t>
      </w:r>
      <w:proofErr w:type="spellStart"/>
      <w:r w:rsidR="00F24D94" w:rsidRPr="00342BC9">
        <w:rPr>
          <w:i/>
          <w:iCs/>
        </w:rPr>
        <w:t>nunc</w:t>
      </w:r>
      <w:proofErr w:type="spellEnd"/>
      <w:r w:rsidR="00F24D94" w:rsidRPr="00342BC9">
        <w:rPr>
          <w:i/>
          <w:iCs/>
        </w:rPr>
        <w:t xml:space="preserve"> </w:t>
      </w:r>
      <w:r w:rsidR="00F24D94" w:rsidRPr="00342BC9">
        <w:t xml:space="preserve">and the </w:t>
      </w:r>
      <w:r w:rsidR="00F24D94" w:rsidRPr="00342BC9">
        <w:rPr>
          <w:i/>
          <w:iCs/>
        </w:rPr>
        <w:t xml:space="preserve">de se </w:t>
      </w:r>
      <w:r w:rsidR="00F24D94" w:rsidRPr="00342BC9">
        <w:t xml:space="preserve">is intended to support. It’s to argue that different sub-types of perspectival thought ought to be regarded as islands, where the default expectation is there won’t be similarity </w:t>
      </w:r>
      <w:r w:rsidR="001F6C13" w:rsidRPr="00342BC9">
        <w:t xml:space="preserve">of conceptual role </w:t>
      </w:r>
      <w:r w:rsidR="00F24D94" w:rsidRPr="00342BC9">
        <w:t xml:space="preserve">between one subtype and another. How exactly does our case-study support this claim? </w:t>
      </w:r>
    </w:p>
    <w:p w14:paraId="7C05B34C" w14:textId="77777777" w:rsidR="00342BC9" w:rsidRDefault="00F24D94" w:rsidP="00342BC9">
      <w:pPr>
        <w:spacing w:line="480" w:lineRule="auto"/>
        <w:ind w:firstLine="720"/>
      </w:pPr>
      <w:r w:rsidRPr="00342BC9">
        <w:t xml:space="preserve">The topic of </w:t>
      </w:r>
      <w:r w:rsidRPr="00342BC9">
        <w:rPr>
          <w:i/>
          <w:iCs/>
        </w:rPr>
        <w:t>perspectival thought</w:t>
      </w:r>
      <w:r w:rsidRPr="00342BC9">
        <w:t xml:space="preserve"> is broader than our discussion in two ways. First, there are kinds of perspectival thought other than the </w:t>
      </w:r>
      <w:r w:rsidRPr="00342BC9">
        <w:rPr>
          <w:i/>
          <w:iCs/>
        </w:rPr>
        <w:t xml:space="preserve">de se </w:t>
      </w:r>
      <w:r w:rsidRPr="00342BC9">
        <w:t xml:space="preserve">and the </w:t>
      </w:r>
      <w:r w:rsidRPr="00342BC9">
        <w:rPr>
          <w:i/>
          <w:iCs/>
        </w:rPr>
        <w:t xml:space="preserve">de </w:t>
      </w:r>
      <w:proofErr w:type="spellStart"/>
      <w:r w:rsidRPr="00342BC9">
        <w:rPr>
          <w:i/>
          <w:iCs/>
        </w:rPr>
        <w:t>nunc</w:t>
      </w:r>
      <w:proofErr w:type="spellEnd"/>
      <w:r w:rsidR="00AB3713" w:rsidRPr="00342BC9">
        <w:rPr>
          <w:i/>
          <w:iCs/>
        </w:rPr>
        <w:t xml:space="preserve"> </w:t>
      </w:r>
      <w:r w:rsidR="00AB3713" w:rsidRPr="00342BC9">
        <w:t>that would have been used for a different case study</w:t>
      </w:r>
      <w:r w:rsidRPr="00342BC9">
        <w:rPr>
          <w:i/>
          <w:iCs/>
        </w:rPr>
        <w:t xml:space="preserve"> </w:t>
      </w:r>
      <w:r w:rsidRPr="00342BC9">
        <w:t xml:space="preserve">– </w:t>
      </w:r>
      <w:proofErr w:type="gramStart"/>
      <w:r w:rsidRPr="00342BC9">
        <w:t>e.g.</w:t>
      </w:r>
      <w:proofErr w:type="gramEnd"/>
      <w:r w:rsidRPr="00342BC9">
        <w:t xml:space="preserve"> thought about a place ‘as here’, or a world ‘as actual’, or about an object ‘as that’. Second, someone might be interested in the connection between perspectival thought and perception, or perspectival thought and memory, as </w:t>
      </w:r>
      <w:r w:rsidRPr="00342BC9">
        <w:lastRenderedPageBreak/>
        <w:t xml:space="preserve">opposed to perspectival thought and agency. Agency is just one important aspect of the conceptual role of thought. </w:t>
      </w:r>
      <w:proofErr w:type="gramStart"/>
      <w:r w:rsidRPr="00342BC9">
        <w:t>So</w:t>
      </w:r>
      <w:proofErr w:type="gramEnd"/>
      <w:r w:rsidRPr="00342BC9">
        <w:t xml:space="preserve"> there are many interesting questions about perspectival thought that have not been in focus. </w:t>
      </w:r>
      <w:proofErr w:type="gramStart"/>
      <w:r w:rsidRPr="00342BC9">
        <w:t>Still</w:t>
      </w:r>
      <w:proofErr w:type="gramEnd"/>
      <w:r w:rsidRPr="00342BC9">
        <w:t xml:space="preserve"> I think the evidence we’ve assembled is strong enough to support a view about the broader category of perspectival thought. At its most basic, the evidence suggests that the diversity of the category is larger than it’s usually seen to be. The frame of a natural kind offers a compelling way of understanding the course the philosophical discussion of perspectival thought has taken.  A scientist looks at one sample of water and records theirs finding, expecting what they find will hold good for other samples of water, because water is a natural kind. The analogous practice of looking at one sample of perspectival thought (nearly always: the </w:t>
      </w:r>
      <w:r w:rsidRPr="00342BC9">
        <w:rPr>
          <w:i/>
          <w:iCs/>
        </w:rPr>
        <w:t>de se</w:t>
      </w:r>
      <w:r w:rsidRPr="00342BC9">
        <w:t>), recording one’s finding and expecting what one finds will hold good for other samples of perspectival thought is precisely what we find in the literature</w:t>
      </w:r>
      <w:r w:rsidR="001F6C13" w:rsidRPr="00342BC9">
        <w:t>, as discussed above</w:t>
      </w:r>
      <w:r w:rsidRPr="00342BC9">
        <w:t>. And it’s hard to see what could justify that practice other than the assumption that perspectival thought is a natural kind. But that assumption, on the evidence</w:t>
      </w:r>
      <w:r w:rsidR="001F6C13" w:rsidRPr="00342BC9">
        <w:t xml:space="preserve"> of the previous two sections of this paper</w:t>
      </w:r>
      <w:r w:rsidRPr="00342BC9">
        <w:t xml:space="preserve">, distorts the various kinds of perspectival thought we’re trying to understand. </w:t>
      </w:r>
    </w:p>
    <w:p w14:paraId="34F0021C" w14:textId="01BC6E6A" w:rsidR="00F24D94" w:rsidRPr="00342BC9" w:rsidRDefault="00F24D94" w:rsidP="00342BC9">
      <w:pPr>
        <w:spacing w:line="480" w:lineRule="auto"/>
        <w:ind w:firstLine="720"/>
      </w:pPr>
      <w:r w:rsidRPr="00342BC9">
        <w:t>Here is a sketch of an alternative way of thinking about perspectival thought. There’s a pull towards similarity in the conceptual role of perspectival thoughts</w:t>
      </w:r>
      <w:r w:rsidR="00D040B6" w:rsidRPr="00342BC9">
        <w:t xml:space="preserve">, associated with the hard to pin down but </w:t>
      </w:r>
      <w:r w:rsidR="00BE6B6C" w:rsidRPr="00342BC9">
        <w:t>natural</w:t>
      </w:r>
      <w:r w:rsidR="00D040B6" w:rsidRPr="00342BC9">
        <w:t xml:space="preserve"> idea that in all cases of perspectival thought one thinks about an entity through exploiting a perspective one has on that entity, </w:t>
      </w:r>
      <w:r w:rsidR="00AB3713" w:rsidRPr="00342BC9">
        <w:t xml:space="preserve">in contrast to other cases of </w:t>
      </w:r>
      <w:r w:rsidR="00D040B6" w:rsidRPr="00342BC9">
        <w:t xml:space="preserve">thought – e.g. thought that would be expressed with </w:t>
      </w:r>
      <w:proofErr w:type="gramStart"/>
      <w:r w:rsidR="00D040B6" w:rsidRPr="00342BC9">
        <w:t>names  –</w:t>
      </w:r>
      <w:proofErr w:type="gramEnd"/>
      <w:r w:rsidR="00D040B6" w:rsidRPr="00342BC9">
        <w:t xml:space="preserve"> </w:t>
      </w:r>
      <w:r w:rsidR="00AB3713" w:rsidRPr="00342BC9">
        <w:t xml:space="preserve">where </w:t>
      </w:r>
      <w:r w:rsidR="00D040B6" w:rsidRPr="00342BC9">
        <w:t>one</w:t>
      </w:r>
      <w:r w:rsidR="00BE6B6C" w:rsidRPr="00342BC9">
        <w:t xml:space="preserve"> does not</w:t>
      </w:r>
      <w:r w:rsidR="00476376" w:rsidRPr="00342BC9">
        <w:t>.</w:t>
      </w:r>
      <w:r w:rsidR="00D040B6" w:rsidRPr="00342BC9">
        <w:t xml:space="preserve"> The less highlighted pull, which this paper has focused on, is </w:t>
      </w:r>
      <w:r w:rsidRPr="00342BC9">
        <w:t xml:space="preserve">the pull towards difference. The </w:t>
      </w:r>
      <w:r w:rsidRPr="00342BC9">
        <w:rPr>
          <w:i/>
          <w:iCs/>
        </w:rPr>
        <w:t xml:space="preserve">de se </w:t>
      </w:r>
      <w:r w:rsidRPr="00342BC9">
        <w:t xml:space="preserve">and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refer to radically different kinds of thing. When we look at the conceptual roles of the </w:t>
      </w:r>
      <w:r w:rsidRPr="00342BC9">
        <w:rPr>
          <w:i/>
          <w:iCs/>
        </w:rPr>
        <w:t xml:space="preserve">de se </w:t>
      </w:r>
      <w:r w:rsidRPr="00342BC9">
        <w:t xml:space="preserve">and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in detail it turns out that an absolutely central factor is the kind of thing each is about. Put another way, you can’t describe the conceptual role of a particular kind of perspectival thought in abstraction from the nature of the thing it involves </w:t>
      </w:r>
      <w:r w:rsidRPr="00342BC9">
        <w:lastRenderedPageBreak/>
        <w:t xml:space="preserve">perspective on. We can think of a conceptual role of a particular kind of thought as a function of at least two different arguments. One argument is: what the thought is about. Another is: whether the thought has a perspectival or a non-perspectival reference-fixing story. There are going to be similarities between ‘NN’-thoughts and (co-referential) </w:t>
      </w:r>
      <w:r w:rsidRPr="00342BC9">
        <w:rPr>
          <w:i/>
          <w:iCs/>
        </w:rPr>
        <w:t xml:space="preserve">de se </w:t>
      </w:r>
      <w:r w:rsidRPr="00342BC9">
        <w:t xml:space="preserve">thoughts, associated with their similarity in relation to the first argument. There are going to be similarities between </w:t>
      </w:r>
      <w:r w:rsidRPr="00342BC9">
        <w:rPr>
          <w:i/>
          <w:iCs/>
        </w:rPr>
        <w:t xml:space="preserve">de se </w:t>
      </w:r>
      <w:r w:rsidRPr="00342BC9">
        <w:t xml:space="preserve">thoughts and </w:t>
      </w:r>
      <w:r w:rsidRPr="00342BC9">
        <w:rPr>
          <w:i/>
          <w:iCs/>
        </w:rPr>
        <w:t xml:space="preserve">de </w:t>
      </w:r>
      <w:proofErr w:type="spellStart"/>
      <w:r w:rsidRPr="00342BC9">
        <w:rPr>
          <w:i/>
          <w:iCs/>
        </w:rPr>
        <w:t>nunc</w:t>
      </w:r>
      <w:proofErr w:type="spellEnd"/>
      <w:r w:rsidRPr="00342BC9">
        <w:rPr>
          <w:i/>
          <w:iCs/>
        </w:rPr>
        <w:t xml:space="preserve"> </w:t>
      </w:r>
      <w:r w:rsidRPr="00342BC9">
        <w:t xml:space="preserve">thoughts, associated with their similarity in relation to the second kind of argument. There are going to be differences between </w:t>
      </w:r>
      <w:r w:rsidRPr="00342BC9">
        <w:rPr>
          <w:i/>
          <w:iCs/>
        </w:rPr>
        <w:t xml:space="preserve">de se </w:t>
      </w:r>
      <w:r w:rsidRPr="00342BC9">
        <w:t xml:space="preserve">thoughts and </w:t>
      </w:r>
      <w:r w:rsidRPr="00342BC9">
        <w:rPr>
          <w:i/>
          <w:iCs/>
        </w:rPr>
        <w:t xml:space="preserve">de </w:t>
      </w:r>
      <w:proofErr w:type="spellStart"/>
      <w:r w:rsidRPr="00342BC9">
        <w:rPr>
          <w:i/>
          <w:iCs/>
        </w:rPr>
        <w:t>nunc</w:t>
      </w:r>
      <w:proofErr w:type="spellEnd"/>
      <w:r w:rsidRPr="00342BC9">
        <w:rPr>
          <w:i/>
          <w:iCs/>
        </w:rPr>
        <w:t xml:space="preserve"> </w:t>
      </w:r>
      <w:r w:rsidRPr="00342BC9">
        <w:t xml:space="preserve">thoughts, associated with their difference in relation to the second kind of argument. And there are going to be differences between ‘NN’-thoughts and </w:t>
      </w:r>
      <w:r w:rsidRPr="00342BC9">
        <w:rPr>
          <w:i/>
          <w:iCs/>
        </w:rPr>
        <w:t xml:space="preserve">de se </w:t>
      </w:r>
      <w:r w:rsidRPr="00342BC9">
        <w:t xml:space="preserve">thoughts associated with </w:t>
      </w:r>
      <w:r w:rsidR="00EF01DA" w:rsidRPr="00342BC9">
        <w:t xml:space="preserve">their </w:t>
      </w:r>
      <w:r w:rsidRPr="00342BC9">
        <w:t>difference in the first kind of argument. I think the cross-perspectival similarities (</w:t>
      </w:r>
      <w:proofErr w:type="gramStart"/>
      <w:r w:rsidRPr="00342BC9">
        <w:t>e.g.</w:t>
      </w:r>
      <w:proofErr w:type="gramEnd"/>
      <w:r w:rsidRPr="00342BC9">
        <w:t xml:space="preserve"> similarities between </w:t>
      </w:r>
      <w:r w:rsidRPr="00342BC9">
        <w:rPr>
          <w:i/>
          <w:iCs/>
        </w:rPr>
        <w:t xml:space="preserve">de </w:t>
      </w:r>
      <w:proofErr w:type="spellStart"/>
      <w:r w:rsidRPr="00342BC9">
        <w:rPr>
          <w:i/>
          <w:iCs/>
        </w:rPr>
        <w:t>nunc</w:t>
      </w:r>
      <w:proofErr w:type="spellEnd"/>
      <w:r w:rsidRPr="00342BC9">
        <w:rPr>
          <w:i/>
          <w:iCs/>
        </w:rPr>
        <w:t xml:space="preserve"> </w:t>
      </w:r>
      <w:r w:rsidRPr="00342BC9">
        <w:t xml:space="preserve">and </w:t>
      </w:r>
      <w:r w:rsidRPr="00342BC9">
        <w:rPr>
          <w:i/>
          <w:iCs/>
        </w:rPr>
        <w:t>de se</w:t>
      </w:r>
      <w:r w:rsidRPr="00342BC9">
        <w:t xml:space="preserve"> thoughts), and the cross-referential differences (e.g. differences between </w:t>
      </w:r>
      <w:r w:rsidRPr="00342BC9">
        <w:rPr>
          <w:i/>
          <w:iCs/>
        </w:rPr>
        <w:t xml:space="preserve">de se </w:t>
      </w:r>
      <w:r w:rsidRPr="00342BC9">
        <w:t xml:space="preserve">and ‘NN’-thoughts), are more attention grabbing than the cross-referential similarities or the cross perspectival differences. Papers by Lewis and Perry, early adopters of perspectival thought as a cognitive frame, did a brilliant job of emphasizing the former. But they are, on my way of thinking, just half of the full story. And the reason they’re attention grabbing, and that it took until the </w:t>
      </w:r>
      <w:proofErr w:type="gramStart"/>
      <w:r w:rsidRPr="00342BC9">
        <w:t>half way</w:t>
      </w:r>
      <w:proofErr w:type="gramEnd"/>
      <w:r w:rsidRPr="00342BC9">
        <w:t xml:space="preserve"> through the 20</w:t>
      </w:r>
      <w:r w:rsidRPr="00342BC9">
        <w:rPr>
          <w:vertAlign w:val="superscript"/>
        </w:rPr>
        <w:t>th</w:t>
      </w:r>
      <w:r w:rsidRPr="00342BC9">
        <w:t xml:space="preserve"> century to come fully into focus, is that the importance of the other source of differences/similarities is so much more obvious. Samuel Johnson famously observed, about a dog walking on its hind legs: ‘It is not done well; but you are surprised to find it done at all’. This could turn out to be a good way of thinking about </w:t>
      </w:r>
      <w:r w:rsidRPr="00342BC9">
        <w:rPr>
          <w:i/>
          <w:iCs/>
        </w:rPr>
        <w:t xml:space="preserve">de se-de </w:t>
      </w:r>
      <w:proofErr w:type="spellStart"/>
      <w:r w:rsidRPr="00342BC9">
        <w:rPr>
          <w:i/>
          <w:iCs/>
        </w:rPr>
        <w:t>nunc</w:t>
      </w:r>
      <w:proofErr w:type="spellEnd"/>
      <w:r w:rsidRPr="00342BC9">
        <w:rPr>
          <w:i/>
          <w:iCs/>
        </w:rPr>
        <w:t xml:space="preserve"> </w:t>
      </w:r>
      <w:r w:rsidRPr="00342BC9">
        <w:t xml:space="preserve">analogies </w:t>
      </w:r>
      <w:proofErr w:type="gramStart"/>
      <w:r w:rsidRPr="00342BC9">
        <w:t>in particular and</w:t>
      </w:r>
      <w:proofErr w:type="gramEnd"/>
      <w:r w:rsidRPr="00342BC9">
        <w:t xml:space="preserve"> about the category of perspectival thought in general.</w:t>
      </w:r>
    </w:p>
    <w:p w14:paraId="37319B6D" w14:textId="34E4791A" w:rsidR="00F24D94" w:rsidRPr="00342BC9" w:rsidRDefault="00001385" w:rsidP="00342BC9">
      <w:pPr>
        <w:spacing w:line="480" w:lineRule="auto"/>
        <w:rPr>
          <w:b/>
          <w:bCs/>
          <w:i/>
          <w:iCs/>
        </w:rPr>
      </w:pPr>
      <w:r w:rsidRPr="00342BC9">
        <w:rPr>
          <w:i/>
          <w:iCs/>
        </w:rPr>
        <w:t xml:space="preserve">(§5) </w:t>
      </w:r>
      <w:r w:rsidR="00F24D94" w:rsidRPr="00342BC9">
        <w:rPr>
          <w:i/>
          <w:iCs/>
        </w:rPr>
        <w:t xml:space="preserve">Conclusion </w:t>
      </w:r>
    </w:p>
    <w:p w14:paraId="20163888" w14:textId="3C06B4D0" w:rsidR="00F24D94" w:rsidRPr="00342BC9" w:rsidRDefault="00F24D94" w:rsidP="00342BC9">
      <w:pPr>
        <w:spacing w:line="480" w:lineRule="auto"/>
        <w:ind w:firstLine="720"/>
      </w:pPr>
      <w:r w:rsidRPr="00342BC9">
        <w:t xml:space="preserve">The </w:t>
      </w:r>
      <w:r w:rsidRPr="00342BC9">
        <w:rPr>
          <w:i/>
          <w:iCs/>
        </w:rPr>
        <w:t xml:space="preserve">de </w:t>
      </w:r>
      <w:proofErr w:type="spellStart"/>
      <w:r w:rsidRPr="00342BC9">
        <w:rPr>
          <w:i/>
          <w:iCs/>
        </w:rPr>
        <w:t>nunc</w:t>
      </w:r>
      <w:proofErr w:type="spellEnd"/>
      <w:r w:rsidRPr="00342BC9">
        <w:rPr>
          <w:i/>
          <w:iCs/>
        </w:rPr>
        <w:t xml:space="preserve"> </w:t>
      </w:r>
      <w:r w:rsidRPr="00342BC9">
        <w:t xml:space="preserve">is usually discussed only by proxy: someone argues for a thesis about the </w:t>
      </w:r>
      <w:r w:rsidRPr="00342BC9">
        <w:rPr>
          <w:i/>
          <w:iCs/>
        </w:rPr>
        <w:t xml:space="preserve">de se </w:t>
      </w:r>
      <w:r w:rsidRPr="00342BC9">
        <w:t xml:space="preserve">and banks on some analogy carrying over to the </w:t>
      </w:r>
      <w:r w:rsidRPr="00342BC9">
        <w:rPr>
          <w:i/>
          <w:iCs/>
        </w:rPr>
        <w:t xml:space="preserve">de </w:t>
      </w:r>
      <w:proofErr w:type="spellStart"/>
      <w:r w:rsidRPr="00342BC9">
        <w:rPr>
          <w:i/>
          <w:iCs/>
        </w:rPr>
        <w:t>nunc</w:t>
      </w:r>
      <w:proofErr w:type="spellEnd"/>
      <w:r w:rsidRPr="00342BC9">
        <w:t xml:space="preserve">. My strategy in this paper has instead been to make </w:t>
      </w:r>
      <w:r w:rsidRPr="00342BC9">
        <w:rPr>
          <w:i/>
          <w:iCs/>
        </w:rPr>
        <w:t xml:space="preserve">de </w:t>
      </w:r>
      <w:proofErr w:type="spellStart"/>
      <w:r w:rsidRPr="00342BC9">
        <w:rPr>
          <w:i/>
          <w:iCs/>
        </w:rPr>
        <w:t>nunc</w:t>
      </w:r>
      <w:proofErr w:type="spellEnd"/>
      <w:r w:rsidRPr="00342BC9">
        <w:rPr>
          <w:i/>
          <w:iCs/>
        </w:rPr>
        <w:t xml:space="preserve"> </w:t>
      </w:r>
      <w:r w:rsidRPr="00342BC9">
        <w:t>thought my direct focus and to foreground the fact that</w:t>
      </w:r>
      <w:r w:rsidRPr="00342BC9">
        <w:rPr>
          <w:i/>
          <w:iCs/>
        </w:rPr>
        <w:t xml:space="preserve"> de </w:t>
      </w:r>
      <w:proofErr w:type="spellStart"/>
      <w:r w:rsidRPr="00342BC9">
        <w:rPr>
          <w:i/>
          <w:iCs/>
        </w:rPr>
        <w:t>nunc</w:t>
      </w:r>
      <w:proofErr w:type="spellEnd"/>
      <w:r w:rsidRPr="00342BC9">
        <w:rPr>
          <w:i/>
          <w:iCs/>
        </w:rPr>
        <w:t xml:space="preserve"> </w:t>
      </w:r>
      <w:r w:rsidRPr="00342BC9">
        <w:lastRenderedPageBreak/>
        <w:t xml:space="preserve">thought is a kind of thought about time. I’ve argued that agents need to select a time for their action, but do not make a parallel selection concerning the agent of their action. This difference is a consequence of the metaphysical fact that agents span times but do not span agents. And it in turn has an impact on the kind of explanatory work there is for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to do in agency, and the kind of work there is for the </w:t>
      </w:r>
      <w:r w:rsidRPr="00342BC9">
        <w:rPr>
          <w:i/>
          <w:iCs/>
        </w:rPr>
        <w:t xml:space="preserve">de se </w:t>
      </w:r>
      <w:r w:rsidRPr="00342BC9">
        <w:t xml:space="preserve">to do. It means that action depends on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even if not on the </w:t>
      </w:r>
      <w:r w:rsidRPr="00342BC9">
        <w:rPr>
          <w:i/>
          <w:iCs/>
        </w:rPr>
        <w:t>de se</w:t>
      </w:r>
      <w:r w:rsidRPr="00342BC9">
        <w:t xml:space="preserve">. This argument about the distinctiveness of the </w:t>
      </w:r>
      <w:r w:rsidRPr="00342BC9">
        <w:rPr>
          <w:i/>
          <w:iCs/>
        </w:rPr>
        <w:t xml:space="preserve">de </w:t>
      </w:r>
      <w:proofErr w:type="spellStart"/>
      <w:r w:rsidRPr="00342BC9">
        <w:rPr>
          <w:i/>
          <w:iCs/>
        </w:rPr>
        <w:t>nunc</w:t>
      </w:r>
      <w:proofErr w:type="spellEnd"/>
      <w:r w:rsidRPr="00342BC9">
        <w:rPr>
          <w:i/>
          <w:iCs/>
        </w:rPr>
        <w:t xml:space="preserve"> </w:t>
      </w:r>
      <w:r w:rsidRPr="00342BC9">
        <w:t xml:space="preserve">is </w:t>
      </w:r>
      <w:r w:rsidR="00EF01DA" w:rsidRPr="00342BC9">
        <w:t xml:space="preserve">standalone. </w:t>
      </w:r>
      <w:r w:rsidRPr="00342BC9">
        <w:t xml:space="preserve">But I’ve made the case that we can put it to broader service, in undermining the idea of perspectival thought as a cognitive natural kind, and the associated practice of using discussion of the </w:t>
      </w:r>
      <w:r w:rsidRPr="00342BC9">
        <w:rPr>
          <w:i/>
          <w:iCs/>
        </w:rPr>
        <w:t xml:space="preserve">de se </w:t>
      </w:r>
      <w:r w:rsidRPr="00342BC9">
        <w:t xml:space="preserve">as a proxy way of understanding other species of perspectival </w:t>
      </w:r>
      <w:proofErr w:type="gramStart"/>
      <w:r w:rsidRPr="00342BC9">
        <w:t>thought, and</w:t>
      </w:r>
      <w:proofErr w:type="gramEnd"/>
      <w:r w:rsidRPr="00342BC9">
        <w:t xml:space="preserve"> replacing that with the </w:t>
      </w:r>
      <w:r w:rsidR="00162D2B" w:rsidRPr="00342BC9">
        <w:t>picture</w:t>
      </w:r>
      <w:r w:rsidRPr="00342BC9">
        <w:t xml:space="preserve"> of perspectival thoughts as islands. We can’t understand perspectival thoughts in abstraction from the metaphysical natures of the things on which we have perspectives, so we should expect the former to be as diverse as the latter. </w:t>
      </w:r>
    </w:p>
    <w:p w14:paraId="0F838935" w14:textId="77777777" w:rsidR="00F24D94" w:rsidRPr="00342BC9" w:rsidRDefault="00F24D94" w:rsidP="00342BC9">
      <w:pPr>
        <w:spacing w:line="480" w:lineRule="auto"/>
      </w:pPr>
    </w:p>
    <w:p w14:paraId="44337AE3" w14:textId="1DE99F79" w:rsidR="00F24D94" w:rsidRPr="004019DD" w:rsidRDefault="00342BC9" w:rsidP="004019DD">
      <w:pPr>
        <w:pStyle w:val="Heading2"/>
        <w:spacing w:line="480" w:lineRule="auto"/>
        <w:jc w:val="center"/>
        <w:rPr>
          <w:rFonts w:ascii="Times New Roman" w:hAnsi="Times New Roman" w:cs="Times New Roman"/>
          <w:b/>
          <w:bCs/>
          <w:i w:val="0"/>
          <w:iCs w:val="0"/>
        </w:rPr>
      </w:pPr>
      <w:r w:rsidRPr="004019DD">
        <w:rPr>
          <w:rFonts w:ascii="Times New Roman" w:hAnsi="Times New Roman" w:cs="Times New Roman"/>
          <w:b/>
          <w:bCs/>
          <w:i w:val="0"/>
          <w:iCs w:val="0"/>
        </w:rPr>
        <w:t>Reference list</w:t>
      </w:r>
      <w:r w:rsidR="00F24D94" w:rsidRPr="004019DD">
        <w:rPr>
          <w:rFonts w:ascii="Times New Roman" w:hAnsi="Times New Roman" w:cs="Times New Roman"/>
          <w:b/>
          <w:bCs/>
          <w:i w:val="0"/>
          <w:iCs w:val="0"/>
        </w:rPr>
        <w:t>:</w:t>
      </w:r>
    </w:p>
    <w:p w14:paraId="089884DF" w14:textId="77777777" w:rsidR="00F24D94" w:rsidRPr="00342BC9" w:rsidRDefault="00F24D94" w:rsidP="00342BC9">
      <w:pPr>
        <w:spacing w:line="480" w:lineRule="auto"/>
      </w:pPr>
    </w:p>
    <w:p w14:paraId="5E2E04B3" w14:textId="7016E514" w:rsidR="00F24D94" w:rsidRPr="00342BC9" w:rsidRDefault="00F24D94" w:rsidP="00342BC9">
      <w:pPr>
        <w:spacing w:line="480" w:lineRule="auto"/>
        <w:rPr>
          <w:b/>
          <w:bCs/>
        </w:rPr>
      </w:pPr>
      <w:r w:rsidRPr="00342BC9">
        <w:t>Anscombe, G</w:t>
      </w:r>
      <w:r w:rsidR="00123AC4" w:rsidRPr="00342BC9">
        <w:t>ertrude</w:t>
      </w:r>
      <w:r w:rsidRPr="00342BC9">
        <w:t xml:space="preserve"> E. M. </w:t>
      </w:r>
      <w:r w:rsidR="00123AC4" w:rsidRPr="00342BC9">
        <w:t xml:space="preserve">1957. </w:t>
      </w:r>
      <w:r w:rsidRPr="00342BC9">
        <w:rPr>
          <w:i/>
          <w:iCs/>
        </w:rPr>
        <w:t>Intention</w:t>
      </w:r>
      <w:r w:rsidRPr="00342BC9">
        <w:t>. Harvard University Press. </w:t>
      </w:r>
      <w:r w:rsidRPr="00342BC9">
        <w:rPr>
          <w:b/>
          <w:bCs/>
        </w:rPr>
        <w:t xml:space="preserve"> </w:t>
      </w:r>
    </w:p>
    <w:p w14:paraId="26772EE1" w14:textId="39E45228" w:rsidR="00F24D94" w:rsidRPr="00342BC9" w:rsidRDefault="00F24D94" w:rsidP="00342BC9">
      <w:pPr>
        <w:spacing w:before="100" w:beforeAutospacing="1" w:line="480" w:lineRule="auto"/>
      </w:pPr>
      <w:r w:rsidRPr="00342BC9">
        <w:t>Babb, M</w:t>
      </w:r>
      <w:r w:rsidR="00123AC4" w:rsidRPr="00342BC9">
        <w:t xml:space="preserve">atthew </w:t>
      </w:r>
      <w:r w:rsidRPr="00342BC9">
        <w:t>2016</w:t>
      </w:r>
      <w:r w:rsidR="00123AC4" w:rsidRPr="00342BC9">
        <w:t>.</w:t>
      </w:r>
      <w:r w:rsidRPr="00342BC9">
        <w:t xml:space="preserve"> ‘The Essential Indexicality of intentional action’, </w:t>
      </w:r>
      <w:r w:rsidRPr="00342BC9">
        <w:rPr>
          <w:i/>
          <w:iCs/>
        </w:rPr>
        <w:t xml:space="preserve">Philosophical Quarterly 66 </w:t>
      </w:r>
      <w:r w:rsidRPr="00342BC9">
        <w:t xml:space="preserve">(264): 439-457. </w:t>
      </w:r>
    </w:p>
    <w:p w14:paraId="454E3E23" w14:textId="4BA1DEBE" w:rsidR="00F24D94" w:rsidRPr="00342BC9" w:rsidRDefault="00F24D94" w:rsidP="00342BC9">
      <w:pPr>
        <w:spacing w:before="100" w:beforeAutospacing="1" w:line="480" w:lineRule="auto"/>
      </w:pPr>
      <w:proofErr w:type="spellStart"/>
      <w:r w:rsidRPr="00342BC9">
        <w:t>Bermúdez</w:t>
      </w:r>
      <w:proofErr w:type="spellEnd"/>
      <w:r w:rsidRPr="00342BC9">
        <w:t>, J</w:t>
      </w:r>
      <w:r w:rsidR="00123AC4" w:rsidRPr="00342BC9">
        <w:t xml:space="preserve">osé </w:t>
      </w:r>
      <w:r w:rsidRPr="00342BC9">
        <w:t>L. 2017</w:t>
      </w:r>
      <w:r w:rsidR="00123AC4" w:rsidRPr="00342BC9">
        <w:t>.</w:t>
      </w:r>
      <w:r w:rsidRPr="00342BC9">
        <w:t xml:space="preserve"> ‘Yes, </w:t>
      </w:r>
      <w:proofErr w:type="spellStart"/>
      <w:r w:rsidRPr="00342BC9">
        <w:t>indexicals</w:t>
      </w:r>
      <w:proofErr w:type="spellEnd"/>
      <w:r w:rsidRPr="00342BC9">
        <w:t xml:space="preserve"> really are essential’ </w:t>
      </w:r>
      <w:r w:rsidRPr="00342BC9">
        <w:rPr>
          <w:i/>
          <w:iCs/>
        </w:rPr>
        <w:t xml:space="preserve">Analysis </w:t>
      </w:r>
      <w:r w:rsidRPr="00342BC9">
        <w:t xml:space="preserve">77 (4): 690-694.  </w:t>
      </w:r>
    </w:p>
    <w:p w14:paraId="65B29ABB" w14:textId="5A6B9960" w:rsidR="00F24D94" w:rsidRPr="00342BC9" w:rsidRDefault="00F24D94" w:rsidP="00342B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240" w:line="480" w:lineRule="auto"/>
      </w:pPr>
      <w:proofErr w:type="spellStart"/>
      <w:r w:rsidRPr="00342BC9">
        <w:t>Castañeda</w:t>
      </w:r>
      <w:proofErr w:type="spellEnd"/>
      <w:r w:rsidRPr="00342BC9">
        <w:t>, H</w:t>
      </w:r>
      <w:r w:rsidR="00123AC4" w:rsidRPr="00342BC9">
        <w:t>éctor</w:t>
      </w:r>
      <w:r w:rsidRPr="00342BC9">
        <w:t>-</w:t>
      </w:r>
      <w:proofErr w:type="spellStart"/>
      <w:r w:rsidRPr="00342BC9">
        <w:t>N</w:t>
      </w:r>
      <w:r w:rsidR="00123AC4" w:rsidRPr="00342BC9">
        <w:t>eri</w:t>
      </w:r>
      <w:proofErr w:type="spellEnd"/>
      <w:r w:rsidRPr="00342BC9">
        <w:t xml:space="preserve"> 1967</w:t>
      </w:r>
      <w:r w:rsidR="00123AC4" w:rsidRPr="00342BC9">
        <w:t>.</w:t>
      </w:r>
      <w:r w:rsidRPr="00342BC9">
        <w:t xml:space="preserve"> ‘Omniscience and Indexical Reference’,</w:t>
      </w:r>
      <w:r w:rsidRPr="00342BC9">
        <w:rPr>
          <w:i/>
        </w:rPr>
        <w:t xml:space="preserve"> Journal of Philosophy </w:t>
      </w:r>
      <w:r w:rsidRPr="00342BC9">
        <w:t>64 (7): 2013-210</w:t>
      </w:r>
    </w:p>
    <w:p w14:paraId="0FE6E5DB" w14:textId="15C0A373" w:rsidR="00F24D94" w:rsidRPr="00342BC9" w:rsidRDefault="00F24D94" w:rsidP="00342BC9">
      <w:pPr>
        <w:spacing w:before="100" w:beforeAutospacing="1" w:line="480" w:lineRule="auto"/>
      </w:pPr>
      <w:proofErr w:type="spellStart"/>
      <w:r w:rsidRPr="00342BC9">
        <w:lastRenderedPageBreak/>
        <w:t>Cappelen</w:t>
      </w:r>
      <w:proofErr w:type="spellEnd"/>
      <w:r w:rsidRPr="00342BC9">
        <w:t xml:space="preserve">, </w:t>
      </w:r>
      <w:proofErr w:type="gramStart"/>
      <w:r w:rsidRPr="00342BC9">
        <w:t>H</w:t>
      </w:r>
      <w:r w:rsidR="00123AC4" w:rsidRPr="00342BC9">
        <w:t>erman</w:t>
      </w:r>
      <w:proofErr w:type="gramEnd"/>
      <w:r w:rsidRPr="00342BC9">
        <w:t xml:space="preserve"> and </w:t>
      </w:r>
      <w:r w:rsidR="001336CE" w:rsidRPr="00342BC9">
        <w:t xml:space="preserve">Joshua </w:t>
      </w:r>
      <w:proofErr w:type="spellStart"/>
      <w:r w:rsidR="001336CE" w:rsidRPr="00342BC9">
        <w:t>Dever</w:t>
      </w:r>
      <w:proofErr w:type="spellEnd"/>
      <w:r w:rsidRPr="00342BC9">
        <w:t xml:space="preserve"> 2013</w:t>
      </w:r>
      <w:r w:rsidR="00123AC4" w:rsidRPr="00342BC9">
        <w:t>.</w:t>
      </w:r>
      <w:r w:rsidRPr="00342BC9">
        <w:t xml:space="preserve"> </w:t>
      </w:r>
      <w:r w:rsidRPr="00342BC9">
        <w:rPr>
          <w:i/>
          <w:iCs/>
        </w:rPr>
        <w:t xml:space="preserve">The Inessential Indexical: on the Philosophical Insignificance of Perspective and the First Person. </w:t>
      </w:r>
      <w:r w:rsidRPr="00342BC9">
        <w:t xml:space="preserve">Oxford University Press. </w:t>
      </w:r>
    </w:p>
    <w:p w14:paraId="280CC7F2" w14:textId="697BB0B9" w:rsidR="00F24D94" w:rsidRPr="00342BC9" w:rsidRDefault="00F24D94" w:rsidP="00342BC9">
      <w:pPr>
        <w:spacing w:before="100" w:beforeAutospacing="1" w:line="480" w:lineRule="auto"/>
      </w:pPr>
      <w:r w:rsidRPr="00342BC9">
        <w:t>García-</w:t>
      </w:r>
      <w:proofErr w:type="spellStart"/>
      <w:r w:rsidRPr="00342BC9">
        <w:t>Carpintero</w:t>
      </w:r>
      <w:proofErr w:type="spellEnd"/>
      <w:r w:rsidRPr="00342BC9">
        <w:t>, M</w:t>
      </w:r>
      <w:r w:rsidR="001336CE" w:rsidRPr="00342BC9">
        <w:t>anuel</w:t>
      </w:r>
      <w:r w:rsidRPr="00342BC9">
        <w:t xml:space="preserve"> 2017</w:t>
      </w:r>
      <w:r w:rsidR="001336CE" w:rsidRPr="00342BC9">
        <w:t>.</w:t>
      </w:r>
      <w:r w:rsidRPr="00342BC9">
        <w:t xml:space="preserve"> ‘The Philosophical Significance of the De Se’. </w:t>
      </w:r>
      <w:r w:rsidRPr="00342BC9">
        <w:rPr>
          <w:i/>
          <w:iCs/>
        </w:rPr>
        <w:t>Inquiry: An Interdisciplinary Journal of Philosophy</w:t>
      </w:r>
      <w:r w:rsidRPr="00342BC9">
        <w:t> 60 (3): 253-276.</w:t>
      </w:r>
    </w:p>
    <w:p w14:paraId="0D5F4A09" w14:textId="22531032" w:rsidR="00F24D94" w:rsidRPr="00342BC9" w:rsidRDefault="00F24D94" w:rsidP="00342BC9">
      <w:pPr>
        <w:spacing w:before="100" w:beforeAutospacing="1" w:line="480" w:lineRule="auto"/>
      </w:pPr>
      <w:r w:rsidRPr="00342BC9">
        <w:t>Lewis, D</w:t>
      </w:r>
      <w:r w:rsidR="001336CE" w:rsidRPr="00342BC9">
        <w:t>avid</w:t>
      </w:r>
      <w:r w:rsidRPr="00342BC9">
        <w:t xml:space="preserve"> 1979</w:t>
      </w:r>
      <w:r w:rsidR="001336CE" w:rsidRPr="00342BC9">
        <w:t>.</w:t>
      </w:r>
      <w:r w:rsidRPr="00342BC9">
        <w:t xml:space="preserve"> ‘Attitudes </w:t>
      </w:r>
      <w:r w:rsidRPr="00342BC9">
        <w:rPr>
          <w:i/>
          <w:iCs/>
        </w:rPr>
        <w:t xml:space="preserve">De Dicto </w:t>
      </w:r>
      <w:r w:rsidRPr="00342BC9">
        <w:t xml:space="preserve">and </w:t>
      </w:r>
      <w:r w:rsidRPr="00342BC9">
        <w:rPr>
          <w:i/>
          <w:iCs/>
        </w:rPr>
        <w:t>De Se’</w:t>
      </w:r>
      <w:r w:rsidRPr="00342BC9">
        <w:t xml:space="preserve">, </w:t>
      </w:r>
      <w:r w:rsidRPr="00342BC9">
        <w:rPr>
          <w:i/>
          <w:iCs/>
        </w:rPr>
        <w:t xml:space="preserve">The Philosophical Review </w:t>
      </w:r>
      <w:r w:rsidRPr="00342BC9">
        <w:t xml:space="preserve">88: 513-543. </w:t>
      </w:r>
    </w:p>
    <w:p w14:paraId="0637E03B" w14:textId="4EFFFAA1" w:rsidR="00D048FE" w:rsidRPr="00342BC9" w:rsidRDefault="00D048FE" w:rsidP="00342BC9">
      <w:pPr>
        <w:spacing w:before="100" w:beforeAutospacing="1" w:line="480" w:lineRule="auto"/>
      </w:pPr>
      <w:r w:rsidRPr="00342BC9">
        <w:t>Ludlow, P</w:t>
      </w:r>
      <w:r w:rsidR="001336CE" w:rsidRPr="00342BC9">
        <w:t>eter</w:t>
      </w:r>
      <w:r w:rsidRPr="00342BC9">
        <w:t xml:space="preserve"> 2019</w:t>
      </w:r>
      <w:r w:rsidR="001336CE" w:rsidRPr="00342BC9">
        <w:t>.</w:t>
      </w:r>
      <w:r w:rsidRPr="00342BC9">
        <w:t xml:space="preserve"> </w:t>
      </w:r>
      <w:proofErr w:type="spellStart"/>
      <w:r w:rsidRPr="00342BC9">
        <w:rPr>
          <w:i/>
          <w:iCs/>
        </w:rPr>
        <w:t>Interspectival</w:t>
      </w:r>
      <w:proofErr w:type="spellEnd"/>
      <w:r w:rsidRPr="00342BC9">
        <w:rPr>
          <w:i/>
          <w:iCs/>
        </w:rPr>
        <w:t xml:space="preserve"> Content.</w:t>
      </w:r>
      <w:r w:rsidRPr="00342BC9">
        <w:t xml:space="preserve"> Oxford University Press. </w:t>
      </w:r>
    </w:p>
    <w:p w14:paraId="1BA7FAD0" w14:textId="35303D0C" w:rsidR="00F24D94" w:rsidRPr="00342BC9" w:rsidRDefault="00F24D94" w:rsidP="00342BC9">
      <w:pPr>
        <w:pStyle w:val="NormalWeb"/>
        <w:spacing w:after="0" w:afterAutospacing="0" w:line="480" w:lineRule="auto"/>
      </w:pPr>
      <w:proofErr w:type="spellStart"/>
      <w:r w:rsidRPr="00342BC9">
        <w:t>Magidor</w:t>
      </w:r>
      <w:proofErr w:type="spellEnd"/>
      <w:r w:rsidRPr="00342BC9">
        <w:t xml:space="preserve">, </w:t>
      </w:r>
      <w:proofErr w:type="spellStart"/>
      <w:r w:rsidRPr="00342BC9">
        <w:t>O</w:t>
      </w:r>
      <w:r w:rsidR="001336CE" w:rsidRPr="00342BC9">
        <w:t>fra</w:t>
      </w:r>
      <w:proofErr w:type="spellEnd"/>
      <w:r w:rsidRPr="00342BC9">
        <w:t xml:space="preserve"> 2015</w:t>
      </w:r>
      <w:r w:rsidR="001336CE" w:rsidRPr="00342BC9">
        <w:t>.</w:t>
      </w:r>
      <w:r w:rsidRPr="00342BC9">
        <w:t xml:space="preserve"> ‘The Myth of the De Se’, </w:t>
      </w:r>
      <w:r w:rsidRPr="00342BC9">
        <w:rPr>
          <w:i/>
          <w:iCs/>
        </w:rPr>
        <w:t xml:space="preserve">Philosophical Perspectives </w:t>
      </w:r>
      <w:r w:rsidRPr="00342BC9">
        <w:t xml:space="preserve">29 (1): 249-283. </w:t>
      </w:r>
    </w:p>
    <w:p w14:paraId="164DB23D" w14:textId="01938E83" w:rsidR="00F24D94" w:rsidRPr="00342BC9" w:rsidRDefault="00F24D94" w:rsidP="00342BC9">
      <w:pPr>
        <w:pStyle w:val="NormalWeb"/>
        <w:spacing w:line="480" w:lineRule="auto"/>
      </w:pPr>
      <w:r w:rsidRPr="00342BC9">
        <w:t>Millikan, Ruth Garrett 1990</w:t>
      </w:r>
      <w:r w:rsidR="001336CE" w:rsidRPr="00342BC9">
        <w:t>.</w:t>
      </w:r>
      <w:r w:rsidRPr="00342BC9">
        <w:t xml:space="preserve"> “The Myth of the Essential Indexical,” </w:t>
      </w:r>
      <w:proofErr w:type="spellStart"/>
      <w:r w:rsidRPr="00342BC9">
        <w:t>Noûs</w:t>
      </w:r>
      <w:proofErr w:type="spellEnd"/>
      <w:r w:rsidRPr="00342BC9">
        <w:t> 24: 723–734.</w:t>
      </w:r>
    </w:p>
    <w:p w14:paraId="7FFC3CCB" w14:textId="75C1470E" w:rsidR="00D048FE" w:rsidRPr="00342BC9" w:rsidRDefault="00F24D94" w:rsidP="00342BC9">
      <w:pPr>
        <w:pStyle w:val="NormalWeb"/>
        <w:spacing w:after="0" w:afterAutospacing="0" w:line="480" w:lineRule="auto"/>
      </w:pPr>
      <w:r w:rsidRPr="00342BC9">
        <w:t>McGinn, C</w:t>
      </w:r>
      <w:r w:rsidR="001336CE" w:rsidRPr="00342BC9">
        <w:t>olin</w:t>
      </w:r>
      <w:r w:rsidRPr="00342BC9">
        <w:t xml:space="preserve"> 1983</w:t>
      </w:r>
      <w:r w:rsidR="001336CE" w:rsidRPr="00342BC9">
        <w:t xml:space="preserve">. </w:t>
      </w:r>
      <w:r w:rsidRPr="00342BC9">
        <w:rPr>
          <w:i/>
          <w:iCs/>
        </w:rPr>
        <w:t>The Subjective View: Secondary Qualities and Indexical Thought</w:t>
      </w:r>
      <w:r w:rsidRPr="00342BC9">
        <w:t>.</w:t>
      </w:r>
      <w:r w:rsidR="001336CE" w:rsidRPr="00342BC9">
        <w:t xml:space="preserve"> </w:t>
      </w:r>
      <w:r w:rsidRPr="00342BC9">
        <w:t>Clarendon Press.</w:t>
      </w:r>
      <w:bookmarkStart w:id="0" w:name="p187"/>
      <w:bookmarkEnd w:id="0"/>
    </w:p>
    <w:p w14:paraId="52B2E37B" w14:textId="64F5FB61" w:rsidR="00D048FE" w:rsidRPr="00342BC9" w:rsidRDefault="00D048FE" w:rsidP="00342BC9">
      <w:pPr>
        <w:pStyle w:val="NormalWeb"/>
        <w:spacing w:after="0" w:line="480" w:lineRule="auto"/>
        <w:rPr>
          <w:i/>
          <w:iCs/>
        </w:rPr>
      </w:pPr>
      <w:r w:rsidRPr="00342BC9">
        <w:t>Morgan, D</w:t>
      </w:r>
      <w:r w:rsidR="001336CE" w:rsidRPr="00342BC9">
        <w:t>aniel 2019</w:t>
      </w:r>
      <w:r w:rsidRPr="00342BC9">
        <w:t xml:space="preserve">. ‘Temporal </w:t>
      </w:r>
      <w:proofErr w:type="spellStart"/>
      <w:r w:rsidRPr="00342BC9">
        <w:t>Indexicals</w:t>
      </w:r>
      <w:proofErr w:type="spellEnd"/>
      <w:r w:rsidRPr="00342BC9">
        <w:t xml:space="preserve"> are essential’, </w:t>
      </w:r>
      <w:r w:rsidRPr="00342BC9">
        <w:rPr>
          <w:i/>
          <w:iCs/>
        </w:rPr>
        <w:t>Analysis</w:t>
      </w:r>
      <w:r w:rsidRPr="00342BC9">
        <w:t> 79 (3):452-461</w:t>
      </w:r>
      <w:r w:rsidR="001336CE" w:rsidRPr="00342BC9">
        <w:t>.</w:t>
      </w:r>
    </w:p>
    <w:p w14:paraId="61658DF9" w14:textId="07D8AA71" w:rsidR="00F24D94" w:rsidRPr="00342BC9" w:rsidRDefault="00F24D94" w:rsidP="00342BC9">
      <w:pPr>
        <w:spacing w:before="100" w:beforeAutospacing="1" w:line="480" w:lineRule="auto"/>
      </w:pPr>
      <w:r w:rsidRPr="00342BC9">
        <w:t>Owens, D</w:t>
      </w:r>
      <w:r w:rsidR="001336CE" w:rsidRPr="00342BC9">
        <w:t>avid</w:t>
      </w:r>
      <w:r w:rsidRPr="00342BC9">
        <w:t xml:space="preserve"> 2011</w:t>
      </w:r>
      <w:r w:rsidR="001336CE" w:rsidRPr="00342BC9">
        <w:t xml:space="preserve">. </w:t>
      </w:r>
      <w:r w:rsidRPr="00342BC9">
        <w:t xml:space="preserve">‘Deliberation and the First Person’, in Anthony </w:t>
      </w:r>
      <w:proofErr w:type="spellStart"/>
      <w:r w:rsidRPr="00342BC9">
        <w:t>Hatzimoysis</w:t>
      </w:r>
      <w:proofErr w:type="spellEnd"/>
      <w:r w:rsidRPr="00342BC9">
        <w:t xml:space="preserve"> (ed.), </w:t>
      </w:r>
      <w:r w:rsidRPr="00342BC9">
        <w:rPr>
          <w:i/>
          <w:iCs/>
        </w:rPr>
        <w:t>Self-Knowledge</w:t>
      </w:r>
      <w:r w:rsidRPr="00342BC9">
        <w:t>. Oxford University Press, 261–277.</w:t>
      </w:r>
    </w:p>
    <w:p w14:paraId="57E959B1" w14:textId="03600DA5" w:rsidR="00904D6C" w:rsidRPr="00342BC9" w:rsidRDefault="00904D6C" w:rsidP="00342BC9">
      <w:pPr>
        <w:spacing w:before="100" w:beforeAutospacing="1" w:line="480" w:lineRule="auto"/>
      </w:pPr>
      <w:r w:rsidRPr="00342BC9">
        <w:rPr>
          <w:lang w:val="en-US"/>
        </w:rPr>
        <w:t>Shaw, J</w:t>
      </w:r>
      <w:r w:rsidR="00707C00" w:rsidRPr="00342BC9">
        <w:rPr>
          <w:lang w:val="en-US"/>
        </w:rPr>
        <w:t>ames</w:t>
      </w:r>
      <w:r w:rsidRPr="00342BC9">
        <w:rPr>
          <w:lang w:val="en-US"/>
        </w:rPr>
        <w:t xml:space="preserve"> 2019</w:t>
      </w:r>
      <w:r w:rsidR="00707C00" w:rsidRPr="00342BC9">
        <w:rPr>
          <w:lang w:val="en-US"/>
        </w:rPr>
        <w:t>.</w:t>
      </w:r>
      <w:r w:rsidRPr="00342BC9">
        <w:rPr>
          <w:lang w:val="en-US"/>
        </w:rPr>
        <w:t xml:space="preserve"> ‘Frege’s Puzzle and De Se Exceptionalism’</w:t>
      </w:r>
      <w:r w:rsidR="00EA1BF1" w:rsidRPr="00342BC9">
        <w:rPr>
          <w:lang w:val="en-US"/>
        </w:rPr>
        <w:t xml:space="preserve">, </w:t>
      </w:r>
      <w:r w:rsidR="00EA1BF1" w:rsidRPr="00342BC9">
        <w:rPr>
          <w:i/>
          <w:iCs/>
          <w:lang w:val="en-US"/>
        </w:rPr>
        <w:t xml:space="preserve">Ergo: </w:t>
      </w:r>
      <w:proofErr w:type="gramStart"/>
      <w:r w:rsidR="00EA1BF1" w:rsidRPr="00342BC9">
        <w:rPr>
          <w:i/>
          <w:iCs/>
          <w:lang w:val="en-US"/>
        </w:rPr>
        <w:t>an</w:t>
      </w:r>
      <w:proofErr w:type="gramEnd"/>
      <w:r w:rsidR="00EA1BF1" w:rsidRPr="00342BC9">
        <w:rPr>
          <w:i/>
          <w:iCs/>
          <w:lang w:val="en-US"/>
        </w:rPr>
        <w:t xml:space="preserve"> Open Access Journal of Philosophy </w:t>
      </w:r>
      <w:r w:rsidR="00EA1BF1" w:rsidRPr="00342BC9">
        <w:t>6:1057-1086</w:t>
      </w:r>
      <w:r w:rsidR="00707C00" w:rsidRPr="00342BC9">
        <w:t>.</w:t>
      </w:r>
    </w:p>
    <w:p w14:paraId="1004840B" w14:textId="042CE491" w:rsidR="00F24D94" w:rsidRPr="00342BC9" w:rsidRDefault="00F24D94" w:rsidP="00342BC9">
      <w:pPr>
        <w:spacing w:before="100" w:beforeAutospacing="1" w:line="480" w:lineRule="auto"/>
      </w:pPr>
      <w:proofErr w:type="spellStart"/>
      <w:r w:rsidRPr="00342BC9">
        <w:t>Peacocke</w:t>
      </w:r>
      <w:proofErr w:type="spellEnd"/>
      <w:r w:rsidRPr="00342BC9">
        <w:t>, C</w:t>
      </w:r>
      <w:r w:rsidR="00707C00" w:rsidRPr="00342BC9">
        <w:t>hristopher</w:t>
      </w:r>
      <w:r w:rsidRPr="00342BC9">
        <w:t xml:space="preserve"> 2019</w:t>
      </w:r>
      <w:r w:rsidR="00707C00" w:rsidRPr="00342BC9">
        <w:t>.</w:t>
      </w:r>
      <w:r w:rsidRPr="00342BC9">
        <w:t xml:space="preserve"> </w:t>
      </w:r>
      <w:r w:rsidRPr="00342BC9">
        <w:rPr>
          <w:i/>
          <w:iCs/>
        </w:rPr>
        <w:t>The Primacy of Metaphysics</w:t>
      </w:r>
      <w:r w:rsidR="00707C00" w:rsidRPr="00342BC9">
        <w:rPr>
          <w:i/>
          <w:iCs/>
        </w:rPr>
        <w:t xml:space="preserve">. </w:t>
      </w:r>
      <w:r w:rsidRPr="00342BC9">
        <w:t xml:space="preserve">Oxford University Press. </w:t>
      </w:r>
    </w:p>
    <w:p w14:paraId="184A53C5" w14:textId="104A62DB" w:rsidR="00F24D94" w:rsidRPr="00342BC9" w:rsidRDefault="00F24D94" w:rsidP="00342BC9">
      <w:pPr>
        <w:pStyle w:val="NormalWeb"/>
        <w:spacing w:after="0" w:afterAutospacing="0" w:line="480" w:lineRule="auto"/>
      </w:pPr>
      <w:r w:rsidRPr="00342BC9">
        <w:t>Perry, J</w:t>
      </w:r>
      <w:r w:rsidR="00707C00" w:rsidRPr="00342BC9">
        <w:t>ohn</w:t>
      </w:r>
      <w:r w:rsidRPr="00342BC9">
        <w:t xml:space="preserve"> 1979</w:t>
      </w:r>
      <w:r w:rsidR="00707C00" w:rsidRPr="00342BC9">
        <w:t>.</w:t>
      </w:r>
      <w:r w:rsidRPr="00342BC9">
        <w:t xml:space="preserve"> ‘The Problem of the Essential Indexical’. </w:t>
      </w:r>
      <w:r w:rsidRPr="00342BC9">
        <w:rPr>
          <w:i/>
          <w:iCs/>
        </w:rPr>
        <w:t>Nous</w:t>
      </w:r>
      <w:r w:rsidRPr="00342BC9">
        <w:t xml:space="preserve">, 13(1), 3–21. Reprinted in Perry 1993, 3–52. </w:t>
      </w:r>
    </w:p>
    <w:p w14:paraId="767C61C3" w14:textId="1EF4D24C" w:rsidR="00F24D94" w:rsidRPr="00342BC9" w:rsidRDefault="00F24D94" w:rsidP="00342BC9">
      <w:pPr>
        <w:pStyle w:val="NormalWeb"/>
        <w:spacing w:after="0" w:afterAutospacing="0" w:line="480" w:lineRule="auto"/>
      </w:pPr>
      <w:r w:rsidRPr="00342BC9">
        <w:lastRenderedPageBreak/>
        <w:t>Perry, J</w:t>
      </w:r>
      <w:r w:rsidR="00707C00" w:rsidRPr="00342BC9">
        <w:t>ohn</w:t>
      </w:r>
      <w:r w:rsidRPr="00342BC9">
        <w:t xml:space="preserve"> 1993</w:t>
      </w:r>
      <w:r w:rsidR="00707C00" w:rsidRPr="00342BC9">
        <w:t>.</w:t>
      </w:r>
      <w:r w:rsidRPr="00342BC9">
        <w:t xml:space="preserve"> </w:t>
      </w:r>
      <w:r w:rsidRPr="00342BC9">
        <w:rPr>
          <w:i/>
          <w:iCs/>
        </w:rPr>
        <w:t>The Problem of the Essential Indexical and Other Essays</w:t>
      </w:r>
      <w:r w:rsidRPr="00342BC9">
        <w:t xml:space="preserve">. Oxford University Press. </w:t>
      </w:r>
    </w:p>
    <w:p w14:paraId="1CBF74B2" w14:textId="423673EC" w:rsidR="00F24D94" w:rsidRPr="00342BC9" w:rsidRDefault="00F24D94" w:rsidP="00342BC9">
      <w:pPr>
        <w:pStyle w:val="NormalWeb"/>
        <w:spacing w:after="0" w:afterAutospacing="0" w:line="480" w:lineRule="auto"/>
      </w:pPr>
      <w:r w:rsidRPr="00342BC9">
        <w:t xml:space="preserve">Perry, </w:t>
      </w:r>
      <w:proofErr w:type="gramStart"/>
      <w:r w:rsidRPr="00342BC9">
        <w:t>J</w:t>
      </w:r>
      <w:r w:rsidR="00707C00" w:rsidRPr="00342BC9">
        <w:t>ohn</w:t>
      </w:r>
      <w:proofErr w:type="gramEnd"/>
      <w:r w:rsidRPr="00342BC9">
        <w:t xml:space="preserve"> and </w:t>
      </w:r>
      <w:r w:rsidR="00707C00" w:rsidRPr="00342BC9">
        <w:t xml:space="preserve">Simon </w:t>
      </w:r>
      <w:r w:rsidRPr="00342BC9">
        <w:t>Blackburn</w:t>
      </w:r>
      <w:r w:rsidR="00707C00" w:rsidRPr="00342BC9">
        <w:t xml:space="preserve"> </w:t>
      </w:r>
      <w:r w:rsidRPr="00342BC9">
        <w:t xml:space="preserve">1986. ‘Thought without representation’. </w:t>
      </w:r>
      <w:r w:rsidRPr="00342BC9">
        <w:rPr>
          <w:i/>
          <w:iCs/>
        </w:rPr>
        <w:t>Proceedings of the Aristotelian Society, Supplementary Volumes</w:t>
      </w:r>
      <w:r w:rsidRPr="00342BC9">
        <w:t> Vol 60, pp. 137-151.</w:t>
      </w:r>
    </w:p>
    <w:p w14:paraId="77EC9811" w14:textId="723221A2" w:rsidR="00F24D94" w:rsidRPr="00342BC9" w:rsidRDefault="00F24D94" w:rsidP="00342BC9">
      <w:pPr>
        <w:spacing w:before="100" w:beforeAutospacing="1" w:line="480" w:lineRule="auto"/>
      </w:pPr>
      <w:proofErr w:type="spellStart"/>
      <w:r w:rsidRPr="00342BC9">
        <w:t>Recanati</w:t>
      </w:r>
      <w:proofErr w:type="spellEnd"/>
      <w:r w:rsidRPr="00342BC9">
        <w:t xml:space="preserve">, F. 2007, </w:t>
      </w:r>
      <w:r w:rsidRPr="00342BC9">
        <w:rPr>
          <w:i/>
          <w:iCs/>
        </w:rPr>
        <w:t>Perspectival Thought: a plea for moderate relativism</w:t>
      </w:r>
      <w:r w:rsidRPr="00342BC9">
        <w:t>. Oxford</w:t>
      </w:r>
      <w:r w:rsidR="00707C00" w:rsidRPr="00342BC9">
        <w:t xml:space="preserve"> University Press.</w:t>
      </w:r>
    </w:p>
    <w:p w14:paraId="55CD3D5D" w14:textId="3452A17F" w:rsidR="001F2887" w:rsidRPr="00342BC9" w:rsidRDefault="001F2887" w:rsidP="00342BC9">
      <w:pPr>
        <w:spacing w:before="100" w:beforeAutospacing="1" w:line="480" w:lineRule="auto"/>
      </w:pPr>
      <w:proofErr w:type="spellStart"/>
      <w:r w:rsidRPr="00342BC9">
        <w:t>Stokke</w:t>
      </w:r>
      <w:proofErr w:type="spellEnd"/>
      <w:r w:rsidRPr="00342BC9">
        <w:t>, A</w:t>
      </w:r>
      <w:r w:rsidR="00707C00" w:rsidRPr="00342BC9">
        <w:t>ndreas</w:t>
      </w:r>
      <w:r w:rsidRPr="00342BC9">
        <w:t xml:space="preserve"> 2022</w:t>
      </w:r>
      <w:r w:rsidR="00707C00" w:rsidRPr="00342BC9">
        <w:t>.</w:t>
      </w:r>
      <w:r w:rsidRPr="00342BC9">
        <w:t xml:space="preserve"> ‘Navigation and Indexical Thought’, </w:t>
      </w:r>
      <w:proofErr w:type="spellStart"/>
      <w:r w:rsidRPr="00342BC9">
        <w:rPr>
          <w:i/>
          <w:iCs/>
        </w:rPr>
        <w:t>Erkenntnis</w:t>
      </w:r>
      <w:proofErr w:type="spellEnd"/>
      <w:r w:rsidRPr="00342BC9">
        <w:rPr>
          <w:i/>
          <w:iCs/>
        </w:rPr>
        <w:t xml:space="preserve"> </w:t>
      </w:r>
      <w:r w:rsidRPr="00342BC9">
        <w:t>87(4): 1659-1681.</w:t>
      </w:r>
    </w:p>
    <w:p w14:paraId="4A92C859" w14:textId="4232A8A9" w:rsidR="00F24D94" w:rsidRPr="00342BC9" w:rsidRDefault="00F24D94" w:rsidP="00342BC9">
      <w:pPr>
        <w:spacing w:before="100" w:beforeAutospacing="1" w:line="480" w:lineRule="auto"/>
      </w:pPr>
      <w:r w:rsidRPr="00342BC9">
        <w:t>Velleman, J. David 1999/200</w:t>
      </w:r>
      <w:r w:rsidR="00707C00" w:rsidRPr="00342BC9">
        <w:t>6.</w:t>
      </w:r>
      <w:r w:rsidRPr="00342BC9">
        <w:t xml:space="preserve"> “The Voice of Conscience,” </w:t>
      </w:r>
      <w:r w:rsidRPr="00342BC9">
        <w:rPr>
          <w:i/>
          <w:iCs/>
        </w:rPr>
        <w:t>Proceedings of the Aristotelian Society </w:t>
      </w:r>
      <w:r w:rsidRPr="00342BC9">
        <w:t xml:space="preserve">99/1: 57–76. </w:t>
      </w:r>
      <w:proofErr w:type="spellStart"/>
      <w:r w:rsidRPr="00342BC9">
        <w:t>Repr</w:t>
      </w:r>
      <w:proofErr w:type="spellEnd"/>
      <w:r w:rsidRPr="00342BC9">
        <w:t>. in Velleman, </w:t>
      </w:r>
      <w:r w:rsidRPr="00342BC9">
        <w:rPr>
          <w:i/>
          <w:iCs/>
        </w:rPr>
        <w:t>Self to Self.</w:t>
      </w:r>
      <w:r w:rsidRPr="00342BC9">
        <w:t> Cambridge University Press, 110–128.</w:t>
      </w:r>
    </w:p>
    <w:p w14:paraId="7C1CE80D" w14:textId="77777777" w:rsidR="00F24D94" w:rsidRPr="00342BC9" w:rsidRDefault="00F24D94" w:rsidP="00342BC9">
      <w:pPr>
        <w:spacing w:line="480" w:lineRule="auto"/>
      </w:pPr>
    </w:p>
    <w:p w14:paraId="7BFF463C" w14:textId="77777777" w:rsidR="00F24D94" w:rsidRPr="00342BC9" w:rsidRDefault="00F24D94" w:rsidP="00342BC9">
      <w:pPr>
        <w:spacing w:line="480" w:lineRule="auto"/>
      </w:pPr>
    </w:p>
    <w:p w14:paraId="0B367465" w14:textId="77777777" w:rsidR="00F24D94" w:rsidRPr="00342BC9" w:rsidRDefault="00F24D94" w:rsidP="00342BC9">
      <w:pPr>
        <w:spacing w:line="480" w:lineRule="auto"/>
      </w:pPr>
    </w:p>
    <w:sectPr w:rsidR="00F24D94" w:rsidRPr="00342BC9">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857D" w14:textId="77777777" w:rsidR="00EF05CF" w:rsidRDefault="00EF05CF" w:rsidP="00F24D94">
      <w:r>
        <w:separator/>
      </w:r>
    </w:p>
  </w:endnote>
  <w:endnote w:type="continuationSeparator" w:id="0">
    <w:p w14:paraId="2E74D079" w14:textId="77777777" w:rsidR="00EF05CF" w:rsidRDefault="00EF05CF" w:rsidP="00F2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C67F" w14:textId="77777777" w:rsidR="00EF05CF" w:rsidRDefault="00EF05CF" w:rsidP="00F24D94">
      <w:r>
        <w:separator/>
      </w:r>
    </w:p>
  </w:footnote>
  <w:footnote w:type="continuationSeparator" w:id="0">
    <w:p w14:paraId="57C1FE44" w14:textId="77777777" w:rsidR="00EF05CF" w:rsidRDefault="00EF05CF" w:rsidP="00F24D94">
      <w:r>
        <w:continuationSeparator/>
      </w:r>
    </w:p>
  </w:footnote>
  <w:footnote w:id="1">
    <w:p w14:paraId="1EDD585C" w14:textId="12B391D6" w:rsidR="00F24D94" w:rsidRPr="00494282" w:rsidRDefault="00F24D94" w:rsidP="00F24D94">
      <w:pPr>
        <w:pStyle w:val="FootnoteText"/>
        <w:rPr>
          <w:rFonts w:ascii="Garamond" w:hAnsi="Garamond" w:cs="Times New Roman (Body CS)"/>
        </w:rPr>
      </w:pPr>
      <w:r w:rsidRPr="00494282">
        <w:rPr>
          <w:rStyle w:val="FootnoteReference"/>
          <w:rFonts w:ascii="Garamond" w:hAnsi="Garamond" w:cs="Times New Roman (Body CS)"/>
        </w:rPr>
        <w:footnoteRef/>
      </w:r>
      <w:r w:rsidRPr="00494282">
        <w:rPr>
          <w:rFonts w:ascii="Garamond" w:hAnsi="Garamond" w:cs="Times New Roman (Body CS)"/>
        </w:rPr>
        <w:t xml:space="preserve"> </w:t>
      </w:r>
      <w:r>
        <w:rPr>
          <w:rFonts w:ascii="Garamond" w:hAnsi="Garamond" w:cs="Times New Roman (Body CS)"/>
        </w:rPr>
        <w:t>Classic discussions of</w:t>
      </w:r>
      <w:r w:rsidRPr="00494282">
        <w:rPr>
          <w:rFonts w:ascii="Garamond" w:hAnsi="Garamond" w:cs="Times New Roman (Body CS)"/>
        </w:rPr>
        <w:t xml:space="preserve"> such cases </w:t>
      </w:r>
      <w:r>
        <w:rPr>
          <w:rFonts w:ascii="Garamond" w:hAnsi="Garamond" w:cs="Times New Roman (Body CS)"/>
        </w:rPr>
        <w:t xml:space="preserve">include </w:t>
      </w:r>
      <w:proofErr w:type="spellStart"/>
      <w:r w:rsidRPr="00634730">
        <w:rPr>
          <w:rFonts w:ascii="Garamond" w:hAnsi="Garamond" w:cs="Times New Roman (Body CS)"/>
        </w:rPr>
        <w:t>Castañeda</w:t>
      </w:r>
      <w:proofErr w:type="spellEnd"/>
      <w:r w:rsidRPr="00634730">
        <w:rPr>
          <w:rFonts w:ascii="Garamond" w:hAnsi="Garamond" w:cs="Times New Roman (Body CS)"/>
        </w:rPr>
        <w:t xml:space="preserve"> (1967), Perry (1979), and Lewis (1979).</w:t>
      </w:r>
      <w:r w:rsidR="00EA1BF1">
        <w:rPr>
          <w:rFonts w:ascii="Garamond" w:hAnsi="Garamond" w:cs="Times New Roman (Body CS)"/>
        </w:rPr>
        <w:t xml:space="preserve"> For a recent defence, in this journal, see Shaw (2019.)</w:t>
      </w:r>
    </w:p>
  </w:footnote>
  <w:footnote w:id="2">
    <w:p w14:paraId="2C9377F9" w14:textId="77777777" w:rsidR="00F24D94" w:rsidRPr="00494282" w:rsidRDefault="00F24D94" w:rsidP="00F24D94">
      <w:pPr>
        <w:pStyle w:val="FootnoteText"/>
        <w:rPr>
          <w:rFonts w:ascii="Garamond" w:hAnsi="Garamond" w:cs="Times New Roman (Body CS)"/>
        </w:rPr>
      </w:pPr>
      <w:r w:rsidRPr="00494282">
        <w:rPr>
          <w:rStyle w:val="FootnoteReference"/>
          <w:rFonts w:ascii="Garamond" w:hAnsi="Garamond" w:cs="Times New Roman (Body CS)"/>
        </w:rPr>
        <w:footnoteRef/>
      </w:r>
      <w:r w:rsidRPr="00494282">
        <w:rPr>
          <w:rFonts w:ascii="Garamond" w:hAnsi="Garamond" w:cs="Times New Roman (Body CS)"/>
        </w:rPr>
        <w:t xml:space="preserve"> </w:t>
      </w:r>
      <w:proofErr w:type="spellStart"/>
      <w:r w:rsidRPr="00494282">
        <w:rPr>
          <w:rFonts w:ascii="Garamond" w:hAnsi="Garamond" w:cs="Times New Roman (Body CS)"/>
        </w:rPr>
        <w:t>Cappelen</w:t>
      </w:r>
      <w:proofErr w:type="spellEnd"/>
      <w:r w:rsidRPr="00494282">
        <w:rPr>
          <w:rFonts w:ascii="Garamond" w:hAnsi="Garamond" w:cs="Times New Roman (Body CS)"/>
        </w:rPr>
        <w:t xml:space="preserve"> and </w:t>
      </w:r>
      <w:proofErr w:type="spellStart"/>
      <w:r w:rsidRPr="00494282">
        <w:rPr>
          <w:rFonts w:ascii="Garamond" w:hAnsi="Garamond" w:cs="Times New Roman (Body CS)"/>
        </w:rPr>
        <w:t>Dever</w:t>
      </w:r>
      <w:proofErr w:type="spellEnd"/>
      <w:r w:rsidRPr="00494282">
        <w:rPr>
          <w:rFonts w:ascii="Garamond" w:hAnsi="Garamond" w:cs="Times New Roman (Body CS)"/>
        </w:rPr>
        <w:t xml:space="preserve"> (2013) and </w:t>
      </w:r>
      <w:proofErr w:type="spellStart"/>
      <w:r w:rsidRPr="00494282">
        <w:rPr>
          <w:rFonts w:ascii="Garamond" w:hAnsi="Garamond" w:cs="Times New Roman (Body CS)"/>
        </w:rPr>
        <w:t>Magidor</w:t>
      </w:r>
      <w:proofErr w:type="spellEnd"/>
      <w:r w:rsidRPr="00494282">
        <w:rPr>
          <w:rFonts w:ascii="Garamond" w:hAnsi="Garamond" w:cs="Times New Roman (Body CS)"/>
        </w:rPr>
        <w:t xml:space="preserve"> (2015)</w:t>
      </w:r>
      <w:r>
        <w:rPr>
          <w:rFonts w:ascii="Garamond" w:hAnsi="Garamond" w:cs="Times New Roman (Body CS)"/>
        </w:rPr>
        <w:t xml:space="preserve"> both develop this suggestion.</w:t>
      </w:r>
    </w:p>
  </w:footnote>
  <w:footnote w:id="3">
    <w:p w14:paraId="11CA18FB" w14:textId="77777777" w:rsidR="00F24D94" w:rsidRPr="00494282" w:rsidRDefault="00F24D94" w:rsidP="00F24D94">
      <w:pPr>
        <w:pStyle w:val="FootnoteText"/>
        <w:rPr>
          <w:rFonts w:ascii="Garamond" w:hAnsi="Garamond" w:cs="Times New Roman (Body CS)"/>
        </w:rPr>
      </w:pPr>
      <w:r w:rsidRPr="00494282">
        <w:rPr>
          <w:rStyle w:val="FootnoteReference"/>
          <w:rFonts w:ascii="Garamond" w:hAnsi="Garamond" w:cs="Times New Roman (Body CS)"/>
        </w:rPr>
        <w:footnoteRef/>
      </w:r>
      <w:r w:rsidRPr="00494282">
        <w:rPr>
          <w:rFonts w:ascii="Garamond" w:hAnsi="Garamond" w:cs="Times New Roman (Body CS)"/>
        </w:rPr>
        <w:t xml:space="preserve"> See </w:t>
      </w:r>
      <w:proofErr w:type="spellStart"/>
      <w:r w:rsidRPr="00494282">
        <w:rPr>
          <w:rFonts w:ascii="Garamond" w:hAnsi="Garamond" w:cs="Times New Roman (Body CS)"/>
        </w:rPr>
        <w:t>Peacocke</w:t>
      </w:r>
      <w:proofErr w:type="spellEnd"/>
      <w:r w:rsidRPr="00494282">
        <w:rPr>
          <w:rFonts w:ascii="Garamond" w:hAnsi="Garamond" w:cs="Times New Roman (Body CS)"/>
        </w:rPr>
        <w:t xml:space="preserve"> </w:t>
      </w:r>
      <w:r>
        <w:rPr>
          <w:rFonts w:ascii="Garamond" w:hAnsi="Garamond" w:cs="Times New Roman (Body CS)"/>
        </w:rPr>
        <w:t>(</w:t>
      </w:r>
      <w:r w:rsidRPr="00494282">
        <w:rPr>
          <w:rFonts w:ascii="Garamond" w:hAnsi="Garamond" w:cs="Times New Roman (Body CS)"/>
        </w:rPr>
        <w:t>2019</w:t>
      </w:r>
      <w:r>
        <w:rPr>
          <w:rFonts w:ascii="Garamond" w:hAnsi="Garamond" w:cs="Times New Roman (Body CS)"/>
        </w:rPr>
        <w:t>: chapter 1)</w:t>
      </w:r>
      <w:r w:rsidRPr="00494282">
        <w:rPr>
          <w:rFonts w:ascii="Garamond" w:hAnsi="Garamond" w:cs="Times New Roman (Body CS)"/>
        </w:rPr>
        <w:t xml:space="preserve">. </w:t>
      </w:r>
    </w:p>
    <w:p w14:paraId="112D0C69" w14:textId="77777777" w:rsidR="00F24D94" w:rsidRPr="00494282" w:rsidRDefault="00F24D94" w:rsidP="00F24D94">
      <w:pPr>
        <w:pStyle w:val="FootnoteText"/>
        <w:rPr>
          <w:rFonts w:ascii="Garamond" w:hAnsi="Garamond" w:cs="Times New Roman (Body CS)"/>
        </w:rPr>
      </w:pPr>
    </w:p>
    <w:p w14:paraId="0841C69B" w14:textId="77777777" w:rsidR="00F24D94" w:rsidRPr="00494282" w:rsidRDefault="00F24D94" w:rsidP="00F24D94">
      <w:pPr>
        <w:pStyle w:val="FootnoteText"/>
        <w:rPr>
          <w:rFonts w:ascii="Garamond" w:hAnsi="Garamond" w:cs="Times New Roman (Body CS)"/>
        </w:rPr>
      </w:pPr>
      <w:r w:rsidRPr="00494282">
        <w:rPr>
          <w:rFonts w:ascii="Garamond" w:hAnsi="Garamond" w:cs="Times New Roman (Body CS)"/>
        </w:rPr>
        <w:t xml:space="preserve"> </w:t>
      </w:r>
    </w:p>
  </w:footnote>
  <w:footnote w:id="4">
    <w:p w14:paraId="1E3CBF4D" w14:textId="63148A83" w:rsidR="00DF7086" w:rsidRDefault="00DF7086">
      <w:pPr>
        <w:pStyle w:val="FootnoteText"/>
      </w:pPr>
      <w:r>
        <w:rPr>
          <w:rStyle w:val="FootnoteReference"/>
        </w:rPr>
        <w:footnoteRef/>
      </w:r>
      <w:r>
        <w:t xml:space="preserve"> Thanks to an anonymous reviewer for the suggestion that I do this. </w:t>
      </w:r>
    </w:p>
  </w:footnote>
  <w:footnote w:id="5">
    <w:p w14:paraId="5E6CCD19" w14:textId="77777777" w:rsidR="00F24D94" w:rsidRPr="00494282" w:rsidRDefault="00F24D94" w:rsidP="00F24D94">
      <w:pPr>
        <w:pStyle w:val="FootnoteText"/>
        <w:rPr>
          <w:rFonts w:ascii="Garamond" w:hAnsi="Garamond" w:cs="Times New Roman (Body CS)"/>
        </w:rPr>
      </w:pPr>
      <w:r w:rsidRPr="00494282">
        <w:rPr>
          <w:rStyle w:val="FootnoteReference"/>
          <w:rFonts w:ascii="Garamond" w:hAnsi="Garamond" w:cs="Times New Roman (Body CS)"/>
        </w:rPr>
        <w:footnoteRef/>
      </w:r>
      <w:r w:rsidRPr="00494282">
        <w:rPr>
          <w:rFonts w:ascii="Garamond" w:hAnsi="Garamond" w:cs="Times New Roman (Body CS)"/>
        </w:rPr>
        <w:t xml:space="preserve"> See</w:t>
      </w:r>
      <w:r>
        <w:rPr>
          <w:rFonts w:ascii="Garamond" w:hAnsi="Garamond" w:cs="Times New Roman (Body CS)"/>
        </w:rPr>
        <w:t xml:space="preserve"> (2015:258-9) and (2013:36).</w:t>
      </w:r>
    </w:p>
  </w:footnote>
  <w:footnote w:id="6">
    <w:p w14:paraId="0F05190B" w14:textId="69C1D815" w:rsidR="00F24D94" w:rsidRPr="00494282" w:rsidRDefault="00F24D94" w:rsidP="00F24D94">
      <w:pPr>
        <w:pStyle w:val="FootnoteText"/>
        <w:rPr>
          <w:rFonts w:ascii="Garamond" w:hAnsi="Garamond" w:cs="Times New Roman (Body CS)"/>
        </w:rPr>
      </w:pPr>
      <w:r w:rsidRPr="00494282">
        <w:rPr>
          <w:rStyle w:val="FootnoteReference"/>
          <w:rFonts w:ascii="Garamond" w:hAnsi="Garamond" w:cs="Times New Roman (Body CS)"/>
        </w:rPr>
        <w:footnoteRef/>
      </w:r>
      <w:r w:rsidRPr="00494282">
        <w:rPr>
          <w:rFonts w:ascii="Garamond" w:hAnsi="Garamond" w:cs="Times New Roman (Body CS)"/>
        </w:rPr>
        <w:t xml:space="preserve"> See</w:t>
      </w:r>
      <w:r>
        <w:rPr>
          <w:rFonts w:ascii="Garamond" w:hAnsi="Garamond" w:cs="Times New Roman (Body CS)"/>
        </w:rPr>
        <w:t>, for example, B</w:t>
      </w:r>
      <w:r w:rsidRPr="00494282">
        <w:rPr>
          <w:rFonts w:ascii="Garamond" w:hAnsi="Garamond" w:cs="Times New Roman (Body CS)"/>
        </w:rPr>
        <w:t>ermudez</w:t>
      </w:r>
      <w:r>
        <w:rPr>
          <w:rFonts w:ascii="Garamond" w:hAnsi="Garamond" w:cs="Times New Roman (Body CS)"/>
        </w:rPr>
        <w:t xml:space="preserve"> (2017). </w:t>
      </w:r>
    </w:p>
  </w:footnote>
  <w:footnote w:id="7">
    <w:p w14:paraId="519E701F" w14:textId="77777777" w:rsidR="00F24D94" w:rsidRDefault="00F24D94" w:rsidP="00F24D94">
      <w:pPr>
        <w:pStyle w:val="FootnoteText"/>
      </w:pPr>
      <w:r>
        <w:rPr>
          <w:rStyle w:val="FootnoteReference"/>
        </w:rPr>
        <w:footnoteRef/>
      </w:r>
      <w:r>
        <w:t xml:space="preserve"> </w:t>
      </w:r>
      <w:r w:rsidRPr="00562D47">
        <w:rPr>
          <w:rFonts w:ascii="Garamond" w:hAnsi="Garamond"/>
        </w:rPr>
        <w:t>A crude but revealing statistic is that googling ‘</w:t>
      </w:r>
      <w:r w:rsidRPr="00562D47">
        <w:rPr>
          <w:rFonts w:ascii="Garamond" w:hAnsi="Garamond"/>
          <w:i/>
          <w:iCs/>
        </w:rPr>
        <w:t xml:space="preserve">de se </w:t>
      </w:r>
      <w:r w:rsidRPr="00562D47">
        <w:rPr>
          <w:rFonts w:ascii="Garamond" w:hAnsi="Garamond"/>
        </w:rPr>
        <w:t>+ philosophy’ brings up 278 million results whereas googling ‘</w:t>
      </w:r>
      <w:r w:rsidRPr="00562D47">
        <w:rPr>
          <w:rFonts w:ascii="Garamond" w:hAnsi="Garamond"/>
          <w:i/>
          <w:iCs/>
        </w:rPr>
        <w:t xml:space="preserve">de </w:t>
      </w:r>
      <w:proofErr w:type="spellStart"/>
      <w:r w:rsidRPr="00562D47">
        <w:rPr>
          <w:rFonts w:ascii="Garamond" w:hAnsi="Garamond"/>
          <w:i/>
          <w:iCs/>
        </w:rPr>
        <w:t>nunc</w:t>
      </w:r>
      <w:proofErr w:type="spellEnd"/>
      <w:r w:rsidRPr="00562D47">
        <w:rPr>
          <w:rFonts w:ascii="Garamond" w:hAnsi="Garamond"/>
        </w:rPr>
        <w:t xml:space="preserve"> + philosophy’ brings up 1 million.</w:t>
      </w:r>
    </w:p>
  </w:footnote>
  <w:footnote w:id="8">
    <w:p w14:paraId="5B672F80" w14:textId="79FD312F" w:rsidR="00764807" w:rsidRDefault="00764807">
      <w:pPr>
        <w:pStyle w:val="FootnoteText"/>
      </w:pPr>
      <w:r>
        <w:rPr>
          <w:rStyle w:val="FootnoteReference"/>
        </w:rPr>
        <w:footnoteRef/>
      </w:r>
      <w:r>
        <w:t xml:space="preserve"> </w:t>
      </w:r>
      <w:r>
        <w:rPr>
          <w:rFonts w:ascii="Garamond" w:hAnsi="Garamond"/>
        </w:rPr>
        <w:t>A revealing thing to note here is that the practice of using ‘</w:t>
      </w:r>
      <w:r>
        <w:rPr>
          <w:rFonts w:ascii="Garamond" w:hAnsi="Garamond"/>
          <w:i/>
          <w:iCs/>
        </w:rPr>
        <w:t>de se</w:t>
      </w:r>
      <w:r>
        <w:rPr>
          <w:rFonts w:ascii="Garamond" w:hAnsi="Garamond"/>
        </w:rPr>
        <w:t xml:space="preserve">’ as a synonym for ‘indexical’ or ‘perspectival’, which I mentioned in discussing </w:t>
      </w:r>
      <w:proofErr w:type="spellStart"/>
      <w:r>
        <w:rPr>
          <w:rFonts w:ascii="Garamond" w:hAnsi="Garamond"/>
        </w:rPr>
        <w:t>Magidor</w:t>
      </w:r>
      <w:proofErr w:type="spellEnd"/>
      <w:r>
        <w:rPr>
          <w:rFonts w:ascii="Garamond" w:hAnsi="Garamond"/>
        </w:rPr>
        <w:t>, comes from Lewis (1972). Obviously, this terminological decision risks promoting a ‘seen one kind of perspectival thought, seen them all’ approach.</w:t>
      </w:r>
    </w:p>
  </w:footnote>
  <w:footnote w:id="9">
    <w:p w14:paraId="464026C9" w14:textId="77777777" w:rsidR="00F24D94" w:rsidRDefault="00F24D94" w:rsidP="00F24D94">
      <w:pPr>
        <w:pStyle w:val="FootnoteText"/>
      </w:pPr>
      <w:r>
        <w:rPr>
          <w:rStyle w:val="FootnoteReference"/>
        </w:rPr>
        <w:footnoteRef/>
      </w:r>
      <w:r>
        <w:t xml:space="preserve"> </w:t>
      </w:r>
      <w:r w:rsidRPr="00494282">
        <w:rPr>
          <w:rFonts w:ascii="Garamond" w:hAnsi="Garamond" w:cs="Times New Roman (Body CS)"/>
        </w:rPr>
        <w:t xml:space="preserve">See </w:t>
      </w:r>
      <w:proofErr w:type="spellStart"/>
      <w:r w:rsidRPr="00494282">
        <w:rPr>
          <w:rFonts w:ascii="Garamond" w:hAnsi="Garamond" w:cs="Times New Roman (Body CS)"/>
        </w:rPr>
        <w:t>Magidor</w:t>
      </w:r>
      <w:proofErr w:type="spellEnd"/>
      <w:r w:rsidRPr="00494282">
        <w:rPr>
          <w:rFonts w:ascii="Garamond" w:hAnsi="Garamond" w:cs="Times New Roman (Body CS)"/>
        </w:rPr>
        <w:t xml:space="preserve"> (2015:259).</w:t>
      </w:r>
    </w:p>
  </w:footnote>
  <w:footnote w:id="10">
    <w:p w14:paraId="56A0FC5E" w14:textId="2316A20A" w:rsidR="00B078D4" w:rsidRPr="00494282" w:rsidRDefault="00F24D94" w:rsidP="00F24D94">
      <w:pPr>
        <w:pStyle w:val="FootnoteText"/>
        <w:rPr>
          <w:rFonts w:ascii="Garamond" w:hAnsi="Garamond" w:cs="Times New Roman (Body CS)"/>
        </w:rPr>
      </w:pPr>
      <w:r w:rsidRPr="00494282">
        <w:rPr>
          <w:rStyle w:val="FootnoteReference"/>
          <w:rFonts w:ascii="Garamond" w:hAnsi="Garamond" w:cs="Times New Roman (Body CS)"/>
        </w:rPr>
        <w:footnoteRef/>
      </w:r>
      <w:r w:rsidRPr="00494282">
        <w:rPr>
          <w:rFonts w:ascii="Garamond" w:hAnsi="Garamond" w:cs="Times New Roman (Body CS)"/>
        </w:rPr>
        <w:t xml:space="preserve"> For </w:t>
      </w:r>
      <w:proofErr w:type="spellStart"/>
      <w:r w:rsidRPr="00494282">
        <w:rPr>
          <w:rFonts w:ascii="Garamond" w:hAnsi="Garamond" w:cs="Times New Roman (Body CS)"/>
        </w:rPr>
        <w:t>Cappelen</w:t>
      </w:r>
      <w:proofErr w:type="spellEnd"/>
      <w:r w:rsidRPr="00494282">
        <w:rPr>
          <w:rFonts w:ascii="Garamond" w:hAnsi="Garamond" w:cs="Times New Roman (Body CS)"/>
        </w:rPr>
        <w:t xml:space="preserve"> and </w:t>
      </w:r>
      <w:proofErr w:type="spellStart"/>
      <w:r w:rsidRPr="00494282">
        <w:rPr>
          <w:rFonts w:ascii="Garamond" w:hAnsi="Garamond" w:cs="Times New Roman (Body CS)"/>
        </w:rPr>
        <w:t>Dever’s</w:t>
      </w:r>
      <w:proofErr w:type="spellEnd"/>
      <w:r>
        <w:rPr>
          <w:rFonts w:ascii="Garamond" w:hAnsi="Garamond" w:cs="Times New Roman (Body CS)"/>
        </w:rPr>
        <w:t xml:space="preserve"> similar case</w:t>
      </w:r>
      <w:r w:rsidRPr="00494282">
        <w:rPr>
          <w:rFonts w:ascii="Garamond" w:hAnsi="Garamond" w:cs="Times New Roman (Body CS)"/>
        </w:rPr>
        <w:t xml:space="preserve">, see (2013: 43). </w:t>
      </w:r>
      <w:r>
        <w:rPr>
          <w:rFonts w:ascii="Garamond" w:hAnsi="Garamond" w:cs="Times New Roman (Body CS)"/>
        </w:rPr>
        <w:t xml:space="preserve">Their case </w:t>
      </w:r>
      <w:r w:rsidRPr="00494282">
        <w:rPr>
          <w:rFonts w:ascii="Garamond" w:hAnsi="Garamond" w:cs="Times New Roman (Body CS)"/>
        </w:rPr>
        <w:t>involves</w:t>
      </w:r>
      <w:r w:rsidR="00B078D4">
        <w:rPr>
          <w:rFonts w:ascii="Garamond" w:hAnsi="Garamond" w:cs="Times New Roman (Body CS)"/>
        </w:rPr>
        <w:t xml:space="preserve"> Herman saving someone else, Nora, while thinking exclusively about her, and not himself and his body’s movements</w:t>
      </w:r>
      <w:r w:rsidRPr="00494282">
        <w:rPr>
          <w:rFonts w:ascii="Garamond" w:hAnsi="Garamond" w:cs="Times New Roman (Body CS)"/>
        </w:rPr>
        <w:t xml:space="preserve">. </w:t>
      </w:r>
      <w:r w:rsidR="00C4015C">
        <w:rPr>
          <w:rFonts w:ascii="Garamond" w:hAnsi="Garamond" w:cs="Times New Roman (Body CS)"/>
        </w:rPr>
        <w:t>T</w:t>
      </w:r>
      <w:r w:rsidR="005F732E">
        <w:rPr>
          <w:rFonts w:ascii="Garamond" w:hAnsi="Garamond" w:cs="Times New Roman (Body CS)"/>
        </w:rPr>
        <w:t xml:space="preserve">o keep things simple, I </w:t>
      </w:r>
      <w:r w:rsidR="00B078D4">
        <w:rPr>
          <w:rFonts w:ascii="Garamond" w:hAnsi="Garamond" w:cs="Times New Roman (Body CS)"/>
        </w:rPr>
        <w:t xml:space="preserve">mostly </w:t>
      </w:r>
      <w:r w:rsidR="005F732E">
        <w:rPr>
          <w:rFonts w:ascii="Garamond" w:hAnsi="Garamond" w:cs="Times New Roman (Body CS)"/>
        </w:rPr>
        <w:t xml:space="preserve">focus on </w:t>
      </w:r>
      <w:proofErr w:type="spellStart"/>
      <w:r w:rsidR="005F732E">
        <w:rPr>
          <w:rFonts w:ascii="Garamond" w:hAnsi="Garamond" w:cs="Times New Roman (Body CS)"/>
        </w:rPr>
        <w:t>Magidor’s</w:t>
      </w:r>
      <w:proofErr w:type="spellEnd"/>
      <w:r w:rsidR="005F732E">
        <w:rPr>
          <w:rFonts w:ascii="Garamond" w:hAnsi="Garamond" w:cs="Times New Roman (Body CS)"/>
        </w:rPr>
        <w:t xml:space="preserve"> </w:t>
      </w:r>
      <w:r w:rsidR="00B078D4">
        <w:rPr>
          <w:rFonts w:ascii="Garamond" w:hAnsi="Garamond" w:cs="Times New Roman (Body CS)"/>
        </w:rPr>
        <w:t>case.</w:t>
      </w:r>
    </w:p>
  </w:footnote>
  <w:footnote w:id="11">
    <w:p w14:paraId="36DDD06D" w14:textId="77777777" w:rsidR="00F24D94" w:rsidRPr="0093441B" w:rsidRDefault="00F24D94" w:rsidP="00F24D94">
      <w:pPr>
        <w:pStyle w:val="FootnoteText"/>
        <w:rPr>
          <w:rFonts w:ascii="Garamond" w:hAnsi="Garamond"/>
        </w:rPr>
      </w:pPr>
      <w:r>
        <w:rPr>
          <w:rStyle w:val="FootnoteReference"/>
        </w:rPr>
        <w:footnoteRef/>
      </w:r>
      <w:r>
        <w:t xml:space="preserve"> </w:t>
      </w:r>
      <w:r>
        <w:rPr>
          <w:rFonts w:ascii="Garamond" w:hAnsi="Garamond"/>
        </w:rPr>
        <w:t xml:space="preserve">Not everyone agrees with this. </w:t>
      </w:r>
      <w:proofErr w:type="gramStart"/>
      <w:r w:rsidRPr="0093441B">
        <w:rPr>
          <w:rFonts w:ascii="Garamond" w:hAnsi="Garamond"/>
        </w:rPr>
        <w:t>E.g.</w:t>
      </w:r>
      <w:proofErr w:type="gramEnd"/>
      <w:r w:rsidRPr="0093441B">
        <w:rPr>
          <w:rFonts w:ascii="Garamond" w:hAnsi="Garamond"/>
        </w:rPr>
        <w:t xml:space="preserve"> </w:t>
      </w:r>
      <w:proofErr w:type="spellStart"/>
      <w:r w:rsidRPr="0093441B">
        <w:rPr>
          <w:rFonts w:ascii="Garamond" w:hAnsi="Garamond"/>
        </w:rPr>
        <w:t>Recanati</w:t>
      </w:r>
      <w:proofErr w:type="spellEnd"/>
      <w:r w:rsidRPr="0093441B">
        <w:rPr>
          <w:rFonts w:ascii="Garamond" w:hAnsi="Garamond"/>
        </w:rPr>
        <w:t xml:space="preserve"> (2007) </w:t>
      </w:r>
      <w:r>
        <w:rPr>
          <w:rFonts w:ascii="Garamond" w:hAnsi="Garamond"/>
        </w:rPr>
        <w:t xml:space="preserve">and Perry (1986) say that one is ‘implicitly’ and the other is ‘explicitly’ </w:t>
      </w:r>
      <w:r>
        <w:rPr>
          <w:rFonts w:ascii="Garamond" w:hAnsi="Garamond"/>
          <w:i/>
          <w:iCs/>
        </w:rPr>
        <w:t>de se</w:t>
      </w:r>
      <w:r>
        <w:rPr>
          <w:rFonts w:ascii="Garamond" w:hAnsi="Garamond"/>
        </w:rPr>
        <w:t>.</w:t>
      </w:r>
    </w:p>
  </w:footnote>
  <w:footnote w:id="12">
    <w:p w14:paraId="7691B099" w14:textId="77777777" w:rsidR="00F24D94" w:rsidRDefault="00F24D94" w:rsidP="00F24D94">
      <w:pPr>
        <w:pStyle w:val="FootnoteText"/>
      </w:pPr>
      <w:r>
        <w:rPr>
          <w:rStyle w:val="FootnoteReference"/>
        </w:rPr>
        <w:footnoteRef/>
      </w:r>
      <w:r>
        <w:t xml:space="preserve"> </w:t>
      </w:r>
      <w:r w:rsidRPr="006A38BF">
        <w:rPr>
          <w:rFonts w:ascii="Garamond" w:hAnsi="Garamond"/>
        </w:rPr>
        <w:t xml:space="preserve">See Author XX for defence of the face-value view and Babb (2016) for criticism. </w:t>
      </w:r>
    </w:p>
  </w:footnote>
  <w:footnote w:id="13">
    <w:p w14:paraId="321260B8" w14:textId="1ADF5264" w:rsidR="00C4015C" w:rsidRDefault="00BE6B6C" w:rsidP="00BE6B6C">
      <w:pPr>
        <w:jc w:val="both"/>
        <w:rPr>
          <w:rFonts w:ascii="Garamond" w:hAnsi="Garamond"/>
          <w:sz w:val="20"/>
          <w:szCs w:val="20"/>
        </w:rPr>
      </w:pPr>
      <w:r w:rsidRPr="000233EB">
        <w:rPr>
          <w:rStyle w:val="FootnoteReference"/>
          <w:sz w:val="20"/>
          <w:szCs w:val="20"/>
        </w:rPr>
        <w:footnoteRef/>
      </w:r>
      <w:r w:rsidR="000233EB">
        <w:rPr>
          <w:sz w:val="20"/>
          <w:szCs w:val="20"/>
        </w:rPr>
        <w:t xml:space="preserve"> </w:t>
      </w:r>
      <w:r w:rsidR="000233EB" w:rsidRPr="000233EB">
        <w:rPr>
          <w:rFonts w:ascii="Garamond" w:hAnsi="Garamond"/>
          <w:sz w:val="20"/>
          <w:szCs w:val="20"/>
        </w:rPr>
        <w:t xml:space="preserve">No doubt not everyone will be convinced </w:t>
      </w:r>
      <w:r w:rsidR="00C80E6A">
        <w:rPr>
          <w:rFonts w:ascii="Garamond" w:hAnsi="Garamond"/>
          <w:sz w:val="20"/>
          <w:szCs w:val="20"/>
        </w:rPr>
        <w:t>that</w:t>
      </w:r>
      <w:r w:rsidR="000233EB" w:rsidRPr="000233EB">
        <w:rPr>
          <w:rFonts w:ascii="Garamond" w:hAnsi="Garamond"/>
          <w:sz w:val="20"/>
          <w:szCs w:val="20"/>
        </w:rPr>
        <w:t xml:space="preserve"> this recipe</w:t>
      </w:r>
      <w:r w:rsidR="00DA4C25">
        <w:rPr>
          <w:rFonts w:ascii="Garamond" w:hAnsi="Garamond"/>
          <w:sz w:val="20"/>
          <w:szCs w:val="20"/>
        </w:rPr>
        <w:t xml:space="preserve"> yields genuine counterexamples to </w:t>
      </w:r>
      <w:proofErr w:type="spellStart"/>
      <w:r w:rsidR="00DA4C25" w:rsidRPr="00DA4C25">
        <w:rPr>
          <w:rFonts w:ascii="Garamond" w:hAnsi="Garamond"/>
          <w:i/>
          <w:iCs/>
          <w:sz w:val="20"/>
          <w:szCs w:val="20"/>
        </w:rPr>
        <w:t>Every</w:t>
      </w:r>
      <w:r w:rsidR="00DA4C25" w:rsidRPr="00DA4C25">
        <w:rPr>
          <w:rFonts w:ascii="Garamond" w:hAnsi="Garamond"/>
          <w:i/>
          <w:iCs/>
          <w:sz w:val="20"/>
          <w:szCs w:val="20"/>
          <w:vertAlign w:val="subscript"/>
        </w:rPr>
        <w:t>de</w:t>
      </w:r>
      <w:proofErr w:type="spellEnd"/>
      <w:r w:rsidR="00DA4C25" w:rsidRPr="00DA4C25">
        <w:rPr>
          <w:rFonts w:ascii="Garamond" w:hAnsi="Garamond"/>
          <w:i/>
          <w:iCs/>
          <w:sz w:val="20"/>
          <w:szCs w:val="20"/>
          <w:vertAlign w:val="subscript"/>
        </w:rPr>
        <w:t xml:space="preserve"> se</w:t>
      </w:r>
      <w:r w:rsidR="00DA4C25">
        <w:rPr>
          <w:rFonts w:ascii="Garamond" w:hAnsi="Garamond"/>
          <w:sz w:val="20"/>
          <w:szCs w:val="20"/>
        </w:rPr>
        <w:t>. A main aim of this paper is to correct the</w:t>
      </w:r>
      <w:r w:rsidR="00A86622">
        <w:rPr>
          <w:rFonts w:ascii="Garamond" w:hAnsi="Garamond"/>
          <w:sz w:val="20"/>
          <w:szCs w:val="20"/>
        </w:rPr>
        <w:t xml:space="preserve"> literature’s</w:t>
      </w:r>
      <w:r w:rsidR="00DA4C25">
        <w:rPr>
          <w:rFonts w:ascii="Garamond" w:hAnsi="Garamond"/>
          <w:sz w:val="20"/>
          <w:szCs w:val="20"/>
        </w:rPr>
        <w:t xml:space="preserve"> </w:t>
      </w:r>
      <w:r w:rsidR="00DA4C25">
        <w:rPr>
          <w:rFonts w:ascii="Garamond" w:hAnsi="Garamond"/>
          <w:i/>
          <w:iCs/>
          <w:sz w:val="20"/>
          <w:szCs w:val="20"/>
        </w:rPr>
        <w:t xml:space="preserve">de se </w:t>
      </w:r>
      <w:proofErr w:type="gramStart"/>
      <w:r w:rsidR="00A86622">
        <w:rPr>
          <w:rFonts w:ascii="Garamond" w:hAnsi="Garamond"/>
          <w:sz w:val="20"/>
          <w:szCs w:val="20"/>
        </w:rPr>
        <w:t xml:space="preserve">fixation </w:t>
      </w:r>
      <w:r w:rsidR="00DA4C25">
        <w:rPr>
          <w:rFonts w:ascii="Garamond" w:hAnsi="Garamond"/>
          <w:sz w:val="20"/>
          <w:szCs w:val="20"/>
        </w:rPr>
        <w:t>,</w:t>
      </w:r>
      <w:proofErr w:type="gramEnd"/>
      <w:r w:rsidR="00DA4C25">
        <w:rPr>
          <w:rFonts w:ascii="Garamond" w:hAnsi="Garamond"/>
          <w:sz w:val="20"/>
          <w:szCs w:val="20"/>
        </w:rPr>
        <w:t xml:space="preserve"> by focusing on the </w:t>
      </w:r>
      <w:r w:rsidR="00DA4C25">
        <w:rPr>
          <w:rFonts w:ascii="Garamond" w:hAnsi="Garamond"/>
          <w:i/>
          <w:iCs/>
          <w:sz w:val="20"/>
          <w:szCs w:val="20"/>
        </w:rPr>
        <w:t xml:space="preserve">de </w:t>
      </w:r>
      <w:proofErr w:type="spellStart"/>
      <w:r w:rsidR="00DA4C25">
        <w:rPr>
          <w:rFonts w:ascii="Garamond" w:hAnsi="Garamond"/>
          <w:i/>
          <w:iCs/>
          <w:sz w:val="20"/>
          <w:szCs w:val="20"/>
        </w:rPr>
        <w:t>nunc</w:t>
      </w:r>
      <w:proofErr w:type="spellEnd"/>
      <w:r w:rsidR="00DA4C25">
        <w:rPr>
          <w:rFonts w:ascii="Garamond" w:hAnsi="Garamond"/>
          <w:sz w:val="20"/>
          <w:szCs w:val="20"/>
        </w:rPr>
        <w:t xml:space="preserve">, so </w:t>
      </w:r>
      <w:r w:rsidR="00150884">
        <w:rPr>
          <w:rFonts w:ascii="Garamond" w:hAnsi="Garamond"/>
          <w:sz w:val="20"/>
          <w:szCs w:val="20"/>
        </w:rPr>
        <w:t xml:space="preserve">I’m not </w:t>
      </w:r>
      <w:r w:rsidR="00DA4C25">
        <w:rPr>
          <w:rFonts w:ascii="Garamond" w:hAnsi="Garamond"/>
          <w:sz w:val="20"/>
          <w:szCs w:val="20"/>
        </w:rPr>
        <w:t xml:space="preserve">going to consider every possible </w:t>
      </w:r>
      <w:r w:rsidR="00C80E6A">
        <w:rPr>
          <w:rFonts w:ascii="Garamond" w:hAnsi="Garamond"/>
          <w:sz w:val="20"/>
          <w:szCs w:val="20"/>
        </w:rPr>
        <w:t xml:space="preserve">move </w:t>
      </w:r>
      <w:r w:rsidR="00DA4C25">
        <w:rPr>
          <w:rFonts w:ascii="Garamond" w:hAnsi="Garamond"/>
          <w:sz w:val="20"/>
          <w:szCs w:val="20"/>
        </w:rPr>
        <w:t xml:space="preserve">that might be made </w:t>
      </w:r>
      <w:r w:rsidR="00C80E6A">
        <w:rPr>
          <w:rFonts w:ascii="Garamond" w:hAnsi="Garamond"/>
          <w:sz w:val="20"/>
          <w:szCs w:val="20"/>
        </w:rPr>
        <w:t xml:space="preserve">in this debate about a claim about the </w:t>
      </w:r>
      <w:r w:rsidR="00C80E6A">
        <w:rPr>
          <w:rFonts w:ascii="Garamond" w:hAnsi="Garamond"/>
          <w:i/>
          <w:iCs/>
          <w:sz w:val="20"/>
          <w:szCs w:val="20"/>
        </w:rPr>
        <w:t>de se</w:t>
      </w:r>
      <w:r w:rsidR="00150884">
        <w:rPr>
          <w:rFonts w:ascii="Garamond" w:hAnsi="Garamond"/>
          <w:sz w:val="20"/>
          <w:szCs w:val="20"/>
        </w:rPr>
        <w:t>.</w:t>
      </w:r>
      <w:r w:rsidR="00C80E6A">
        <w:rPr>
          <w:rFonts w:ascii="Garamond" w:hAnsi="Garamond"/>
          <w:sz w:val="20"/>
          <w:szCs w:val="20"/>
        </w:rPr>
        <w:t xml:space="preserve"> </w:t>
      </w:r>
      <w:r w:rsidR="0044041B">
        <w:rPr>
          <w:rFonts w:ascii="Garamond" w:hAnsi="Garamond"/>
          <w:sz w:val="20"/>
          <w:szCs w:val="20"/>
        </w:rPr>
        <w:t xml:space="preserve">I note though that there’s a risk of dismissing the recipe overhastily if two nearby questions are allowed to blur. </w:t>
      </w:r>
    </w:p>
    <w:p w14:paraId="14168761" w14:textId="1C92429E" w:rsidR="0044041B" w:rsidRDefault="0044041B" w:rsidP="005C78DD">
      <w:pPr>
        <w:ind w:firstLine="720"/>
        <w:jc w:val="both"/>
        <w:rPr>
          <w:rFonts w:ascii="Garamond" w:hAnsi="Garamond"/>
          <w:sz w:val="20"/>
          <w:szCs w:val="20"/>
        </w:rPr>
      </w:pPr>
      <w:r>
        <w:rPr>
          <w:rFonts w:ascii="Garamond" w:hAnsi="Garamond"/>
          <w:sz w:val="20"/>
          <w:szCs w:val="20"/>
        </w:rPr>
        <w:t>One question is wh</w:t>
      </w:r>
      <w:r w:rsidR="00BE6B6C" w:rsidRPr="000233EB">
        <w:rPr>
          <w:rFonts w:ascii="Garamond" w:hAnsi="Garamond"/>
          <w:sz w:val="20"/>
          <w:szCs w:val="20"/>
        </w:rPr>
        <w:t>ether there are possible action explanations in which</w:t>
      </w:r>
      <w:r w:rsidR="00E250D8">
        <w:rPr>
          <w:rFonts w:ascii="Garamond" w:hAnsi="Garamond"/>
          <w:sz w:val="20"/>
          <w:szCs w:val="20"/>
        </w:rPr>
        <w:t xml:space="preserve"> a</w:t>
      </w:r>
      <w:r w:rsidR="00BE6B6C" w:rsidRPr="000233EB">
        <w:rPr>
          <w:rFonts w:ascii="Garamond" w:hAnsi="Garamond"/>
          <w:sz w:val="20"/>
          <w:szCs w:val="20"/>
        </w:rPr>
        <w:t xml:space="preserve"> </w:t>
      </w:r>
      <w:r w:rsidR="00BE6B6C" w:rsidRPr="000233EB">
        <w:rPr>
          <w:rFonts w:ascii="Garamond" w:hAnsi="Garamond"/>
          <w:i/>
          <w:iCs/>
          <w:sz w:val="20"/>
          <w:szCs w:val="20"/>
        </w:rPr>
        <w:t xml:space="preserve">de se </w:t>
      </w:r>
      <w:r w:rsidR="00BE6B6C" w:rsidRPr="000233EB">
        <w:rPr>
          <w:rFonts w:ascii="Garamond" w:hAnsi="Garamond"/>
          <w:sz w:val="20"/>
          <w:szCs w:val="20"/>
        </w:rPr>
        <w:t>intention does not figure</w:t>
      </w:r>
      <w:r>
        <w:rPr>
          <w:rFonts w:ascii="Garamond" w:hAnsi="Garamond"/>
          <w:sz w:val="20"/>
          <w:szCs w:val="20"/>
        </w:rPr>
        <w:t>.</w:t>
      </w:r>
      <w:r w:rsidR="00BE6B6C" w:rsidRPr="000233EB">
        <w:rPr>
          <w:rFonts w:ascii="Garamond" w:hAnsi="Garamond"/>
          <w:sz w:val="20"/>
          <w:szCs w:val="20"/>
        </w:rPr>
        <w:t xml:space="preserve"> </w:t>
      </w:r>
      <w:r>
        <w:rPr>
          <w:rFonts w:ascii="Garamond" w:hAnsi="Garamond"/>
          <w:sz w:val="20"/>
          <w:szCs w:val="20"/>
        </w:rPr>
        <w:t>The other is whether</w:t>
      </w:r>
      <w:r w:rsidR="00BE6B6C" w:rsidRPr="000233EB">
        <w:rPr>
          <w:rFonts w:ascii="Garamond" w:hAnsi="Garamond"/>
          <w:sz w:val="20"/>
          <w:szCs w:val="20"/>
        </w:rPr>
        <w:t xml:space="preserve"> </w:t>
      </w:r>
      <w:r w:rsidR="00C80E6A">
        <w:rPr>
          <w:rFonts w:ascii="Garamond" w:hAnsi="Garamond"/>
          <w:sz w:val="20"/>
          <w:szCs w:val="20"/>
        </w:rPr>
        <w:t xml:space="preserve">mature </w:t>
      </w:r>
      <w:r w:rsidR="00BE6B6C" w:rsidRPr="000233EB">
        <w:rPr>
          <w:rFonts w:ascii="Garamond" w:hAnsi="Garamond"/>
          <w:sz w:val="20"/>
          <w:szCs w:val="20"/>
        </w:rPr>
        <w:t xml:space="preserve">human agents often act without having </w:t>
      </w:r>
      <w:r w:rsidR="00BE6B6C" w:rsidRPr="000233EB">
        <w:rPr>
          <w:rFonts w:ascii="Garamond" w:hAnsi="Garamond"/>
          <w:i/>
          <w:iCs/>
          <w:sz w:val="20"/>
          <w:szCs w:val="20"/>
        </w:rPr>
        <w:t xml:space="preserve">de se </w:t>
      </w:r>
      <w:r w:rsidR="00BE6B6C" w:rsidRPr="000233EB">
        <w:rPr>
          <w:rFonts w:ascii="Garamond" w:hAnsi="Garamond"/>
          <w:sz w:val="20"/>
          <w:szCs w:val="20"/>
        </w:rPr>
        <w:t xml:space="preserve">intentions. There are two relevant gaps, which explain why the answer could be ‘yes’ to the first (and so </w:t>
      </w:r>
      <w:proofErr w:type="spellStart"/>
      <w:r w:rsidR="00BE6B6C" w:rsidRPr="000233EB">
        <w:rPr>
          <w:rFonts w:ascii="Garamond" w:hAnsi="Garamond"/>
          <w:i/>
          <w:iCs/>
          <w:sz w:val="20"/>
          <w:szCs w:val="20"/>
        </w:rPr>
        <w:t>Every</w:t>
      </w:r>
      <w:r w:rsidR="00BE6B6C" w:rsidRPr="000233EB">
        <w:rPr>
          <w:rFonts w:ascii="Garamond" w:hAnsi="Garamond"/>
          <w:i/>
          <w:iCs/>
          <w:sz w:val="20"/>
          <w:szCs w:val="20"/>
          <w:vertAlign w:val="subscript"/>
        </w:rPr>
        <w:t>de</w:t>
      </w:r>
      <w:proofErr w:type="spellEnd"/>
      <w:r w:rsidR="00BE6B6C" w:rsidRPr="000233EB">
        <w:rPr>
          <w:rFonts w:ascii="Garamond" w:hAnsi="Garamond"/>
          <w:i/>
          <w:iCs/>
          <w:sz w:val="20"/>
          <w:szCs w:val="20"/>
          <w:vertAlign w:val="subscript"/>
        </w:rPr>
        <w:t xml:space="preserve"> se</w:t>
      </w:r>
      <w:r w:rsidR="00BE6B6C" w:rsidRPr="000233EB">
        <w:rPr>
          <w:rFonts w:ascii="Garamond" w:hAnsi="Garamond"/>
          <w:sz w:val="20"/>
          <w:szCs w:val="20"/>
        </w:rPr>
        <w:t xml:space="preserve"> </w:t>
      </w:r>
      <w:r w:rsidR="00DA4C25">
        <w:rPr>
          <w:rFonts w:ascii="Garamond" w:hAnsi="Garamond"/>
          <w:sz w:val="20"/>
          <w:szCs w:val="20"/>
        </w:rPr>
        <w:t>false</w:t>
      </w:r>
      <w:r w:rsidR="00BE6B6C" w:rsidRPr="000233EB">
        <w:rPr>
          <w:rFonts w:ascii="Garamond" w:hAnsi="Garamond"/>
          <w:sz w:val="20"/>
          <w:szCs w:val="20"/>
        </w:rPr>
        <w:t>), even if the answer is ‘no’ to the second.</w:t>
      </w:r>
    </w:p>
    <w:p w14:paraId="4EED7FE5" w14:textId="50181808" w:rsidR="0044041B" w:rsidRDefault="00BE6B6C" w:rsidP="00BE6B6C">
      <w:pPr>
        <w:jc w:val="both"/>
        <w:rPr>
          <w:rFonts w:ascii="Garamond" w:hAnsi="Garamond"/>
          <w:sz w:val="20"/>
          <w:szCs w:val="20"/>
        </w:rPr>
      </w:pPr>
      <w:r w:rsidRPr="000233EB">
        <w:rPr>
          <w:rFonts w:ascii="Garamond" w:hAnsi="Garamond"/>
          <w:sz w:val="20"/>
          <w:szCs w:val="20"/>
        </w:rPr>
        <w:t xml:space="preserve"> </w:t>
      </w:r>
      <w:r w:rsidR="0044041B">
        <w:rPr>
          <w:rFonts w:ascii="Garamond" w:hAnsi="Garamond"/>
          <w:sz w:val="20"/>
          <w:szCs w:val="20"/>
        </w:rPr>
        <w:tab/>
      </w:r>
      <w:r w:rsidRPr="000233EB">
        <w:rPr>
          <w:rFonts w:ascii="Garamond" w:hAnsi="Garamond"/>
          <w:sz w:val="20"/>
          <w:szCs w:val="20"/>
        </w:rPr>
        <w:t xml:space="preserve">First, it seems extremely easy for mature human agents to </w:t>
      </w:r>
      <w:r w:rsidR="0044041B">
        <w:rPr>
          <w:rFonts w:ascii="Garamond" w:hAnsi="Garamond"/>
          <w:sz w:val="20"/>
          <w:szCs w:val="20"/>
        </w:rPr>
        <w:t>gain</w:t>
      </w:r>
      <w:r w:rsidRPr="000233EB">
        <w:rPr>
          <w:rFonts w:ascii="Garamond" w:hAnsi="Garamond"/>
          <w:sz w:val="20"/>
          <w:szCs w:val="20"/>
        </w:rPr>
        <w:t xml:space="preserve"> </w:t>
      </w:r>
      <w:r w:rsidRPr="000233EB">
        <w:rPr>
          <w:rFonts w:ascii="Garamond" w:hAnsi="Garamond"/>
          <w:i/>
          <w:iCs/>
          <w:sz w:val="20"/>
          <w:szCs w:val="20"/>
        </w:rPr>
        <w:t xml:space="preserve">de se </w:t>
      </w:r>
      <w:r w:rsidRPr="000233EB">
        <w:rPr>
          <w:rFonts w:ascii="Garamond" w:hAnsi="Garamond"/>
          <w:sz w:val="20"/>
          <w:szCs w:val="20"/>
        </w:rPr>
        <w:t xml:space="preserve">knowledge of what intentions they have. </w:t>
      </w:r>
      <w:proofErr w:type="gramStart"/>
      <w:r w:rsidR="00AF2033">
        <w:rPr>
          <w:rFonts w:ascii="Garamond" w:hAnsi="Garamond"/>
          <w:sz w:val="20"/>
          <w:szCs w:val="20"/>
        </w:rPr>
        <w:t>So</w:t>
      </w:r>
      <w:proofErr w:type="gramEnd"/>
      <w:r w:rsidR="00AF2033">
        <w:rPr>
          <w:rFonts w:ascii="Garamond" w:hAnsi="Garamond"/>
          <w:sz w:val="20"/>
          <w:szCs w:val="20"/>
        </w:rPr>
        <w:t xml:space="preserve"> it’s </w:t>
      </w:r>
      <w:r w:rsidRPr="000233EB">
        <w:rPr>
          <w:rFonts w:ascii="Garamond" w:hAnsi="Garamond"/>
          <w:sz w:val="20"/>
          <w:szCs w:val="20"/>
        </w:rPr>
        <w:t xml:space="preserve">difficult to think of a case where </w:t>
      </w:r>
      <w:r w:rsidR="00C80E6A">
        <w:rPr>
          <w:rFonts w:ascii="Garamond" w:hAnsi="Garamond"/>
          <w:sz w:val="20"/>
          <w:szCs w:val="20"/>
        </w:rPr>
        <w:t>a mature human agent, S,</w:t>
      </w:r>
      <w:r w:rsidR="0044041B">
        <w:rPr>
          <w:rFonts w:ascii="Garamond" w:hAnsi="Garamond"/>
          <w:sz w:val="20"/>
          <w:szCs w:val="20"/>
        </w:rPr>
        <w:t xml:space="preserve"> clearly has a ‘p’ intention but doesn’t know ‘I intend that p’. </w:t>
      </w:r>
      <w:r w:rsidR="00DA4C25">
        <w:rPr>
          <w:rFonts w:ascii="Garamond" w:hAnsi="Garamond"/>
          <w:sz w:val="20"/>
          <w:szCs w:val="20"/>
        </w:rPr>
        <w:t>Additionall</w:t>
      </w:r>
      <w:r w:rsidR="00C80E6A">
        <w:rPr>
          <w:rFonts w:ascii="Garamond" w:hAnsi="Garamond"/>
          <w:sz w:val="20"/>
          <w:szCs w:val="20"/>
        </w:rPr>
        <w:t xml:space="preserve">y, </w:t>
      </w:r>
      <w:r w:rsidR="00DA4C25">
        <w:rPr>
          <w:rFonts w:ascii="Garamond" w:hAnsi="Garamond"/>
          <w:sz w:val="20"/>
          <w:szCs w:val="20"/>
        </w:rPr>
        <w:t>i</w:t>
      </w:r>
      <w:r w:rsidRPr="000233EB">
        <w:rPr>
          <w:rFonts w:ascii="Garamond" w:hAnsi="Garamond"/>
          <w:sz w:val="20"/>
          <w:szCs w:val="20"/>
        </w:rPr>
        <w:t xml:space="preserve">f </w:t>
      </w:r>
      <w:r w:rsidR="0044041B">
        <w:rPr>
          <w:rFonts w:ascii="Garamond" w:hAnsi="Garamond"/>
          <w:sz w:val="20"/>
          <w:szCs w:val="20"/>
        </w:rPr>
        <w:t>S</w:t>
      </w:r>
      <w:r w:rsidRPr="000233EB">
        <w:rPr>
          <w:rFonts w:ascii="Garamond" w:hAnsi="Garamond"/>
          <w:sz w:val="20"/>
          <w:szCs w:val="20"/>
        </w:rPr>
        <w:t xml:space="preserve"> know</w:t>
      </w:r>
      <w:r w:rsidR="00C80E6A">
        <w:rPr>
          <w:rFonts w:ascii="Garamond" w:hAnsi="Garamond"/>
          <w:sz w:val="20"/>
          <w:szCs w:val="20"/>
        </w:rPr>
        <w:t>s</w:t>
      </w:r>
      <w:r w:rsidRPr="000233EB">
        <w:rPr>
          <w:rFonts w:ascii="Garamond" w:hAnsi="Garamond"/>
          <w:sz w:val="20"/>
          <w:szCs w:val="20"/>
        </w:rPr>
        <w:t xml:space="preserve"> that</w:t>
      </w:r>
      <w:r w:rsidR="0044041B">
        <w:rPr>
          <w:rFonts w:ascii="Garamond" w:hAnsi="Garamond"/>
          <w:sz w:val="20"/>
          <w:szCs w:val="20"/>
        </w:rPr>
        <w:t xml:space="preserve"> </w:t>
      </w:r>
      <w:r w:rsidR="0044041B" w:rsidRPr="00C4015C">
        <w:rPr>
          <w:rFonts w:ascii="Garamond" w:hAnsi="Garamond"/>
          <w:i/>
          <w:iCs/>
          <w:sz w:val="20"/>
          <w:szCs w:val="20"/>
        </w:rPr>
        <w:t>they</w:t>
      </w:r>
      <w:r w:rsidRPr="000233EB">
        <w:rPr>
          <w:rFonts w:ascii="Garamond" w:hAnsi="Garamond"/>
          <w:i/>
          <w:iCs/>
          <w:sz w:val="20"/>
          <w:szCs w:val="20"/>
        </w:rPr>
        <w:t xml:space="preserve"> </w:t>
      </w:r>
      <w:r w:rsidRPr="000233EB">
        <w:rPr>
          <w:rFonts w:ascii="Garamond" w:hAnsi="Garamond"/>
          <w:sz w:val="20"/>
          <w:szCs w:val="20"/>
        </w:rPr>
        <w:t xml:space="preserve">have a ‘p’ intention, </w:t>
      </w:r>
      <w:r w:rsidR="0044041B">
        <w:rPr>
          <w:rFonts w:ascii="Garamond" w:hAnsi="Garamond"/>
          <w:sz w:val="20"/>
          <w:szCs w:val="20"/>
        </w:rPr>
        <w:t xml:space="preserve">they </w:t>
      </w:r>
      <w:r w:rsidRPr="000233EB">
        <w:rPr>
          <w:rFonts w:ascii="Garamond" w:hAnsi="Garamond"/>
          <w:sz w:val="20"/>
          <w:szCs w:val="20"/>
        </w:rPr>
        <w:t>will be aware that the only way this intention is going to get executed is if</w:t>
      </w:r>
      <w:r w:rsidR="0044041B">
        <w:rPr>
          <w:rFonts w:ascii="Garamond" w:hAnsi="Garamond"/>
          <w:sz w:val="20"/>
          <w:szCs w:val="20"/>
        </w:rPr>
        <w:t xml:space="preserve"> </w:t>
      </w:r>
      <w:r w:rsidR="0044041B" w:rsidRPr="00C4015C">
        <w:rPr>
          <w:rFonts w:ascii="Garamond" w:hAnsi="Garamond"/>
          <w:i/>
          <w:iCs/>
          <w:sz w:val="20"/>
          <w:szCs w:val="20"/>
        </w:rPr>
        <w:t>they</w:t>
      </w:r>
      <w:r w:rsidRPr="000233EB">
        <w:rPr>
          <w:rFonts w:ascii="Garamond" w:hAnsi="Garamond"/>
          <w:i/>
          <w:iCs/>
          <w:sz w:val="20"/>
          <w:szCs w:val="20"/>
        </w:rPr>
        <w:t xml:space="preserve"> </w:t>
      </w:r>
      <w:r w:rsidRPr="000233EB">
        <w:rPr>
          <w:rFonts w:ascii="Garamond" w:hAnsi="Garamond"/>
          <w:sz w:val="20"/>
          <w:szCs w:val="20"/>
        </w:rPr>
        <w:t xml:space="preserve">do something. </w:t>
      </w:r>
      <w:r w:rsidR="00E250D8">
        <w:rPr>
          <w:rFonts w:ascii="Garamond" w:hAnsi="Garamond"/>
          <w:sz w:val="20"/>
          <w:szCs w:val="20"/>
        </w:rPr>
        <w:t xml:space="preserve">So, if S has </w:t>
      </w:r>
      <w:r w:rsidRPr="000233EB">
        <w:rPr>
          <w:rFonts w:ascii="Garamond" w:hAnsi="Garamond"/>
          <w:i/>
          <w:iCs/>
          <w:sz w:val="20"/>
          <w:szCs w:val="20"/>
        </w:rPr>
        <w:t xml:space="preserve">de se </w:t>
      </w:r>
      <w:r w:rsidRPr="000233EB">
        <w:rPr>
          <w:rFonts w:ascii="Garamond" w:hAnsi="Garamond"/>
          <w:sz w:val="20"/>
          <w:szCs w:val="20"/>
        </w:rPr>
        <w:t xml:space="preserve">awareness of the non </w:t>
      </w:r>
      <w:r w:rsidRPr="000233EB">
        <w:rPr>
          <w:rFonts w:ascii="Garamond" w:hAnsi="Garamond"/>
          <w:i/>
          <w:iCs/>
          <w:sz w:val="20"/>
          <w:szCs w:val="20"/>
        </w:rPr>
        <w:t>de se</w:t>
      </w:r>
      <w:r w:rsidR="00E250D8">
        <w:rPr>
          <w:rFonts w:ascii="Garamond" w:hAnsi="Garamond"/>
          <w:i/>
          <w:iCs/>
          <w:sz w:val="20"/>
          <w:szCs w:val="20"/>
        </w:rPr>
        <w:t xml:space="preserve"> </w:t>
      </w:r>
      <w:r w:rsidR="00E250D8">
        <w:rPr>
          <w:rFonts w:ascii="Garamond" w:hAnsi="Garamond"/>
          <w:sz w:val="20"/>
          <w:szCs w:val="20"/>
        </w:rPr>
        <w:t>‘p’</w:t>
      </w:r>
      <w:r w:rsidRPr="000233EB">
        <w:rPr>
          <w:rFonts w:ascii="Garamond" w:hAnsi="Garamond"/>
          <w:sz w:val="20"/>
          <w:szCs w:val="20"/>
        </w:rPr>
        <w:t xml:space="preserve"> intention</w:t>
      </w:r>
      <w:r w:rsidR="0026637B">
        <w:rPr>
          <w:rFonts w:ascii="Garamond" w:hAnsi="Garamond"/>
          <w:sz w:val="20"/>
          <w:szCs w:val="20"/>
        </w:rPr>
        <w:t>,</w:t>
      </w:r>
      <w:r w:rsidRPr="000233EB">
        <w:rPr>
          <w:rFonts w:ascii="Garamond" w:hAnsi="Garamond"/>
          <w:sz w:val="20"/>
          <w:szCs w:val="20"/>
        </w:rPr>
        <w:t xml:space="preserve"> th</w:t>
      </w:r>
      <w:r w:rsidR="00E250D8">
        <w:rPr>
          <w:rFonts w:ascii="Garamond" w:hAnsi="Garamond"/>
          <w:sz w:val="20"/>
          <w:szCs w:val="20"/>
        </w:rPr>
        <w:t>at</w:t>
      </w:r>
      <w:r w:rsidRPr="000233EB">
        <w:rPr>
          <w:rFonts w:ascii="Garamond" w:hAnsi="Garamond"/>
          <w:sz w:val="20"/>
          <w:szCs w:val="20"/>
        </w:rPr>
        <w:t xml:space="preserve"> makes it natural for </w:t>
      </w:r>
      <w:r w:rsidR="0044041B">
        <w:rPr>
          <w:rFonts w:ascii="Garamond" w:hAnsi="Garamond"/>
          <w:sz w:val="20"/>
          <w:szCs w:val="20"/>
        </w:rPr>
        <w:t>them</w:t>
      </w:r>
      <w:r w:rsidRPr="000233EB">
        <w:rPr>
          <w:rFonts w:ascii="Garamond" w:hAnsi="Garamond"/>
          <w:sz w:val="20"/>
          <w:szCs w:val="20"/>
        </w:rPr>
        <w:t xml:space="preserve"> to form</w:t>
      </w:r>
      <w:r w:rsidR="00AF2033">
        <w:rPr>
          <w:rFonts w:ascii="Garamond" w:hAnsi="Garamond"/>
          <w:sz w:val="20"/>
          <w:szCs w:val="20"/>
        </w:rPr>
        <w:t>, and to be attributed,</w:t>
      </w:r>
      <w:r w:rsidRPr="000233EB">
        <w:rPr>
          <w:rFonts w:ascii="Garamond" w:hAnsi="Garamond"/>
          <w:sz w:val="20"/>
          <w:szCs w:val="20"/>
        </w:rPr>
        <w:t xml:space="preserve"> the </w:t>
      </w:r>
      <w:r w:rsidRPr="000233EB">
        <w:rPr>
          <w:rFonts w:ascii="Garamond" w:hAnsi="Garamond"/>
          <w:i/>
          <w:iCs/>
          <w:sz w:val="20"/>
          <w:szCs w:val="20"/>
        </w:rPr>
        <w:t>de se</w:t>
      </w:r>
      <w:r w:rsidRPr="000233EB">
        <w:rPr>
          <w:rFonts w:ascii="Garamond" w:hAnsi="Garamond"/>
          <w:sz w:val="20"/>
          <w:szCs w:val="20"/>
        </w:rPr>
        <w:t xml:space="preserve"> intention</w:t>
      </w:r>
      <w:r w:rsidR="0091631E">
        <w:rPr>
          <w:rFonts w:ascii="Garamond" w:hAnsi="Garamond"/>
          <w:sz w:val="20"/>
          <w:szCs w:val="20"/>
        </w:rPr>
        <w:t>, ‘I bring it about that p’</w:t>
      </w:r>
      <w:r w:rsidRPr="000233EB">
        <w:rPr>
          <w:rFonts w:ascii="Garamond" w:hAnsi="Garamond"/>
          <w:sz w:val="20"/>
          <w:szCs w:val="20"/>
        </w:rPr>
        <w:t xml:space="preserve">. </w:t>
      </w:r>
      <w:r w:rsidR="00E250D8">
        <w:rPr>
          <w:rFonts w:ascii="Garamond" w:hAnsi="Garamond"/>
          <w:sz w:val="20"/>
          <w:szCs w:val="20"/>
        </w:rPr>
        <w:t xml:space="preserve"> Together, these two facts mean that</w:t>
      </w:r>
      <w:r w:rsidR="00AF2033">
        <w:rPr>
          <w:rFonts w:ascii="Garamond" w:hAnsi="Garamond"/>
          <w:sz w:val="20"/>
          <w:szCs w:val="20"/>
        </w:rPr>
        <w:t xml:space="preserve"> it’s difficult to think of a case where S clearly has a ‘p’ intention but </w:t>
      </w:r>
      <w:r w:rsidR="00C4015C">
        <w:rPr>
          <w:rFonts w:ascii="Garamond" w:hAnsi="Garamond"/>
          <w:sz w:val="20"/>
          <w:szCs w:val="20"/>
        </w:rPr>
        <w:t xml:space="preserve">clearly </w:t>
      </w:r>
      <w:r w:rsidR="00AF2033">
        <w:rPr>
          <w:rFonts w:ascii="Garamond" w:hAnsi="Garamond"/>
          <w:sz w:val="20"/>
          <w:szCs w:val="20"/>
        </w:rPr>
        <w:t xml:space="preserve">doesn’t also have an ‘I bring it about that p’ intention. </w:t>
      </w:r>
      <w:r w:rsidRPr="000233EB">
        <w:rPr>
          <w:rFonts w:ascii="Garamond" w:hAnsi="Garamond"/>
          <w:sz w:val="20"/>
          <w:szCs w:val="20"/>
        </w:rPr>
        <w:t xml:space="preserve">But that’s compatible with the intentions being separable in principle – and they would in fact come apart for thinkers who have less </w:t>
      </w:r>
      <w:r w:rsidR="00DA4C25">
        <w:rPr>
          <w:rFonts w:ascii="Garamond" w:hAnsi="Garamond"/>
          <w:i/>
          <w:iCs/>
          <w:sz w:val="20"/>
          <w:szCs w:val="20"/>
        </w:rPr>
        <w:t xml:space="preserve">de se </w:t>
      </w:r>
      <w:r w:rsidRPr="000233EB">
        <w:rPr>
          <w:rFonts w:ascii="Garamond" w:hAnsi="Garamond"/>
          <w:sz w:val="20"/>
          <w:szCs w:val="20"/>
        </w:rPr>
        <w:t>self-knowledge than mature humans do</w:t>
      </w:r>
      <w:r w:rsidR="00AF2033">
        <w:rPr>
          <w:rFonts w:ascii="Garamond" w:hAnsi="Garamond"/>
          <w:sz w:val="20"/>
          <w:szCs w:val="20"/>
        </w:rPr>
        <w:t xml:space="preserve"> (or for those </w:t>
      </w:r>
      <w:r w:rsidR="00E250D8">
        <w:rPr>
          <w:rFonts w:ascii="Garamond" w:hAnsi="Garamond"/>
          <w:sz w:val="20"/>
          <w:szCs w:val="20"/>
        </w:rPr>
        <w:t xml:space="preserve">mature humans </w:t>
      </w:r>
      <w:r w:rsidR="00AF2033">
        <w:rPr>
          <w:rFonts w:ascii="Garamond" w:hAnsi="Garamond"/>
          <w:sz w:val="20"/>
          <w:szCs w:val="20"/>
        </w:rPr>
        <w:t>who are especially good at repressing their intentions)</w:t>
      </w:r>
      <w:r w:rsidRPr="000233EB">
        <w:rPr>
          <w:rFonts w:ascii="Garamond" w:hAnsi="Garamond"/>
          <w:sz w:val="20"/>
          <w:szCs w:val="20"/>
        </w:rPr>
        <w:t xml:space="preserve">. </w:t>
      </w:r>
    </w:p>
    <w:p w14:paraId="539A4957" w14:textId="17C93210" w:rsidR="00BE6B6C" w:rsidRPr="00C4015C" w:rsidRDefault="00A85FCE" w:rsidP="00C4015C">
      <w:pPr>
        <w:ind w:firstLine="720"/>
        <w:jc w:val="both"/>
        <w:rPr>
          <w:sz w:val="20"/>
          <w:szCs w:val="20"/>
        </w:rPr>
      </w:pPr>
      <w:r w:rsidRPr="000233EB">
        <w:rPr>
          <w:rFonts w:ascii="Garamond" w:hAnsi="Garamond"/>
          <w:sz w:val="20"/>
          <w:szCs w:val="20"/>
        </w:rPr>
        <w:t>S</w:t>
      </w:r>
      <w:r w:rsidR="00BE6B6C" w:rsidRPr="000233EB">
        <w:rPr>
          <w:rFonts w:ascii="Garamond" w:hAnsi="Garamond"/>
          <w:sz w:val="20"/>
          <w:szCs w:val="20"/>
        </w:rPr>
        <w:t>econd</w:t>
      </w:r>
      <w:r w:rsidRPr="000233EB">
        <w:rPr>
          <w:rFonts w:ascii="Garamond" w:hAnsi="Garamond"/>
          <w:sz w:val="20"/>
          <w:szCs w:val="20"/>
        </w:rPr>
        <w:t>,</w:t>
      </w:r>
      <w:r w:rsidR="00BE6B6C" w:rsidRPr="000233EB">
        <w:rPr>
          <w:rFonts w:ascii="Garamond" w:hAnsi="Garamond"/>
          <w:sz w:val="20"/>
          <w:szCs w:val="20"/>
        </w:rPr>
        <w:t xml:space="preserve"> even if </w:t>
      </w:r>
      <w:r w:rsidR="00AF2033">
        <w:rPr>
          <w:rFonts w:ascii="Garamond" w:hAnsi="Garamond"/>
          <w:sz w:val="20"/>
          <w:szCs w:val="20"/>
        </w:rPr>
        <w:t xml:space="preserve">it were the case that anyone </w:t>
      </w:r>
      <w:r w:rsidR="00BE6B6C" w:rsidRPr="000233EB">
        <w:rPr>
          <w:rFonts w:ascii="Garamond" w:hAnsi="Garamond"/>
          <w:sz w:val="20"/>
          <w:szCs w:val="20"/>
        </w:rPr>
        <w:t xml:space="preserve">who ever acts has a </w:t>
      </w:r>
      <w:r w:rsidR="00BE6B6C" w:rsidRPr="000233EB">
        <w:rPr>
          <w:rFonts w:ascii="Garamond" w:hAnsi="Garamond"/>
          <w:i/>
          <w:iCs/>
          <w:sz w:val="20"/>
          <w:szCs w:val="20"/>
        </w:rPr>
        <w:t xml:space="preserve">de se </w:t>
      </w:r>
      <w:r w:rsidR="00BE6B6C" w:rsidRPr="000233EB">
        <w:rPr>
          <w:rFonts w:ascii="Garamond" w:hAnsi="Garamond"/>
          <w:sz w:val="20"/>
          <w:szCs w:val="20"/>
        </w:rPr>
        <w:t xml:space="preserve">intention, it doesn’t follow that, whenever there is action, a </w:t>
      </w:r>
      <w:r w:rsidR="00BE6B6C" w:rsidRPr="000233EB">
        <w:rPr>
          <w:rFonts w:ascii="Garamond" w:hAnsi="Garamond"/>
          <w:i/>
          <w:iCs/>
          <w:sz w:val="20"/>
          <w:szCs w:val="20"/>
        </w:rPr>
        <w:t xml:space="preserve">de se </w:t>
      </w:r>
      <w:r w:rsidR="00BE6B6C" w:rsidRPr="000233EB">
        <w:rPr>
          <w:rFonts w:ascii="Garamond" w:hAnsi="Garamond"/>
          <w:sz w:val="20"/>
          <w:szCs w:val="20"/>
        </w:rPr>
        <w:t xml:space="preserve">intention is contributing something to </w:t>
      </w:r>
      <w:r w:rsidR="00E250D8">
        <w:rPr>
          <w:rFonts w:ascii="Garamond" w:hAnsi="Garamond"/>
          <w:sz w:val="20"/>
          <w:szCs w:val="20"/>
        </w:rPr>
        <w:t>the</w:t>
      </w:r>
      <w:r w:rsidR="00BE6B6C" w:rsidRPr="000233EB">
        <w:rPr>
          <w:rFonts w:ascii="Garamond" w:hAnsi="Garamond"/>
          <w:sz w:val="20"/>
          <w:szCs w:val="20"/>
        </w:rPr>
        <w:t xml:space="preserve"> explanation</w:t>
      </w:r>
      <w:r w:rsidR="00E250D8">
        <w:rPr>
          <w:rFonts w:ascii="Garamond" w:hAnsi="Garamond"/>
          <w:sz w:val="20"/>
          <w:szCs w:val="20"/>
        </w:rPr>
        <w:t xml:space="preserve"> of that action</w:t>
      </w:r>
      <w:r w:rsidR="00BE6B6C" w:rsidRPr="000233EB">
        <w:rPr>
          <w:rFonts w:ascii="Garamond" w:hAnsi="Garamond"/>
          <w:sz w:val="20"/>
          <w:szCs w:val="20"/>
        </w:rPr>
        <w:t>. ‘Present for’ does not imply ‘explanatory of’.</w:t>
      </w:r>
      <w:r w:rsidR="00E250D8">
        <w:rPr>
          <w:rFonts w:ascii="Garamond" w:hAnsi="Garamond"/>
          <w:sz w:val="20"/>
          <w:szCs w:val="20"/>
        </w:rPr>
        <w:t xml:space="preserve"> The </w:t>
      </w:r>
      <w:r w:rsidR="00E250D8">
        <w:rPr>
          <w:rFonts w:ascii="Garamond" w:hAnsi="Garamond"/>
          <w:i/>
          <w:iCs/>
          <w:sz w:val="20"/>
          <w:szCs w:val="20"/>
        </w:rPr>
        <w:t>de se</w:t>
      </w:r>
      <w:r w:rsidR="00E250D8">
        <w:rPr>
          <w:rFonts w:ascii="Garamond" w:hAnsi="Garamond"/>
          <w:sz w:val="20"/>
          <w:szCs w:val="20"/>
        </w:rPr>
        <w:t xml:space="preserve"> belief ‘I am I’ is present for every action I </w:t>
      </w:r>
      <w:proofErr w:type="gramStart"/>
      <w:r w:rsidR="00E250D8">
        <w:rPr>
          <w:rFonts w:ascii="Garamond" w:hAnsi="Garamond"/>
          <w:sz w:val="20"/>
          <w:szCs w:val="20"/>
        </w:rPr>
        <w:t>perform, but</w:t>
      </w:r>
      <w:proofErr w:type="gramEnd"/>
      <w:r w:rsidR="00E250D8">
        <w:rPr>
          <w:rFonts w:ascii="Garamond" w:hAnsi="Garamond"/>
          <w:sz w:val="20"/>
          <w:szCs w:val="20"/>
        </w:rPr>
        <w:t xml:space="preserve"> doesn’t see</w:t>
      </w:r>
      <w:r w:rsidR="00C4015C">
        <w:rPr>
          <w:rFonts w:ascii="Garamond" w:hAnsi="Garamond"/>
          <w:sz w:val="20"/>
          <w:szCs w:val="20"/>
        </w:rPr>
        <w:t>m</w:t>
      </w:r>
      <w:r w:rsidR="00E250D8">
        <w:rPr>
          <w:rFonts w:ascii="Garamond" w:hAnsi="Garamond"/>
          <w:sz w:val="20"/>
          <w:szCs w:val="20"/>
        </w:rPr>
        <w:t xml:space="preserve"> explanatory of </w:t>
      </w:r>
      <w:r w:rsidR="00150884">
        <w:rPr>
          <w:rFonts w:ascii="Garamond" w:hAnsi="Garamond"/>
          <w:sz w:val="20"/>
          <w:szCs w:val="20"/>
        </w:rPr>
        <w:t>any of</w:t>
      </w:r>
      <w:r w:rsidR="00E250D8">
        <w:rPr>
          <w:rFonts w:ascii="Garamond" w:hAnsi="Garamond"/>
          <w:sz w:val="20"/>
          <w:szCs w:val="20"/>
        </w:rPr>
        <w:t xml:space="preserve"> them</w:t>
      </w:r>
      <w:r w:rsidR="00150884">
        <w:rPr>
          <w:rFonts w:ascii="Garamond" w:hAnsi="Garamond"/>
          <w:sz w:val="20"/>
          <w:szCs w:val="20"/>
        </w:rPr>
        <w:t xml:space="preserve"> (other than, perhaps, the verbal action of uttering the sentence: ‘I am I’)</w:t>
      </w:r>
      <w:r w:rsidR="00E250D8">
        <w:rPr>
          <w:rFonts w:ascii="Garamond" w:hAnsi="Garamond"/>
          <w:sz w:val="20"/>
          <w:szCs w:val="20"/>
        </w:rPr>
        <w:t xml:space="preserve">. </w:t>
      </w:r>
      <w:r w:rsidR="00BE6B6C" w:rsidRPr="000233EB">
        <w:rPr>
          <w:rFonts w:ascii="Garamond" w:hAnsi="Garamond"/>
          <w:sz w:val="20"/>
          <w:szCs w:val="20"/>
        </w:rPr>
        <w:t xml:space="preserve"> </w:t>
      </w:r>
      <w:r w:rsidR="00C80E6A">
        <w:rPr>
          <w:rFonts w:ascii="Garamond" w:hAnsi="Garamond"/>
          <w:sz w:val="20"/>
          <w:szCs w:val="20"/>
        </w:rPr>
        <w:t xml:space="preserve">An argument that the recipe </w:t>
      </w:r>
      <w:r w:rsidR="00C4015C">
        <w:rPr>
          <w:rFonts w:ascii="Garamond" w:hAnsi="Garamond"/>
          <w:sz w:val="20"/>
          <w:szCs w:val="20"/>
        </w:rPr>
        <w:t xml:space="preserve">for </w:t>
      </w:r>
      <w:r w:rsidR="00C4015C">
        <w:rPr>
          <w:rFonts w:ascii="Garamond" w:hAnsi="Garamond"/>
          <w:i/>
          <w:iCs/>
          <w:sz w:val="20"/>
          <w:szCs w:val="20"/>
        </w:rPr>
        <w:t xml:space="preserve">de se </w:t>
      </w:r>
      <w:r w:rsidR="00C4015C">
        <w:rPr>
          <w:rFonts w:ascii="Garamond" w:hAnsi="Garamond"/>
          <w:sz w:val="20"/>
          <w:szCs w:val="20"/>
        </w:rPr>
        <w:t xml:space="preserve">free action </w:t>
      </w:r>
      <w:r w:rsidR="00C80E6A">
        <w:rPr>
          <w:rFonts w:ascii="Garamond" w:hAnsi="Garamond"/>
          <w:sz w:val="20"/>
          <w:szCs w:val="20"/>
        </w:rPr>
        <w:t xml:space="preserve">does not work should highlight some explanatory question that needs to be answered in any case of action, and that a non </w:t>
      </w:r>
      <w:r w:rsidR="00C80E6A">
        <w:rPr>
          <w:rFonts w:ascii="Garamond" w:hAnsi="Garamond"/>
          <w:i/>
          <w:iCs/>
          <w:sz w:val="20"/>
          <w:szCs w:val="20"/>
        </w:rPr>
        <w:t xml:space="preserve">de se </w:t>
      </w:r>
      <w:r w:rsidR="00C80E6A">
        <w:rPr>
          <w:rFonts w:ascii="Garamond" w:hAnsi="Garamond"/>
          <w:sz w:val="20"/>
          <w:szCs w:val="20"/>
        </w:rPr>
        <w:t>intention could not answer. My discussion</w:t>
      </w:r>
      <w:r w:rsidR="00B56380">
        <w:rPr>
          <w:rFonts w:ascii="Garamond" w:hAnsi="Garamond"/>
          <w:sz w:val="20"/>
          <w:szCs w:val="20"/>
        </w:rPr>
        <w:t xml:space="preserve"> in section </w:t>
      </w:r>
      <w:r w:rsidR="00B56380" w:rsidRPr="00B56380">
        <w:rPr>
          <w:rFonts w:ascii="Garamond" w:hAnsi="Garamond"/>
          <w:iCs/>
          <w:sz w:val="20"/>
          <w:szCs w:val="20"/>
        </w:rPr>
        <w:t>(§3)</w:t>
      </w:r>
      <w:r w:rsidR="00150884">
        <w:rPr>
          <w:rFonts w:ascii="Garamond" w:hAnsi="Garamond"/>
          <w:iCs/>
          <w:sz w:val="20"/>
          <w:szCs w:val="20"/>
        </w:rPr>
        <w:t>, especially (</w:t>
      </w:r>
      <w:proofErr w:type="spellStart"/>
      <w:r w:rsidR="00150884">
        <w:rPr>
          <w:rFonts w:ascii="Garamond" w:hAnsi="Garamond"/>
          <w:iCs/>
          <w:sz w:val="20"/>
          <w:szCs w:val="20"/>
        </w:rPr>
        <w:t>iia</w:t>
      </w:r>
      <w:proofErr w:type="spellEnd"/>
      <w:r w:rsidR="00150884">
        <w:rPr>
          <w:rFonts w:ascii="Garamond" w:hAnsi="Garamond"/>
          <w:iCs/>
          <w:sz w:val="20"/>
          <w:szCs w:val="20"/>
        </w:rPr>
        <w:t>),</w:t>
      </w:r>
      <w:r w:rsidR="00B56380">
        <w:rPr>
          <w:rFonts w:ascii="Garamond" w:hAnsi="Garamond"/>
          <w:sz w:val="20"/>
          <w:szCs w:val="20"/>
        </w:rPr>
        <w:t xml:space="preserve"> supports the view that there isn’t any explanatory question that only a </w:t>
      </w:r>
      <w:r w:rsidR="00B56380">
        <w:rPr>
          <w:rFonts w:ascii="Garamond" w:hAnsi="Garamond"/>
          <w:i/>
          <w:iCs/>
          <w:sz w:val="20"/>
          <w:szCs w:val="20"/>
        </w:rPr>
        <w:t xml:space="preserve">de se </w:t>
      </w:r>
      <w:r w:rsidR="00B56380">
        <w:rPr>
          <w:rFonts w:ascii="Garamond" w:hAnsi="Garamond"/>
          <w:sz w:val="20"/>
          <w:szCs w:val="20"/>
        </w:rPr>
        <w:t>intention can answer. It thus p</w:t>
      </w:r>
      <w:r w:rsidR="00AF2033">
        <w:rPr>
          <w:rFonts w:ascii="Garamond" w:hAnsi="Garamond"/>
          <w:sz w:val="20"/>
          <w:szCs w:val="20"/>
        </w:rPr>
        <w:t>rovides a new argument that the recipe works, although, as note</w:t>
      </w:r>
      <w:r w:rsidR="0091631E">
        <w:rPr>
          <w:rFonts w:ascii="Garamond" w:hAnsi="Garamond"/>
          <w:sz w:val="20"/>
          <w:szCs w:val="20"/>
        </w:rPr>
        <w:t>d</w:t>
      </w:r>
      <w:r w:rsidR="00AF2033">
        <w:rPr>
          <w:rFonts w:ascii="Garamond" w:hAnsi="Garamond"/>
          <w:sz w:val="20"/>
          <w:szCs w:val="20"/>
        </w:rPr>
        <w:t xml:space="preserve"> already, </w:t>
      </w:r>
      <w:r w:rsidR="0091631E">
        <w:rPr>
          <w:rFonts w:ascii="Garamond" w:hAnsi="Garamond"/>
          <w:sz w:val="20"/>
          <w:szCs w:val="20"/>
        </w:rPr>
        <w:t>defending the recipe</w:t>
      </w:r>
      <w:r w:rsidR="00AF2033">
        <w:rPr>
          <w:rFonts w:ascii="Garamond" w:hAnsi="Garamond"/>
          <w:sz w:val="20"/>
          <w:szCs w:val="20"/>
        </w:rPr>
        <w:t xml:space="preserve"> isn’t a central aim of the paper.  </w:t>
      </w:r>
    </w:p>
  </w:footnote>
  <w:footnote w:id="14">
    <w:p w14:paraId="4E30D6F7" w14:textId="77777777" w:rsidR="00F24D94" w:rsidRDefault="00F24D94" w:rsidP="00F24D94">
      <w:pPr>
        <w:pStyle w:val="FootnoteText"/>
      </w:pPr>
      <w:r>
        <w:rPr>
          <w:rStyle w:val="FootnoteReference"/>
        </w:rPr>
        <w:footnoteRef/>
      </w:r>
      <w:r>
        <w:t xml:space="preserve"> </w:t>
      </w:r>
      <w:r w:rsidRPr="002C78EE">
        <w:rPr>
          <w:rFonts w:ascii="Garamond" w:hAnsi="Garamond"/>
        </w:rPr>
        <w:t>See Anscombe 1957.</w:t>
      </w:r>
      <w:r>
        <w:t xml:space="preserve"> </w:t>
      </w:r>
    </w:p>
  </w:footnote>
  <w:footnote w:id="15">
    <w:p w14:paraId="158B0C15" w14:textId="77777777" w:rsidR="00015F68" w:rsidRDefault="00015F68" w:rsidP="00015F68">
      <w:pPr>
        <w:pStyle w:val="FootnoteText"/>
      </w:pPr>
      <w:r>
        <w:rPr>
          <w:rStyle w:val="FootnoteReference"/>
        </w:rPr>
        <w:footnoteRef/>
      </w:r>
      <w:r>
        <w:t xml:space="preserve"> Thanks to an anonymous referee for raising this challenge. </w:t>
      </w:r>
    </w:p>
  </w:footnote>
  <w:footnote w:id="16">
    <w:p w14:paraId="445C4C00" w14:textId="5752CAA8" w:rsidR="00C70290" w:rsidRPr="00EB4774" w:rsidRDefault="00C70290">
      <w:pPr>
        <w:pStyle w:val="FootnoteText"/>
        <w:rPr>
          <w:rFonts w:ascii="Garamond" w:hAnsi="Garamond"/>
        </w:rPr>
      </w:pPr>
      <w:r w:rsidRPr="00015F68">
        <w:rPr>
          <w:rStyle w:val="FootnoteReference"/>
        </w:rPr>
        <w:footnoteRef/>
      </w:r>
      <w:r w:rsidRPr="00015F68">
        <w:t xml:space="preserve"> </w:t>
      </w:r>
      <w:r w:rsidRPr="00015F68">
        <w:rPr>
          <w:rFonts w:ascii="Garamond" w:hAnsi="Garamond"/>
        </w:rPr>
        <w:t xml:space="preserve">This, of course, might be regarded as an interesting </w:t>
      </w:r>
      <w:proofErr w:type="gramStart"/>
      <w:r w:rsidRPr="00015F68">
        <w:rPr>
          <w:rFonts w:ascii="Garamond" w:hAnsi="Garamond"/>
        </w:rPr>
        <w:t>claim in its own right</w:t>
      </w:r>
      <w:proofErr w:type="gramEnd"/>
      <w:r w:rsidRPr="00015F68">
        <w:rPr>
          <w:rFonts w:ascii="Garamond" w:hAnsi="Garamond"/>
        </w:rPr>
        <w:t>. There may</w:t>
      </w:r>
      <w:r w:rsidR="00EB4774" w:rsidRPr="00015F68">
        <w:rPr>
          <w:rFonts w:ascii="Garamond" w:hAnsi="Garamond"/>
        </w:rPr>
        <w:t xml:space="preserve"> indeed</w:t>
      </w:r>
      <w:r w:rsidRPr="00015F68">
        <w:rPr>
          <w:rFonts w:ascii="Garamond" w:hAnsi="Garamond"/>
        </w:rPr>
        <w:t xml:space="preserve"> be </w:t>
      </w:r>
      <w:r w:rsidR="00EB4774" w:rsidRPr="00015F68">
        <w:rPr>
          <w:rFonts w:ascii="Garamond" w:hAnsi="Garamond"/>
        </w:rPr>
        <w:t>several</w:t>
      </w:r>
      <w:r w:rsidRPr="00015F68">
        <w:rPr>
          <w:rFonts w:ascii="Garamond" w:hAnsi="Garamond"/>
        </w:rPr>
        <w:t xml:space="preserve"> claims about the </w:t>
      </w:r>
      <w:r w:rsidRPr="00015F68">
        <w:rPr>
          <w:rFonts w:ascii="Garamond" w:hAnsi="Garamond"/>
          <w:i/>
          <w:iCs/>
        </w:rPr>
        <w:t xml:space="preserve">de </w:t>
      </w:r>
      <w:proofErr w:type="spellStart"/>
      <w:r w:rsidRPr="00015F68">
        <w:rPr>
          <w:rFonts w:ascii="Garamond" w:hAnsi="Garamond"/>
          <w:i/>
          <w:iCs/>
        </w:rPr>
        <w:t>se</w:t>
      </w:r>
      <w:proofErr w:type="spellEnd"/>
      <w:r w:rsidRPr="00015F68">
        <w:rPr>
          <w:rFonts w:ascii="Garamond" w:hAnsi="Garamond"/>
          <w:i/>
          <w:iCs/>
        </w:rPr>
        <w:t xml:space="preserve"> </w:t>
      </w:r>
      <w:r w:rsidRPr="00015F68">
        <w:rPr>
          <w:rFonts w:ascii="Garamond" w:hAnsi="Garamond"/>
        </w:rPr>
        <w:t xml:space="preserve">that are </w:t>
      </w:r>
      <w:r w:rsidR="00516910" w:rsidRPr="00015F68">
        <w:rPr>
          <w:rFonts w:ascii="Garamond" w:hAnsi="Garamond"/>
        </w:rPr>
        <w:t>more restricted</w:t>
      </w:r>
      <w:r w:rsidRPr="00015F68">
        <w:rPr>
          <w:rFonts w:ascii="Garamond" w:hAnsi="Garamond"/>
        </w:rPr>
        <w:t xml:space="preserve"> than </w:t>
      </w:r>
      <w:proofErr w:type="spellStart"/>
      <w:r w:rsidRPr="00015F68">
        <w:rPr>
          <w:rFonts w:ascii="Garamond" w:hAnsi="Garamond"/>
          <w:i/>
          <w:iCs/>
        </w:rPr>
        <w:t>Every</w:t>
      </w:r>
      <w:r w:rsidRPr="00015F68">
        <w:rPr>
          <w:rFonts w:ascii="Garamond" w:hAnsi="Garamond"/>
          <w:i/>
          <w:iCs/>
          <w:vertAlign w:val="subscript"/>
        </w:rPr>
        <w:t>de</w:t>
      </w:r>
      <w:proofErr w:type="spellEnd"/>
      <w:r w:rsidRPr="00015F68">
        <w:rPr>
          <w:rFonts w:ascii="Garamond" w:hAnsi="Garamond"/>
          <w:i/>
          <w:iCs/>
          <w:vertAlign w:val="subscript"/>
        </w:rPr>
        <w:t xml:space="preserve"> se </w:t>
      </w:r>
      <w:r w:rsidR="00516910" w:rsidRPr="00015F68">
        <w:rPr>
          <w:rFonts w:ascii="Garamond" w:hAnsi="Garamond"/>
        </w:rPr>
        <w:t xml:space="preserve">and still interesting. </w:t>
      </w:r>
      <w:r w:rsidR="001F2887" w:rsidRPr="00015F68">
        <w:rPr>
          <w:rFonts w:ascii="Garamond" w:hAnsi="Garamond"/>
        </w:rPr>
        <w:t>E.g., a</w:t>
      </w:r>
      <w:r w:rsidR="00516910" w:rsidRPr="00015F68">
        <w:rPr>
          <w:rFonts w:ascii="Garamond" w:hAnsi="Garamond"/>
        </w:rPr>
        <w:t xml:space="preserve"> different claim, that results from a restriction to a different subtype of action than</w:t>
      </w:r>
      <w:r w:rsidR="00EB4774" w:rsidRPr="00015F68">
        <w:rPr>
          <w:rFonts w:ascii="Garamond" w:hAnsi="Garamond"/>
        </w:rPr>
        <w:t xml:space="preserve"> the one mentioned in the text</w:t>
      </w:r>
      <w:r w:rsidR="001F2887" w:rsidRPr="00015F68">
        <w:rPr>
          <w:rFonts w:ascii="Garamond" w:hAnsi="Garamond"/>
        </w:rPr>
        <w:t>,</w:t>
      </w:r>
      <w:r w:rsidR="00EB4774" w:rsidRPr="00015F68">
        <w:rPr>
          <w:rFonts w:ascii="Garamond" w:hAnsi="Garamond"/>
        </w:rPr>
        <w:t xml:space="preserve"> </w:t>
      </w:r>
      <w:r w:rsidR="00516910" w:rsidRPr="00015F68">
        <w:rPr>
          <w:rFonts w:ascii="Garamond" w:hAnsi="Garamond"/>
        </w:rPr>
        <w:t xml:space="preserve">is </w:t>
      </w:r>
      <w:proofErr w:type="spellStart"/>
      <w:r w:rsidR="00516910" w:rsidRPr="00015F68">
        <w:rPr>
          <w:rFonts w:ascii="Garamond" w:hAnsi="Garamond"/>
        </w:rPr>
        <w:t>Stokke’s</w:t>
      </w:r>
      <w:proofErr w:type="spellEnd"/>
      <w:r w:rsidR="00516910" w:rsidRPr="00015F68">
        <w:rPr>
          <w:rFonts w:ascii="Garamond" w:hAnsi="Garamond"/>
        </w:rPr>
        <w:t xml:space="preserve"> (2022) claim that </w:t>
      </w:r>
      <w:r w:rsidR="00516910" w:rsidRPr="00015F68">
        <w:rPr>
          <w:rFonts w:ascii="Garamond" w:hAnsi="Garamond"/>
          <w:i/>
          <w:iCs/>
        </w:rPr>
        <w:t>navigation</w:t>
      </w:r>
      <w:r w:rsidR="00516910" w:rsidRPr="00015F68">
        <w:rPr>
          <w:rFonts w:ascii="Garamond" w:hAnsi="Garamond"/>
        </w:rPr>
        <w:t xml:space="preserve"> always involves the </w:t>
      </w:r>
      <w:r w:rsidR="00516910" w:rsidRPr="00015F68">
        <w:rPr>
          <w:rFonts w:ascii="Garamond" w:hAnsi="Garamond"/>
          <w:i/>
          <w:iCs/>
        </w:rPr>
        <w:t>de se</w:t>
      </w:r>
      <w:r w:rsidR="00516910" w:rsidRPr="00015F68">
        <w:rPr>
          <w:rFonts w:ascii="Garamond" w:hAnsi="Garamond"/>
        </w:rPr>
        <w:t>. One might also propose a claim that is restricted in the type of</w:t>
      </w:r>
      <w:r w:rsidR="00516910" w:rsidRPr="00015F68">
        <w:rPr>
          <w:rFonts w:ascii="Garamond" w:hAnsi="Garamond"/>
          <w:i/>
          <w:iCs/>
        </w:rPr>
        <w:t xml:space="preserve"> agent</w:t>
      </w:r>
      <w:r w:rsidR="00516910" w:rsidRPr="00015F68">
        <w:rPr>
          <w:rFonts w:ascii="Garamond" w:hAnsi="Garamond"/>
        </w:rPr>
        <w:t xml:space="preserve"> it applies to. </w:t>
      </w:r>
      <w:proofErr w:type="gramStart"/>
      <w:r w:rsidR="00516910" w:rsidRPr="00015F68">
        <w:rPr>
          <w:rFonts w:ascii="Garamond" w:hAnsi="Garamond"/>
        </w:rPr>
        <w:t>E.g.</w:t>
      </w:r>
      <w:proofErr w:type="gramEnd"/>
      <w:r w:rsidR="00516910" w:rsidRPr="00015F68">
        <w:rPr>
          <w:rFonts w:ascii="Garamond" w:hAnsi="Garamond"/>
        </w:rPr>
        <w:t xml:space="preserve"> García-</w:t>
      </w:r>
      <w:proofErr w:type="spellStart"/>
      <w:r w:rsidR="00516910" w:rsidRPr="00015F68">
        <w:rPr>
          <w:rFonts w:ascii="Garamond" w:hAnsi="Garamond"/>
        </w:rPr>
        <w:t>Carpintero</w:t>
      </w:r>
      <w:proofErr w:type="spellEnd"/>
      <w:r w:rsidR="00516910" w:rsidRPr="00015F68">
        <w:rPr>
          <w:rFonts w:ascii="Garamond" w:hAnsi="Garamond"/>
        </w:rPr>
        <w:t xml:space="preserve"> (2017) argues that, in beings that are </w:t>
      </w:r>
      <w:r w:rsidR="00516910" w:rsidRPr="00015F68">
        <w:rPr>
          <w:rFonts w:ascii="Garamond" w:hAnsi="Garamond"/>
          <w:i/>
          <w:iCs/>
        </w:rPr>
        <w:t>like us</w:t>
      </w:r>
      <w:r w:rsidR="00516910" w:rsidRPr="00015F68">
        <w:rPr>
          <w:rFonts w:ascii="Garamond" w:hAnsi="Garamond"/>
        </w:rPr>
        <w:t>, action</w:t>
      </w:r>
      <w:r w:rsidR="001F2887" w:rsidRPr="00015F68">
        <w:rPr>
          <w:rFonts w:ascii="Garamond" w:hAnsi="Garamond"/>
        </w:rPr>
        <w:t xml:space="preserve"> always</w:t>
      </w:r>
      <w:r w:rsidR="00516910" w:rsidRPr="00015F68">
        <w:rPr>
          <w:rFonts w:ascii="Garamond" w:hAnsi="Garamond"/>
        </w:rPr>
        <w:t xml:space="preserve"> involves the </w:t>
      </w:r>
      <w:r w:rsidR="00516910" w:rsidRPr="00015F68">
        <w:rPr>
          <w:rFonts w:ascii="Garamond" w:hAnsi="Garamond"/>
          <w:i/>
          <w:iCs/>
        </w:rPr>
        <w:t>de se</w:t>
      </w:r>
      <w:r w:rsidR="00516910" w:rsidRPr="00015F68">
        <w:rPr>
          <w:rFonts w:ascii="Garamond" w:hAnsi="Garamond"/>
        </w:rPr>
        <w:t xml:space="preserve">. </w:t>
      </w:r>
      <w:r w:rsidR="00EB4774" w:rsidRPr="00015F68">
        <w:rPr>
          <w:rFonts w:ascii="Garamond" w:hAnsi="Garamond"/>
        </w:rPr>
        <w:t xml:space="preserve">Engaging with </w:t>
      </w:r>
      <w:r w:rsidR="001F2887" w:rsidRPr="00015F68">
        <w:rPr>
          <w:rFonts w:ascii="Garamond" w:hAnsi="Garamond"/>
        </w:rPr>
        <w:t xml:space="preserve">any of </w:t>
      </w:r>
      <w:r w:rsidR="00EB4774" w:rsidRPr="00015F68">
        <w:rPr>
          <w:rFonts w:ascii="Garamond" w:hAnsi="Garamond"/>
        </w:rPr>
        <w:t>these interesting claims would take me too far from the current topic</w:t>
      </w:r>
      <w:r w:rsidR="001F2887" w:rsidRPr="00015F68">
        <w:rPr>
          <w:rFonts w:ascii="Garamond" w:hAnsi="Garamond"/>
        </w:rPr>
        <w:t>. For my purposes it’s enough that, even if one or several of them are true,</w:t>
      </w:r>
      <w:r w:rsidR="00EB4774" w:rsidRPr="00015F68">
        <w:rPr>
          <w:rFonts w:ascii="Garamond" w:hAnsi="Garamond"/>
        </w:rPr>
        <w:t xml:space="preserve"> </w:t>
      </w:r>
      <w:proofErr w:type="spellStart"/>
      <w:r w:rsidR="001F2887" w:rsidRPr="00015F68">
        <w:rPr>
          <w:rFonts w:ascii="Garamond" w:hAnsi="Garamond"/>
          <w:i/>
          <w:iCs/>
        </w:rPr>
        <w:t>Every</w:t>
      </w:r>
      <w:r w:rsidR="001F2887" w:rsidRPr="00015F68">
        <w:rPr>
          <w:rFonts w:ascii="Garamond" w:hAnsi="Garamond"/>
          <w:i/>
          <w:iCs/>
          <w:vertAlign w:val="subscript"/>
        </w:rPr>
        <w:t>de</w:t>
      </w:r>
      <w:proofErr w:type="spellEnd"/>
      <w:r w:rsidR="001F2887" w:rsidRPr="00015F68">
        <w:rPr>
          <w:rFonts w:ascii="Garamond" w:hAnsi="Garamond"/>
          <w:i/>
          <w:iCs/>
          <w:vertAlign w:val="subscript"/>
        </w:rPr>
        <w:t xml:space="preserve"> se</w:t>
      </w:r>
      <w:r w:rsidR="001F2887" w:rsidRPr="00015F68">
        <w:rPr>
          <w:rFonts w:ascii="Garamond" w:hAnsi="Garamond"/>
        </w:rPr>
        <w:t xml:space="preserve"> itself is not true. By contrast, I will argue, </w:t>
      </w:r>
      <w:proofErr w:type="spellStart"/>
      <w:r w:rsidR="00EB4774" w:rsidRPr="00015F68">
        <w:rPr>
          <w:rFonts w:ascii="Garamond" w:hAnsi="Garamond"/>
          <w:i/>
          <w:iCs/>
        </w:rPr>
        <w:t>Every</w:t>
      </w:r>
      <w:r w:rsidR="00EB4774" w:rsidRPr="00015F68">
        <w:rPr>
          <w:rFonts w:ascii="Garamond" w:hAnsi="Garamond"/>
          <w:i/>
          <w:iCs/>
          <w:vertAlign w:val="subscript"/>
        </w:rPr>
        <w:t>de</w:t>
      </w:r>
      <w:proofErr w:type="spellEnd"/>
      <w:r w:rsidR="00EB4774" w:rsidRPr="00015F68">
        <w:rPr>
          <w:rFonts w:ascii="Garamond" w:hAnsi="Garamond"/>
          <w:i/>
          <w:iCs/>
          <w:vertAlign w:val="subscript"/>
        </w:rPr>
        <w:t xml:space="preserve"> </w:t>
      </w:r>
      <w:proofErr w:type="spellStart"/>
      <w:r w:rsidR="00EB4774" w:rsidRPr="00015F68">
        <w:rPr>
          <w:rFonts w:ascii="Garamond" w:hAnsi="Garamond"/>
          <w:i/>
          <w:iCs/>
          <w:vertAlign w:val="subscript"/>
        </w:rPr>
        <w:t>nunc</w:t>
      </w:r>
      <w:proofErr w:type="spellEnd"/>
      <w:r w:rsidR="00EB4774" w:rsidRPr="00015F68">
        <w:rPr>
          <w:rFonts w:ascii="Garamond" w:hAnsi="Garamond"/>
          <w:i/>
          <w:iCs/>
          <w:vertAlign w:val="subscript"/>
        </w:rPr>
        <w:t xml:space="preserve"> </w:t>
      </w:r>
      <w:r w:rsidR="00EB4774" w:rsidRPr="00015F68">
        <w:rPr>
          <w:rFonts w:ascii="Garamond" w:hAnsi="Garamond"/>
        </w:rPr>
        <w:t xml:space="preserve">is unrestrictedly true. That is an important </w:t>
      </w:r>
      <w:r w:rsidR="00EB4774" w:rsidRPr="00015F68">
        <w:rPr>
          <w:rFonts w:ascii="Garamond" w:hAnsi="Garamond"/>
          <w:i/>
          <w:iCs/>
        </w:rPr>
        <w:t xml:space="preserve">de se de </w:t>
      </w:r>
      <w:proofErr w:type="spellStart"/>
      <w:r w:rsidR="00EB4774" w:rsidRPr="00015F68">
        <w:rPr>
          <w:rFonts w:ascii="Garamond" w:hAnsi="Garamond"/>
          <w:i/>
          <w:iCs/>
        </w:rPr>
        <w:t>nunc</w:t>
      </w:r>
      <w:proofErr w:type="spellEnd"/>
      <w:r w:rsidR="00EB4774" w:rsidRPr="00015F68">
        <w:rPr>
          <w:rFonts w:ascii="Garamond" w:hAnsi="Garamond"/>
          <w:i/>
          <w:iCs/>
        </w:rPr>
        <w:t xml:space="preserve"> </w:t>
      </w:r>
      <w:r w:rsidR="00EB4774" w:rsidRPr="00015F68">
        <w:rPr>
          <w:rFonts w:ascii="Garamond" w:hAnsi="Garamond"/>
        </w:rPr>
        <w:t>contrast, and I think it has a metaphysical explanation.</w:t>
      </w:r>
      <w:r w:rsidR="00EB4774">
        <w:rPr>
          <w:rFonts w:ascii="Garamond" w:hAnsi="Garamon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1572673"/>
      <w:docPartObj>
        <w:docPartGallery w:val="Page Numbers (Top of Page)"/>
        <w:docPartUnique/>
      </w:docPartObj>
    </w:sdtPr>
    <w:sdtContent>
      <w:p w14:paraId="2054E280" w14:textId="77777777" w:rsidR="004135DD" w:rsidRDefault="00C4411F" w:rsidP="00342B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821599" w14:textId="77777777" w:rsidR="004135DD" w:rsidRDefault="00000000" w:rsidP="00342B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cs="Times New Roman (Body CS)"/>
      </w:rPr>
      <w:id w:val="799503635"/>
      <w:docPartObj>
        <w:docPartGallery w:val="Page Numbers (Top of Page)"/>
        <w:docPartUnique/>
      </w:docPartObj>
    </w:sdtPr>
    <w:sdtContent>
      <w:p w14:paraId="31826CC5" w14:textId="77777777" w:rsidR="004135DD" w:rsidRPr="000233EB" w:rsidRDefault="00C4411F" w:rsidP="00342BC9">
        <w:pPr>
          <w:pStyle w:val="Header"/>
          <w:framePr w:wrap="none" w:vAnchor="text" w:hAnchor="margin" w:xAlign="right" w:y="1"/>
          <w:rPr>
            <w:rStyle w:val="PageNumber"/>
            <w:rFonts w:ascii="Garamond" w:hAnsi="Garamond" w:cs="Times New Roman (Body CS)"/>
          </w:rPr>
        </w:pPr>
        <w:r w:rsidRPr="000233EB">
          <w:rPr>
            <w:rStyle w:val="PageNumber"/>
            <w:rFonts w:ascii="Garamond" w:hAnsi="Garamond" w:cs="Times New Roman (Body CS)"/>
          </w:rPr>
          <w:fldChar w:fldCharType="begin"/>
        </w:r>
        <w:r w:rsidRPr="000233EB">
          <w:rPr>
            <w:rStyle w:val="PageNumber"/>
            <w:rFonts w:ascii="Garamond" w:hAnsi="Garamond" w:cs="Times New Roman (Body CS)"/>
          </w:rPr>
          <w:instrText xml:space="preserve"> PAGE </w:instrText>
        </w:r>
        <w:r w:rsidRPr="000233EB">
          <w:rPr>
            <w:rStyle w:val="PageNumber"/>
            <w:rFonts w:ascii="Garamond" w:hAnsi="Garamond" w:cs="Times New Roman (Body CS)"/>
          </w:rPr>
          <w:fldChar w:fldCharType="separate"/>
        </w:r>
        <w:r w:rsidRPr="000233EB">
          <w:rPr>
            <w:rStyle w:val="PageNumber"/>
            <w:rFonts w:ascii="Garamond" w:hAnsi="Garamond" w:cs="Times New Roman (Body CS)"/>
            <w:noProof/>
          </w:rPr>
          <w:t>1</w:t>
        </w:r>
        <w:r w:rsidRPr="000233EB">
          <w:rPr>
            <w:rStyle w:val="PageNumber"/>
            <w:rFonts w:ascii="Garamond" w:hAnsi="Garamond" w:cs="Times New Roman (Body CS)"/>
          </w:rPr>
          <w:fldChar w:fldCharType="end"/>
        </w:r>
      </w:p>
    </w:sdtContent>
  </w:sdt>
  <w:p w14:paraId="49D6AFDD" w14:textId="7DF0A246" w:rsidR="00001385" w:rsidRPr="00AA13F0" w:rsidRDefault="00001385" w:rsidP="00342BC9">
    <w:pPr>
      <w:ind w:right="360"/>
      <w:rPr>
        <w:rFonts w:ascii="Garamond" w:hAnsi="Garamond"/>
      </w:rPr>
    </w:pPr>
    <w:r w:rsidRPr="00AA13F0">
      <w:rPr>
        <w:rFonts w:ascii="Garamond" w:hAnsi="Garamond"/>
      </w:rPr>
      <w:t xml:space="preserve">ISLANDS OF </w:t>
    </w:r>
    <w:r>
      <w:rPr>
        <w:rFonts w:ascii="Garamond" w:hAnsi="Garamond"/>
      </w:rPr>
      <w:t>P</w:t>
    </w:r>
    <w:r w:rsidRPr="00AA13F0">
      <w:rPr>
        <w:rFonts w:ascii="Garamond" w:hAnsi="Garamond"/>
      </w:rPr>
      <w:t xml:space="preserve">ERSPECTIVAL </w:t>
    </w:r>
    <w:r>
      <w:rPr>
        <w:rFonts w:ascii="Garamond" w:hAnsi="Garamond"/>
      </w:rPr>
      <w:t>T</w:t>
    </w:r>
    <w:r w:rsidRPr="00AA13F0">
      <w:rPr>
        <w:rFonts w:ascii="Garamond" w:hAnsi="Garamond"/>
      </w:rPr>
      <w:t>HOUGHT</w:t>
    </w:r>
    <w:r w:rsidRPr="00B05732">
      <w:rPr>
        <w:rFonts w:ascii="Garamond" w:hAnsi="Garamond"/>
      </w:rPr>
      <w:t xml:space="preserve">: A </w:t>
    </w:r>
    <w:r>
      <w:rPr>
        <w:rFonts w:ascii="Garamond" w:hAnsi="Garamond"/>
      </w:rPr>
      <w:t>C</w:t>
    </w:r>
    <w:r w:rsidRPr="00B05732">
      <w:rPr>
        <w:rFonts w:ascii="Garamond" w:hAnsi="Garamond"/>
      </w:rPr>
      <w:t xml:space="preserve">ASE </w:t>
    </w:r>
    <w:r>
      <w:rPr>
        <w:rFonts w:ascii="Garamond" w:hAnsi="Garamond"/>
      </w:rPr>
      <w:t>S</w:t>
    </w:r>
    <w:r w:rsidRPr="00B05732">
      <w:rPr>
        <w:rFonts w:ascii="Garamond" w:hAnsi="Garamond"/>
      </w:rPr>
      <w:t>TUDY</w:t>
    </w:r>
  </w:p>
  <w:p w14:paraId="73939CD4" w14:textId="77777777" w:rsidR="004135DD" w:rsidRPr="000233EB" w:rsidRDefault="00000000" w:rsidP="00001385">
    <w:pPr>
      <w:pStyle w:val="Header"/>
      <w:jc w:val="both"/>
      <w:rPr>
        <w:rFonts w:ascii="Garamond" w:hAnsi="Garamond" w:cs="Times New Roman (Body 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B2A"/>
    <w:multiLevelType w:val="multilevel"/>
    <w:tmpl w:val="0BCC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7013D"/>
    <w:multiLevelType w:val="multilevel"/>
    <w:tmpl w:val="4B0C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421C0"/>
    <w:multiLevelType w:val="hybridMultilevel"/>
    <w:tmpl w:val="77DA6B68"/>
    <w:lvl w:ilvl="0" w:tplc="9F7610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F3DBA"/>
    <w:multiLevelType w:val="hybridMultilevel"/>
    <w:tmpl w:val="8EBE7CD4"/>
    <w:lvl w:ilvl="0" w:tplc="A844BA46">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993994">
    <w:abstractNumId w:val="3"/>
  </w:num>
  <w:num w:numId="2" w16cid:durableId="1791514117">
    <w:abstractNumId w:val="2"/>
  </w:num>
  <w:num w:numId="3" w16cid:durableId="561185509">
    <w:abstractNumId w:val="1"/>
  </w:num>
  <w:num w:numId="4" w16cid:durableId="96600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94"/>
    <w:rsid w:val="00001385"/>
    <w:rsid w:val="00015F68"/>
    <w:rsid w:val="00021C35"/>
    <w:rsid w:val="00022524"/>
    <w:rsid w:val="000233EB"/>
    <w:rsid w:val="000279D2"/>
    <w:rsid w:val="00034949"/>
    <w:rsid w:val="000353FE"/>
    <w:rsid w:val="000512BE"/>
    <w:rsid w:val="00053EDD"/>
    <w:rsid w:val="00060336"/>
    <w:rsid w:val="00070798"/>
    <w:rsid w:val="000714E9"/>
    <w:rsid w:val="00073155"/>
    <w:rsid w:val="0007600D"/>
    <w:rsid w:val="00090C4C"/>
    <w:rsid w:val="000A1C64"/>
    <w:rsid w:val="000C74DD"/>
    <w:rsid w:val="0010110D"/>
    <w:rsid w:val="001033DF"/>
    <w:rsid w:val="00105050"/>
    <w:rsid w:val="00117391"/>
    <w:rsid w:val="00122CA1"/>
    <w:rsid w:val="00123AC4"/>
    <w:rsid w:val="001336CE"/>
    <w:rsid w:val="00146C87"/>
    <w:rsid w:val="00150884"/>
    <w:rsid w:val="00150FD1"/>
    <w:rsid w:val="00151382"/>
    <w:rsid w:val="00162D2B"/>
    <w:rsid w:val="00175235"/>
    <w:rsid w:val="00187040"/>
    <w:rsid w:val="001C543C"/>
    <w:rsid w:val="001F2887"/>
    <w:rsid w:val="001F6C13"/>
    <w:rsid w:val="00200148"/>
    <w:rsid w:val="002047AA"/>
    <w:rsid w:val="00205D8E"/>
    <w:rsid w:val="00212B55"/>
    <w:rsid w:val="00214635"/>
    <w:rsid w:val="00215508"/>
    <w:rsid w:val="00226193"/>
    <w:rsid w:val="00235CDE"/>
    <w:rsid w:val="002368BE"/>
    <w:rsid w:val="0025274F"/>
    <w:rsid w:val="0026637B"/>
    <w:rsid w:val="002676AD"/>
    <w:rsid w:val="00270AD3"/>
    <w:rsid w:val="002749A5"/>
    <w:rsid w:val="00287A6F"/>
    <w:rsid w:val="002B5B14"/>
    <w:rsid w:val="002D1181"/>
    <w:rsid w:val="002D32A1"/>
    <w:rsid w:val="00311A8C"/>
    <w:rsid w:val="003427E3"/>
    <w:rsid w:val="00342BC9"/>
    <w:rsid w:val="003629B2"/>
    <w:rsid w:val="00374F67"/>
    <w:rsid w:val="003926EE"/>
    <w:rsid w:val="003C19B7"/>
    <w:rsid w:val="003C31AD"/>
    <w:rsid w:val="003F2C63"/>
    <w:rsid w:val="004019DD"/>
    <w:rsid w:val="00427CA4"/>
    <w:rsid w:val="0044041B"/>
    <w:rsid w:val="00463859"/>
    <w:rsid w:val="00473806"/>
    <w:rsid w:val="00475372"/>
    <w:rsid w:val="0047622B"/>
    <w:rsid w:val="00476376"/>
    <w:rsid w:val="0048220C"/>
    <w:rsid w:val="004B5580"/>
    <w:rsid w:val="004B6546"/>
    <w:rsid w:val="004C112E"/>
    <w:rsid w:val="004C74B2"/>
    <w:rsid w:val="004C7536"/>
    <w:rsid w:val="004E7CD7"/>
    <w:rsid w:val="004F16B1"/>
    <w:rsid w:val="00516910"/>
    <w:rsid w:val="005267C2"/>
    <w:rsid w:val="00532849"/>
    <w:rsid w:val="005448DB"/>
    <w:rsid w:val="00552FC9"/>
    <w:rsid w:val="005633E8"/>
    <w:rsid w:val="00567942"/>
    <w:rsid w:val="00573A79"/>
    <w:rsid w:val="005843EC"/>
    <w:rsid w:val="005857AD"/>
    <w:rsid w:val="00595ECE"/>
    <w:rsid w:val="00596939"/>
    <w:rsid w:val="00597CF6"/>
    <w:rsid w:val="005A39CD"/>
    <w:rsid w:val="005A4FD7"/>
    <w:rsid w:val="005B0840"/>
    <w:rsid w:val="005C12E3"/>
    <w:rsid w:val="005C78DD"/>
    <w:rsid w:val="005D5F0D"/>
    <w:rsid w:val="005E23D1"/>
    <w:rsid w:val="005E2564"/>
    <w:rsid w:val="005F732E"/>
    <w:rsid w:val="00600DC5"/>
    <w:rsid w:val="006062A6"/>
    <w:rsid w:val="00610A5D"/>
    <w:rsid w:val="00656F19"/>
    <w:rsid w:val="00670876"/>
    <w:rsid w:val="006A76D8"/>
    <w:rsid w:val="006E79B4"/>
    <w:rsid w:val="007026D6"/>
    <w:rsid w:val="00702EF4"/>
    <w:rsid w:val="00707C00"/>
    <w:rsid w:val="00717034"/>
    <w:rsid w:val="007205D9"/>
    <w:rsid w:val="00723B23"/>
    <w:rsid w:val="00745FEA"/>
    <w:rsid w:val="00764807"/>
    <w:rsid w:val="00777697"/>
    <w:rsid w:val="00786E86"/>
    <w:rsid w:val="0079441A"/>
    <w:rsid w:val="007A42DD"/>
    <w:rsid w:val="007E1AD4"/>
    <w:rsid w:val="007F080F"/>
    <w:rsid w:val="007F7072"/>
    <w:rsid w:val="00801C6D"/>
    <w:rsid w:val="00837313"/>
    <w:rsid w:val="00854C05"/>
    <w:rsid w:val="00897246"/>
    <w:rsid w:val="008A1118"/>
    <w:rsid w:val="008B1B5C"/>
    <w:rsid w:val="008B215D"/>
    <w:rsid w:val="008E2EFA"/>
    <w:rsid w:val="008F0901"/>
    <w:rsid w:val="00902910"/>
    <w:rsid w:val="00904D6C"/>
    <w:rsid w:val="009102C5"/>
    <w:rsid w:val="0091631E"/>
    <w:rsid w:val="0095191E"/>
    <w:rsid w:val="00960E5A"/>
    <w:rsid w:val="0096153D"/>
    <w:rsid w:val="009A47C2"/>
    <w:rsid w:val="009B0DEA"/>
    <w:rsid w:val="009B4932"/>
    <w:rsid w:val="009B57B3"/>
    <w:rsid w:val="009C14B1"/>
    <w:rsid w:val="009C7D47"/>
    <w:rsid w:val="009D79DC"/>
    <w:rsid w:val="009F24DB"/>
    <w:rsid w:val="009F2E6D"/>
    <w:rsid w:val="009F6AE5"/>
    <w:rsid w:val="00A12D84"/>
    <w:rsid w:val="00A17362"/>
    <w:rsid w:val="00A445AB"/>
    <w:rsid w:val="00A44794"/>
    <w:rsid w:val="00A809DA"/>
    <w:rsid w:val="00A82635"/>
    <w:rsid w:val="00A85FCE"/>
    <w:rsid w:val="00A86622"/>
    <w:rsid w:val="00A91319"/>
    <w:rsid w:val="00A93B29"/>
    <w:rsid w:val="00AA13F0"/>
    <w:rsid w:val="00AB3713"/>
    <w:rsid w:val="00AD73F3"/>
    <w:rsid w:val="00AD7A03"/>
    <w:rsid w:val="00AE4B5D"/>
    <w:rsid w:val="00AF2033"/>
    <w:rsid w:val="00B05732"/>
    <w:rsid w:val="00B06407"/>
    <w:rsid w:val="00B078D4"/>
    <w:rsid w:val="00B127E8"/>
    <w:rsid w:val="00B14323"/>
    <w:rsid w:val="00B24DB3"/>
    <w:rsid w:val="00B32250"/>
    <w:rsid w:val="00B52903"/>
    <w:rsid w:val="00B56380"/>
    <w:rsid w:val="00B61AD9"/>
    <w:rsid w:val="00B80D61"/>
    <w:rsid w:val="00B945B0"/>
    <w:rsid w:val="00B951B9"/>
    <w:rsid w:val="00B95EFE"/>
    <w:rsid w:val="00BA0665"/>
    <w:rsid w:val="00BB0553"/>
    <w:rsid w:val="00BB05E9"/>
    <w:rsid w:val="00BB7F82"/>
    <w:rsid w:val="00BE6B6C"/>
    <w:rsid w:val="00BF524A"/>
    <w:rsid w:val="00BF6AC7"/>
    <w:rsid w:val="00C13D0B"/>
    <w:rsid w:val="00C4015C"/>
    <w:rsid w:val="00C419DC"/>
    <w:rsid w:val="00C4411F"/>
    <w:rsid w:val="00C70290"/>
    <w:rsid w:val="00C72AE4"/>
    <w:rsid w:val="00C77777"/>
    <w:rsid w:val="00C80E6A"/>
    <w:rsid w:val="00C96993"/>
    <w:rsid w:val="00CA1FA6"/>
    <w:rsid w:val="00CC2CC9"/>
    <w:rsid w:val="00CC545E"/>
    <w:rsid w:val="00CC7D58"/>
    <w:rsid w:val="00CD0A6A"/>
    <w:rsid w:val="00CD2F97"/>
    <w:rsid w:val="00D040B6"/>
    <w:rsid w:val="00D048FE"/>
    <w:rsid w:val="00D06360"/>
    <w:rsid w:val="00D23C1D"/>
    <w:rsid w:val="00D358CE"/>
    <w:rsid w:val="00D35D48"/>
    <w:rsid w:val="00D442E6"/>
    <w:rsid w:val="00D54EA8"/>
    <w:rsid w:val="00D91830"/>
    <w:rsid w:val="00D97C55"/>
    <w:rsid w:val="00DA4C25"/>
    <w:rsid w:val="00DC630A"/>
    <w:rsid w:val="00DD3029"/>
    <w:rsid w:val="00DF7086"/>
    <w:rsid w:val="00E05A2F"/>
    <w:rsid w:val="00E20C9A"/>
    <w:rsid w:val="00E250D8"/>
    <w:rsid w:val="00E52EFA"/>
    <w:rsid w:val="00E63B90"/>
    <w:rsid w:val="00E841C1"/>
    <w:rsid w:val="00E9000D"/>
    <w:rsid w:val="00E94F99"/>
    <w:rsid w:val="00EA1BF1"/>
    <w:rsid w:val="00EA43EF"/>
    <w:rsid w:val="00EA6026"/>
    <w:rsid w:val="00EB1F7A"/>
    <w:rsid w:val="00EB4774"/>
    <w:rsid w:val="00EE659C"/>
    <w:rsid w:val="00EF01DA"/>
    <w:rsid w:val="00EF05CF"/>
    <w:rsid w:val="00F12F26"/>
    <w:rsid w:val="00F13C02"/>
    <w:rsid w:val="00F24D94"/>
    <w:rsid w:val="00F26E47"/>
    <w:rsid w:val="00F302EE"/>
    <w:rsid w:val="00F34BAF"/>
    <w:rsid w:val="00F45761"/>
    <w:rsid w:val="00F5345B"/>
    <w:rsid w:val="00F75096"/>
    <w:rsid w:val="00F77021"/>
    <w:rsid w:val="00F77A05"/>
    <w:rsid w:val="00F81A9C"/>
    <w:rsid w:val="00F85D28"/>
    <w:rsid w:val="00F91914"/>
    <w:rsid w:val="00F95F9F"/>
    <w:rsid w:val="00FA1077"/>
    <w:rsid w:val="00FB36C8"/>
    <w:rsid w:val="00FB51F4"/>
    <w:rsid w:val="00FD16EB"/>
    <w:rsid w:val="00FE5C2C"/>
    <w:rsid w:val="00FF4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A163DB"/>
  <w15:chartTrackingRefBased/>
  <w15:docId w15:val="{7C1031A6-B2E6-D448-84E4-6C77CAA5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94"/>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F24D94"/>
    <w:pPr>
      <w:keepNext/>
      <w:keepLines/>
      <w:spacing w:before="40"/>
      <w:outlineLvl w:val="1"/>
    </w:pPr>
    <w:rPr>
      <w:rFonts w:ascii="Garamond" w:eastAsiaTheme="majorEastAsia" w:hAnsi="Garamon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D94"/>
    <w:rPr>
      <w:rFonts w:ascii="Garamond" w:eastAsiaTheme="majorEastAsia" w:hAnsi="Garamond" w:cstheme="majorBidi"/>
      <w:i/>
      <w:iCs/>
      <w:lang w:eastAsia="en-GB"/>
    </w:rPr>
  </w:style>
  <w:style w:type="paragraph" w:styleId="NormalWeb">
    <w:name w:val="Normal (Web)"/>
    <w:basedOn w:val="Normal"/>
    <w:uiPriority w:val="99"/>
    <w:unhideWhenUsed/>
    <w:rsid w:val="00F24D94"/>
    <w:pPr>
      <w:spacing w:before="100" w:beforeAutospacing="1" w:after="100" w:afterAutospacing="1"/>
    </w:pPr>
  </w:style>
  <w:style w:type="paragraph" w:styleId="FootnoteText">
    <w:name w:val="footnote text"/>
    <w:basedOn w:val="Normal"/>
    <w:link w:val="FootnoteTextChar"/>
    <w:uiPriority w:val="99"/>
    <w:unhideWhenUsed/>
    <w:rsid w:val="00F24D94"/>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F24D94"/>
    <w:rPr>
      <w:sz w:val="20"/>
      <w:szCs w:val="20"/>
    </w:rPr>
  </w:style>
  <w:style w:type="character" w:styleId="FootnoteReference">
    <w:name w:val="footnote reference"/>
    <w:basedOn w:val="DefaultParagraphFont"/>
    <w:uiPriority w:val="99"/>
    <w:unhideWhenUsed/>
    <w:rsid w:val="00F24D94"/>
    <w:rPr>
      <w:vertAlign w:val="superscript"/>
    </w:rPr>
  </w:style>
  <w:style w:type="paragraph" w:styleId="Header">
    <w:name w:val="header"/>
    <w:basedOn w:val="Normal"/>
    <w:link w:val="HeaderChar"/>
    <w:uiPriority w:val="99"/>
    <w:unhideWhenUsed/>
    <w:rsid w:val="00F24D94"/>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24D94"/>
  </w:style>
  <w:style w:type="character" w:styleId="PageNumber">
    <w:name w:val="page number"/>
    <w:basedOn w:val="DefaultParagraphFont"/>
    <w:uiPriority w:val="99"/>
    <w:semiHidden/>
    <w:unhideWhenUsed/>
    <w:rsid w:val="00F24D94"/>
  </w:style>
  <w:style w:type="paragraph" w:styleId="ListParagraph">
    <w:name w:val="List Paragraph"/>
    <w:basedOn w:val="Normal"/>
    <w:uiPriority w:val="34"/>
    <w:qFormat/>
    <w:rsid w:val="006062A6"/>
    <w:pPr>
      <w:ind w:left="720"/>
      <w:contextualSpacing/>
    </w:pPr>
  </w:style>
  <w:style w:type="paragraph" w:styleId="Footer">
    <w:name w:val="footer"/>
    <w:basedOn w:val="Normal"/>
    <w:link w:val="FooterChar"/>
    <w:uiPriority w:val="99"/>
    <w:unhideWhenUsed/>
    <w:rsid w:val="007F080F"/>
    <w:pPr>
      <w:tabs>
        <w:tab w:val="center" w:pos="4513"/>
        <w:tab w:val="right" w:pos="9026"/>
      </w:tabs>
    </w:pPr>
  </w:style>
  <w:style w:type="character" w:customStyle="1" w:styleId="FooterChar">
    <w:name w:val="Footer Char"/>
    <w:basedOn w:val="DefaultParagraphFont"/>
    <w:link w:val="Footer"/>
    <w:uiPriority w:val="99"/>
    <w:rsid w:val="007F080F"/>
    <w:rPr>
      <w:rFonts w:ascii="Times New Roman" w:eastAsia="Times New Roman" w:hAnsi="Times New Roman" w:cs="Times New Roman"/>
      <w:lang w:eastAsia="en-GB"/>
    </w:rPr>
  </w:style>
  <w:style w:type="character" w:styleId="Hyperlink">
    <w:name w:val="Hyperlink"/>
    <w:basedOn w:val="DefaultParagraphFont"/>
    <w:uiPriority w:val="99"/>
    <w:unhideWhenUsed/>
    <w:rsid w:val="00D048FE"/>
    <w:rPr>
      <w:color w:val="0563C1" w:themeColor="hyperlink"/>
      <w:u w:val="single"/>
    </w:rPr>
  </w:style>
  <w:style w:type="character" w:styleId="UnresolvedMention">
    <w:name w:val="Unresolved Mention"/>
    <w:basedOn w:val="DefaultParagraphFont"/>
    <w:uiPriority w:val="99"/>
    <w:semiHidden/>
    <w:unhideWhenUsed/>
    <w:rsid w:val="00D048FE"/>
    <w:rPr>
      <w:color w:val="605E5C"/>
      <w:shd w:val="clear" w:color="auto" w:fill="E1DFDD"/>
    </w:rPr>
  </w:style>
  <w:style w:type="character" w:styleId="FollowedHyperlink">
    <w:name w:val="FollowedHyperlink"/>
    <w:basedOn w:val="DefaultParagraphFont"/>
    <w:uiPriority w:val="99"/>
    <w:semiHidden/>
    <w:unhideWhenUsed/>
    <w:rsid w:val="00D048FE"/>
    <w:rPr>
      <w:color w:val="954F72" w:themeColor="followedHyperlink"/>
      <w:u w:val="single"/>
    </w:rPr>
  </w:style>
  <w:style w:type="character" w:customStyle="1" w:styleId="apple-converted-space">
    <w:name w:val="apple-converted-space"/>
    <w:basedOn w:val="DefaultParagraphFont"/>
    <w:rsid w:val="00215508"/>
  </w:style>
  <w:style w:type="character" w:styleId="Emphasis">
    <w:name w:val="Emphasis"/>
    <w:basedOn w:val="DefaultParagraphFont"/>
    <w:uiPriority w:val="20"/>
    <w:qFormat/>
    <w:rsid w:val="002155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5316">
      <w:bodyDiv w:val="1"/>
      <w:marLeft w:val="0"/>
      <w:marRight w:val="0"/>
      <w:marTop w:val="0"/>
      <w:marBottom w:val="0"/>
      <w:divBdr>
        <w:top w:val="none" w:sz="0" w:space="0" w:color="auto"/>
        <w:left w:val="none" w:sz="0" w:space="0" w:color="auto"/>
        <w:bottom w:val="none" w:sz="0" w:space="0" w:color="auto"/>
        <w:right w:val="none" w:sz="0" w:space="0" w:color="auto"/>
      </w:divBdr>
      <w:divsChild>
        <w:div w:id="2082944354">
          <w:marLeft w:val="0"/>
          <w:marRight w:val="0"/>
          <w:marTop w:val="75"/>
          <w:marBottom w:val="150"/>
          <w:divBdr>
            <w:top w:val="none" w:sz="0" w:space="0" w:color="auto"/>
            <w:left w:val="none" w:sz="0" w:space="0" w:color="auto"/>
            <w:bottom w:val="none" w:sz="0" w:space="0" w:color="auto"/>
            <w:right w:val="none" w:sz="0" w:space="0" w:color="auto"/>
          </w:divBdr>
        </w:div>
        <w:div w:id="231890721">
          <w:marLeft w:val="0"/>
          <w:marRight w:val="0"/>
          <w:marTop w:val="0"/>
          <w:marBottom w:val="0"/>
          <w:divBdr>
            <w:top w:val="none" w:sz="0" w:space="0" w:color="auto"/>
            <w:left w:val="none" w:sz="0" w:space="0" w:color="auto"/>
            <w:bottom w:val="none" w:sz="0" w:space="0" w:color="auto"/>
            <w:right w:val="none" w:sz="0" w:space="0" w:color="auto"/>
          </w:divBdr>
        </w:div>
      </w:divsChild>
    </w:div>
    <w:div w:id="1226332087">
      <w:bodyDiv w:val="1"/>
      <w:marLeft w:val="0"/>
      <w:marRight w:val="0"/>
      <w:marTop w:val="0"/>
      <w:marBottom w:val="0"/>
      <w:divBdr>
        <w:top w:val="none" w:sz="0" w:space="0" w:color="auto"/>
        <w:left w:val="none" w:sz="0" w:space="0" w:color="auto"/>
        <w:bottom w:val="none" w:sz="0" w:space="0" w:color="auto"/>
        <w:right w:val="none" w:sz="0" w:space="0" w:color="auto"/>
      </w:divBdr>
      <w:divsChild>
        <w:div w:id="12658312">
          <w:marLeft w:val="0"/>
          <w:marRight w:val="0"/>
          <w:marTop w:val="0"/>
          <w:marBottom w:val="0"/>
          <w:divBdr>
            <w:top w:val="none" w:sz="0" w:space="0" w:color="auto"/>
            <w:left w:val="none" w:sz="0" w:space="0" w:color="auto"/>
            <w:bottom w:val="none" w:sz="0" w:space="0" w:color="auto"/>
            <w:right w:val="none" w:sz="0" w:space="0" w:color="auto"/>
          </w:divBdr>
          <w:divsChild>
            <w:div w:id="766922651">
              <w:marLeft w:val="0"/>
              <w:marRight w:val="0"/>
              <w:marTop w:val="0"/>
              <w:marBottom w:val="0"/>
              <w:divBdr>
                <w:top w:val="none" w:sz="0" w:space="0" w:color="auto"/>
                <w:left w:val="none" w:sz="0" w:space="0" w:color="auto"/>
                <w:bottom w:val="none" w:sz="0" w:space="0" w:color="auto"/>
                <w:right w:val="none" w:sz="0" w:space="0" w:color="auto"/>
              </w:divBdr>
              <w:divsChild>
                <w:div w:id="529219623">
                  <w:marLeft w:val="0"/>
                  <w:marRight w:val="0"/>
                  <w:marTop w:val="0"/>
                  <w:marBottom w:val="0"/>
                  <w:divBdr>
                    <w:top w:val="none" w:sz="0" w:space="0" w:color="auto"/>
                    <w:left w:val="none" w:sz="0" w:space="0" w:color="auto"/>
                    <w:bottom w:val="none" w:sz="0" w:space="0" w:color="auto"/>
                    <w:right w:val="none" w:sz="0" w:space="0" w:color="auto"/>
                  </w:divBdr>
                  <w:divsChild>
                    <w:div w:id="8955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2336">
      <w:bodyDiv w:val="1"/>
      <w:marLeft w:val="0"/>
      <w:marRight w:val="0"/>
      <w:marTop w:val="0"/>
      <w:marBottom w:val="0"/>
      <w:divBdr>
        <w:top w:val="none" w:sz="0" w:space="0" w:color="auto"/>
        <w:left w:val="none" w:sz="0" w:space="0" w:color="auto"/>
        <w:bottom w:val="none" w:sz="0" w:space="0" w:color="auto"/>
        <w:right w:val="none" w:sz="0" w:space="0" w:color="auto"/>
      </w:divBdr>
      <w:divsChild>
        <w:div w:id="468934537">
          <w:marLeft w:val="0"/>
          <w:marRight w:val="0"/>
          <w:marTop w:val="0"/>
          <w:marBottom w:val="0"/>
          <w:divBdr>
            <w:top w:val="none" w:sz="0" w:space="0" w:color="auto"/>
            <w:left w:val="none" w:sz="0" w:space="0" w:color="auto"/>
            <w:bottom w:val="none" w:sz="0" w:space="0" w:color="auto"/>
            <w:right w:val="none" w:sz="0" w:space="0" w:color="auto"/>
          </w:divBdr>
          <w:divsChild>
            <w:div w:id="1297613178">
              <w:marLeft w:val="0"/>
              <w:marRight w:val="0"/>
              <w:marTop w:val="0"/>
              <w:marBottom w:val="0"/>
              <w:divBdr>
                <w:top w:val="none" w:sz="0" w:space="0" w:color="auto"/>
                <w:left w:val="none" w:sz="0" w:space="0" w:color="auto"/>
                <w:bottom w:val="none" w:sz="0" w:space="0" w:color="auto"/>
                <w:right w:val="none" w:sz="0" w:space="0" w:color="auto"/>
              </w:divBdr>
              <w:divsChild>
                <w:div w:id="68819802">
                  <w:marLeft w:val="0"/>
                  <w:marRight w:val="0"/>
                  <w:marTop w:val="0"/>
                  <w:marBottom w:val="0"/>
                  <w:divBdr>
                    <w:top w:val="none" w:sz="0" w:space="0" w:color="auto"/>
                    <w:left w:val="none" w:sz="0" w:space="0" w:color="auto"/>
                    <w:bottom w:val="none" w:sz="0" w:space="0" w:color="auto"/>
                    <w:right w:val="none" w:sz="0" w:space="0" w:color="auto"/>
                  </w:divBdr>
                </w:div>
                <w:div w:id="18024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7085">
          <w:marLeft w:val="0"/>
          <w:marRight w:val="0"/>
          <w:marTop w:val="0"/>
          <w:marBottom w:val="0"/>
          <w:divBdr>
            <w:top w:val="none" w:sz="0" w:space="0" w:color="auto"/>
            <w:left w:val="none" w:sz="0" w:space="0" w:color="auto"/>
            <w:bottom w:val="none" w:sz="0" w:space="0" w:color="auto"/>
            <w:right w:val="none" w:sz="0" w:space="0" w:color="auto"/>
          </w:divBdr>
          <w:divsChild>
            <w:div w:id="218827857">
              <w:marLeft w:val="0"/>
              <w:marRight w:val="0"/>
              <w:marTop w:val="0"/>
              <w:marBottom w:val="0"/>
              <w:divBdr>
                <w:top w:val="none" w:sz="0" w:space="0" w:color="auto"/>
                <w:left w:val="none" w:sz="0" w:space="0" w:color="auto"/>
                <w:bottom w:val="none" w:sz="0" w:space="0" w:color="auto"/>
                <w:right w:val="none" w:sz="0" w:space="0" w:color="auto"/>
              </w:divBdr>
              <w:divsChild>
                <w:div w:id="981346951">
                  <w:marLeft w:val="0"/>
                  <w:marRight w:val="0"/>
                  <w:marTop w:val="0"/>
                  <w:marBottom w:val="0"/>
                  <w:divBdr>
                    <w:top w:val="none" w:sz="0" w:space="0" w:color="auto"/>
                    <w:left w:val="none" w:sz="0" w:space="0" w:color="auto"/>
                    <w:bottom w:val="none" w:sz="0" w:space="0" w:color="auto"/>
                    <w:right w:val="none" w:sz="0" w:space="0" w:color="auto"/>
                  </w:divBdr>
                </w:div>
              </w:divsChild>
            </w:div>
            <w:div w:id="1089543617">
              <w:marLeft w:val="0"/>
              <w:marRight w:val="0"/>
              <w:marTop w:val="0"/>
              <w:marBottom w:val="0"/>
              <w:divBdr>
                <w:top w:val="none" w:sz="0" w:space="0" w:color="auto"/>
                <w:left w:val="none" w:sz="0" w:space="0" w:color="auto"/>
                <w:bottom w:val="none" w:sz="0" w:space="0" w:color="auto"/>
                <w:right w:val="none" w:sz="0" w:space="0" w:color="auto"/>
              </w:divBdr>
              <w:divsChild>
                <w:div w:id="3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5889">
      <w:bodyDiv w:val="1"/>
      <w:marLeft w:val="0"/>
      <w:marRight w:val="0"/>
      <w:marTop w:val="0"/>
      <w:marBottom w:val="0"/>
      <w:divBdr>
        <w:top w:val="none" w:sz="0" w:space="0" w:color="auto"/>
        <w:left w:val="none" w:sz="0" w:space="0" w:color="auto"/>
        <w:bottom w:val="none" w:sz="0" w:space="0" w:color="auto"/>
        <w:right w:val="none" w:sz="0" w:space="0" w:color="auto"/>
      </w:divBdr>
      <w:divsChild>
        <w:div w:id="1666398041">
          <w:marLeft w:val="0"/>
          <w:marRight w:val="0"/>
          <w:marTop w:val="0"/>
          <w:marBottom w:val="0"/>
          <w:divBdr>
            <w:top w:val="none" w:sz="0" w:space="0" w:color="auto"/>
            <w:left w:val="none" w:sz="0" w:space="0" w:color="auto"/>
            <w:bottom w:val="none" w:sz="0" w:space="0" w:color="auto"/>
            <w:right w:val="none" w:sz="0" w:space="0" w:color="auto"/>
          </w:divBdr>
          <w:divsChild>
            <w:div w:id="1685204347">
              <w:marLeft w:val="0"/>
              <w:marRight w:val="0"/>
              <w:marTop w:val="0"/>
              <w:marBottom w:val="0"/>
              <w:divBdr>
                <w:top w:val="none" w:sz="0" w:space="0" w:color="auto"/>
                <w:left w:val="none" w:sz="0" w:space="0" w:color="auto"/>
                <w:bottom w:val="none" w:sz="0" w:space="0" w:color="auto"/>
                <w:right w:val="none" w:sz="0" w:space="0" w:color="auto"/>
              </w:divBdr>
              <w:divsChild>
                <w:div w:id="1144811821">
                  <w:marLeft w:val="0"/>
                  <w:marRight w:val="0"/>
                  <w:marTop w:val="0"/>
                  <w:marBottom w:val="0"/>
                  <w:divBdr>
                    <w:top w:val="none" w:sz="0" w:space="0" w:color="auto"/>
                    <w:left w:val="none" w:sz="0" w:space="0" w:color="auto"/>
                    <w:bottom w:val="none" w:sz="0" w:space="0" w:color="auto"/>
                    <w:right w:val="none" w:sz="0" w:space="0" w:color="auto"/>
                  </w:divBdr>
                  <w:divsChild>
                    <w:div w:id="1991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2829-8C27-2345-8897-679B8D5D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8869</Words>
  <Characters>50559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Morgan</dc:creator>
  <cp:keywords/>
  <dc:description/>
  <cp:lastModifiedBy>Daniel Morgan</cp:lastModifiedBy>
  <cp:revision>2</cp:revision>
  <cp:lastPrinted>2023-01-26T13:32:00Z</cp:lastPrinted>
  <dcterms:created xsi:type="dcterms:W3CDTF">2023-03-14T08:26:00Z</dcterms:created>
  <dcterms:modified xsi:type="dcterms:W3CDTF">2023-03-14T08:26:00Z</dcterms:modified>
</cp:coreProperties>
</file>