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7C490" w14:textId="741856E7" w:rsidR="00816D1D" w:rsidRPr="00516213" w:rsidRDefault="0072207C" w:rsidP="00703502">
      <w:pPr>
        <w:spacing w:line="360" w:lineRule="auto"/>
        <w:jc w:val="center"/>
        <w:rPr>
          <w:rFonts w:ascii="Times New Roman" w:hAnsi="Times New Roman" w:cs="Times New Roman"/>
          <w:b/>
          <w:sz w:val="24"/>
          <w:szCs w:val="24"/>
        </w:rPr>
      </w:pPr>
      <w:bookmarkStart w:id="0" w:name="_Hlk116914212"/>
      <w:r w:rsidRPr="00516213">
        <w:rPr>
          <w:rFonts w:ascii="Times New Roman" w:hAnsi="Times New Roman" w:cs="Times New Roman"/>
          <w:b/>
          <w:sz w:val="24"/>
          <w:szCs w:val="24"/>
        </w:rPr>
        <w:t>Engaging minorities under emergency</w:t>
      </w:r>
      <w:bookmarkEnd w:id="0"/>
      <w:r w:rsidRPr="00516213">
        <w:rPr>
          <w:rFonts w:ascii="Times New Roman" w:hAnsi="Times New Roman" w:cs="Times New Roman"/>
          <w:b/>
          <w:sz w:val="24"/>
          <w:szCs w:val="24"/>
        </w:rPr>
        <w:t>:  Turkish modular emergency and the Kurdish case r</w:t>
      </w:r>
      <w:r w:rsidR="00A2019E" w:rsidRPr="00516213">
        <w:rPr>
          <w:rFonts w:ascii="Times New Roman" w:hAnsi="Times New Roman" w:cs="Times New Roman"/>
          <w:b/>
          <w:sz w:val="24"/>
          <w:szCs w:val="24"/>
        </w:rPr>
        <w:t>evisited</w:t>
      </w:r>
    </w:p>
    <w:p w14:paraId="2883E71A" w14:textId="3D24F93F" w:rsidR="00C50A9F" w:rsidRDefault="000B6C11" w:rsidP="00D571E4">
      <w:pPr>
        <w:spacing w:line="360" w:lineRule="auto"/>
        <w:rPr>
          <w:rFonts w:ascii="Times New Roman" w:hAnsi="Times New Roman" w:cs="Times New Roman"/>
          <w:sz w:val="24"/>
          <w:szCs w:val="24"/>
        </w:rPr>
      </w:pPr>
      <w:proofErr w:type="spellStart"/>
      <w:r w:rsidRPr="00516213">
        <w:rPr>
          <w:rFonts w:ascii="Times New Roman" w:hAnsi="Times New Roman" w:cs="Times New Roman"/>
          <w:sz w:val="24"/>
          <w:szCs w:val="24"/>
        </w:rPr>
        <w:t>Alper</w:t>
      </w:r>
      <w:proofErr w:type="spellEnd"/>
      <w:r w:rsidRPr="00516213">
        <w:rPr>
          <w:rFonts w:ascii="Times New Roman" w:hAnsi="Times New Roman" w:cs="Times New Roman"/>
          <w:sz w:val="24"/>
          <w:szCs w:val="24"/>
        </w:rPr>
        <w:t xml:space="preserve"> </w:t>
      </w:r>
      <w:proofErr w:type="spellStart"/>
      <w:r w:rsidRPr="00516213">
        <w:rPr>
          <w:rFonts w:ascii="Times New Roman" w:hAnsi="Times New Roman" w:cs="Times New Roman"/>
          <w:sz w:val="24"/>
          <w:szCs w:val="24"/>
        </w:rPr>
        <w:t>Kaliber</w:t>
      </w:r>
      <w:proofErr w:type="spellEnd"/>
      <w:r w:rsidR="00603077">
        <w:rPr>
          <w:rStyle w:val="FootnoteReference"/>
          <w:rFonts w:ascii="Times New Roman" w:hAnsi="Times New Roman" w:cs="Times New Roman"/>
          <w:sz w:val="24"/>
          <w:szCs w:val="24"/>
        </w:rPr>
        <w:footnoteReference w:id="1"/>
      </w:r>
      <w:r w:rsidRPr="00516213">
        <w:rPr>
          <w:rFonts w:ascii="Times New Roman" w:hAnsi="Times New Roman" w:cs="Times New Roman"/>
          <w:sz w:val="24"/>
          <w:szCs w:val="24"/>
        </w:rPr>
        <w:t xml:space="preserve">  </w:t>
      </w:r>
    </w:p>
    <w:p w14:paraId="685AA9CE" w14:textId="252509C4" w:rsidR="00C50A9F" w:rsidRDefault="00C50A9F" w:rsidP="00D571E4">
      <w:pPr>
        <w:spacing w:line="360" w:lineRule="auto"/>
        <w:rPr>
          <w:rFonts w:ascii="Times New Roman" w:hAnsi="Times New Roman" w:cs="Times New Roman"/>
          <w:sz w:val="24"/>
          <w:szCs w:val="24"/>
        </w:rPr>
      </w:pPr>
      <w:r>
        <w:rPr>
          <w:rFonts w:ascii="Times New Roman" w:hAnsi="Times New Roman" w:cs="Times New Roman"/>
        </w:rPr>
        <w:t xml:space="preserve">Department of International Relations, </w:t>
      </w:r>
      <w:proofErr w:type="spellStart"/>
      <w:r>
        <w:rPr>
          <w:rFonts w:ascii="Times New Roman" w:hAnsi="Times New Roman" w:cs="Times New Roman"/>
        </w:rPr>
        <w:t>A</w:t>
      </w:r>
      <w:r w:rsidRPr="000B6C11">
        <w:rPr>
          <w:rFonts w:ascii="Times New Roman" w:hAnsi="Times New Roman" w:cs="Times New Roman"/>
        </w:rPr>
        <w:t>ltınbaş</w:t>
      </w:r>
      <w:proofErr w:type="spellEnd"/>
      <w:r w:rsidRPr="000B6C11">
        <w:rPr>
          <w:rFonts w:ascii="Times New Roman" w:hAnsi="Times New Roman" w:cs="Times New Roman"/>
        </w:rPr>
        <w:t xml:space="preserve"> University, Istanbul, Turkey</w:t>
      </w:r>
    </w:p>
    <w:p w14:paraId="0B2228B0" w14:textId="21373EA3" w:rsidR="00C50A9F" w:rsidRDefault="000B6C11" w:rsidP="00D571E4">
      <w:pPr>
        <w:spacing w:line="360" w:lineRule="auto"/>
        <w:rPr>
          <w:rFonts w:ascii="Times New Roman" w:hAnsi="Times New Roman" w:cs="Times New Roman"/>
          <w:sz w:val="24"/>
          <w:szCs w:val="24"/>
        </w:rPr>
      </w:pPr>
      <w:r w:rsidRPr="00516213">
        <w:rPr>
          <w:rFonts w:ascii="Times New Roman" w:hAnsi="Times New Roman" w:cs="Times New Roman"/>
          <w:sz w:val="24"/>
          <w:szCs w:val="24"/>
        </w:rPr>
        <w:t>Matthew Whiting</w:t>
      </w:r>
      <w:r w:rsidR="00603077">
        <w:rPr>
          <w:rStyle w:val="FootnoteReference"/>
          <w:rFonts w:ascii="Times New Roman" w:hAnsi="Times New Roman" w:cs="Times New Roman"/>
          <w:sz w:val="24"/>
          <w:szCs w:val="24"/>
        </w:rPr>
        <w:footnoteReference w:id="2"/>
      </w:r>
    </w:p>
    <w:p w14:paraId="498D36CA" w14:textId="1BF11793" w:rsidR="00C50A9F" w:rsidRDefault="00C50A9F" w:rsidP="000D373E">
      <w:pPr>
        <w:spacing w:line="360" w:lineRule="auto"/>
        <w:rPr>
          <w:rFonts w:ascii="Times New Roman" w:hAnsi="Times New Roman" w:cs="Times New Roman"/>
          <w:sz w:val="24"/>
          <w:szCs w:val="24"/>
        </w:rPr>
      </w:pPr>
      <w:r>
        <w:rPr>
          <w:rFonts w:ascii="Times New Roman" w:hAnsi="Times New Roman" w:cs="Times New Roman"/>
          <w:bCs/>
        </w:rPr>
        <w:t>Department of Politics, T</w:t>
      </w:r>
      <w:r w:rsidRPr="000B6C11">
        <w:rPr>
          <w:rFonts w:ascii="Times New Roman" w:hAnsi="Times New Roman" w:cs="Times New Roman"/>
          <w:bCs/>
        </w:rPr>
        <w:t>he University of York, York, UK</w:t>
      </w:r>
    </w:p>
    <w:p w14:paraId="1430CF1B" w14:textId="3B2BB02A" w:rsidR="00C50A9F" w:rsidRDefault="00C50A9F">
      <w:pPr>
        <w:rPr>
          <w:rFonts w:ascii="Times New Roman" w:hAnsi="Times New Roman" w:cs="Times New Roman"/>
          <w:sz w:val="24"/>
          <w:szCs w:val="24"/>
        </w:rPr>
      </w:pPr>
      <w:r>
        <w:rPr>
          <w:rFonts w:ascii="Times New Roman" w:hAnsi="Times New Roman" w:cs="Times New Roman"/>
          <w:sz w:val="24"/>
          <w:szCs w:val="24"/>
        </w:rPr>
        <w:br w:type="page"/>
      </w:r>
    </w:p>
    <w:p w14:paraId="6E3A2475" w14:textId="76331F9A" w:rsidR="00BE5F20" w:rsidRPr="00516213" w:rsidRDefault="00C222CC" w:rsidP="00703502">
      <w:pPr>
        <w:spacing w:line="360" w:lineRule="auto"/>
        <w:jc w:val="both"/>
        <w:rPr>
          <w:rFonts w:ascii="Times New Roman" w:hAnsi="Times New Roman" w:cs="Times New Roman"/>
          <w:b/>
          <w:bCs/>
          <w:sz w:val="24"/>
          <w:szCs w:val="24"/>
        </w:rPr>
      </w:pPr>
      <w:r w:rsidRPr="00516213">
        <w:rPr>
          <w:rFonts w:ascii="Times New Roman" w:hAnsi="Times New Roman" w:cs="Times New Roman"/>
          <w:b/>
          <w:bCs/>
          <w:sz w:val="24"/>
          <w:szCs w:val="24"/>
        </w:rPr>
        <w:lastRenderedPageBreak/>
        <w:t xml:space="preserve">Abstract </w:t>
      </w:r>
    </w:p>
    <w:p w14:paraId="2EF0A145" w14:textId="37C6B630" w:rsidR="00985544" w:rsidRPr="00516213" w:rsidRDefault="00B70242" w:rsidP="00703502">
      <w:pPr>
        <w:spacing w:after="0" w:line="360" w:lineRule="auto"/>
        <w:jc w:val="both"/>
        <w:rPr>
          <w:rFonts w:ascii="Times New Roman" w:eastAsia="Times New Roman" w:hAnsi="Times New Roman" w:cs="Times New Roman"/>
          <w:sz w:val="24"/>
          <w:szCs w:val="24"/>
          <w:shd w:val="clear" w:color="auto" w:fill="FFFFFF"/>
        </w:rPr>
      </w:pPr>
      <w:r w:rsidRPr="00516213">
        <w:rPr>
          <w:rFonts w:ascii="Times New Roman" w:eastAsia="Times New Roman" w:hAnsi="Times New Roman" w:cs="Times New Roman"/>
          <w:sz w:val="24"/>
          <w:szCs w:val="24"/>
          <w:shd w:val="clear" w:color="auto" w:fill="FFFFFF"/>
        </w:rPr>
        <w:t>M</w:t>
      </w:r>
      <w:r w:rsidR="00985544" w:rsidRPr="00516213">
        <w:rPr>
          <w:rFonts w:ascii="Times New Roman" w:eastAsia="Times New Roman" w:hAnsi="Times New Roman" w:cs="Times New Roman"/>
          <w:sz w:val="24"/>
          <w:szCs w:val="24"/>
          <w:shd w:val="clear" w:color="auto" w:fill="FFFFFF"/>
        </w:rPr>
        <w:t>inorities are particularly vulnerable during times of emergency, particularly those that challenge the state</w:t>
      </w:r>
      <w:r w:rsidR="00585721" w:rsidRPr="00516213">
        <w:rPr>
          <w:rFonts w:ascii="Times New Roman" w:eastAsia="Times New Roman" w:hAnsi="Times New Roman" w:cs="Times New Roman"/>
          <w:sz w:val="24"/>
          <w:szCs w:val="24"/>
          <w:shd w:val="clear" w:color="auto" w:fill="FFFFFF"/>
        </w:rPr>
        <w:t>. However,</w:t>
      </w:r>
      <w:r w:rsidR="00985544" w:rsidRPr="00516213">
        <w:rPr>
          <w:rFonts w:ascii="Times New Roman" w:eastAsia="Times New Roman" w:hAnsi="Times New Roman" w:cs="Times New Roman"/>
          <w:sz w:val="24"/>
          <w:szCs w:val="24"/>
          <w:shd w:val="clear" w:color="auto" w:fill="FFFFFF"/>
        </w:rPr>
        <w:t xml:space="preserve"> it is not understood how minorities can be targeted through emergency decrees despite the government agreeing they had nothing to do with the reasons for declaring the state of emergency. The Turkish emergency in 2016 highlights </w:t>
      </w:r>
      <w:r w:rsidR="00585721" w:rsidRPr="00516213">
        <w:rPr>
          <w:rFonts w:ascii="Times New Roman" w:eastAsia="Times New Roman" w:hAnsi="Times New Roman" w:cs="Times New Roman"/>
          <w:sz w:val="24"/>
          <w:szCs w:val="24"/>
          <w:shd w:val="clear" w:color="auto" w:fill="FFFFFF"/>
        </w:rPr>
        <w:t xml:space="preserve">this </w:t>
      </w:r>
      <w:r w:rsidR="00AD02F9" w:rsidRPr="00516213">
        <w:rPr>
          <w:rFonts w:ascii="Times New Roman" w:eastAsia="Times New Roman" w:hAnsi="Times New Roman" w:cs="Times New Roman"/>
          <w:sz w:val="24"/>
          <w:szCs w:val="24"/>
          <w:shd w:val="clear" w:color="auto" w:fill="FFFFFF"/>
        </w:rPr>
        <w:t>little</w:t>
      </w:r>
      <w:r w:rsidR="00AD02F9">
        <w:rPr>
          <w:rFonts w:ascii="Times New Roman" w:eastAsia="Times New Roman" w:hAnsi="Times New Roman" w:cs="Times New Roman"/>
          <w:sz w:val="24"/>
          <w:szCs w:val="24"/>
          <w:shd w:val="clear" w:color="auto" w:fill="FFFFFF"/>
        </w:rPr>
        <w:t>-</w:t>
      </w:r>
      <w:r w:rsidR="00985544" w:rsidRPr="00516213">
        <w:rPr>
          <w:rFonts w:ascii="Times New Roman" w:eastAsia="Times New Roman" w:hAnsi="Times New Roman" w:cs="Times New Roman"/>
          <w:sz w:val="24"/>
          <w:szCs w:val="24"/>
          <w:shd w:val="clear" w:color="auto" w:fill="FFFFFF"/>
        </w:rPr>
        <w:t xml:space="preserve">understood </w:t>
      </w:r>
      <w:r w:rsidR="00585721" w:rsidRPr="00516213">
        <w:rPr>
          <w:rFonts w:ascii="Times New Roman" w:eastAsia="Times New Roman" w:hAnsi="Times New Roman" w:cs="Times New Roman"/>
          <w:sz w:val="24"/>
          <w:szCs w:val="24"/>
          <w:shd w:val="clear" w:color="auto" w:fill="FFFFFF"/>
        </w:rPr>
        <w:t>tendency</w:t>
      </w:r>
      <w:r w:rsidR="00985544" w:rsidRPr="00516213">
        <w:rPr>
          <w:rFonts w:ascii="Times New Roman" w:eastAsia="Times New Roman" w:hAnsi="Times New Roman" w:cs="Times New Roman"/>
          <w:sz w:val="24"/>
          <w:szCs w:val="24"/>
          <w:shd w:val="clear" w:color="auto" w:fill="FFFFFF"/>
        </w:rPr>
        <w:t xml:space="preserve"> where the government constructed an emergency around a threat from coup plotters but then </w:t>
      </w:r>
      <w:r w:rsidR="00222146">
        <w:rPr>
          <w:rFonts w:ascii="Times New Roman" w:eastAsia="Times New Roman" w:hAnsi="Times New Roman" w:cs="Times New Roman"/>
          <w:sz w:val="24"/>
          <w:szCs w:val="24"/>
          <w:shd w:val="clear" w:color="auto" w:fill="FFFFFF"/>
        </w:rPr>
        <w:t xml:space="preserve">much of </w:t>
      </w:r>
      <w:r w:rsidR="00985544" w:rsidRPr="00516213">
        <w:rPr>
          <w:rFonts w:ascii="Times New Roman" w:eastAsia="Times New Roman" w:hAnsi="Times New Roman" w:cs="Times New Roman"/>
          <w:sz w:val="24"/>
          <w:szCs w:val="24"/>
          <w:shd w:val="clear" w:color="auto" w:fill="FFFFFF"/>
        </w:rPr>
        <w:t xml:space="preserve">the subsequent extraordinary legislation </w:t>
      </w:r>
      <w:r w:rsidR="00222146">
        <w:rPr>
          <w:rFonts w:ascii="Times New Roman" w:eastAsia="Times New Roman" w:hAnsi="Times New Roman" w:cs="Times New Roman"/>
          <w:sz w:val="24"/>
          <w:szCs w:val="24"/>
          <w:shd w:val="clear" w:color="auto" w:fill="FFFFFF"/>
        </w:rPr>
        <w:t>targeted the Kurdish minority</w:t>
      </w:r>
      <w:r w:rsidR="00ED3458" w:rsidRPr="00516213">
        <w:rPr>
          <w:rFonts w:ascii="Times New Roman" w:eastAsia="Times New Roman" w:hAnsi="Times New Roman" w:cs="Times New Roman"/>
          <w:sz w:val="24"/>
          <w:szCs w:val="24"/>
          <w:shd w:val="clear" w:color="auto" w:fill="FFFFFF"/>
        </w:rPr>
        <w:t>. We argue</w:t>
      </w:r>
      <w:r w:rsidR="00985544" w:rsidRPr="00516213">
        <w:rPr>
          <w:rFonts w:ascii="Times New Roman" w:eastAsia="Times New Roman" w:hAnsi="Times New Roman" w:cs="Times New Roman"/>
          <w:sz w:val="24"/>
          <w:szCs w:val="24"/>
          <w:shd w:val="clear" w:color="auto" w:fill="FFFFFF"/>
        </w:rPr>
        <w:t xml:space="preserve"> that this was possible because the Turkish government engaged in </w:t>
      </w:r>
      <w:r w:rsidR="00AD02F9">
        <w:rPr>
          <w:rFonts w:ascii="Times New Roman" w:eastAsia="Times New Roman" w:hAnsi="Times New Roman" w:cs="Times New Roman"/>
          <w:sz w:val="24"/>
          <w:szCs w:val="24"/>
          <w:shd w:val="clear" w:color="auto" w:fill="FFFFFF"/>
        </w:rPr>
        <w:t xml:space="preserve">the </w:t>
      </w:r>
      <w:r w:rsidR="00985544" w:rsidRPr="00516213">
        <w:rPr>
          <w:rFonts w:ascii="Times New Roman" w:eastAsia="Times New Roman" w:hAnsi="Times New Roman" w:cs="Times New Roman"/>
          <w:sz w:val="24"/>
          <w:szCs w:val="24"/>
          <w:shd w:val="clear" w:color="auto" w:fill="FFFFFF"/>
        </w:rPr>
        <w:t>modular emergency rule</w:t>
      </w:r>
      <w:r w:rsidR="00020D66" w:rsidRPr="00516213">
        <w:rPr>
          <w:rFonts w:ascii="Times New Roman" w:eastAsia="Times New Roman" w:hAnsi="Times New Roman" w:cs="Times New Roman"/>
          <w:sz w:val="24"/>
          <w:szCs w:val="24"/>
          <w:shd w:val="clear" w:color="auto" w:fill="FFFFFF"/>
        </w:rPr>
        <w:t>. Modular emergency rule</w:t>
      </w:r>
      <w:r w:rsidR="00B02E42" w:rsidRPr="00516213">
        <w:rPr>
          <w:rFonts w:ascii="Times New Roman" w:eastAsia="Times New Roman" w:hAnsi="Times New Roman" w:cs="Times New Roman"/>
          <w:sz w:val="24"/>
          <w:szCs w:val="24"/>
          <w:shd w:val="clear" w:color="auto" w:fill="FFFFFF"/>
        </w:rPr>
        <w:t xml:space="preserve"> combines modes of ordinary rule with emergency powers, thus blurring the boundaries between the two. Emergency measures were laid on top of already existing policies that sought to restrict Kurdish politics in public life. In this way, </w:t>
      </w:r>
      <w:r w:rsidR="00AD02F9">
        <w:rPr>
          <w:rFonts w:ascii="Times New Roman" w:eastAsia="Times New Roman" w:hAnsi="Times New Roman" w:cs="Times New Roman"/>
          <w:sz w:val="24"/>
          <w:szCs w:val="24"/>
          <w:shd w:val="clear" w:color="auto" w:fill="FFFFFF"/>
        </w:rPr>
        <w:t xml:space="preserve">the </w:t>
      </w:r>
      <w:r w:rsidR="00B02E42" w:rsidRPr="00516213">
        <w:rPr>
          <w:rFonts w:ascii="Times New Roman" w:eastAsia="Times New Roman" w:hAnsi="Times New Roman" w:cs="Times New Roman"/>
          <w:sz w:val="24"/>
          <w:szCs w:val="24"/>
          <w:shd w:val="clear" w:color="auto" w:fill="FFFFFF"/>
        </w:rPr>
        <w:t>modular emergency rule became more than just a transient form of government.</w:t>
      </w:r>
    </w:p>
    <w:p w14:paraId="10629381" w14:textId="77777777" w:rsidR="00E65B89" w:rsidRPr="00516213" w:rsidRDefault="00E65B89" w:rsidP="00703502">
      <w:pPr>
        <w:spacing w:after="0" w:line="360" w:lineRule="auto"/>
        <w:jc w:val="both"/>
        <w:rPr>
          <w:rFonts w:ascii="Times New Roman" w:eastAsia="Times New Roman" w:hAnsi="Times New Roman" w:cs="Times New Roman"/>
          <w:sz w:val="24"/>
          <w:szCs w:val="24"/>
          <w:shd w:val="clear" w:color="auto" w:fill="FFFFFF"/>
        </w:rPr>
      </w:pPr>
    </w:p>
    <w:p w14:paraId="30C1746F" w14:textId="1E832D4F" w:rsidR="00E65B89" w:rsidRPr="00516213" w:rsidRDefault="00E65B89" w:rsidP="00703502">
      <w:pPr>
        <w:spacing w:after="0" w:line="360" w:lineRule="auto"/>
        <w:jc w:val="both"/>
        <w:rPr>
          <w:rFonts w:ascii="Times New Roman" w:eastAsia="Times New Roman" w:hAnsi="Times New Roman" w:cs="Times New Roman"/>
          <w:sz w:val="24"/>
          <w:szCs w:val="24"/>
        </w:rPr>
      </w:pPr>
      <w:r w:rsidRPr="00516213">
        <w:rPr>
          <w:rFonts w:ascii="Times New Roman" w:eastAsia="Times New Roman" w:hAnsi="Times New Roman" w:cs="Times New Roman"/>
          <w:b/>
          <w:sz w:val="24"/>
          <w:szCs w:val="24"/>
          <w:shd w:val="clear" w:color="auto" w:fill="FFFFFF"/>
        </w:rPr>
        <w:t>Keywords</w:t>
      </w:r>
      <w:r w:rsidRPr="00516213">
        <w:rPr>
          <w:rFonts w:ascii="Times New Roman" w:eastAsia="Times New Roman" w:hAnsi="Times New Roman" w:cs="Times New Roman"/>
          <w:sz w:val="24"/>
          <w:szCs w:val="24"/>
          <w:shd w:val="clear" w:color="auto" w:fill="FFFFFF"/>
        </w:rPr>
        <w:t>: state of emergency, exceptional powers, minorities, Turkey, Kurds</w:t>
      </w:r>
    </w:p>
    <w:p w14:paraId="0DA24799" w14:textId="77777777" w:rsidR="00C222CC" w:rsidRPr="00516213" w:rsidRDefault="00C222CC" w:rsidP="00703502">
      <w:pPr>
        <w:spacing w:line="360" w:lineRule="auto"/>
        <w:jc w:val="both"/>
        <w:rPr>
          <w:rFonts w:ascii="Times New Roman" w:hAnsi="Times New Roman" w:cs="Times New Roman"/>
          <w:sz w:val="24"/>
          <w:szCs w:val="24"/>
        </w:rPr>
      </w:pPr>
    </w:p>
    <w:p w14:paraId="37F44388" w14:textId="7C87E876" w:rsidR="006D7ACB" w:rsidRPr="00516213" w:rsidRDefault="00A850F3" w:rsidP="000D373E">
      <w:pPr>
        <w:pStyle w:val="Heading1"/>
      </w:pPr>
      <w:r w:rsidRPr="00516213">
        <w:t xml:space="preserve">Introduction </w:t>
      </w:r>
    </w:p>
    <w:p w14:paraId="15F27744" w14:textId="4505C17A" w:rsidR="00942DB0" w:rsidRPr="00516213" w:rsidRDefault="00956A38" w:rsidP="00703502">
      <w:pPr>
        <w:spacing w:line="360" w:lineRule="auto"/>
        <w:jc w:val="both"/>
        <w:rPr>
          <w:rFonts w:ascii="Times New Roman" w:hAnsi="Times New Roman" w:cs="Times New Roman"/>
          <w:sz w:val="24"/>
          <w:szCs w:val="24"/>
        </w:rPr>
      </w:pPr>
      <w:r w:rsidRPr="00516213">
        <w:rPr>
          <w:rFonts w:ascii="Times New Roman" w:hAnsi="Times New Roman" w:cs="Times New Roman"/>
          <w:sz w:val="24"/>
          <w:szCs w:val="24"/>
        </w:rPr>
        <w:t xml:space="preserve">On </w:t>
      </w:r>
      <w:r w:rsidR="00AD02F9">
        <w:rPr>
          <w:rFonts w:ascii="Times New Roman" w:hAnsi="Times New Roman" w:cs="Times New Roman"/>
          <w:sz w:val="24"/>
          <w:szCs w:val="24"/>
        </w:rPr>
        <w:t>20</w:t>
      </w:r>
      <w:r w:rsidR="00330660" w:rsidRPr="00516213">
        <w:rPr>
          <w:rFonts w:ascii="Times New Roman" w:hAnsi="Times New Roman" w:cs="Times New Roman"/>
          <w:sz w:val="24"/>
          <w:szCs w:val="24"/>
        </w:rPr>
        <w:t xml:space="preserve"> </w:t>
      </w:r>
      <w:r w:rsidRPr="00516213">
        <w:rPr>
          <w:rFonts w:ascii="Times New Roman" w:hAnsi="Times New Roman" w:cs="Times New Roman"/>
          <w:sz w:val="24"/>
          <w:szCs w:val="24"/>
        </w:rPr>
        <w:t xml:space="preserve">July 2016, Recep Tayyip </w:t>
      </w:r>
      <w:proofErr w:type="spellStart"/>
      <w:r w:rsidRPr="00516213">
        <w:rPr>
          <w:rFonts w:ascii="Times New Roman" w:hAnsi="Times New Roman" w:cs="Times New Roman"/>
          <w:sz w:val="24"/>
          <w:szCs w:val="24"/>
        </w:rPr>
        <w:t>Erdoğan</w:t>
      </w:r>
      <w:proofErr w:type="spellEnd"/>
      <w:r w:rsidRPr="00516213">
        <w:rPr>
          <w:rFonts w:ascii="Times New Roman" w:hAnsi="Times New Roman" w:cs="Times New Roman"/>
          <w:sz w:val="24"/>
          <w:szCs w:val="24"/>
        </w:rPr>
        <w:t xml:space="preserve">, President of Turkey and head of the ruling </w:t>
      </w:r>
      <w:r w:rsidR="00B814D6" w:rsidRPr="00516213">
        <w:rPr>
          <w:rFonts w:ascii="Times New Roman" w:hAnsi="Times New Roman" w:cs="Times New Roman"/>
          <w:sz w:val="24"/>
          <w:szCs w:val="24"/>
        </w:rPr>
        <w:t>Justice and Development Party (</w:t>
      </w:r>
      <w:proofErr w:type="spellStart"/>
      <w:r w:rsidR="00B814D6" w:rsidRPr="00516213">
        <w:rPr>
          <w:rFonts w:ascii="Times New Roman" w:hAnsi="Times New Roman" w:cs="Times New Roman"/>
          <w:i/>
          <w:iCs/>
          <w:sz w:val="24"/>
          <w:szCs w:val="24"/>
        </w:rPr>
        <w:t>Adalet</w:t>
      </w:r>
      <w:proofErr w:type="spellEnd"/>
      <w:r w:rsidR="00B814D6" w:rsidRPr="00516213">
        <w:rPr>
          <w:rFonts w:ascii="Times New Roman" w:hAnsi="Times New Roman" w:cs="Times New Roman"/>
          <w:i/>
          <w:iCs/>
          <w:sz w:val="24"/>
          <w:szCs w:val="24"/>
        </w:rPr>
        <w:t xml:space="preserve"> </w:t>
      </w:r>
      <w:proofErr w:type="spellStart"/>
      <w:r w:rsidR="00B814D6" w:rsidRPr="00516213">
        <w:rPr>
          <w:rFonts w:ascii="Times New Roman" w:hAnsi="Times New Roman" w:cs="Times New Roman"/>
          <w:i/>
          <w:iCs/>
          <w:sz w:val="24"/>
          <w:szCs w:val="24"/>
        </w:rPr>
        <w:t>ve</w:t>
      </w:r>
      <w:proofErr w:type="spellEnd"/>
      <w:r w:rsidR="00B814D6" w:rsidRPr="00516213">
        <w:rPr>
          <w:rFonts w:ascii="Times New Roman" w:hAnsi="Times New Roman" w:cs="Times New Roman"/>
          <w:i/>
          <w:iCs/>
          <w:sz w:val="24"/>
          <w:szCs w:val="24"/>
        </w:rPr>
        <w:t xml:space="preserve"> </w:t>
      </w:r>
      <w:proofErr w:type="spellStart"/>
      <w:r w:rsidR="00B814D6" w:rsidRPr="00516213">
        <w:rPr>
          <w:rFonts w:ascii="Times New Roman" w:hAnsi="Times New Roman" w:cs="Times New Roman"/>
          <w:i/>
          <w:iCs/>
          <w:sz w:val="24"/>
          <w:szCs w:val="24"/>
        </w:rPr>
        <w:t>Kalkınma</w:t>
      </w:r>
      <w:proofErr w:type="spellEnd"/>
      <w:r w:rsidR="00B814D6" w:rsidRPr="00516213">
        <w:rPr>
          <w:rFonts w:ascii="Times New Roman" w:hAnsi="Times New Roman" w:cs="Times New Roman"/>
          <w:i/>
          <w:iCs/>
          <w:sz w:val="24"/>
          <w:szCs w:val="24"/>
        </w:rPr>
        <w:t xml:space="preserve"> </w:t>
      </w:r>
      <w:proofErr w:type="spellStart"/>
      <w:r w:rsidR="00B814D6" w:rsidRPr="00516213">
        <w:rPr>
          <w:rFonts w:ascii="Times New Roman" w:hAnsi="Times New Roman" w:cs="Times New Roman"/>
          <w:i/>
          <w:iCs/>
          <w:sz w:val="24"/>
          <w:szCs w:val="24"/>
        </w:rPr>
        <w:t>Partisi</w:t>
      </w:r>
      <w:proofErr w:type="spellEnd"/>
      <w:r w:rsidR="00AD02F9">
        <w:rPr>
          <w:rFonts w:ascii="Times New Roman" w:hAnsi="Times New Roman" w:cs="Times New Roman"/>
          <w:i/>
          <w:iCs/>
          <w:sz w:val="24"/>
          <w:szCs w:val="24"/>
        </w:rPr>
        <w:t xml:space="preserve"> </w:t>
      </w:r>
      <w:r w:rsidR="00AD02F9">
        <w:rPr>
          <w:rFonts w:ascii="Times New Roman" w:hAnsi="Times New Roman" w:cs="Times New Roman"/>
          <w:sz w:val="24"/>
          <w:szCs w:val="24"/>
        </w:rPr>
        <w:t>-</w:t>
      </w:r>
      <w:r w:rsidR="00B814D6" w:rsidRPr="00516213">
        <w:rPr>
          <w:rFonts w:ascii="Times New Roman" w:hAnsi="Times New Roman" w:cs="Times New Roman"/>
          <w:sz w:val="24"/>
          <w:szCs w:val="24"/>
        </w:rPr>
        <w:t xml:space="preserve"> </w:t>
      </w:r>
      <w:r w:rsidRPr="00516213">
        <w:rPr>
          <w:rFonts w:ascii="Times New Roman" w:hAnsi="Times New Roman" w:cs="Times New Roman"/>
          <w:sz w:val="24"/>
          <w:szCs w:val="24"/>
        </w:rPr>
        <w:t>AKP</w:t>
      </w:r>
      <w:r w:rsidR="00B814D6" w:rsidRPr="00516213">
        <w:rPr>
          <w:rFonts w:ascii="Times New Roman" w:hAnsi="Times New Roman" w:cs="Times New Roman"/>
          <w:sz w:val="24"/>
          <w:szCs w:val="24"/>
        </w:rPr>
        <w:t>)</w:t>
      </w:r>
      <w:r w:rsidRPr="00516213">
        <w:rPr>
          <w:rFonts w:ascii="Times New Roman" w:hAnsi="Times New Roman" w:cs="Times New Roman"/>
          <w:sz w:val="24"/>
          <w:szCs w:val="24"/>
        </w:rPr>
        <w:t xml:space="preserve">, </w:t>
      </w:r>
      <w:r w:rsidR="00942DB0" w:rsidRPr="00516213">
        <w:rPr>
          <w:rFonts w:ascii="Times New Roman" w:hAnsi="Times New Roman" w:cs="Times New Roman"/>
          <w:sz w:val="24"/>
          <w:szCs w:val="24"/>
        </w:rPr>
        <w:t>announced</w:t>
      </w:r>
      <w:r w:rsidRPr="00516213">
        <w:rPr>
          <w:rFonts w:ascii="Times New Roman" w:hAnsi="Times New Roman" w:cs="Times New Roman"/>
          <w:sz w:val="24"/>
          <w:szCs w:val="24"/>
        </w:rPr>
        <w:t xml:space="preserve"> a state of emergency </w:t>
      </w:r>
      <w:r w:rsidR="003B23BF" w:rsidRPr="00516213">
        <w:rPr>
          <w:rFonts w:ascii="Times New Roman" w:hAnsi="Times New Roman" w:cs="Times New Roman"/>
          <w:sz w:val="24"/>
          <w:szCs w:val="24"/>
        </w:rPr>
        <w:t>(</w:t>
      </w:r>
      <w:proofErr w:type="spellStart"/>
      <w:r w:rsidR="003B23BF" w:rsidRPr="00516213">
        <w:rPr>
          <w:rFonts w:ascii="Times New Roman" w:hAnsi="Times New Roman" w:cs="Times New Roman"/>
          <w:sz w:val="24"/>
          <w:szCs w:val="24"/>
        </w:rPr>
        <w:t>SoE</w:t>
      </w:r>
      <w:proofErr w:type="spellEnd"/>
      <w:r w:rsidR="003B23BF" w:rsidRPr="00516213">
        <w:rPr>
          <w:rFonts w:ascii="Times New Roman" w:hAnsi="Times New Roman" w:cs="Times New Roman"/>
          <w:sz w:val="24"/>
          <w:szCs w:val="24"/>
        </w:rPr>
        <w:t xml:space="preserve">) </w:t>
      </w:r>
      <w:r w:rsidRPr="00516213">
        <w:rPr>
          <w:rFonts w:ascii="Times New Roman" w:hAnsi="Times New Roman" w:cs="Times New Roman"/>
          <w:sz w:val="24"/>
          <w:szCs w:val="24"/>
        </w:rPr>
        <w:t xml:space="preserve">in response to a failed coup </w:t>
      </w:r>
      <w:r w:rsidR="00242D5B" w:rsidRPr="00516213">
        <w:rPr>
          <w:rFonts w:ascii="Times New Roman" w:hAnsi="Times New Roman" w:cs="Times New Roman"/>
          <w:sz w:val="24"/>
          <w:szCs w:val="24"/>
        </w:rPr>
        <w:t>five</w:t>
      </w:r>
      <w:r w:rsidRPr="00516213">
        <w:rPr>
          <w:rFonts w:ascii="Times New Roman" w:hAnsi="Times New Roman" w:cs="Times New Roman"/>
          <w:sz w:val="24"/>
          <w:szCs w:val="24"/>
        </w:rPr>
        <w:t xml:space="preserve"> days earlier. He </w:t>
      </w:r>
      <w:r w:rsidR="00942DB0" w:rsidRPr="00516213">
        <w:rPr>
          <w:rFonts w:ascii="Times New Roman" w:hAnsi="Times New Roman" w:cs="Times New Roman"/>
          <w:sz w:val="24"/>
          <w:szCs w:val="24"/>
        </w:rPr>
        <w:t>blamed t</w:t>
      </w:r>
      <w:r w:rsidR="00A0282C" w:rsidRPr="00516213">
        <w:rPr>
          <w:rFonts w:ascii="Times New Roman" w:hAnsi="Times New Roman" w:cs="Times New Roman"/>
          <w:sz w:val="24"/>
          <w:szCs w:val="24"/>
        </w:rPr>
        <w:t xml:space="preserve">he coup </w:t>
      </w:r>
      <w:r w:rsidRPr="00516213">
        <w:rPr>
          <w:rFonts w:ascii="Times New Roman" w:hAnsi="Times New Roman" w:cs="Times New Roman"/>
          <w:sz w:val="24"/>
          <w:szCs w:val="24"/>
        </w:rPr>
        <w:t xml:space="preserve">attempt </w:t>
      </w:r>
      <w:r w:rsidR="00942DB0" w:rsidRPr="00516213">
        <w:rPr>
          <w:rFonts w:ascii="Times New Roman" w:hAnsi="Times New Roman" w:cs="Times New Roman"/>
          <w:sz w:val="24"/>
          <w:szCs w:val="24"/>
        </w:rPr>
        <w:t xml:space="preserve">on </w:t>
      </w:r>
      <w:r w:rsidR="00A0282C" w:rsidRPr="00516213">
        <w:rPr>
          <w:rFonts w:ascii="Times New Roman" w:hAnsi="Times New Roman" w:cs="Times New Roman"/>
          <w:sz w:val="24"/>
          <w:szCs w:val="24"/>
        </w:rPr>
        <w:t>supporters of his</w:t>
      </w:r>
      <w:r w:rsidRPr="00516213">
        <w:rPr>
          <w:rFonts w:ascii="Times New Roman" w:hAnsi="Times New Roman" w:cs="Times New Roman"/>
          <w:sz w:val="24"/>
          <w:szCs w:val="24"/>
        </w:rPr>
        <w:t xml:space="preserve"> </w:t>
      </w:r>
      <w:r w:rsidR="007B5382" w:rsidRPr="00516213">
        <w:rPr>
          <w:rFonts w:ascii="Times New Roman" w:hAnsi="Times New Roman" w:cs="Times New Roman"/>
          <w:sz w:val="24"/>
          <w:szCs w:val="24"/>
        </w:rPr>
        <w:t xml:space="preserve">Islamist </w:t>
      </w:r>
      <w:r w:rsidRPr="00516213">
        <w:rPr>
          <w:rFonts w:ascii="Times New Roman" w:hAnsi="Times New Roman" w:cs="Times New Roman"/>
          <w:sz w:val="24"/>
          <w:szCs w:val="24"/>
        </w:rPr>
        <w:t>former</w:t>
      </w:r>
      <w:r w:rsidR="00942DB0" w:rsidRPr="00516213">
        <w:rPr>
          <w:rFonts w:ascii="Times New Roman" w:hAnsi="Times New Roman" w:cs="Times New Roman"/>
          <w:sz w:val="24"/>
          <w:szCs w:val="24"/>
        </w:rPr>
        <w:t xml:space="preserve"> ally</w:t>
      </w:r>
      <w:r w:rsidR="00A0282C" w:rsidRPr="00516213">
        <w:rPr>
          <w:rFonts w:ascii="Times New Roman" w:hAnsi="Times New Roman" w:cs="Times New Roman"/>
          <w:sz w:val="24"/>
          <w:szCs w:val="24"/>
        </w:rPr>
        <w:t xml:space="preserve">, Fethullah Gülen, with </w:t>
      </w:r>
      <w:r w:rsidRPr="00516213">
        <w:rPr>
          <w:rFonts w:ascii="Times New Roman" w:hAnsi="Times New Roman" w:cs="Times New Roman"/>
          <w:sz w:val="24"/>
          <w:szCs w:val="24"/>
        </w:rPr>
        <w:t>whom relations had badly soured</w:t>
      </w:r>
      <w:r w:rsidR="000173D9" w:rsidRPr="00516213">
        <w:rPr>
          <w:rFonts w:ascii="Times New Roman" w:hAnsi="Times New Roman" w:cs="Times New Roman"/>
          <w:sz w:val="24"/>
          <w:szCs w:val="24"/>
        </w:rPr>
        <w:t xml:space="preserve">. </w:t>
      </w:r>
      <w:r w:rsidR="00942DB0" w:rsidRPr="00516213">
        <w:rPr>
          <w:rFonts w:ascii="Times New Roman" w:hAnsi="Times New Roman" w:cs="Times New Roman"/>
          <w:sz w:val="24"/>
          <w:szCs w:val="24"/>
        </w:rPr>
        <w:t xml:space="preserve">The coup attempt was portrayed </w:t>
      </w:r>
      <w:r w:rsidR="00614A56" w:rsidRPr="00516213">
        <w:rPr>
          <w:rFonts w:ascii="Times New Roman" w:hAnsi="Times New Roman" w:cs="Times New Roman"/>
          <w:sz w:val="24"/>
          <w:szCs w:val="24"/>
        </w:rPr>
        <w:t xml:space="preserve">by </w:t>
      </w:r>
      <w:r w:rsidR="00B814D6" w:rsidRPr="00516213">
        <w:rPr>
          <w:rFonts w:ascii="Times New Roman" w:hAnsi="Times New Roman" w:cs="Times New Roman"/>
          <w:sz w:val="24"/>
          <w:szCs w:val="24"/>
        </w:rPr>
        <w:t xml:space="preserve">the government </w:t>
      </w:r>
      <w:r w:rsidR="00942DB0" w:rsidRPr="00516213">
        <w:rPr>
          <w:rFonts w:ascii="Times New Roman" w:hAnsi="Times New Roman" w:cs="Times New Roman"/>
          <w:sz w:val="24"/>
          <w:szCs w:val="24"/>
        </w:rPr>
        <w:t xml:space="preserve">as the culmination of </w:t>
      </w:r>
      <w:r w:rsidR="00A0282C" w:rsidRPr="00516213">
        <w:rPr>
          <w:rFonts w:ascii="Times New Roman" w:hAnsi="Times New Roman" w:cs="Times New Roman"/>
          <w:sz w:val="24"/>
          <w:szCs w:val="24"/>
        </w:rPr>
        <w:t xml:space="preserve">a long-term plan </w:t>
      </w:r>
      <w:r w:rsidR="00614A56" w:rsidRPr="00516213">
        <w:rPr>
          <w:rFonts w:ascii="Times New Roman" w:hAnsi="Times New Roman" w:cs="Times New Roman"/>
          <w:sz w:val="24"/>
          <w:szCs w:val="24"/>
        </w:rPr>
        <w:t xml:space="preserve">by Gülenists </w:t>
      </w:r>
      <w:r w:rsidR="00A0282C" w:rsidRPr="00516213">
        <w:rPr>
          <w:rFonts w:ascii="Times New Roman" w:hAnsi="Times New Roman" w:cs="Times New Roman"/>
          <w:sz w:val="24"/>
          <w:szCs w:val="24"/>
        </w:rPr>
        <w:t>to penetrate all aspects of the state</w:t>
      </w:r>
      <w:r w:rsidR="00942DB0" w:rsidRPr="00516213">
        <w:rPr>
          <w:rFonts w:ascii="Times New Roman" w:hAnsi="Times New Roman" w:cs="Times New Roman"/>
          <w:sz w:val="24"/>
          <w:szCs w:val="24"/>
        </w:rPr>
        <w:t xml:space="preserve"> </w:t>
      </w:r>
      <w:r w:rsidR="00A23010" w:rsidRPr="00516213">
        <w:rPr>
          <w:rFonts w:ascii="Times New Roman" w:hAnsi="Times New Roman" w:cs="Times New Roman"/>
          <w:sz w:val="24"/>
          <w:szCs w:val="24"/>
        </w:rPr>
        <w:t>and</w:t>
      </w:r>
      <w:r w:rsidR="00942DB0" w:rsidRPr="00516213">
        <w:rPr>
          <w:rFonts w:ascii="Times New Roman" w:hAnsi="Times New Roman" w:cs="Times New Roman"/>
          <w:sz w:val="24"/>
          <w:szCs w:val="24"/>
        </w:rPr>
        <w:t xml:space="preserve"> seize control from within</w:t>
      </w:r>
      <w:r w:rsidR="00A0282C" w:rsidRPr="00516213">
        <w:rPr>
          <w:rFonts w:ascii="Times New Roman" w:hAnsi="Times New Roman" w:cs="Times New Roman"/>
          <w:sz w:val="24"/>
          <w:szCs w:val="24"/>
        </w:rPr>
        <w:t xml:space="preserve">, including the military, judiciary, police, civil service, education, and public services. </w:t>
      </w:r>
      <w:r w:rsidR="00B814D6" w:rsidRPr="00516213">
        <w:rPr>
          <w:rFonts w:ascii="Times New Roman" w:hAnsi="Times New Roman" w:cs="Times New Roman"/>
          <w:sz w:val="24"/>
          <w:szCs w:val="24"/>
        </w:rPr>
        <w:t xml:space="preserve">The government </w:t>
      </w:r>
      <w:r w:rsidR="00E02971" w:rsidRPr="00516213">
        <w:rPr>
          <w:rFonts w:ascii="Times New Roman" w:hAnsi="Times New Roman" w:cs="Times New Roman"/>
          <w:sz w:val="24"/>
          <w:szCs w:val="24"/>
        </w:rPr>
        <w:t>labelled this network the ‘</w:t>
      </w:r>
      <w:proofErr w:type="spellStart"/>
      <w:r w:rsidR="00776DF2" w:rsidRPr="00516213">
        <w:rPr>
          <w:rFonts w:ascii="Times New Roman" w:hAnsi="Times New Roman" w:cs="Times New Roman"/>
          <w:sz w:val="24"/>
          <w:szCs w:val="24"/>
        </w:rPr>
        <w:t>Fet</w:t>
      </w:r>
      <w:r w:rsidR="00B95C65" w:rsidRPr="00516213">
        <w:rPr>
          <w:rFonts w:ascii="Times New Roman" w:hAnsi="Times New Roman" w:cs="Times New Roman"/>
          <w:sz w:val="24"/>
          <w:szCs w:val="24"/>
        </w:rPr>
        <w:t>h</w:t>
      </w:r>
      <w:r w:rsidR="00776DF2" w:rsidRPr="00516213">
        <w:rPr>
          <w:rFonts w:ascii="Times New Roman" w:hAnsi="Times New Roman" w:cs="Times New Roman"/>
          <w:sz w:val="24"/>
          <w:szCs w:val="24"/>
        </w:rPr>
        <w:t>ullahist</w:t>
      </w:r>
      <w:proofErr w:type="spellEnd"/>
      <w:r w:rsidR="00776DF2" w:rsidRPr="00516213">
        <w:rPr>
          <w:rFonts w:ascii="Times New Roman" w:hAnsi="Times New Roman" w:cs="Times New Roman"/>
          <w:sz w:val="24"/>
          <w:szCs w:val="24"/>
        </w:rPr>
        <w:t xml:space="preserve"> Terrorist Organization’ </w:t>
      </w:r>
      <w:r w:rsidR="00BD5AA1" w:rsidRPr="00516213">
        <w:rPr>
          <w:rFonts w:ascii="Times New Roman" w:hAnsi="Times New Roman" w:cs="Times New Roman"/>
          <w:sz w:val="24"/>
          <w:szCs w:val="24"/>
        </w:rPr>
        <w:t>(</w:t>
      </w:r>
      <w:r w:rsidR="004C2A17" w:rsidRPr="00516213">
        <w:rPr>
          <w:rFonts w:ascii="Times New Roman" w:hAnsi="Times New Roman" w:cs="Times New Roman"/>
          <w:sz w:val="24"/>
          <w:szCs w:val="24"/>
        </w:rPr>
        <w:t>FETÖ</w:t>
      </w:r>
      <w:r w:rsidR="00E02971" w:rsidRPr="00516213">
        <w:rPr>
          <w:rFonts w:ascii="Times New Roman" w:hAnsi="Times New Roman" w:cs="Times New Roman"/>
          <w:sz w:val="24"/>
          <w:szCs w:val="24"/>
        </w:rPr>
        <w:t>) and embarked upon exorcising</w:t>
      </w:r>
      <w:r w:rsidR="008C7BB3" w:rsidRPr="00516213">
        <w:rPr>
          <w:rFonts w:ascii="Times New Roman" w:hAnsi="Times New Roman" w:cs="Times New Roman"/>
          <w:sz w:val="24"/>
          <w:szCs w:val="24"/>
        </w:rPr>
        <w:t xml:space="preserve"> it from public life using extraordinary legislation. </w:t>
      </w:r>
      <w:r w:rsidR="00B814D6" w:rsidRPr="00516213">
        <w:rPr>
          <w:rFonts w:ascii="Times New Roman" w:hAnsi="Times New Roman" w:cs="Times New Roman"/>
          <w:sz w:val="24"/>
          <w:szCs w:val="24"/>
        </w:rPr>
        <w:t xml:space="preserve">The government </w:t>
      </w:r>
      <w:r w:rsidR="00942DB0" w:rsidRPr="00516213">
        <w:rPr>
          <w:rFonts w:ascii="Times New Roman" w:hAnsi="Times New Roman" w:cs="Times New Roman"/>
          <w:sz w:val="24"/>
          <w:szCs w:val="24"/>
        </w:rPr>
        <w:t xml:space="preserve">declared </w:t>
      </w:r>
      <w:r w:rsidR="008C7BB3" w:rsidRPr="00516213">
        <w:rPr>
          <w:rFonts w:ascii="Times New Roman" w:hAnsi="Times New Roman" w:cs="Times New Roman"/>
          <w:sz w:val="24"/>
          <w:szCs w:val="24"/>
        </w:rPr>
        <w:t>that</w:t>
      </w:r>
      <w:r w:rsidR="000173D9" w:rsidRPr="00516213">
        <w:rPr>
          <w:rFonts w:ascii="Times New Roman" w:hAnsi="Times New Roman" w:cs="Times New Roman"/>
          <w:sz w:val="24"/>
          <w:szCs w:val="24"/>
        </w:rPr>
        <w:t xml:space="preserve"> emergency rule had one clear goal: </w:t>
      </w:r>
      <w:r w:rsidR="00242D5B" w:rsidRPr="00516213">
        <w:rPr>
          <w:rFonts w:ascii="Times New Roman" w:hAnsi="Times New Roman" w:cs="Times New Roman"/>
          <w:sz w:val="24"/>
          <w:szCs w:val="24"/>
        </w:rPr>
        <w:t>‘</w:t>
      </w:r>
      <w:r w:rsidR="000173D9" w:rsidRPr="00516213">
        <w:rPr>
          <w:rFonts w:ascii="Times New Roman" w:hAnsi="Times New Roman" w:cs="Times New Roman"/>
          <w:sz w:val="24"/>
          <w:szCs w:val="24"/>
        </w:rPr>
        <w:t>to remove swiftly all the elements of the terrorist organization involved in the coup attempt</w:t>
      </w:r>
      <w:r w:rsidR="00242D5B" w:rsidRPr="00516213">
        <w:rPr>
          <w:rFonts w:ascii="Times New Roman" w:hAnsi="Times New Roman" w:cs="Times New Roman"/>
          <w:sz w:val="24"/>
          <w:szCs w:val="24"/>
        </w:rPr>
        <w:t>’</w:t>
      </w:r>
      <w:r w:rsidR="008C7BB3" w:rsidRPr="00516213">
        <w:rPr>
          <w:rFonts w:ascii="Times New Roman" w:hAnsi="Times New Roman" w:cs="Times New Roman"/>
          <w:sz w:val="24"/>
          <w:szCs w:val="24"/>
        </w:rPr>
        <w:t xml:space="preserve"> </w:t>
      </w:r>
      <w:r w:rsidR="00ED1913" w:rsidRPr="00516213">
        <w:rPr>
          <w:rFonts w:ascii="Times New Roman" w:hAnsi="Times New Roman" w:cs="Times New Roman"/>
          <w:sz w:val="24"/>
          <w:szCs w:val="24"/>
        </w:rPr>
        <w:t xml:space="preserve">and </w:t>
      </w:r>
      <w:r w:rsidR="008C7BB3" w:rsidRPr="00516213">
        <w:rPr>
          <w:rFonts w:ascii="Times New Roman" w:hAnsi="Times New Roman" w:cs="Times New Roman"/>
          <w:sz w:val="24"/>
          <w:szCs w:val="24"/>
        </w:rPr>
        <w:t>reassured citizens that it would not entail any compromise on democracy</w:t>
      </w:r>
      <w:r w:rsidR="00473DC7" w:rsidRPr="00516213">
        <w:rPr>
          <w:rFonts w:ascii="Times New Roman" w:hAnsi="Times New Roman" w:cs="Times New Roman"/>
          <w:sz w:val="24"/>
          <w:szCs w:val="24"/>
        </w:rPr>
        <w:t xml:space="preserve"> (</w:t>
      </w:r>
      <w:r w:rsidR="00473DC7" w:rsidRPr="00516213">
        <w:rPr>
          <w:rFonts w:ascii="Times New Roman" w:hAnsi="Times New Roman" w:cs="Times New Roman"/>
          <w:iCs/>
          <w:sz w:val="24"/>
          <w:szCs w:val="24"/>
        </w:rPr>
        <w:t>AFP</w:t>
      </w:r>
      <w:r w:rsidR="00473DC7" w:rsidRPr="00516213">
        <w:rPr>
          <w:rFonts w:ascii="Times New Roman" w:hAnsi="Times New Roman" w:cs="Times New Roman"/>
          <w:sz w:val="24"/>
          <w:szCs w:val="24"/>
        </w:rPr>
        <w:t xml:space="preserve"> 2016)</w:t>
      </w:r>
      <w:r w:rsidR="008C7BB3" w:rsidRPr="00516213">
        <w:rPr>
          <w:rFonts w:ascii="Times New Roman" w:hAnsi="Times New Roman" w:cs="Times New Roman"/>
          <w:sz w:val="24"/>
          <w:szCs w:val="24"/>
        </w:rPr>
        <w:t>.</w:t>
      </w:r>
      <w:r w:rsidR="000173D9" w:rsidRPr="00516213">
        <w:rPr>
          <w:rFonts w:ascii="Times New Roman" w:hAnsi="Times New Roman" w:cs="Times New Roman"/>
          <w:sz w:val="24"/>
          <w:szCs w:val="24"/>
        </w:rPr>
        <w:t xml:space="preserve"> </w:t>
      </w:r>
    </w:p>
    <w:p w14:paraId="313869D7" w14:textId="18E95C78" w:rsidR="00144EC8" w:rsidRPr="00516213" w:rsidRDefault="009A2077" w:rsidP="000D373E">
      <w:pPr>
        <w:spacing w:line="360" w:lineRule="auto"/>
        <w:ind w:firstLine="720"/>
        <w:jc w:val="both"/>
        <w:rPr>
          <w:rFonts w:ascii="Times New Roman" w:hAnsi="Times New Roman" w:cs="Times New Roman"/>
          <w:sz w:val="24"/>
          <w:szCs w:val="24"/>
        </w:rPr>
      </w:pPr>
      <w:r w:rsidRPr="00516213">
        <w:rPr>
          <w:rFonts w:ascii="Times New Roman" w:hAnsi="Times New Roman" w:cs="Times New Roman"/>
          <w:sz w:val="24"/>
          <w:szCs w:val="24"/>
        </w:rPr>
        <w:t xml:space="preserve">However, it soon became clear that </w:t>
      </w:r>
      <w:r w:rsidR="00A23010" w:rsidRPr="00516213">
        <w:rPr>
          <w:rFonts w:ascii="Times New Roman" w:hAnsi="Times New Roman" w:cs="Times New Roman"/>
          <w:sz w:val="24"/>
          <w:szCs w:val="24"/>
        </w:rPr>
        <w:t xml:space="preserve">the </w:t>
      </w:r>
      <w:r w:rsidR="00473DC7" w:rsidRPr="00516213">
        <w:rPr>
          <w:rFonts w:ascii="Times New Roman" w:hAnsi="Times New Roman" w:cs="Times New Roman"/>
          <w:sz w:val="24"/>
          <w:szCs w:val="24"/>
        </w:rPr>
        <w:t xml:space="preserve">government’s </w:t>
      </w:r>
      <w:r w:rsidR="00A23010" w:rsidRPr="00516213">
        <w:rPr>
          <w:rFonts w:ascii="Times New Roman" w:hAnsi="Times New Roman" w:cs="Times New Roman"/>
          <w:sz w:val="24"/>
          <w:szCs w:val="24"/>
        </w:rPr>
        <w:t>justification for</w:t>
      </w:r>
      <w:r w:rsidR="00472586" w:rsidRPr="00516213">
        <w:rPr>
          <w:rFonts w:ascii="Times New Roman" w:hAnsi="Times New Roman" w:cs="Times New Roman"/>
          <w:sz w:val="24"/>
          <w:szCs w:val="24"/>
        </w:rPr>
        <w:t xml:space="preserve"> emergency rule </w:t>
      </w:r>
      <w:r w:rsidR="00A23010" w:rsidRPr="00516213">
        <w:rPr>
          <w:rFonts w:ascii="Times New Roman" w:hAnsi="Times New Roman" w:cs="Times New Roman"/>
          <w:sz w:val="24"/>
          <w:szCs w:val="24"/>
        </w:rPr>
        <w:t xml:space="preserve">and </w:t>
      </w:r>
      <w:r w:rsidRPr="00516213">
        <w:rPr>
          <w:rFonts w:ascii="Times New Roman" w:hAnsi="Times New Roman" w:cs="Times New Roman"/>
          <w:sz w:val="24"/>
          <w:szCs w:val="24"/>
        </w:rPr>
        <w:t xml:space="preserve">who </w:t>
      </w:r>
      <w:r w:rsidR="00473DC7" w:rsidRPr="00516213">
        <w:rPr>
          <w:rFonts w:ascii="Times New Roman" w:hAnsi="Times New Roman" w:cs="Times New Roman"/>
          <w:sz w:val="24"/>
          <w:szCs w:val="24"/>
        </w:rPr>
        <w:t xml:space="preserve">the government </w:t>
      </w:r>
      <w:r w:rsidR="00B70242" w:rsidRPr="00516213">
        <w:rPr>
          <w:rFonts w:ascii="Times New Roman" w:hAnsi="Times New Roman" w:cs="Times New Roman"/>
          <w:sz w:val="24"/>
          <w:szCs w:val="24"/>
        </w:rPr>
        <w:t xml:space="preserve">actually </w:t>
      </w:r>
      <w:r w:rsidR="00473DC7" w:rsidRPr="00516213">
        <w:rPr>
          <w:rFonts w:ascii="Times New Roman" w:hAnsi="Times New Roman" w:cs="Times New Roman"/>
          <w:sz w:val="24"/>
          <w:szCs w:val="24"/>
        </w:rPr>
        <w:t xml:space="preserve">targeted with emergency </w:t>
      </w:r>
      <w:r w:rsidR="00472586" w:rsidRPr="00516213">
        <w:rPr>
          <w:rFonts w:ascii="Times New Roman" w:hAnsi="Times New Roman" w:cs="Times New Roman"/>
          <w:sz w:val="24"/>
          <w:szCs w:val="24"/>
        </w:rPr>
        <w:t xml:space="preserve">powers </w:t>
      </w:r>
      <w:r w:rsidRPr="00516213">
        <w:rPr>
          <w:rFonts w:ascii="Times New Roman" w:hAnsi="Times New Roman" w:cs="Times New Roman"/>
          <w:sz w:val="24"/>
          <w:szCs w:val="24"/>
        </w:rPr>
        <w:t xml:space="preserve">did not </w:t>
      </w:r>
      <w:r w:rsidR="00473DC7" w:rsidRPr="00516213">
        <w:rPr>
          <w:rFonts w:ascii="Times New Roman" w:hAnsi="Times New Roman" w:cs="Times New Roman"/>
          <w:sz w:val="24"/>
          <w:szCs w:val="24"/>
        </w:rPr>
        <w:t xml:space="preserve">always </w:t>
      </w:r>
      <w:r w:rsidRPr="00516213">
        <w:rPr>
          <w:rFonts w:ascii="Times New Roman" w:hAnsi="Times New Roman" w:cs="Times New Roman"/>
          <w:sz w:val="24"/>
          <w:szCs w:val="24"/>
        </w:rPr>
        <w:t xml:space="preserve">align. Although many of those targeted were part of the Gülen network, large swathes had nothing to do with Gülen or the coup attempt. </w:t>
      </w:r>
      <w:r w:rsidR="00362D8B" w:rsidRPr="00516213">
        <w:rPr>
          <w:rFonts w:ascii="Times New Roman" w:hAnsi="Times New Roman" w:cs="Times New Roman"/>
          <w:sz w:val="24"/>
          <w:szCs w:val="24"/>
        </w:rPr>
        <w:t xml:space="preserve">The </w:t>
      </w:r>
      <w:proofErr w:type="spellStart"/>
      <w:r w:rsidR="003C0174" w:rsidRPr="00516213">
        <w:rPr>
          <w:rFonts w:ascii="Times New Roman" w:hAnsi="Times New Roman" w:cs="Times New Roman"/>
          <w:sz w:val="24"/>
          <w:szCs w:val="24"/>
        </w:rPr>
        <w:t>SoE</w:t>
      </w:r>
      <w:proofErr w:type="spellEnd"/>
      <w:r w:rsidR="003C0174" w:rsidRPr="00516213">
        <w:rPr>
          <w:rFonts w:ascii="Times New Roman" w:hAnsi="Times New Roman" w:cs="Times New Roman"/>
          <w:sz w:val="24"/>
          <w:szCs w:val="24"/>
        </w:rPr>
        <w:t xml:space="preserve"> </w:t>
      </w:r>
      <w:r w:rsidR="00362D8B" w:rsidRPr="00516213">
        <w:rPr>
          <w:rFonts w:ascii="Times New Roman" w:hAnsi="Times New Roman" w:cs="Times New Roman"/>
          <w:sz w:val="24"/>
          <w:szCs w:val="24"/>
        </w:rPr>
        <w:t xml:space="preserve">was extended seven times and </w:t>
      </w:r>
      <w:r w:rsidR="008C7BB3" w:rsidRPr="00516213">
        <w:rPr>
          <w:rFonts w:ascii="Times New Roman" w:hAnsi="Times New Roman" w:cs="Times New Roman"/>
          <w:sz w:val="24"/>
          <w:szCs w:val="24"/>
        </w:rPr>
        <w:t>lasted almost two years</w:t>
      </w:r>
      <w:r w:rsidR="00942DB0" w:rsidRPr="00516213">
        <w:rPr>
          <w:rFonts w:ascii="Times New Roman" w:hAnsi="Times New Roman" w:cs="Times New Roman"/>
          <w:sz w:val="24"/>
          <w:szCs w:val="24"/>
        </w:rPr>
        <w:t>, despite the AKP initially announcing it would end in 45 days</w:t>
      </w:r>
      <w:r w:rsidR="008C7BB3" w:rsidRPr="00516213">
        <w:rPr>
          <w:rFonts w:ascii="Times New Roman" w:hAnsi="Times New Roman" w:cs="Times New Roman"/>
          <w:sz w:val="24"/>
          <w:szCs w:val="24"/>
        </w:rPr>
        <w:t>. Thirty-seven emergency decrees were issued, all bypass</w:t>
      </w:r>
      <w:r w:rsidR="00735F75">
        <w:rPr>
          <w:rFonts w:ascii="Times New Roman" w:hAnsi="Times New Roman" w:cs="Times New Roman"/>
          <w:sz w:val="24"/>
          <w:szCs w:val="24"/>
        </w:rPr>
        <w:t>ing</w:t>
      </w:r>
      <w:r w:rsidR="008C7BB3" w:rsidRPr="00516213">
        <w:rPr>
          <w:rFonts w:ascii="Times New Roman" w:hAnsi="Times New Roman" w:cs="Times New Roman"/>
          <w:sz w:val="24"/>
          <w:szCs w:val="24"/>
        </w:rPr>
        <w:t xml:space="preserve"> the usual legislative checks.</w:t>
      </w:r>
      <w:r w:rsidR="00A23010" w:rsidRPr="00516213">
        <w:rPr>
          <w:rFonts w:ascii="Times New Roman" w:hAnsi="Times New Roman" w:cs="Times New Roman"/>
          <w:sz w:val="24"/>
          <w:szCs w:val="24"/>
        </w:rPr>
        <w:t xml:space="preserve"> </w:t>
      </w:r>
      <w:r w:rsidR="00CA6FE5" w:rsidRPr="00516213">
        <w:rPr>
          <w:rFonts w:ascii="Times New Roman" w:hAnsi="Times New Roman" w:cs="Times New Roman"/>
          <w:sz w:val="24"/>
          <w:szCs w:val="24"/>
        </w:rPr>
        <w:t xml:space="preserve">Using this emergency legislation, a huge purge was undertaken of the Turkish political system: more than 150,000 people were dismissed from public sector jobs, 6,000 academics and 4,500 members of the judiciary lost their jobs, and more than 300 journalists were arrested (Turkey Purge 2022). </w:t>
      </w:r>
      <w:r w:rsidR="00A23010" w:rsidRPr="00516213">
        <w:rPr>
          <w:rFonts w:ascii="Times New Roman" w:hAnsi="Times New Roman" w:cs="Times New Roman"/>
          <w:sz w:val="24"/>
          <w:szCs w:val="24"/>
        </w:rPr>
        <w:t xml:space="preserve">These decrees were </w:t>
      </w:r>
      <w:r w:rsidR="00F774A9" w:rsidRPr="00516213">
        <w:rPr>
          <w:rFonts w:ascii="Times New Roman" w:hAnsi="Times New Roman" w:cs="Times New Roman"/>
          <w:sz w:val="24"/>
          <w:szCs w:val="24"/>
        </w:rPr>
        <w:t xml:space="preserve">not </w:t>
      </w:r>
      <w:r w:rsidR="00CA6FE5" w:rsidRPr="00516213">
        <w:rPr>
          <w:rFonts w:ascii="Times New Roman" w:hAnsi="Times New Roman" w:cs="Times New Roman"/>
          <w:sz w:val="24"/>
          <w:szCs w:val="24"/>
        </w:rPr>
        <w:t xml:space="preserve">solely </w:t>
      </w:r>
      <w:r w:rsidR="00F774A9" w:rsidRPr="00516213">
        <w:rPr>
          <w:rFonts w:ascii="Times New Roman" w:hAnsi="Times New Roman" w:cs="Times New Roman"/>
          <w:sz w:val="24"/>
          <w:szCs w:val="24"/>
        </w:rPr>
        <w:t>used to purge those allegedly responsible for the coup</w:t>
      </w:r>
      <w:r w:rsidR="00735F75">
        <w:rPr>
          <w:rFonts w:ascii="Times New Roman" w:hAnsi="Times New Roman" w:cs="Times New Roman"/>
          <w:sz w:val="24"/>
          <w:szCs w:val="24"/>
        </w:rPr>
        <w:t>;</w:t>
      </w:r>
      <w:r w:rsidR="00F774A9" w:rsidRPr="00516213">
        <w:rPr>
          <w:rFonts w:ascii="Times New Roman" w:hAnsi="Times New Roman" w:cs="Times New Roman"/>
          <w:sz w:val="24"/>
          <w:szCs w:val="24"/>
        </w:rPr>
        <w:t xml:space="preserve"> the</w:t>
      </w:r>
      <w:r w:rsidR="007B5382" w:rsidRPr="00516213">
        <w:rPr>
          <w:rFonts w:ascii="Times New Roman" w:hAnsi="Times New Roman" w:cs="Times New Roman"/>
          <w:sz w:val="24"/>
          <w:szCs w:val="24"/>
        </w:rPr>
        <w:t>y</w:t>
      </w:r>
      <w:r w:rsidR="00F774A9" w:rsidRPr="00516213">
        <w:rPr>
          <w:rFonts w:ascii="Times New Roman" w:hAnsi="Times New Roman" w:cs="Times New Roman"/>
          <w:sz w:val="24"/>
          <w:szCs w:val="24"/>
        </w:rPr>
        <w:t xml:space="preserve"> were </w:t>
      </w:r>
      <w:r w:rsidR="00A23010" w:rsidRPr="00516213">
        <w:rPr>
          <w:rFonts w:ascii="Times New Roman" w:hAnsi="Times New Roman" w:cs="Times New Roman"/>
          <w:sz w:val="24"/>
          <w:szCs w:val="24"/>
        </w:rPr>
        <w:t xml:space="preserve">used </w:t>
      </w:r>
      <w:r w:rsidR="00473DC7" w:rsidRPr="00516213">
        <w:rPr>
          <w:rFonts w:ascii="Times New Roman" w:hAnsi="Times New Roman" w:cs="Times New Roman"/>
          <w:sz w:val="24"/>
          <w:szCs w:val="24"/>
        </w:rPr>
        <w:t xml:space="preserve">extensively </w:t>
      </w:r>
      <w:r w:rsidR="00A23010" w:rsidRPr="00516213">
        <w:rPr>
          <w:rFonts w:ascii="Times New Roman" w:hAnsi="Times New Roman" w:cs="Times New Roman"/>
          <w:sz w:val="24"/>
          <w:szCs w:val="24"/>
        </w:rPr>
        <w:t xml:space="preserve">to target </w:t>
      </w:r>
      <w:r w:rsidR="00771DE3" w:rsidRPr="00516213">
        <w:rPr>
          <w:rFonts w:ascii="Times New Roman" w:hAnsi="Times New Roman" w:cs="Times New Roman"/>
          <w:sz w:val="24"/>
          <w:szCs w:val="24"/>
        </w:rPr>
        <w:t xml:space="preserve">Kurdish political activists </w:t>
      </w:r>
      <w:r w:rsidR="00A23010" w:rsidRPr="00516213">
        <w:rPr>
          <w:rFonts w:ascii="Times New Roman" w:hAnsi="Times New Roman" w:cs="Times New Roman"/>
          <w:sz w:val="24"/>
          <w:szCs w:val="24"/>
        </w:rPr>
        <w:t>challen</w:t>
      </w:r>
      <w:r w:rsidR="00771DE3" w:rsidRPr="00516213">
        <w:rPr>
          <w:rFonts w:ascii="Times New Roman" w:hAnsi="Times New Roman" w:cs="Times New Roman"/>
          <w:sz w:val="24"/>
          <w:szCs w:val="24"/>
        </w:rPr>
        <w:t>ging</w:t>
      </w:r>
      <w:r w:rsidR="00A23010" w:rsidRPr="00516213">
        <w:rPr>
          <w:rFonts w:ascii="Times New Roman" w:hAnsi="Times New Roman" w:cs="Times New Roman"/>
          <w:sz w:val="24"/>
          <w:szCs w:val="24"/>
        </w:rPr>
        <w:t xml:space="preserve"> the </w:t>
      </w:r>
      <w:r w:rsidR="00473DC7" w:rsidRPr="00516213">
        <w:rPr>
          <w:rFonts w:ascii="Times New Roman" w:hAnsi="Times New Roman" w:cs="Times New Roman"/>
          <w:sz w:val="24"/>
          <w:szCs w:val="24"/>
        </w:rPr>
        <w:t>governing party</w:t>
      </w:r>
      <w:r w:rsidR="00F774A9" w:rsidRPr="00516213">
        <w:rPr>
          <w:rFonts w:ascii="Times New Roman" w:hAnsi="Times New Roman" w:cs="Times New Roman"/>
          <w:sz w:val="24"/>
          <w:szCs w:val="24"/>
        </w:rPr>
        <w:t xml:space="preserve">. For example, one decree that enabled the removal </w:t>
      </w:r>
      <w:r w:rsidR="00011F96" w:rsidRPr="00516213">
        <w:rPr>
          <w:rFonts w:ascii="Times New Roman" w:hAnsi="Times New Roman" w:cs="Times New Roman"/>
          <w:sz w:val="24"/>
          <w:szCs w:val="24"/>
        </w:rPr>
        <w:t xml:space="preserve">from office </w:t>
      </w:r>
      <w:r w:rsidR="00F774A9" w:rsidRPr="00516213">
        <w:rPr>
          <w:rFonts w:ascii="Times New Roman" w:hAnsi="Times New Roman" w:cs="Times New Roman"/>
          <w:sz w:val="24"/>
          <w:szCs w:val="24"/>
        </w:rPr>
        <w:t xml:space="preserve">of local mayors accused of terrorism and </w:t>
      </w:r>
      <w:r w:rsidR="00E840AB">
        <w:rPr>
          <w:rFonts w:ascii="Times New Roman" w:hAnsi="Times New Roman" w:cs="Times New Roman"/>
          <w:sz w:val="24"/>
          <w:szCs w:val="24"/>
        </w:rPr>
        <w:t>replacement of</w:t>
      </w:r>
      <w:r w:rsidR="00F774A9" w:rsidRPr="00516213">
        <w:rPr>
          <w:rFonts w:ascii="Times New Roman" w:hAnsi="Times New Roman" w:cs="Times New Roman"/>
          <w:sz w:val="24"/>
          <w:szCs w:val="24"/>
        </w:rPr>
        <w:t xml:space="preserve"> them with state appointees</w:t>
      </w:r>
      <w:r w:rsidR="00011F96" w:rsidRPr="00516213">
        <w:rPr>
          <w:rFonts w:ascii="Times New Roman" w:hAnsi="Times New Roman" w:cs="Times New Roman"/>
          <w:sz w:val="24"/>
          <w:szCs w:val="24"/>
        </w:rPr>
        <w:t xml:space="preserve"> </w:t>
      </w:r>
      <w:r w:rsidR="00F774A9" w:rsidRPr="00516213">
        <w:rPr>
          <w:rFonts w:ascii="Times New Roman" w:hAnsi="Times New Roman" w:cs="Times New Roman"/>
          <w:sz w:val="24"/>
          <w:szCs w:val="24"/>
        </w:rPr>
        <w:t>was used to remove three mayors affiliated with Gülen</w:t>
      </w:r>
      <w:r w:rsidR="00E840AB">
        <w:rPr>
          <w:rFonts w:ascii="Times New Roman" w:hAnsi="Times New Roman" w:cs="Times New Roman"/>
          <w:sz w:val="24"/>
          <w:szCs w:val="24"/>
        </w:rPr>
        <w:t>. At the same</w:t>
      </w:r>
      <w:r w:rsidR="00A15EA1">
        <w:rPr>
          <w:rFonts w:ascii="Times New Roman" w:hAnsi="Times New Roman" w:cs="Times New Roman"/>
          <w:sz w:val="24"/>
          <w:szCs w:val="24"/>
        </w:rPr>
        <w:t xml:space="preserve"> time</w:t>
      </w:r>
      <w:r w:rsidR="00E840AB">
        <w:rPr>
          <w:rFonts w:ascii="Times New Roman" w:hAnsi="Times New Roman" w:cs="Times New Roman"/>
          <w:sz w:val="24"/>
          <w:szCs w:val="24"/>
        </w:rPr>
        <w:t>, the degree was used to replace</w:t>
      </w:r>
      <w:r w:rsidR="00F774A9" w:rsidRPr="00516213">
        <w:rPr>
          <w:rFonts w:ascii="Times New Roman" w:hAnsi="Times New Roman" w:cs="Times New Roman"/>
          <w:sz w:val="24"/>
          <w:szCs w:val="24"/>
        </w:rPr>
        <w:t xml:space="preserve"> almost 200 </w:t>
      </w:r>
      <w:r w:rsidR="00E840AB">
        <w:rPr>
          <w:rFonts w:ascii="Times New Roman" w:hAnsi="Times New Roman" w:cs="Times New Roman"/>
          <w:sz w:val="24"/>
          <w:szCs w:val="24"/>
        </w:rPr>
        <w:t xml:space="preserve">mayors </w:t>
      </w:r>
      <w:r w:rsidR="00F774A9" w:rsidRPr="00516213">
        <w:rPr>
          <w:rFonts w:ascii="Times New Roman" w:hAnsi="Times New Roman" w:cs="Times New Roman"/>
          <w:sz w:val="24"/>
          <w:szCs w:val="24"/>
        </w:rPr>
        <w:t xml:space="preserve">affiliated </w:t>
      </w:r>
      <w:r w:rsidR="0021598C" w:rsidRPr="00516213">
        <w:rPr>
          <w:rFonts w:ascii="Times New Roman" w:hAnsi="Times New Roman" w:cs="Times New Roman"/>
          <w:sz w:val="24"/>
          <w:szCs w:val="24"/>
        </w:rPr>
        <w:t>with Kurdish politics (Whiting and</w:t>
      </w:r>
      <w:r w:rsidR="00F774A9" w:rsidRPr="00516213">
        <w:rPr>
          <w:rFonts w:ascii="Times New Roman" w:hAnsi="Times New Roman" w:cs="Times New Roman"/>
          <w:sz w:val="24"/>
          <w:szCs w:val="24"/>
        </w:rPr>
        <w:t xml:space="preserve"> Kaya 202</w:t>
      </w:r>
      <w:r w:rsidR="0018372E" w:rsidRPr="00516213">
        <w:rPr>
          <w:rFonts w:ascii="Times New Roman" w:hAnsi="Times New Roman" w:cs="Times New Roman"/>
          <w:sz w:val="24"/>
          <w:szCs w:val="24"/>
        </w:rPr>
        <w:t>1</w:t>
      </w:r>
      <w:r w:rsidR="00F774A9" w:rsidRPr="00516213">
        <w:rPr>
          <w:rFonts w:ascii="Times New Roman" w:hAnsi="Times New Roman" w:cs="Times New Roman"/>
          <w:sz w:val="24"/>
          <w:szCs w:val="24"/>
        </w:rPr>
        <w:t>).</w:t>
      </w:r>
    </w:p>
    <w:p w14:paraId="777B5EB5" w14:textId="5AD837CD" w:rsidR="00642940" w:rsidRPr="00516213" w:rsidRDefault="002E1262" w:rsidP="000D373E">
      <w:pPr>
        <w:spacing w:line="360" w:lineRule="auto"/>
        <w:ind w:firstLine="720"/>
        <w:jc w:val="both"/>
        <w:rPr>
          <w:rFonts w:ascii="Times New Roman" w:hAnsi="Times New Roman" w:cs="Times New Roman"/>
          <w:sz w:val="24"/>
          <w:szCs w:val="24"/>
        </w:rPr>
      </w:pPr>
      <w:r w:rsidRPr="00516213">
        <w:rPr>
          <w:rFonts w:ascii="Times New Roman" w:hAnsi="Times New Roman" w:cs="Times New Roman"/>
          <w:sz w:val="24"/>
          <w:szCs w:val="24"/>
        </w:rPr>
        <w:t>We know that minorities are often the target of emergency rule, particularly those that challenge the state</w:t>
      </w:r>
      <w:r w:rsidR="0084085A" w:rsidRPr="00516213">
        <w:rPr>
          <w:rFonts w:ascii="Times New Roman" w:hAnsi="Times New Roman" w:cs="Times New Roman"/>
          <w:sz w:val="24"/>
          <w:szCs w:val="24"/>
        </w:rPr>
        <w:t xml:space="preserve">, and </w:t>
      </w:r>
      <w:r w:rsidR="00692943" w:rsidRPr="00516213">
        <w:rPr>
          <w:rFonts w:ascii="Times New Roman" w:hAnsi="Times New Roman" w:cs="Times New Roman"/>
          <w:sz w:val="24"/>
          <w:szCs w:val="24"/>
        </w:rPr>
        <w:t xml:space="preserve">we know that </w:t>
      </w:r>
      <w:r w:rsidR="0084085A" w:rsidRPr="00516213">
        <w:rPr>
          <w:rFonts w:ascii="Times New Roman" w:hAnsi="Times New Roman" w:cs="Times New Roman"/>
          <w:sz w:val="24"/>
          <w:szCs w:val="24"/>
        </w:rPr>
        <w:t xml:space="preserve">the rights of minorities are particularly vulnerable during an emergency </w:t>
      </w:r>
      <w:r w:rsidR="00144EC8" w:rsidRPr="00516213">
        <w:rPr>
          <w:rFonts w:ascii="Times New Roman" w:hAnsi="Times New Roman" w:cs="Times New Roman"/>
          <w:sz w:val="24"/>
          <w:szCs w:val="24"/>
        </w:rPr>
        <w:t>(</w:t>
      </w:r>
      <w:r w:rsidR="0084085A" w:rsidRPr="00516213">
        <w:rPr>
          <w:rFonts w:ascii="Times New Roman" w:hAnsi="Times New Roman" w:cs="Times New Roman"/>
          <w:sz w:val="24"/>
          <w:szCs w:val="24"/>
        </w:rPr>
        <w:t>International Commission of Jurist</w:t>
      </w:r>
      <w:r w:rsidR="00692943" w:rsidRPr="00516213">
        <w:rPr>
          <w:rFonts w:ascii="Times New Roman" w:hAnsi="Times New Roman" w:cs="Times New Roman"/>
          <w:sz w:val="24"/>
          <w:szCs w:val="24"/>
        </w:rPr>
        <w:t>s</w:t>
      </w:r>
      <w:r w:rsidR="0084085A" w:rsidRPr="00516213">
        <w:rPr>
          <w:rFonts w:ascii="Times New Roman" w:hAnsi="Times New Roman" w:cs="Times New Roman"/>
          <w:sz w:val="24"/>
          <w:szCs w:val="24"/>
        </w:rPr>
        <w:t xml:space="preserve"> 1983)</w:t>
      </w:r>
      <w:r w:rsidRPr="00516213">
        <w:rPr>
          <w:rFonts w:ascii="Times New Roman" w:hAnsi="Times New Roman" w:cs="Times New Roman"/>
          <w:sz w:val="24"/>
          <w:szCs w:val="24"/>
        </w:rPr>
        <w:t xml:space="preserve">. </w:t>
      </w:r>
      <w:r w:rsidR="00144EC8" w:rsidRPr="00516213">
        <w:rPr>
          <w:rFonts w:ascii="Times New Roman" w:eastAsiaTheme="majorEastAsia" w:hAnsi="Times New Roman" w:cs="Times New Roman"/>
          <w:bCs/>
          <w:sz w:val="24"/>
          <w:szCs w:val="24"/>
        </w:rPr>
        <w:t xml:space="preserve">The impacts of exceptionalist practices, such as surveillance, </w:t>
      </w:r>
      <w:proofErr w:type="gramStart"/>
      <w:r w:rsidR="00144EC8" w:rsidRPr="00516213">
        <w:rPr>
          <w:rFonts w:ascii="Times New Roman" w:eastAsiaTheme="majorEastAsia" w:hAnsi="Times New Roman" w:cs="Times New Roman"/>
          <w:bCs/>
          <w:sz w:val="24"/>
          <w:szCs w:val="24"/>
        </w:rPr>
        <w:t>oppression</w:t>
      </w:r>
      <w:proofErr w:type="gramEnd"/>
      <w:r w:rsidR="00144EC8" w:rsidRPr="00516213">
        <w:rPr>
          <w:rFonts w:ascii="Times New Roman" w:eastAsiaTheme="majorEastAsia" w:hAnsi="Times New Roman" w:cs="Times New Roman"/>
          <w:bCs/>
          <w:sz w:val="24"/>
          <w:szCs w:val="24"/>
        </w:rPr>
        <w:t xml:space="preserve"> and marginalization, are more de</w:t>
      </w:r>
      <w:r w:rsidR="00BC3BE3" w:rsidRPr="00516213">
        <w:rPr>
          <w:rFonts w:ascii="Times New Roman" w:eastAsiaTheme="majorEastAsia" w:hAnsi="Times New Roman" w:cs="Times New Roman"/>
          <w:bCs/>
          <w:sz w:val="24"/>
          <w:szCs w:val="24"/>
        </w:rPr>
        <w:t>st</w:t>
      </w:r>
      <w:r w:rsidR="00144EC8" w:rsidRPr="00516213">
        <w:rPr>
          <w:rFonts w:ascii="Times New Roman" w:eastAsiaTheme="majorEastAsia" w:hAnsi="Times New Roman" w:cs="Times New Roman"/>
          <w:bCs/>
          <w:sz w:val="24"/>
          <w:szCs w:val="24"/>
        </w:rPr>
        <w:t xml:space="preserve">ructive for groups </w:t>
      </w:r>
      <w:r w:rsidR="00ED1913" w:rsidRPr="00516213">
        <w:rPr>
          <w:rFonts w:ascii="Times New Roman" w:eastAsiaTheme="majorEastAsia" w:hAnsi="Times New Roman" w:cs="Times New Roman"/>
          <w:bCs/>
          <w:sz w:val="24"/>
          <w:szCs w:val="24"/>
        </w:rPr>
        <w:t>that</w:t>
      </w:r>
      <w:r w:rsidR="00144EC8" w:rsidRPr="00516213">
        <w:rPr>
          <w:rFonts w:ascii="Times New Roman" w:eastAsiaTheme="majorEastAsia" w:hAnsi="Times New Roman" w:cs="Times New Roman"/>
          <w:bCs/>
          <w:sz w:val="24"/>
          <w:szCs w:val="24"/>
        </w:rPr>
        <w:t xml:space="preserve"> are deprived of social and political support existing for the majority (Darcy 2002).</w:t>
      </w:r>
      <w:r w:rsidR="00144EC8" w:rsidRPr="00516213">
        <w:rPr>
          <w:rFonts w:ascii="Times New Roman" w:hAnsi="Times New Roman" w:cs="Times New Roman"/>
          <w:sz w:val="24"/>
          <w:szCs w:val="24"/>
        </w:rPr>
        <w:t xml:space="preserve"> </w:t>
      </w:r>
      <w:r w:rsidRPr="00516213">
        <w:rPr>
          <w:rFonts w:ascii="Times New Roman" w:hAnsi="Times New Roman" w:cs="Times New Roman"/>
          <w:sz w:val="24"/>
          <w:szCs w:val="24"/>
        </w:rPr>
        <w:t xml:space="preserve">Governments construct an emergency around a threat posed by </w:t>
      </w:r>
      <w:r w:rsidR="00692943" w:rsidRPr="00516213">
        <w:rPr>
          <w:rFonts w:ascii="Times New Roman" w:hAnsi="Times New Roman" w:cs="Times New Roman"/>
          <w:sz w:val="24"/>
          <w:szCs w:val="24"/>
        </w:rPr>
        <w:t xml:space="preserve">a minority opposition </w:t>
      </w:r>
      <w:r w:rsidRPr="00516213">
        <w:rPr>
          <w:rFonts w:ascii="Times New Roman" w:hAnsi="Times New Roman" w:cs="Times New Roman"/>
          <w:sz w:val="24"/>
          <w:szCs w:val="24"/>
        </w:rPr>
        <w:t>group, securitize the group, and then use extraordinary powers to suppress this ‘threat’</w:t>
      </w:r>
      <w:r w:rsidR="00B95C65" w:rsidRPr="00516213">
        <w:rPr>
          <w:rFonts w:ascii="Times New Roman" w:hAnsi="Times New Roman" w:cs="Times New Roman"/>
          <w:sz w:val="24"/>
          <w:szCs w:val="24"/>
        </w:rPr>
        <w:t xml:space="preserve"> (Wright 2015; Hu</w:t>
      </w:r>
      <w:r w:rsidR="0084085A" w:rsidRPr="00516213">
        <w:rPr>
          <w:rFonts w:ascii="Times New Roman" w:hAnsi="Times New Roman" w:cs="Times New Roman"/>
          <w:sz w:val="24"/>
          <w:szCs w:val="24"/>
        </w:rPr>
        <w:t>y</w:t>
      </w:r>
      <w:r w:rsidR="00B95C65" w:rsidRPr="00516213">
        <w:rPr>
          <w:rFonts w:ascii="Times New Roman" w:hAnsi="Times New Roman" w:cs="Times New Roman"/>
          <w:sz w:val="24"/>
          <w:szCs w:val="24"/>
        </w:rPr>
        <w:t>s</w:t>
      </w:r>
      <w:r w:rsidR="0084085A" w:rsidRPr="00516213">
        <w:rPr>
          <w:rFonts w:ascii="Times New Roman" w:hAnsi="Times New Roman" w:cs="Times New Roman"/>
          <w:sz w:val="24"/>
          <w:szCs w:val="24"/>
        </w:rPr>
        <w:t>mans 2006)</w:t>
      </w:r>
      <w:r w:rsidRPr="00516213">
        <w:rPr>
          <w:rFonts w:ascii="Times New Roman" w:hAnsi="Times New Roman" w:cs="Times New Roman"/>
          <w:sz w:val="24"/>
          <w:szCs w:val="24"/>
        </w:rPr>
        <w:t>.</w:t>
      </w:r>
    </w:p>
    <w:p w14:paraId="7C6CFB56" w14:textId="608CA394" w:rsidR="003D49A6" w:rsidRPr="00516213" w:rsidRDefault="002E1262" w:rsidP="000D373E">
      <w:pPr>
        <w:spacing w:line="360" w:lineRule="auto"/>
        <w:ind w:firstLine="720"/>
        <w:jc w:val="both"/>
        <w:rPr>
          <w:rFonts w:ascii="Times New Roman" w:hAnsi="Times New Roman" w:cs="Times New Roman"/>
          <w:sz w:val="24"/>
          <w:szCs w:val="24"/>
        </w:rPr>
      </w:pPr>
      <w:bookmarkStart w:id="1" w:name="_Hlk100061098"/>
      <w:r w:rsidRPr="00516213">
        <w:rPr>
          <w:rFonts w:ascii="Times New Roman" w:hAnsi="Times New Roman" w:cs="Times New Roman"/>
          <w:sz w:val="24"/>
          <w:szCs w:val="24"/>
        </w:rPr>
        <w:t xml:space="preserve">However, the </w:t>
      </w:r>
      <w:r w:rsidR="00472586" w:rsidRPr="00516213">
        <w:rPr>
          <w:rFonts w:ascii="Times New Roman" w:hAnsi="Times New Roman" w:cs="Times New Roman"/>
          <w:sz w:val="24"/>
          <w:szCs w:val="24"/>
        </w:rPr>
        <w:t xml:space="preserve">Turkish </w:t>
      </w:r>
      <w:r w:rsidRPr="00516213">
        <w:rPr>
          <w:rFonts w:ascii="Times New Roman" w:hAnsi="Times New Roman" w:cs="Times New Roman"/>
          <w:sz w:val="24"/>
          <w:szCs w:val="24"/>
        </w:rPr>
        <w:t>emergency in 2016 highlights a</w:t>
      </w:r>
      <w:r w:rsidR="00692943" w:rsidRPr="00516213">
        <w:rPr>
          <w:rFonts w:ascii="Times New Roman" w:hAnsi="Times New Roman" w:cs="Times New Roman"/>
          <w:sz w:val="24"/>
          <w:szCs w:val="24"/>
        </w:rPr>
        <w:t xml:space="preserve"> </w:t>
      </w:r>
      <w:r w:rsidR="00A15EA1" w:rsidRPr="00516213">
        <w:rPr>
          <w:rFonts w:ascii="Times New Roman" w:hAnsi="Times New Roman" w:cs="Times New Roman"/>
          <w:sz w:val="24"/>
          <w:szCs w:val="24"/>
        </w:rPr>
        <w:t>little</w:t>
      </w:r>
      <w:r w:rsidR="00A15EA1">
        <w:rPr>
          <w:rFonts w:ascii="Times New Roman" w:hAnsi="Times New Roman" w:cs="Times New Roman"/>
          <w:sz w:val="24"/>
          <w:szCs w:val="24"/>
        </w:rPr>
        <w:t>-</w:t>
      </w:r>
      <w:r w:rsidR="00692943" w:rsidRPr="00516213">
        <w:rPr>
          <w:rFonts w:ascii="Times New Roman" w:hAnsi="Times New Roman" w:cs="Times New Roman"/>
          <w:sz w:val="24"/>
          <w:szCs w:val="24"/>
        </w:rPr>
        <w:t xml:space="preserve">understood </w:t>
      </w:r>
      <w:r w:rsidR="00011F96" w:rsidRPr="00516213">
        <w:rPr>
          <w:rFonts w:ascii="Times New Roman" w:hAnsi="Times New Roman" w:cs="Times New Roman"/>
          <w:sz w:val="24"/>
          <w:szCs w:val="24"/>
        </w:rPr>
        <w:t xml:space="preserve">variation on this theme </w:t>
      </w:r>
      <w:r w:rsidRPr="00516213">
        <w:rPr>
          <w:rFonts w:ascii="Times New Roman" w:hAnsi="Times New Roman" w:cs="Times New Roman"/>
          <w:sz w:val="24"/>
          <w:szCs w:val="24"/>
        </w:rPr>
        <w:t>where the government constructed an eme</w:t>
      </w:r>
      <w:r w:rsidR="00BD5AA1" w:rsidRPr="00516213">
        <w:rPr>
          <w:rFonts w:ascii="Times New Roman" w:hAnsi="Times New Roman" w:cs="Times New Roman"/>
          <w:sz w:val="24"/>
          <w:szCs w:val="24"/>
        </w:rPr>
        <w:t xml:space="preserve">rgency around a threat from </w:t>
      </w:r>
      <w:r w:rsidR="004C2A17" w:rsidRPr="00516213">
        <w:rPr>
          <w:rFonts w:ascii="Times New Roman" w:hAnsi="Times New Roman" w:cs="Times New Roman"/>
          <w:sz w:val="24"/>
          <w:szCs w:val="24"/>
        </w:rPr>
        <w:t>FETÖ</w:t>
      </w:r>
      <w:r w:rsidRPr="00516213">
        <w:rPr>
          <w:rFonts w:ascii="Times New Roman" w:hAnsi="Times New Roman" w:cs="Times New Roman"/>
          <w:sz w:val="24"/>
          <w:szCs w:val="24"/>
        </w:rPr>
        <w:t xml:space="preserve"> but then used </w:t>
      </w:r>
      <w:r w:rsidR="00011F96" w:rsidRPr="00516213">
        <w:rPr>
          <w:rFonts w:ascii="Times New Roman" w:hAnsi="Times New Roman" w:cs="Times New Roman"/>
          <w:sz w:val="24"/>
          <w:szCs w:val="24"/>
        </w:rPr>
        <w:t xml:space="preserve">the subsequent </w:t>
      </w:r>
      <w:r w:rsidRPr="00516213">
        <w:rPr>
          <w:rFonts w:ascii="Times New Roman" w:hAnsi="Times New Roman" w:cs="Times New Roman"/>
          <w:sz w:val="24"/>
          <w:szCs w:val="24"/>
        </w:rPr>
        <w:t xml:space="preserve">extraordinary legislation against Kurdish politics. The </w:t>
      </w:r>
      <w:r w:rsidR="00285F0F" w:rsidRPr="00516213">
        <w:rPr>
          <w:rFonts w:ascii="Times New Roman" w:hAnsi="Times New Roman" w:cs="Times New Roman"/>
          <w:sz w:val="24"/>
          <w:szCs w:val="24"/>
        </w:rPr>
        <w:t xml:space="preserve">securitizing discourse justifying </w:t>
      </w:r>
      <w:r w:rsidR="00D368B0" w:rsidRPr="00516213">
        <w:rPr>
          <w:rFonts w:ascii="Times New Roman" w:hAnsi="Times New Roman" w:cs="Times New Roman"/>
          <w:sz w:val="24"/>
          <w:szCs w:val="24"/>
        </w:rPr>
        <w:t xml:space="preserve">the </w:t>
      </w:r>
      <w:r w:rsidRPr="00516213">
        <w:rPr>
          <w:rFonts w:ascii="Times New Roman" w:hAnsi="Times New Roman" w:cs="Times New Roman"/>
          <w:sz w:val="24"/>
          <w:szCs w:val="24"/>
        </w:rPr>
        <w:t xml:space="preserve">emergency and the minority group targeted were not </w:t>
      </w:r>
      <w:r w:rsidR="00D368B0" w:rsidRPr="00516213">
        <w:rPr>
          <w:rFonts w:ascii="Times New Roman" w:hAnsi="Times New Roman" w:cs="Times New Roman"/>
          <w:sz w:val="24"/>
          <w:szCs w:val="24"/>
        </w:rPr>
        <w:t xml:space="preserve">actually </w:t>
      </w:r>
      <w:r w:rsidRPr="00516213">
        <w:rPr>
          <w:rFonts w:ascii="Times New Roman" w:hAnsi="Times New Roman" w:cs="Times New Roman"/>
          <w:sz w:val="24"/>
          <w:szCs w:val="24"/>
        </w:rPr>
        <w:t>related.</w:t>
      </w:r>
      <w:r w:rsidR="00642940" w:rsidRPr="00516213">
        <w:rPr>
          <w:rFonts w:ascii="Times New Roman" w:hAnsi="Times New Roman" w:cs="Times New Roman"/>
          <w:sz w:val="24"/>
          <w:szCs w:val="24"/>
        </w:rPr>
        <w:t xml:space="preserve"> </w:t>
      </w:r>
      <w:r w:rsidR="006418E3" w:rsidRPr="00516213">
        <w:rPr>
          <w:rFonts w:ascii="Times New Roman" w:eastAsiaTheme="majorEastAsia" w:hAnsi="Times New Roman" w:cs="Times New Roman"/>
          <w:bCs/>
          <w:sz w:val="24"/>
          <w:szCs w:val="24"/>
        </w:rPr>
        <w:t xml:space="preserve">While the use of emergency measures and exceptional legal regimes targeting Kurdish-populated regions </w:t>
      </w:r>
      <w:r w:rsidR="00F96BF0" w:rsidRPr="00516213">
        <w:rPr>
          <w:rFonts w:ascii="Times New Roman" w:eastAsiaTheme="majorEastAsia" w:hAnsi="Times New Roman" w:cs="Times New Roman"/>
          <w:bCs/>
          <w:sz w:val="24"/>
          <w:szCs w:val="24"/>
        </w:rPr>
        <w:t xml:space="preserve">have been </w:t>
      </w:r>
      <w:r w:rsidR="004E0244" w:rsidRPr="00516213">
        <w:rPr>
          <w:rFonts w:ascii="Times New Roman" w:eastAsiaTheme="majorEastAsia" w:hAnsi="Times New Roman" w:cs="Times New Roman"/>
          <w:bCs/>
          <w:sz w:val="24"/>
          <w:szCs w:val="24"/>
        </w:rPr>
        <w:t xml:space="preserve">examined (see </w:t>
      </w:r>
      <w:proofErr w:type="spellStart"/>
      <w:r w:rsidR="004E0244" w:rsidRPr="00516213">
        <w:rPr>
          <w:rFonts w:ascii="Times New Roman" w:eastAsiaTheme="majorEastAsia" w:hAnsi="Times New Roman" w:cs="Times New Roman"/>
          <w:bCs/>
          <w:sz w:val="24"/>
          <w:szCs w:val="24"/>
        </w:rPr>
        <w:t>Kurban</w:t>
      </w:r>
      <w:proofErr w:type="spellEnd"/>
      <w:r w:rsidR="004E0244" w:rsidRPr="00516213">
        <w:rPr>
          <w:rFonts w:ascii="Times New Roman" w:eastAsiaTheme="majorEastAsia" w:hAnsi="Times New Roman" w:cs="Times New Roman"/>
          <w:bCs/>
          <w:sz w:val="24"/>
          <w:szCs w:val="24"/>
        </w:rPr>
        <w:t xml:space="preserve"> 2020; </w:t>
      </w:r>
      <w:proofErr w:type="spellStart"/>
      <w:r w:rsidR="006418E3" w:rsidRPr="00516213">
        <w:rPr>
          <w:rFonts w:ascii="Times New Roman" w:eastAsiaTheme="majorEastAsia" w:hAnsi="Times New Roman" w:cs="Times New Roman"/>
          <w:bCs/>
          <w:sz w:val="24"/>
          <w:szCs w:val="24"/>
        </w:rPr>
        <w:t>Beşikçi</w:t>
      </w:r>
      <w:proofErr w:type="spellEnd"/>
      <w:r w:rsidR="006418E3" w:rsidRPr="00516213">
        <w:rPr>
          <w:rFonts w:ascii="Times New Roman" w:eastAsiaTheme="majorEastAsia" w:hAnsi="Times New Roman" w:cs="Times New Roman"/>
          <w:bCs/>
          <w:sz w:val="24"/>
          <w:szCs w:val="24"/>
        </w:rPr>
        <w:t xml:space="preserve"> 1990</w:t>
      </w:r>
      <w:r w:rsidR="00692943" w:rsidRPr="00516213">
        <w:rPr>
          <w:rFonts w:ascii="Times New Roman" w:eastAsiaTheme="majorEastAsia" w:hAnsi="Times New Roman" w:cs="Times New Roman"/>
          <w:bCs/>
          <w:sz w:val="24"/>
          <w:szCs w:val="24"/>
        </w:rPr>
        <w:t>,</w:t>
      </w:r>
      <w:r w:rsidR="006418E3" w:rsidRPr="00516213">
        <w:rPr>
          <w:rFonts w:ascii="Times New Roman" w:eastAsiaTheme="majorEastAsia" w:hAnsi="Times New Roman" w:cs="Times New Roman"/>
          <w:bCs/>
          <w:sz w:val="24"/>
          <w:szCs w:val="24"/>
        </w:rPr>
        <w:t xml:space="preserve"> among others), the 2016 instance is particularly interesting in that it was a nationwide </w:t>
      </w:r>
      <w:r w:rsidR="00472586" w:rsidRPr="00516213">
        <w:rPr>
          <w:rFonts w:ascii="Times New Roman" w:eastAsiaTheme="majorEastAsia" w:hAnsi="Times New Roman" w:cs="Times New Roman"/>
          <w:bCs/>
          <w:sz w:val="24"/>
          <w:szCs w:val="24"/>
        </w:rPr>
        <w:t xml:space="preserve">state of emergency </w:t>
      </w:r>
      <w:r w:rsidR="006418E3" w:rsidRPr="00516213">
        <w:rPr>
          <w:rFonts w:ascii="Times New Roman" w:eastAsiaTheme="majorEastAsia" w:hAnsi="Times New Roman" w:cs="Times New Roman"/>
          <w:bCs/>
          <w:sz w:val="24"/>
          <w:szCs w:val="24"/>
        </w:rPr>
        <w:t xml:space="preserve">not initially related to Kurdish radicalism. </w:t>
      </w:r>
      <w:r w:rsidR="009333D3" w:rsidRPr="00516213">
        <w:rPr>
          <w:rFonts w:ascii="Times New Roman" w:hAnsi="Times New Roman" w:cs="Times New Roman"/>
          <w:sz w:val="24"/>
          <w:szCs w:val="24"/>
        </w:rPr>
        <w:t xml:space="preserve">How can a </w:t>
      </w:r>
      <w:r w:rsidR="004E0244" w:rsidRPr="00516213">
        <w:rPr>
          <w:rFonts w:ascii="Times New Roman" w:hAnsi="Times New Roman" w:cs="Times New Roman"/>
          <w:sz w:val="24"/>
          <w:szCs w:val="24"/>
        </w:rPr>
        <w:t>state of emergency</w:t>
      </w:r>
      <w:r w:rsidR="003C0174" w:rsidRPr="00516213">
        <w:rPr>
          <w:rFonts w:ascii="Times New Roman" w:hAnsi="Times New Roman" w:cs="Times New Roman"/>
          <w:sz w:val="24"/>
          <w:szCs w:val="24"/>
        </w:rPr>
        <w:t xml:space="preserve"> </w:t>
      </w:r>
      <w:r w:rsidR="009333D3" w:rsidRPr="00516213">
        <w:rPr>
          <w:rFonts w:ascii="Times New Roman" w:hAnsi="Times New Roman" w:cs="Times New Roman"/>
          <w:sz w:val="24"/>
          <w:szCs w:val="24"/>
        </w:rPr>
        <w:t xml:space="preserve">be turned against vulnerable minorities even though they had nothing to do with the reasons for declaring </w:t>
      </w:r>
      <w:r w:rsidR="00020D66" w:rsidRPr="00516213">
        <w:rPr>
          <w:rFonts w:ascii="Times New Roman" w:hAnsi="Times New Roman" w:cs="Times New Roman"/>
          <w:sz w:val="24"/>
          <w:szCs w:val="24"/>
        </w:rPr>
        <w:t>the</w:t>
      </w:r>
      <w:r w:rsidR="009333D3" w:rsidRPr="00516213">
        <w:rPr>
          <w:rFonts w:ascii="Times New Roman" w:hAnsi="Times New Roman" w:cs="Times New Roman"/>
          <w:sz w:val="24"/>
          <w:szCs w:val="24"/>
        </w:rPr>
        <w:t xml:space="preserve"> emergency in the first place? Can we assume that all citizens or social groups have similar insurances vis-à-vis expanding executive powers and </w:t>
      </w:r>
      <w:r w:rsidR="00020D66" w:rsidRPr="00516213">
        <w:rPr>
          <w:rFonts w:ascii="Times New Roman" w:hAnsi="Times New Roman" w:cs="Times New Roman"/>
          <w:sz w:val="24"/>
          <w:szCs w:val="24"/>
        </w:rPr>
        <w:t>any</w:t>
      </w:r>
      <w:r w:rsidR="009333D3" w:rsidRPr="00516213">
        <w:rPr>
          <w:rFonts w:ascii="Times New Roman" w:hAnsi="Times New Roman" w:cs="Times New Roman"/>
          <w:sz w:val="24"/>
          <w:szCs w:val="24"/>
        </w:rPr>
        <w:t xml:space="preserve"> accompanying illiberal practices during a state of e</w:t>
      </w:r>
      <w:r w:rsidR="00D368B0" w:rsidRPr="00516213">
        <w:rPr>
          <w:rFonts w:ascii="Times New Roman" w:hAnsi="Times New Roman" w:cs="Times New Roman"/>
          <w:sz w:val="24"/>
          <w:szCs w:val="24"/>
        </w:rPr>
        <w:t>mergency</w:t>
      </w:r>
      <w:r w:rsidR="009333D3" w:rsidRPr="00516213">
        <w:rPr>
          <w:rFonts w:ascii="Times New Roman" w:hAnsi="Times New Roman" w:cs="Times New Roman"/>
          <w:sz w:val="24"/>
          <w:szCs w:val="24"/>
        </w:rPr>
        <w:t xml:space="preserve">? </w:t>
      </w:r>
      <w:r w:rsidR="00BD103A" w:rsidRPr="00516213">
        <w:rPr>
          <w:rFonts w:ascii="Times New Roman" w:hAnsi="Times New Roman" w:cs="Times New Roman"/>
          <w:sz w:val="24"/>
          <w:szCs w:val="24"/>
        </w:rPr>
        <w:t xml:space="preserve">How do emergency declarations </w:t>
      </w:r>
      <w:r w:rsidRPr="00516213">
        <w:rPr>
          <w:rFonts w:ascii="Times New Roman" w:hAnsi="Times New Roman" w:cs="Times New Roman"/>
          <w:sz w:val="24"/>
          <w:szCs w:val="24"/>
        </w:rPr>
        <w:t xml:space="preserve">dovetail with </w:t>
      </w:r>
      <w:r w:rsidR="00D368B0" w:rsidRPr="00516213">
        <w:rPr>
          <w:rFonts w:ascii="Times New Roman" w:hAnsi="Times New Roman" w:cs="Times New Roman"/>
          <w:sz w:val="24"/>
          <w:szCs w:val="24"/>
        </w:rPr>
        <w:t xml:space="preserve">wider </w:t>
      </w:r>
      <w:r w:rsidR="00BD103A" w:rsidRPr="00516213">
        <w:rPr>
          <w:rFonts w:ascii="Times New Roman" w:hAnsi="Times New Roman" w:cs="Times New Roman"/>
          <w:sz w:val="24"/>
          <w:szCs w:val="24"/>
        </w:rPr>
        <w:t xml:space="preserve">backsliding in minority rights, even when the emergency is </w:t>
      </w:r>
      <w:r w:rsidR="00A15EA1">
        <w:rPr>
          <w:rFonts w:ascii="Times New Roman" w:hAnsi="Times New Roman" w:cs="Times New Roman"/>
          <w:sz w:val="24"/>
          <w:szCs w:val="24"/>
        </w:rPr>
        <w:t>un</w:t>
      </w:r>
      <w:r w:rsidR="00BD103A" w:rsidRPr="00516213">
        <w:rPr>
          <w:rFonts w:ascii="Times New Roman" w:hAnsi="Times New Roman" w:cs="Times New Roman"/>
          <w:sz w:val="24"/>
          <w:szCs w:val="24"/>
        </w:rPr>
        <w:t xml:space="preserve">related to that minority? </w:t>
      </w:r>
      <w:bookmarkEnd w:id="1"/>
    </w:p>
    <w:p w14:paraId="5B7C7ACB" w14:textId="5D48157E" w:rsidR="00CB0C66" w:rsidRPr="00516213" w:rsidRDefault="005F2FEF" w:rsidP="000D373E">
      <w:pPr>
        <w:spacing w:line="360" w:lineRule="auto"/>
        <w:ind w:firstLine="720"/>
        <w:jc w:val="both"/>
        <w:rPr>
          <w:rFonts w:ascii="Times New Roman" w:hAnsi="Times New Roman" w:cs="Times New Roman"/>
          <w:sz w:val="24"/>
          <w:szCs w:val="24"/>
        </w:rPr>
      </w:pPr>
      <w:r w:rsidRPr="00516213">
        <w:rPr>
          <w:rFonts w:ascii="Times New Roman" w:hAnsi="Times New Roman" w:cs="Times New Roman"/>
          <w:sz w:val="24"/>
          <w:szCs w:val="24"/>
        </w:rPr>
        <w:t>To answer these questions</w:t>
      </w:r>
      <w:r w:rsidR="00DC0BD4" w:rsidRPr="00516213">
        <w:rPr>
          <w:rFonts w:ascii="Times New Roman" w:hAnsi="Times New Roman" w:cs="Times New Roman"/>
          <w:sz w:val="24"/>
          <w:szCs w:val="24"/>
        </w:rPr>
        <w:t>,</w:t>
      </w:r>
      <w:r w:rsidRPr="00516213">
        <w:rPr>
          <w:rFonts w:ascii="Times New Roman" w:hAnsi="Times New Roman" w:cs="Times New Roman"/>
          <w:sz w:val="24"/>
          <w:szCs w:val="24"/>
        </w:rPr>
        <w:t xml:space="preserve"> t</w:t>
      </w:r>
      <w:r w:rsidR="00FB45A5" w:rsidRPr="00516213">
        <w:rPr>
          <w:rFonts w:ascii="Times New Roman" w:hAnsi="Times New Roman" w:cs="Times New Roman"/>
          <w:sz w:val="24"/>
          <w:szCs w:val="24"/>
        </w:rPr>
        <w:t>his article</w:t>
      </w:r>
      <w:r w:rsidR="00AA5818" w:rsidRPr="00516213">
        <w:rPr>
          <w:rFonts w:ascii="Times New Roman" w:hAnsi="Times New Roman" w:cs="Times New Roman"/>
          <w:sz w:val="24"/>
          <w:szCs w:val="24"/>
        </w:rPr>
        <w:t xml:space="preserve"> begins by </w:t>
      </w:r>
      <w:r w:rsidR="00735F75" w:rsidRPr="00516213">
        <w:rPr>
          <w:rFonts w:ascii="Times New Roman" w:hAnsi="Times New Roman" w:cs="Times New Roman"/>
          <w:sz w:val="24"/>
          <w:szCs w:val="24"/>
        </w:rPr>
        <w:t>conceptuali</w:t>
      </w:r>
      <w:r w:rsidR="00735F75">
        <w:rPr>
          <w:rFonts w:ascii="Times New Roman" w:hAnsi="Times New Roman" w:cs="Times New Roman"/>
          <w:sz w:val="24"/>
          <w:szCs w:val="24"/>
        </w:rPr>
        <w:t>z</w:t>
      </w:r>
      <w:r w:rsidR="00735F75" w:rsidRPr="00516213">
        <w:rPr>
          <w:rFonts w:ascii="Times New Roman" w:hAnsi="Times New Roman" w:cs="Times New Roman"/>
          <w:sz w:val="24"/>
          <w:szCs w:val="24"/>
        </w:rPr>
        <w:t xml:space="preserve">ing </w:t>
      </w:r>
      <w:r w:rsidR="00AA5818" w:rsidRPr="00516213">
        <w:rPr>
          <w:rFonts w:ascii="Times New Roman" w:hAnsi="Times New Roman" w:cs="Times New Roman"/>
          <w:sz w:val="24"/>
          <w:szCs w:val="24"/>
        </w:rPr>
        <w:t>the nature of emergency rule</w:t>
      </w:r>
      <w:r w:rsidR="00DD1745" w:rsidRPr="00516213">
        <w:rPr>
          <w:rFonts w:ascii="Times New Roman" w:hAnsi="Times New Roman" w:cs="Times New Roman"/>
          <w:sz w:val="24"/>
          <w:szCs w:val="24"/>
        </w:rPr>
        <w:t xml:space="preserve"> </w:t>
      </w:r>
      <w:r w:rsidR="00202843" w:rsidRPr="00516213">
        <w:rPr>
          <w:rFonts w:ascii="Times New Roman" w:hAnsi="Times New Roman" w:cs="Times New Roman"/>
          <w:sz w:val="24"/>
          <w:szCs w:val="24"/>
        </w:rPr>
        <w:t>today</w:t>
      </w:r>
      <w:r w:rsidR="00AA5818" w:rsidRPr="00516213">
        <w:rPr>
          <w:rFonts w:ascii="Times New Roman" w:hAnsi="Times New Roman" w:cs="Times New Roman"/>
          <w:sz w:val="24"/>
          <w:szCs w:val="24"/>
        </w:rPr>
        <w:t>.</w:t>
      </w:r>
      <w:r w:rsidR="00DD1745" w:rsidRPr="00516213">
        <w:rPr>
          <w:rFonts w:ascii="Times New Roman" w:hAnsi="Times New Roman" w:cs="Times New Roman"/>
          <w:sz w:val="24"/>
          <w:szCs w:val="24"/>
        </w:rPr>
        <w:t xml:space="preserve"> We argue that h</w:t>
      </w:r>
      <w:r w:rsidR="00AA5818" w:rsidRPr="00516213">
        <w:rPr>
          <w:rFonts w:ascii="Times New Roman" w:hAnsi="Times New Roman" w:cs="Times New Roman"/>
          <w:sz w:val="24"/>
          <w:szCs w:val="24"/>
        </w:rPr>
        <w:t xml:space="preserve">ybrid </w:t>
      </w:r>
      <w:r w:rsidR="00AB5099" w:rsidRPr="00516213">
        <w:rPr>
          <w:rFonts w:ascii="Times New Roman" w:hAnsi="Times New Roman" w:cs="Times New Roman"/>
          <w:sz w:val="24"/>
          <w:szCs w:val="24"/>
        </w:rPr>
        <w:t xml:space="preserve">and established </w:t>
      </w:r>
      <w:r w:rsidR="00AA5818" w:rsidRPr="00516213">
        <w:rPr>
          <w:rFonts w:ascii="Times New Roman" w:hAnsi="Times New Roman" w:cs="Times New Roman"/>
          <w:sz w:val="24"/>
          <w:szCs w:val="24"/>
        </w:rPr>
        <w:t xml:space="preserve">democracies </w:t>
      </w:r>
      <w:r w:rsidR="00AB5099" w:rsidRPr="00516213">
        <w:rPr>
          <w:rFonts w:ascii="Times New Roman" w:hAnsi="Times New Roman" w:cs="Times New Roman"/>
          <w:sz w:val="24"/>
          <w:szCs w:val="24"/>
        </w:rPr>
        <w:t xml:space="preserve">are increasingly characterized </w:t>
      </w:r>
      <w:r w:rsidR="00AA5818" w:rsidRPr="00516213">
        <w:rPr>
          <w:rFonts w:ascii="Times New Roman" w:hAnsi="Times New Roman" w:cs="Times New Roman"/>
          <w:sz w:val="24"/>
          <w:szCs w:val="24"/>
        </w:rPr>
        <w:t xml:space="preserve">not </w:t>
      </w:r>
      <w:r w:rsidR="00AB5099" w:rsidRPr="00516213">
        <w:rPr>
          <w:rFonts w:ascii="Times New Roman" w:hAnsi="Times New Roman" w:cs="Times New Roman"/>
          <w:sz w:val="24"/>
          <w:szCs w:val="24"/>
        </w:rPr>
        <w:t xml:space="preserve">by </w:t>
      </w:r>
      <w:r w:rsidR="00AA5818" w:rsidRPr="00516213">
        <w:rPr>
          <w:rFonts w:ascii="Times New Roman" w:hAnsi="Times New Roman" w:cs="Times New Roman"/>
          <w:sz w:val="24"/>
          <w:szCs w:val="24"/>
        </w:rPr>
        <w:t xml:space="preserve">the permanency of the exception but rather </w:t>
      </w:r>
      <w:r w:rsidR="00AB5099" w:rsidRPr="00516213">
        <w:rPr>
          <w:rFonts w:ascii="Times New Roman" w:hAnsi="Times New Roman" w:cs="Times New Roman"/>
          <w:sz w:val="24"/>
          <w:szCs w:val="24"/>
        </w:rPr>
        <w:t xml:space="preserve">by </w:t>
      </w:r>
      <w:r w:rsidR="00AA5818" w:rsidRPr="00516213">
        <w:rPr>
          <w:rFonts w:ascii="Times New Roman" w:hAnsi="Times New Roman" w:cs="Times New Roman"/>
          <w:sz w:val="24"/>
          <w:szCs w:val="24"/>
        </w:rPr>
        <w:t>the ‘co-mingling’ of normalcy and emergency (</w:t>
      </w:r>
      <w:proofErr w:type="spellStart"/>
      <w:r w:rsidR="00AA5818" w:rsidRPr="00516213">
        <w:rPr>
          <w:rFonts w:ascii="Times New Roman" w:hAnsi="Times New Roman" w:cs="Times New Roman"/>
          <w:sz w:val="24"/>
          <w:szCs w:val="24"/>
        </w:rPr>
        <w:t>Mehozay</w:t>
      </w:r>
      <w:proofErr w:type="spellEnd"/>
      <w:r w:rsidR="00AA5818" w:rsidRPr="00516213">
        <w:rPr>
          <w:rFonts w:ascii="Times New Roman" w:hAnsi="Times New Roman" w:cs="Times New Roman"/>
          <w:sz w:val="24"/>
          <w:szCs w:val="24"/>
        </w:rPr>
        <w:t xml:space="preserve"> 2014)</w:t>
      </w:r>
      <w:r w:rsidR="000F02D5" w:rsidRPr="00516213">
        <w:rPr>
          <w:rFonts w:ascii="Times New Roman" w:hAnsi="Times New Roman" w:cs="Times New Roman"/>
          <w:sz w:val="24"/>
          <w:szCs w:val="24"/>
        </w:rPr>
        <w:t>, and this is certainly</w:t>
      </w:r>
      <w:r w:rsidR="00A15EA1">
        <w:rPr>
          <w:rFonts w:ascii="Times New Roman" w:hAnsi="Times New Roman" w:cs="Times New Roman"/>
          <w:sz w:val="24"/>
          <w:szCs w:val="24"/>
        </w:rPr>
        <w:t xml:space="preserve"> the case</w:t>
      </w:r>
      <w:r w:rsidR="000F02D5" w:rsidRPr="00516213">
        <w:rPr>
          <w:rFonts w:ascii="Times New Roman" w:hAnsi="Times New Roman" w:cs="Times New Roman"/>
          <w:sz w:val="24"/>
          <w:szCs w:val="24"/>
        </w:rPr>
        <w:t xml:space="preserve"> </w:t>
      </w:r>
      <w:r w:rsidR="00A15EA1">
        <w:rPr>
          <w:rFonts w:ascii="Times New Roman" w:hAnsi="Times New Roman" w:cs="Times New Roman"/>
          <w:sz w:val="24"/>
          <w:szCs w:val="24"/>
        </w:rPr>
        <w:t xml:space="preserve">for </w:t>
      </w:r>
      <w:r w:rsidR="000F02D5" w:rsidRPr="00516213">
        <w:rPr>
          <w:rFonts w:ascii="Times New Roman" w:hAnsi="Times New Roman" w:cs="Times New Roman"/>
          <w:sz w:val="24"/>
          <w:szCs w:val="24"/>
        </w:rPr>
        <w:t>Turkey</w:t>
      </w:r>
      <w:r w:rsidR="00AA5818" w:rsidRPr="00516213">
        <w:rPr>
          <w:rFonts w:ascii="Times New Roman" w:hAnsi="Times New Roman" w:cs="Times New Roman"/>
          <w:sz w:val="24"/>
          <w:szCs w:val="24"/>
        </w:rPr>
        <w:t xml:space="preserve">. </w:t>
      </w:r>
      <w:r w:rsidR="003C0174" w:rsidRPr="00516213">
        <w:rPr>
          <w:rFonts w:ascii="Times New Roman" w:hAnsi="Times New Roman" w:cs="Times New Roman"/>
          <w:sz w:val="24"/>
          <w:szCs w:val="24"/>
        </w:rPr>
        <w:t>T</w:t>
      </w:r>
      <w:r w:rsidR="000F02D5" w:rsidRPr="00516213">
        <w:rPr>
          <w:rFonts w:ascii="Times New Roman" w:hAnsi="Times New Roman" w:cs="Times New Roman"/>
          <w:sz w:val="24"/>
          <w:szCs w:val="24"/>
        </w:rPr>
        <w:t xml:space="preserve">he co-mingling of </w:t>
      </w:r>
      <w:r w:rsidR="003C0174" w:rsidRPr="00516213">
        <w:rPr>
          <w:rFonts w:ascii="Times New Roman" w:hAnsi="Times New Roman" w:cs="Times New Roman"/>
          <w:sz w:val="24"/>
          <w:szCs w:val="24"/>
        </w:rPr>
        <w:t xml:space="preserve">the norm and the exception </w:t>
      </w:r>
      <w:r w:rsidR="000F02D5" w:rsidRPr="00516213">
        <w:rPr>
          <w:rFonts w:ascii="Times New Roman" w:hAnsi="Times New Roman" w:cs="Times New Roman"/>
          <w:sz w:val="24"/>
          <w:szCs w:val="24"/>
        </w:rPr>
        <w:t>created a grey space</w:t>
      </w:r>
      <w:r w:rsidR="00202843" w:rsidRPr="00516213">
        <w:rPr>
          <w:rFonts w:ascii="Times New Roman" w:hAnsi="Times New Roman" w:cs="Times New Roman"/>
          <w:sz w:val="24"/>
          <w:szCs w:val="24"/>
        </w:rPr>
        <w:t xml:space="preserve"> of</w:t>
      </w:r>
      <w:r w:rsidR="000F02D5" w:rsidRPr="00516213">
        <w:rPr>
          <w:rFonts w:ascii="Times New Roman" w:hAnsi="Times New Roman" w:cs="Times New Roman"/>
          <w:sz w:val="24"/>
          <w:szCs w:val="24"/>
        </w:rPr>
        <w:t xml:space="preserve"> </w:t>
      </w:r>
      <w:r w:rsidR="00E26EEA" w:rsidRPr="00516213">
        <w:rPr>
          <w:rFonts w:ascii="Times New Roman" w:hAnsi="Times New Roman" w:cs="Times New Roman"/>
          <w:sz w:val="24"/>
          <w:szCs w:val="24"/>
        </w:rPr>
        <w:t>‘</w:t>
      </w:r>
      <w:r w:rsidR="000F02D5" w:rsidRPr="00516213">
        <w:rPr>
          <w:rFonts w:ascii="Times New Roman" w:hAnsi="Times New Roman" w:cs="Times New Roman"/>
          <w:sz w:val="24"/>
          <w:szCs w:val="24"/>
        </w:rPr>
        <w:t>modular emergency</w:t>
      </w:r>
      <w:r w:rsidR="00E26EEA" w:rsidRPr="00516213">
        <w:rPr>
          <w:rFonts w:ascii="Times New Roman" w:hAnsi="Times New Roman" w:cs="Times New Roman"/>
          <w:sz w:val="24"/>
          <w:szCs w:val="24"/>
        </w:rPr>
        <w:t xml:space="preserve"> rule</w:t>
      </w:r>
      <w:r w:rsidR="00A15EA1">
        <w:rPr>
          <w:rFonts w:ascii="Times New Roman" w:hAnsi="Times New Roman" w:cs="Times New Roman"/>
          <w:sz w:val="24"/>
          <w:szCs w:val="24"/>
        </w:rPr>
        <w:t>,</w:t>
      </w:r>
      <w:r w:rsidR="00E26EEA" w:rsidRPr="00516213">
        <w:rPr>
          <w:rFonts w:ascii="Times New Roman" w:hAnsi="Times New Roman" w:cs="Times New Roman"/>
          <w:sz w:val="24"/>
          <w:szCs w:val="24"/>
        </w:rPr>
        <w:t>’</w:t>
      </w:r>
      <w:r w:rsidR="00A15EA1">
        <w:rPr>
          <w:rFonts w:ascii="Times New Roman" w:hAnsi="Times New Roman" w:cs="Times New Roman"/>
          <w:sz w:val="24"/>
          <w:szCs w:val="24"/>
        </w:rPr>
        <w:t xml:space="preserve"> </w:t>
      </w:r>
      <w:r w:rsidR="000F02D5" w:rsidRPr="00516213">
        <w:rPr>
          <w:rFonts w:ascii="Times New Roman" w:hAnsi="Times New Roman" w:cs="Times New Roman"/>
          <w:sz w:val="24"/>
          <w:szCs w:val="24"/>
        </w:rPr>
        <w:t xml:space="preserve">where the AKP government responded to Kurdish </w:t>
      </w:r>
      <w:r w:rsidR="00202843" w:rsidRPr="00516213">
        <w:rPr>
          <w:rFonts w:ascii="Times New Roman" w:hAnsi="Times New Roman" w:cs="Times New Roman"/>
          <w:sz w:val="24"/>
          <w:szCs w:val="24"/>
        </w:rPr>
        <w:t>activism</w:t>
      </w:r>
      <w:r w:rsidR="000F02D5" w:rsidRPr="00516213">
        <w:rPr>
          <w:rFonts w:ascii="Times New Roman" w:hAnsi="Times New Roman" w:cs="Times New Roman"/>
          <w:sz w:val="24"/>
          <w:szCs w:val="24"/>
        </w:rPr>
        <w:t xml:space="preserve"> through the simultaneous use of executive decrees and ordinary legislation. </w:t>
      </w:r>
      <w:r w:rsidR="00E26EEA" w:rsidRPr="00516213">
        <w:rPr>
          <w:rFonts w:ascii="Times New Roman" w:hAnsi="Times New Roman" w:cs="Times New Roman"/>
          <w:sz w:val="24"/>
          <w:szCs w:val="24"/>
        </w:rPr>
        <w:t>Next</w:t>
      </w:r>
      <w:r w:rsidR="00807C4E" w:rsidRPr="00516213">
        <w:rPr>
          <w:rFonts w:ascii="Times New Roman" w:hAnsi="Times New Roman" w:cs="Times New Roman"/>
          <w:sz w:val="24"/>
          <w:szCs w:val="24"/>
        </w:rPr>
        <w:t>,</w:t>
      </w:r>
      <w:r w:rsidR="00E26EEA" w:rsidRPr="00516213">
        <w:rPr>
          <w:rFonts w:ascii="Times New Roman" w:hAnsi="Times New Roman" w:cs="Times New Roman"/>
          <w:sz w:val="24"/>
          <w:szCs w:val="24"/>
        </w:rPr>
        <w:t xml:space="preserve"> we </w:t>
      </w:r>
      <w:r w:rsidR="00DD1745" w:rsidRPr="00516213">
        <w:rPr>
          <w:rFonts w:ascii="Times New Roman" w:hAnsi="Times New Roman" w:cs="Times New Roman"/>
          <w:sz w:val="24"/>
          <w:szCs w:val="24"/>
        </w:rPr>
        <w:t xml:space="preserve">trace how </w:t>
      </w:r>
      <w:r w:rsidR="00E26EEA" w:rsidRPr="00516213">
        <w:rPr>
          <w:rFonts w:ascii="Times New Roman" w:hAnsi="Times New Roman" w:cs="Times New Roman"/>
          <w:sz w:val="24"/>
          <w:szCs w:val="24"/>
        </w:rPr>
        <w:t xml:space="preserve">the use of </w:t>
      </w:r>
      <w:r w:rsidR="00DD1745" w:rsidRPr="00516213">
        <w:rPr>
          <w:rFonts w:ascii="Times New Roman" w:hAnsi="Times New Roman" w:cs="Times New Roman"/>
          <w:sz w:val="24"/>
          <w:szCs w:val="24"/>
        </w:rPr>
        <w:t xml:space="preserve">modular emergency </w:t>
      </w:r>
      <w:r w:rsidR="000F02D5" w:rsidRPr="00516213">
        <w:rPr>
          <w:rFonts w:ascii="Times New Roman" w:hAnsi="Times New Roman" w:cs="Times New Roman"/>
          <w:sz w:val="24"/>
          <w:szCs w:val="24"/>
        </w:rPr>
        <w:t xml:space="preserve">enabled and disguised the extension of emergency rule to Kurdish </w:t>
      </w:r>
      <w:r w:rsidR="008448ED" w:rsidRPr="00516213">
        <w:rPr>
          <w:rFonts w:ascii="Times New Roman" w:hAnsi="Times New Roman" w:cs="Times New Roman"/>
          <w:sz w:val="24"/>
          <w:szCs w:val="24"/>
        </w:rPr>
        <w:t>politics</w:t>
      </w:r>
      <w:r w:rsidR="000F02D5" w:rsidRPr="00516213">
        <w:rPr>
          <w:rFonts w:ascii="Times New Roman" w:hAnsi="Times New Roman" w:cs="Times New Roman"/>
          <w:sz w:val="24"/>
          <w:szCs w:val="24"/>
        </w:rPr>
        <w:t xml:space="preserve">. </w:t>
      </w:r>
      <w:r w:rsidR="00202843" w:rsidRPr="00516213">
        <w:rPr>
          <w:rFonts w:ascii="Times New Roman" w:hAnsi="Times New Roman" w:cs="Times New Roman"/>
          <w:sz w:val="24"/>
          <w:szCs w:val="24"/>
        </w:rPr>
        <w:t>Throughout</w:t>
      </w:r>
      <w:r w:rsidR="00A15EA1">
        <w:rPr>
          <w:rFonts w:ascii="Times New Roman" w:hAnsi="Times New Roman" w:cs="Times New Roman"/>
          <w:sz w:val="24"/>
          <w:szCs w:val="24"/>
        </w:rPr>
        <w:t xml:space="preserve"> the article</w:t>
      </w:r>
      <w:r w:rsidR="00202843" w:rsidRPr="00516213">
        <w:rPr>
          <w:rFonts w:ascii="Times New Roman" w:hAnsi="Times New Roman" w:cs="Times New Roman"/>
          <w:sz w:val="24"/>
          <w:szCs w:val="24"/>
        </w:rPr>
        <w:t>, we show the disproportionate impact of emergency rule upon the Kurdish minority despite having nothing to do with the original reason for declaring a</w:t>
      </w:r>
      <w:r w:rsidR="00A15EA1">
        <w:rPr>
          <w:rFonts w:ascii="Times New Roman" w:hAnsi="Times New Roman" w:cs="Times New Roman"/>
          <w:sz w:val="24"/>
          <w:szCs w:val="24"/>
        </w:rPr>
        <w:t>n</w:t>
      </w:r>
      <w:r w:rsidR="00036CC2" w:rsidRPr="00516213">
        <w:rPr>
          <w:rFonts w:ascii="Times New Roman" w:hAnsi="Times New Roman" w:cs="Times New Roman"/>
          <w:sz w:val="24"/>
          <w:szCs w:val="24"/>
        </w:rPr>
        <w:t xml:space="preserve"> </w:t>
      </w:r>
      <w:proofErr w:type="spellStart"/>
      <w:r w:rsidR="00036CC2" w:rsidRPr="00516213">
        <w:rPr>
          <w:rFonts w:ascii="Times New Roman" w:hAnsi="Times New Roman" w:cs="Times New Roman"/>
          <w:sz w:val="24"/>
          <w:szCs w:val="24"/>
        </w:rPr>
        <w:t>SoE</w:t>
      </w:r>
      <w:proofErr w:type="spellEnd"/>
      <w:r w:rsidR="00202843" w:rsidRPr="00516213">
        <w:rPr>
          <w:rFonts w:ascii="Times New Roman" w:hAnsi="Times New Roman" w:cs="Times New Roman"/>
          <w:sz w:val="24"/>
          <w:szCs w:val="24"/>
        </w:rPr>
        <w:t xml:space="preserve">. We argue that this was possible because targeting Kurdish politics with emergency decrees was not a new policy in Turkey – the AKP </w:t>
      </w:r>
      <w:r w:rsidR="00405326" w:rsidRPr="00516213">
        <w:rPr>
          <w:rFonts w:ascii="Times New Roman" w:hAnsi="Times New Roman" w:cs="Times New Roman"/>
          <w:sz w:val="24"/>
          <w:szCs w:val="24"/>
        </w:rPr>
        <w:t>was</w:t>
      </w:r>
      <w:r w:rsidR="00202843" w:rsidRPr="00516213">
        <w:rPr>
          <w:rFonts w:ascii="Times New Roman" w:hAnsi="Times New Roman" w:cs="Times New Roman"/>
          <w:sz w:val="24"/>
          <w:szCs w:val="24"/>
        </w:rPr>
        <w:t xml:space="preserve"> already us</w:t>
      </w:r>
      <w:r w:rsidR="00405326" w:rsidRPr="00516213">
        <w:rPr>
          <w:rFonts w:ascii="Times New Roman" w:hAnsi="Times New Roman" w:cs="Times New Roman"/>
          <w:sz w:val="24"/>
          <w:szCs w:val="24"/>
        </w:rPr>
        <w:t>ing</w:t>
      </w:r>
      <w:r w:rsidR="00202843" w:rsidRPr="00516213">
        <w:rPr>
          <w:rFonts w:ascii="Times New Roman" w:hAnsi="Times New Roman" w:cs="Times New Roman"/>
          <w:sz w:val="24"/>
          <w:szCs w:val="24"/>
        </w:rPr>
        <w:t xml:space="preserve"> ordinary legislation </w:t>
      </w:r>
      <w:r w:rsidR="00B02E42" w:rsidRPr="00516213">
        <w:rPr>
          <w:rFonts w:ascii="Times New Roman" w:hAnsi="Times New Roman" w:cs="Times New Roman"/>
          <w:sz w:val="24"/>
          <w:szCs w:val="24"/>
        </w:rPr>
        <w:t xml:space="preserve">to </w:t>
      </w:r>
      <w:r w:rsidR="00405326" w:rsidRPr="00516213">
        <w:rPr>
          <w:rFonts w:ascii="Times New Roman" w:hAnsi="Times New Roman" w:cs="Times New Roman"/>
          <w:sz w:val="24"/>
          <w:szCs w:val="24"/>
        </w:rPr>
        <w:t>roll back minority rights, especially since 20</w:t>
      </w:r>
      <w:r w:rsidR="00807C4E" w:rsidRPr="00516213">
        <w:rPr>
          <w:rFonts w:ascii="Times New Roman" w:hAnsi="Times New Roman" w:cs="Times New Roman"/>
          <w:sz w:val="24"/>
          <w:szCs w:val="24"/>
        </w:rPr>
        <w:t>1</w:t>
      </w:r>
      <w:r w:rsidR="00405326" w:rsidRPr="00516213">
        <w:rPr>
          <w:rFonts w:ascii="Times New Roman" w:hAnsi="Times New Roman" w:cs="Times New Roman"/>
          <w:sz w:val="24"/>
          <w:szCs w:val="24"/>
        </w:rPr>
        <w:t>1</w:t>
      </w:r>
      <w:r w:rsidR="00807C4E" w:rsidRPr="00516213">
        <w:rPr>
          <w:rFonts w:ascii="Times New Roman" w:hAnsi="Times New Roman" w:cs="Times New Roman"/>
          <w:sz w:val="24"/>
          <w:szCs w:val="24"/>
        </w:rPr>
        <w:t xml:space="preserve"> </w:t>
      </w:r>
      <w:r w:rsidR="00807C4E" w:rsidRPr="00516213">
        <w:rPr>
          <w:rFonts w:ascii="Times New Roman" w:eastAsiaTheme="majorEastAsia" w:hAnsi="Times New Roman" w:cs="Times New Roman"/>
          <w:bCs/>
          <w:sz w:val="24"/>
          <w:szCs w:val="24"/>
        </w:rPr>
        <w:t>(Civil Rights Defenders 2018</w:t>
      </w:r>
      <w:r w:rsidR="00B02E42" w:rsidRPr="00516213">
        <w:rPr>
          <w:rFonts w:ascii="Times New Roman" w:eastAsiaTheme="majorEastAsia" w:hAnsi="Times New Roman" w:cs="Times New Roman"/>
          <w:bCs/>
          <w:sz w:val="24"/>
          <w:szCs w:val="24"/>
        </w:rPr>
        <w:t>;</w:t>
      </w:r>
      <w:r w:rsidR="00807C4E" w:rsidRPr="00516213">
        <w:rPr>
          <w:rFonts w:ascii="Times New Roman" w:eastAsiaTheme="majorEastAsia" w:hAnsi="Times New Roman" w:cs="Times New Roman"/>
          <w:bCs/>
          <w:sz w:val="24"/>
          <w:szCs w:val="24"/>
        </w:rPr>
        <w:t xml:space="preserve"> Human Rights Watch 2019)</w:t>
      </w:r>
      <w:r w:rsidR="00405326" w:rsidRPr="00516213">
        <w:rPr>
          <w:rFonts w:ascii="Times New Roman" w:hAnsi="Times New Roman" w:cs="Times New Roman"/>
          <w:sz w:val="24"/>
          <w:szCs w:val="24"/>
        </w:rPr>
        <w:t xml:space="preserve">, and it had been restricting Kurdish activism since the failure of </w:t>
      </w:r>
      <w:r w:rsidR="00807C4E" w:rsidRPr="00516213">
        <w:rPr>
          <w:rFonts w:ascii="Times New Roman" w:hAnsi="Times New Roman" w:cs="Times New Roman"/>
          <w:sz w:val="24"/>
          <w:szCs w:val="24"/>
        </w:rPr>
        <w:t>nascent peace talks</w:t>
      </w:r>
      <w:r w:rsidR="00405326" w:rsidRPr="00516213">
        <w:rPr>
          <w:rFonts w:ascii="Times New Roman" w:hAnsi="Times New Roman" w:cs="Times New Roman"/>
          <w:sz w:val="24"/>
          <w:szCs w:val="24"/>
        </w:rPr>
        <w:t xml:space="preserve"> in 2015. </w:t>
      </w:r>
      <w:r w:rsidR="00B02E42" w:rsidRPr="00516213">
        <w:rPr>
          <w:rFonts w:ascii="Times New Roman" w:hAnsi="Times New Roman" w:cs="Times New Roman"/>
          <w:sz w:val="24"/>
          <w:szCs w:val="24"/>
        </w:rPr>
        <w:t>I</w:t>
      </w:r>
      <w:r w:rsidR="00405326" w:rsidRPr="00516213">
        <w:rPr>
          <w:rFonts w:ascii="Times New Roman" w:hAnsi="Times New Roman" w:cs="Times New Roman"/>
          <w:sz w:val="24"/>
          <w:szCs w:val="24"/>
        </w:rPr>
        <w:t xml:space="preserve">n targeting the Kurdish </w:t>
      </w:r>
      <w:r w:rsidR="00695666" w:rsidRPr="00516213">
        <w:rPr>
          <w:rFonts w:ascii="Times New Roman" w:hAnsi="Times New Roman" w:cs="Times New Roman"/>
          <w:sz w:val="24"/>
          <w:szCs w:val="24"/>
        </w:rPr>
        <w:t xml:space="preserve">minority </w:t>
      </w:r>
      <w:r w:rsidR="00405326" w:rsidRPr="00516213">
        <w:rPr>
          <w:rFonts w:ascii="Times New Roman" w:hAnsi="Times New Roman" w:cs="Times New Roman"/>
          <w:sz w:val="24"/>
          <w:szCs w:val="24"/>
        </w:rPr>
        <w:t>with eme</w:t>
      </w:r>
      <w:r w:rsidR="00807C4E" w:rsidRPr="00516213">
        <w:rPr>
          <w:rFonts w:ascii="Times New Roman" w:hAnsi="Times New Roman" w:cs="Times New Roman"/>
          <w:sz w:val="24"/>
          <w:szCs w:val="24"/>
        </w:rPr>
        <w:t>r</w:t>
      </w:r>
      <w:r w:rsidR="00405326" w:rsidRPr="00516213">
        <w:rPr>
          <w:rFonts w:ascii="Times New Roman" w:hAnsi="Times New Roman" w:cs="Times New Roman"/>
          <w:sz w:val="24"/>
          <w:szCs w:val="24"/>
        </w:rPr>
        <w:t>gency legislation, the AKP was repeating a common theme in Turkish politics pursued by other ruling parties, especially since the 19</w:t>
      </w:r>
      <w:r w:rsidR="00036CC2" w:rsidRPr="00516213">
        <w:rPr>
          <w:rFonts w:ascii="Times New Roman" w:hAnsi="Times New Roman" w:cs="Times New Roman"/>
          <w:sz w:val="24"/>
          <w:szCs w:val="24"/>
        </w:rPr>
        <w:t>8</w:t>
      </w:r>
      <w:r w:rsidR="00405326" w:rsidRPr="00516213">
        <w:rPr>
          <w:rFonts w:ascii="Times New Roman" w:hAnsi="Times New Roman" w:cs="Times New Roman"/>
          <w:sz w:val="24"/>
          <w:szCs w:val="24"/>
        </w:rPr>
        <w:t xml:space="preserve">0s. </w:t>
      </w:r>
      <w:r w:rsidR="000F02D5" w:rsidRPr="00516213">
        <w:rPr>
          <w:rFonts w:ascii="Times New Roman" w:eastAsiaTheme="majorEastAsia" w:hAnsi="Times New Roman" w:cs="Times New Roman"/>
          <w:bCs/>
          <w:sz w:val="24"/>
          <w:szCs w:val="24"/>
        </w:rPr>
        <w:t xml:space="preserve">We conclude by considering the implications of this case for </w:t>
      </w:r>
      <w:r w:rsidR="00A15EA1">
        <w:rPr>
          <w:rFonts w:ascii="Times New Roman" w:eastAsiaTheme="majorEastAsia" w:hAnsi="Times New Roman" w:cs="Times New Roman"/>
          <w:bCs/>
          <w:sz w:val="24"/>
          <w:szCs w:val="24"/>
        </w:rPr>
        <w:t>broa</w:t>
      </w:r>
      <w:r w:rsidR="00A15EA1" w:rsidRPr="00516213">
        <w:rPr>
          <w:rFonts w:ascii="Times New Roman" w:eastAsiaTheme="majorEastAsia" w:hAnsi="Times New Roman" w:cs="Times New Roman"/>
          <w:bCs/>
          <w:sz w:val="24"/>
          <w:szCs w:val="24"/>
        </w:rPr>
        <w:t xml:space="preserve">der </w:t>
      </w:r>
      <w:r w:rsidR="000F02D5" w:rsidRPr="00516213">
        <w:rPr>
          <w:rFonts w:ascii="Times New Roman" w:eastAsiaTheme="majorEastAsia" w:hAnsi="Times New Roman" w:cs="Times New Roman"/>
          <w:bCs/>
          <w:sz w:val="24"/>
          <w:szCs w:val="24"/>
        </w:rPr>
        <w:t>debates on emergency rule and minority rights.</w:t>
      </w:r>
    </w:p>
    <w:p w14:paraId="72B830B4" w14:textId="2BCCCF7E" w:rsidR="00521AFE" w:rsidRPr="00516213" w:rsidRDefault="004E0244" w:rsidP="000D373E">
      <w:pPr>
        <w:pStyle w:val="Heading1"/>
      </w:pPr>
      <w:r w:rsidRPr="00516213">
        <w:t>From emergency rule to modular r</w:t>
      </w:r>
      <w:r w:rsidR="00521AFE" w:rsidRPr="00516213">
        <w:t>ule</w:t>
      </w:r>
    </w:p>
    <w:p w14:paraId="1B3EB8CB" w14:textId="3766EE39" w:rsidR="00521AFE" w:rsidRPr="00516213" w:rsidRDefault="00521AFE" w:rsidP="00703502">
      <w:pPr>
        <w:spacing w:line="360" w:lineRule="auto"/>
        <w:jc w:val="both"/>
        <w:rPr>
          <w:rFonts w:ascii="Times New Roman" w:eastAsiaTheme="majorEastAsia" w:hAnsi="Times New Roman" w:cs="Times New Roman"/>
          <w:bCs/>
          <w:sz w:val="24"/>
          <w:szCs w:val="24"/>
        </w:rPr>
      </w:pPr>
      <w:r w:rsidRPr="00516213">
        <w:rPr>
          <w:rFonts w:ascii="Times New Roman" w:eastAsiaTheme="majorEastAsia" w:hAnsi="Times New Roman" w:cs="Times New Roman"/>
          <w:bCs/>
          <w:sz w:val="24"/>
          <w:szCs w:val="24"/>
        </w:rPr>
        <w:t xml:space="preserve">The theory of the state of exception was first introduced by the controversial German legal and political thinker Carl Schmitt (2014) in order to </w:t>
      </w:r>
      <w:r w:rsidR="00735F75" w:rsidRPr="00516213">
        <w:rPr>
          <w:rFonts w:ascii="Times New Roman" w:eastAsiaTheme="majorEastAsia" w:hAnsi="Times New Roman" w:cs="Times New Roman"/>
          <w:bCs/>
          <w:sz w:val="24"/>
          <w:szCs w:val="24"/>
        </w:rPr>
        <w:t>theori</w:t>
      </w:r>
      <w:r w:rsidR="00735F75">
        <w:rPr>
          <w:rFonts w:ascii="Times New Roman" w:eastAsiaTheme="majorEastAsia" w:hAnsi="Times New Roman" w:cs="Times New Roman"/>
          <w:bCs/>
          <w:sz w:val="24"/>
          <w:szCs w:val="24"/>
        </w:rPr>
        <w:t>z</w:t>
      </w:r>
      <w:r w:rsidR="00735F75" w:rsidRPr="00516213">
        <w:rPr>
          <w:rFonts w:ascii="Times New Roman" w:eastAsiaTheme="majorEastAsia" w:hAnsi="Times New Roman" w:cs="Times New Roman"/>
          <w:bCs/>
          <w:sz w:val="24"/>
          <w:szCs w:val="24"/>
        </w:rPr>
        <w:t xml:space="preserve">e </w:t>
      </w:r>
      <w:r w:rsidRPr="00516213">
        <w:rPr>
          <w:rFonts w:ascii="Times New Roman" w:eastAsiaTheme="majorEastAsia" w:hAnsi="Times New Roman" w:cs="Times New Roman"/>
          <w:bCs/>
          <w:sz w:val="24"/>
          <w:szCs w:val="24"/>
        </w:rPr>
        <w:t>and justify the extraordinary powers accorded to the sovereign in cases of emergency. Drawing on Schmitt’s legal theory and criticizing its authoritarian orientation, Giorgio Agamben argued that the state of exception was ‘the dominant paradigm of government in contemporary politics’ (Agamben 2005, 2). Emergency powers that are supposed to be temporary tend ‘to become entrenched over time and thus normalized and made routine’ (Gross 2003, 1090). Governments increasingly choose to declare states of emergency to grapple with a host of issues</w:t>
      </w:r>
      <w:r w:rsidR="00A15EA1">
        <w:rPr>
          <w:rFonts w:ascii="Times New Roman" w:eastAsiaTheme="majorEastAsia" w:hAnsi="Times New Roman" w:cs="Times New Roman"/>
          <w:bCs/>
          <w:sz w:val="24"/>
          <w:szCs w:val="24"/>
        </w:rPr>
        <w:t>,</w:t>
      </w:r>
      <w:r w:rsidRPr="00516213">
        <w:rPr>
          <w:rFonts w:ascii="Times New Roman" w:eastAsiaTheme="majorEastAsia" w:hAnsi="Times New Roman" w:cs="Times New Roman"/>
          <w:bCs/>
          <w:sz w:val="24"/>
          <w:szCs w:val="24"/>
        </w:rPr>
        <w:t xml:space="preserve"> from </w:t>
      </w:r>
      <w:r w:rsidR="002E5BDF" w:rsidRPr="00516213">
        <w:rPr>
          <w:rFonts w:ascii="Times New Roman" w:eastAsiaTheme="majorEastAsia" w:hAnsi="Times New Roman" w:cs="Times New Roman"/>
          <w:bCs/>
          <w:sz w:val="24"/>
          <w:szCs w:val="24"/>
        </w:rPr>
        <w:t xml:space="preserve">terrorism and internal disorder to </w:t>
      </w:r>
      <w:r w:rsidRPr="00516213">
        <w:rPr>
          <w:rFonts w:ascii="Times New Roman" w:eastAsiaTheme="majorEastAsia" w:hAnsi="Times New Roman" w:cs="Times New Roman"/>
          <w:bCs/>
          <w:sz w:val="24"/>
          <w:szCs w:val="24"/>
        </w:rPr>
        <w:t>wildfires, financial crises, and pandemics. States of emergency are often exploited by governments to justify a range of illiberal, disciplinary, and in some cases</w:t>
      </w:r>
      <w:r w:rsidR="00A15EA1">
        <w:rPr>
          <w:rFonts w:ascii="Times New Roman" w:eastAsiaTheme="majorEastAsia" w:hAnsi="Times New Roman" w:cs="Times New Roman"/>
          <w:bCs/>
          <w:sz w:val="24"/>
          <w:szCs w:val="24"/>
        </w:rPr>
        <w:t>,</w:t>
      </w:r>
      <w:r w:rsidRPr="00516213">
        <w:rPr>
          <w:rFonts w:ascii="Times New Roman" w:eastAsiaTheme="majorEastAsia" w:hAnsi="Times New Roman" w:cs="Times New Roman"/>
          <w:bCs/>
          <w:sz w:val="24"/>
          <w:szCs w:val="24"/>
        </w:rPr>
        <w:t xml:space="preserve"> violent practices</w:t>
      </w:r>
      <w:r w:rsidR="00A15EA1">
        <w:rPr>
          <w:rFonts w:ascii="Times New Roman" w:eastAsiaTheme="majorEastAsia" w:hAnsi="Times New Roman" w:cs="Times New Roman"/>
          <w:bCs/>
          <w:sz w:val="24"/>
          <w:szCs w:val="24"/>
        </w:rPr>
        <w:t>,</w:t>
      </w:r>
      <w:r w:rsidRPr="00516213">
        <w:rPr>
          <w:rFonts w:ascii="Times New Roman" w:eastAsiaTheme="majorEastAsia" w:hAnsi="Times New Roman" w:cs="Times New Roman"/>
          <w:bCs/>
          <w:sz w:val="24"/>
          <w:szCs w:val="24"/>
        </w:rPr>
        <w:t xml:space="preserve"> including restricting fundamental rights and freedoms, imposing long-lasting pre-trial detentions, extraordinary renditions, criminalizing political activism, prosecuting political activists, and derogating from international human rights law (Neal 2010; Feldman 2010; White 2015). As such, it has become almost ‘the standard position on the left’ (</w:t>
      </w:r>
      <w:proofErr w:type="spellStart"/>
      <w:r w:rsidRPr="00516213">
        <w:rPr>
          <w:rFonts w:ascii="Times New Roman" w:eastAsiaTheme="majorEastAsia" w:hAnsi="Times New Roman" w:cs="Times New Roman"/>
          <w:bCs/>
          <w:sz w:val="24"/>
          <w:szCs w:val="24"/>
        </w:rPr>
        <w:t>Neocleous</w:t>
      </w:r>
      <w:proofErr w:type="spellEnd"/>
      <w:r w:rsidRPr="00516213">
        <w:rPr>
          <w:rFonts w:ascii="Times New Roman" w:eastAsiaTheme="majorEastAsia" w:hAnsi="Times New Roman" w:cs="Times New Roman"/>
          <w:bCs/>
          <w:sz w:val="24"/>
          <w:szCs w:val="24"/>
        </w:rPr>
        <w:t xml:space="preserve"> 2006, 193) to argue that the exception has become the permanent norm (see</w:t>
      </w:r>
      <w:r w:rsidR="00A15EA1">
        <w:rPr>
          <w:rFonts w:ascii="Times New Roman" w:eastAsiaTheme="majorEastAsia" w:hAnsi="Times New Roman" w:cs="Times New Roman"/>
          <w:bCs/>
          <w:sz w:val="24"/>
          <w:szCs w:val="24"/>
        </w:rPr>
        <w:t>,</w:t>
      </w:r>
      <w:r w:rsidRPr="00516213">
        <w:rPr>
          <w:rFonts w:ascii="Times New Roman" w:eastAsiaTheme="majorEastAsia" w:hAnsi="Times New Roman" w:cs="Times New Roman"/>
          <w:bCs/>
          <w:sz w:val="24"/>
          <w:szCs w:val="24"/>
        </w:rPr>
        <w:t xml:space="preserve"> among others</w:t>
      </w:r>
      <w:r w:rsidR="00A15EA1">
        <w:rPr>
          <w:rFonts w:ascii="Times New Roman" w:eastAsiaTheme="majorEastAsia" w:hAnsi="Times New Roman" w:cs="Times New Roman"/>
          <w:bCs/>
          <w:sz w:val="24"/>
          <w:szCs w:val="24"/>
        </w:rPr>
        <w:t>,</w:t>
      </w:r>
      <w:r w:rsidRPr="00516213">
        <w:rPr>
          <w:rFonts w:ascii="Times New Roman" w:eastAsiaTheme="majorEastAsia" w:hAnsi="Times New Roman" w:cs="Times New Roman"/>
          <w:bCs/>
          <w:sz w:val="24"/>
          <w:szCs w:val="24"/>
        </w:rPr>
        <w:t xml:space="preserve"> Hardt and Negri 2004; Michael-</w:t>
      </w:r>
      <w:proofErr w:type="spellStart"/>
      <w:r w:rsidRPr="00516213">
        <w:rPr>
          <w:rFonts w:ascii="Times New Roman" w:eastAsiaTheme="majorEastAsia" w:hAnsi="Times New Roman" w:cs="Times New Roman"/>
          <w:bCs/>
          <w:sz w:val="24"/>
          <w:szCs w:val="24"/>
        </w:rPr>
        <w:t>Matsas</w:t>
      </w:r>
      <w:proofErr w:type="spellEnd"/>
      <w:r w:rsidRPr="00516213">
        <w:rPr>
          <w:rFonts w:ascii="Times New Roman" w:eastAsiaTheme="majorEastAsia" w:hAnsi="Times New Roman" w:cs="Times New Roman"/>
          <w:bCs/>
          <w:sz w:val="24"/>
          <w:szCs w:val="24"/>
        </w:rPr>
        <w:t xml:space="preserve"> 2005).</w:t>
      </w:r>
    </w:p>
    <w:p w14:paraId="63DA6B1E" w14:textId="02CDDE72" w:rsidR="00B83685" w:rsidRPr="00516213" w:rsidRDefault="00A15EA1" w:rsidP="000D373E">
      <w:pPr>
        <w:spacing w:line="360" w:lineRule="auto"/>
        <w:ind w:firstLine="720"/>
        <w:jc w:val="both"/>
        <w:rPr>
          <w:rFonts w:ascii="Times New Roman" w:hAnsi="Times New Roman" w:cs="Times New Roman"/>
          <w:sz w:val="24"/>
          <w:szCs w:val="24"/>
        </w:rPr>
      </w:pPr>
      <w:r>
        <w:rPr>
          <w:rFonts w:ascii="Times New Roman" w:eastAsiaTheme="majorEastAsia" w:hAnsi="Times New Roman" w:cs="Times New Roman"/>
          <w:bCs/>
          <w:sz w:val="24"/>
          <w:szCs w:val="24"/>
        </w:rPr>
        <w:t>Nevertheless</w:t>
      </w:r>
      <w:r w:rsidR="00521AFE" w:rsidRPr="00516213">
        <w:rPr>
          <w:rFonts w:ascii="Times New Roman" w:eastAsiaTheme="majorEastAsia" w:hAnsi="Times New Roman" w:cs="Times New Roman"/>
          <w:bCs/>
          <w:sz w:val="24"/>
          <w:szCs w:val="24"/>
        </w:rPr>
        <w:t xml:space="preserve">, this study begs to differ from </w:t>
      </w:r>
      <w:r w:rsidR="00E024D8" w:rsidRPr="00516213">
        <w:rPr>
          <w:rFonts w:ascii="Times New Roman" w:eastAsiaTheme="majorEastAsia" w:hAnsi="Times New Roman" w:cs="Times New Roman"/>
          <w:bCs/>
          <w:sz w:val="24"/>
          <w:szCs w:val="24"/>
        </w:rPr>
        <w:t>such</w:t>
      </w:r>
      <w:r w:rsidR="00521AFE" w:rsidRPr="00516213">
        <w:rPr>
          <w:rFonts w:ascii="Times New Roman" w:eastAsiaTheme="majorEastAsia" w:hAnsi="Times New Roman" w:cs="Times New Roman"/>
          <w:bCs/>
          <w:sz w:val="24"/>
          <w:szCs w:val="24"/>
        </w:rPr>
        <w:t xml:space="preserve"> argument</w:t>
      </w:r>
      <w:r w:rsidR="00E024D8" w:rsidRPr="00516213">
        <w:rPr>
          <w:rFonts w:ascii="Times New Roman" w:eastAsiaTheme="majorEastAsia" w:hAnsi="Times New Roman" w:cs="Times New Roman"/>
          <w:bCs/>
          <w:sz w:val="24"/>
          <w:szCs w:val="24"/>
        </w:rPr>
        <w:t xml:space="preserve">s that </w:t>
      </w:r>
      <w:r w:rsidR="00521AFE" w:rsidRPr="00516213">
        <w:rPr>
          <w:rFonts w:ascii="Times New Roman" w:eastAsiaTheme="majorEastAsia" w:hAnsi="Times New Roman" w:cs="Times New Roman"/>
          <w:bCs/>
          <w:sz w:val="24"/>
          <w:szCs w:val="24"/>
        </w:rPr>
        <w:t xml:space="preserve">imply that the norm and the exception, or the rule of law and emergency, exist as discrete, clearly </w:t>
      </w:r>
      <w:r w:rsidR="002E5BDF" w:rsidRPr="00516213">
        <w:rPr>
          <w:rFonts w:ascii="Times New Roman" w:eastAsiaTheme="majorEastAsia" w:hAnsi="Times New Roman" w:cs="Times New Roman"/>
          <w:bCs/>
          <w:sz w:val="24"/>
          <w:szCs w:val="24"/>
        </w:rPr>
        <w:t>distinguishable,</w:t>
      </w:r>
      <w:r w:rsidR="00521AFE" w:rsidRPr="00516213">
        <w:rPr>
          <w:rFonts w:ascii="Times New Roman" w:eastAsiaTheme="majorEastAsia" w:hAnsi="Times New Roman" w:cs="Times New Roman"/>
          <w:bCs/>
          <w:sz w:val="24"/>
          <w:szCs w:val="24"/>
        </w:rPr>
        <w:t xml:space="preserve"> and mutually exclusive categories of law and politics.</w:t>
      </w:r>
      <w:r w:rsidR="00474B52" w:rsidRPr="00516213">
        <w:rPr>
          <w:rFonts w:ascii="Times New Roman" w:eastAsiaTheme="majorEastAsia" w:hAnsi="Times New Roman" w:cs="Times New Roman"/>
          <w:bCs/>
          <w:sz w:val="24"/>
          <w:szCs w:val="24"/>
        </w:rPr>
        <w:t xml:space="preserve"> Emergency </w:t>
      </w:r>
      <w:r w:rsidR="002E5BDF" w:rsidRPr="00516213">
        <w:rPr>
          <w:rFonts w:ascii="Times New Roman" w:eastAsiaTheme="majorEastAsia" w:hAnsi="Times New Roman" w:cs="Times New Roman"/>
          <w:bCs/>
          <w:sz w:val="24"/>
          <w:szCs w:val="24"/>
        </w:rPr>
        <w:t xml:space="preserve">rule </w:t>
      </w:r>
      <w:r w:rsidR="00474B52" w:rsidRPr="00516213">
        <w:rPr>
          <w:rFonts w:ascii="Times New Roman" w:eastAsiaTheme="majorEastAsia" w:hAnsi="Times New Roman" w:cs="Times New Roman"/>
          <w:bCs/>
          <w:sz w:val="24"/>
          <w:szCs w:val="24"/>
        </w:rPr>
        <w:t xml:space="preserve">and the </w:t>
      </w:r>
      <w:r w:rsidR="002E5BDF" w:rsidRPr="00516213">
        <w:rPr>
          <w:rFonts w:ascii="Times New Roman" w:eastAsiaTheme="majorEastAsia" w:hAnsi="Times New Roman" w:cs="Times New Roman"/>
          <w:bCs/>
          <w:sz w:val="24"/>
          <w:szCs w:val="24"/>
        </w:rPr>
        <w:t xml:space="preserve">everyday </w:t>
      </w:r>
      <w:r w:rsidR="00474B52" w:rsidRPr="00516213">
        <w:rPr>
          <w:rFonts w:ascii="Times New Roman" w:eastAsiaTheme="majorEastAsia" w:hAnsi="Times New Roman" w:cs="Times New Roman"/>
          <w:bCs/>
          <w:sz w:val="24"/>
          <w:szCs w:val="24"/>
        </w:rPr>
        <w:t xml:space="preserve">rule of law </w:t>
      </w:r>
      <w:r w:rsidR="002E5BDF" w:rsidRPr="00516213">
        <w:rPr>
          <w:rFonts w:ascii="Times New Roman" w:eastAsiaTheme="majorEastAsia" w:hAnsi="Times New Roman" w:cs="Times New Roman"/>
          <w:bCs/>
          <w:sz w:val="24"/>
          <w:szCs w:val="24"/>
        </w:rPr>
        <w:t xml:space="preserve">are </w:t>
      </w:r>
      <w:r w:rsidR="00474B52" w:rsidRPr="00516213">
        <w:rPr>
          <w:rFonts w:ascii="Times New Roman" w:eastAsiaTheme="majorEastAsia" w:hAnsi="Times New Roman" w:cs="Times New Roman"/>
          <w:bCs/>
          <w:sz w:val="24"/>
          <w:szCs w:val="24"/>
        </w:rPr>
        <w:t xml:space="preserve">increasingly intertwined modes of governance. </w:t>
      </w:r>
      <w:r w:rsidR="00C05E23" w:rsidRPr="00516213">
        <w:rPr>
          <w:rFonts w:ascii="Times New Roman" w:hAnsi="Times New Roman" w:cs="Times New Roman"/>
          <w:sz w:val="24"/>
          <w:szCs w:val="24"/>
        </w:rPr>
        <w:t>There is a growing recognition in the literature that when legal and constitutional consequences are considered, ‘the logic of emergency is not just a transient mode of political decision making, but also generates lasting institutional effects’ (</w:t>
      </w:r>
      <w:proofErr w:type="spellStart"/>
      <w:r w:rsidR="00C05E23" w:rsidRPr="00516213">
        <w:rPr>
          <w:rFonts w:ascii="Times New Roman" w:hAnsi="Times New Roman" w:cs="Times New Roman"/>
          <w:sz w:val="24"/>
          <w:szCs w:val="24"/>
        </w:rPr>
        <w:t>Hanrieder</w:t>
      </w:r>
      <w:proofErr w:type="spellEnd"/>
      <w:r w:rsidR="00C05E23" w:rsidRPr="00516213">
        <w:rPr>
          <w:rFonts w:ascii="Times New Roman" w:hAnsi="Times New Roman" w:cs="Times New Roman"/>
          <w:sz w:val="24"/>
          <w:szCs w:val="24"/>
        </w:rPr>
        <w:t xml:space="preserve"> and </w:t>
      </w:r>
      <w:proofErr w:type="spellStart"/>
      <w:r w:rsidR="00C05E23" w:rsidRPr="00516213">
        <w:rPr>
          <w:rFonts w:ascii="Times New Roman" w:hAnsi="Times New Roman" w:cs="Times New Roman"/>
          <w:sz w:val="24"/>
          <w:szCs w:val="24"/>
        </w:rPr>
        <w:t>Kreuder-Sonnen</w:t>
      </w:r>
      <w:proofErr w:type="spellEnd"/>
      <w:r w:rsidR="00C05E23" w:rsidRPr="00516213">
        <w:rPr>
          <w:rFonts w:ascii="Times New Roman" w:hAnsi="Times New Roman" w:cs="Times New Roman"/>
          <w:sz w:val="24"/>
          <w:szCs w:val="24"/>
        </w:rPr>
        <w:t xml:space="preserve"> 2014, 335). </w:t>
      </w:r>
      <w:r w:rsidR="00521AFE" w:rsidRPr="00516213">
        <w:rPr>
          <w:rFonts w:ascii="Times New Roman" w:eastAsiaTheme="majorEastAsia" w:hAnsi="Times New Roman" w:cs="Times New Roman"/>
          <w:bCs/>
          <w:sz w:val="24"/>
          <w:szCs w:val="24"/>
        </w:rPr>
        <w:t xml:space="preserve">These co-mingling modes of governance </w:t>
      </w:r>
      <w:r w:rsidR="002E5BDF" w:rsidRPr="00516213">
        <w:rPr>
          <w:rFonts w:ascii="Times New Roman" w:eastAsiaTheme="majorEastAsia" w:hAnsi="Times New Roman" w:cs="Times New Roman"/>
          <w:bCs/>
          <w:sz w:val="24"/>
          <w:szCs w:val="24"/>
        </w:rPr>
        <w:t xml:space="preserve">can </w:t>
      </w:r>
      <w:r w:rsidR="00521AFE" w:rsidRPr="00516213">
        <w:rPr>
          <w:rFonts w:ascii="Times New Roman" w:eastAsiaTheme="majorEastAsia" w:hAnsi="Times New Roman" w:cs="Times New Roman"/>
          <w:bCs/>
          <w:sz w:val="24"/>
          <w:szCs w:val="24"/>
        </w:rPr>
        <w:t>‘compensate for each other’s weaknesses and together construct a stable political regime’ (</w:t>
      </w:r>
      <w:proofErr w:type="spellStart"/>
      <w:r w:rsidR="00521AFE" w:rsidRPr="00516213">
        <w:rPr>
          <w:rFonts w:ascii="Times New Roman" w:eastAsiaTheme="majorEastAsia" w:hAnsi="Times New Roman" w:cs="Times New Roman"/>
          <w:bCs/>
          <w:sz w:val="24"/>
          <w:szCs w:val="24"/>
        </w:rPr>
        <w:t>Mehozay</w:t>
      </w:r>
      <w:proofErr w:type="spellEnd"/>
      <w:r w:rsidR="00521AFE" w:rsidRPr="00516213">
        <w:rPr>
          <w:rFonts w:ascii="Times New Roman" w:eastAsiaTheme="majorEastAsia" w:hAnsi="Times New Roman" w:cs="Times New Roman"/>
          <w:bCs/>
          <w:sz w:val="24"/>
          <w:szCs w:val="24"/>
        </w:rPr>
        <w:t xml:space="preserve"> 2014, 9).</w:t>
      </w:r>
      <w:r w:rsidR="000313A8" w:rsidRPr="00516213">
        <w:rPr>
          <w:rFonts w:ascii="Times New Roman" w:eastAsiaTheme="majorEastAsia" w:hAnsi="Times New Roman" w:cs="Times New Roman"/>
          <w:bCs/>
          <w:sz w:val="24"/>
          <w:szCs w:val="24"/>
        </w:rPr>
        <w:t xml:space="preserve"> </w:t>
      </w:r>
      <w:r w:rsidR="002546EA" w:rsidRPr="00516213">
        <w:rPr>
          <w:rFonts w:ascii="Times New Roman" w:eastAsiaTheme="majorEastAsia" w:hAnsi="Times New Roman" w:cs="Times New Roman"/>
          <w:bCs/>
          <w:sz w:val="24"/>
          <w:szCs w:val="24"/>
        </w:rPr>
        <w:t>G</w:t>
      </w:r>
      <w:r w:rsidR="00521AFE" w:rsidRPr="00516213">
        <w:rPr>
          <w:rFonts w:ascii="Times New Roman" w:eastAsiaTheme="majorEastAsia" w:hAnsi="Times New Roman" w:cs="Times New Roman"/>
          <w:bCs/>
          <w:sz w:val="24"/>
          <w:szCs w:val="24"/>
        </w:rPr>
        <w:t xml:space="preserve">overnments in </w:t>
      </w:r>
      <w:r w:rsidR="002E5BDF" w:rsidRPr="00516213">
        <w:rPr>
          <w:rFonts w:ascii="Times New Roman" w:eastAsiaTheme="majorEastAsia" w:hAnsi="Times New Roman" w:cs="Times New Roman"/>
          <w:bCs/>
          <w:sz w:val="24"/>
          <w:szCs w:val="24"/>
        </w:rPr>
        <w:t xml:space="preserve">both </w:t>
      </w:r>
      <w:r w:rsidR="00521AFE" w:rsidRPr="00516213">
        <w:rPr>
          <w:rFonts w:ascii="Times New Roman" w:eastAsiaTheme="majorEastAsia" w:hAnsi="Times New Roman" w:cs="Times New Roman"/>
          <w:bCs/>
          <w:sz w:val="24"/>
          <w:szCs w:val="24"/>
        </w:rPr>
        <w:t xml:space="preserve">established and </w:t>
      </w:r>
      <w:r w:rsidR="002546EA" w:rsidRPr="00516213">
        <w:rPr>
          <w:rFonts w:ascii="Times New Roman" w:eastAsiaTheme="majorEastAsia" w:hAnsi="Times New Roman" w:cs="Times New Roman"/>
          <w:bCs/>
          <w:sz w:val="24"/>
          <w:szCs w:val="24"/>
        </w:rPr>
        <w:t xml:space="preserve">hybrid </w:t>
      </w:r>
      <w:r w:rsidR="00521AFE" w:rsidRPr="00516213">
        <w:rPr>
          <w:rFonts w:ascii="Times New Roman" w:eastAsiaTheme="majorEastAsia" w:hAnsi="Times New Roman" w:cs="Times New Roman"/>
          <w:bCs/>
          <w:sz w:val="24"/>
          <w:szCs w:val="24"/>
        </w:rPr>
        <w:t>democracies easily swing between normal and emergency modes</w:t>
      </w:r>
      <w:r w:rsidR="002E5BDF" w:rsidRPr="00516213">
        <w:rPr>
          <w:rFonts w:ascii="Times New Roman" w:eastAsiaTheme="majorEastAsia" w:hAnsi="Times New Roman" w:cs="Times New Roman"/>
          <w:bCs/>
          <w:sz w:val="24"/>
          <w:szCs w:val="24"/>
        </w:rPr>
        <w:t>,</w:t>
      </w:r>
      <w:r w:rsidR="00521AFE" w:rsidRPr="00516213">
        <w:rPr>
          <w:rFonts w:ascii="Times New Roman" w:eastAsiaTheme="majorEastAsia" w:hAnsi="Times New Roman" w:cs="Times New Roman"/>
          <w:bCs/>
          <w:sz w:val="24"/>
          <w:szCs w:val="24"/>
        </w:rPr>
        <w:t xml:space="preserve"> and they may opt for the latter even in cases which are manageable through existing norms</w:t>
      </w:r>
      <w:r w:rsidR="000313A8" w:rsidRPr="00516213">
        <w:rPr>
          <w:rFonts w:ascii="Times New Roman" w:eastAsiaTheme="majorEastAsia" w:hAnsi="Times New Roman" w:cs="Times New Roman"/>
          <w:bCs/>
          <w:sz w:val="24"/>
          <w:szCs w:val="24"/>
        </w:rPr>
        <w:t>.</w:t>
      </w:r>
      <w:r w:rsidR="002546EA" w:rsidRPr="00516213">
        <w:rPr>
          <w:rFonts w:ascii="Times New Roman" w:eastAsiaTheme="majorEastAsia" w:hAnsi="Times New Roman" w:cs="Times New Roman"/>
          <w:bCs/>
          <w:sz w:val="24"/>
          <w:szCs w:val="24"/>
        </w:rPr>
        <w:t xml:space="preserve"> </w:t>
      </w:r>
      <w:r w:rsidR="00521AFE" w:rsidRPr="00516213">
        <w:rPr>
          <w:rFonts w:ascii="Times New Roman" w:eastAsiaTheme="majorEastAsia" w:hAnsi="Times New Roman" w:cs="Times New Roman"/>
          <w:bCs/>
          <w:sz w:val="24"/>
          <w:szCs w:val="24"/>
        </w:rPr>
        <w:t xml:space="preserve">Thus, current emergencies are best defined as ‘modular’ emergencies structured around the </w:t>
      </w:r>
      <w:r w:rsidR="00406858" w:rsidRPr="00516213">
        <w:rPr>
          <w:rFonts w:ascii="Times New Roman" w:eastAsiaTheme="majorEastAsia" w:hAnsi="Times New Roman" w:cs="Times New Roman"/>
          <w:bCs/>
          <w:sz w:val="24"/>
          <w:szCs w:val="24"/>
        </w:rPr>
        <w:t xml:space="preserve">interchangeable </w:t>
      </w:r>
      <w:r w:rsidR="00481DFB" w:rsidRPr="00516213">
        <w:rPr>
          <w:rFonts w:ascii="Times New Roman" w:eastAsiaTheme="majorEastAsia" w:hAnsi="Times New Roman" w:cs="Times New Roman"/>
          <w:bCs/>
          <w:sz w:val="24"/>
          <w:szCs w:val="24"/>
        </w:rPr>
        <w:t>and</w:t>
      </w:r>
      <w:r w:rsidR="00521AFE" w:rsidRPr="00516213">
        <w:rPr>
          <w:rFonts w:ascii="Times New Roman" w:eastAsiaTheme="majorEastAsia" w:hAnsi="Times New Roman" w:cs="Times New Roman"/>
          <w:bCs/>
          <w:sz w:val="24"/>
          <w:szCs w:val="24"/>
        </w:rPr>
        <w:t xml:space="preserve"> simultaneous use of </w:t>
      </w:r>
      <w:r w:rsidR="000313A8" w:rsidRPr="00516213">
        <w:rPr>
          <w:rFonts w:ascii="Times New Roman" w:eastAsiaTheme="majorEastAsia" w:hAnsi="Times New Roman" w:cs="Times New Roman"/>
          <w:bCs/>
          <w:sz w:val="24"/>
          <w:szCs w:val="24"/>
        </w:rPr>
        <w:t xml:space="preserve">exceptional </w:t>
      </w:r>
      <w:r w:rsidR="00521AFE" w:rsidRPr="00516213">
        <w:rPr>
          <w:rFonts w:ascii="Times New Roman" w:eastAsiaTheme="majorEastAsia" w:hAnsi="Times New Roman" w:cs="Times New Roman"/>
          <w:bCs/>
          <w:sz w:val="24"/>
          <w:szCs w:val="24"/>
        </w:rPr>
        <w:t xml:space="preserve">executive decrees and ordinary legislative regulations. </w:t>
      </w:r>
    </w:p>
    <w:p w14:paraId="11477FE2" w14:textId="3490031D" w:rsidR="00481DFB" w:rsidRPr="00516213" w:rsidRDefault="00521AFE" w:rsidP="000D373E">
      <w:pPr>
        <w:spacing w:line="360" w:lineRule="auto"/>
        <w:ind w:firstLine="720"/>
        <w:jc w:val="both"/>
        <w:rPr>
          <w:rFonts w:ascii="Times New Roman" w:eastAsiaTheme="majorEastAsia" w:hAnsi="Times New Roman" w:cs="Times New Roman"/>
          <w:bCs/>
          <w:sz w:val="24"/>
          <w:szCs w:val="24"/>
        </w:rPr>
      </w:pPr>
      <w:r w:rsidRPr="00516213">
        <w:rPr>
          <w:rFonts w:ascii="Times New Roman" w:eastAsiaTheme="majorEastAsia" w:hAnsi="Times New Roman" w:cs="Times New Roman"/>
          <w:bCs/>
          <w:sz w:val="24"/>
          <w:szCs w:val="24"/>
        </w:rPr>
        <w:t xml:space="preserve">Executive authorities today </w:t>
      </w:r>
      <w:r w:rsidR="00481DFB" w:rsidRPr="00516213">
        <w:rPr>
          <w:rFonts w:ascii="Times New Roman" w:eastAsiaTheme="majorEastAsia" w:hAnsi="Times New Roman" w:cs="Times New Roman"/>
          <w:bCs/>
          <w:sz w:val="24"/>
          <w:szCs w:val="24"/>
        </w:rPr>
        <w:t xml:space="preserve">adopt </w:t>
      </w:r>
      <w:r w:rsidRPr="00516213">
        <w:rPr>
          <w:rFonts w:ascii="Times New Roman" w:eastAsiaTheme="majorEastAsia" w:hAnsi="Times New Roman" w:cs="Times New Roman"/>
          <w:bCs/>
          <w:sz w:val="24"/>
          <w:szCs w:val="24"/>
        </w:rPr>
        <w:t xml:space="preserve">modular emergencies where the norm and the exception </w:t>
      </w:r>
      <w:r w:rsidR="00265D83" w:rsidRPr="00516213">
        <w:rPr>
          <w:rFonts w:ascii="Times New Roman" w:eastAsiaTheme="majorEastAsia" w:hAnsi="Times New Roman" w:cs="Times New Roman"/>
          <w:bCs/>
          <w:sz w:val="24"/>
          <w:szCs w:val="24"/>
        </w:rPr>
        <w:t>are</w:t>
      </w:r>
      <w:r w:rsidRPr="00516213">
        <w:rPr>
          <w:rFonts w:ascii="Times New Roman" w:eastAsiaTheme="majorEastAsia" w:hAnsi="Times New Roman" w:cs="Times New Roman"/>
          <w:bCs/>
          <w:sz w:val="24"/>
          <w:szCs w:val="24"/>
        </w:rPr>
        <w:t xml:space="preserve"> co-mingled and intertwined in legal/constitutional systems and in practice. Exceptionalist practices and emergency powers are not only regulated by constitutional or legal clauses distinctly dedicated to emergency rule. </w:t>
      </w:r>
      <w:r w:rsidR="00265D83" w:rsidRPr="00516213">
        <w:rPr>
          <w:rFonts w:ascii="Times New Roman" w:eastAsiaTheme="majorEastAsia" w:hAnsi="Times New Roman" w:cs="Times New Roman"/>
          <w:bCs/>
          <w:sz w:val="24"/>
          <w:szCs w:val="24"/>
        </w:rPr>
        <w:t>E</w:t>
      </w:r>
      <w:r w:rsidRPr="00516213">
        <w:rPr>
          <w:rFonts w:ascii="Times New Roman" w:eastAsiaTheme="majorEastAsia" w:hAnsi="Times New Roman" w:cs="Times New Roman"/>
          <w:bCs/>
          <w:sz w:val="24"/>
          <w:szCs w:val="24"/>
        </w:rPr>
        <w:t xml:space="preserve">mergency clauses are </w:t>
      </w:r>
      <w:r w:rsidR="00265D83" w:rsidRPr="00516213">
        <w:rPr>
          <w:rFonts w:ascii="Times New Roman" w:eastAsiaTheme="majorEastAsia" w:hAnsi="Times New Roman" w:cs="Times New Roman"/>
          <w:bCs/>
          <w:sz w:val="24"/>
          <w:szCs w:val="24"/>
        </w:rPr>
        <w:t xml:space="preserve">often </w:t>
      </w:r>
      <w:r w:rsidRPr="00516213">
        <w:rPr>
          <w:rFonts w:ascii="Times New Roman" w:eastAsiaTheme="majorEastAsia" w:hAnsi="Times New Roman" w:cs="Times New Roman"/>
          <w:bCs/>
          <w:sz w:val="24"/>
          <w:szCs w:val="24"/>
        </w:rPr>
        <w:t xml:space="preserve">deeply embedded or hidden in laws, regulations, different types of decrees, </w:t>
      </w:r>
      <w:proofErr w:type="gramStart"/>
      <w:r w:rsidRPr="00516213">
        <w:rPr>
          <w:rFonts w:ascii="Times New Roman" w:eastAsiaTheme="majorEastAsia" w:hAnsi="Times New Roman" w:cs="Times New Roman"/>
          <w:bCs/>
          <w:sz w:val="24"/>
          <w:szCs w:val="24"/>
        </w:rPr>
        <w:t>institutions</w:t>
      </w:r>
      <w:proofErr w:type="gramEnd"/>
      <w:r w:rsidRPr="00516213">
        <w:rPr>
          <w:rFonts w:ascii="Times New Roman" w:eastAsiaTheme="majorEastAsia" w:hAnsi="Times New Roman" w:cs="Times New Roman"/>
          <w:bCs/>
          <w:sz w:val="24"/>
          <w:szCs w:val="24"/>
        </w:rPr>
        <w:t xml:space="preserve"> and policies.</w:t>
      </w:r>
      <w:r w:rsidR="002546EA" w:rsidRPr="00516213">
        <w:rPr>
          <w:rFonts w:ascii="Times New Roman" w:eastAsiaTheme="majorEastAsia" w:hAnsi="Times New Roman" w:cs="Times New Roman"/>
          <w:bCs/>
          <w:sz w:val="24"/>
          <w:szCs w:val="24"/>
        </w:rPr>
        <w:t xml:space="preserve"> </w:t>
      </w:r>
      <w:r w:rsidR="00481DFB" w:rsidRPr="00516213">
        <w:rPr>
          <w:rFonts w:ascii="Times New Roman" w:eastAsiaTheme="majorEastAsia" w:hAnsi="Times New Roman" w:cs="Times New Roman"/>
          <w:bCs/>
          <w:sz w:val="24"/>
          <w:szCs w:val="24"/>
        </w:rPr>
        <w:t xml:space="preserve">For example, </w:t>
      </w:r>
      <w:r w:rsidR="002546EA" w:rsidRPr="00516213">
        <w:rPr>
          <w:rFonts w:ascii="Times New Roman" w:eastAsiaTheme="majorEastAsia" w:hAnsi="Times New Roman" w:cs="Times New Roman"/>
          <w:bCs/>
          <w:sz w:val="24"/>
          <w:szCs w:val="24"/>
        </w:rPr>
        <w:t xml:space="preserve">several hybrid and new democracies from Venezuela and Ethiopia to the Philippines are governed today under some kind of </w:t>
      </w:r>
      <w:r w:rsidR="00481DFB" w:rsidRPr="00516213">
        <w:rPr>
          <w:rFonts w:ascii="Times New Roman" w:eastAsiaTheme="majorEastAsia" w:hAnsi="Times New Roman" w:cs="Times New Roman"/>
          <w:bCs/>
          <w:sz w:val="24"/>
          <w:szCs w:val="24"/>
        </w:rPr>
        <w:t xml:space="preserve">long-term </w:t>
      </w:r>
      <w:r w:rsidR="002546EA" w:rsidRPr="00516213">
        <w:rPr>
          <w:rFonts w:ascii="Times New Roman" w:eastAsiaTheme="majorEastAsia" w:hAnsi="Times New Roman" w:cs="Times New Roman"/>
          <w:bCs/>
          <w:sz w:val="24"/>
          <w:szCs w:val="24"/>
        </w:rPr>
        <w:t xml:space="preserve">emergency (whether formally declared or undeclared) where </w:t>
      </w:r>
      <w:r w:rsidR="00481DFB" w:rsidRPr="00516213">
        <w:rPr>
          <w:rFonts w:ascii="Times New Roman" w:eastAsiaTheme="majorEastAsia" w:hAnsi="Times New Roman" w:cs="Times New Roman"/>
          <w:bCs/>
          <w:sz w:val="24"/>
          <w:szCs w:val="24"/>
        </w:rPr>
        <w:t xml:space="preserve">‘normal legislation’ and exceptional rule </w:t>
      </w:r>
      <w:r w:rsidR="002546EA" w:rsidRPr="00516213">
        <w:rPr>
          <w:rFonts w:ascii="Times New Roman" w:eastAsiaTheme="majorEastAsia" w:hAnsi="Times New Roman" w:cs="Times New Roman"/>
          <w:bCs/>
          <w:sz w:val="24"/>
          <w:szCs w:val="24"/>
        </w:rPr>
        <w:t>are increasingly indistinguishable.</w:t>
      </w:r>
      <w:r w:rsidR="00481DFB" w:rsidRPr="00516213">
        <w:rPr>
          <w:rFonts w:ascii="Times New Roman" w:eastAsiaTheme="majorEastAsia" w:hAnsi="Times New Roman" w:cs="Times New Roman"/>
          <w:bCs/>
          <w:sz w:val="24"/>
          <w:szCs w:val="24"/>
        </w:rPr>
        <w:t xml:space="preserve"> We then see such modular rule become permanent, as in the c</w:t>
      </w:r>
      <w:r w:rsidR="004E0244" w:rsidRPr="00516213">
        <w:rPr>
          <w:rFonts w:ascii="Times New Roman" w:eastAsiaTheme="majorEastAsia" w:hAnsi="Times New Roman" w:cs="Times New Roman"/>
          <w:bCs/>
          <w:sz w:val="24"/>
          <w:szCs w:val="24"/>
        </w:rPr>
        <w:t xml:space="preserve">ase of the Hungarian parliament, </w:t>
      </w:r>
      <w:r w:rsidR="00481DFB" w:rsidRPr="00516213">
        <w:rPr>
          <w:rFonts w:ascii="Times New Roman" w:eastAsiaTheme="majorEastAsia" w:hAnsi="Times New Roman" w:cs="Times New Roman"/>
          <w:bCs/>
          <w:sz w:val="24"/>
          <w:szCs w:val="24"/>
        </w:rPr>
        <w:t>which granted sweeping powers to the government on 30 March 2020 to rule the country by decree</w:t>
      </w:r>
      <w:r w:rsidR="00406858" w:rsidRPr="00516213">
        <w:rPr>
          <w:rFonts w:ascii="Times New Roman" w:eastAsiaTheme="majorEastAsia" w:hAnsi="Times New Roman" w:cs="Times New Roman"/>
          <w:bCs/>
          <w:sz w:val="24"/>
          <w:szCs w:val="24"/>
        </w:rPr>
        <w:t>.</w:t>
      </w:r>
      <w:r w:rsidR="00481DFB" w:rsidRPr="00516213">
        <w:rPr>
          <w:rFonts w:ascii="Times New Roman" w:eastAsiaTheme="majorEastAsia" w:hAnsi="Times New Roman" w:cs="Times New Roman"/>
          <w:bCs/>
          <w:sz w:val="24"/>
          <w:szCs w:val="24"/>
        </w:rPr>
        <w:t xml:space="preserve"> </w:t>
      </w:r>
      <w:r w:rsidR="00406858" w:rsidRPr="00516213">
        <w:rPr>
          <w:rFonts w:ascii="Times New Roman" w:eastAsiaTheme="majorEastAsia" w:hAnsi="Times New Roman" w:cs="Times New Roman"/>
          <w:bCs/>
          <w:sz w:val="24"/>
          <w:szCs w:val="24"/>
        </w:rPr>
        <w:t xml:space="preserve">These powers were </w:t>
      </w:r>
      <w:r w:rsidR="00406858" w:rsidRPr="00516213">
        <w:rPr>
          <w:rFonts w:ascii="Times New Roman" w:hAnsi="Times New Roman" w:cs="Times New Roman"/>
          <w:sz w:val="24"/>
          <w:szCs w:val="24"/>
        </w:rPr>
        <w:t xml:space="preserve">further extended by the parliament in May 2022 due to </w:t>
      </w:r>
      <w:r w:rsidR="007B3FD3">
        <w:rPr>
          <w:rFonts w:ascii="Times New Roman" w:hAnsi="Times New Roman" w:cs="Times New Roman"/>
          <w:sz w:val="24"/>
          <w:szCs w:val="24"/>
        </w:rPr>
        <w:t xml:space="preserve">the </w:t>
      </w:r>
      <w:r w:rsidR="00406858" w:rsidRPr="00516213">
        <w:rPr>
          <w:rFonts w:ascii="Times New Roman" w:hAnsi="Times New Roman" w:cs="Times New Roman"/>
          <w:sz w:val="24"/>
          <w:szCs w:val="24"/>
        </w:rPr>
        <w:t>Russian invasion of Ukraine.</w:t>
      </w:r>
      <w:r w:rsidR="00406858" w:rsidRPr="00516213">
        <w:rPr>
          <w:rStyle w:val="EndnoteReference"/>
          <w:rFonts w:ascii="Times New Roman" w:hAnsi="Times New Roman" w:cs="Times New Roman"/>
          <w:sz w:val="24"/>
          <w:szCs w:val="24"/>
        </w:rPr>
        <w:endnoteReference w:id="1"/>
      </w:r>
      <w:r w:rsidR="00406858" w:rsidRPr="00516213">
        <w:rPr>
          <w:rFonts w:ascii="Times New Roman" w:hAnsi="Times New Roman" w:cs="Times New Roman"/>
          <w:sz w:val="24"/>
          <w:szCs w:val="24"/>
        </w:rPr>
        <w:t xml:space="preserve"> </w:t>
      </w:r>
    </w:p>
    <w:p w14:paraId="4353F912" w14:textId="50F0467B" w:rsidR="00521AFE" w:rsidRPr="00516213" w:rsidRDefault="00D802C3" w:rsidP="000D373E">
      <w:pPr>
        <w:spacing w:line="360" w:lineRule="auto"/>
        <w:ind w:firstLine="720"/>
        <w:jc w:val="both"/>
        <w:rPr>
          <w:rFonts w:ascii="Times New Roman" w:eastAsiaTheme="majorEastAsia" w:hAnsi="Times New Roman" w:cs="Times New Roman"/>
          <w:bCs/>
          <w:sz w:val="24"/>
          <w:szCs w:val="24"/>
        </w:rPr>
      </w:pPr>
      <w:r w:rsidRPr="00516213">
        <w:rPr>
          <w:rFonts w:ascii="Times New Roman" w:eastAsiaTheme="majorEastAsia" w:hAnsi="Times New Roman" w:cs="Times New Roman"/>
          <w:bCs/>
          <w:sz w:val="24"/>
          <w:szCs w:val="24"/>
        </w:rPr>
        <w:t>T</w:t>
      </w:r>
      <w:r w:rsidR="00521AFE" w:rsidRPr="00516213">
        <w:rPr>
          <w:rFonts w:ascii="Times New Roman" w:eastAsiaTheme="majorEastAsia" w:hAnsi="Times New Roman" w:cs="Times New Roman"/>
          <w:bCs/>
          <w:sz w:val="24"/>
          <w:szCs w:val="24"/>
        </w:rPr>
        <w:t xml:space="preserve">he integration of new and expanded emergency powers into </w:t>
      </w:r>
      <w:r w:rsidR="00654659" w:rsidRPr="00516213">
        <w:rPr>
          <w:rFonts w:ascii="Times New Roman" w:eastAsiaTheme="majorEastAsia" w:hAnsi="Times New Roman" w:cs="Times New Roman"/>
          <w:bCs/>
          <w:sz w:val="24"/>
          <w:szCs w:val="24"/>
        </w:rPr>
        <w:t xml:space="preserve">the </w:t>
      </w:r>
      <w:r w:rsidR="00521AFE" w:rsidRPr="00516213">
        <w:rPr>
          <w:rFonts w:ascii="Times New Roman" w:eastAsiaTheme="majorEastAsia" w:hAnsi="Times New Roman" w:cs="Times New Roman"/>
          <w:bCs/>
          <w:sz w:val="24"/>
          <w:szCs w:val="24"/>
        </w:rPr>
        <w:t xml:space="preserve">ordinary legal order has </w:t>
      </w:r>
      <w:r w:rsidR="004155F2" w:rsidRPr="00516213">
        <w:rPr>
          <w:rFonts w:ascii="Times New Roman" w:eastAsiaTheme="majorEastAsia" w:hAnsi="Times New Roman" w:cs="Times New Roman"/>
          <w:bCs/>
          <w:sz w:val="24"/>
          <w:szCs w:val="24"/>
        </w:rPr>
        <w:t>often</w:t>
      </w:r>
      <w:r w:rsidR="00521AFE" w:rsidRPr="00516213">
        <w:rPr>
          <w:rFonts w:ascii="Times New Roman" w:eastAsiaTheme="majorEastAsia" w:hAnsi="Times New Roman" w:cs="Times New Roman"/>
          <w:bCs/>
          <w:sz w:val="24"/>
          <w:szCs w:val="24"/>
        </w:rPr>
        <w:t xml:space="preserve"> been achieved through draconian counter-terrorism laws. In the </w:t>
      </w:r>
      <w:r w:rsidR="007B3FD3" w:rsidRPr="00516213">
        <w:rPr>
          <w:rFonts w:ascii="Times New Roman" w:eastAsiaTheme="majorEastAsia" w:hAnsi="Times New Roman" w:cs="Times New Roman"/>
          <w:bCs/>
          <w:sz w:val="24"/>
          <w:szCs w:val="24"/>
        </w:rPr>
        <w:t>post</w:t>
      </w:r>
      <w:r w:rsidR="007B3FD3">
        <w:rPr>
          <w:rFonts w:ascii="Times New Roman" w:eastAsiaTheme="majorEastAsia" w:hAnsi="Times New Roman" w:cs="Times New Roman"/>
          <w:bCs/>
          <w:sz w:val="24"/>
          <w:szCs w:val="24"/>
        </w:rPr>
        <w:t>-</w:t>
      </w:r>
      <w:r w:rsidR="00521AFE" w:rsidRPr="00516213">
        <w:rPr>
          <w:rFonts w:ascii="Times New Roman" w:eastAsiaTheme="majorEastAsia" w:hAnsi="Times New Roman" w:cs="Times New Roman"/>
          <w:bCs/>
          <w:sz w:val="24"/>
          <w:szCs w:val="24"/>
        </w:rPr>
        <w:t xml:space="preserve">9/11 era, many governments in both established and weak democracies successively enacted counter-terrorism laws or amended already existing ones to strengthen the state. Since then, political discourse has mainly been dominated by </w:t>
      </w:r>
      <w:r w:rsidR="00265D83" w:rsidRPr="00516213">
        <w:rPr>
          <w:rFonts w:ascii="Times New Roman" w:eastAsiaTheme="majorEastAsia" w:hAnsi="Times New Roman" w:cs="Times New Roman"/>
          <w:bCs/>
          <w:sz w:val="24"/>
          <w:szCs w:val="24"/>
        </w:rPr>
        <w:t>a</w:t>
      </w:r>
      <w:r w:rsidR="00521AFE" w:rsidRPr="00516213">
        <w:rPr>
          <w:rFonts w:ascii="Times New Roman" w:eastAsiaTheme="majorEastAsia" w:hAnsi="Times New Roman" w:cs="Times New Roman"/>
          <w:bCs/>
          <w:sz w:val="24"/>
          <w:szCs w:val="24"/>
        </w:rPr>
        <w:t xml:space="preserve"> security</w:t>
      </w:r>
      <w:r w:rsidR="00265D83" w:rsidRPr="00516213">
        <w:rPr>
          <w:rFonts w:ascii="Times New Roman" w:eastAsiaTheme="majorEastAsia" w:hAnsi="Times New Roman" w:cs="Times New Roman"/>
          <w:bCs/>
          <w:sz w:val="24"/>
          <w:szCs w:val="24"/>
        </w:rPr>
        <w:t xml:space="preserve"> paradigm</w:t>
      </w:r>
      <w:r w:rsidR="00521AFE" w:rsidRPr="00516213">
        <w:rPr>
          <w:rFonts w:ascii="Times New Roman" w:eastAsiaTheme="majorEastAsia" w:hAnsi="Times New Roman" w:cs="Times New Roman"/>
          <w:bCs/>
          <w:sz w:val="24"/>
          <w:szCs w:val="24"/>
        </w:rPr>
        <w:t xml:space="preserve"> ‘that is replete with references to the immediate terrorist attacks in urban areas’ (Jabri 2006, 136). These laws, which used to be thought of and possibly designed as temporary responses to specific terrorist actions, eventually became institutionalized and normalized, thus creating a regime of </w:t>
      </w:r>
      <w:r w:rsidR="00735F75" w:rsidRPr="00516213">
        <w:rPr>
          <w:rFonts w:ascii="Times New Roman" w:eastAsiaTheme="majorEastAsia" w:hAnsi="Times New Roman" w:cs="Times New Roman"/>
          <w:bCs/>
          <w:sz w:val="24"/>
          <w:szCs w:val="24"/>
        </w:rPr>
        <w:t>legali</w:t>
      </w:r>
      <w:r w:rsidR="00735F75">
        <w:rPr>
          <w:rFonts w:ascii="Times New Roman" w:eastAsiaTheme="majorEastAsia" w:hAnsi="Times New Roman" w:cs="Times New Roman"/>
          <w:bCs/>
          <w:sz w:val="24"/>
          <w:szCs w:val="24"/>
        </w:rPr>
        <w:t>z</w:t>
      </w:r>
      <w:r w:rsidR="00735F75" w:rsidRPr="00516213">
        <w:rPr>
          <w:rFonts w:ascii="Times New Roman" w:eastAsiaTheme="majorEastAsia" w:hAnsi="Times New Roman" w:cs="Times New Roman"/>
          <w:bCs/>
          <w:sz w:val="24"/>
          <w:szCs w:val="24"/>
        </w:rPr>
        <w:t xml:space="preserve">ed </w:t>
      </w:r>
      <w:r w:rsidR="00521AFE" w:rsidRPr="00516213">
        <w:rPr>
          <w:rFonts w:ascii="Times New Roman" w:eastAsiaTheme="majorEastAsia" w:hAnsi="Times New Roman" w:cs="Times New Roman"/>
          <w:bCs/>
          <w:sz w:val="24"/>
          <w:szCs w:val="24"/>
        </w:rPr>
        <w:t>exceptionality. They became the very tool of ‘modular’ emergency regimes through which new and expanded emergency powers are granted to the executive while powers and autonomy of the legislator and the judiciary are diminished without seemingly suspending the norm.</w:t>
      </w:r>
    </w:p>
    <w:p w14:paraId="4269760B" w14:textId="4AE11B32" w:rsidR="006D7ACB" w:rsidRPr="00516213" w:rsidRDefault="007F0450" w:rsidP="000D373E">
      <w:pPr>
        <w:pStyle w:val="Heading1"/>
      </w:pPr>
      <w:r w:rsidRPr="00516213">
        <w:t xml:space="preserve">Minorities under </w:t>
      </w:r>
      <w:r w:rsidR="004E0244" w:rsidRPr="00516213">
        <w:t>modular e</w:t>
      </w:r>
      <w:r w:rsidR="00C51163" w:rsidRPr="00516213">
        <w:t>mergency</w:t>
      </w:r>
      <w:r w:rsidR="004E0244" w:rsidRPr="00516213">
        <w:t xml:space="preserve"> r</w:t>
      </w:r>
      <w:r w:rsidR="00A3492D" w:rsidRPr="00516213">
        <w:t>ule</w:t>
      </w:r>
    </w:p>
    <w:p w14:paraId="1F69B2B5" w14:textId="2CCCAC2F" w:rsidR="004155F2" w:rsidRPr="00516213" w:rsidRDefault="008F5F79" w:rsidP="00703502">
      <w:pPr>
        <w:spacing w:line="360" w:lineRule="auto"/>
        <w:jc w:val="both"/>
        <w:rPr>
          <w:rFonts w:ascii="Times New Roman" w:eastAsiaTheme="majorEastAsia" w:hAnsi="Times New Roman" w:cs="Times New Roman"/>
          <w:bCs/>
          <w:sz w:val="24"/>
          <w:szCs w:val="24"/>
        </w:rPr>
      </w:pPr>
      <w:r w:rsidRPr="00516213">
        <w:rPr>
          <w:rFonts w:ascii="Times New Roman" w:eastAsiaTheme="majorEastAsia" w:hAnsi="Times New Roman" w:cs="Times New Roman"/>
          <w:bCs/>
          <w:sz w:val="24"/>
          <w:szCs w:val="24"/>
        </w:rPr>
        <w:t>Governments are more likely to violate fundamental human rights during states of emergenc</w:t>
      </w:r>
      <w:r w:rsidR="002A32B8" w:rsidRPr="00516213">
        <w:rPr>
          <w:rFonts w:ascii="Times New Roman" w:eastAsiaTheme="majorEastAsia" w:hAnsi="Times New Roman" w:cs="Times New Roman"/>
          <w:bCs/>
          <w:sz w:val="24"/>
          <w:szCs w:val="24"/>
        </w:rPr>
        <w:t>y</w:t>
      </w:r>
      <w:r w:rsidRPr="00516213">
        <w:rPr>
          <w:rFonts w:ascii="Times New Roman" w:eastAsiaTheme="majorEastAsia" w:hAnsi="Times New Roman" w:cs="Times New Roman"/>
          <w:bCs/>
          <w:sz w:val="24"/>
          <w:szCs w:val="24"/>
        </w:rPr>
        <w:t xml:space="preserve"> (Richards and Clay 2012). </w:t>
      </w:r>
      <w:bookmarkStart w:id="2" w:name="_Hlk109137232"/>
      <w:r w:rsidR="00D600FB" w:rsidRPr="00516213">
        <w:rPr>
          <w:rFonts w:ascii="Times New Roman" w:eastAsiaTheme="majorEastAsia" w:hAnsi="Times New Roman" w:cs="Times New Roman"/>
          <w:bCs/>
          <w:sz w:val="24"/>
          <w:szCs w:val="24"/>
        </w:rPr>
        <w:t xml:space="preserve">States may want to take advantage </w:t>
      </w:r>
      <w:bookmarkEnd w:id="2"/>
      <w:r w:rsidR="00D600FB" w:rsidRPr="00516213">
        <w:rPr>
          <w:rFonts w:ascii="Times New Roman" w:eastAsiaTheme="majorEastAsia" w:hAnsi="Times New Roman" w:cs="Times New Roman"/>
          <w:bCs/>
          <w:sz w:val="24"/>
          <w:szCs w:val="24"/>
        </w:rPr>
        <w:t>of emergency rule to practice repressive measures against minority groups that would not otherwise be legitimate under the rule of law. States</w:t>
      </w:r>
      <w:r w:rsidRPr="00516213">
        <w:rPr>
          <w:rFonts w:ascii="Times New Roman" w:eastAsiaTheme="majorEastAsia" w:hAnsi="Times New Roman" w:cs="Times New Roman"/>
          <w:bCs/>
          <w:sz w:val="24"/>
          <w:szCs w:val="24"/>
        </w:rPr>
        <w:t xml:space="preserve"> often act in a more unrestrained manner in curtailing the rights of their citizens as they deal with </w:t>
      </w:r>
      <w:r w:rsidR="005F3370" w:rsidRPr="00516213">
        <w:rPr>
          <w:rFonts w:ascii="Times New Roman" w:eastAsiaTheme="majorEastAsia" w:hAnsi="Times New Roman" w:cs="Times New Roman"/>
          <w:bCs/>
          <w:sz w:val="24"/>
          <w:szCs w:val="24"/>
        </w:rPr>
        <w:t xml:space="preserve">alleged </w:t>
      </w:r>
      <w:r w:rsidRPr="00516213">
        <w:rPr>
          <w:rFonts w:ascii="Times New Roman" w:eastAsiaTheme="majorEastAsia" w:hAnsi="Times New Roman" w:cs="Times New Roman"/>
          <w:bCs/>
          <w:sz w:val="24"/>
          <w:szCs w:val="24"/>
        </w:rPr>
        <w:t>threats to the survival of the nation</w:t>
      </w:r>
      <w:r w:rsidR="00F5770E" w:rsidRPr="00516213">
        <w:rPr>
          <w:rFonts w:ascii="Times New Roman" w:eastAsiaTheme="majorEastAsia" w:hAnsi="Times New Roman" w:cs="Times New Roman"/>
          <w:bCs/>
          <w:sz w:val="24"/>
          <w:szCs w:val="24"/>
        </w:rPr>
        <w:t xml:space="preserve"> (Hafner-Burton et al.</w:t>
      </w:r>
      <w:r w:rsidR="005F3370" w:rsidRPr="00516213">
        <w:rPr>
          <w:rFonts w:ascii="Times New Roman" w:eastAsiaTheme="majorEastAsia" w:hAnsi="Times New Roman" w:cs="Times New Roman"/>
          <w:bCs/>
          <w:sz w:val="24"/>
          <w:szCs w:val="24"/>
        </w:rPr>
        <w:t xml:space="preserve"> 2011)</w:t>
      </w:r>
      <w:r w:rsidRPr="00516213">
        <w:rPr>
          <w:rFonts w:ascii="Times New Roman" w:eastAsiaTheme="majorEastAsia" w:hAnsi="Times New Roman" w:cs="Times New Roman"/>
          <w:bCs/>
          <w:sz w:val="24"/>
          <w:szCs w:val="24"/>
        </w:rPr>
        <w:t xml:space="preserve">. </w:t>
      </w:r>
      <w:r w:rsidR="005F3370" w:rsidRPr="00516213">
        <w:rPr>
          <w:rFonts w:ascii="Times New Roman" w:eastAsiaTheme="majorEastAsia" w:hAnsi="Times New Roman" w:cs="Times New Roman"/>
          <w:bCs/>
          <w:sz w:val="24"/>
          <w:szCs w:val="24"/>
        </w:rPr>
        <w:t>D</w:t>
      </w:r>
      <w:r w:rsidRPr="00516213">
        <w:rPr>
          <w:rFonts w:ascii="Times New Roman" w:eastAsiaTheme="majorEastAsia" w:hAnsi="Times New Roman" w:cs="Times New Roman"/>
          <w:bCs/>
          <w:sz w:val="24"/>
          <w:szCs w:val="24"/>
        </w:rPr>
        <w:t xml:space="preserve">eclarations of emergency are often accompanied by </w:t>
      </w:r>
      <w:r w:rsidR="005F3370" w:rsidRPr="00516213">
        <w:rPr>
          <w:rFonts w:ascii="Times New Roman" w:eastAsiaTheme="majorEastAsia" w:hAnsi="Times New Roman" w:cs="Times New Roman"/>
          <w:bCs/>
          <w:sz w:val="24"/>
          <w:szCs w:val="24"/>
        </w:rPr>
        <w:t>the</w:t>
      </w:r>
      <w:r w:rsidRPr="00516213">
        <w:rPr>
          <w:rFonts w:ascii="Times New Roman" w:eastAsiaTheme="majorEastAsia" w:hAnsi="Times New Roman" w:cs="Times New Roman"/>
          <w:bCs/>
          <w:sz w:val="24"/>
          <w:szCs w:val="24"/>
        </w:rPr>
        <w:t xml:space="preserve"> suspension of at least some articles of international human rights treaties and temporary derogation from minority protections (</w:t>
      </w:r>
      <w:proofErr w:type="spellStart"/>
      <w:r w:rsidRPr="00516213">
        <w:rPr>
          <w:rFonts w:ascii="Times New Roman" w:eastAsiaTheme="majorEastAsia" w:hAnsi="Times New Roman" w:cs="Times New Roman"/>
          <w:bCs/>
          <w:sz w:val="24"/>
          <w:szCs w:val="24"/>
        </w:rPr>
        <w:t>Ferejohn</w:t>
      </w:r>
      <w:proofErr w:type="spellEnd"/>
      <w:r w:rsidRPr="00516213">
        <w:rPr>
          <w:rFonts w:ascii="Times New Roman" w:eastAsiaTheme="majorEastAsia" w:hAnsi="Times New Roman" w:cs="Times New Roman"/>
          <w:bCs/>
          <w:sz w:val="24"/>
          <w:szCs w:val="24"/>
        </w:rPr>
        <w:t xml:space="preserve"> and </w:t>
      </w:r>
      <w:proofErr w:type="spellStart"/>
      <w:r w:rsidRPr="00516213">
        <w:rPr>
          <w:rFonts w:ascii="Times New Roman" w:eastAsiaTheme="majorEastAsia" w:hAnsi="Times New Roman" w:cs="Times New Roman"/>
          <w:bCs/>
          <w:sz w:val="24"/>
          <w:szCs w:val="24"/>
        </w:rPr>
        <w:t>Pasquino</w:t>
      </w:r>
      <w:proofErr w:type="spellEnd"/>
      <w:r w:rsidRPr="00516213">
        <w:rPr>
          <w:rFonts w:ascii="Times New Roman" w:eastAsiaTheme="majorEastAsia" w:hAnsi="Times New Roman" w:cs="Times New Roman"/>
          <w:bCs/>
          <w:sz w:val="24"/>
          <w:szCs w:val="24"/>
        </w:rPr>
        <w:t xml:space="preserve"> 2004</w:t>
      </w:r>
      <w:r w:rsidR="00D600FB" w:rsidRPr="00516213">
        <w:rPr>
          <w:rFonts w:ascii="Times New Roman" w:eastAsiaTheme="majorEastAsia" w:hAnsi="Times New Roman" w:cs="Times New Roman"/>
          <w:bCs/>
          <w:sz w:val="24"/>
          <w:szCs w:val="24"/>
        </w:rPr>
        <w:t>; Hadden 1999, 114</w:t>
      </w:r>
      <w:r w:rsidRPr="00516213">
        <w:rPr>
          <w:rFonts w:ascii="Times New Roman" w:eastAsiaTheme="majorEastAsia" w:hAnsi="Times New Roman" w:cs="Times New Roman"/>
          <w:bCs/>
          <w:sz w:val="24"/>
          <w:szCs w:val="24"/>
        </w:rPr>
        <w:t xml:space="preserve">). </w:t>
      </w:r>
    </w:p>
    <w:p w14:paraId="3BCF4CC6" w14:textId="1614403D" w:rsidR="008F5F79" w:rsidRPr="00516213" w:rsidRDefault="008F5F79" w:rsidP="000D373E">
      <w:pPr>
        <w:spacing w:line="360" w:lineRule="auto"/>
        <w:ind w:firstLine="720"/>
        <w:jc w:val="both"/>
        <w:rPr>
          <w:rFonts w:ascii="Times New Roman" w:eastAsiaTheme="majorEastAsia" w:hAnsi="Times New Roman" w:cs="Times New Roman"/>
          <w:bCs/>
          <w:sz w:val="24"/>
          <w:szCs w:val="24"/>
        </w:rPr>
      </w:pPr>
      <w:r w:rsidRPr="00516213">
        <w:rPr>
          <w:rFonts w:ascii="Times New Roman" w:eastAsiaTheme="majorEastAsia" w:hAnsi="Times New Roman" w:cs="Times New Roman"/>
          <w:bCs/>
          <w:sz w:val="24"/>
          <w:szCs w:val="24"/>
        </w:rPr>
        <w:t>Emergencies are socially constructed by th</w:t>
      </w:r>
      <w:r w:rsidR="00DB496C" w:rsidRPr="00516213">
        <w:rPr>
          <w:rFonts w:ascii="Times New Roman" w:eastAsiaTheme="majorEastAsia" w:hAnsi="Times New Roman" w:cs="Times New Roman"/>
          <w:bCs/>
          <w:sz w:val="24"/>
          <w:szCs w:val="24"/>
        </w:rPr>
        <w:t>ose in power (</w:t>
      </w:r>
      <w:proofErr w:type="spellStart"/>
      <w:r w:rsidR="00DB496C" w:rsidRPr="00516213">
        <w:rPr>
          <w:rFonts w:ascii="Times New Roman" w:eastAsiaTheme="majorEastAsia" w:hAnsi="Times New Roman" w:cs="Times New Roman"/>
          <w:bCs/>
          <w:sz w:val="24"/>
          <w:szCs w:val="24"/>
        </w:rPr>
        <w:t>Loveman</w:t>
      </w:r>
      <w:proofErr w:type="spellEnd"/>
      <w:r w:rsidR="00DB496C" w:rsidRPr="00516213">
        <w:rPr>
          <w:rFonts w:ascii="Times New Roman" w:eastAsiaTheme="majorEastAsia" w:hAnsi="Times New Roman" w:cs="Times New Roman"/>
          <w:bCs/>
          <w:sz w:val="24"/>
          <w:szCs w:val="24"/>
        </w:rPr>
        <w:t xml:space="preserve"> 1993)</w:t>
      </w:r>
      <w:r w:rsidR="007B3FD3">
        <w:rPr>
          <w:rFonts w:ascii="Times New Roman" w:eastAsiaTheme="majorEastAsia" w:hAnsi="Times New Roman" w:cs="Times New Roman"/>
          <w:bCs/>
          <w:sz w:val="24"/>
          <w:szCs w:val="24"/>
        </w:rPr>
        <w:t>,</w:t>
      </w:r>
      <w:r w:rsidR="002A32B8" w:rsidRPr="00516213">
        <w:rPr>
          <w:rFonts w:ascii="Times New Roman" w:eastAsiaTheme="majorEastAsia" w:hAnsi="Times New Roman" w:cs="Times New Roman"/>
          <w:bCs/>
          <w:sz w:val="24"/>
          <w:szCs w:val="24"/>
        </w:rPr>
        <w:t xml:space="preserve"> and</w:t>
      </w:r>
      <w:r w:rsidR="00F5770E" w:rsidRPr="00516213">
        <w:rPr>
          <w:rFonts w:ascii="Times New Roman" w:eastAsiaTheme="majorEastAsia" w:hAnsi="Times New Roman" w:cs="Times New Roman"/>
          <w:bCs/>
          <w:sz w:val="24"/>
          <w:szCs w:val="24"/>
        </w:rPr>
        <w:t xml:space="preserve">, as </w:t>
      </w:r>
      <w:r w:rsidR="004155F2" w:rsidRPr="00516213">
        <w:rPr>
          <w:rFonts w:ascii="Times New Roman" w:eastAsiaTheme="majorEastAsia" w:hAnsi="Times New Roman" w:cs="Times New Roman"/>
          <w:bCs/>
          <w:sz w:val="24"/>
          <w:szCs w:val="24"/>
        </w:rPr>
        <w:t xml:space="preserve">we shall show in the </w:t>
      </w:r>
      <w:r w:rsidR="00F5770E" w:rsidRPr="00516213">
        <w:rPr>
          <w:rFonts w:ascii="Times New Roman" w:eastAsiaTheme="majorEastAsia" w:hAnsi="Times New Roman" w:cs="Times New Roman"/>
          <w:bCs/>
          <w:sz w:val="24"/>
          <w:szCs w:val="24"/>
        </w:rPr>
        <w:t>Turkish case</w:t>
      </w:r>
      <w:r w:rsidR="009920FC" w:rsidRPr="00516213">
        <w:rPr>
          <w:rFonts w:ascii="Times New Roman" w:eastAsiaTheme="majorEastAsia" w:hAnsi="Times New Roman" w:cs="Times New Roman"/>
          <w:bCs/>
          <w:sz w:val="24"/>
          <w:szCs w:val="24"/>
        </w:rPr>
        <w:t xml:space="preserve">, emergencies can also </w:t>
      </w:r>
      <w:r w:rsidRPr="00516213">
        <w:rPr>
          <w:rFonts w:ascii="Times New Roman" w:eastAsiaTheme="majorEastAsia" w:hAnsi="Times New Roman" w:cs="Times New Roman"/>
          <w:bCs/>
          <w:sz w:val="24"/>
          <w:szCs w:val="24"/>
        </w:rPr>
        <w:t xml:space="preserve">be reconstructed in the course of the emergency to expand their scope and target new groups in line with the incumbent’s interests. </w:t>
      </w:r>
      <w:r w:rsidR="004155F2" w:rsidRPr="00516213">
        <w:rPr>
          <w:rFonts w:ascii="Times New Roman" w:eastAsiaTheme="majorEastAsia" w:hAnsi="Times New Roman" w:cs="Times New Roman"/>
          <w:bCs/>
          <w:sz w:val="24"/>
          <w:szCs w:val="24"/>
        </w:rPr>
        <w:t xml:space="preserve">If a minority is highly </w:t>
      </w:r>
      <w:r w:rsidR="00735F75" w:rsidRPr="00516213">
        <w:rPr>
          <w:rFonts w:ascii="Times New Roman" w:eastAsiaTheme="majorEastAsia" w:hAnsi="Times New Roman" w:cs="Times New Roman"/>
          <w:bCs/>
          <w:sz w:val="24"/>
          <w:szCs w:val="24"/>
        </w:rPr>
        <w:t>securiti</w:t>
      </w:r>
      <w:r w:rsidR="00735F75">
        <w:rPr>
          <w:rFonts w:ascii="Times New Roman" w:eastAsiaTheme="majorEastAsia" w:hAnsi="Times New Roman" w:cs="Times New Roman"/>
          <w:bCs/>
          <w:sz w:val="24"/>
          <w:szCs w:val="24"/>
        </w:rPr>
        <w:t>z</w:t>
      </w:r>
      <w:r w:rsidR="00735F75" w:rsidRPr="00516213">
        <w:rPr>
          <w:rFonts w:ascii="Times New Roman" w:eastAsiaTheme="majorEastAsia" w:hAnsi="Times New Roman" w:cs="Times New Roman"/>
          <w:bCs/>
          <w:sz w:val="24"/>
          <w:szCs w:val="24"/>
        </w:rPr>
        <w:t xml:space="preserve">ed </w:t>
      </w:r>
      <w:r w:rsidR="004155F2" w:rsidRPr="00516213">
        <w:rPr>
          <w:rFonts w:ascii="Times New Roman" w:eastAsiaTheme="majorEastAsia" w:hAnsi="Times New Roman" w:cs="Times New Roman"/>
          <w:bCs/>
          <w:sz w:val="24"/>
          <w:szCs w:val="24"/>
        </w:rPr>
        <w:t>and constructed as a threat, then it becomes possible for a government to link them to a</w:t>
      </w:r>
      <w:r w:rsidR="007B3FD3">
        <w:rPr>
          <w:rFonts w:ascii="Times New Roman" w:eastAsiaTheme="majorEastAsia" w:hAnsi="Times New Roman" w:cs="Times New Roman"/>
          <w:bCs/>
          <w:sz w:val="24"/>
          <w:szCs w:val="24"/>
        </w:rPr>
        <w:t>n</w:t>
      </w:r>
      <w:r w:rsidR="004155F2" w:rsidRPr="00516213">
        <w:rPr>
          <w:rFonts w:ascii="Times New Roman" w:eastAsiaTheme="majorEastAsia" w:hAnsi="Times New Roman" w:cs="Times New Roman"/>
          <w:bCs/>
          <w:sz w:val="24"/>
          <w:szCs w:val="24"/>
        </w:rPr>
        <w:t xml:space="preserve"> </w:t>
      </w:r>
      <w:proofErr w:type="spellStart"/>
      <w:r w:rsidR="004155F2" w:rsidRPr="00516213">
        <w:rPr>
          <w:rFonts w:ascii="Times New Roman" w:eastAsiaTheme="majorEastAsia" w:hAnsi="Times New Roman" w:cs="Times New Roman"/>
          <w:bCs/>
          <w:sz w:val="24"/>
          <w:szCs w:val="24"/>
        </w:rPr>
        <w:t>SoE</w:t>
      </w:r>
      <w:proofErr w:type="spellEnd"/>
      <w:r w:rsidR="004155F2" w:rsidRPr="00516213">
        <w:rPr>
          <w:rFonts w:ascii="Times New Roman" w:eastAsiaTheme="majorEastAsia" w:hAnsi="Times New Roman" w:cs="Times New Roman"/>
          <w:bCs/>
          <w:sz w:val="24"/>
          <w:szCs w:val="24"/>
        </w:rPr>
        <w:t xml:space="preserve">, even if no such immediate connection actually exists. </w:t>
      </w:r>
      <w:r w:rsidRPr="00516213">
        <w:rPr>
          <w:rFonts w:ascii="Times New Roman" w:eastAsiaTheme="majorEastAsia" w:hAnsi="Times New Roman" w:cs="Times New Roman"/>
          <w:bCs/>
          <w:sz w:val="24"/>
          <w:szCs w:val="24"/>
        </w:rPr>
        <w:t xml:space="preserve">In an excessively securitized political environment where citizens are constantly warned against internal and external enemies, minorities </w:t>
      </w:r>
      <w:r w:rsidR="00FE351E" w:rsidRPr="00516213">
        <w:rPr>
          <w:rFonts w:ascii="Times New Roman" w:eastAsiaTheme="majorEastAsia" w:hAnsi="Times New Roman" w:cs="Times New Roman"/>
          <w:bCs/>
          <w:sz w:val="24"/>
          <w:szCs w:val="24"/>
        </w:rPr>
        <w:t>are</w:t>
      </w:r>
      <w:r w:rsidRPr="00516213">
        <w:rPr>
          <w:rFonts w:ascii="Times New Roman" w:eastAsiaTheme="majorEastAsia" w:hAnsi="Times New Roman" w:cs="Times New Roman"/>
          <w:bCs/>
          <w:sz w:val="24"/>
          <w:szCs w:val="24"/>
        </w:rPr>
        <w:t xml:space="preserve"> easily targeted by governments</w:t>
      </w:r>
      <w:r w:rsidR="00E24F5D" w:rsidRPr="00516213">
        <w:rPr>
          <w:rFonts w:ascii="Times New Roman" w:eastAsiaTheme="majorEastAsia" w:hAnsi="Times New Roman" w:cs="Times New Roman"/>
          <w:bCs/>
          <w:sz w:val="24"/>
          <w:szCs w:val="24"/>
        </w:rPr>
        <w:t xml:space="preserve"> (</w:t>
      </w:r>
      <w:proofErr w:type="spellStart"/>
      <w:r w:rsidR="006F459E" w:rsidRPr="00516213">
        <w:rPr>
          <w:rFonts w:ascii="Times New Roman" w:eastAsiaTheme="majorEastAsia" w:hAnsi="Times New Roman" w:cs="Times New Roman"/>
          <w:bCs/>
          <w:sz w:val="24"/>
          <w:szCs w:val="24"/>
        </w:rPr>
        <w:t>Kaliber</w:t>
      </w:r>
      <w:proofErr w:type="spellEnd"/>
      <w:r w:rsidR="006F459E" w:rsidRPr="00516213">
        <w:rPr>
          <w:rFonts w:ascii="Times New Roman" w:eastAsiaTheme="majorEastAsia" w:hAnsi="Times New Roman" w:cs="Times New Roman"/>
          <w:bCs/>
          <w:sz w:val="24"/>
          <w:szCs w:val="24"/>
        </w:rPr>
        <w:t xml:space="preserve"> 2019).</w:t>
      </w:r>
      <w:r w:rsidR="009920FC" w:rsidRPr="00516213">
        <w:rPr>
          <w:rFonts w:ascii="Times New Roman" w:eastAsiaTheme="majorEastAsia" w:hAnsi="Times New Roman" w:cs="Times New Roman"/>
          <w:bCs/>
          <w:sz w:val="24"/>
          <w:szCs w:val="24"/>
        </w:rPr>
        <w:t xml:space="preserve"> This is especially possible through modular emergency</w:t>
      </w:r>
      <w:r w:rsidR="00547401" w:rsidRPr="00516213">
        <w:rPr>
          <w:rFonts w:ascii="Times New Roman" w:eastAsiaTheme="majorEastAsia" w:hAnsi="Times New Roman" w:cs="Times New Roman"/>
          <w:bCs/>
          <w:sz w:val="24"/>
          <w:szCs w:val="24"/>
        </w:rPr>
        <w:t xml:space="preserve"> rule</w:t>
      </w:r>
      <w:r w:rsidR="009920FC" w:rsidRPr="00516213">
        <w:rPr>
          <w:rFonts w:ascii="Times New Roman" w:eastAsiaTheme="majorEastAsia" w:hAnsi="Times New Roman" w:cs="Times New Roman"/>
          <w:bCs/>
          <w:sz w:val="24"/>
          <w:szCs w:val="24"/>
        </w:rPr>
        <w:t xml:space="preserve">, where emergency legislation can be laid on top of existing ordinary legislation that already </w:t>
      </w:r>
      <w:r w:rsidR="00735F75" w:rsidRPr="00516213">
        <w:rPr>
          <w:rFonts w:ascii="Times New Roman" w:eastAsiaTheme="majorEastAsia" w:hAnsi="Times New Roman" w:cs="Times New Roman"/>
          <w:bCs/>
          <w:sz w:val="24"/>
          <w:szCs w:val="24"/>
        </w:rPr>
        <w:t>securiti</w:t>
      </w:r>
      <w:r w:rsidR="00735F75">
        <w:rPr>
          <w:rFonts w:ascii="Times New Roman" w:eastAsiaTheme="majorEastAsia" w:hAnsi="Times New Roman" w:cs="Times New Roman"/>
          <w:bCs/>
          <w:sz w:val="24"/>
          <w:szCs w:val="24"/>
        </w:rPr>
        <w:t>z</w:t>
      </w:r>
      <w:r w:rsidR="00735F75" w:rsidRPr="00516213">
        <w:rPr>
          <w:rFonts w:ascii="Times New Roman" w:eastAsiaTheme="majorEastAsia" w:hAnsi="Times New Roman" w:cs="Times New Roman"/>
          <w:bCs/>
          <w:sz w:val="24"/>
          <w:szCs w:val="24"/>
        </w:rPr>
        <w:t>e</w:t>
      </w:r>
      <w:r w:rsidR="007B3FD3">
        <w:rPr>
          <w:rFonts w:ascii="Times New Roman" w:eastAsiaTheme="majorEastAsia" w:hAnsi="Times New Roman" w:cs="Times New Roman"/>
          <w:bCs/>
          <w:sz w:val="24"/>
          <w:szCs w:val="24"/>
        </w:rPr>
        <w:t>s</w:t>
      </w:r>
      <w:r w:rsidR="00735F75" w:rsidRPr="00516213">
        <w:rPr>
          <w:rFonts w:ascii="Times New Roman" w:eastAsiaTheme="majorEastAsia" w:hAnsi="Times New Roman" w:cs="Times New Roman"/>
          <w:bCs/>
          <w:sz w:val="24"/>
          <w:szCs w:val="24"/>
        </w:rPr>
        <w:t xml:space="preserve"> </w:t>
      </w:r>
      <w:r w:rsidR="00547401" w:rsidRPr="00516213">
        <w:rPr>
          <w:rFonts w:ascii="Times New Roman" w:eastAsiaTheme="majorEastAsia" w:hAnsi="Times New Roman" w:cs="Times New Roman"/>
          <w:bCs/>
          <w:sz w:val="24"/>
          <w:szCs w:val="24"/>
        </w:rPr>
        <w:t>what a government sees as disruptive minorities. In this way, an incumbent can present the targeting of minorities as a consistent and continuous policy based on past experience, even if that group had nothing to do with the</w:t>
      </w:r>
      <w:r w:rsidR="002D301E" w:rsidRPr="00516213">
        <w:rPr>
          <w:rFonts w:ascii="Times New Roman" w:eastAsiaTheme="majorEastAsia" w:hAnsi="Times New Roman" w:cs="Times New Roman"/>
          <w:bCs/>
          <w:sz w:val="24"/>
          <w:szCs w:val="24"/>
        </w:rPr>
        <w:t xml:space="preserve"> emergency.</w:t>
      </w:r>
    </w:p>
    <w:p w14:paraId="1AC124B2" w14:textId="3AE505B6" w:rsidR="008F5F79" w:rsidRPr="00516213" w:rsidRDefault="008F5F79" w:rsidP="000D373E">
      <w:pPr>
        <w:spacing w:line="360" w:lineRule="auto"/>
        <w:ind w:firstLine="720"/>
        <w:jc w:val="both"/>
        <w:rPr>
          <w:rFonts w:ascii="Times New Roman" w:eastAsiaTheme="majorEastAsia" w:hAnsi="Times New Roman" w:cs="Times New Roman"/>
          <w:bCs/>
          <w:sz w:val="24"/>
          <w:szCs w:val="24"/>
        </w:rPr>
      </w:pPr>
      <w:r w:rsidRPr="00516213">
        <w:rPr>
          <w:rFonts w:ascii="Times New Roman" w:eastAsiaTheme="majorEastAsia" w:hAnsi="Times New Roman" w:cs="Times New Roman"/>
          <w:bCs/>
          <w:sz w:val="24"/>
          <w:szCs w:val="24"/>
        </w:rPr>
        <w:t xml:space="preserve">Such developments are more likely in hybrid </w:t>
      </w:r>
      <w:r w:rsidR="00D600FB" w:rsidRPr="00516213">
        <w:rPr>
          <w:rFonts w:ascii="Times New Roman" w:eastAsiaTheme="majorEastAsia" w:hAnsi="Times New Roman" w:cs="Times New Roman"/>
          <w:bCs/>
          <w:sz w:val="24"/>
          <w:szCs w:val="24"/>
        </w:rPr>
        <w:t xml:space="preserve">regimes </w:t>
      </w:r>
      <w:r w:rsidRPr="00516213">
        <w:rPr>
          <w:rFonts w:ascii="Times New Roman" w:eastAsiaTheme="majorEastAsia" w:hAnsi="Times New Roman" w:cs="Times New Roman"/>
          <w:bCs/>
          <w:sz w:val="24"/>
          <w:szCs w:val="24"/>
        </w:rPr>
        <w:t>where non-democratic institutions exist alongside democratic ones, thus weakening levels of accountability t</w:t>
      </w:r>
      <w:r w:rsidR="00F5770E" w:rsidRPr="00516213">
        <w:rPr>
          <w:rFonts w:ascii="Times New Roman" w:eastAsiaTheme="majorEastAsia" w:hAnsi="Times New Roman" w:cs="Times New Roman"/>
          <w:bCs/>
          <w:sz w:val="24"/>
          <w:szCs w:val="24"/>
        </w:rPr>
        <w:t>hroughout the system (</w:t>
      </w:r>
      <w:proofErr w:type="spellStart"/>
      <w:r w:rsidR="00F5770E" w:rsidRPr="00516213">
        <w:rPr>
          <w:rFonts w:ascii="Times New Roman" w:eastAsiaTheme="majorEastAsia" w:hAnsi="Times New Roman" w:cs="Times New Roman"/>
          <w:bCs/>
          <w:sz w:val="24"/>
          <w:szCs w:val="24"/>
        </w:rPr>
        <w:t>Lührmann</w:t>
      </w:r>
      <w:proofErr w:type="spellEnd"/>
      <w:r w:rsidR="00F5770E" w:rsidRPr="00516213">
        <w:rPr>
          <w:rFonts w:ascii="Times New Roman" w:eastAsiaTheme="majorEastAsia" w:hAnsi="Times New Roman" w:cs="Times New Roman"/>
          <w:bCs/>
          <w:sz w:val="24"/>
          <w:szCs w:val="24"/>
        </w:rPr>
        <w:t xml:space="preserve"> and</w:t>
      </w:r>
      <w:r w:rsidRPr="00516213">
        <w:rPr>
          <w:rFonts w:ascii="Times New Roman" w:eastAsiaTheme="majorEastAsia" w:hAnsi="Times New Roman" w:cs="Times New Roman"/>
          <w:bCs/>
          <w:sz w:val="24"/>
          <w:szCs w:val="24"/>
        </w:rPr>
        <w:t xml:space="preserve"> Rooney 2021). Even whe</w:t>
      </w:r>
      <w:r w:rsidR="00E13A06">
        <w:rPr>
          <w:rFonts w:ascii="Times New Roman" w:eastAsiaTheme="majorEastAsia" w:hAnsi="Times New Roman" w:cs="Times New Roman"/>
          <w:bCs/>
          <w:sz w:val="24"/>
          <w:szCs w:val="24"/>
        </w:rPr>
        <w:t>n oversight mechanisms are</w:t>
      </w:r>
      <w:r w:rsidRPr="00516213">
        <w:rPr>
          <w:rFonts w:ascii="Times New Roman" w:eastAsiaTheme="majorEastAsia" w:hAnsi="Times New Roman" w:cs="Times New Roman"/>
          <w:bCs/>
          <w:sz w:val="24"/>
          <w:szCs w:val="24"/>
        </w:rPr>
        <w:t xml:space="preserve"> built into emergency rule, such as </w:t>
      </w:r>
      <w:r w:rsidR="00D65080" w:rsidRPr="00516213">
        <w:rPr>
          <w:rFonts w:ascii="Times New Roman" w:eastAsiaTheme="majorEastAsia" w:hAnsi="Times New Roman" w:cs="Times New Roman"/>
          <w:bCs/>
          <w:sz w:val="24"/>
          <w:szCs w:val="24"/>
        </w:rPr>
        <w:t xml:space="preserve">sunset clauses </w:t>
      </w:r>
      <w:r w:rsidR="001826F3" w:rsidRPr="00516213">
        <w:rPr>
          <w:rFonts w:ascii="Times New Roman" w:eastAsiaTheme="majorEastAsia" w:hAnsi="Times New Roman" w:cs="Times New Roman"/>
          <w:bCs/>
          <w:sz w:val="24"/>
          <w:szCs w:val="24"/>
        </w:rPr>
        <w:t>or</w:t>
      </w:r>
      <w:r w:rsidR="00D65080" w:rsidRPr="00516213">
        <w:rPr>
          <w:rFonts w:ascii="Times New Roman" w:eastAsiaTheme="majorEastAsia" w:hAnsi="Times New Roman" w:cs="Times New Roman"/>
          <w:bCs/>
          <w:sz w:val="24"/>
          <w:szCs w:val="24"/>
        </w:rPr>
        <w:t xml:space="preserve"> </w:t>
      </w:r>
      <w:r w:rsidRPr="00516213">
        <w:rPr>
          <w:rFonts w:ascii="Times New Roman" w:eastAsiaTheme="majorEastAsia" w:hAnsi="Times New Roman" w:cs="Times New Roman"/>
          <w:bCs/>
          <w:sz w:val="24"/>
          <w:szCs w:val="24"/>
        </w:rPr>
        <w:t>requiring parliamentary approval to renew a</w:t>
      </w:r>
      <w:r w:rsidR="00E13A06">
        <w:rPr>
          <w:rFonts w:ascii="Times New Roman" w:eastAsiaTheme="majorEastAsia" w:hAnsi="Times New Roman" w:cs="Times New Roman"/>
          <w:bCs/>
          <w:sz w:val="24"/>
          <w:szCs w:val="24"/>
        </w:rPr>
        <w:t>n</w:t>
      </w:r>
      <w:r w:rsidR="005A5264" w:rsidRPr="00516213">
        <w:rPr>
          <w:rFonts w:ascii="Times New Roman" w:eastAsiaTheme="majorEastAsia" w:hAnsi="Times New Roman" w:cs="Times New Roman"/>
          <w:bCs/>
          <w:sz w:val="24"/>
          <w:szCs w:val="24"/>
        </w:rPr>
        <w:t xml:space="preserve"> </w:t>
      </w:r>
      <w:proofErr w:type="spellStart"/>
      <w:r w:rsidR="005A5264" w:rsidRPr="00516213">
        <w:rPr>
          <w:rFonts w:ascii="Times New Roman" w:eastAsiaTheme="majorEastAsia" w:hAnsi="Times New Roman" w:cs="Times New Roman"/>
          <w:bCs/>
          <w:sz w:val="24"/>
          <w:szCs w:val="24"/>
        </w:rPr>
        <w:t>SoE</w:t>
      </w:r>
      <w:proofErr w:type="spellEnd"/>
      <w:r w:rsidRPr="00516213">
        <w:rPr>
          <w:rFonts w:ascii="Times New Roman" w:eastAsiaTheme="majorEastAsia" w:hAnsi="Times New Roman" w:cs="Times New Roman"/>
          <w:bCs/>
          <w:sz w:val="24"/>
          <w:szCs w:val="24"/>
        </w:rPr>
        <w:t xml:space="preserve">, these can </w:t>
      </w:r>
      <w:r w:rsidR="00E13A06">
        <w:rPr>
          <w:rFonts w:ascii="Times New Roman" w:eastAsiaTheme="majorEastAsia" w:hAnsi="Times New Roman" w:cs="Times New Roman"/>
          <w:bCs/>
          <w:sz w:val="24"/>
          <w:szCs w:val="24"/>
        </w:rPr>
        <w:t xml:space="preserve">prove </w:t>
      </w:r>
      <w:r w:rsidRPr="00516213">
        <w:rPr>
          <w:rFonts w:ascii="Times New Roman" w:eastAsiaTheme="majorEastAsia" w:hAnsi="Times New Roman" w:cs="Times New Roman"/>
          <w:bCs/>
          <w:sz w:val="24"/>
          <w:szCs w:val="24"/>
        </w:rPr>
        <w:t>meaningless</w:t>
      </w:r>
      <w:r w:rsidR="00D65080" w:rsidRPr="00516213">
        <w:rPr>
          <w:rFonts w:ascii="Times New Roman" w:eastAsiaTheme="majorEastAsia" w:hAnsi="Times New Roman" w:cs="Times New Roman"/>
          <w:bCs/>
          <w:sz w:val="24"/>
          <w:szCs w:val="24"/>
        </w:rPr>
        <w:t>. I</w:t>
      </w:r>
      <w:r w:rsidRPr="00516213">
        <w:rPr>
          <w:rFonts w:ascii="Times New Roman" w:eastAsiaTheme="majorEastAsia" w:hAnsi="Times New Roman" w:cs="Times New Roman"/>
          <w:bCs/>
          <w:sz w:val="24"/>
          <w:szCs w:val="24"/>
        </w:rPr>
        <w:t>f a majority controls the legislature or if the executive can co-opt independent institutions</w:t>
      </w:r>
      <w:r w:rsidR="00D65080" w:rsidRPr="00516213">
        <w:rPr>
          <w:rFonts w:ascii="Times New Roman" w:eastAsiaTheme="majorEastAsia" w:hAnsi="Times New Roman" w:cs="Times New Roman"/>
          <w:bCs/>
          <w:sz w:val="24"/>
          <w:szCs w:val="24"/>
        </w:rPr>
        <w:t xml:space="preserve">, such legal protections have little oversight effectiveness </w:t>
      </w:r>
      <w:r w:rsidR="00F5770E" w:rsidRPr="00516213">
        <w:rPr>
          <w:rFonts w:ascii="Times New Roman" w:eastAsiaTheme="majorEastAsia" w:hAnsi="Times New Roman" w:cs="Times New Roman"/>
          <w:bCs/>
          <w:sz w:val="24"/>
          <w:szCs w:val="24"/>
        </w:rPr>
        <w:t>(</w:t>
      </w:r>
      <w:proofErr w:type="spellStart"/>
      <w:r w:rsidR="00F5770E" w:rsidRPr="00516213">
        <w:rPr>
          <w:rFonts w:ascii="Times New Roman" w:eastAsiaTheme="majorEastAsia" w:hAnsi="Times New Roman" w:cs="Times New Roman"/>
          <w:bCs/>
          <w:sz w:val="24"/>
          <w:szCs w:val="24"/>
        </w:rPr>
        <w:t>Laebens</w:t>
      </w:r>
      <w:proofErr w:type="spellEnd"/>
      <w:r w:rsidR="00F5770E" w:rsidRPr="00516213">
        <w:rPr>
          <w:rFonts w:ascii="Times New Roman" w:eastAsiaTheme="majorEastAsia" w:hAnsi="Times New Roman" w:cs="Times New Roman"/>
          <w:bCs/>
          <w:sz w:val="24"/>
          <w:szCs w:val="24"/>
        </w:rPr>
        <w:t xml:space="preserve"> and</w:t>
      </w:r>
      <w:r w:rsidRPr="00516213">
        <w:rPr>
          <w:rFonts w:ascii="Times New Roman" w:eastAsiaTheme="majorEastAsia" w:hAnsi="Times New Roman" w:cs="Times New Roman"/>
          <w:bCs/>
          <w:sz w:val="24"/>
          <w:szCs w:val="24"/>
        </w:rPr>
        <w:t xml:space="preserve"> </w:t>
      </w:r>
      <w:proofErr w:type="spellStart"/>
      <w:r w:rsidRPr="00516213">
        <w:rPr>
          <w:rFonts w:ascii="Times New Roman" w:eastAsiaTheme="majorEastAsia" w:hAnsi="Times New Roman" w:cs="Times New Roman"/>
          <w:bCs/>
          <w:sz w:val="24"/>
          <w:szCs w:val="24"/>
        </w:rPr>
        <w:t>Lührmann</w:t>
      </w:r>
      <w:proofErr w:type="spellEnd"/>
      <w:r w:rsidRPr="00516213">
        <w:rPr>
          <w:rFonts w:ascii="Times New Roman" w:eastAsiaTheme="majorEastAsia" w:hAnsi="Times New Roman" w:cs="Times New Roman"/>
          <w:bCs/>
          <w:sz w:val="24"/>
          <w:szCs w:val="24"/>
        </w:rPr>
        <w:t xml:space="preserve"> 2021). International constraints </w:t>
      </w:r>
      <w:r w:rsidR="002D301E" w:rsidRPr="00516213">
        <w:rPr>
          <w:rFonts w:ascii="Times New Roman" w:eastAsiaTheme="majorEastAsia" w:hAnsi="Times New Roman" w:cs="Times New Roman"/>
          <w:bCs/>
          <w:sz w:val="24"/>
          <w:szCs w:val="24"/>
        </w:rPr>
        <w:t>may</w:t>
      </w:r>
      <w:r w:rsidRPr="00516213">
        <w:rPr>
          <w:rFonts w:ascii="Times New Roman" w:eastAsiaTheme="majorEastAsia" w:hAnsi="Times New Roman" w:cs="Times New Roman"/>
          <w:bCs/>
          <w:sz w:val="24"/>
          <w:szCs w:val="24"/>
        </w:rPr>
        <w:t xml:space="preserve"> also be powerless to stop </w:t>
      </w:r>
      <w:r w:rsidR="00E13A06">
        <w:rPr>
          <w:rFonts w:ascii="Times New Roman" w:eastAsiaTheme="majorEastAsia" w:hAnsi="Times New Roman" w:cs="Times New Roman"/>
          <w:bCs/>
          <w:sz w:val="24"/>
          <w:szCs w:val="24"/>
        </w:rPr>
        <w:t xml:space="preserve">the </w:t>
      </w:r>
      <w:r w:rsidRPr="00516213">
        <w:rPr>
          <w:rFonts w:ascii="Times New Roman" w:eastAsiaTheme="majorEastAsia" w:hAnsi="Times New Roman" w:cs="Times New Roman"/>
          <w:bCs/>
          <w:sz w:val="24"/>
          <w:szCs w:val="24"/>
        </w:rPr>
        <w:t>misuse of emergency rule. Domestic factors such as the quality of democracy, the existence of an independent judiciary and political culture all mediate the impacts of international treaties and supranational courts on the protection of minorities (</w:t>
      </w:r>
      <w:proofErr w:type="spellStart"/>
      <w:r w:rsidRPr="00516213">
        <w:rPr>
          <w:rFonts w:ascii="Times New Roman" w:eastAsiaTheme="majorEastAsia" w:hAnsi="Times New Roman" w:cs="Times New Roman"/>
          <w:bCs/>
          <w:sz w:val="24"/>
          <w:szCs w:val="24"/>
        </w:rPr>
        <w:t>Anagnostou</w:t>
      </w:r>
      <w:proofErr w:type="spellEnd"/>
      <w:r w:rsidRPr="00516213">
        <w:rPr>
          <w:rFonts w:ascii="Times New Roman" w:eastAsiaTheme="majorEastAsia" w:hAnsi="Times New Roman" w:cs="Times New Roman"/>
          <w:bCs/>
          <w:sz w:val="24"/>
          <w:szCs w:val="24"/>
        </w:rPr>
        <w:t xml:space="preserve"> 2013). Despite the expansion of supranational adjudication on human rights, ‘governments’ formal commitments under international human rights law do not deter their v</w:t>
      </w:r>
      <w:r w:rsidR="00E84DAD" w:rsidRPr="00516213">
        <w:rPr>
          <w:rFonts w:ascii="Times New Roman" w:eastAsiaTheme="majorEastAsia" w:hAnsi="Times New Roman" w:cs="Times New Roman"/>
          <w:bCs/>
          <w:sz w:val="24"/>
          <w:szCs w:val="24"/>
        </w:rPr>
        <w:t>iolations thereof’ (</w:t>
      </w:r>
      <w:proofErr w:type="spellStart"/>
      <w:r w:rsidR="00E84DAD" w:rsidRPr="00516213">
        <w:rPr>
          <w:rFonts w:ascii="Times New Roman" w:eastAsiaTheme="majorEastAsia" w:hAnsi="Times New Roman" w:cs="Times New Roman"/>
          <w:bCs/>
          <w:sz w:val="24"/>
          <w:szCs w:val="24"/>
        </w:rPr>
        <w:t>Kurban</w:t>
      </w:r>
      <w:proofErr w:type="spellEnd"/>
      <w:r w:rsidR="00E84DAD" w:rsidRPr="00516213">
        <w:rPr>
          <w:rFonts w:ascii="Times New Roman" w:eastAsiaTheme="majorEastAsia" w:hAnsi="Times New Roman" w:cs="Times New Roman"/>
          <w:bCs/>
          <w:sz w:val="24"/>
          <w:szCs w:val="24"/>
        </w:rPr>
        <w:t xml:space="preserve"> 2020,</w:t>
      </w:r>
      <w:r w:rsidRPr="00516213">
        <w:rPr>
          <w:rFonts w:ascii="Times New Roman" w:eastAsiaTheme="majorEastAsia" w:hAnsi="Times New Roman" w:cs="Times New Roman"/>
          <w:bCs/>
          <w:sz w:val="24"/>
          <w:szCs w:val="24"/>
        </w:rPr>
        <w:t xml:space="preserve"> 9).</w:t>
      </w:r>
    </w:p>
    <w:p w14:paraId="1A6B4B37" w14:textId="7F18F9CB" w:rsidR="00CA2BEF" w:rsidRPr="00516213" w:rsidRDefault="002D301E" w:rsidP="000D373E">
      <w:pPr>
        <w:spacing w:line="360" w:lineRule="auto"/>
        <w:ind w:firstLine="720"/>
        <w:jc w:val="both"/>
        <w:rPr>
          <w:rFonts w:ascii="Times New Roman" w:eastAsiaTheme="majorEastAsia" w:hAnsi="Times New Roman" w:cs="Times New Roman"/>
          <w:bCs/>
          <w:sz w:val="24"/>
          <w:szCs w:val="24"/>
        </w:rPr>
      </w:pPr>
      <w:r w:rsidRPr="00516213">
        <w:rPr>
          <w:rFonts w:ascii="Times New Roman" w:eastAsiaTheme="majorEastAsia" w:hAnsi="Times New Roman" w:cs="Times New Roman"/>
          <w:bCs/>
          <w:sz w:val="24"/>
          <w:szCs w:val="24"/>
        </w:rPr>
        <w:t>To reiterate our key point, exceptional measures are used disproportionately against minority groups</w:t>
      </w:r>
      <w:r w:rsidR="001B6B52" w:rsidRPr="00516213">
        <w:rPr>
          <w:rFonts w:ascii="Times New Roman" w:eastAsiaTheme="majorEastAsia" w:hAnsi="Times New Roman" w:cs="Times New Roman"/>
          <w:bCs/>
          <w:sz w:val="24"/>
          <w:szCs w:val="24"/>
        </w:rPr>
        <w:t xml:space="preserve">, even if the minority had nothing to do with the reasons for declaring an emergency. We argue </w:t>
      </w:r>
      <w:r w:rsidR="00E13A06">
        <w:rPr>
          <w:rFonts w:ascii="Times New Roman" w:eastAsiaTheme="majorEastAsia" w:hAnsi="Times New Roman" w:cs="Times New Roman"/>
          <w:bCs/>
          <w:sz w:val="24"/>
          <w:szCs w:val="24"/>
        </w:rPr>
        <w:t xml:space="preserve">that </w:t>
      </w:r>
      <w:r w:rsidR="001B6B52" w:rsidRPr="00516213">
        <w:rPr>
          <w:rFonts w:ascii="Times New Roman" w:eastAsiaTheme="majorEastAsia" w:hAnsi="Times New Roman" w:cs="Times New Roman"/>
          <w:bCs/>
          <w:sz w:val="24"/>
          <w:szCs w:val="24"/>
        </w:rPr>
        <w:t xml:space="preserve">this is made possible </w:t>
      </w:r>
      <w:r w:rsidR="00D600FB" w:rsidRPr="00516213">
        <w:rPr>
          <w:rFonts w:ascii="Times New Roman" w:eastAsiaTheme="majorEastAsia" w:hAnsi="Times New Roman" w:cs="Times New Roman"/>
          <w:bCs/>
          <w:sz w:val="24"/>
          <w:szCs w:val="24"/>
        </w:rPr>
        <w:t>by</w:t>
      </w:r>
      <w:r w:rsidR="001B6B52" w:rsidRPr="00516213">
        <w:rPr>
          <w:rFonts w:ascii="Times New Roman" w:eastAsiaTheme="majorEastAsia" w:hAnsi="Times New Roman" w:cs="Times New Roman"/>
          <w:bCs/>
          <w:sz w:val="24"/>
          <w:szCs w:val="24"/>
        </w:rPr>
        <w:t xml:space="preserve"> the </w:t>
      </w:r>
      <w:r w:rsidR="00E13A06">
        <w:rPr>
          <w:rFonts w:ascii="Times New Roman" w:eastAsiaTheme="majorEastAsia" w:hAnsi="Times New Roman" w:cs="Times New Roman"/>
          <w:bCs/>
          <w:sz w:val="24"/>
          <w:szCs w:val="24"/>
        </w:rPr>
        <w:t>modular emergency rule, which muddies the waters between ordinary legislation and emergency legislation and</w:t>
      </w:r>
      <w:r w:rsidR="001B6B52" w:rsidRPr="00516213">
        <w:rPr>
          <w:rFonts w:ascii="Times New Roman" w:eastAsiaTheme="majorEastAsia" w:hAnsi="Times New Roman" w:cs="Times New Roman"/>
          <w:bCs/>
          <w:sz w:val="24"/>
          <w:szCs w:val="24"/>
        </w:rPr>
        <w:t xml:space="preserve"> becomes a permanent grey area</w:t>
      </w:r>
      <w:r w:rsidR="003B13AC" w:rsidRPr="00516213">
        <w:rPr>
          <w:rFonts w:ascii="Times New Roman" w:eastAsiaTheme="majorEastAsia" w:hAnsi="Times New Roman" w:cs="Times New Roman"/>
          <w:bCs/>
          <w:sz w:val="24"/>
          <w:szCs w:val="24"/>
        </w:rPr>
        <w:t xml:space="preserve">. As the Kurdish case illustrates, </w:t>
      </w:r>
      <w:r w:rsidR="00E13A06">
        <w:rPr>
          <w:rFonts w:ascii="Times New Roman" w:eastAsiaTheme="majorEastAsia" w:hAnsi="Times New Roman" w:cs="Times New Roman"/>
          <w:bCs/>
          <w:sz w:val="24"/>
          <w:szCs w:val="24"/>
        </w:rPr>
        <w:t xml:space="preserve">the </w:t>
      </w:r>
      <w:r w:rsidR="001826F3" w:rsidRPr="00516213">
        <w:rPr>
          <w:rFonts w:ascii="Times New Roman" w:eastAsiaTheme="majorEastAsia" w:hAnsi="Times New Roman" w:cs="Times New Roman"/>
          <w:bCs/>
          <w:sz w:val="24"/>
          <w:szCs w:val="24"/>
        </w:rPr>
        <w:t>modular emergency rule</w:t>
      </w:r>
      <w:r w:rsidR="003B13AC" w:rsidRPr="00516213">
        <w:rPr>
          <w:rFonts w:ascii="Times New Roman" w:eastAsiaTheme="majorEastAsia" w:hAnsi="Times New Roman" w:cs="Times New Roman"/>
          <w:bCs/>
          <w:sz w:val="24"/>
          <w:szCs w:val="24"/>
        </w:rPr>
        <w:t xml:space="preserve"> may be used by governments when particular minority groups </w:t>
      </w:r>
      <w:r w:rsidR="007B6C42" w:rsidRPr="00516213">
        <w:rPr>
          <w:rFonts w:ascii="Times New Roman" w:eastAsiaTheme="majorEastAsia" w:hAnsi="Times New Roman" w:cs="Times New Roman"/>
          <w:bCs/>
          <w:sz w:val="24"/>
          <w:szCs w:val="24"/>
        </w:rPr>
        <w:t xml:space="preserve">are </w:t>
      </w:r>
      <w:r w:rsidR="00BB318D" w:rsidRPr="00516213">
        <w:rPr>
          <w:rFonts w:ascii="Times New Roman" w:eastAsiaTheme="majorEastAsia" w:hAnsi="Times New Roman" w:cs="Times New Roman"/>
          <w:bCs/>
          <w:sz w:val="24"/>
          <w:szCs w:val="24"/>
        </w:rPr>
        <w:t xml:space="preserve">securitized </w:t>
      </w:r>
      <w:r w:rsidR="005F38BF" w:rsidRPr="00516213">
        <w:rPr>
          <w:rFonts w:ascii="Times New Roman" w:eastAsiaTheme="majorEastAsia" w:hAnsi="Times New Roman" w:cs="Times New Roman"/>
          <w:bCs/>
          <w:sz w:val="24"/>
          <w:szCs w:val="24"/>
        </w:rPr>
        <w:t>after</w:t>
      </w:r>
      <w:r w:rsidR="00BB318D" w:rsidRPr="00516213">
        <w:rPr>
          <w:rFonts w:ascii="Times New Roman" w:eastAsiaTheme="majorEastAsia" w:hAnsi="Times New Roman" w:cs="Times New Roman"/>
          <w:bCs/>
          <w:sz w:val="24"/>
          <w:szCs w:val="24"/>
        </w:rPr>
        <w:t xml:space="preserve"> demand</w:t>
      </w:r>
      <w:r w:rsidR="005F38BF" w:rsidRPr="00516213">
        <w:rPr>
          <w:rFonts w:ascii="Times New Roman" w:eastAsiaTheme="majorEastAsia" w:hAnsi="Times New Roman" w:cs="Times New Roman"/>
          <w:bCs/>
          <w:sz w:val="24"/>
          <w:szCs w:val="24"/>
        </w:rPr>
        <w:t>ing</w:t>
      </w:r>
      <w:r w:rsidR="00BB318D" w:rsidRPr="00516213">
        <w:rPr>
          <w:rFonts w:ascii="Times New Roman" w:eastAsiaTheme="majorEastAsia" w:hAnsi="Times New Roman" w:cs="Times New Roman"/>
          <w:bCs/>
          <w:sz w:val="24"/>
          <w:szCs w:val="24"/>
        </w:rPr>
        <w:t xml:space="preserve"> the </w:t>
      </w:r>
      <w:r w:rsidR="007B6C42" w:rsidRPr="00516213">
        <w:rPr>
          <w:rFonts w:ascii="Times New Roman" w:eastAsiaTheme="majorEastAsia" w:hAnsi="Times New Roman" w:cs="Times New Roman"/>
          <w:bCs/>
          <w:sz w:val="24"/>
          <w:szCs w:val="24"/>
        </w:rPr>
        <w:t>recognition of their collective identit</w:t>
      </w:r>
      <w:r w:rsidR="00BB318D" w:rsidRPr="00516213">
        <w:rPr>
          <w:rFonts w:ascii="Times New Roman" w:eastAsiaTheme="majorEastAsia" w:hAnsi="Times New Roman" w:cs="Times New Roman"/>
          <w:bCs/>
          <w:sz w:val="24"/>
          <w:szCs w:val="24"/>
        </w:rPr>
        <w:t>ies</w:t>
      </w:r>
      <w:r w:rsidR="007B6C42" w:rsidRPr="00516213">
        <w:rPr>
          <w:rFonts w:ascii="Times New Roman" w:eastAsiaTheme="majorEastAsia" w:hAnsi="Times New Roman" w:cs="Times New Roman"/>
          <w:bCs/>
          <w:sz w:val="24"/>
          <w:szCs w:val="24"/>
        </w:rPr>
        <w:t xml:space="preserve">. </w:t>
      </w:r>
      <w:r w:rsidR="00992117" w:rsidRPr="00516213">
        <w:rPr>
          <w:rFonts w:ascii="Times New Roman" w:eastAsiaTheme="majorEastAsia" w:hAnsi="Times New Roman" w:cs="Times New Roman"/>
          <w:bCs/>
          <w:sz w:val="24"/>
          <w:szCs w:val="24"/>
        </w:rPr>
        <w:t>O</w:t>
      </w:r>
      <w:r w:rsidR="00CA2BEF" w:rsidRPr="00516213">
        <w:rPr>
          <w:rFonts w:ascii="Times New Roman" w:eastAsiaTheme="majorEastAsia" w:hAnsi="Times New Roman" w:cs="Times New Roman"/>
          <w:bCs/>
          <w:sz w:val="24"/>
          <w:szCs w:val="24"/>
        </w:rPr>
        <w:t xml:space="preserve">nce adopted, it often becomes difficult to repeal </w:t>
      </w:r>
      <w:r w:rsidR="005F38BF" w:rsidRPr="00516213">
        <w:rPr>
          <w:rFonts w:ascii="Times New Roman" w:eastAsiaTheme="majorEastAsia" w:hAnsi="Times New Roman" w:cs="Times New Roman"/>
          <w:bCs/>
          <w:sz w:val="24"/>
          <w:szCs w:val="24"/>
        </w:rPr>
        <w:t xml:space="preserve">such </w:t>
      </w:r>
      <w:r w:rsidR="00CA2BEF" w:rsidRPr="00516213">
        <w:rPr>
          <w:rFonts w:ascii="Times New Roman" w:eastAsiaTheme="majorEastAsia" w:hAnsi="Times New Roman" w:cs="Times New Roman"/>
          <w:bCs/>
          <w:sz w:val="24"/>
          <w:szCs w:val="24"/>
        </w:rPr>
        <w:t xml:space="preserve">legislation and the </w:t>
      </w:r>
      <w:r w:rsidR="005F38BF" w:rsidRPr="00516213">
        <w:rPr>
          <w:rFonts w:ascii="Times New Roman" w:eastAsiaTheme="majorEastAsia" w:hAnsi="Times New Roman" w:cs="Times New Roman"/>
          <w:bCs/>
          <w:sz w:val="24"/>
          <w:szCs w:val="24"/>
        </w:rPr>
        <w:t>‘</w:t>
      </w:r>
      <w:r w:rsidR="00CA2BEF" w:rsidRPr="00516213">
        <w:rPr>
          <w:rFonts w:ascii="Times New Roman" w:eastAsiaTheme="majorEastAsia" w:hAnsi="Times New Roman" w:cs="Times New Roman"/>
          <w:bCs/>
          <w:sz w:val="24"/>
          <w:szCs w:val="24"/>
        </w:rPr>
        <w:t>temporary</w:t>
      </w:r>
      <w:r w:rsidR="005F38BF" w:rsidRPr="00516213">
        <w:rPr>
          <w:rFonts w:ascii="Times New Roman" w:eastAsiaTheme="majorEastAsia" w:hAnsi="Times New Roman" w:cs="Times New Roman"/>
          <w:bCs/>
          <w:sz w:val="24"/>
          <w:szCs w:val="24"/>
        </w:rPr>
        <w:t>’</w:t>
      </w:r>
      <w:r w:rsidR="00CA2BEF" w:rsidRPr="00516213">
        <w:rPr>
          <w:rFonts w:ascii="Times New Roman" w:eastAsiaTheme="majorEastAsia" w:hAnsi="Times New Roman" w:cs="Times New Roman"/>
          <w:bCs/>
          <w:sz w:val="24"/>
          <w:szCs w:val="24"/>
        </w:rPr>
        <w:t xml:space="preserve"> emergency executive powers that it entails</w:t>
      </w:r>
      <w:r w:rsidR="00350FA8" w:rsidRPr="00516213">
        <w:rPr>
          <w:rFonts w:ascii="Times New Roman" w:eastAsiaTheme="majorEastAsia" w:hAnsi="Times New Roman" w:cs="Times New Roman"/>
          <w:bCs/>
          <w:sz w:val="24"/>
          <w:szCs w:val="24"/>
        </w:rPr>
        <w:t>, and it has an immediate and far-reaching effect on civil liberties</w:t>
      </w:r>
      <w:r w:rsidR="00B91E07" w:rsidRPr="00516213">
        <w:rPr>
          <w:rFonts w:ascii="Times New Roman" w:eastAsiaTheme="majorEastAsia" w:hAnsi="Times New Roman" w:cs="Times New Roman"/>
          <w:bCs/>
          <w:sz w:val="24"/>
          <w:szCs w:val="24"/>
        </w:rPr>
        <w:t xml:space="preserve"> (</w:t>
      </w:r>
      <w:proofErr w:type="spellStart"/>
      <w:r w:rsidR="00B91E07" w:rsidRPr="00516213">
        <w:rPr>
          <w:rFonts w:ascii="Times New Roman" w:eastAsiaTheme="majorEastAsia" w:hAnsi="Times New Roman" w:cs="Times New Roman"/>
          <w:bCs/>
          <w:sz w:val="24"/>
          <w:szCs w:val="24"/>
        </w:rPr>
        <w:t>Turkut</w:t>
      </w:r>
      <w:proofErr w:type="spellEnd"/>
      <w:r w:rsidR="00B91E07" w:rsidRPr="00516213">
        <w:rPr>
          <w:rFonts w:ascii="Times New Roman" w:eastAsiaTheme="majorEastAsia" w:hAnsi="Times New Roman" w:cs="Times New Roman"/>
          <w:bCs/>
          <w:sz w:val="24"/>
          <w:szCs w:val="24"/>
        </w:rPr>
        <w:t xml:space="preserve"> 2019; </w:t>
      </w:r>
      <w:proofErr w:type="spellStart"/>
      <w:r w:rsidR="00B91E07" w:rsidRPr="00516213">
        <w:rPr>
          <w:rFonts w:ascii="Times New Roman" w:eastAsiaTheme="majorEastAsia" w:hAnsi="Times New Roman" w:cs="Times New Roman"/>
          <w:bCs/>
          <w:sz w:val="24"/>
          <w:szCs w:val="24"/>
        </w:rPr>
        <w:t>Arslanalp</w:t>
      </w:r>
      <w:proofErr w:type="spellEnd"/>
      <w:r w:rsidR="00B91E07" w:rsidRPr="00516213">
        <w:rPr>
          <w:rFonts w:ascii="Times New Roman" w:eastAsiaTheme="majorEastAsia" w:hAnsi="Times New Roman" w:cs="Times New Roman"/>
          <w:bCs/>
          <w:sz w:val="24"/>
          <w:szCs w:val="24"/>
        </w:rPr>
        <w:t xml:space="preserve"> and </w:t>
      </w:r>
      <w:proofErr w:type="spellStart"/>
      <w:r w:rsidR="00B91E07" w:rsidRPr="00516213">
        <w:rPr>
          <w:rFonts w:ascii="Times New Roman" w:eastAsiaTheme="majorEastAsia" w:hAnsi="Times New Roman" w:cs="Times New Roman"/>
          <w:bCs/>
          <w:sz w:val="24"/>
          <w:szCs w:val="24"/>
        </w:rPr>
        <w:t>Erkman</w:t>
      </w:r>
      <w:proofErr w:type="spellEnd"/>
      <w:r w:rsidR="00B91E07" w:rsidRPr="00516213">
        <w:rPr>
          <w:rFonts w:ascii="Times New Roman" w:eastAsiaTheme="majorEastAsia" w:hAnsi="Times New Roman" w:cs="Times New Roman"/>
          <w:bCs/>
          <w:sz w:val="24"/>
          <w:szCs w:val="24"/>
        </w:rPr>
        <w:t xml:space="preserve"> 2020)</w:t>
      </w:r>
      <w:r w:rsidR="00CA2BEF" w:rsidRPr="00516213">
        <w:rPr>
          <w:rFonts w:ascii="Times New Roman" w:eastAsiaTheme="majorEastAsia" w:hAnsi="Times New Roman" w:cs="Times New Roman"/>
          <w:bCs/>
          <w:sz w:val="24"/>
          <w:szCs w:val="24"/>
        </w:rPr>
        <w:t xml:space="preserve">. </w:t>
      </w:r>
      <w:r w:rsidR="005F38BF" w:rsidRPr="00516213">
        <w:rPr>
          <w:rFonts w:ascii="Times New Roman" w:eastAsiaTheme="majorEastAsia" w:hAnsi="Times New Roman" w:cs="Times New Roman"/>
          <w:bCs/>
          <w:sz w:val="24"/>
          <w:szCs w:val="24"/>
        </w:rPr>
        <w:t>In fact</w:t>
      </w:r>
      <w:r w:rsidR="00CA2BEF" w:rsidRPr="00516213">
        <w:rPr>
          <w:rFonts w:ascii="Times New Roman" w:eastAsiaTheme="majorEastAsia" w:hAnsi="Times New Roman" w:cs="Times New Roman"/>
          <w:bCs/>
          <w:sz w:val="24"/>
          <w:szCs w:val="24"/>
        </w:rPr>
        <w:t>, ‘the temporary provisions become a baseline on which future measures are built, and laws are steadily ratcheted up that promise to ensure more security but at the expense of</w:t>
      </w:r>
      <w:r w:rsidR="00E84DAD" w:rsidRPr="00516213">
        <w:rPr>
          <w:rFonts w:ascii="Times New Roman" w:eastAsiaTheme="majorEastAsia" w:hAnsi="Times New Roman" w:cs="Times New Roman"/>
          <w:bCs/>
          <w:sz w:val="24"/>
          <w:szCs w:val="24"/>
        </w:rPr>
        <w:t xml:space="preserve"> civil liberties’ (Donohue 2008,</w:t>
      </w:r>
      <w:r w:rsidR="00CA2BEF" w:rsidRPr="00516213">
        <w:rPr>
          <w:rFonts w:ascii="Times New Roman" w:eastAsiaTheme="majorEastAsia" w:hAnsi="Times New Roman" w:cs="Times New Roman"/>
          <w:bCs/>
          <w:sz w:val="24"/>
          <w:szCs w:val="24"/>
        </w:rPr>
        <w:t xml:space="preserve"> 15).</w:t>
      </w:r>
      <w:r w:rsidR="00A93D54" w:rsidRPr="00516213">
        <w:rPr>
          <w:rFonts w:ascii="Times New Roman" w:eastAsiaTheme="majorEastAsia" w:hAnsi="Times New Roman" w:cs="Times New Roman"/>
          <w:bCs/>
          <w:sz w:val="24"/>
          <w:szCs w:val="24"/>
        </w:rPr>
        <w:t xml:space="preserve"> </w:t>
      </w:r>
    </w:p>
    <w:p w14:paraId="3B6B7F38" w14:textId="752A9369" w:rsidR="00DB59AC" w:rsidRPr="00516213" w:rsidRDefault="0086102B" w:rsidP="000D373E">
      <w:pPr>
        <w:pStyle w:val="Heading1"/>
      </w:pPr>
      <w:r w:rsidRPr="00516213">
        <w:t>C</w:t>
      </w:r>
      <w:r w:rsidR="007F0450" w:rsidRPr="00516213">
        <w:t>ase b</w:t>
      </w:r>
      <w:r w:rsidR="00672952" w:rsidRPr="00516213">
        <w:t>ackground</w:t>
      </w:r>
    </w:p>
    <w:p w14:paraId="063323A0" w14:textId="7BA7CC74" w:rsidR="00B21676" w:rsidRPr="00516213" w:rsidRDefault="00B21676" w:rsidP="00703502">
      <w:pPr>
        <w:spacing w:line="360" w:lineRule="auto"/>
        <w:jc w:val="both"/>
        <w:rPr>
          <w:rFonts w:ascii="Times New Roman" w:eastAsiaTheme="majorEastAsia" w:hAnsi="Times New Roman" w:cs="Times New Roman"/>
          <w:bCs/>
          <w:sz w:val="24"/>
          <w:szCs w:val="24"/>
        </w:rPr>
      </w:pPr>
      <w:r w:rsidRPr="00516213">
        <w:rPr>
          <w:rFonts w:ascii="Times New Roman" w:eastAsiaTheme="majorEastAsia" w:hAnsi="Times New Roman" w:cs="Times New Roman"/>
          <w:bCs/>
          <w:sz w:val="24"/>
          <w:szCs w:val="24"/>
        </w:rPr>
        <w:t>T</w:t>
      </w:r>
      <w:r w:rsidR="0055296A" w:rsidRPr="00516213">
        <w:rPr>
          <w:rFonts w:ascii="Times New Roman" w:eastAsiaTheme="majorEastAsia" w:hAnsi="Times New Roman" w:cs="Times New Roman"/>
          <w:bCs/>
          <w:sz w:val="24"/>
          <w:szCs w:val="24"/>
        </w:rPr>
        <w:t xml:space="preserve">he AKP’s use of emergency rule to target Kurdish politics after the failed coup </w:t>
      </w:r>
      <w:r w:rsidRPr="00516213">
        <w:rPr>
          <w:rFonts w:ascii="Times New Roman" w:eastAsiaTheme="majorEastAsia" w:hAnsi="Times New Roman" w:cs="Times New Roman"/>
          <w:bCs/>
          <w:sz w:val="24"/>
          <w:szCs w:val="24"/>
        </w:rPr>
        <w:t>can be thought of as a pathway case (</w:t>
      </w:r>
      <w:proofErr w:type="spellStart"/>
      <w:r w:rsidRPr="00516213">
        <w:rPr>
          <w:rFonts w:ascii="Times New Roman" w:eastAsiaTheme="majorEastAsia" w:hAnsi="Times New Roman" w:cs="Times New Roman"/>
          <w:bCs/>
          <w:sz w:val="24"/>
          <w:szCs w:val="24"/>
        </w:rPr>
        <w:t>Gerring</w:t>
      </w:r>
      <w:proofErr w:type="spellEnd"/>
      <w:r w:rsidR="00C21641" w:rsidRPr="00516213">
        <w:rPr>
          <w:rFonts w:ascii="Times New Roman" w:eastAsiaTheme="majorEastAsia" w:hAnsi="Times New Roman" w:cs="Times New Roman"/>
          <w:bCs/>
          <w:sz w:val="24"/>
          <w:szCs w:val="24"/>
        </w:rPr>
        <w:t xml:space="preserve"> 2007</w:t>
      </w:r>
      <w:r w:rsidRPr="00516213">
        <w:rPr>
          <w:rFonts w:ascii="Times New Roman" w:eastAsiaTheme="majorEastAsia" w:hAnsi="Times New Roman" w:cs="Times New Roman"/>
          <w:bCs/>
          <w:sz w:val="24"/>
          <w:szCs w:val="24"/>
        </w:rPr>
        <w:t xml:space="preserve">). A pathway case is a case </w:t>
      </w:r>
      <w:r w:rsidR="00541D46" w:rsidRPr="00516213">
        <w:rPr>
          <w:rFonts w:ascii="Times New Roman" w:eastAsiaTheme="majorEastAsia" w:hAnsi="Times New Roman" w:cs="Times New Roman"/>
          <w:bCs/>
          <w:sz w:val="24"/>
          <w:szCs w:val="24"/>
        </w:rPr>
        <w:t xml:space="preserve">that </w:t>
      </w:r>
      <w:r w:rsidR="00C21641" w:rsidRPr="00516213">
        <w:rPr>
          <w:rFonts w:ascii="Times New Roman" w:eastAsiaTheme="majorEastAsia" w:hAnsi="Times New Roman" w:cs="Times New Roman"/>
          <w:bCs/>
          <w:sz w:val="24"/>
          <w:szCs w:val="24"/>
        </w:rPr>
        <w:t>is particularly useful where a relationship is already known (namely</w:t>
      </w:r>
      <w:r w:rsidR="0055296A" w:rsidRPr="00516213">
        <w:rPr>
          <w:rFonts w:ascii="Times New Roman" w:eastAsiaTheme="majorEastAsia" w:hAnsi="Times New Roman" w:cs="Times New Roman"/>
          <w:bCs/>
          <w:sz w:val="24"/>
          <w:szCs w:val="24"/>
        </w:rPr>
        <w:t>,</w:t>
      </w:r>
      <w:r w:rsidR="00C21641" w:rsidRPr="00516213">
        <w:rPr>
          <w:rFonts w:ascii="Times New Roman" w:eastAsiaTheme="majorEastAsia" w:hAnsi="Times New Roman" w:cs="Times New Roman"/>
          <w:bCs/>
          <w:sz w:val="24"/>
          <w:szCs w:val="24"/>
        </w:rPr>
        <w:t xml:space="preserve"> minority rights </w:t>
      </w:r>
      <w:r w:rsidR="00923ACC">
        <w:rPr>
          <w:rFonts w:ascii="Times New Roman" w:eastAsiaTheme="majorEastAsia" w:hAnsi="Times New Roman" w:cs="Times New Roman"/>
          <w:bCs/>
          <w:sz w:val="24"/>
          <w:szCs w:val="24"/>
        </w:rPr>
        <w:t xml:space="preserve">being </w:t>
      </w:r>
      <w:r w:rsidR="00C21641" w:rsidRPr="00516213">
        <w:rPr>
          <w:rFonts w:ascii="Times New Roman" w:eastAsiaTheme="majorEastAsia" w:hAnsi="Times New Roman" w:cs="Times New Roman"/>
          <w:bCs/>
          <w:sz w:val="24"/>
          <w:szCs w:val="24"/>
        </w:rPr>
        <w:t>more vulnerable during times of emergency), but the precise causal pathways underpinning that relationship are under-</w:t>
      </w:r>
      <w:r w:rsidR="00735F75" w:rsidRPr="00516213">
        <w:rPr>
          <w:rFonts w:ascii="Times New Roman" w:eastAsiaTheme="majorEastAsia" w:hAnsi="Times New Roman" w:cs="Times New Roman"/>
          <w:bCs/>
          <w:sz w:val="24"/>
          <w:szCs w:val="24"/>
        </w:rPr>
        <w:t>theori</w:t>
      </w:r>
      <w:r w:rsidR="00735F75">
        <w:rPr>
          <w:rFonts w:ascii="Times New Roman" w:eastAsiaTheme="majorEastAsia" w:hAnsi="Times New Roman" w:cs="Times New Roman"/>
          <w:bCs/>
          <w:sz w:val="24"/>
          <w:szCs w:val="24"/>
        </w:rPr>
        <w:t>z</w:t>
      </w:r>
      <w:r w:rsidR="00735F75" w:rsidRPr="00516213">
        <w:rPr>
          <w:rFonts w:ascii="Times New Roman" w:eastAsiaTheme="majorEastAsia" w:hAnsi="Times New Roman" w:cs="Times New Roman"/>
          <w:bCs/>
          <w:sz w:val="24"/>
          <w:szCs w:val="24"/>
        </w:rPr>
        <w:t xml:space="preserve">ed </w:t>
      </w:r>
      <w:r w:rsidR="0055296A" w:rsidRPr="00516213">
        <w:rPr>
          <w:rFonts w:ascii="Times New Roman" w:eastAsiaTheme="majorEastAsia" w:hAnsi="Times New Roman" w:cs="Times New Roman"/>
          <w:bCs/>
          <w:sz w:val="24"/>
          <w:szCs w:val="24"/>
        </w:rPr>
        <w:t>(namely, how was an emergency in response to FETÖ extended to the Kurds)</w:t>
      </w:r>
      <w:r w:rsidR="00C21641" w:rsidRPr="00516213">
        <w:rPr>
          <w:rFonts w:ascii="Times New Roman" w:eastAsiaTheme="majorEastAsia" w:hAnsi="Times New Roman" w:cs="Times New Roman"/>
          <w:bCs/>
          <w:sz w:val="24"/>
          <w:szCs w:val="24"/>
        </w:rPr>
        <w:t xml:space="preserve">. This is the level </w:t>
      </w:r>
      <w:r w:rsidR="00923ACC" w:rsidRPr="00516213">
        <w:rPr>
          <w:rFonts w:ascii="Times New Roman" w:eastAsiaTheme="majorEastAsia" w:hAnsi="Times New Roman" w:cs="Times New Roman"/>
          <w:bCs/>
          <w:sz w:val="24"/>
          <w:szCs w:val="24"/>
        </w:rPr>
        <w:t>a</w:t>
      </w:r>
      <w:r w:rsidR="00923ACC">
        <w:rPr>
          <w:rFonts w:ascii="Times New Roman" w:eastAsiaTheme="majorEastAsia" w:hAnsi="Times New Roman" w:cs="Times New Roman"/>
          <w:bCs/>
          <w:sz w:val="24"/>
          <w:szCs w:val="24"/>
        </w:rPr>
        <w:t>t</w:t>
      </w:r>
      <w:r w:rsidR="00923ACC" w:rsidRPr="00516213">
        <w:rPr>
          <w:rFonts w:ascii="Times New Roman" w:eastAsiaTheme="majorEastAsia" w:hAnsi="Times New Roman" w:cs="Times New Roman"/>
          <w:bCs/>
          <w:sz w:val="24"/>
          <w:szCs w:val="24"/>
        </w:rPr>
        <w:t xml:space="preserve"> </w:t>
      </w:r>
      <w:r w:rsidR="00C21641" w:rsidRPr="00516213">
        <w:rPr>
          <w:rFonts w:ascii="Times New Roman" w:eastAsiaTheme="majorEastAsia" w:hAnsi="Times New Roman" w:cs="Times New Roman"/>
          <w:bCs/>
          <w:sz w:val="24"/>
          <w:szCs w:val="24"/>
        </w:rPr>
        <w:t xml:space="preserve">which we </w:t>
      </w:r>
      <w:r w:rsidR="00735F75" w:rsidRPr="00516213">
        <w:rPr>
          <w:rFonts w:ascii="Times New Roman" w:eastAsiaTheme="majorEastAsia" w:hAnsi="Times New Roman" w:cs="Times New Roman"/>
          <w:bCs/>
          <w:sz w:val="24"/>
          <w:szCs w:val="24"/>
        </w:rPr>
        <w:t>conceptuali</w:t>
      </w:r>
      <w:r w:rsidR="00735F75">
        <w:rPr>
          <w:rFonts w:ascii="Times New Roman" w:eastAsiaTheme="majorEastAsia" w:hAnsi="Times New Roman" w:cs="Times New Roman"/>
          <w:bCs/>
          <w:sz w:val="24"/>
          <w:szCs w:val="24"/>
        </w:rPr>
        <w:t>z</w:t>
      </w:r>
      <w:r w:rsidR="00735F75" w:rsidRPr="00516213">
        <w:rPr>
          <w:rFonts w:ascii="Times New Roman" w:eastAsiaTheme="majorEastAsia" w:hAnsi="Times New Roman" w:cs="Times New Roman"/>
          <w:bCs/>
          <w:sz w:val="24"/>
          <w:szCs w:val="24"/>
        </w:rPr>
        <w:t xml:space="preserve">e </w:t>
      </w:r>
      <w:r w:rsidR="00C21641" w:rsidRPr="00516213">
        <w:rPr>
          <w:rFonts w:ascii="Times New Roman" w:eastAsiaTheme="majorEastAsia" w:hAnsi="Times New Roman" w:cs="Times New Roman"/>
          <w:bCs/>
          <w:sz w:val="24"/>
          <w:szCs w:val="24"/>
        </w:rPr>
        <w:t>the specific context and use it to engage in general</w:t>
      </w:r>
      <w:r w:rsidR="005915AF" w:rsidRPr="00516213">
        <w:rPr>
          <w:rFonts w:ascii="Times New Roman" w:eastAsiaTheme="majorEastAsia" w:hAnsi="Times New Roman" w:cs="Times New Roman"/>
          <w:bCs/>
          <w:sz w:val="24"/>
          <w:szCs w:val="24"/>
        </w:rPr>
        <w:t xml:space="preserve">, </w:t>
      </w:r>
      <w:r w:rsidR="00C21641" w:rsidRPr="00516213">
        <w:rPr>
          <w:rFonts w:ascii="Times New Roman" w:eastAsiaTheme="majorEastAsia" w:hAnsi="Times New Roman" w:cs="Times New Roman"/>
          <w:bCs/>
          <w:sz w:val="24"/>
          <w:szCs w:val="24"/>
        </w:rPr>
        <w:t xml:space="preserve">theoretical conclusions </w:t>
      </w:r>
      <w:r w:rsidR="00541D46" w:rsidRPr="00516213">
        <w:rPr>
          <w:rFonts w:ascii="Times New Roman" w:eastAsiaTheme="majorEastAsia" w:hAnsi="Times New Roman" w:cs="Times New Roman"/>
          <w:bCs/>
          <w:sz w:val="24"/>
          <w:szCs w:val="24"/>
        </w:rPr>
        <w:t xml:space="preserve">about how emergency rule is extended to minorities during times of modular emergency </w:t>
      </w:r>
      <w:r w:rsidR="00C21641" w:rsidRPr="00516213">
        <w:rPr>
          <w:rFonts w:ascii="Times New Roman" w:eastAsiaTheme="majorEastAsia" w:hAnsi="Times New Roman" w:cs="Times New Roman"/>
          <w:bCs/>
          <w:sz w:val="24"/>
          <w:szCs w:val="24"/>
        </w:rPr>
        <w:t>(Lund 2014). To do so</w:t>
      </w:r>
      <w:r w:rsidR="00923ACC">
        <w:rPr>
          <w:rFonts w:ascii="Times New Roman" w:eastAsiaTheme="majorEastAsia" w:hAnsi="Times New Roman" w:cs="Times New Roman"/>
          <w:bCs/>
          <w:sz w:val="24"/>
          <w:szCs w:val="24"/>
        </w:rPr>
        <w:t>,</w:t>
      </w:r>
      <w:r w:rsidR="00C21641" w:rsidRPr="00516213">
        <w:rPr>
          <w:rFonts w:ascii="Times New Roman" w:eastAsiaTheme="majorEastAsia" w:hAnsi="Times New Roman" w:cs="Times New Roman"/>
          <w:bCs/>
          <w:sz w:val="24"/>
          <w:szCs w:val="24"/>
        </w:rPr>
        <w:t xml:space="preserve"> we draw on a comprehensive review of parliamentary debates in the Turkish Grand National Assembly </w:t>
      </w:r>
      <w:r w:rsidR="005517D8" w:rsidRPr="00516213">
        <w:rPr>
          <w:rFonts w:ascii="Times New Roman" w:eastAsiaTheme="majorEastAsia" w:hAnsi="Times New Roman" w:cs="Times New Roman"/>
          <w:bCs/>
          <w:sz w:val="24"/>
          <w:szCs w:val="24"/>
        </w:rPr>
        <w:t xml:space="preserve">from July 2016 onwards </w:t>
      </w:r>
      <w:r w:rsidR="00C21641" w:rsidRPr="00516213">
        <w:rPr>
          <w:rFonts w:ascii="Times New Roman" w:eastAsiaTheme="majorEastAsia" w:hAnsi="Times New Roman" w:cs="Times New Roman"/>
          <w:bCs/>
          <w:sz w:val="24"/>
          <w:szCs w:val="24"/>
        </w:rPr>
        <w:t>surrounding the introduction and renewal of</w:t>
      </w:r>
      <w:r w:rsidR="000469BC" w:rsidRPr="00516213">
        <w:rPr>
          <w:rFonts w:ascii="Times New Roman" w:eastAsiaTheme="majorEastAsia" w:hAnsi="Times New Roman" w:cs="Times New Roman"/>
          <w:bCs/>
          <w:sz w:val="24"/>
          <w:szCs w:val="24"/>
        </w:rPr>
        <w:t xml:space="preserve"> the </w:t>
      </w:r>
      <w:proofErr w:type="spellStart"/>
      <w:r w:rsidR="000469BC" w:rsidRPr="00516213">
        <w:rPr>
          <w:rFonts w:ascii="Times New Roman" w:eastAsiaTheme="majorEastAsia" w:hAnsi="Times New Roman" w:cs="Times New Roman"/>
          <w:bCs/>
          <w:sz w:val="24"/>
          <w:szCs w:val="24"/>
        </w:rPr>
        <w:t>SoE</w:t>
      </w:r>
      <w:proofErr w:type="spellEnd"/>
      <w:r w:rsidR="003A42DD" w:rsidRPr="00516213">
        <w:rPr>
          <w:rFonts w:ascii="Times New Roman" w:eastAsiaTheme="majorEastAsia" w:hAnsi="Times New Roman" w:cs="Times New Roman"/>
          <w:bCs/>
          <w:sz w:val="24"/>
          <w:szCs w:val="24"/>
        </w:rPr>
        <w:t xml:space="preserve"> </w:t>
      </w:r>
      <w:r w:rsidR="000469BC" w:rsidRPr="00516213">
        <w:rPr>
          <w:rFonts w:ascii="Times New Roman" w:eastAsiaTheme="majorEastAsia" w:hAnsi="Times New Roman" w:cs="Times New Roman"/>
          <w:bCs/>
          <w:sz w:val="24"/>
          <w:szCs w:val="24"/>
        </w:rPr>
        <w:t xml:space="preserve">and </w:t>
      </w:r>
      <w:r w:rsidR="003A42DD" w:rsidRPr="00516213">
        <w:rPr>
          <w:rFonts w:ascii="Times New Roman" w:eastAsiaTheme="majorEastAsia" w:hAnsi="Times New Roman" w:cs="Times New Roman"/>
          <w:bCs/>
          <w:sz w:val="24"/>
          <w:szCs w:val="24"/>
        </w:rPr>
        <w:t xml:space="preserve">extensive use of secondary data </w:t>
      </w:r>
      <w:r w:rsidR="0055296A" w:rsidRPr="00516213">
        <w:rPr>
          <w:rFonts w:ascii="Times New Roman" w:eastAsiaTheme="majorEastAsia" w:hAnsi="Times New Roman" w:cs="Times New Roman"/>
          <w:bCs/>
          <w:sz w:val="24"/>
          <w:szCs w:val="24"/>
        </w:rPr>
        <w:t xml:space="preserve">and grey literature </w:t>
      </w:r>
      <w:r w:rsidR="003A42DD" w:rsidRPr="00516213">
        <w:rPr>
          <w:rFonts w:ascii="Times New Roman" w:eastAsiaTheme="majorEastAsia" w:hAnsi="Times New Roman" w:cs="Times New Roman"/>
          <w:bCs/>
          <w:sz w:val="24"/>
          <w:szCs w:val="24"/>
        </w:rPr>
        <w:t>to document the impact of emergency rule</w:t>
      </w:r>
      <w:r w:rsidR="005517D8" w:rsidRPr="00516213">
        <w:rPr>
          <w:rFonts w:ascii="Times New Roman" w:eastAsiaTheme="majorEastAsia" w:hAnsi="Times New Roman" w:cs="Times New Roman"/>
          <w:bCs/>
          <w:sz w:val="24"/>
          <w:szCs w:val="24"/>
        </w:rPr>
        <w:t>.</w:t>
      </w:r>
    </w:p>
    <w:p w14:paraId="04AA1163" w14:textId="620F0CEC" w:rsidR="00BE503E" w:rsidRPr="00516213" w:rsidRDefault="00431DCA" w:rsidP="000D373E">
      <w:pPr>
        <w:spacing w:line="360" w:lineRule="auto"/>
        <w:ind w:firstLine="720"/>
        <w:jc w:val="both"/>
        <w:rPr>
          <w:rFonts w:ascii="Times New Roman" w:eastAsiaTheme="majorEastAsia" w:hAnsi="Times New Roman" w:cs="Times New Roman"/>
          <w:bCs/>
          <w:sz w:val="24"/>
          <w:szCs w:val="24"/>
        </w:rPr>
      </w:pPr>
      <w:r w:rsidRPr="00516213">
        <w:rPr>
          <w:rFonts w:ascii="Times New Roman" w:eastAsiaTheme="majorEastAsia" w:hAnsi="Times New Roman" w:cs="Times New Roman"/>
          <w:bCs/>
          <w:sz w:val="24"/>
          <w:szCs w:val="24"/>
        </w:rPr>
        <w:t>On the night of 15</w:t>
      </w:r>
      <w:r w:rsidR="00095D78" w:rsidRPr="00516213">
        <w:rPr>
          <w:rFonts w:ascii="Times New Roman" w:eastAsiaTheme="majorEastAsia" w:hAnsi="Times New Roman" w:cs="Times New Roman"/>
          <w:bCs/>
          <w:sz w:val="24"/>
          <w:szCs w:val="24"/>
        </w:rPr>
        <w:t xml:space="preserve"> </w:t>
      </w:r>
      <w:r w:rsidRPr="00516213">
        <w:rPr>
          <w:rFonts w:ascii="Times New Roman" w:eastAsiaTheme="majorEastAsia" w:hAnsi="Times New Roman" w:cs="Times New Roman"/>
          <w:bCs/>
          <w:sz w:val="24"/>
          <w:szCs w:val="24"/>
        </w:rPr>
        <w:t>July 2016</w:t>
      </w:r>
      <w:r w:rsidR="00095D78" w:rsidRPr="00516213">
        <w:rPr>
          <w:rFonts w:ascii="Times New Roman" w:eastAsiaTheme="majorEastAsia" w:hAnsi="Times New Roman" w:cs="Times New Roman"/>
          <w:bCs/>
          <w:sz w:val="24"/>
          <w:szCs w:val="24"/>
        </w:rPr>
        <w:t>,</w:t>
      </w:r>
      <w:r w:rsidRPr="00516213">
        <w:rPr>
          <w:rFonts w:ascii="Times New Roman" w:eastAsiaTheme="majorEastAsia" w:hAnsi="Times New Roman" w:cs="Times New Roman"/>
          <w:bCs/>
          <w:sz w:val="24"/>
          <w:szCs w:val="24"/>
        </w:rPr>
        <w:t xml:space="preserve"> a faction of the Turkish Armed Forces </w:t>
      </w:r>
      <w:r w:rsidR="00761EE1" w:rsidRPr="00516213">
        <w:rPr>
          <w:rFonts w:ascii="Times New Roman" w:eastAsiaTheme="majorEastAsia" w:hAnsi="Times New Roman" w:cs="Times New Roman"/>
          <w:bCs/>
          <w:sz w:val="24"/>
          <w:szCs w:val="24"/>
        </w:rPr>
        <w:t xml:space="preserve">attempted a </w:t>
      </w:r>
      <w:r w:rsidRPr="00516213">
        <w:rPr>
          <w:rFonts w:ascii="Times New Roman" w:eastAsiaTheme="majorEastAsia" w:hAnsi="Times New Roman" w:cs="Times New Roman"/>
          <w:bCs/>
          <w:sz w:val="24"/>
          <w:szCs w:val="24"/>
        </w:rPr>
        <w:t xml:space="preserve">coup against the government. </w:t>
      </w:r>
      <w:r w:rsidR="00946951" w:rsidRPr="00516213">
        <w:rPr>
          <w:rFonts w:ascii="Times New Roman" w:eastAsiaTheme="majorEastAsia" w:hAnsi="Times New Roman" w:cs="Times New Roman"/>
          <w:bCs/>
          <w:sz w:val="24"/>
          <w:szCs w:val="24"/>
        </w:rPr>
        <w:t xml:space="preserve">When armed clashes ended, the death toll had reached 240, </w:t>
      </w:r>
      <w:r w:rsidR="00946951" w:rsidRPr="00516213">
        <w:rPr>
          <w:rFonts w:ascii="Times New Roman" w:hAnsi="Times New Roman" w:cs="Times New Roman"/>
          <w:sz w:val="24"/>
          <w:szCs w:val="24"/>
        </w:rPr>
        <w:t>while 1,535 people were injured.</w:t>
      </w:r>
      <w:r w:rsidR="00946951" w:rsidRPr="00516213">
        <w:rPr>
          <w:rStyle w:val="EndnoteReference"/>
          <w:rFonts w:ascii="Times New Roman" w:hAnsi="Times New Roman" w:cs="Times New Roman"/>
          <w:sz w:val="24"/>
          <w:szCs w:val="24"/>
        </w:rPr>
        <w:endnoteReference w:id="2"/>
      </w:r>
      <w:r w:rsidR="00946951" w:rsidRPr="00516213">
        <w:rPr>
          <w:rFonts w:ascii="Times New Roman" w:hAnsi="Times New Roman" w:cs="Times New Roman"/>
          <w:sz w:val="24"/>
          <w:szCs w:val="24"/>
        </w:rPr>
        <w:t xml:space="preserve"> </w:t>
      </w:r>
      <w:r w:rsidR="005915AF" w:rsidRPr="00516213">
        <w:rPr>
          <w:rFonts w:ascii="Times New Roman" w:eastAsiaTheme="majorEastAsia" w:hAnsi="Times New Roman" w:cs="Times New Roman"/>
          <w:bCs/>
          <w:sz w:val="24"/>
          <w:szCs w:val="24"/>
        </w:rPr>
        <w:t>T</w:t>
      </w:r>
      <w:r w:rsidR="00D1764E" w:rsidRPr="00516213">
        <w:rPr>
          <w:rFonts w:ascii="Times New Roman" w:eastAsiaTheme="majorEastAsia" w:hAnsi="Times New Roman" w:cs="Times New Roman"/>
          <w:bCs/>
          <w:sz w:val="24"/>
          <w:szCs w:val="24"/>
        </w:rPr>
        <w:t xml:space="preserve">he government declared that the coup plotters were affiliated </w:t>
      </w:r>
      <w:r w:rsidR="00EF427E" w:rsidRPr="00516213">
        <w:rPr>
          <w:rFonts w:ascii="Times New Roman" w:eastAsiaTheme="majorEastAsia" w:hAnsi="Times New Roman" w:cs="Times New Roman"/>
          <w:bCs/>
          <w:sz w:val="24"/>
          <w:szCs w:val="24"/>
        </w:rPr>
        <w:t>with the movement of Fethullah Gülen. Gülen was an exiled Islami</w:t>
      </w:r>
      <w:r w:rsidR="005915AF" w:rsidRPr="00516213">
        <w:rPr>
          <w:rFonts w:ascii="Times New Roman" w:eastAsiaTheme="majorEastAsia" w:hAnsi="Times New Roman" w:cs="Times New Roman"/>
          <w:bCs/>
          <w:sz w:val="24"/>
          <w:szCs w:val="24"/>
        </w:rPr>
        <w:t>c</w:t>
      </w:r>
      <w:r w:rsidR="00EF427E" w:rsidRPr="00516213">
        <w:rPr>
          <w:rFonts w:ascii="Times New Roman" w:eastAsiaTheme="majorEastAsia" w:hAnsi="Times New Roman" w:cs="Times New Roman"/>
          <w:bCs/>
          <w:sz w:val="24"/>
          <w:szCs w:val="24"/>
        </w:rPr>
        <w:t xml:space="preserve"> cleric living </w:t>
      </w:r>
      <w:r w:rsidR="00EC61A3" w:rsidRPr="00516213">
        <w:rPr>
          <w:rFonts w:ascii="Times New Roman" w:eastAsiaTheme="majorEastAsia" w:hAnsi="Times New Roman" w:cs="Times New Roman"/>
          <w:bCs/>
          <w:sz w:val="24"/>
          <w:szCs w:val="24"/>
        </w:rPr>
        <w:t xml:space="preserve">in </w:t>
      </w:r>
      <w:r w:rsidR="00EF427E" w:rsidRPr="00516213">
        <w:rPr>
          <w:rFonts w:ascii="Times New Roman" w:eastAsiaTheme="majorEastAsia" w:hAnsi="Times New Roman" w:cs="Times New Roman"/>
          <w:bCs/>
          <w:sz w:val="24"/>
          <w:szCs w:val="24"/>
        </w:rPr>
        <w:t>the US</w:t>
      </w:r>
      <w:r w:rsidR="00873D8D" w:rsidRPr="00516213">
        <w:rPr>
          <w:rFonts w:ascii="Times New Roman" w:eastAsiaTheme="majorEastAsia" w:hAnsi="Times New Roman" w:cs="Times New Roman"/>
          <w:bCs/>
          <w:sz w:val="24"/>
          <w:szCs w:val="24"/>
        </w:rPr>
        <w:t>, a former ally of the AKP</w:t>
      </w:r>
      <w:r w:rsidR="008173B9" w:rsidRPr="00516213">
        <w:rPr>
          <w:rFonts w:ascii="Times New Roman" w:eastAsiaTheme="majorEastAsia" w:hAnsi="Times New Roman" w:cs="Times New Roman"/>
          <w:bCs/>
          <w:sz w:val="24"/>
          <w:szCs w:val="24"/>
        </w:rPr>
        <w:t>,</w:t>
      </w:r>
      <w:r w:rsidR="00873D8D" w:rsidRPr="00516213">
        <w:rPr>
          <w:rFonts w:ascii="Times New Roman" w:eastAsiaTheme="majorEastAsia" w:hAnsi="Times New Roman" w:cs="Times New Roman"/>
          <w:bCs/>
          <w:sz w:val="24"/>
          <w:szCs w:val="24"/>
        </w:rPr>
        <w:t xml:space="preserve"> but since 2014 an intra-Islamist rivalry had broken out between them for political supremacy. All this took place against the backdrop of the AKP government having already embarked upon a well-documented programme of electoral authoritarianism that entailed the concentration of executive power and the erosion of rights and liberties, especially since 2011 (</w:t>
      </w:r>
      <w:proofErr w:type="spellStart"/>
      <w:r w:rsidR="00873D8D" w:rsidRPr="00516213">
        <w:rPr>
          <w:rFonts w:ascii="Times New Roman" w:eastAsiaTheme="majorEastAsia" w:hAnsi="Times New Roman" w:cs="Times New Roman"/>
          <w:bCs/>
          <w:sz w:val="24"/>
          <w:szCs w:val="24"/>
        </w:rPr>
        <w:t>Esen</w:t>
      </w:r>
      <w:proofErr w:type="spellEnd"/>
      <w:r w:rsidR="00873D8D" w:rsidRPr="00516213">
        <w:rPr>
          <w:rFonts w:ascii="Times New Roman" w:eastAsiaTheme="majorEastAsia" w:hAnsi="Times New Roman" w:cs="Times New Roman"/>
          <w:bCs/>
          <w:sz w:val="24"/>
          <w:szCs w:val="24"/>
        </w:rPr>
        <w:t xml:space="preserve"> and </w:t>
      </w:r>
      <w:proofErr w:type="spellStart"/>
      <w:r w:rsidR="00873D8D" w:rsidRPr="00516213">
        <w:rPr>
          <w:rFonts w:ascii="Times New Roman" w:eastAsiaTheme="majorEastAsia" w:hAnsi="Times New Roman" w:cs="Times New Roman"/>
          <w:bCs/>
          <w:sz w:val="24"/>
          <w:szCs w:val="24"/>
        </w:rPr>
        <w:t>G</w:t>
      </w:r>
      <w:r w:rsidR="00AD150C" w:rsidRPr="00516213">
        <w:rPr>
          <w:rFonts w:ascii="Times New Roman" w:eastAsiaTheme="majorEastAsia" w:hAnsi="Times New Roman" w:cs="Times New Roman"/>
          <w:bCs/>
          <w:sz w:val="24"/>
          <w:szCs w:val="24"/>
        </w:rPr>
        <w:t>ümüşçü</w:t>
      </w:r>
      <w:proofErr w:type="spellEnd"/>
      <w:r w:rsidR="00EC61A3" w:rsidRPr="00516213">
        <w:rPr>
          <w:rFonts w:ascii="Times New Roman" w:eastAsiaTheme="majorEastAsia" w:hAnsi="Times New Roman" w:cs="Times New Roman"/>
          <w:bCs/>
          <w:sz w:val="24"/>
          <w:szCs w:val="24"/>
        </w:rPr>
        <w:t xml:space="preserve"> 2016).</w:t>
      </w:r>
    </w:p>
    <w:p w14:paraId="5CE8BB6E" w14:textId="0E951F7B" w:rsidR="00431DCA" w:rsidRPr="00516213" w:rsidRDefault="000344CF" w:rsidP="000D373E">
      <w:pPr>
        <w:spacing w:line="360" w:lineRule="auto"/>
        <w:ind w:firstLine="720"/>
        <w:jc w:val="both"/>
        <w:rPr>
          <w:rFonts w:ascii="Times New Roman" w:hAnsi="Times New Roman" w:cs="Times New Roman"/>
          <w:sz w:val="24"/>
          <w:szCs w:val="24"/>
        </w:rPr>
      </w:pPr>
      <w:r w:rsidRPr="00516213">
        <w:rPr>
          <w:rFonts w:ascii="Times New Roman" w:eastAsiaTheme="majorEastAsia" w:hAnsi="Times New Roman" w:cs="Times New Roman"/>
          <w:bCs/>
          <w:sz w:val="24"/>
          <w:szCs w:val="24"/>
        </w:rPr>
        <w:t xml:space="preserve">Emergency rule bestowed </w:t>
      </w:r>
      <w:proofErr w:type="spellStart"/>
      <w:r w:rsidRPr="00516213">
        <w:rPr>
          <w:rFonts w:ascii="Times New Roman" w:eastAsiaTheme="majorEastAsia" w:hAnsi="Times New Roman" w:cs="Times New Roman"/>
          <w:bCs/>
          <w:sz w:val="24"/>
          <w:szCs w:val="24"/>
        </w:rPr>
        <w:t>Erdoğan</w:t>
      </w:r>
      <w:proofErr w:type="spellEnd"/>
      <w:r w:rsidRPr="00516213">
        <w:rPr>
          <w:rFonts w:ascii="Times New Roman" w:eastAsiaTheme="majorEastAsia" w:hAnsi="Times New Roman" w:cs="Times New Roman"/>
          <w:bCs/>
          <w:sz w:val="24"/>
          <w:szCs w:val="24"/>
        </w:rPr>
        <w:t xml:space="preserve"> with unchecked executive power to an even greater extent than he had already achieved. Emergency powers allowed the Council of Ministers, chaired by </w:t>
      </w:r>
      <w:proofErr w:type="spellStart"/>
      <w:r w:rsidRPr="00516213">
        <w:rPr>
          <w:rFonts w:ascii="Times New Roman" w:eastAsiaTheme="majorEastAsia" w:hAnsi="Times New Roman" w:cs="Times New Roman"/>
          <w:bCs/>
          <w:sz w:val="24"/>
          <w:szCs w:val="24"/>
        </w:rPr>
        <w:t>Erdoğan</w:t>
      </w:r>
      <w:proofErr w:type="spellEnd"/>
      <w:r w:rsidRPr="00516213">
        <w:rPr>
          <w:rFonts w:ascii="Times New Roman" w:eastAsiaTheme="majorEastAsia" w:hAnsi="Times New Roman" w:cs="Times New Roman"/>
          <w:bCs/>
          <w:sz w:val="24"/>
          <w:szCs w:val="24"/>
        </w:rPr>
        <w:t xml:space="preserve">, to pass </w:t>
      </w:r>
      <w:r w:rsidR="00072827" w:rsidRPr="00516213">
        <w:rPr>
          <w:rFonts w:ascii="Times New Roman" w:eastAsiaTheme="majorEastAsia" w:hAnsi="Times New Roman" w:cs="Times New Roman"/>
          <w:bCs/>
          <w:sz w:val="24"/>
          <w:szCs w:val="24"/>
        </w:rPr>
        <w:t xml:space="preserve">executive </w:t>
      </w:r>
      <w:r w:rsidRPr="00516213">
        <w:rPr>
          <w:rFonts w:ascii="Times New Roman" w:eastAsiaTheme="majorEastAsia" w:hAnsi="Times New Roman" w:cs="Times New Roman"/>
          <w:bCs/>
          <w:sz w:val="24"/>
          <w:szCs w:val="24"/>
        </w:rPr>
        <w:t xml:space="preserve">decrees without legislative checks. Given the parliament was controlled by the AKP with a comfortable majority, the provision that emergency rule should be overseen by the Grand National Assembly </w:t>
      </w:r>
      <w:r w:rsidR="00923ACC">
        <w:rPr>
          <w:rFonts w:ascii="Times New Roman" w:eastAsiaTheme="majorEastAsia" w:hAnsi="Times New Roman" w:cs="Times New Roman"/>
          <w:bCs/>
          <w:sz w:val="24"/>
          <w:szCs w:val="24"/>
        </w:rPr>
        <w:t xml:space="preserve">did not </w:t>
      </w:r>
      <w:r w:rsidR="00F64AB4">
        <w:rPr>
          <w:rFonts w:ascii="Times New Roman" w:eastAsiaTheme="majorEastAsia" w:hAnsi="Times New Roman" w:cs="Times New Roman"/>
          <w:bCs/>
          <w:sz w:val="24"/>
          <w:szCs w:val="24"/>
        </w:rPr>
        <w:t>produce</w:t>
      </w:r>
      <w:r w:rsidR="00923ACC">
        <w:rPr>
          <w:rFonts w:ascii="Times New Roman" w:eastAsiaTheme="majorEastAsia" w:hAnsi="Times New Roman" w:cs="Times New Roman"/>
          <w:bCs/>
          <w:sz w:val="24"/>
          <w:szCs w:val="24"/>
        </w:rPr>
        <w:t xml:space="preserve"> any </w:t>
      </w:r>
      <w:r w:rsidR="00F64AB4">
        <w:rPr>
          <w:rFonts w:ascii="Times New Roman" w:eastAsiaTheme="majorEastAsia" w:hAnsi="Times New Roman" w:cs="Times New Roman"/>
          <w:bCs/>
          <w:sz w:val="24"/>
          <w:szCs w:val="24"/>
        </w:rPr>
        <w:t>genuine</w:t>
      </w:r>
      <w:r w:rsidR="00923ACC">
        <w:rPr>
          <w:rFonts w:ascii="Times New Roman" w:eastAsiaTheme="majorEastAsia" w:hAnsi="Times New Roman" w:cs="Times New Roman"/>
          <w:bCs/>
          <w:sz w:val="24"/>
          <w:szCs w:val="24"/>
        </w:rPr>
        <w:t xml:space="preserve"> oversight</w:t>
      </w:r>
      <w:r w:rsidR="00F64AB4">
        <w:rPr>
          <w:rFonts w:ascii="Times New Roman" w:eastAsiaTheme="majorEastAsia" w:hAnsi="Times New Roman" w:cs="Times New Roman"/>
          <w:bCs/>
          <w:sz w:val="24"/>
          <w:szCs w:val="24"/>
        </w:rPr>
        <w:t xml:space="preserve"> </w:t>
      </w:r>
      <w:r w:rsidR="00A374C6" w:rsidRPr="00516213">
        <w:rPr>
          <w:rFonts w:ascii="Times New Roman" w:eastAsiaTheme="majorEastAsia" w:hAnsi="Times New Roman" w:cs="Times New Roman"/>
          <w:bCs/>
          <w:sz w:val="24"/>
          <w:szCs w:val="24"/>
        </w:rPr>
        <w:t>(</w:t>
      </w:r>
      <w:proofErr w:type="spellStart"/>
      <w:r w:rsidR="00A374C6" w:rsidRPr="00516213">
        <w:rPr>
          <w:rFonts w:ascii="Times New Roman" w:eastAsiaTheme="majorEastAsia" w:hAnsi="Times New Roman" w:cs="Times New Roman"/>
          <w:bCs/>
          <w:sz w:val="24"/>
          <w:szCs w:val="24"/>
        </w:rPr>
        <w:t>Göztepe</w:t>
      </w:r>
      <w:proofErr w:type="spellEnd"/>
      <w:r w:rsidR="00A374C6" w:rsidRPr="00516213">
        <w:rPr>
          <w:rFonts w:ascii="Times New Roman" w:eastAsiaTheme="majorEastAsia" w:hAnsi="Times New Roman" w:cs="Times New Roman"/>
          <w:bCs/>
          <w:sz w:val="24"/>
          <w:szCs w:val="24"/>
        </w:rPr>
        <w:t xml:space="preserve"> 2018)</w:t>
      </w:r>
      <w:r w:rsidRPr="00516213">
        <w:rPr>
          <w:rFonts w:ascii="Times New Roman" w:eastAsiaTheme="majorEastAsia" w:hAnsi="Times New Roman" w:cs="Times New Roman"/>
          <w:bCs/>
          <w:sz w:val="24"/>
          <w:szCs w:val="24"/>
        </w:rPr>
        <w:t xml:space="preserve">. Emergency rule excluded any judicial control by the Constitutional Court and enabled the </w:t>
      </w:r>
      <w:r w:rsidR="005915AF" w:rsidRPr="00516213">
        <w:rPr>
          <w:rFonts w:ascii="Times New Roman" w:eastAsiaTheme="majorEastAsia" w:hAnsi="Times New Roman" w:cs="Times New Roman"/>
          <w:bCs/>
          <w:sz w:val="24"/>
          <w:szCs w:val="24"/>
        </w:rPr>
        <w:t>E</w:t>
      </w:r>
      <w:r w:rsidRPr="00516213">
        <w:rPr>
          <w:rFonts w:ascii="Times New Roman" w:eastAsiaTheme="majorEastAsia" w:hAnsi="Times New Roman" w:cs="Times New Roman"/>
          <w:bCs/>
          <w:sz w:val="24"/>
          <w:szCs w:val="24"/>
        </w:rPr>
        <w:t xml:space="preserve">xecutive to suspend </w:t>
      </w:r>
      <w:r w:rsidR="0055765C" w:rsidRPr="00516213">
        <w:rPr>
          <w:rFonts w:ascii="Times New Roman" w:eastAsiaTheme="majorEastAsia" w:hAnsi="Times New Roman" w:cs="Times New Roman"/>
          <w:bCs/>
          <w:sz w:val="24"/>
          <w:szCs w:val="24"/>
        </w:rPr>
        <w:t xml:space="preserve">partially </w:t>
      </w:r>
      <w:r w:rsidRPr="00516213">
        <w:rPr>
          <w:rFonts w:ascii="Times New Roman" w:eastAsiaTheme="majorEastAsia" w:hAnsi="Times New Roman" w:cs="Times New Roman"/>
          <w:bCs/>
          <w:sz w:val="24"/>
          <w:szCs w:val="24"/>
        </w:rPr>
        <w:t>fundamental rights and freedoms</w:t>
      </w:r>
      <w:r w:rsidR="00A374C6" w:rsidRPr="00516213">
        <w:rPr>
          <w:rFonts w:ascii="Times New Roman" w:eastAsiaTheme="majorEastAsia" w:hAnsi="Times New Roman" w:cs="Times New Roman"/>
          <w:bCs/>
          <w:sz w:val="24"/>
          <w:szCs w:val="24"/>
        </w:rPr>
        <w:t xml:space="preserve"> (Venice Commission 2016)</w:t>
      </w:r>
      <w:r w:rsidRPr="00516213">
        <w:rPr>
          <w:rFonts w:ascii="Times New Roman" w:eastAsiaTheme="majorEastAsia" w:hAnsi="Times New Roman" w:cs="Times New Roman"/>
          <w:bCs/>
          <w:sz w:val="24"/>
          <w:szCs w:val="24"/>
        </w:rPr>
        <w:t xml:space="preserve">. </w:t>
      </w:r>
      <w:r w:rsidR="00431DCA" w:rsidRPr="00516213">
        <w:rPr>
          <w:rFonts w:ascii="Times New Roman" w:hAnsi="Times New Roman" w:cs="Times New Roman"/>
          <w:sz w:val="24"/>
          <w:szCs w:val="24"/>
        </w:rPr>
        <w:t xml:space="preserve">Despite </w:t>
      </w:r>
      <w:r w:rsidR="00F64AB4" w:rsidRPr="00516213">
        <w:rPr>
          <w:rFonts w:ascii="Times New Roman" w:hAnsi="Times New Roman" w:cs="Times New Roman"/>
          <w:sz w:val="24"/>
          <w:szCs w:val="24"/>
        </w:rPr>
        <w:t xml:space="preserve">promises </w:t>
      </w:r>
      <w:r w:rsidR="00F64AB4">
        <w:rPr>
          <w:rFonts w:ascii="Times New Roman" w:hAnsi="Times New Roman" w:cs="Times New Roman"/>
          <w:sz w:val="24"/>
          <w:szCs w:val="24"/>
        </w:rPr>
        <w:t xml:space="preserve">of the </w:t>
      </w:r>
      <w:r w:rsidR="00431DCA" w:rsidRPr="00516213">
        <w:rPr>
          <w:rFonts w:ascii="Times New Roman" w:hAnsi="Times New Roman" w:cs="Times New Roman"/>
          <w:sz w:val="24"/>
          <w:szCs w:val="24"/>
        </w:rPr>
        <w:t xml:space="preserve">AKP, the </w:t>
      </w:r>
      <w:proofErr w:type="spellStart"/>
      <w:r w:rsidR="000469BC" w:rsidRPr="00516213">
        <w:rPr>
          <w:rFonts w:ascii="Times New Roman" w:hAnsi="Times New Roman" w:cs="Times New Roman"/>
          <w:sz w:val="24"/>
          <w:szCs w:val="24"/>
        </w:rPr>
        <w:t>SoE</w:t>
      </w:r>
      <w:proofErr w:type="spellEnd"/>
      <w:r w:rsidR="000469BC" w:rsidRPr="00516213">
        <w:rPr>
          <w:rFonts w:ascii="Times New Roman" w:hAnsi="Times New Roman" w:cs="Times New Roman"/>
          <w:sz w:val="24"/>
          <w:szCs w:val="24"/>
        </w:rPr>
        <w:t xml:space="preserve"> </w:t>
      </w:r>
      <w:r w:rsidR="00431DCA" w:rsidRPr="00516213">
        <w:rPr>
          <w:rFonts w:ascii="Times New Roman" w:hAnsi="Times New Roman" w:cs="Times New Roman"/>
          <w:sz w:val="24"/>
          <w:szCs w:val="24"/>
        </w:rPr>
        <w:t xml:space="preserve">was soon to violate every norm of good practice related to emergency rule – it was repeatedly extended, its focus expanded beyond its original justification, and </w:t>
      </w:r>
      <w:r w:rsidR="00E741D4" w:rsidRPr="00516213">
        <w:rPr>
          <w:rFonts w:ascii="Times New Roman" w:hAnsi="Times New Roman" w:cs="Times New Roman"/>
          <w:sz w:val="24"/>
          <w:szCs w:val="24"/>
        </w:rPr>
        <w:t>in key aspects</w:t>
      </w:r>
      <w:r w:rsidR="00F64AB4">
        <w:rPr>
          <w:rFonts w:ascii="Times New Roman" w:hAnsi="Times New Roman" w:cs="Times New Roman"/>
          <w:sz w:val="24"/>
          <w:szCs w:val="24"/>
        </w:rPr>
        <w:t>,</w:t>
      </w:r>
      <w:r w:rsidR="00E741D4" w:rsidRPr="00516213">
        <w:rPr>
          <w:rFonts w:ascii="Times New Roman" w:hAnsi="Times New Roman" w:cs="Times New Roman"/>
          <w:sz w:val="24"/>
          <w:szCs w:val="24"/>
        </w:rPr>
        <w:t xml:space="preserve"> it became </w:t>
      </w:r>
      <w:r w:rsidR="00E741D4" w:rsidRPr="00516213">
        <w:rPr>
          <w:rFonts w:ascii="Times New Roman" w:hAnsi="Times New Roman" w:cs="Times New Roman"/>
          <w:i/>
          <w:iCs/>
          <w:sz w:val="24"/>
          <w:szCs w:val="24"/>
        </w:rPr>
        <w:t>de facto</w:t>
      </w:r>
      <w:r w:rsidR="00E741D4" w:rsidRPr="00516213">
        <w:rPr>
          <w:rFonts w:ascii="Times New Roman" w:hAnsi="Times New Roman" w:cs="Times New Roman"/>
          <w:sz w:val="24"/>
          <w:szCs w:val="24"/>
        </w:rPr>
        <w:t xml:space="preserve"> permanent</w:t>
      </w:r>
      <w:r w:rsidR="00431DCA" w:rsidRPr="00516213">
        <w:rPr>
          <w:rFonts w:ascii="Times New Roman" w:hAnsi="Times New Roman" w:cs="Times New Roman"/>
          <w:sz w:val="24"/>
          <w:szCs w:val="24"/>
        </w:rPr>
        <w:t xml:space="preserve">. By the time it ended, Turkey had changed from a parliamentary system to an executive-presidential one, and the referendum to endorse this was held under conditions of emergency </w:t>
      </w:r>
      <w:r w:rsidR="00BE0A36" w:rsidRPr="00516213">
        <w:rPr>
          <w:rFonts w:ascii="Times New Roman" w:hAnsi="Times New Roman" w:cs="Times New Roman"/>
          <w:sz w:val="24"/>
          <w:szCs w:val="24"/>
        </w:rPr>
        <w:t>in April 2017</w:t>
      </w:r>
      <w:r w:rsidR="00431DCA" w:rsidRPr="00516213">
        <w:rPr>
          <w:rFonts w:ascii="Times New Roman" w:hAnsi="Times New Roman" w:cs="Times New Roman"/>
          <w:sz w:val="24"/>
          <w:szCs w:val="24"/>
        </w:rPr>
        <w:t xml:space="preserve">. </w:t>
      </w:r>
      <w:r w:rsidR="00A378C3" w:rsidRPr="00516213">
        <w:rPr>
          <w:rFonts w:ascii="Times New Roman" w:hAnsi="Times New Roman" w:cs="Times New Roman"/>
          <w:sz w:val="24"/>
          <w:szCs w:val="24"/>
        </w:rPr>
        <w:t xml:space="preserve">This presidential </w:t>
      </w:r>
      <w:r w:rsidR="00A378C3" w:rsidRPr="00516213">
        <w:rPr>
          <w:rFonts w:ascii="Times New Roman" w:hAnsi="Times New Roman" w:cs="Times New Roman"/>
          <w:sz w:val="24"/>
          <w:szCs w:val="24"/>
          <w:bdr w:val="none" w:sz="0" w:space="0" w:color="auto" w:frame="1"/>
        </w:rPr>
        <w:t>regime, endowing the president with similar executive powers to those he enjoyed during the</w:t>
      </w:r>
      <w:r w:rsidR="000469BC" w:rsidRPr="00516213">
        <w:rPr>
          <w:rFonts w:ascii="Times New Roman" w:hAnsi="Times New Roman" w:cs="Times New Roman"/>
          <w:sz w:val="24"/>
          <w:szCs w:val="24"/>
          <w:bdr w:val="none" w:sz="0" w:space="0" w:color="auto" w:frame="1"/>
        </w:rPr>
        <w:t xml:space="preserve"> </w:t>
      </w:r>
      <w:proofErr w:type="spellStart"/>
      <w:r w:rsidR="000469BC" w:rsidRPr="00516213">
        <w:rPr>
          <w:rFonts w:ascii="Times New Roman" w:hAnsi="Times New Roman" w:cs="Times New Roman"/>
          <w:sz w:val="24"/>
          <w:szCs w:val="24"/>
          <w:bdr w:val="none" w:sz="0" w:space="0" w:color="auto" w:frame="1"/>
        </w:rPr>
        <w:t>SoE</w:t>
      </w:r>
      <w:proofErr w:type="spellEnd"/>
      <w:r w:rsidR="00A378C3" w:rsidRPr="00516213">
        <w:rPr>
          <w:rFonts w:ascii="Times New Roman" w:hAnsi="Times New Roman" w:cs="Times New Roman"/>
          <w:sz w:val="24"/>
          <w:szCs w:val="24"/>
          <w:bdr w:val="none" w:sz="0" w:space="0" w:color="auto" w:frame="1"/>
        </w:rPr>
        <w:t>, enable</w:t>
      </w:r>
      <w:r w:rsidR="001403F4" w:rsidRPr="00516213">
        <w:rPr>
          <w:rFonts w:ascii="Times New Roman" w:hAnsi="Times New Roman" w:cs="Times New Roman"/>
          <w:sz w:val="24"/>
          <w:szCs w:val="24"/>
          <w:bdr w:val="none" w:sz="0" w:space="0" w:color="auto" w:frame="1"/>
        </w:rPr>
        <w:t>d</w:t>
      </w:r>
      <w:r w:rsidR="00A378C3" w:rsidRPr="00516213">
        <w:rPr>
          <w:rFonts w:ascii="Times New Roman" w:hAnsi="Times New Roman" w:cs="Times New Roman"/>
          <w:sz w:val="24"/>
          <w:szCs w:val="24"/>
          <w:bdr w:val="none" w:sz="0" w:space="0" w:color="auto" w:frame="1"/>
        </w:rPr>
        <w:t xml:space="preserve"> him to swing easily between applying existing laws or issuing </w:t>
      </w:r>
      <w:r w:rsidR="000469BC" w:rsidRPr="00516213">
        <w:rPr>
          <w:rFonts w:ascii="Times New Roman" w:hAnsi="Times New Roman" w:cs="Times New Roman"/>
          <w:sz w:val="24"/>
          <w:szCs w:val="24"/>
          <w:bdr w:val="none" w:sz="0" w:space="0" w:color="auto" w:frame="1"/>
        </w:rPr>
        <w:t xml:space="preserve">executive </w:t>
      </w:r>
      <w:r w:rsidR="00A378C3" w:rsidRPr="00516213">
        <w:rPr>
          <w:rFonts w:ascii="Times New Roman" w:hAnsi="Times New Roman" w:cs="Times New Roman"/>
          <w:sz w:val="24"/>
          <w:szCs w:val="24"/>
          <w:bdr w:val="none" w:sz="0" w:space="0" w:color="auto" w:frame="1"/>
        </w:rPr>
        <w:t>presidential de</w:t>
      </w:r>
      <w:r w:rsidR="008173B9" w:rsidRPr="00516213">
        <w:rPr>
          <w:rFonts w:ascii="Times New Roman" w:hAnsi="Times New Roman" w:cs="Times New Roman"/>
          <w:sz w:val="24"/>
          <w:szCs w:val="24"/>
          <w:bdr w:val="none" w:sz="0" w:space="0" w:color="auto" w:frame="1"/>
        </w:rPr>
        <w:t>crees</w:t>
      </w:r>
      <w:r w:rsidR="000469BC" w:rsidRPr="00516213">
        <w:rPr>
          <w:rFonts w:ascii="Times New Roman" w:hAnsi="Times New Roman" w:cs="Times New Roman"/>
          <w:sz w:val="24"/>
          <w:szCs w:val="24"/>
          <w:bdr w:val="none" w:sz="0" w:space="0" w:color="auto" w:frame="1"/>
        </w:rPr>
        <w:t>.</w:t>
      </w:r>
      <w:r w:rsidR="008173B9" w:rsidRPr="00516213">
        <w:rPr>
          <w:rFonts w:ascii="Times New Roman" w:hAnsi="Times New Roman" w:cs="Times New Roman"/>
          <w:sz w:val="24"/>
          <w:szCs w:val="24"/>
          <w:bdr w:val="none" w:sz="0" w:space="0" w:color="auto" w:frame="1"/>
        </w:rPr>
        <w:t xml:space="preserve"> </w:t>
      </w:r>
    </w:p>
    <w:p w14:paraId="1BB3A1B2" w14:textId="6C9FC6A5" w:rsidR="00431DCA" w:rsidRPr="00516213" w:rsidRDefault="00431DCA" w:rsidP="000D373E">
      <w:pPr>
        <w:pStyle w:val="NormalWeb"/>
        <w:spacing w:before="240" w:beforeAutospacing="0" w:after="240" w:afterAutospacing="0" w:line="360" w:lineRule="auto"/>
        <w:ind w:firstLine="720"/>
        <w:jc w:val="both"/>
      </w:pPr>
      <w:r w:rsidRPr="00516213">
        <w:t xml:space="preserve">It is also important to acknowledge the wider context </w:t>
      </w:r>
      <w:r w:rsidR="008173B9" w:rsidRPr="00516213">
        <w:t>to account for the reasons</w:t>
      </w:r>
      <w:r w:rsidR="00A374C6" w:rsidRPr="00516213">
        <w:t xml:space="preserve"> </w:t>
      </w:r>
      <w:r w:rsidRPr="00516213">
        <w:t xml:space="preserve">why the AKP turned its attention towards using emergency rule to target Kurdish politics, even though Kurds were not connected to the coup attempt. When the AKP came to power in 2002, the party was highly critical of the national security paradigm that had dominated Turkey to date. The AKP saw this security paradigm as rooted in the foundation of the </w:t>
      </w:r>
      <w:r w:rsidR="00F64AB4">
        <w:t xml:space="preserve">Turkish </w:t>
      </w:r>
      <w:r w:rsidRPr="00516213">
        <w:t>state</w:t>
      </w:r>
      <w:r w:rsidR="00F64AB4">
        <w:t>,</w:t>
      </w:r>
      <w:r w:rsidRPr="00516213">
        <w:t xml:space="preserve"> where a Kemalist vision of a European, secular </w:t>
      </w:r>
      <w:r w:rsidR="00F64AB4" w:rsidRPr="00516213">
        <w:t>nation</w:t>
      </w:r>
      <w:r w:rsidR="00F64AB4">
        <w:t>-</w:t>
      </w:r>
      <w:r w:rsidRPr="00516213">
        <w:t xml:space="preserve">state defined the new Republic – a vision that led to the erasure of political Islam from public life. Here was where the AKP and Gülenists initially found common ground and a basis for their early alliance. They both represented </w:t>
      </w:r>
      <w:r w:rsidR="00E04B46" w:rsidRPr="00516213">
        <w:t xml:space="preserve">segments of </w:t>
      </w:r>
      <w:r w:rsidRPr="00516213">
        <w:t xml:space="preserve">society that had been excluded from political representation in the name of secularism. Furthermore, from this Islamist perspective, it was the same Kemalist vision that led to the political suppression of minority groups like the Kurds </w:t>
      </w:r>
      <w:r w:rsidR="00AD546A" w:rsidRPr="00516213">
        <w:t>(Yavuz 2018)</w:t>
      </w:r>
      <w:r w:rsidRPr="00516213">
        <w:t>. </w:t>
      </w:r>
      <w:r w:rsidR="00E741D4" w:rsidRPr="00516213">
        <w:t>D</w:t>
      </w:r>
      <w:r w:rsidRPr="00516213">
        <w:t>rawing on this interpretation</w:t>
      </w:r>
      <w:r w:rsidR="00E741D4" w:rsidRPr="00516213">
        <w:t>,</w:t>
      </w:r>
      <w:r w:rsidRPr="00516213">
        <w:t xml:space="preserve"> the AKP initially sought a pathway out of armed conflict with Kurdish nationalism on the basis of Islamic brotherhood</w:t>
      </w:r>
      <w:r w:rsidR="00614C06" w:rsidRPr="00516213">
        <w:t xml:space="preserve"> (</w:t>
      </w:r>
      <w:proofErr w:type="spellStart"/>
      <w:r w:rsidR="00614C06" w:rsidRPr="00516213">
        <w:t>Bayır</w:t>
      </w:r>
      <w:proofErr w:type="spellEnd"/>
      <w:r w:rsidR="00614C06" w:rsidRPr="00516213">
        <w:t xml:space="preserve"> 2013, 118)</w:t>
      </w:r>
      <w:r w:rsidR="00CB5B5D" w:rsidRPr="00516213">
        <w:t xml:space="preserve"> </w:t>
      </w:r>
      <w:r w:rsidRPr="00516213">
        <w:t>and as part of wider EU accession negotiations</w:t>
      </w:r>
      <w:r w:rsidR="00CB5B5D" w:rsidRPr="00516213">
        <w:t xml:space="preserve"> (</w:t>
      </w:r>
      <w:proofErr w:type="spellStart"/>
      <w:r w:rsidR="00CB5B5D" w:rsidRPr="00516213">
        <w:t>Gürses</w:t>
      </w:r>
      <w:proofErr w:type="spellEnd"/>
      <w:r w:rsidR="00CB5B5D" w:rsidRPr="00516213">
        <w:t xml:space="preserve"> and </w:t>
      </w:r>
      <w:proofErr w:type="spellStart"/>
      <w:r w:rsidR="00CB5B5D" w:rsidRPr="00516213">
        <w:t>Öztürk</w:t>
      </w:r>
      <w:proofErr w:type="spellEnd"/>
      <w:r w:rsidR="00CB5B5D" w:rsidRPr="00516213">
        <w:t xml:space="preserve"> 2020)</w:t>
      </w:r>
      <w:r w:rsidR="00CA29C8" w:rsidRPr="00516213">
        <w:t xml:space="preserve">, labelled the </w:t>
      </w:r>
      <w:r w:rsidR="00CB5B5D" w:rsidRPr="00516213">
        <w:t>‘Kurdish opening</w:t>
      </w:r>
      <w:r w:rsidR="00A30082">
        <w:t>.</w:t>
      </w:r>
      <w:r w:rsidR="00CB5B5D" w:rsidRPr="00516213">
        <w:t>’</w:t>
      </w:r>
      <w:r w:rsidR="00AD546A" w:rsidRPr="00516213">
        <w:t xml:space="preserve"> </w:t>
      </w:r>
    </w:p>
    <w:p w14:paraId="7D9F88C7" w14:textId="099EC9A5" w:rsidR="00CF6A77" w:rsidRPr="00516213" w:rsidRDefault="00431DCA" w:rsidP="000D373E">
      <w:pPr>
        <w:pStyle w:val="NormalWeb"/>
        <w:spacing w:before="240" w:beforeAutospacing="0" w:after="240" w:afterAutospacing="0" w:line="360" w:lineRule="auto"/>
        <w:ind w:firstLine="720"/>
        <w:jc w:val="both"/>
      </w:pPr>
      <w:r w:rsidRPr="00516213">
        <w:t xml:space="preserve">Once the AKP </w:t>
      </w:r>
      <w:r w:rsidR="00F270F7" w:rsidRPr="00516213">
        <w:t xml:space="preserve">consolidated its </w:t>
      </w:r>
      <w:r w:rsidRPr="00516213">
        <w:t xml:space="preserve">power, tensions rose between the party and Gülenists, leading to a split in the Islamist alliance. The AKP subsequently turned towards the ultra-nationalist </w:t>
      </w:r>
      <w:r w:rsidR="008173B9" w:rsidRPr="00516213">
        <w:t>Nationalist Action Party (</w:t>
      </w:r>
      <w:proofErr w:type="spellStart"/>
      <w:r w:rsidR="008173B9" w:rsidRPr="00516213">
        <w:rPr>
          <w:i/>
        </w:rPr>
        <w:t>Milliyetçi</w:t>
      </w:r>
      <w:proofErr w:type="spellEnd"/>
      <w:r w:rsidR="008173B9" w:rsidRPr="00516213">
        <w:rPr>
          <w:i/>
        </w:rPr>
        <w:t xml:space="preserve"> </w:t>
      </w:r>
      <w:proofErr w:type="spellStart"/>
      <w:r w:rsidR="008173B9" w:rsidRPr="00516213">
        <w:rPr>
          <w:i/>
        </w:rPr>
        <w:t>Hareket</w:t>
      </w:r>
      <w:proofErr w:type="spellEnd"/>
      <w:r w:rsidR="008173B9" w:rsidRPr="00516213">
        <w:rPr>
          <w:i/>
        </w:rPr>
        <w:t xml:space="preserve"> </w:t>
      </w:r>
      <w:proofErr w:type="spellStart"/>
      <w:r w:rsidR="008173B9" w:rsidRPr="00516213">
        <w:rPr>
          <w:i/>
        </w:rPr>
        <w:t>Partisi</w:t>
      </w:r>
      <w:proofErr w:type="spellEnd"/>
      <w:r w:rsidR="00A30082">
        <w:rPr>
          <w:i/>
        </w:rPr>
        <w:t xml:space="preserve"> </w:t>
      </w:r>
      <w:r w:rsidR="008173B9" w:rsidRPr="00516213">
        <w:rPr>
          <w:i/>
        </w:rPr>
        <w:t xml:space="preserve">- </w:t>
      </w:r>
      <w:r w:rsidRPr="000D373E">
        <w:rPr>
          <w:iCs/>
        </w:rPr>
        <w:t>MHP</w:t>
      </w:r>
      <w:r w:rsidR="008173B9" w:rsidRPr="00516213">
        <w:t>)</w:t>
      </w:r>
      <w:r w:rsidRPr="00516213">
        <w:t xml:space="preserve"> in an informal electoral alliance and</w:t>
      </w:r>
      <w:r w:rsidR="00113C17">
        <w:t>,</w:t>
      </w:r>
      <w:r w:rsidRPr="00516213">
        <w:t xml:space="preserve"> in the process</w:t>
      </w:r>
      <w:r w:rsidR="00113C17">
        <w:t>,</w:t>
      </w:r>
      <w:r w:rsidRPr="00516213">
        <w:t xml:space="preserve"> reoriented its stance towards the Kurds to appeal to their new nationalist partners. Now the Kurds were seen as a threat to Turkish nationalism</w:t>
      </w:r>
      <w:r w:rsidR="00E741D4" w:rsidRPr="00516213">
        <w:t>,</w:t>
      </w:r>
      <w:r w:rsidRPr="00516213">
        <w:t xml:space="preserve"> and Islamic brotherhood faded into the background. The war in Syria and the collapsing peace process </w:t>
      </w:r>
      <w:r w:rsidR="00E741D4" w:rsidRPr="00516213">
        <w:t>also fed into the</w:t>
      </w:r>
      <w:r w:rsidR="00060B57" w:rsidRPr="00516213">
        <w:t xml:space="preserve"> ‘re</w:t>
      </w:r>
      <w:r w:rsidR="0055765C" w:rsidRPr="00516213">
        <w:t>-</w:t>
      </w:r>
      <w:r w:rsidR="00060B57" w:rsidRPr="00516213">
        <w:t xml:space="preserve">securitization of the Kurdish </w:t>
      </w:r>
      <w:r w:rsidR="002E46FD" w:rsidRPr="00516213">
        <w:t>question’ that is ‘</w:t>
      </w:r>
      <w:r w:rsidR="008173B9" w:rsidRPr="00516213">
        <w:t xml:space="preserve">marked by a campaign of </w:t>
      </w:r>
      <w:proofErr w:type="gramStart"/>
      <w:r w:rsidR="008173B9" w:rsidRPr="00516213">
        <w:t>counter-</w:t>
      </w:r>
      <w:r w:rsidR="00E75DDF" w:rsidRPr="00516213">
        <w:t>insurgency</w:t>
      </w:r>
      <w:proofErr w:type="gramEnd"/>
      <w:r w:rsidR="008173B9" w:rsidRPr="00516213">
        <w:t>,</w:t>
      </w:r>
      <w:r w:rsidR="00E75DDF" w:rsidRPr="00516213">
        <w:t xml:space="preserve"> the </w:t>
      </w:r>
      <w:r w:rsidR="008173B9" w:rsidRPr="00516213">
        <w:t>declaration of open-ended curfew</w:t>
      </w:r>
      <w:r w:rsidR="00E75DDF" w:rsidRPr="00516213">
        <w:t xml:space="preserve">s and </w:t>
      </w:r>
      <w:r w:rsidR="009B40D5" w:rsidRPr="00516213">
        <w:t>“</w:t>
      </w:r>
      <w:r w:rsidR="00E75DDF" w:rsidRPr="00516213">
        <w:t>temporary security zones</w:t>
      </w:r>
      <w:r w:rsidR="00113C17">
        <w:t>,</w:t>
      </w:r>
      <w:r w:rsidR="009B40D5" w:rsidRPr="00516213">
        <w:t>”</w:t>
      </w:r>
      <w:r w:rsidR="00E75DDF" w:rsidRPr="00516213">
        <w:t xml:space="preserve"> and anti-terrorism operations’ (</w:t>
      </w:r>
      <w:proofErr w:type="spellStart"/>
      <w:r w:rsidR="00E75DDF" w:rsidRPr="00516213">
        <w:t>Turkut</w:t>
      </w:r>
      <w:proofErr w:type="spellEnd"/>
      <w:r w:rsidR="00E75DDF" w:rsidRPr="00516213">
        <w:t xml:space="preserve"> and Philips </w:t>
      </w:r>
      <w:r w:rsidR="008173B9" w:rsidRPr="00516213">
        <w:t>2021,</w:t>
      </w:r>
      <w:r w:rsidRPr="00516213">
        <w:t xml:space="preserve"> </w:t>
      </w:r>
      <w:r w:rsidR="002E46FD" w:rsidRPr="00516213">
        <w:t xml:space="preserve">115). </w:t>
      </w:r>
      <w:r w:rsidRPr="00516213">
        <w:t>The rise of Syrian Kurdish groups enabled the government to present the Kurdish issue as a threat to the Turkish state</w:t>
      </w:r>
      <w:r w:rsidR="00946951" w:rsidRPr="00516213">
        <w:t xml:space="preserve"> (</w:t>
      </w:r>
      <w:r w:rsidR="00FD41B5" w:rsidRPr="00516213">
        <w:t>A</w:t>
      </w:r>
      <w:r w:rsidR="00946951" w:rsidRPr="00516213">
        <w:t>l</w:t>
      </w:r>
      <w:r w:rsidR="00FD41B5" w:rsidRPr="00516213">
        <w:t xml:space="preserve"> 2018</w:t>
      </w:r>
      <w:r w:rsidR="00946951" w:rsidRPr="00516213">
        <w:t>)</w:t>
      </w:r>
      <w:r w:rsidRPr="00516213">
        <w:t xml:space="preserve">. The main </w:t>
      </w:r>
      <w:r w:rsidR="00E04B46" w:rsidRPr="00516213">
        <w:t>pro-</w:t>
      </w:r>
      <w:r w:rsidRPr="00516213">
        <w:t>Kurdish party, the</w:t>
      </w:r>
      <w:r w:rsidR="00EF4EAE" w:rsidRPr="00516213">
        <w:t xml:space="preserve"> Peoples’ Democratic Party (</w:t>
      </w:r>
      <w:proofErr w:type="spellStart"/>
      <w:r w:rsidR="00EF4EAE" w:rsidRPr="00516213">
        <w:rPr>
          <w:i/>
        </w:rPr>
        <w:t>Halkların</w:t>
      </w:r>
      <w:proofErr w:type="spellEnd"/>
      <w:r w:rsidR="00EF4EAE" w:rsidRPr="00516213">
        <w:rPr>
          <w:i/>
        </w:rPr>
        <w:t xml:space="preserve"> </w:t>
      </w:r>
      <w:proofErr w:type="spellStart"/>
      <w:r w:rsidR="00EF4EAE" w:rsidRPr="00516213">
        <w:rPr>
          <w:i/>
        </w:rPr>
        <w:t>Demokratik</w:t>
      </w:r>
      <w:proofErr w:type="spellEnd"/>
      <w:r w:rsidR="00EF4EAE" w:rsidRPr="00516213">
        <w:rPr>
          <w:i/>
        </w:rPr>
        <w:t xml:space="preserve"> </w:t>
      </w:r>
      <w:proofErr w:type="spellStart"/>
      <w:r w:rsidR="00EF4EAE" w:rsidRPr="00516213">
        <w:rPr>
          <w:i/>
        </w:rPr>
        <w:t>Partisi</w:t>
      </w:r>
      <w:proofErr w:type="spellEnd"/>
      <w:r w:rsidR="00113C17">
        <w:rPr>
          <w:i/>
        </w:rPr>
        <w:t xml:space="preserve"> </w:t>
      </w:r>
      <w:r w:rsidR="00EF4EAE" w:rsidRPr="000D373E">
        <w:rPr>
          <w:iCs/>
        </w:rPr>
        <w:t>-</w:t>
      </w:r>
      <w:r w:rsidRPr="000D373E">
        <w:rPr>
          <w:iCs/>
        </w:rPr>
        <w:t xml:space="preserve"> HDP</w:t>
      </w:r>
      <w:r w:rsidR="00EF4EAE" w:rsidRPr="00516213">
        <w:t>)</w:t>
      </w:r>
      <w:r w:rsidRPr="00516213">
        <w:t xml:space="preserve">, had an ambiguous relationship with </w:t>
      </w:r>
      <w:r w:rsidR="00975DDB" w:rsidRPr="00516213">
        <w:t xml:space="preserve">the designated terrorist group </w:t>
      </w:r>
      <w:r w:rsidRPr="00516213">
        <w:t>PKK</w:t>
      </w:r>
      <w:r w:rsidR="00EF4EAE" w:rsidRPr="00516213">
        <w:t>,</w:t>
      </w:r>
      <w:r w:rsidRPr="00516213">
        <w:t xml:space="preserve"> </w:t>
      </w:r>
      <w:r w:rsidR="00EF4EAE" w:rsidRPr="00516213">
        <w:t>which in turn</w:t>
      </w:r>
      <w:r w:rsidRPr="00516213">
        <w:t xml:space="preserve"> created a grey area that the state was able to securitize. In this way, both contingent events and a change in AKP strategy led to an increased securitization of the Kurdish issue.</w:t>
      </w:r>
    </w:p>
    <w:p w14:paraId="1CB707B5" w14:textId="074F7E8A" w:rsidR="00CB5B5D" w:rsidRPr="00516213" w:rsidRDefault="00975DDB" w:rsidP="000D373E">
      <w:pPr>
        <w:pStyle w:val="Heading1"/>
      </w:pPr>
      <w:r w:rsidRPr="00516213">
        <w:t>How modular emergency rule enabled Kurdish s</w:t>
      </w:r>
      <w:r w:rsidR="00CB5B5D" w:rsidRPr="00516213">
        <w:t>uppression</w:t>
      </w:r>
    </w:p>
    <w:p w14:paraId="25D6C38C" w14:textId="23475083" w:rsidR="00CF6A77" w:rsidRPr="00516213" w:rsidRDefault="00CF6A77" w:rsidP="00703502">
      <w:pPr>
        <w:spacing w:line="360" w:lineRule="auto"/>
        <w:jc w:val="both"/>
        <w:rPr>
          <w:rFonts w:ascii="Times New Roman" w:eastAsiaTheme="majorEastAsia" w:hAnsi="Times New Roman" w:cs="Times New Roman"/>
          <w:bCs/>
          <w:sz w:val="24"/>
          <w:szCs w:val="24"/>
        </w:rPr>
      </w:pPr>
      <w:r w:rsidRPr="00516213">
        <w:rPr>
          <w:rFonts w:ascii="Times New Roman" w:eastAsiaTheme="majorEastAsia" w:hAnsi="Times New Roman" w:cs="Times New Roman"/>
          <w:bCs/>
          <w:sz w:val="24"/>
          <w:szCs w:val="24"/>
        </w:rPr>
        <w:t xml:space="preserve">If </w:t>
      </w:r>
      <w:r w:rsidR="0088733C">
        <w:rPr>
          <w:rFonts w:ascii="Times New Roman" w:eastAsiaTheme="majorEastAsia" w:hAnsi="Times New Roman" w:cs="Times New Roman"/>
          <w:bCs/>
          <w:sz w:val="24"/>
          <w:szCs w:val="24"/>
        </w:rPr>
        <w:t xml:space="preserve">the </w:t>
      </w:r>
      <w:r w:rsidRPr="00516213">
        <w:rPr>
          <w:rFonts w:ascii="Times New Roman" w:eastAsiaTheme="majorEastAsia" w:hAnsi="Times New Roman" w:cs="Times New Roman"/>
          <w:bCs/>
          <w:sz w:val="24"/>
          <w:szCs w:val="24"/>
        </w:rPr>
        <w:t xml:space="preserve">modular rule is </w:t>
      </w:r>
      <w:r w:rsidR="00735F75" w:rsidRPr="00516213">
        <w:rPr>
          <w:rFonts w:ascii="Times New Roman" w:eastAsiaTheme="majorEastAsia" w:hAnsi="Times New Roman" w:cs="Times New Roman"/>
          <w:bCs/>
          <w:sz w:val="24"/>
          <w:szCs w:val="24"/>
        </w:rPr>
        <w:t>characteri</w:t>
      </w:r>
      <w:r w:rsidR="00735F75">
        <w:rPr>
          <w:rFonts w:ascii="Times New Roman" w:eastAsiaTheme="majorEastAsia" w:hAnsi="Times New Roman" w:cs="Times New Roman"/>
          <w:bCs/>
          <w:sz w:val="24"/>
          <w:szCs w:val="24"/>
        </w:rPr>
        <w:t>z</w:t>
      </w:r>
      <w:r w:rsidR="00735F75" w:rsidRPr="00516213">
        <w:rPr>
          <w:rFonts w:ascii="Times New Roman" w:eastAsiaTheme="majorEastAsia" w:hAnsi="Times New Roman" w:cs="Times New Roman"/>
          <w:bCs/>
          <w:sz w:val="24"/>
          <w:szCs w:val="24"/>
        </w:rPr>
        <w:t xml:space="preserve">ed </w:t>
      </w:r>
      <w:r w:rsidRPr="00516213">
        <w:rPr>
          <w:rFonts w:ascii="Times New Roman" w:eastAsiaTheme="majorEastAsia" w:hAnsi="Times New Roman" w:cs="Times New Roman"/>
          <w:bCs/>
          <w:sz w:val="24"/>
          <w:szCs w:val="24"/>
        </w:rPr>
        <w:t xml:space="preserve">by combining elements of </w:t>
      </w:r>
      <w:r w:rsidR="0088733C">
        <w:rPr>
          <w:rFonts w:ascii="Times New Roman" w:eastAsiaTheme="majorEastAsia" w:hAnsi="Times New Roman" w:cs="Times New Roman"/>
          <w:bCs/>
          <w:sz w:val="24"/>
          <w:szCs w:val="24"/>
        </w:rPr>
        <w:t xml:space="preserve">the </w:t>
      </w:r>
      <w:r w:rsidRPr="00516213">
        <w:rPr>
          <w:rFonts w:ascii="Times New Roman" w:eastAsiaTheme="majorEastAsia" w:hAnsi="Times New Roman" w:cs="Times New Roman"/>
          <w:bCs/>
          <w:sz w:val="24"/>
          <w:szCs w:val="24"/>
        </w:rPr>
        <w:t>ordinary rule of law with</w:t>
      </w:r>
      <w:r w:rsidR="0088733C">
        <w:rPr>
          <w:rFonts w:ascii="Times New Roman" w:eastAsiaTheme="majorEastAsia" w:hAnsi="Times New Roman" w:cs="Times New Roman"/>
          <w:bCs/>
          <w:sz w:val="24"/>
          <w:szCs w:val="24"/>
        </w:rPr>
        <w:t xml:space="preserve"> </w:t>
      </w:r>
      <w:r w:rsidRPr="00516213">
        <w:rPr>
          <w:rFonts w:ascii="Times New Roman" w:eastAsiaTheme="majorEastAsia" w:hAnsi="Times New Roman" w:cs="Times New Roman"/>
          <w:bCs/>
          <w:sz w:val="24"/>
          <w:szCs w:val="24"/>
        </w:rPr>
        <w:t xml:space="preserve">emergency rule, which then becomes institutionalized as a permanent form of governance, this is </w:t>
      </w:r>
      <w:r w:rsidR="0088733C">
        <w:rPr>
          <w:rFonts w:ascii="Times New Roman" w:eastAsiaTheme="majorEastAsia" w:hAnsi="Times New Roman" w:cs="Times New Roman"/>
          <w:bCs/>
          <w:sz w:val="24"/>
          <w:szCs w:val="24"/>
        </w:rPr>
        <w:t>precise</w:t>
      </w:r>
      <w:r w:rsidR="0088733C" w:rsidRPr="00516213">
        <w:rPr>
          <w:rFonts w:ascii="Times New Roman" w:eastAsiaTheme="majorEastAsia" w:hAnsi="Times New Roman" w:cs="Times New Roman"/>
          <w:bCs/>
          <w:sz w:val="24"/>
          <w:szCs w:val="24"/>
        </w:rPr>
        <w:t xml:space="preserve">ly </w:t>
      </w:r>
      <w:r w:rsidRPr="00516213">
        <w:rPr>
          <w:rFonts w:ascii="Times New Roman" w:eastAsiaTheme="majorEastAsia" w:hAnsi="Times New Roman" w:cs="Times New Roman"/>
          <w:bCs/>
          <w:sz w:val="24"/>
          <w:szCs w:val="24"/>
        </w:rPr>
        <w:t>what we see playing out in the case of emergency rule in Turkey between 2016-2018</w:t>
      </w:r>
      <w:r w:rsidR="00F270F7" w:rsidRPr="00516213">
        <w:rPr>
          <w:rFonts w:ascii="Times New Roman" w:eastAsiaTheme="majorEastAsia" w:hAnsi="Times New Roman" w:cs="Times New Roman"/>
          <w:bCs/>
          <w:sz w:val="24"/>
          <w:szCs w:val="24"/>
        </w:rPr>
        <w:t xml:space="preserve"> and beyond</w:t>
      </w:r>
      <w:r w:rsidRPr="00516213">
        <w:rPr>
          <w:rFonts w:ascii="Times New Roman" w:eastAsiaTheme="majorEastAsia" w:hAnsi="Times New Roman" w:cs="Times New Roman"/>
          <w:bCs/>
          <w:sz w:val="24"/>
          <w:szCs w:val="24"/>
        </w:rPr>
        <w:t xml:space="preserve">. Here emergency rule was laid on top of an existing trend towards the concentration of executive power and a </w:t>
      </w:r>
      <w:r w:rsidR="00CB5B5D" w:rsidRPr="00516213">
        <w:rPr>
          <w:rFonts w:ascii="Times New Roman" w:eastAsiaTheme="majorEastAsia" w:hAnsi="Times New Roman" w:cs="Times New Roman"/>
          <w:bCs/>
          <w:sz w:val="24"/>
          <w:szCs w:val="24"/>
        </w:rPr>
        <w:t xml:space="preserve">state </w:t>
      </w:r>
      <w:r w:rsidRPr="00516213">
        <w:rPr>
          <w:rFonts w:ascii="Times New Roman" w:eastAsiaTheme="majorEastAsia" w:hAnsi="Times New Roman" w:cs="Times New Roman"/>
          <w:bCs/>
          <w:sz w:val="24"/>
          <w:szCs w:val="24"/>
        </w:rPr>
        <w:t xml:space="preserve">history of intolerance </w:t>
      </w:r>
      <w:r w:rsidR="00047BA4" w:rsidRPr="00516213">
        <w:rPr>
          <w:rFonts w:ascii="Times New Roman" w:eastAsiaTheme="majorEastAsia" w:hAnsi="Times New Roman" w:cs="Times New Roman"/>
          <w:bCs/>
          <w:sz w:val="24"/>
          <w:szCs w:val="24"/>
        </w:rPr>
        <w:t xml:space="preserve">towards </w:t>
      </w:r>
      <w:r w:rsidRPr="00516213">
        <w:rPr>
          <w:rFonts w:ascii="Times New Roman" w:eastAsiaTheme="majorEastAsia" w:hAnsi="Times New Roman" w:cs="Times New Roman"/>
          <w:bCs/>
          <w:sz w:val="24"/>
          <w:szCs w:val="24"/>
        </w:rPr>
        <w:t xml:space="preserve">Kurdish </w:t>
      </w:r>
      <w:r w:rsidR="00F23963" w:rsidRPr="00516213">
        <w:rPr>
          <w:rFonts w:ascii="Times New Roman" w:eastAsiaTheme="majorEastAsia" w:hAnsi="Times New Roman" w:cs="Times New Roman"/>
          <w:bCs/>
          <w:sz w:val="24"/>
          <w:szCs w:val="24"/>
        </w:rPr>
        <w:t xml:space="preserve">political </w:t>
      </w:r>
      <w:r w:rsidRPr="00516213">
        <w:rPr>
          <w:rFonts w:ascii="Times New Roman" w:eastAsiaTheme="majorEastAsia" w:hAnsi="Times New Roman" w:cs="Times New Roman"/>
          <w:bCs/>
          <w:sz w:val="24"/>
          <w:szCs w:val="24"/>
        </w:rPr>
        <w:t xml:space="preserve">activism. This allowed emergency decrees to be extended to target the Kurdish minority, </w:t>
      </w:r>
      <w:r w:rsidR="0088733C">
        <w:rPr>
          <w:rFonts w:ascii="Times New Roman" w:eastAsiaTheme="majorEastAsia" w:hAnsi="Times New Roman" w:cs="Times New Roman"/>
          <w:bCs/>
          <w:sz w:val="24"/>
          <w:szCs w:val="24"/>
        </w:rPr>
        <w:t xml:space="preserve">which was </w:t>
      </w:r>
      <w:r w:rsidRPr="00516213">
        <w:rPr>
          <w:rFonts w:ascii="Times New Roman" w:eastAsiaTheme="majorEastAsia" w:hAnsi="Times New Roman" w:cs="Times New Roman"/>
          <w:bCs/>
          <w:sz w:val="24"/>
          <w:szCs w:val="24"/>
        </w:rPr>
        <w:t xml:space="preserve">already </w:t>
      </w:r>
      <w:r w:rsidR="00CB5B5D" w:rsidRPr="00516213">
        <w:rPr>
          <w:rFonts w:ascii="Times New Roman" w:eastAsiaTheme="majorEastAsia" w:hAnsi="Times New Roman" w:cs="Times New Roman"/>
          <w:bCs/>
          <w:sz w:val="24"/>
          <w:szCs w:val="24"/>
        </w:rPr>
        <w:t xml:space="preserve">being </w:t>
      </w:r>
      <w:r w:rsidR="00735F75" w:rsidRPr="00516213">
        <w:rPr>
          <w:rFonts w:ascii="Times New Roman" w:eastAsiaTheme="majorEastAsia" w:hAnsi="Times New Roman" w:cs="Times New Roman"/>
          <w:bCs/>
          <w:sz w:val="24"/>
          <w:szCs w:val="24"/>
        </w:rPr>
        <w:t>securiti</w:t>
      </w:r>
      <w:r w:rsidR="00735F75">
        <w:rPr>
          <w:rFonts w:ascii="Times New Roman" w:eastAsiaTheme="majorEastAsia" w:hAnsi="Times New Roman" w:cs="Times New Roman"/>
          <w:bCs/>
          <w:sz w:val="24"/>
          <w:szCs w:val="24"/>
        </w:rPr>
        <w:t>z</w:t>
      </w:r>
      <w:r w:rsidR="00735F75" w:rsidRPr="00516213">
        <w:rPr>
          <w:rFonts w:ascii="Times New Roman" w:eastAsiaTheme="majorEastAsia" w:hAnsi="Times New Roman" w:cs="Times New Roman"/>
          <w:bCs/>
          <w:sz w:val="24"/>
          <w:szCs w:val="24"/>
        </w:rPr>
        <w:t xml:space="preserve">ed </w:t>
      </w:r>
      <w:r w:rsidRPr="00516213">
        <w:rPr>
          <w:rFonts w:ascii="Times New Roman" w:eastAsiaTheme="majorEastAsia" w:hAnsi="Times New Roman" w:cs="Times New Roman"/>
          <w:bCs/>
          <w:sz w:val="24"/>
          <w:szCs w:val="24"/>
        </w:rPr>
        <w:t xml:space="preserve">and treated with suspicion through </w:t>
      </w:r>
      <w:r w:rsidR="0088733C">
        <w:rPr>
          <w:rFonts w:ascii="Times New Roman" w:eastAsiaTheme="majorEastAsia" w:hAnsi="Times New Roman" w:cs="Times New Roman"/>
          <w:bCs/>
          <w:sz w:val="24"/>
          <w:szCs w:val="24"/>
        </w:rPr>
        <w:t xml:space="preserve">the </w:t>
      </w:r>
      <w:r w:rsidRPr="00516213">
        <w:rPr>
          <w:rFonts w:ascii="Times New Roman" w:eastAsiaTheme="majorEastAsia" w:hAnsi="Times New Roman" w:cs="Times New Roman"/>
          <w:bCs/>
          <w:sz w:val="24"/>
          <w:szCs w:val="24"/>
        </w:rPr>
        <w:t>ordinary rule of law</w:t>
      </w:r>
      <w:r w:rsidR="00CB5B5D" w:rsidRPr="00516213">
        <w:rPr>
          <w:rFonts w:ascii="Times New Roman" w:eastAsiaTheme="majorEastAsia" w:hAnsi="Times New Roman" w:cs="Times New Roman"/>
          <w:bCs/>
          <w:sz w:val="24"/>
          <w:szCs w:val="24"/>
        </w:rPr>
        <w:t xml:space="preserve"> following the failure of the Kurdish opening</w:t>
      </w:r>
      <w:r w:rsidRPr="00516213">
        <w:rPr>
          <w:rFonts w:ascii="Times New Roman" w:eastAsiaTheme="majorEastAsia" w:hAnsi="Times New Roman" w:cs="Times New Roman"/>
          <w:bCs/>
          <w:sz w:val="24"/>
          <w:szCs w:val="24"/>
        </w:rPr>
        <w:t xml:space="preserve">. </w:t>
      </w:r>
      <w:r w:rsidR="00CA29C8" w:rsidRPr="00516213">
        <w:rPr>
          <w:rFonts w:ascii="Times New Roman" w:eastAsiaTheme="majorEastAsia" w:hAnsi="Times New Roman" w:cs="Times New Roman"/>
          <w:bCs/>
          <w:sz w:val="24"/>
          <w:szCs w:val="24"/>
        </w:rPr>
        <w:t>E</w:t>
      </w:r>
      <w:r w:rsidRPr="00516213">
        <w:rPr>
          <w:rFonts w:ascii="Times New Roman" w:eastAsiaTheme="majorEastAsia" w:hAnsi="Times New Roman" w:cs="Times New Roman"/>
          <w:bCs/>
          <w:sz w:val="24"/>
          <w:szCs w:val="24"/>
        </w:rPr>
        <w:t xml:space="preserve">ven though emergency rule officially ended in 2018, this approach has become more than just a transient mode of government; it has been </w:t>
      </w:r>
      <w:r w:rsidR="00735F75" w:rsidRPr="00516213">
        <w:rPr>
          <w:rFonts w:ascii="Times New Roman" w:eastAsiaTheme="majorEastAsia" w:hAnsi="Times New Roman" w:cs="Times New Roman"/>
          <w:bCs/>
          <w:sz w:val="24"/>
          <w:szCs w:val="24"/>
        </w:rPr>
        <w:t>institutionali</w:t>
      </w:r>
      <w:r w:rsidR="00735F75">
        <w:rPr>
          <w:rFonts w:ascii="Times New Roman" w:eastAsiaTheme="majorEastAsia" w:hAnsi="Times New Roman" w:cs="Times New Roman"/>
          <w:bCs/>
          <w:sz w:val="24"/>
          <w:szCs w:val="24"/>
        </w:rPr>
        <w:t>z</w:t>
      </w:r>
      <w:r w:rsidR="00735F75" w:rsidRPr="00516213">
        <w:rPr>
          <w:rFonts w:ascii="Times New Roman" w:eastAsiaTheme="majorEastAsia" w:hAnsi="Times New Roman" w:cs="Times New Roman"/>
          <w:bCs/>
          <w:sz w:val="24"/>
          <w:szCs w:val="24"/>
        </w:rPr>
        <w:t xml:space="preserve">ed </w:t>
      </w:r>
      <w:r w:rsidR="00047BA4" w:rsidRPr="00516213">
        <w:rPr>
          <w:rFonts w:ascii="Times New Roman" w:eastAsiaTheme="majorEastAsia" w:hAnsi="Times New Roman" w:cs="Times New Roman"/>
          <w:bCs/>
          <w:sz w:val="24"/>
          <w:szCs w:val="24"/>
        </w:rPr>
        <w:t>with</w:t>
      </w:r>
      <w:r w:rsidRPr="00516213">
        <w:rPr>
          <w:rFonts w:ascii="Times New Roman" w:eastAsiaTheme="majorEastAsia" w:hAnsi="Times New Roman" w:cs="Times New Roman"/>
          <w:bCs/>
          <w:sz w:val="24"/>
          <w:szCs w:val="24"/>
        </w:rPr>
        <w:t xml:space="preserve"> lasting political consequences.</w:t>
      </w:r>
      <w:r w:rsidR="00F270F7" w:rsidRPr="00516213">
        <w:rPr>
          <w:rFonts w:ascii="Times New Roman" w:eastAsiaTheme="majorEastAsia" w:hAnsi="Times New Roman" w:cs="Times New Roman"/>
          <w:bCs/>
          <w:sz w:val="24"/>
          <w:szCs w:val="24"/>
        </w:rPr>
        <w:t xml:space="preserve"> </w:t>
      </w:r>
      <w:r w:rsidR="00F23963" w:rsidRPr="00516213">
        <w:rPr>
          <w:rFonts w:ascii="Times New Roman" w:eastAsiaTheme="majorEastAsia" w:hAnsi="Times New Roman" w:cs="Times New Roman"/>
          <w:bCs/>
          <w:sz w:val="24"/>
          <w:szCs w:val="24"/>
        </w:rPr>
        <w:t>E</w:t>
      </w:r>
      <w:r w:rsidR="00F270F7" w:rsidRPr="00516213">
        <w:rPr>
          <w:rFonts w:ascii="Times New Roman" w:eastAsiaTheme="majorEastAsia" w:hAnsi="Times New Roman" w:cs="Times New Roman"/>
          <w:bCs/>
          <w:sz w:val="24"/>
          <w:szCs w:val="24"/>
        </w:rPr>
        <w:t xml:space="preserve">xceptionalist practices were in place in </w:t>
      </w:r>
      <w:r w:rsidR="00885C45" w:rsidRPr="00516213">
        <w:rPr>
          <w:rFonts w:ascii="Times New Roman" w:eastAsiaTheme="majorEastAsia" w:hAnsi="Times New Roman" w:cs="Times New Roman"/>
          <w:bCs/>
          <w:sz w:val="24"/>
          <w:szCs w:val="24"/>
        </w:rPr>
        <w:t>Kurdish</w:t>
      </w:r>
      <w:r w:rsidR="00885C45">
        <w:rPr>
          <w:rFonts w:ascii="Times New Roman" w:eastAsiaTheme="majorEastAsia" w:hAnsi="Times New Roman" w:cs="Times New Roman"/>
          <w:bCs/>
          <w:sz w:val="24"/>
          <w:szCs w:val="24"/>
        </w:rPr>
        <w:t>-</w:t>
      </w:r>
      <w:r w:rsidR="00F270F7" w:rsidRPr="00516213">
        <w:rPr>
          <w:rFonts w:ascii="Times New Roman" w:eastAsiaTheme="majorEastAsia" w:hAnsi="Times New Roman" w:cs="Times New Roman"/>
          <w:bCs/>
          <w:sz w:val="24"/>
          <w:szCs w:val="24"/>
        </w:rPr>
        <w:t xml:space="preserve">majority regions before and after the </w:t>
      </w:r>
      <w:proofErr w:type="spellStart"/>
      <w:r w:rsidR="00946951" w:rsidRPr="00516213">
        <w:rPr>
          <w:rFonts w:ascii="Times New Roman" w:eastAsiaTheme="majorEastAsia" w:hAnsi="Times New Roman" w:cs="Times New Roman"/>
          <w:bCs/>
          <w:sz w:val="24"/>
          <w:szCs w:val="24"/>
        </w:rPr>
        <w:t>SoE</w:t>
      </w:r>
      <w:proofErr w:type="spellEnd"/>
      <w:r w:rsidR="00885C45">
        <w:rPr>
          <w:rFonts w:ascii="Times New Roman" w:eastAsiaTheme="majorEastAsia" w:hAnsi="Times New Roman" w:cs="Times New Roman"/>
          <w:bCs/>
          <w:sz w:val="24"/>
          <w:szCs w:val="24"/>
        </w:rPr>
        <w:t>,</w:t>
      </w:r>
      <w:r w:rsidR="00946951" w:rsidRPr="00516213">
        <w:rPr>
          <w:rFonts w:ascii="Times New Roman" w:eastAsiaTheme="majorEastAsia" w:hAnsi="Times New Roman" w:cs="Times New Roman"/>
          <w:bCs/>
          <w:sz w:val="24"/>
          <w:szCs w:val="24"/>
        </w:rPr>
        <w:t xml:space="preserve"> </w:t>
      </w:r>
      <w:r w:rsidR="00F270F7" w:rsidRPr="00516213">
        <w:rPr>
          <w:rFonts w:ascii="Times New Roman" w:eastAsiaTheme="majorEastAsia" w:hAnsi="Times New Roman" w:cs="Times New Roman"/>
          <w:bCs/>
          <w:sz w:val="24"/>
          <w:szCs w:val="24"/>
        </w:rPr>
        <w:t xml:space="preserve">while the norm was seemingly in force in the other parts of Turkey, </w:t>
      </w:r>
      <w:r w:rsidR="005B1CF7" w:rsidRPr="00516213">
        <w:rPr>
          <w:rFonts w:ascii="Times New Roman" w:eastAsiaTheme="majorEastAsia" w:hAnsi="Times New Roman" w:cs="Times New Roman"/>
          <w:bCs/>
          <w:sz w:val="24"/>
          <w:szCs w:val="24"/>
        </w:rPr>
        <w:t>typically characterizing a regime of modular emergency.</w:t>
      </w:r>
    </w:p>
    <w:p w14:paraId="38FC0C2E" w14:textId="24E2DFD8" w:rsidR="00CF6A77" w:rsidRPr="00516213" w:rsidRDefault="00CF6A77" w:rsidP="000D373E">
      <w:pPr>
        <w:spacing w:line="360" w:lineRule="auto"/>
        <w:ind w:firstLine="720"/>
        <w:jc w:val="both"/>
        <w:rPr>
          <w:rFonts w:ascii="Times New Roman" w:eastAsiaTheme="majorEastAsia" w:hAnsi="Times New Roman" w:cs="Times New Roman"/>
          <w:bCs/>
          <w:sz w:val="24"/>
          <w:szCs w:val="24"/>
        </w:rPr>
      </w:pPr>
      <w:r w:rsidRPr="00516213">
        <w:rPr>
          <w:rFonts w:ascii="Times New Roman" w:eastAsiaTheme="majorEastAsia" w:hAnsi="Times New Roman" w:cs="Times New Roman"/>
          <w:bCs/>
          <w:sz w:val="24"/>
          <w:szCs w:val="24"/>
        </w:rPr>
        <w:t>To demonstrate this, we begin by showing how the extension of emergency rule in 2016 was justified to target the Kurds. We then look at how this played out in t</w:t>
      </w:r>
      <w:r w:rsidR="00F23963" w:rsidRPr="00516213">
        <w:rPr>
          <w:rFonts w:ascii="Times New Roman" w:eastAsiaTheme="majorEastAsia" w:hAnsi="Times New Roman" w:cs="Times New Roman"/>
          <w:bCs/>
          <w:sz w:val="24"/>
          <w:szCs w:val="24"/>
        </w:rPr>
        <w:t>wo</w:t>
      </w:r>
      <w:r w:rsidRPr="00516213">
        <w:rPr>
          <w:rFonts w:ascii="Times New Roman" w:eastAsiaTheme="majorEastAsia" w:hAnsi="Times New Roman" w:cs="Times New Roman"/>
          <w:bCs/>
          <w:sz w:val="24"/>
          <w:szCs w:val="24"/>
        </w:rPr>
        <w:t xml:space="preserve"> key areas: the targeting of elected Kurdish </w:t>
      </w:r>
      <w:r w:rsidR="00047BA4" w:rsidRPr="00516213">
        <w:rPr>
          <w:rFonts w:ascii="Times New Roman" w:eastAsiaTheme="majorEastAsia" w:hAnsi="Times New Roman" w:cs="Times New Roman"/>
          <w:bCs/>
          <w:sz w:val="24"/>
          <w:szCs w:val="24"/>
        </w:rPr>
        <w:t>representatives</w:t>
      </w:r>
      <w:r w:rsidR="00F23963" w:rsidRPr="00516213">
        <w:rPr>
          <w:rFonts w:ascii="Times New Roman" w:eastAsiaTheme="majorEastAsia" w:hAnsi="Times New Roman" w:cs="Times New Roman"/>
          <w:bCs/>
          <w:sz w:val="24"/>
          <w:szCs w:val="24"/>
        </w:rPr>
        <w:t xml:space="preserve"> and</w:t>
      </w:r>
      <w:r w:rsidRPr="00516213">
        <w:rPr>
          <w:rFonts w:ascii="Times New Roman" w:eastAsiaTheme="majorEastAsia" w:hAnsi="Times New Roman" w:cs="Times New Roman"/>
          <w:bCs/>
          <w:sz w:val="24"/>
          <w:szCs w:val="24"/>
        </w:rPr>
        <w:t xml:space="preserve"> security policy in </w:t>
      </w:r>
      <w:proofErr w:type="spellStart"/>
      <w:r w:rsidR="00CC1995">
        <w:rPr>
          <w:rFonts w:ascii="Times New Roman" w:eastAsiaTheme="majorEastAsia" w:hAnsi="Times New Roman" w:cs="Times New Roman"/>
          <w:bCs/>
          <w:sz w:val="24"/>
          <w:szCs w:val="24"/>
        </w:rPr>
        <w:t>S</w:t>
      </w:r>
      <w:r w:rsidRPr="00516213">
        <w:rPr>
          <w:rFonts w:ascii="Times New Roman" w:eastAsiaTheme="majorEastAsia" w:hAnsi="Times New Roman" w:cs="Times New Roman"/>
          <w:bCs/>
          <w:sz w:val="24"/>
          <w:szCs w:val="24"/>
        </w:rPr>
        <w:t>outheast</w:t>
      </w:r>
      <w:r w:rsidR="00CC1995">
        <w:rPr>
          <w:rFonts w:ascii="Times New Roman" w:eastAsiaTheme="majorEastAsia" w:hAnsi="Times New Roman" w:cs="Times New Roman"/>
          <w:bCs/>
          <w:sz w:val="24"/>
          <w:szCs w:val="24"/>
        </w:rPr>
        <w:t>ern</w:t>
      </w:r>
      <w:proofErr w:type="spellEnd"/>
      <w:r w:rsidR="00CC1995">
        <w:rPr>
          <w:rFonts w:ascii="Times New Roman" w:eastAsiaTheme="majorEastAsia" w:hAnsi="Times New Roman" w:cs="Times New Roman"/>
          <w:bCs/>
          <w:sz w:val="24"/>
          <w:szCs w:val="24"/>
        </w:rPr>
        <w:t xml:space="preserve"> Turkey</w:t>
      </w:r>
      <w:r w:rsidRPr="00516213">
        <w:rPr>
          <w:rFonts w:ascii="Times New Roman" w:eastAsiaTheme="majorEastAsia" w:hAnsi="Times New Roman" w:cs="Times New Roman"/>
          <w:bCs/>
          <w:sz w:val="24"/>
          <w:szCs w:val="24"/>
        </w:rPr>
        <w:t>. The emphasis is on the lack of clear boundaries between ordinary rule and emergency rule and how these eventually combined to create a grey area of modular rule that still exists today.</w:t>
      </w:r>
    </w:p>
    <w:p w14:paraId="386C0BA4" w14:textId="77777777" w:rsidR="00CF6A77" w:rsidRPr="00516213" w:rsidRDefault="00CF6A77" w:rsidP="000D373E">
      <w:pPr>
        <w:pStyle w:val="Heading2"/>
      </w:pPr>
      <w:r w:rsidRPr="00516213">
        <w:t>How emergency rule became a modular emergency</w:t>
      </w:r>
    </w:p>
    <w:p w14:paraId="24075EA2" w14:textId="15CB5057" w:rsidR="00CF6A77" w:rsidRPr="00516213" w:rsidRDefault="00CF6A77" w:rsidP="00703502">
      <w:pPr>
        <w:spacing w:line="360" w:lineRule="auto"/>
        <w:jc w:val="both"/>
        <w:rPr>
          <w:rFonts w:ascii="Times New Roman" w:eastAsiaTheme="majorEastAsia" w:hAnsi="Times New Roman" w:cs="Times New Roman"/>
          <w:bCs/>
          <w:sz w:val="24"/>
          <w:szCs w:val="24"/>
        </w:rPr>
      </w:pPr>
      <w:r w:rsidRPr="00516213">
        <w:rPr>
          <w:rFonts w:ascii="Times New Roman" w:eastAsiaTheme="majorEastAsia" w:hAnsi="Times New Roman" w:cs="Times New Roman"/>
          <w:bCs/>
          <w:sz w:val="24"/>
          <w:szCs w:val="24"/>
        </w:rPr>
        <w:t xml:space="preserve">Initial discussions by the government justifying the need for a state of emergency focused exclusively on the threat posed by </w:t>
      </w:r>
      <w:r w:rsidR="004C2A17" w:rsidRPr="00516213">
        <w:rPr>
          <w:rFonts w:ascii="Times New Roman" w:eastAsiaTheme="majorEastAsia" w:hAnsi="Times New Roman" w:cs="Times New Roman"/>
          <w:bCs/>
          <w:sz w:val="24"/>
          <w:szCs w:val="24"/>
        </w:rPr>
        <w:t>FETÖ</w:t>
      </w:r>
      <w:r w:rsidR="00854234">
        <w:rPr>
          <w:rFonts w:ascii="Times New Roman" w:eastAsiaTheme="majorEastAsia" w:hAnsi="Times New Roman" w:cs="Times New Roman"/>
          <w:bCs/>
          <w:sz w:val="24"/>
          <w:szCs w:val="24"/>
        </w:rPr>
        <w:t>;</w:t>
      </w:r>
      <w:r w:rsidR="00854234" w:rsidRPr="00516213">
        <w:rPr>
          <w:rFonts w:ascii="Times New Roman" w:eastAsiaTheme="majorEastAsia" w:hAnsi="Times New Roman" w:cs="Times New Roman"/>
          <w:bCs/>
          <w:sz w:val="24"/>
          <w:szCs w:val="24"/>
        </w:rPr>
        <w:t xml:space="preserve"> </w:t>
      </w:r>
      <w:r w:rsidRPr="00516213">
        <w:rPr>
          <w:rFonts w:ascii="Times New Roman" w:eastAsiaTheme="majorEastAsia" w:hAnsi="Times New Roman" w:cs="Times New Roman"/>
          <w:bCs/>
          <w:sz w:val="24"/>
          <w:szCs w:val="24"/>
        </w:rPr>
        <w:t>however, with hindsight</w:t>
      </w:r>
      <w:r w:rsidR="00854234">
        <w:rPr>
          <w:rFonts w:ascii="Times New Roman" w:eastAsiaTheme="majorEastAsia" w:hAnsi="Times New Roman" w:cs="Times New Roman"/>
          <w:bCs/>
          <w:sz w:val="24"/>
          <w:szCs w:val="24"/>
        </w:rPr>
        <w:t>,</w:t>
      </w:r>
      <w:r w:rsidRPr="00516213">
        <w:rPr>
          <w:rFonts w:ascii="Times New Roman" w:eastAsiaTheme="majorEastAsia" w:hAnsi="Times New Roman" w:cs="Times New Roman"/>
          <w:bCs/>
          <w:sz w:val="24"/>
          <w:szCs w:val="24"/>
        </w:rPr>
        <w:t xml:space="preserve"> the early framing of the threat allowed for its subsequent expansion. Emergency decrees were justified by the government as ‘measures that must necessarily be taken</w:t>
      </w:r>
      <w:r w:rsidR="00DC2C51" w:rsidRPr="00516213">
        <w:rPr>
          <w:rFonts w:ascii="Times New Roman" w:eastAsiaTheme="majorEastAsia" w:hAnsi="Times New Roman" w:cs="Times New Roman"/>
          <w:bCs/>
          <w:sz w:val="24"/>
          <w:szCs w:val="24"/>
        </w:rPr>
        <w:t xml:space="preserve"> </w:t>
      </w:r>
      <w:r w:rsidR="00854234">
        <w:rPr>
          <w:rFonts w:ascii="Times New Roman" w:eastAsiaTheme="majorEastAsia" w:hAnsi="Times New Roman" w:cs="Times New Roman"/>
          <w:bCs/>
          <w:sz w:val="24"/>
          <w:szCs w:val="24"/>
        </w:rPr>
        <w:t>(</w:t>
      </w:r>
      <w:r w:rsidRPr="00516213">
        <w:rPr>
          <w:rFonts w:ascii="Times New Roman" w:eastAsiaTheme="majorEastAsia" w:hAnsi="Times New Roman" w:cs="Times New Roman"/>
          <w:bCs/>
          <w:sz w:val="24"/>
          <w:szCs w:val="24"/>
        </w:rPr>
        <w:t>…</w:t>
      </w:r>
      <w:r w:rsidR="00854234">
        <w:rPr>
          <w:rFonts w:ascii="Times New Roman" w:eastAsiaTheme="majorEastAsia" w:hAnsi="Times New Roman" w:cs="Times New Roman"/>
          <w:bCs/>
          <w:sz w:val="24"/>
          <w:szCs w:val="24"/>
        </w:rPr>
        <w:t>)</w:t>
      </w:r>
      <w:r w:rsidRPr="00516213">
        <w:rPr>
          <w:rFonts w:ascii="Times New Roman" w:eastAsiaTheme="majorEastAsia" w:hAnsi="Times New Roman" w:cs="Times New Roman"/>
          <w:bCs/>
          <w:sz w:val="24"/>
          <w:szCs w:val="24"/>
        </w:rPr>
        <w:t xml:space="preserve"> to safeguard democracy, fundamental rights and freedoms and public order against the threats posed by terrorist </w:t>
      </w:r>
      <w:r w:rsidR="00735F75" w:rsidRPr="00516213">
        <w:rPr>
          <w:rFonts w:ascii="Times New Roman" w:eastAsiaTheme="majorEastAsia" w:hAnsi="Times New Roman" w:cs="Times New Roman"/>
          <w:bCs/>
          <w:sz w:val="24"/>
          <w:szCs w:val="24"/>
        </w:rPr>
        <w:t>organi</w:t>
      </w:r>
      <w:r w:rsidR="00735F75">
        <w:rPr>
          <w:rFonts w:ascii="Times New Roman" w:eastAsiaTheme="majorEastAsia" w:hAnsi="Times New Roman" w:cs="Times New Roman"/>
          <w:bCs/>
          <w:sz w:val="24"/>
          <w:szCs w:val="24"/>
        </w:rPr>
        <w:t>z</w:t>
      </w:r>
      <w:r w:rsidR="00735F75" w:rsidRPr="00516213">
        <w:rPr>
          <w:rFonts w:ascii="Times New Roman" w:eastAsiaTheme="majorEastAsia" w:hAnsi="Times New Roman" w:cs="Times New Roman"/>
          <w:bCs/>
          <w:sz w:val="24"/>
          <w:szCs w:val="24"/>
        </w:rPr>
        <w:t xml:space="preserve">ations </w:t>
      </w:r>
      <w:r w:rsidRPr="00516213">
        <w:rPr>
          <w:rFonts w:ascii="Times New Roman" w:eastAsiaTheme="majorEastAsia" w:hAnsi="Times New Roman" w:cs="Times New Roman"/>
          <w:bCs/>
          <w:sz w:val="24"/>
          <w:szCs w:val="24"/>
        </w:rPr>
        <w:t xml:space="preserve">or structures, </w:t>
      </w:r>
      <w:r w:rsidR="00735F75" w:rsidRPr="00516213">
        <w:rPr>
          <w:rFonts w:ascii="Times New Roman" w:eastAsiaTheme="majorEastAsia" w:hAnsi="Times New Roman" w:cs="Times New Roman"/>
          <w:bCs/>
          <w:sz w:val="24"/>
          <w:szCs w:val="24"/>
        </w:rPr>
        <w:t>organi</w:t>
      </w:r>
      <w:r w:rsidR="00735F75">
        <w:rPr>
          <w:rFonts w:ascii="Times New Roman" w:eastAsiaTheme="majorEastAsia" w:hAnsi="Times New Roman" w:cs="Times New Roman"/>
          <w:bCs/>
          <w:sz w:val="24"/>
          <w:szCs w:val="24"/>
        </w:rPr>
        <w:t>z</w:t>
      </w:r>
      <w:r w:rsidR="00735F75" w:rsidRPr="00516213">
        <w:rPr>
          <w:rFonts w:ascii="Times New Roman" w:eastAsiaTheme="majorEastAsia" w:hAnsi="Times New Roman" w:cs="Times New Roman"/>
          <w:bCs/>
          <w:sz w:val="24"/>
          <w:szCs w:val="24"/>
        </w:rPr>
        <w:t xml:space="preserve">ations </w:t>
      </w:r>
      <w:r w:rsidRPr="00516213">
        <w:rPr>
          <w:rFonts w:ascii="Times New Roman" w:eastAsiaTheme="majorEastAsia" w:hAnsi="Times New Roman" w:cs="Times New Roman"/>
          <w:bCs/>
          <w:sz w:val="24"/>
          <w:szCs w:val="24"/>
        </w:rPr>
        <w:t xml:space="preserve">or groups which are identified by the National Security Council as engaging in activities against the national security of the State’ (Emergency Decree 667, Official Gazette 23 July 2016). Hence, the scope and remit of the emergency decrees were </w:t>
      </w:r>
      <w:r w:rsidR="00B9448E" w:rsidRPr="00516213">
        <w:rPr>
          <w:rFonts w:ascii="Times New Roman" w:eastAsiaTheme="majorEastAsia" w:hAnsi="Times New Roman" w:cs="Times New Roman"/>
          <w:bCs/>
          <w:sz w:val="24"/>
          <w:szCs w:val="24"/>
        </w:rPr>
        <w:t xml:space="preserve">potentially able </w:t>
      </w:r>
      <w:r w:rsidRPr="00516213">
        <w:rPr>
          <w:rFonts w:ascii="Times New Roman" w:eastAsiaTheme="majorEastAsia" w:hAnsi="Times New Roman" w:cs="Times New Roman"/>
          <w:bCs/>
          <w:sz w:val="24"/>
          <w:szCs w:val="24"/>
        </w:rPr>
        <w:t>to include all organizations and activities deemed as ‘terrorist’ or as threats to national security.</w:t>
      </w:r>
    </w:p>
    <w:p w14:paraId="49C62E57" w14:textId="1DF2F876" w:rsidR="00CF6A77" w:rsidRPr="00516213" w:rsidRDefault="00CF6A77" w:rsidP="000D373E">
      <w:pPr>
        <w:spacing w:line="360" w:lineRule="auto"/>
        <w:ind w:firstLine="720"/>
        <w:jc w:val="both"/>
        <w:rPr>
          <w:rFonts w:ascii="Times New Roman" w:eastAsiaTheme="majorEastAsia" w:hAnsi="Times New Roman" w:cs="Times New Roman"/>
          <w:bCs/>
          <w:sz w:val="24"/>
          <w:szCs w:val="24"/>
        </w:rPr>
      </w:pPr>
      <w:r w:rsidRPr="00516213">
        <w:rPr>
          <w:rFonts w:ascii="Times New Roman" w:eastAsiaTheme="majorEastAsia" w:hAnsi="Times New Roman" w:cs="Times New Roman"/>
          <w:bCs/>
          <w:sz w:val="24"/>
          <w:szCs w:val="24"/>
        </w:rPr>
        <w:t>From this basis</w:t>
      </w:r>
      <w:r w:rsidR="00B9448E" w:rsidRPr="00516213">
        <w:rPr>
          <w:rFonts w:ascii="Times New Roman" w:eastAsiaTheme="majorEastAsia" w:hAnsi="Times New Roman" w:cs="Times New Roman"/>
          <w:bCs/>
          <w:sz w:val="24"/>
          <w:szCs w:val="24"/>
        </w:rPr>
        <w:t>,</w:t>
      </w:r>
      <w:r w:rsidRPr="00516213">
        <w:rPr>
          <w:rFonts w:ascii="Times New Roman" w:eastAsiaTheme="majorEastAsia" w:hAnsi="Times New Roman" w:cs="Times New Roman"/>
          <w:bCs/>
          <w:sz w:val="24"/>
          <w:szCs w:val="24"/>
        </w:rPr>
        <w:t xml:space="preserve"> the focus o</w:t>
      </w:r>
      <w:r w:rsidR="00B9448E" w:rsidRPr="00516213">
        <w:rPr>
          <w:rFonts w:ascii="Times New Roman" w:eastAsiaTheme="majorEastAsia" w:hAnsi="Times New Roman" w:cs="Times New Roman"/>
          <w:bCs/>
          <w:sz w:val="24"/>
          <w:szCs w:val="24"/>
        </w:rPr>
        <w:t>f</w:t>
      </w:r>
      <w:r w:rsidRPr="00516213">
        <w:rPr>
          <w:rFonts w:ascii="Times New Roman" w:eastAsiaTheme="majorEastAsia" w:hAnsi="Times New Roman" w:cs="Times New Roman"/>
          <w:bCs/>
          <w:sz w:val="24"/>
          <w:szCs w:val="24"/>
        </w:rPr>
        <w:t xml:space="preserve"> the </w:t>
      </w:r>
      <w:proofErr w:type="spellStart"/>
      <w:r w:rsidR="009E0DDD" w:rsidRPr="00516213">
        <w:rPr>
          <w:rFonts w:ascii="Times New Roman" w:eastAsiaTheme="majorEastAsia" w:hAnsi="Times New Roman" w:cs="Times New Roman"/>
          <w:bCs/>
          <w:sz w:val="24"/>
          <w:szCs w:val="24"/>
        </w:rPr>
        <w:t>SoE</w:t>
      </w:r>
      <w:proofErr w:type="spellEnd"/>
      <w:r w:rsidR="009E0DDD" w:rsidRPr="00516213">
        <w:rPr>
          <w:rFonts w:ascii="Times New Roman" w:eastAsiaTheme="majorEastAsia" w:hAnsi="Times New Roman" w:cs="Times New Roman"/>
          <w:bCs/>
          <w:sz w:val="24"/>
          <w:szCs w:val="24"/>
        </w:rPr>
        <w:t xml:space="preserve"> </w:t>
      </w:r>
      <w:r w:rsidRPr="00516213">
        <w:rPr>
          <w:rFonts w:ascii="Times New Roman" w:eastAsiaTheme="majorEastAsia" w:hAnsi="Times New Roman" w:cs="Times New Roman"/>
          <w:bCs/>
          <w:sz w:val="24"/>
          <w:szCs w:val="24"/>
        </w:rPr>
        <w:t xml:space="preserve">was gradually expanded during its two years. This was evident in parliamentary debates around the renewal of emergency rule, especially in how the </w:t>
      </w:r>
      <w:r w:rsidR="00B9448E" w:rsidRPr="00516213">
        <w:rPr>
          <w:rFonts w:ascii="Times New Roman" w:eastAsiaTheme="majorEastAsia" w:hAnsi="Times New Roman" w:cs="Times New Roman"/>
          <w:bCs/>
          <w:sz w:val="24"/>
          <w:szCs w:val="24"/>
        </w:rPr>
        <w:t xml:space="preserve">ruling </w:t>
      </w:r>
      <w:r w:rsidRPr="00516213">
        <w:rPr>
          <w:rFonts w:ascii="Times New Roman" w:eastAsiaTheme="majorEastAsia" w:hAnsi="Times New Roman" w:cs="Times New Roman"/>
          <w:bCs/>
          <w:sz w:val="24"/>
          <w:szCs w:val="24"/>
        </w:rPr>
        <w:t xml:space="preserve">AKP converged with the </w:t>
      </w:r>
      <w:r w:rsidR="00B9448E" w:rsidRPr="00516213">
        <w:rPr>
          <w:rFonts w:ascii="Times New Roman" w:eastAsiaTheme="majorEastAsia" w:hAnsi="Times New Roman" w:cs="Times New Roman"/>
          <w:bCs/>
          <w:sz w:val="24"/>
          <w:szCs w:val="24"/>
        </w:rPr>
        <w:t xml:space="preserve">ultra-nationalist </w:t>
      </w:r>
      <w:r w:rsidRPr="00516213">
        <w:rPr>
          <w:rFonts w:ascii="Times New Roman" w:eastAsiaTheme="majorEastAsia" w:hAnsi="Times New Roman" w:cs="Times New Roman"/>
          <w:bCs/>
          <w:sz w:val="24"/>
          <w:szCs w:val="24"/>
        </w:rPr>
        <w:t xml:space="preserve">MHP and began to lump together all terrorist </w:t>
      </w:r>
      <w:r w:rsidR="00735F75" w:rsidRPr="00516213">
        <w:rPr>
          <w:rFonts w:ascii="Times New Roman" w:eastAsiaTheme="majorEastAsia" w:hAnsi="Times New Roman" w:cs="Times New Roman"/>
          <w:bCs/>
          <w:sz w:val="24"/>
          <w:szCs w:val="24"/>
        </w:rPr>
        <w:t>organi</w:t>
      </w:r>
      <w:r w:rsidR="00735F75">
        <w:rPr>
          <w:rFonts w:ascii="Times New Roman" w:eastAsiaTheme="majorEastAsia" w:hAnsi="Times New Roman" w:cs="Times New Roman"/>
          <w:bCs/>
          <w:sz w:val="24"/>
          <w:szCs w:val="24"/>
        </w:rPr>
        <w:t>z</w:t>
      </w:r>
      <w:r w:rsidR="00735F75" w:rsidRPr="00516213">
        <w:rPr>
          <w:rFonts w:ascii="Times New Roman" w:eastAsiaTheme="majorEastAsia" w:hAnsi="Times New Roman" w:cs="Times New Roman"/>
          <w:bCs/>
          <w:sz w:val="24"/>
          <w:szCs w:val="24"/>
        </w:rPr>
        <w:t xml:space="preserve">ations </w:t>
      </w:r>
      <w:r w:rsidRPr="00516213">
        <w:rPr>
          <w:rFonts w:ascii="Times New Roman" w:eastAsiaTheme="majorEastAsia" w:hAnsi="Times New Roman" w:cs="Times New Roman"/>
          <w:bCs/>
          <w:sz w:val="24"/>
          <w:szCs w:val="24"/>
        </w:rPr>
        <w:t xml:space="preserve">rather than just focusing on </w:t>
      </w:r>
      <w:r w:rsidR="004C2A17" w:rsidRPr="00516213">
        <w:rPr>
          <w:rFonts w:ascii="Times New Roman" w:eastAsiaTheme="majorEastAsia" w:hAnsi="Times New Roman" w:cs="Times New Roman"/>
          <w:bCs/>
          <w:sz w:val="24"/>
          <w:szCs w:val="24"/>
        </w:rPr>
        <w:t>FETÖ</w:t>
      </w:r>
      <w:r w:rsidRPr="00516213">
        <w:rPr>
          <w:rFonts w:ascii="Times New Roman" w:eastAsiaTheme="majorEastAsia" w:hAnsi="Times New Roman" w:cs="Times New Roman"/>
          <w:bCs/>
          <w:sz w:val="24"/>
          <w:szCs w:val="24"/>
        </w:rPr>
        <w:t>. From the outset</w:t>
      </w:r>
      <w:r w:rsidR="001D2D07" w:rsidRPr="00516213">
        <w:rPr>
          <w:rFonts w:ascii="Times New Roman" w:eastAsiaTheme="majorEastAsia" w:hAnsi="Times New Roman" w:cs="Times New Roman"/>
          <w:bCs/>
          <w:sz w:val="24"/>
          <w:szCs w:val="24"/>
        </w:rPr>
        <w:t>,</w:t>
      </w:r>
      <w:r w:rsidRPr="00516213">
        <w:rPr>
          <w:rFonts w:ascii="Times New Roman" w:eastAsiaTheme="majorEastAsia" w:hAnsi="Times New Roman" w:cs="Times New Roman"/>
          <w:bCs/>
          <w:sz w:val="24"/>
          <w:szCs w:val="24"/>
        </w:rPr>
        <w:t xml:space="preserve"> the leader of the MHP describ</w:t>
      </w:r>
      <w:r w:rsidR="00EA6ED0" w:rsidRPr="00516213">
        <w:rPr>
          <w:rFonts w:ascii="Times New Roman" w:eastAsiaTheme="majorEastAsia" w:hAnsi="Times New Roman" w:cs="Times New Roman"/>
          <w:bCs/>
          <w:sz w:val="24"/>
          <w:szCs w:val="24"/>
        </w:rPr>
        <w:t>ed</w:t>
      </w:r>
      <w:r w:rsidRPr="00516213">
        <w:rPr>
          <w:rFonts w:ascii="Times New Roman" w:eastAsiaTheme="majorEastAsia" w:hAnsi="Times New Roman" w:cs="Times New Roman"/>
          <w:bCs/>
          <w:sz w:val="24"/>
          <w:szCs w:val="24"/>
        </w:rPr>
        <w:t xml:space="preserve"> the coup as a ‘bloody terrorist attack’ (T</w:t>
      </w:r>
      <w:r w:rsidR="00CB1D6E" w:rsidRPr="00516213">
        <w:rPr>
          <w:rFonts w:ascii="Times New Roman" w:eastAsiaTheme="majorEastAsia" w:hAnsi="Times New Roman" w:cs="Times New Roman"/>
          <w:bCs/>
          <w:sz w:val="24"/>
          <w:szCs w:val="24"/>
        </w:rPr>
        <w:t>BMM</w:t>
      </w:r>
      <w:r w:rsidRPr="00516213">
        <w:rPr>
          <w:rFonts w:ascii="Times New Roman" w:eastAsiaTheme="majorEastAsia" w:hAnsi="Times New Roman" w:cs="Times New Roman"/>
          <w:bCs/>
          <w:sz w:val="24"/>
          <w:szCs w:val="24"/>
        </w:rPr>
        <w:t xml:space="preserve"> 16 July 2016), laying the ground for their later claim that the </w:t>
      </w:r>
      <w:proofErr w:type="spellStart"/>
      <w:r w:rsidR="009E0DDD" w:rsidRPr="00516213">
        <w:rPr>
          <w:rFonts w:ascii="Times New Roman" w:eastAsiaTheme="majorEastAsia" w:hAnsi="Times New Roman" w:cs="Times New Roman"/>
          <w:bCs/>
          <w:sz w:val="24"/>
          <w:szCs w:val="24"/>
        </w:rPr>
        <w:t>SoE</w:t>
      </w:r>
      <w:proofErr w:type="spellEnd"/>
      <w:r w:rsidR="009E0DDD" w:rsidRPr="00516213">
        <w:rPr>
          <w:rFonts w:ascii="Times New Roman" w:eastAsiaTheme="majorEastAsia" w:hAnsi="Times New Roman" w:cs="Times New Roman"/>
          <w:bCs/>
          <w:sz w:val="24"/>
          <w:szCs w:val="24"/>
        </w:rPr>
        <w:t xml:space="preserve"> </w:t>
      </w:r>
      <w:r w:rsidRPr="00516213">
        <w:rPr>
          <w:rFonts w:ascii="Times New Roman" w:eastAsiaTheme="majorEastAsia" w:hAnsi="Times New Roman" w:cs="Times New Roman"/>
          <w:bCs/>
          <w:sz w:val="24"/>
          <w:szCs w:val="24"/>
        </w:rPr>
        <w:t>should be focused on combating all terrorism. A</w:t>
      </w:r>
      <w:r w:rsidR="00EA6ED0" w:rsidRPr="00516213">
        <w:rPr>
          <w:rFonts w:ascii="Times New Roman" w:eastAsiaTheme="majorEastAsia" w:hAnsi="Times New Roman" w:cs="Times New Roman"/>
          <w:bCs/>
          <w:sz w:val="24"/>
          <w:szCs w:val="24"/>
        </w:rPr>
        <w:t>nother senior MHP deputy,</w:t>
      </w:r>
      <w:r w:rsidRPr="00516213">
        <w:rPr>
          <w:rFonts w:ascii="Times New Roman" w:eastAsiaTheme="majorEastAsia" w:hAnsi="Times New Roman" w:cs="Times New Roman"/>
          <w:bCs/>
          <w:sz w:val="24"/>
          <w:szCs w:val="24"/>
        </w:rPr>
        <w:t xml:space="preserve"> </w:t>
      </w:r>
      <w:r w:rsidR="003C7746" w:rsidRPr="00516213">
        <w:rPr>
          <w:rFonts w:ascii="Times New Roman" w:eastAsiaTheme="majorEastAsia" w:hAnsi="Times New Roman" w:cs="Times New Roman"/>
          <w:bCs/>
          <w:sz w:val="24"/>
          <w:szCs w:val="24"/>
        </w:rPr>
        <w:t xml:space="preserve">Erkan </w:t>
      </w:r>
      <w:proofErr w:type="spellStart"/>
      <w:r w:rsidR="003C7746" w:rsidRPr="00516213">
        <w:rPr>
          <w:rFonts w:ascii="Times New Roman" w:eastAsiaTheme="majorEastAsia" w:hAnsi="Times New Roman" w:cs="Times New Roman"/>
          <w:bCs/>
          <w:sz w:val="24"/>
          <w:szCs w:val="24"/>
        </w:rPr>
        <w:t>Akçay</w:t>
      </w:r>
      <w:proofErr w:type="spellEnd"/>
      <w:r w:rsidR="00EA6ED0" w:rsidRPr="00516213">
        <w:rPr>
          <w:rFonts w:ascii="Times New Roman" w:eastAsiaTheme="majorEastAsia" w:hAnsi="Times New Roman" w:cs="Times New Roman"/>
          <w:bCs/>
          <w:sz w:val="24"/>
          <w:szCs w:val="24"/>
        </w:rPr>
        <w:t>,</w:t>
      </w:r>
      <w:r w:rsidRPr="00516213">
        <w:rPr>
          <w:rFonts w:ascii="Times New Roman" w:eastAsiaTheme="majorEastAsia" w:hAnsi="Times New Roman" w:cs="Times New Roman"/>
          <w:bCs/>
          <w:sz w:val="24"/>
          <w:szCs w:val="24"/>
        </w:rPr>
        <w:t xml:space="preserve"> argued</w:t>
      </w:r>
      <w:r w:rsidR="00EA6ED0" w:rsidRPr="00516213">
        <w:rPr>
          <w:rFonts w:ascii="Times New Roman" w:eastAsiaTheme="majorEastAsia" w:hAnsi="Times New Roman" w:cs="Times New Roman"/>
          <w:bCs/>
          <w:sz w:val="24"/>
          <w:szCs w:val="24"/>
        </w:rPr>
        <w:t xml:space="preserve"> that</w:t>
      </w:r>
      <w:r w:rsidRPr="00516213">
        <w:rPr>
          <w:rFonts w:ascii="Times New Roman" w:eastAsiaTheme="majorEastAsia" w:hAnsi="Times New Roman" w:cs="Times New Roman"/>
          <w:bCs/>
          <w:sz w:val="24"/>
          <w:szCs w:val="24"/>
        </w:rPr>
        <w:t xml:space="preserve"> ‘one parallel structure in Turkey today is [</w:t>
      </w:r>
      <w:r w:rsidR="004C2A17" w:rsidRPr="00516213">
        <w:rPr>
          <w:rFonts w:ascii="Times New Roman" w:eastAsiaTheme="majorEastAsia" w:hAnsi="Times New Roman" w:cs="Times New Roman"/>
          <w:bCs/>
          <w:sz w:val="24"/>
          <w:szCs w:val="24"/>
        </w:rPr>
        <w:t>FETÖ</w:t>
      </w:r>
      <w:r w:rsidRPr="00516213">
        <w:rPr>
          <w:rFonts w:ascii="Times New Roman" w:eastAsiaTheme="majorEastAsia" w:hAnsi="Times New Roman" w:cs="Times New Roman"/>
          <w:bCs/>
          <w:sz w:val="24"/>
          <w:szCs w:val="24"/>
        </w:rPr>
        <w:t>]</w:t>
      </w:r>
      <w:r w:rsidR="00573EE6">
        <w:rPr>
          <w:rFonts w:ascii="Times New Roman" w:eastAsiaTheme="majorEastAsia" w:hAnsi="Times New Roman" w:cs="Times New Roman"/>
          <w:bCs/>
          <w:sz w:val="24"/>
          <w:szCs w:val="24"/>
        </w:rPr>
        <w:t>,</w:t>
      </w:r>
      <w:r w:rsidRPr="00516213">
        <w:rPr>
          <w:rFonts w:ascii="Times New Roman" w:eastAsiaTheme="majorEastAsia" w:hAnsi="Times New Roman" w:cs="Times New Roman"/>
          <w:bCs/>
          <w:sz w:val="24"/>
          <w:szCs w:val="24"/>
        </w:rPr>
        <w:t xml:space="preserve"> but this is not the only danger. In the eastern and </w:t>
      </w:r>
      <w:proofErr w:type="spellStart"/>
      <w:r w:rsidR="003C6011" w:rsidRPr="00516213">
        <w:rPr>
          <w:rFonts w:ascii="Times New Roman" w:eastAsiaTheme="majorEastAsia" w:hAnsi="Times New Roman" w:cs="Times New Roman"/>
          <w:bCs/>
          <w:sz w:val="24"/>
          <w:szCs w:val="24"/>
        </w:rPr>
        <w:t>southeastern</w:t>
      </w:r>
      <w:proofErr w:type="spellEnd"/>
      <w:r w:rsidRPr="00516213">
        <w:rPr>
          <w:rFonts w:ascii="Times New Roman" w:eastAsiaTheme="majorEastAsia" w:hAnsi="Times New Roman" w:cs="Times New Roman"/>
          <w:bCs/>
          <w:sz w:val="24"/>
          <w:szCs w:val="24"/>
        </w:rPr>
        <w:t xml:space="preserve"> regions, KCK and the PKK are other dangerous structure</w:t>
      </w:r>
      <w:r w:rsidR="00573EE6">
        <w:rPr>
          <w:rFonts w:ascii="Times New Roman" w:eastAsiaTheme="majorEastAsia" w:hAnsi="Times New Roman" w:cs="Times New Roman"/>
          <w:bCs/>
          <w:sz w:val="24"/>
          <w:szCs w:val="24"/>
        </w:rPr>
        <w:t>s</w:t>
      </w:r>
      <w:r w:rsidRPr="00516213">
        <w:rPr>
          <w:rFonts w:ascii="Times New Roman" w:eastAsiaTheme="majorEastAsia" w:hAnsi="Times New Roman" w:cs="Times New Roman"/>
          <w:bCs/>
          <w:sz w:val="24"/>
          <w:szCs w:val="24"/>
        </w:rPr>
        <w:t>. Therefore, the fight against the PKK terrorist organization and all other terrorist organizations must be included in the state of emergency’ (</w:t>
      </w:r>
      <w:r w:rsidR="00CB1D6E" w:rsidRPr="00516213">
        <w:rPr>
          <w:rFonts w:ascii="Times New Roman" w:eastAsiaTheme="majorEastAsia" w:hAnsi="Times New Roman" w:cs="Times New Roman"/>
          <w:bCs/>
          <w:sz w:val="24"/>
          <w:szCs w:val="24"/>
        </w:rPr>
        <w:t xml:space="preserve">TBMM </w:t>
      </w:r>
      <w:r w:rsidRPr="00516213">
        <w:rPr>
          <w:rFonts w:ascii="Times New Roman" w:eastAsiaTheme="majorEastAsia" w:hAnsi="Times New Roman" w:cs="Times New Roman"/>
          <w:bCs/>
          <w:sz w:val="24"/>
          <w:szCs w:val="24"/>
        </w:rPr>
        <w:t>21 July 2016).</w:t>
      </w:r>
      <w:r w:rsidR="0029393E" w:rsidRPr="00516213">
        <w:rPr>
          <w:rFonts w:ascii="Times New Roman" w:eastAsiaTheme="majorEastAsia" w:hAnsi="Times New Roman" w:cs="Times New Roman"/>
          <w:bCs/>
          <w:sz w:val="24"/>
          <w:szCs w:val="24"/>
        </w:rPr>
        <w:t xml:space="preserve"> </w:t>
      </w:r>
      <w:r w:rsidR="0029393E" w:rsidRPr="00516213">
        <w:rPr>
          <w:rFonts w:ascii="Times New Roman" w:hAnsi="Times New Roman" w:cs="Times New Roman"/>
          <w:sz w:val="24"/>
          <w:szCs w:val="24"/>
        </w:rPr>
        <w:t xml:space="preserve">The AKP </w:t>
      </w:r>
      <w:r w:rsidR="00573EE6">
        <w:rPr>
          <w:rFonts w:ascii="Times New Roman" w:hAnsi="Times New Roman" w:cs="Times New Roman"/>
          <w:sz w:val="24"/>
          <w:szCs w:val="24"/>
        </w:rPr>
        <w:t>D</w:t>
      </w:r>
      <w:r w:rsidR="00573EE6" w:rsidRPr="00516213">
        <w:rPr>
          <w:rFonts w:ascii="Times New Roman" w:hAnsi="Times New Roman" w:cs="Times New Roman"/>
          <w:sz w:val="24"/>
          <w:szCs w:val="24"/>
        </w:rPr>
        <w:t xml:space="preserve">eputy </w:t>
      </w:r>
      <w:r w:rsidR="0029393E" w:rsidRPr="00516213">
        <w:rPr>
          <w:rFonts w:ascii="Times New Roman" w:hAnsi="Times New Roman" w:cs="Times New Roman"/>
          <w:sz w:val="24"/>
          <w:szCs w:val="24"/>
        </w:rPr>
        <w:t xml:space="preserve">Prime Minister, </w:t>
      </w:r>
      <w:proofErr w:type="spellStart"/>
      <w:r w:rsidR="0029393E" w:rsidRPr="00516213">
        <w:rPr>
          <w:rFonts w:ascii="Times New Roman" w:hAnsi="Times New Roman" w:cs="Times New Roman"/>
          <w:sz w:val="24"/>
          <w:szCs w:val="24"/>
        </w:rPr>
        <w:t>Numan</w:t>
      </w:r>
      <w:proofErr w:type="spellEnd"/>
      <w:r w:rsidR="0029393E" w:rsidRPr="00516213">
        <w:rPr>
          <w:rFonts w:ascii="Times New Roman" w:hAnsi="Times New Roman" w:cs="Times New Roman"/>
          <w:sz w:val="24"/>
          <w:szCs w:val="24"/>
        </w:rPr>
        <w:t xml:space="preserve"> </w:t>
      </w:r>
      <w:proofErr w:type="spellStart"/>
      <w:r w:rsidR="0029393E" w:rsidRPr="00516213">
        <w:rPr>
          <w:rFonts w:ascii="Times New Roman" w:hAnsi="Times New Roman" w:cs="Times New Roman"/>
          <w:sz w:val="24"/>
          <w:szCs w:val="24"/>
        </w:rPr>
        <w:t>Kurtulmuş</w:t>
      </w:r>
      <w:proofErr w:type="spellEnd"/>
      <w:r w:rsidR="0029393E" w:rsidRPr="00516213">
        <w:rPr>
          <w:rFonts w:ascii="Times New Roman" w:hAnsi="Times New Roman" w:cs="Times New Roman"/>
          <w:sz w:val="24"/>
          <w:szCs w:val="24"/>
        </w:rPr>
        <w:t>,</w:t>
      </w:r>
      <w:r w:rsidR="00C23A40" w:rsidRPr="00516213">
        <w:rPr>
          <w:rFonts w:ascii="Times New Roman" w:hAnsi="Times New Roman" w:cs="Times New Roman"/>
          <w:sz w:val="24"/>
          <w:szCs w:val="24"/>
        </w:rPr>
        <w:t xml:space="preserve"> agreed and now began to</w:t>
      </w:r>
      <w:r w:rsidR="0029393E" w:rsidRPr="00516213">
        <w:rPr>
          <w:rFonts w:ascii="Times New Roman" w:hAnsi="Times New Roman" w:cs="Times New Roman"/>
          <w:sz w:val="24"/>
          <w:szCs w:val="24"/>
        </w:rPr>
        <w:t xml:space="preserve"> argue that the </w:t>
      </w:r>
      <w:proofErr w:type="spellStart"/>
      <w:r w:rsidR="0029393E" w:rsidRPr="00516213">
        <w:rPr>
          <w:rFonts w:ascii="Times New Roman" w:hAnsi="Times New Roman" w:cs="Times New Roman"/>
          <w:sz w:val="24"/>
          <w:szCs w:val="24"/>
        </w:rPr>
        <w:t>SoE</w:t>
      </w:r>
      <w:proofErr w:type="spellEnd"/>
      <w:r w:rsidR="0029393E" w:rsidRPr="00516213">
        <w:rPr>
          <w:rFonts w:ascii="Times New Roman" w:hAnsi="Times New Roman" w:cs="Times New Roman"/>
          <w:sz w:val="24"/>
          <w:szCs w:val="24"/>
        </w:rPr>
        <w:t xml:space="preserve"> </w:t>
      </w:r>
      <w:r w:rsidR="00C23A40" w:rsidRPr="00516213">
        <w:rPr>
          <w:rFonts w:ascii="Times New Roman" w:hAnsi="Times New Roman" w:cs="Times New Roman"/>
          <w:sz w:val="24"/>
          <w:szCs w:val="24"/>
        </w:rPr>
        <w:t>should be a</w:t>
      </w:r>
      <w:r w:rsidR="0029393E" w:rsidRPr="00516213">
        <w:rPr>
          <w:rFonts w:ascii="Times New Roman" w:hAnsi="Times New Roman" w:cs="Times New Roman"/>
          <w:sz w:val="24"/>
          <w:szCs w:val="24"/>
        </w:rPr>
        <w:t>bout protecting Turkey from terrorism by FETÖ, the PKK, ISIS, and leftists (TBMM 3 January 2017).</w:t>
      </w:r>
    </w:p>
    <w:p w14:paraId="52EC9001" w14:textId="1D878404" w:rsidR="00CF6A77" w:rsidRPr="00516213" w:rsidRDefault="00CF6A77" w:rsidP="000D373E">
      <w:pPr>
        <w:spacing w:line="360" w:lineRule="auto"/>
        <w:ind w:firstLine="720"/>
        <w:jc w:val="both"/>
        <w:rPr>
          <w:rFonts w:ascii="Times New Roman" w:hAnsi="Times New Roman" w:cs="Times New Roman"/>
          <w:sz w:val="24"/>
          <w:szCs w:val="24"/>
        </w:rPr>
      </w:pPr>
      <w:r w:rsidRPr="00516213">
        <w:rPr>
          <w:rFonts w:ascii="Times New Roman" w:eastAsiaTheme="majorEastAsia" w:hAnsi="Times New Roman" w:cs="Times New Roman"/>
          <w:bCs/>
          <w:sz w:val="24"/>
          <w:szCs w:val="24"/>
        </w:rPr>
        <w:t xml:space="preserve">Soon, </w:t>
      </w:r>
      <w:r w:rsidR="00EA6ED0" w:rsidRPr="00516213">
        <w:rPr>
          <w:rFonts w:ascii="Times New Roman" w:eastAsiaTheme="majorEastAsia" w:hAnsi="Times New Roman" w:cs="Times New Roman"/>
          <w:bCs/>
          <w:sz w:val="24"/>
          <w:szCs w:val="24"/>
        </w:rPr>
        <w:t xml:space="preserve">requests </w:t>
      </w:r>
      <w:r w:rsidRPr="00516213">
        <w:rPr>
          <w:rFonts w:ascii="Times New Roman" w:hAnsi="Times New Roman" w:cs="Times New Roman"/>
          <w:sz w:val="24"/>
          <w:szCs w:val="24"/>
        </w:rPr>
        <w:t xml:space="preserve">to extend emergency rule were being justified by the government as necessary ‘to fight the Fethullah Terror Organisation, </w:t>
      </w:r>
      <w:r w:rsidR="00EA6ED0" w:rsidRPr="00516213">
        <w:rPr>
          <w:rFonts w:ascii="Times New Roman" w:hAnsi="Times New Roman" w:cs="Times New Roman"/>
          <w:sz w:val="24"/>
          <w:szCs w:val="24"/>
        </w:rPr>
        <w:t xml:space="preserve">the </w:t>
      </w:r>
      <w:r w:rsidRPr="00516213">
        <w:rPr>
          <w:rFonts w:ascii="Times New Roman" w:hAnsi="Times New Roman" w:cs="Times New Roman"/>
          <w:sz w:val="24"/>
          <w:szCs w:val="24"/>
        </w:rPr>
        <w:t xml:space="preserve">separatist terror </w:t>
      </w:r>
      <w:r w:rsidR="00735F75" w:rsidRPr="00516213">
        <w:rPr>
          <w:rFonts w:ascii="Times New Roman" w:hAnsi="Times New Roman" w:cs="Times New Roman"/>
          <w:sz w:val="24"/>
          <w:szCs w:val="24"/>
        </w:rPr>
        <w:t>organi</w:t>
      </w:r>
      <w:r w:rsidR="00735F75">
        <w:rPr>
          <w:rFonts w:ascii="Times New Roman" w:hAnsi="Times New Roman" w:cs="Times New Roman"/>
          <w:sz w:val="24"/>
          <w:szCs w:val="24"/>
        </w:rPr>
        <w:t>z</w:t>
      </w:r>
      <w:r w:rsidR="00735F75" w:rsidRPr="00516213">
        <w:rPr>
          <w:rFonts w:ascii="Times New Roman" w:hAnsi="Times New Roman" w:cs="Times New Roman"/>
          <w:sz w:val="24"/>
          <w:szCs w:val="24"/>
        </w:rPr>
        <w:t xml:space="preserve">ation </w:t>
      </w:r>
      <w:r w:rsidRPr="00516213">
        <w:rPr>
          <w:rFonts w:ascii="Times New Roman" w:hAnsi="Times New Roman" w:cs="Times New Roman"/>
          <w:sz w:val="24"/>
          <w:szCs w:val="24"/>
        </w:rPr>
        <w:t>PKK</w:t>
      </w:r>
      <w:r w:rsidR="00EA6ED0" w:rsidRPr="00516213">
        <w:rPr>
          <w:rFonts w:ascii="Times New Roman" w:hAnsi="Times New Roman" w:cs="Times New Roman"/>
          <w:sz w:val="24"/>
          <w:szCs w:val="24"/>
        </w:rPr>
        <w:t>,</w:t>
      </w:r>
      <w:r w:rsidRPr="00516213">
        <w:rPr>
          <w:rFonts w:ascii="Times New Roman" w:hAnsi="Times New Roman" w:cs="Times New Roman"/>
          <w:sz w:val="24"/>
          <w:szCs w:val="24"/>
        </w:rPr>
        <w:t xml:space="preserve"> as well as all other terrorists in a speedy, efficient and decisive manner’ (TB</w:t>
      </w:r>
      <w:r w:rsidR="00CB1D6E" w:rsidRPr="00516213">
        <w:rPr>
          <w:rFonts w:ascii="Times New Roman" w:hAnsi="Times New Roman" w:cs="Times New Roman"/>
          <w:sz w:val="24"/>
          <w:szCs w:val="24"/>
        </w:rPr>
        <w:t>MM 18 April 2017; TBMM 17 July 2017</w:t>
      </w:r>
      <w:r w:rsidRPr="00516213">
        <w:rPr>
          <w:rFonts w:ascii="Times New Roman" w:hAnsi="Times New Roman" w:cs="Times New Roman"/>
          <w:sz w:val="24"/>
          <w:szCs w:val="24"/>
        </w:rPr>
        <w:t xml:space="preserve">). The expansion was tenuously justified as necessary because although </w:t>
      </w:r>
      <w:r w:rsidR="000C5322">
        <w:rPr>
          <w:rFonts w:ascii="Times New Roman" w:hAnsi="Times New Roman" w:cs="Times New Roman"/>
          <w:sz w:val="24"/>
          <w:szCs w:val="24"/>
        </w:rPr>
        <w:t>FETÖ led the coup</w:t>
      </w:r>
      <w:r w:rsidRPr="00516213">
        <w:rPr>
          <w:rFonts w:ascii="Times New Roman" w:hAnsi="Times New Roman" w:cs="Times New Roman"/>
          <w:sz w:val="24"/>
          <w:szCs w:val="24"/>
        </w:rPr>
        <w:t xml:space="preserve">, other terrorist groups were now trying to take advantage of the chaos in the aftermath of the failed coup attempt. </w:t>
      </w:r>
      <w:r w:rsidRPr="00516213">
        <w:rPr>
          <w:rFonts w:ascii="Times New Roman" w:eastAsiaTheme="majorEastAsia" w:hAnsi="Times New Roman" w:cs="Times New Roman"/>
          <w:bCs/>
          <w:sz w:val="24"/>
          <w:szCs w:val="24"/>
        </w:rPr>
        <w:t>In further rounds of parliamentary talks</w:t>
      </w:r>
      <w:r w:rsidR="009E0DDD" w:rsidRPr="00516213">
        <w:rPr>
          <w:rFonts w:ascii="Times New Roman" w:eastAsiaTheme="majorEastAsia" w:hAnsi="Times New Roman" w:cs="Times New Roman"/>
          <w:bCs/>
          <w:sz w:val="24"/>
          <w:szCs w:val="24"/>
        </w:rPr>
        <w:t xml:space="preserve"> on the renewal of the </w:t>
      </w:r>
      <w:proofErr w:type="spellStart"/>
      <w:r w:rsidR="009E0DDD" w:rsidRPr="00516213">
        <w:rPr>
          <w:rFonts w:ascii="Times New Roman" w:eastAsiaTheme="majorEastAsia" w:hAnsi="Times New Roman" w:cs="Times New Roman"/>
          <w:bCs/>
          <w:sz w:val="24"/>
          <w:szCs w:val="24"/>
        </w:rPr>
        <w:t>SoE</w:t>
      </w:r>
      <w:proofErr w:type="spellEnd"/>
      <w:r w:rsidRPr="00516213">
        <w:rPr>
          <w:rFonts w:ascii="Times New Roman" w:eastAsiaTheme="majorEastAsia" w:hAnsi="Times New Roman" w:cs="Times New Roman"/>
          <w:bCs/>
          <w:sz w:val="24"/>
          <w:szCs w:val="24"/>
        </w:rPr>
        <w:t>, Kurdish activism in Syria and border security issues were added to the repertoire of imminent threats. As one deputy argued</w:t>
      </w:r>
      <w:r w:rsidR="00EA6ED0" w:rsidRPr="00516213">
        <w:rPr>
          <w:rFonts w:ascii="Times New Roman" w:eastAsiaTheme="majorEastAsia" w:hAnsi="Times New Roman" w:cs="Times New Roman"/>
          <w:bCs/>
          <w:sz w:val="24"/>
          <w:szCs w:val="24"/>
        </w:rPr>
        <w:t>,</w:t>
      </w:r>
      <w:r w:rsidR="001D2D07" w:rsidRPr="00516213">
        <w:rPr>
          <w:rFonts w:ascii="Times New Roman" w:eastAsiaTheme="majorEastAsia" w:hAnsi="Times New Roman" w:cs="Times New Roman"/>
          <w:bCs/>
          <w:sz w:val="24"/>
          <w:szCs w:val="24"/>
        </w:rPr>
        <w:t xml:space="preserve"> ‘w</w:t>
      </w:r>
      <w:r w:rsidRPr="00516213">
        <w:rPr>
          <w:rFonts w:ascii="Times New Roman" w:eastAsiaTheme="majorEastAsia" w:hAnsi="Times New Roman" w:cs="Times New Roman"/>
          <w:bCs/>
          <w:sz w:val="24"/>
          <w:szCs w:val="24"/>
        </w:rPr>
        <w:t xml:space="preserve">e have to acknowledge that these all pose exceptional national security threats against our country. </w:t>
      </w:r>
      <w:r w:rsidR="000C5322" w:rsidRPr="00516213">
        <w:rPr>
          <w:rFonts w:ascii="Times New Roman" w:eastAsiaTheme="majorEastAsia" w:hAnsi="Times New Roman" w:cs="Times New Roman"/>
          <w:bCs/>
          <w:sz w:val="24"/>
          <w:szCs w:val="24"/>
        </w:rPr>
        <w:t>That</w:t>
      </w:r>
      <w:r w:rsidR="000C5322">
        <w:rPr>
          <w:rFonts w:ascii="Times New Roman" w:eastAsiaTheme="majorEastAsia" w:hAnsi="Times New Roman" w:cs="Times New Roman"/>
          <w:bCs/>
          <w:sz w:val="24"/>
          <w:szCs w:val="24"/>
        </w:rPr>
        <w:t xml:space="preserve"> i</w:t>
      </w:r>
      <w:r w:rsidR="000C5322" w:rsidRPr="00516213">
        <w:rPr>
          <w:rFonts w:ascii="Times New Roman" w:eastAsiaTheme="majorEastAsia" w:hAnsi="Times New Roman" w:cs="Times New Roman"/>
          <w:bCs/>
          <w:sz w:val="24"/>
          <w:szCs w:val="24"/>
        </w:rPr>
        <w:t xml:space="preserve">s </w:t>
      </w:r>
      <w:r w:rsidRPr="00516213">
        <w:rPr>
          <w:rFonts w:ascii="Times New Roman" w:eastAsiaTheme="majorEastAsia" w:hAnsi="Times New Roman" w:cs="Times New Roman"/>
          <w:bCs/>
          <w:sz w:val="24"/>
          <w:szCs w:val="24"/>
        </w:rPr>
        <w:t xml:space="preserve">why we must avail ourselves of the opportunities presented by the state of emergency to fight the terror </w:t>
      </w:r>
      <w:r w:rsidR="00735F75" w:rsidRPr="00516213">
        <w:rPr>
          <w:rFonts w:ascii="Times New Roman" w:eastAsiaTheme="majorEastAsia" w:hAnsi="Times New Roman" w:cs="Times New Roman"/>
          <w:bCs/>
          <w:sz w:val="24"/>
          <w:szCs w:val="24"/>
        </w:rPr>
        <w:t>organi</w:t>
      </w:r>
      <w:r w:rsidR="00735F75">
        <w:rPr>
          <w:rFonts w:ascii="Times New Roman" w:eastAsiaTheme="majorEastAsia" w:hAnsi="Times New Roman" w:cs="Times New Roman"/>
          <w:bCs/>
          <w:sz w:val="24"/>
          <w:szCs w:val="24"/>
        </w:rPr>
        <w:t>z</w:t>
      </w:r>
      <w:r w:rsidR="00735F75" w:rsidRPr="00516213">
        <w:rPr>
          <w:rFonts w:ascii="Times New Roman" w:eastAsiaTheme="majorEastAsia" w:hAnsi="Times New Roman" w:cs="Times New Roman"/>
          <w:bCs/>
          <w:sz w:val="24"/>
          <w:szCs w:val="24"/>
        </w:rPr>
        <w:t xml:space="preserve">ations </w:t>
      </w:r>
      <w:r w:rsidRPr="00516213">
        <w:rPr>
          <w:rFonts w:ascii="Times New Roman" w:eastAsiaTheme="majorEastAsia" w:hAnsi="Times New Roman" w:cs="Times New Roman"/>
          <w:bCs/>
          <w:sz w:val="24"/>
          <w:szCs w:val="24"/>
        </w:rPr>
        <w:t>spilling over into Turkey’</w:t>
      </w:r>
      <w:r w:rsidR="00D82DEC" w:rsidRPr="00516213">
        <w:rPr>
          <w:rFonts w:ascii="Times New Roman" w:eastAsiaTheme="majorEastAsia" w:hAnsi="Times New Roman" w:cs="Times New Roman"/>
          <w:bCs/>
          <w:sz w:val="24"/>
          <w:szCs w:val="24"/>
        </w:rPr>
        <w:t xml:space="preserve"> (TBMM 18 April 201</w:t>
      </w:r>
      <w:r w:rsidR="0029393E" w:rsidRPr="00516213">
        <w:rPr>
          <w:rFonts w:ascii="Times New Roman" w:eastAsiaTheme="majorEastAsia" w:hAnsi="Times New Roman" w:cs="Times New Roman"/>
          <w:bCs/>
          <w:sz w:val="24"/>
          <w:szCs w:val="24"/>
        </w:rPr>
        <w:t>7</w:t>
      </w:r>
      <w:r w:rsidRPr="00516213">
        <w:rPr>
          <w:rFonts w:ascii="Times New Roman" w:eastAsiaTheme="majorEastAsia" w:hAnsi="Times New Roman" w:cs="Times New Roman"/>
          <w:bCs/>
          <w:sz w:val="24"/>
          <w:szCs w:val="24"/>
        </w:rPr>
        <w:t>).</w:t>
      </w:r>
    </w:p>
    <w:p w14:paraId="585D4C61" w14:textId="08092C5E" w:rsidR="00CF6A77" w:rsidRPr="00516213" w:rsidRDefault="00CF6A77" w:rsidP="000D373E">
      <w:pPr>
        <w:spacing w:line="360" w:lineRule="auto"/>
        <w:ind w:firstLine="720"/>
        <w:jc w:val="both"/>
        <w:rPr>
          <w:rFonts w:ascii="Times New Roman" w:hAnsi="Times New Roman" w:cs="Times New Roman"/>
          <w:sz w:val="24"/>
          <w:szCs w:val="24"/>
        </w:rPr>
      </w:pPr>
      <w:r w:rsidRPr="00516213">
        <w:rPr>
          <w:rFonts w:ascii="Times New Roman" w:hAnsi="Times New Roman" w:cs="Times New Roman"/>
          <w:sz w:val="24"/>
          <w:szCs w:val="24"/>
        </w:rPr>
        <w:t>When coming under criticism for this expansion and the erosion of liberties that emergency rule entailed, it was defended using the notion of secu</w:t>
      </w:r>
      <w:r w:rsidR="00CA4FBB" w:rsidRPr="00516213">
        <w:rPr>
          <w:rFonts w:ascii="Times New Roman" w:hAnsi="Times New Roman" w:cs="Times New Roman"/>
          <w:sz w:val="24"/>
          <w:szCs w:val="24"/>
        </w:rPr>
        <w:t xml:space="preserve">rity first </w:t>
      </w:r>
      <w:r w:rsidR="000C5322">
        <w:rPr>
          <w:rFonts w:ascii="Times New Roman" w:hAnsi="Times New Roman" w:cs="Times New Roman"/>
          <w:sz w:val="24"/>
          <w:szCs w:val="24"/>
        </w:rPr>
        <w:t xml:space="preserve">and </w:t>
      </w:r>
      <w:r w:rsidR="00CA4FBB" w:rsidRPr="00516213">
        <w:rPr>
          <w:rFonts w:ascii="Times New Roman" w:hAnsi="Times New Roman" w:cs="Times New Roman"/>
          <w:sz w:val="24"/>
          <w:szCs w:val="24"/>
        </w:rPr>
        <w:t xml:space="preserve">rights later. As </w:t>
      </w:r>
      <w:r w:rsidR="009262C3" w:rsidRPr="00516213">
        <w:rPr>
          <w:rFonts w:ascii="Times New Roman" w:hAnsi="Times New Roman" w:cs="Times New Roman"/>
          <w:sz w:val="24"/>
          <w:szCs w:val="24"/>
        </w:rPr>
        <w:t>one</w:t>
      </w:r>
      <w:r w:rsidRPr="00516213">
        <w:rPr>
          <w:rFonts w:ascii="Times New Roman" w:hAnsi="Times New Roman" w:cs="Times New Roman"/>
          <w:sz w:val="24"/>
          <w:szCs w:val="24"/>
        </w:rPr>
        <w:t xml:space="preserve"> MHP </w:t>
      </w:r>
      <w:r w:rsidR="00CA4FBB" w:rsidRPr="00516213">
        <w:rPr>
          <w:rFonts w:ascii="Times New Roman" w:hAnsi="Times New Roman" w:cs="Times New Roman"/>
          <w:sz w:val="24"/>
          <w:szCs w:val="24"/>
        </w:rPr>
        <w:t xml:space="preserve">deputy </w:t>
      </w:r>
      <w:r w:rsidRPr="00516213">
        <w:rPr>
          <w:rFonts w:ascii="Times New Roman" w:hAnsi="Times New Roman" w:cs="Times New Roman"/>
          <w:sz w:val="24"/>
          <w:szCs w:val="24"/>
        </w:rPr>
        <w:t>stated, ‘as a constitutional practice, [emergency rule] is legal and legitimate</w:t>
      </w:r>
      <w:r w:rsidR="000C5322">
        <w:rPr>
          <w:rFonts w:ascii="Times New Roman" w:hAnsi="Times New Roman" w:cs="Times New Roman"/>
          <w:sz w:val="24"/>
          <w:szCs w:val="24"/>
        </w:rPr>
        <w:t xml:space="preserve"> (</w:t>
      </w:r>
      <w:r w:rsidRPr="00516213">
        <w:rPr>
          <w:rFonts w:ascii="Times New Roman" w:hAnsi="Times New Roman" w:cs="Times New Roman"/>
          <w:sz w:val="24"/>
          <w:szCs w:val="24"/>
        </w:rPr>
        <w:t>…</w:t>
      </w:r>
      <w:r w:rsidR="000C5322">
        <w:rPr>
          <w:rFonts w:ascii="Times New Roman" w:hAnsi="Times New Roman" w:cs="Times New Roman"/>
          <w:sz w:val="24"/>
          <w:szCs w:val="24"/>
        </w:rPr>
        <w:t>).</w:t>
      </w:r>
      <w:r w:rsidRPr="00516213">
        <w:rPr>
          <w:rFonts w:ascii="Times New Roman" w:hAnsi="Times New Roman" w:cs="Times New Roman"/>
          <w:sz w:val="24"/>
          <w:szCs w:val="24"/>
        </w:rPr>
        <w:t xml:space="preserve"> Our priority is to build security. If we cannot provide security, we cannot establish justice, build the rule of law</w:t>
      </w:r>
      <w:r w:rsidR="006A2F15">
        <w:rPr>
          <w:rFonts w:ascii="Times New Roman" w:hAnsi="Times New Roman" w:cs="Times New Roman"/>
          <w:sz w:val="24"/>
          <w:szCs w:val="24"/>
        </w:rPr>
        <w:t>,</w:t>
      </w:r>
      <w:r w:rsidR="006A2F15" w:rsidRPr="00516213">
        <w:rPr>
          <w:rFonts w:ascii="Times New Roman" w:hAnsi="Times New Roman" w:cs="Times New Roman"/>
          <w:sz w:val="24"/>
          <w:szCs w:val="24"/>
        </w:rPr>
        <w:t xml:space="preserve"> </w:t>
      </w:r>
      <w:r w:rsidRPr="00516213">
        <w:rPr>
          <w:rFonts w:ascii="Times New Roman" w:hAnsi="Times New Roman" w:cs="Times New Roman"/>
          <w:sz w:val="24"/>
          <w:szCs w:val="24"/>
        </w:rPr>
        <w:t>we cannot progress</w:t>
      </w:r>
      <w:r w:rsidR="006A2F15">
        <w:rPr>
          <w:rFonts w:ascii="Times New Roman" w:hAnsi="Times New Roman" w:cs="Times New Roman"/>
          <w:sz w:val="24"/>
          <w:szCs w:val="24"/>
        </w:rPr>
        <w:t>,</w:t>
      </w:r>
      <w:r w:rsidRPr="00516213">
        <w:rPr>
          <w:rFonts w:ascii="Times New Roman" w:hAnsi="Times New Roman" w:cs="Times New Roman"/>
          <w:sz w:val="24"/>
          <w:szCs w:val="24"/>
        </w:rPr>
        <w:t xml:space="preserve"> we cannot eliminate the problems in our democracy. If we cannot ensure our security, it is not possible to establish human rights and freedoms’ (TBMM 17 October 2017).</w:t>
      </w:r>
    </w:p>
    <w:p w14:paraId="0E481329" w14:textId="01E8775A" w:rsidR="00CF6A77" w:rsidRPr="00516213" w:rsidRDefault="00CF6A77" w:rsidP="000D373E">
      <w:pPr>
        <w:spacing w:line="360" w:lineRule="auto"/>
        <w:ind w:firstLine="720"/>
        <w:jc w:val="both"/>
        <w:rPr>
          <w:rFonts w:ascii="Times New Roman" w:hAnsi="Times New Roman" w:cs="Times New Roman"/>
          <w:sz w:val="24"/>
          <w:szCs w:val="24"/>
        </w:rPr>
      </w:pPr>
      <w:r w:rsidRPr="00516213">
        <w:rPr>
          <w:rFonts w:ascii="Times New Roman" w:hAnsi="Times New Roman" w:cs="Times New Roman"/>
          <w:sz w:val="24"/>
          <w:szCs w:val="24"/>
        </w:rPr>
        <w:t xml:space="preserve">The framing </w:t>
      </w:r>
      <w:r w:rsidR="00543999" w:rsidRPr="00516213">
        <w:rPr>
          <w:rFonts w:ascii="Times New Roman" w:hAnsi="Times New Roman" w:cs="Times New Roman"/>
          <w:sz w:val="24"/>
          <w:szCs w:val="24"/>
        </w:rPr>
        <w:t xml:space="preserve">of </w:t>
      </w:r>
      <w:r w:rsidRPr="00516213">
        <w:rPr>
          <w:rFonts w:ascii="Times New Roman" w:hAnsi="Times New Roman" w:cs="Times New Roman"/>
          <w:sz w:val="24"/>
          <w:szCs w:val="24"/>
        </w:rPr>
        <w:t xml:space="preserve">the </w:t>
      </w:r>
      <w:proofErr w:type="spellStart"/>
      <w:r w:rsidR="009E0DDD" w:rsidRPr="00516213">
        <w:rPr>
          <w:rFonts w:ascii="Times New Roman" w:hAnsi="Times New Roman" w:cs="Times New Roman"/>
          <w:sz w:val="24"/>
          <w:szCs w:val="24"/>
        </w:rPr>
        <w:t>SoE</w:t>
      </w:r>
      <w:proofErr w:type="spellEnd"/>
      <w:r w:rsidR="009E0DDD" w:rsidRPr="00516213">
        <w:rPr>
          <w:rFonts w:ascii="Times New Roman" w:hAnsi="Times New Roman" w:cs="Times New Roman"/>
          <w:sz w:val="24"/>
          <w:szCs w:val="24"/>
        </w:rPr>
        <w:t xml:space="preserve"> </w:t>
      </w:r>
      <w:r w:rsidRPr="00516213">
        <w:rPr>
          <w:rFonts w:ascii="Times New Roman" w:hAnsi="Times New Roman" w:cs="Times New Roman"/>
          <w:sz w:val="24"/>
          <w:szCs w:val="24"/>
        </w:rPr>
        <w:t xml:space="preserve">as a response to </w:t>
      </w:r>
      <w:r w:rsidR="00735F75" w:rsidRPr="00516213">
        <w:rPr>
          <w:rFonts w:ascii="Times New Roman" w:hAnsi="Times New Roman" w:cs="Times New Roman"/>
          <w:sz w:val="24"/>
          <w:szCs w:val="24"/>
        </w:rPr>
        <w:t>generali</w:t>
      </w:r>
      <w:r w:rsidR="00735F75">
        <w:rPr>
          <w:rFonts w:ascii="Times New Roman" w:hAnsi="Times New Roman" w:cs="Times New Roman"/>
          <w:sz w:val="24"/>
          <w:szCs w:val="24"/>
        </w:rPr>
        <w:t>z</w:t>
      </w:r>
      <w:r w:rsidR="00735F75" w:rsidRPr="00516213">
        <w:rPr>
          <w:rFonts w:ascii="Times New Roman" w:hAnsi="Times New Roman" w:cs="Times New Roman"/>
          <w:sz w:val="24"/>
          <w:szCs w:val="24"/>
        </w:rPr>
        <w:t xml:space="preserve">ed </w:t>
      </w:r>
      <w:r w:rsidRPr="00516213">
        <w:rPr>
          <w:rFonts w:ascii="Times New Roman" w:hAnsi="Times New Roman" w:cs="Times New Roman"/>
          <w:sz w:val="24"/>
          <w:szCs w:val="24"/>
        </w:rPr>
        <w:t>terroris</w:t>
      </w:r>
      <w:r w:rsidR="00440192" w:rsidRPr="00516213">
        <w:rPr>
          <w:rFonts w:ascii="Times New Roman" w:hAnsi="Times New Roman" w:cs="Times New Roman"/>
          <w:sz w:val="24"/>
          <w:szCs w:val="24"/>
        </w:rPr>
        <w:t xml:space="preserve">t threats </w:t>
      </w:r>
      <w:r w:rsidRPr="00516213">
        <w:rPr>
          <w:rFonts w:ascii="Times New Roman" w:hAnsi="Times New Roman" w:cs="Times New Roman"/>
          <w:sz w:val="24"/>
          <w:szCs w:val="24"/>
        </w:rPr>
        <w:t xml:space="preserve">enabled the AKP to use emergency rule to build on existing ordinary </w:t>
      </w:r>
      <w:r w:rsidR="00440192" w:rsidRPr="00516213">
        <w:rPr>
          <w:rFonts w:ascii="Times New Roman" w:hAnsi="Times New Roman" w:cs="Times New Roman"/>
          <w:sz w:val="24"/>
          <w:szCs w:val="24"/>
        </w:rPr>
        <w:t xml:space="preserve">legislation </w:t>
      </w:r>
      <w:r w:rsidRPr="00516213">
        <w:rPr>
          <w:rFonts w:ascii="Times New Roman" w:hAnsi="Times New Roman" w:cs="Times New Roman"/>
          <w:sz w:val="24"/>
          <w:szCs w:val="24"/>
        </w:rPr>
        <w:t xml:space="preserve">they had </w:t>
      </w:r>
      <w:r w:rsidR="00440192" w:rsidRPr="00516213">
        <w:rPr>
          <w:rFonts w:ascii="Times New Roman" w:hAnsi="Times New Roman" w:cs="Times New Roman"/>
          <w:sz w:val="24"/>
          <w:szCs w:val="24"/>
        </w:rPr>
        <w:t xml:space="preserve">introduced </w:t>
      </w:r>
      <w:r w:rsidRPr="00516213">
        <w:rPr>
          <w:rFonts w:ascii="Times New Roman" w:hAnsi="Times New Roman" w:cs="Times New Roman"/>
          <w:sz w:val="24"/>
          <w:szCs w:val="24"/>
        </w:rPr>
        <w:t xml:space="preserve">over </w:t>
      </w:r>
      <w:r w:rsidR="00440192" w:rsidRPr="00516213">
        <w:rPr>
          <w:rFonts w:ascii="Times New Roman" w:hAnsi="Times New Roman" w:cs="Times New Roman"/>
          <w:sz w:val="24"/>
          <w:szCs w:val="24"/>
        </w:rPr>
        <w:t xml:space="preserve">the previous </w:t>
      </w:r>
      <w:r w:rsidRPr="00516213">
        <w:rPr>
          <w:rFonts w:ascii="Times New Roman" w:hAnsi="Times New Roman" w:cs="Times New Roman"/>
          <w:sz w:val="24"/>
          <w:szCs w:val="24"/>
        </w:rPr>
        <w:t>few years that already targeted</w:t>
      </w:r>
      <w:r w:rsidR="009262C3" w:rsidRPr="00516213">
        <w:rPr>
          <w:rFonts w:ascii="Times New Roman" w:hAnsi="Times New Roman" w:cs="Times New Roman"/>
          <w:sz w:val="24"/>
          <w:szCs w:val="24"/>
        </w:rPr>
        <w:t xml:space="preserve"> rights, liberties, and </w:t>
      </w:r>
      <w:r w:rsidRPr="00516213">
        <w:rPr>
          <w:rFonts w:ascii="Times New Roman" w:hAnsi="Times New Roman" w:cs="Times New Roman"/>
          <w:sz w:val="24"/>
          <w:szCs w:val="24"/>
        </w:rPr>
        <w:t xml:space="preserve">Kurdish political activism. Since coming to power, the AKP’s commitment to rights and liberties </w:t>
      </w:r>
      <w:r w:rsidR="006A2F15" w:rsidRPr="00516213">
        <w:rPr>
          <w:rFonts w:ascii="Times New Roman" w:hAnsi="Times New Roman" w:cs="Times New Roman"/>
          <w:sz w:val="24"/>
          <w:szCs w:val="24"/>
        </w:rPr>
        <w:t>ha</w:t>
      </w:r>
      <w:r w:rsidR="006A2F15">
        <w:rPr>
          <w:rFonts w:ascii="Times New Roman" w:hAnsi="Times New Roman" w:cs="Times New Roman"/>
          <w:sz w:val="24"/>
          <w:szCs w:val="24"/>
        </w:rPr>
        <w:t>s</w:t>
      </w:r>
      <w:r w:rsidR="006A2F15" w:rsidRPr="00516213">
        <w:rPr>
          <w:rFonts w:ascii="Times New Roman" w:hAnsi="Times New Roman" w:cs="Times New Roman"/>
          <w:sz w:val="24"/>
          <w:szCs w:val="24"/>
        </w:rPr>
        <w:t xml:space="preserve"> </w:t>
      </w:r>
      <w:r w:rsidRPr="00516213">
        <w:rPr>
          <w:rFonts w:ascii="Times New Roman" w:hAnsi="Times New Roman" w:cs="Times New Roman"/>
          <w:sz w:val="24"/>
          <w:szCs w:val="24"/>
        </w:rPr>
        <w:t>been in doubt (</w:t>
      </w:r>
      <w:proofErr w:type="spellStart"/>
      <w:r w:rsidRPr="00516213">
        <w:rPr>
          <w:rFonts w:ascii="Times New Roman" w:hAnsi="Times New Roman" w:cs="Times New Roman"/>
          <w:sz w:val="24"/>
          <w:szCs w:val="24"/>
        </w:rPr>
        <w:t>Turam</w:t>
      </w:r>
      <w:proofErr w:type="spellEnd"/>
      <w:r w:rsidRPr="00516213">
        <w:rPr>
          <w:rFonts w:ascii="Times New Roman" w:hAnsi="Times New Roman" w:cs="Times New Roman"/>
          <w:sz w:val="24"/>
          <w:szCs w:val="24"/>
        </w:rPr>
        <w:t xml:space="preserve"> 2012). The AKP had also been engaged in a long-standing and steady process of concentrating executive power</w:t>
      </w:r>
      <w:r w:rsidR="00440192" w:rsidRPr="00516213">
        <w:rPr>
          <w:rFonts w:ascii="Times New Roman" w:hAnsi="Times New Roman" w:cs="Times New Roman"/>
          <w:sz w:val="24"/>
          <w:szCs w:val="24"/>
        </w:rPr>
        <w:t xml:space="preserve"> and</w:t>
      </w:r>
      <w:r w:rsidRPr="00516213">
        <w:rPr>
          <w:rFonts w:ascii="Times New Roman" w:hAnsi="Times New Roman" w:cs="Times New Roman"/>
          <w:sz w:val="24"/>
          <w:szCs w:val="24"/>
        </w:rPr>
        <w:t xml:space="preserve"> eroding checks and balanc</w:t>
      </w:r>
      <w:r w:rsidR="001D2D07" w:rsidRPr="00516213">
        <w:rPr>
          <w:rFonts w:ascii="Times New Roman" w:hAnsi="Times New Roman" w:cs="Times New Roman"/>
          <w:sz w:val="24"/>
          <w:szCs w:val="24"/>
        </w:rPr>
        <w:t>es (</w:t>
      </w:r>
      <w:proofErr w:type="spellStart"/>
      <w:r w:rsidR="001D2D07" w:rsidRPr="00516213">
        <w:rPr>
          <w:rFonts w:ascii="Times New Roman" w:hAnsi="Times New Roman" w:cs="Times New Roman"/>
          <w:sz w:val="24"/>
          <w:szCs w:val="24"/>
        </w:rPr>
        <w:t>Esen</w:t>
      </w:r>
      <w:proofErr w:type="spellEnd"/>
      <w:r w:rsidR="001D2D07" w:rsidRPr="00516213">
        <w:rPr>
          <w:rFonts w:ascii="Times New Roman" w:hAnsi="Times New Roman" w:cs="Times New Roman"/>
          <w:sz w:val="24"/>
          <w:szCs w:val="24"/>
        </w:rPr>
        <w:t xml:space="preserve"> and</w:t>
      </w:r>
      <w:r w:rsidRPr="00516213">
        <w:rPr>
          <w:rFonts w:ascii="Times New Roman" w:hAnsi="Times New Roman" w:cs="Times New Roman"/>
          <w:sz w:val="24"/>
          <w:szCs w:val="24"/>
        </w:rPr>
        <w:t xml:space="preserve"> </w:t>
      </w:r>
      <w:proofErr w:type="spellStart"/>
      <w:r w:rsidRPr="00516213">
        <w:rPr>
          <w:rFonts w:ascii="Times New Roman" w:hAnsi="Times New Roman" w:cs="Times New Roman"/>
          <w:sz w:val="24"/>
          <w:szCs w:val="24"/>
        </w:rPr>
        <w:t>G</w:t>
      </w:r>
      <w:r w:rsidR="00AD150C" w:rsidRPr="00516213">
        <w:rPr>
          <w:rFonts w:ascii="Times New Roman" w:hAnsi="Times New Roman" w:cs="Times New Roman"/>
          <w:sz w:val="24"/>
          <w:szCs w:val="24"/>
        </w:rPr>
        <w:t>ümüşçü</w:t>
      </w:r>
      <w:proofErr w:type="spellEnd"/>
      <w:r w:rsidRPr="00516213">
        <w:rPr>
          <w:rFonts w:ascii="Times New Roman" w:hAnsi="Times New Roman" w:cs="Times New Roman"/>
          <w:sz w:val="24"/>
          <w:szCs w:val="24"/>
        </w:rPr>
        <w:t xml:space="preserve"> 2016). </w:t>
      </w:r>
      <w:bookmarkStart w:id="3" w:name="_Hlk109141228"/>
      <w:r w:rsidRPr="00516213">
        <w:rPr>
          <w:rFonts w:ascii="Times New Roman" w:hAnsi="Times New Roman" w:cs="Times New Roman"/>
          <w:sz w:val="24"/>
          <w:szCs w:val="24"/>
        </w:rPr>
        <w:t>Through ordinary law</w:t>
      </w:r>
      <w:r w:rsidR="006A2F15">
        <w:rPr>
          <w:rFonts w:ascii="Times New Roman" w:hAnsi="Times New Roman" w:cs="Times New Roman"/>
          <w:sz w:val="24"/>
          <w:szCs w:val="24"/>
        </w:rPr>
        <w:t>,</w:t>
      </w:r>
      <w:r w:rsidRPr="00516213">
        <w:rPr>
          <w:rFonts w:ascii="Times New Roman" w:hAnsi="Times New Roman" w:cs="Times New Roman"/>
          <w:sz w:val="24"/>
          <w:szCs w:val="24"/>
        </w:rPr>
        <w:t xml:space="preserve"> it had already passed </w:t>
      </w:r>
      <w:bookmarkEnd w:id="3"/>
      <w:r w:rsidRPr="00516213">
        <w:rPr>
          <w:rFonts w:ascii="Times New Roman" w:hAnsi="Times New Roman" w:cs="Times New Roman"/>
          <w:sz w:val="24"/>
          <w:szCs w:val="24"/>
        </w:rPr>
        <w:t>legislation that attempted to regulate moral issues in public life, restricted the media, and limited judicial independence. This was often done in the name of empowering elected representatives over appointed officials and therefore sold as bolstering democracy</w:t>
      </w:r>
      <w:r w:rsidR="00493A32" w:rsidRPr="00516213">
        <w:rPr>
          <w:rFonts w:ascii="Times New Roman" w:hAnsi="Times New Roman" w:cs="Times New Roman"/>
          <w:sz w:val="24"/>
          <w:szCs w:val="24"/>
        </w:rPr>
        <w:t>. B</w:t>
      </w:r>
      <w:r w:rsidRPr="00516213">
        <w:rPr>
          <w:rFonts w:ascii="Times New Roman" w:hAnsi="Times New Roman" w:cs="Times New Roman"/>
          <w:sz w:val="24"/>
          <w:szCs w:val="24"/>
        </w:rPr>
        <w:t>ut</w:t>
      </w:r>
      <w:r w:rsidR="00440192" w:rsidRPr="00516213">
        <w:rPr>
          <w:rFonts w:ascii="Times New Roman" w:hAnsi="Times New Roman" w:cs="Times New Roman"/>
          <w:sz w:val="24"/>
          <w:szCs w:val="24"/>
        </w:rPr>
        <w:t>,</w:t>
      </w:r>
      <w:r w:rsidRPr="00516213">
        <w:rPr>
          <w:rFonts w:ascii="Times New Roman" w:hAnsi="Times New Roman" w:cs="Times New Roman"/>
          <w:sz w:val="24"/>
          <w:szCs w:val="24"/>
        </w:rPr>
        <w:t xml:space="preserve"> in reality</w:t>
      </w:r>
      <w:r w:rsidR="00440192" w:rsidRPr="00516213">
        <w:rPr>
          <w:rFonts w:ascii="Times New Roman" w:hAnsi="Times New Roman" w:cs="Times New Roman"/>
          <w:sz w:val="24"/>
          <w:szCs w:val="24"/>
        </w:rPr>
        <w:t>,</w:t>
      </w:r>
      <w:r w:rsidRPr="00516213">
        <w:rPr>
          <w:rFonts w:ascii="Times New Roman" w:hAnsi="Times New Roman" w:cs="Times New Roman"/>
          <w:sz w:val="24"/>
          <w:szCs w:val="24"/>
        </w:rPr>
        <w:t xml:space="preserve"> it empowered the AKP to pursue its illiberal agenda whilst weakening the power of traditional Kemalist elites. A full overview of this </w:t>
      </w:r>
      <w:r w:rsidR="00493A32" w:rsidRPr="00516213">
        <w:rPr>
          <w:rFonts w:ascii="Times New Roman" w:hAnsi="Times New Roman" w:cs="Times New Roman"/>
          <w:sz w:val="24"/>
          <w:szCs w:val="24"/>
        </w:rPr>
        <w:t xml:space="preserve">trend </w:t>
      </w:r>
      <w:r w:rsidRPr="00516213">
        <w:rPr>
          <w:rFonts w:ascii="Times New Roman" w:hAnsi="Times New Roman" w:cs="Times New Roman"/>
          <w:sz w:val="24"/>
          <w:szCs w:val="24"/>
        </w:rPr>
        <w:t>is beyond the scope of this article, but what matters for our argument is that when it came to emergency rule in 2016</w:t>
      </w:r>
      <w:r w:rsidR="001D2D07" w:rsidRPr="00516213">
        <w:rPr>
          <w:rFonts w:ascii="Times New Roman" w:hAnsi="Times New Roman" w:cs="Times New Roman"/>
          <w:sz w:val="24"/>
          <w:szCs w:val="24"/>
        </w:rPr>
        <w:t>,</w:t>
      </w:r>
      <w:r w:rsidRPr="00516213">
        <w:rPr>
          <w:rFonts w:ascii="Times New Roman" w:hAnsi="Times New Roman" w:cs="Times New Roman"/>
          <w:sz w:val="24"/>
          <w:szCs w:val="24"/>
        </w:rPr>
        <w:t xml:space="preserve"> this was laid on top of existing ordinary legislation that had already been used to limit rights and freedoms. This </w:t>
      </w:r>
      <w:r w:rsidR="00710E10" w:rsidRPr="00516213">
        <w:rPr>
          <w:rFonts w:ascii="Times New Roman" w:hAnsi="Times New Roman" w:cs="Times New Roman"/>
          <w:sz w:val="24"/>
          <w:szCs w:val="24"/>
        </w:rPr>
        <w:t xml:space="preserve">is </w:t>
      </w:r>
      <w:r w:rsidRPr="00516213">
        <w:rPr>
          <w:rFonts w:ascii="Times New Roman" w:hAnsi="Times New Roman" w:cs="Times New Roman"/>
          <w:sz w:val="24"/>
          <w:szCs w:val="24"/>
        </w:rPr>
        <w:t xml:space="preserve">the very essence of modular </w:t>
      </w:r>
      <w:r w:rsidR="00710E10" w:rsidRPr="00516213">
        <w:rPr>
          <w:rFonts w:ascii="Times New Roman" w:hAnsi="Times New Roman" w:cs="Times New Roman"/>
          <w:sz w:val="24"/>
          <w:szCs w:val="24"/>
        </w:rPr>
        <w:t>emergency regimes</w:t>
      </w:r>
      <w:r w:rsidRPr="00516213">
        <w:rPr>
          <w:rFonts w:ascii="Times New Roman" w:hAnsi="Times New Roman" w:cs="Times New Roman"/>
          <w:sz w:val="24"/>
          <w:szCs w:val="24"/>
        </w:rPr>
        <w:t xml:space="preserve">, where emergency decrees </w:t>
      </w:r>
      <w:r w:rsidR="00710E10" w:rsidRPr="00516213">
        <w:rPr>
          <w:rFonts w:ascii="Times New Roman" w:hAnsi="Times New Roman" w:cs="Times New Roman"/>
          <w:sz w:val="24"/>
          <w:szCs w:val="24"/>
        </w:rPr>
        <w:t xml:space="preserve">are </w:t>
      </w:r>
      <w:r w:rsidRPr="00516213">
        <w:rPr>
          <w:rFonts w:ascii="Times New Roman" w:hAnsi="Times New Roman" w:cs="Times New Roman"/>
          <w:sz w:val="24"/>
          <w:szCs w:val="24"/>
        </w:rPr>
        <w:t>used to fill outstanding gaps left by ordinary legislation.</w:t>
      </w:r>
    </w:p>
    <w:p w14:paraId="3EA1118C" w14:textId="70CC584E" w:rsidR="00C52C6D" w:rsidRPr="00516213" w:rsidRDefault="00A17381" w:rsidP="000D373E">
      <w:pPr>
        <w:spacing w:line="360" w:lineRule="auto"/>
        <w:ind w:firstLine="720"/>
        <w:jc w:val="both"/>
        <w:rPr>
          <w:rFonts w:ascii="Times New Roman" w:hAnsi="Times New Roman" w:cs="Times New Roman"/>
          <w:sz w:val="24"/>
          <w:szCs w:val="24"/>
        </w:rPr>
      </w:pPr>
      <w:r w:rsidRPr="00516213">
        <w:rPr>
          <w:rFonts w:ascii="Times New Roman" w:hAnsi="Times New Roman" w:cs="Times New Roman"/>
          <w:sz w:val="24"/>
          <w:szCs w:val="24"/>
        </w:rPr>
        <w:t xml:space="preserve">The role of the opposition is important </w:t>
      </w:r>
      <w:r w:rsidR="00721DB8" w:rsidRPr="00516213">
        <w:rPr>
          <w:rFonts w:ascii="Times New Roman" w:hAnsi="Times New Roman" w:cs="Times New Roman"/>
          <w:sz w:val="24"/>
          <w:szCs w:val="24"/>
        </w:rPr>
        <w:t>here.</w:t>
      </w:r>
      <w:r w:rsidRPr="00516213">
        <w:rPr>
          <w:rFonts w:ascii="Times New Roman" w:hAnsi="Times New Roman" w:cs="Times New Roman"/>
          <w:sz w:val="24"/>
          <w:szCs w:val="24"/>
        </w:rPr>
        <w:t xml:space="preserve"> Historically the main opposition of the Republican People’s Party </w:t>
      </w:r>
      <w:r w:rsidR="00721DB8" w:rsidRPr="00516213">
        <w:rPr>
          <w:rFonts w:ascii="Times New Roman" w:hAnsi="Times New Roman" w:cs="Times New Roman"/>
          <w:sz w:val="24"/>
          <w:szCs w:val="24"/>
        </w:rPr>
        <w:t>(</w:t>
      </w:r>
      <w:r w:rsidR="005B02EF" w:rsidRPr="005B02EF">
        <w:rPr>
          <w:rFonts w:ascii="Times New Roman" w:hAnsi="Times New Roman" w:cs="Times New Roman"/>
          <w:i/>
          <w:sz w:val="24"/>
          <w:szCs w:val="24"/>
        </w:rPr>
        <w:t xml:space="preserve">Cumhuriyet </w:t>
      </w:r>
      <w:proofErr w:type="spellStart"/>
      <w:r w:rsidR="005B02EF" w:rsidRPr="005B02EF">
        <w:rPr>
          <w:rFonts w:ascii="Times New Roman" w:hAnsi="Times New Roman" w:cs="Times New Roman"/>
          <w:i/>
          <w:sz w:val="24"/>
          <w:szCs w:val="24"/>
        </w:rPr>
        <w:t>Halk</w:t>
      </w:r>
      <w:proofErr w:type="spellEnd"/>
      <w:r w:rsidR="005B02EF" w:rsidRPr="005B02EF">
        <w:rPr>
          <w:rFonts w:ascii="Times New Roman" w:hAnsi="Times New Roman" w:cs="Times New Roman"/>
          <w:i/>
          <w:sz w:val="24"/>
          <w:szCs w:val="24"/>
        </w:rPr>
        <w:t xml:space="preserve"> </w:t>
      </w:r>
      <w:proofErr w:type="spellStart"/>
      <w:r w:rsidR="005B02EF" w:rsidRPr="005B02EF">
        <w:rPr>
          <w:rFonts w:ascii="Times New Roman" w:hAnsi="Times New Roman" w:cs="Times New Roman"/>
          <w:i/>
          <w:sz w:val="24"/>
          <w:szCs w:val="24"/>
        </w:rPr>
        <w:t>Partisi</w:t>
      </w:r>
      <w:proofErr w:type="spellEnd"/>
      <w:r w:rsidR="006A2F15">
        <w:rPr>
          <w:rFonts w:ascii="Times New Roman" w:hAnsi="Times New Roman" w:cs="Times New Roman"/>
          <w:sz w:val="24"/>
          <w:szCs w:val="24"/>
        </w:rPr>
        <w:t xml:space="preserve"> - </w:t>
      </w:r>
      <w:r w:rsidR="005B02EF">
        <w:rPr>
          <w:rFonts w:ascii="Times New Roman" w:hAnsi="Times New Roman" w:cs="Times New Roman"/>
          <w:sz w:val="24"/>
          <w:szCs w:val="24"/>
        </w:rPr>
        <w:t>CHP</w:t>
      </w:r>
      <w:r w:rsidR="00721DB8" w:rsidRPr="00516213">
        <w:rPr>
          <w:rFonts w:ascii="Times New Roman" w:hAnsi="Times New Roman" w:cs="Times New Roman"/>
          <w:sz w:val="24"/>
          <w:szCs w:val="24"/>
        </w:rPr>
        <w:t xml:space="preserve">) </w:t>
      </w:r>
      <w:r w:rsidRPr="00516213">
        <w:rPr>
          <w:rFonts w:ascii="Times New Roman" w:hAnsi="Times New Roman" w:cs="Times New Roman"/>
          <w:sz w:val="24"/>
          <w:szCs w:val="24"/>
        </w:rPr>
        <w:t>ha</w:t>
      </w:r>
      <w:r w:rsidR="00721DB8" w:rsidRPr="00516213">
        <w:rPr>
          <w:rFonts w:ascii="Times New Roman" w:hAnsi="Times New Roman" w:cs="Times New Roman"/>
          <w:sz w:val="24"/>
          <w:szCs w:val="24"/>
        </w:rPr>
        <w:t>s</w:t>
      </w:r>
      <w:r w:rsidRPr="00516213">
        <w:rPr>
          <w:rFonts w:ascii="Times New Roman" w:hAnsi="Times New Roman" w:cs="Times New Roman"/>
          <w:sz w:val="24"/>
          <w:szCs w:val="24"/>
        </w:rPr>
        <w:t xml:space="preserve"> pursued an exclusionary form of Turkish nationalism that sought to </w:t>
      </w:r>
      <w:r w:rsidR="00735F75" w:rsidRPr="00516213">
        <w:rPr>
          <w:rFonts w:ascii="Times New Roman" w:hAnsi="Times New Roman" w:cs="Times New Roman"/>
          <w:sz w:val="24"/>
          <w:szCs w:val="24"/>
        </w:rPr>
        <w:t>marginali</w:t>
      </w:r>
      <w:r w:rsidR="00735F75">
        <w:rPr>
          <w:rFonts w:ascii="Times New Roman" w:hAnsi="Times New Roman" w:cs="Times New Roman"/>
          <w:sz w:val="24"/>
          <w:szCs w:val="24"/>
        </w:rPr>
        <w:t>z</w:t>
      </w:r>
      <w:r w:rsidR="00735F75" w:rsidRPr="00516213">
        <w:rPr>
          <w:rFonts w:ascii="Times New Roman" w:hAnsi="Times New Roman" w:cs="Times New Roman"/>
          <w:sz w:val="24"/>
          <w:szCs w:val="24"/>
        </w:rPr>
        <w:t xml:space="preserve">e </w:t>
      </w:r>
      <w:r w:rsidRPr="00516213">
        <w:rPr>
          <w:rFonts w:ascii="Times New Roman" w:hAnsi="Times New Roman" w:cs="Times New Roman"/>
          <w:sz w:val="24"/>
          <w:szCs w:val="24"/>
        </w:rPr>
        <w:t>collective Kurdish identities that the party saw as threatening the state’s territorial integrity.</w:t>
      </w:r>
      <w:r w:rsidR="007C5359" w:rsidRPr="00516213">
        <w:rPr>
          <w:rFonts w:ascii="Times New Roman" w:hAnsi="Times New Roman" w:cs="Times New Roman"/>
          <w:sz w:val="24"/>
          <w:szCs w:val="24"/>
        </w:rPr>
        <w:t xml:space="preserve"> This put the </w:t>
      </w:r>
      <w:r w:rsidR="005B02EF">
        <w:rPr>
          <w:rFonts w:ascii="Times New Roman" w:hAnsi="Times New Roman" w:cs="Times New Roman"/>
          <w:sz w:val="24"/>
          <w:szCs w:val="24"/>
        </w:rPr>
        <w:t>CHP</w:t>
      </w:r>
      <w:r w:rsidR="007C5359" w:rsidRPr="00516213">
        <w:rPr>
          <w:rFonts w:ascii="Times New Roman" w:hAnsi="Times New Roman" w:cs="Times New Roman"/>
          <w:sz w:val="24"/>
          <w:szCs w:val="24"/>
        </w:rPr>
        <w:t xml:space="preserve"> in an interesting position </w:t>
      </w:r>
      <w:r w:rsidR="006C06E7">
        <w:rPr>
          <w:rFonts w:ascii="Times New Roman" w:hAnsi="Times New Roman" w:cs="Times New Roman"/>
          <w:sz w:val="24"/>
          <w:szCs w:val="24"/>
        </w:rPr>
        <w:t>regarding</w:t>
      </w:r>
      <w:r w:rsidR="007C5359" w:rsidRPr="00516213">
        <w:rPr>
          <w:rFonts w:ascii="Times New Roman" w:hAnsi="Times New Roman" w:cs="Times New Roman"/>
          <w:sz w:val="24"/>
          <w:szCs w:val="24"/>
        </w:rPr>
        <w:t xml:space="preserve"> the AKP’s suppression of Kurdish politics. </w:t>
      </w:r>
      <w:r w:rsidR="00007AB2" w:rsidRPr="00516213">
        <w:rPr>
          <w:rFonts w:ascii="Times New Roman" w:hAnsi="Times New Roman" w:cs="Times New Roman"/>
          <w:sz w:val="24"/>
          <w:szCs w:val="24"/>
        </w:rPr>
        <w:t xml:space="preserve">The </w:t>
      </w:r>
      <w:r w:rsidR="005B02EF">
        <w:rPr>
          <w:rFonts w:ascii="Times New Roman" w:hAnsi="Times New Roman" w:cs="Times New Roman"/>
          <w:sz w:val="24"/>
          <w:szCs w:val="24"/>
        </w:rPr>
        <w:t>CHP</w:t>
      </w:r>
      <w:r w:rsidR="00007AB2" w:rsidRPr="00516213">
        <w:rPr>
          <w:rFonts w:ascii="Times New Roman" w:hAnsi="Times New Roman" w:cs="Times New Roman"/>
          <w:sz w:val="24"/>
          <w:szCs w:val="24"/>
        </w:rPr>
        <w:t xml:space="preserve"> robustly </w:t>
      </w:r>
      <w:r w:rsidR="00735F75" w:rsidRPr="00516213">
        <w:rPr>
          <w:rFonts w:ascii="Times New Roman" w:hAnsi="Times New Roman" w:cs="Times New Roman"/>
          <w:sz w:val="24"/>
          <w:szCs w:val="24"/>
        </w:rPr>
        <w:t>critici</w:t>
      </w:r>
      <w:r w:rsidR="00735F75">
        <w:rPr>
          <w:rFonts w:ascii="Times New Roman" w:hAnsi="Times New Roman" w:cs="Times New Roman"/>
          <w:sz w:val="24"/>
          <w:szCs w:val="24"/>
        </w:rPr>
        <w:t>z</w:t>
      </w:r>
      <w:r w:rsidR="00735F75" w:rsidRPr="00516213">
        <w:rPr>
          <w:rFonts w:ascii="Times New Roman" w:hAnsi="Times New Roman" w:cs="Times New Roman"/>
          <w:sz w:val="24"/>
          <w:szCs w:val="24"/>
        </w:rPr>
        <w:t xml:space="preserve">ed </w:t>
      </w:r>
      <w:r w:rsidR="00007AB2" w:rsidRPr="00516213">
        <w:rPr>
          <w:rFonts w:ascii="Times New Roman" w:hAnsi="Times New Roman" w:cs="Times New Roman"/>
          <w:sz w:val="24"/>
          <w:szCs w:val="24"/>
        </w:rPr>
        <w:t>emergency rule and its extens</w:t>
      </w:r>
      <w:r w:rsidR="00EE6FBD" w:rsidRPr="00516213">
        <w:rPr>
          <w:rFonts w:ascii="Times New Roman" w:hAnsi="Times New Roman" w:cs="Times New Roman"/>
          <w:sz w:val="24"/>
          <w:szCs w:val="24"/>
        </w:rPr>
        <w:t>ion beyond its original purpose</w:t>
      </w:r>
      <w:r w:rsidR="00721DB8" w:rsidRPr="00516213">
        <w:rPr>
          <w:rFonts w:ascii="Times New Roman" w:hAnsi="Times New Roman" w:cs="Times New Roman"/>
          <w:sz w:val="24"/>
          <w:szCs w:val="24"/>
        </w:rPr>
        <w:t>, but</w:t>
      </w:r>
      <w:r w:rsidR="00007AB2" w:rsidRPr="00516213">
        <w:rPr>
          <w:rFonts w:ascii="Times New Roman" w:hAnsi="Times New Roman" w:cs="Times New Roman"/>
          <w:sz w:val="24"/>
          <w:szCs w:val="24"/>
        </w:rPr>
        <w:t xml:space="preserve"> these crit</w:t>
      </w:r>
      <w:r w:rsidR="00721DB8" w:rsidRPr="00516213">
        <w:rPr>
          <w:rFonts w:ascii="Times New Roman" w:hAnsi="Times New Roman" w:cs="Times New Roman"/>
          <w:sz w:val="24"/>
          <w:szCs w:val="24"/>
        </w:rPr>
        <w:t>i</w:t>
      </w:r>
      <w:r w:rsidR="00007AB2" w:rsidRPr="00516213">
        <w:rPr>
          <w:rFonts w:ascii="Times New Roman" w:hAnsi="Times New Roman" w:cs="Times New Roman"/>
          <w:sz w:val="24"/>
          <w:szCs w:val="24"/>
        </w:rPr>
        <w:t xml:space="preserve">cisms focused on how the AKP </w:t>
      </w:r>
      <w:r w:rsidR="006C06E7">
        <w:rPr>
          <w:rFonts w:ascii="Times New Roman" w:hAnsi="Times New Roman" w:cs="Times New Roman"/>
          <w:sz w:val="24"/>
          <w:szCs w:val="24"/>
        </w:rPr>
        <w:t>eroded</w:t>
      </w:r>
      <w:r w:rsidR="00007AB2" w:rsidRPr="00516213">
        <w:rPr>
          <w:rFonts w:ascii="Times New Roman" w:hAnsi="Times New Roman" w:cs="Times New Roman"/>
          <w:sz w:val="24"/>
          <w:szCs w:val="24"/>
        </w:rPr>
        <w:t xml:space="preserve"> Turkish democracy and rarely mentioned the Kurds specifically. </w:t>
      </w:r>
      <w:r w:rsidR="00721DB8" w:rsidRPr="00516213">
        <w:rPr>
          <w:rFonts w:ascii="Times New Roman" w:hAnsi="Times New Roman" w:cs="Times New Roman"/>
          <w:sz w:val="24"/>
          <w:szCs w:val="24"/>
        </w:rPr>
        <w:t xml:space="preserve">Kemal </w:t>
      </w:r>
      <w:proofErr w:type="spellStart"/>
      <w:r w:rsidR="00007AB2" w:rsidRPr="00516213">
        <w:rPr>
          <w:rFonts w:ascii="Times New Roman" w:hAnsi="Times New Roman" w:cs="Times New Roman"/>
          <w:sz w:val="24"/>
          <w:szCs w:val="24"/>
        </w:rPr>
        <w:t>K</w:t>
      </w:r>
      <w:r w:rsidR="005064F7" w:rsidRPr="00516213">
        <w:rPr>
          <w:rFonts w:ascii="Times New Roman" w:hAnsi="Times New Roman" w:cs="Times New Roman"/>
          <w:sz w:val="24"/>
          <w:szCs w:val="24"/>
        </w:rPr>
        <w:t>ı</w:t>
      </w:r>
      <w:r w:rsidR="00007AB2" w:rsidRPr="00516213">
        <w:rPr>
          <w:rFonts w:ascii="Times New Roman" w:hAnsi="Times New Roman" w:cs="Times New Roman"/>
          <w:sz w:val="24"/>
          <w:szCs w:val="24"/>
        </w:rPr>
        <w:t>l</w:t>
      </w:r>
      <w:r w:rsidR="005064F7" w:rsidRPr="00516213">
        <w:rPr>
          <w:rFonts w:ascii="Times New Roman" w:hAnsi="Times New Roman" w:cs="Times New Roman"/>
          <w:sz w:val="24"/>
          <w:szCs w:val="24"/>
        </w:rPr>
        <w:t>ıç</w:t>
      </w:r>
      <w:r w:rsidR="00007AB2" w:rsidRPr="00516213">
        <w:rPr>
          <w:rFonts w:ascii="Times New Roman" w:hAnsi="Times New Roman" w:cs="Times New Roman"/>
          <w:sz w:val="24"/>
          <w:szCs w:val="24"/>
        </w:rPr>
        <w:t>d</w:t>
      </w:r>
      <w:r w:rsidR="005064F7" w:rsidRPr="00516213">
        <w:rPr>
          <w:rFonts w:ascii="Times New Roman" w:hAnsi="Times New Roman" w:cs="Times New Roman"/>
          <w:sz w:val="24"/>
          <w:szCs w:val="24"/>
        </w:rPr>
        <w:t>a</w:t>
      </w:r>
      <w:r w:rsidR="00007AB2" w:rsidRPr="00516213">
        <w:rPr>
          <w:rFonts w:ascii="Times New Roman" w:hAnsi="Times New Roman" w:cs="Times New Roman"/>
          <w:sz w:val="24"/>
          <w:szCs w:val="24"/>
        </w:rPr>
        <w:t>ro</w:t>
      </w:r>
      <w:r w:rsidR="005064F7" w:rsidRPr="00516213">
        <w:rPr>
          <w:rFonts w:ascii="Times New Roman" w:hAnsi="Times New Roman" w:cs="Times New Roman"/>
          <w:sz w:val="24"/>
          <w:szCs w:val="24"/>
        </w:rPr>
        <w:t>ğ</w:t>
      </w:r>
      <w:r w:rsidR="00007AB2" w:rsidRPr="00516213">
        <w:rPr>
          <w:rFonts w:ascii="Times New Roman" w:hAnsi="Times New Roman" w:cs="Times New Roman"/>
          <w:sz w:val="24"/>
          <w:szCs w:val="24"/>
        </w:rPr>
        <w:t>lu</w:t>
      </w:r>
      <w:proofErr w:type="spellEnd"/>
      <w:r w:rsidR="00007AB2" w:rsidRPr="00516213">
        <w:rPr>
          <w:rFonts w:ascii="Times New Roman" w:hAnsi="Times New Roman" w:cs="Times New Roman"/>
          <w:sz w:val="24"/>
          <w:szCs w:val="24"/>
        </w:rPr>
        <w:t xml:space="preserve">, leader of the </w:t>
      </w:r>
      <w:r w:rsidR="005B02EF">
        <w:rPr>
          <w:rFonts w:ascii="Times New Roman" w:hAnsi="Times New Roman" w:cs="Times New Roman"/>
          <w:sz w:val="24"/>
          <w:szCs w:val="24"/>
        </w:rPr>
        <w:t>CHP</w:t>
      </w:r>
      <w:r w:rsidR="00007AB2" w:rsidRPr="00516213">
        <w:rPr>
          <w:rFonts w:ascii="Times New Roman" w:hAnsi="Times New Roman" w:cs="Times New Roman"/>
          <w:sz w:val="24"/>
          <w:szCs w:val="24"/>
        </w:rPr>
        <w:t xml:space="preserve">, feared that the </w:t>
      </w:r>
      <w:proofErr w:type="spellStart"/>
      <w:r w:rsidR="00007AB2" w:rsidRPr="00516213">
        <w:rPr>
          <w:rFonts w:ascii="Times New Roman" w:hAnsi="Times New Roman" w:cs="Times New Roman"/>
          <w:sz w:val="24"/>
          <w:szCs w:val="24"/>
        </w:rPr>
        <w:t>SoE</w:t>
      </w:r>
      <w:proofErr w:type="spellEnd"/>
      <w:r w:rsidR="00007AB2" w:rsidRPr="00516213">
        <w:rPr>
          <w:rFonts w:ascii="Times New Roman" w:hAnsi="Times New Roman" w:cs="Times New Roman"/>
          <w:sz w:val="24"/>
          <w:szCs w:val="24"/>
        </w:rPr>
        <w:t xml:space="preserve"> would be used by the AKP to </w:t>
      </w:r>
      <w:r w:rsidR="00721DB8" w:rsidRPr="00516213">
        <w:rPr>
          <w:rFonts w:ascii="Times New Roman" w:hAnsi="Times New Roman" w:cs="Times New Roman"/>
          <w:sz w:val="24"/>
          <w:szCs w:val="24"/>
        </w:rPr>
        <w:t>concentrate power even further in its own hands (</w:t>
      </w:r>
      <w:r w:rsidR="00007AB2" w:rsidRPr="00516213">
        <w:rPr>
          <w:rFonts w:ascii="Times New Roman" w:hAnsi="Times New Roman" w:cs="Times New Roman"/>
          <w:sz w:val="24"/>
          <w:szCs w:val="24"/>
        </w:rPr>
        <w:t xml:space="preserve">TBMM, 16 July 2016). As the </w:t>
      </w:r>
      <w:proofErr w:type="spellStart"/>
      <w:r w:rsidR="00007AB2" w:rsidRPr="00516213">
        <w:rPr>
          <w:rFonts w:ascii="Times New Roman" w:hAnsi="Times New Roman" w:cs="Times New Roman"/>
          <w:sz w:val="24"/>
          <w:szCs w:val="24"/>
        </w:rPr>
        <w:t>SoE</w:t>
      </w:r>
      <w:r w:rsidR="00721DB8" w:rsidRPr="00516213">
        <w:rPr>
          <w:rFonts w:ascii="Times New Roman" w:hAnsi="Times New Roman" w:cs="Times New Roman"/>
          <w:sz w:val="24"/>
          <w:szCs w:val="24"/>
        </w:rPr>
        <w:t>’s</w:t>
      </w:r>
      <w:proofErr w:type="spellEnd"/>
      <w:r w:rsidR="00721DB8" w:rsidRPr="00516213">
        <w:rPr>
          <w:rFonts w:ascii="Times New Roman" w:hAnsi="Times New Roman" w:cs="Times New Roman"/>
          <w:sz w:val="24"/>
          <w:szCs w:val="24"/>
        </w:rPr>
        <w:t xml:space="preserve"> justification was expanded by the AKP and MHP to include all terrorism and instability, </w:t>
      </w:r>
      <w:r w:rsidR="00007AB2" w:rsidRPr="00516213">
        <w:rPr>
          <w:rFonts w:ascii="Times New Roman" w:hAnsi="Times New Roman" w:cs="Times New Roman"/>
          <w:sz w:val="24"/>
          <w:szCs w:val="24"/>
        </w:rPr>
        <w:t xml:space="preserve">senior members of the </w:t>
      </w:r>
      <w:r w:rsidR="005B02EF">
        <w:rPr>
          <w:rFonts w:ascii="Times New Roman" w:hAnsi="Times New Roman" w:cs="Times New Roman"/>
          <w:sz w:val="24"/>
          <w:szCs w:val="24"/>
        </w:rPr>
        <w:t>CHP</w:t>
      </w:r>
      <w:r w:rsidR="00007AB2" w:rsidRPr="00516213">
        <w:rPr>
          <w:rFonts w:ascii="Times New Roman" w:hAnsi="Times New Roman" w:cs="Times New Roman"/>
          <w:sz w:val="24"/>
          <w:szCs w:val="24"/>
        </w:rPr>
        <w:t xml:space="preserve"> </w:t>
      </w:r>
      <w:r w:rsidR="00735F75" w:rsidRPr="00516213">
        <w:rPr>
          <w:rFonts w:ascii="Times New Roman" w:hAnsi="Times New Roman" w:cs="Times New Roman"/>
          <w:sz w:val="24"/>
          <w:szCs w:val="24"/>
        </w:rPr>
        <w:t>critici</w:t>
      </w:r>
      <w:r w:rsidR="00735F75">
        <w:rPr>
          <w:rFonts w:ascii="Times New Roman" w:hAnsi="Times New Roman" w:cs="Times New Roman"/>
          <w:sz w:val="24"/>
          <w:szCs w:val="24"/>
        </w:rPr>
        <w:t>z</w:t>
      </w:r>
      <w:r w:rsidR="00735F75" w:rsidRPr="00516213">
        <w:rPr>
          <w:rFonts w:ascii="Times New Roman" w:hAnsi="Times New Roman" w:cs="Times New Roman"/>
          <w:sz w:val="24"/>
          <w:szCs w:val="24"/>
        </w:rPr>
        <w:t xml:space="preserve">ed </w:t>
      </w:r>
      <w:r w:rsidR="00721DB8" w:rsidRPr="00516213">
        <w:rPr>
          <w:rFonts w:ascii="Times New Roman" w:hAnsi="Times New Roman" w:cs="Times New Roman"/>
          <w:sz w:val="24"/>
          <w:szCs w:val="24"/>
        </w:rPr>
        <w:t>this</w:t>
      </w:r>
      <w:r w:rsidR="00CD4334" w:rsidRPr="00516213">
        <w:rPr>
          <w:rFonts w:ascii="Times New Roman" w:hAnsi="Times New Roman" w:cs="Times New Roman"/>
          <w:sz w:val="24"/>
          <w:szCs w:val="24"/>
        </w:rPr>
        <w:t>. A</w:t>
      </w:r>
      <w:r w:rsidR="00721DB8" w:rsidRPr="00516213">
        <w:rPr>
          <w:rFonts w:ascii="Times New Roman" w:hAnsi="Times New Roman" w:cs="Times New Roman"/>
          <w:sz w:val="24"/>
          <w:szCs w:val="24"/>
        </w:rPr>
        <w:t>gain</w:t>
      </w:r>
      <w:r w:rsidR="00CD4334" w:rsidRPr="00516213">
        <w:rPr>
          <w:rFonts w:ascii="Times New Roman" w:hAnsi="Times New Roman" w:cs="Times New Roman"/>
          <w:sz w:val="24"/>
          <w:szCs w:val="24"/>
        </w:rPr>
        <w:t xml:space="preserve">, however, their criticisms were focused on the dangers of </w:t>
      </w:r>
      <w:r w:rsidR="00721DB8" w:rsidRPr="00516213">
        <w:rPr>
          <w:rFonts w:ascii="Times New Roman" w:hAnsi="Times New Roman" w:cs="Times New Roman"/>
          <w:sz w:val="24"/>
          <w:szCs w:val="24"/>
        </w:rPr>
        <w:t xml:space="preserve">bypassing Parliament and democratic </w:t>
      </w:r>
      <w:r w:rsidR="00CD4334" w:rsidRPr="00516213">
        <w:rPr>
          <w:rFonts w:ascii="Times New Roman" w:hAnsi="Times New Roman" w:cs="Times New Roman"/>
          <w:sz w:val="24"/>
          <w:szCs w:val="24"/>
        </w:rPr>
        <w:t>erosion</w:t>
      </w:r>
      <w:r w:rsidR="00721DB8" w:rsidRPr="00516213">
        <w:rPr>
          <w:rFonts w:ascii="Times New Roman" w:hAnsi="Times New Roman" w:cs="Times New Roman"/>
          <w:sz w:val="24"/>
          <w:szCs w:val="24"/>
        </w:rPr>
        <w:t xml:space="preserve">, not from the perspective of minority rights </w:t>
      </w:r>
      <w:r w:rsidR="00007AB2" w:rsidRPr="00516213">
        <w:rPr>
          <w:rFonts w:ascii="Times New Roman" w:hAnsi="Times New Roman" w:cs="Times New Roman"/>
          <w:sz w:val="24"/>
          <w:szCs w:val="24"/>
        </w:rPr>
        <w:t>(TBMM 17 July 2017)</w:t>
      </w:r>
      <w:r w:rsidR="00721DB8" w:rsidRPr="00516213">
        <w:rPr>
          <w:rFonts w:ascii="Times New Roman" w:hAnsi="Times New Roman" w:cs="Times New Roman"/>
          <w:sz w:val="24"/>
          <w:szCs w:val="24"/>
        </w:rPr>
        <w:t xml:space="preserve">. </w:t>
      </w:r>
      <w:r w:rsidR="006C06E7">
        <w:rPr>
          <w:rFonts w:ascii="Times New Roman" w:hAnsi="Times New Roman" w:cs="Times New Roman"/>
          <w:sz w:val="24"/>
          <w:szCs w:val="24"/>
        </w:rPr>
        <w:t>However,</w:t>
      </w:r>
      <w:r w:rsidR="006C06E7" w:rsidRPr="00516213">
        <w:rPr>
          <w:rFonts w:ascii="Times New Roman" w:hAnsi="Times New Roman" w:cs="Times New Roman"/>
          <w:sz w:val="24"/>
          <w:szCs w:val="24"/>
        </w:rPr>
        <w:t xml:space="preserve"> </w:t>
      </w:r>
      <w:r w:rsidR="00721DB8" w:rsidRPr="00516213">
        <w:rPr>
          <w:rFonts w:ascii="Times New Roman" w:hAnsi="Times New Roman" w:cs="Times New Roman"/>
          <w:sz w:val="24"/>
          <w:szCs w:val="24"/>
        </w:rPr>
        <w:t xml:space="preserve">the political context meant that the AKP could largely ignore </w:t>
      </w:r>
      <w:r w:rsidR="00CD4334" w:rsidRPr="00516213">
        <w:rPr>
          <w:rFonts w:ascii="Times New Roman" w:hAnsi="Times New Roman" w:cs="Times New Roman"/>
          <w:sz w:val="24"/>
          <w:szCs w:val="24"/>
        </w:rPr>
        <w:t>opposition</w:t>
      </w:r>
      <w:r w:rsidR="00721DB8" w:rsidRPr="00516213">
        <w:rPr>
          <w:rFonts w:ascii="Times New Roman" w:hAnsi="Times New Roman" w:cs="Times New Roman"/>
          <w:sz w:val="24"/>
          <w:szCs w:val="24"/>
        </w:rPr>
        <w:t xml:space="preserve"> criticisms</w:t>
      </w:r>
      <w:r w:rsidR="006C06E7">
        <w:rPr>
          <w:rFonts w:ascii="Times New Roman" w:hAnsi="Times New Roman" w:cs="Times New Roman"/>
          <w:sz w:val="24"/>
          <w:szCs w:val="24"/>
        </w:rPr>
        <w:t>,</w:t>
      </w:r>
      <w:r w:rsidR="00721DB8" w:rsidRPr="00516213">
        <w:rPr>
          <w:rFonts w:ascii="Times New Roman" w:hAnsi="Times New Roman" w:cs="Times New Roman"/>
          <w:sz w:val="24"/>
          <w:szCs w:val="24"/>
        </w:rPr>
        <w:t xml:space="preserve"> </w:t>
      </w:r>
      <w:r w:rsidR="006C06E7">
        <w:rPr>
          <w:rFonts w:ascii="Times New Roman" w:hAnsi="Times New Roman" w:cs="Times New Roman"/>
          <w:sz w:val="24"/>
          <w:szCs w:val="24"/>
        </w:rPr>
        <w:t>and the opposition had little influence over the process due to the AKP’s</w:t>
      </w:r>
      <w:r w:rsidR="00721DB8" w:rsidRPr="00516213">
        <w:rPr>
          <w:rFonts w:ascii="Times New Roman" w:hAnsi="Times New Roman" w:cs="Times New Roman"/>
          <w:sz w:val="24"/>
          <w:szCs w:val="24"/>
        </w:rPr>
        <w:t xml:space="preserve"> majority in the Assembly and its alliance with the MHP</w:t>
      </w:r>
      <w:r w:rsidR="006C06E7">
        <w:rPr>
          <w:rFonts w:ascii="Times New Roman" w:hAnsi="Times New Roman" w:cs="Times New Roman"/>
          <w:sz w:val="24"/>
          <w:szCs w:val="24"/>
        </w:rPr>
        <w:t>, a</w:t>
      </w:r>
      <w:r w:rsidR="00D850D3">
        <w:rPr>
          <w:rFonts w:ascii="Times New Roman" w:hAnsi="Times New Roman" w:cs="Times New Roman"/>
          <w:sz w:val="24"/>
          <w:szCs w:val="24"/>
        </w:rPr>
        <w:t>s</w:t>
      </w:r>
      <w:r w:rsidR="006C06E7">
        <w:rPr>
          <w:rFonts w:ascii="Times New Roman" w:hAnsi="Times New Roman" w:cs="Times New Roman"/>
          <w:sz w:val="24"/>
          <w:szCs w:val="24"/>
        </w:rPr>
        <w:t xml:space="preserve"> the AKP</w:t>
      </w:r>
      <w:r w:rsidR="00CD4334" w:rsidRPr="00516213">
        <w:rPr>
          <w:rFonts w:ascii="Times New Roman" w:hAnsi="Times New Roman" w:cs="Times New Roman"/>
          <w:sz w:val="24"/>
          <w:szCs w:val="24"/>
        </w:rPr>
        <w:t xml:space="preserve"> easily bypassed constitutional oversight mechanisms like requiring parliamentary approval for the </w:t>
      </w:r>
      <w:proofErr w:type="spellStart"/>
      <w:r w:rsidR="00CD4334" w:rsidRPr="00516213">
        <w:rPr>
          <w:rFonts w:ascii="Times New Roman" w:hAnsi="Times New Roman" w:cs="Times New Roman"/>
          <w:sz w:val="24"/>
          <w:szCs w:val="24"/>
        </w:rPr>
        <w:t>SoE</w:t>
      </w:r>
      <w:proofErr w:type="spellEnd"/>
      <w:r w:rsidR="00721DB8" w:rsidRPr="00516213">
        <w:rPr>
          <w:rFonts w:ascii="Times New Roman" w:hAnsi="Times New Roman" w:cs="Times New Roman"/>
          <w:sz w:val="24"/>
          <w:szCs w:val="24"/>
        </w:rPr>
        <w:t>.</w:t>
      </w:r>
    </w:p>
    <w:p w14:paraId="7E13D146" w14:textId="7F04807E" w:rsidR="00CF6A77" w:rsidRPr="00516213" w:rsidRDefault="00493A32" w:rsidP="000D373E">
      <w:pPr>
        <w:spacing w:line="360" w:lineRule="auto"/>
        <w:ind w:firstLine="720"/>
        <w:jc w:val="both"/>
        <w:rPr>
          <w:rFonts w:ascii="Times New Roman" w:hAnsi="Times New Roman" w:cs="Times New Roman"/>
          <w:sz w:val="24"/>
          <w:szCs w:val="24"/>
        </w:rPr>
      </w:pPr>
      <w:r w:rsidRPr="00516213">
        <w:rPr>
          <w:rFonts w:ascii="Times New Roman" w:hAnsi="Times New Roman" w:cs="Times New Roman"/>
          <w:sz w:val="24"/>
          <w:szCs w:val="24"/>
        </w:rPr>
        <w:t>T</w:t>
      </w:r>
      <w:r w:rsidR="00CF6A77" w:rsidRPr="00516213">
        <w:rPr>
          <w:rFonts w:ascii="Times New Roman" w:hAnsi="Times New Roman" w:cs="Times New Roman"/>
          <w:sz w:val="24"/>
          <w:szCs w:val="24"/>
        </w:rPr>
        <w:t xml:space="preserve">he AKP’s </w:t>
      </w:r>
      <w:r w:rsidR="00440192" w:rsidRPr="00516213">
        <w:rPr>
          <w:rFonts w:ascii="Times New Roman" w:hAnsi="Times New Roman" w:cs="Times New Roman"/>
          <w:sz w:val="24"/>
          <w:szCs w:val="24"/>
        </w:rPr>
        <w:t xml:space="preserve">instrumental </w:t>
      </w:r>
      <w:r w:rsidR="00CF6A77" w:rsidRPr="00516213">
        <w:rPr>
          <w:rFonts w:ascii="Times New Roman" w:hAnsi="Times New Roman" w:cs="Times New Roman"/>
          <w:sz w:val="24"/>
          <w:szCs w:val="24"/>
        </w:rPr>
        <w:t>approach to democracy was nothing new and replicated the approach adopted by many parties throughout the history of the Turkish state (</w:t>
      </w:r>
      <w:proofErr w:type="spellStart"/>
      <w:r w:rsidR="00A73933" w:rsidRPr="00516213">
        <w:rPr>
          <w:rFonts w:ascii="Times New Roman" w:hAnsi="Times New Roman" w:cs="Times New Roman"/>
          <w:sz w:val="24"/>
          <w:szCs w:val="24"/>
        </w:rPr>
        <w:t>Çı</w:t>
      </w:r>
      <w:r w:rsidR="001D2D07" w:rsidRPr="00516213">
        <w:rPr>
          <w:rFonts w:ascii="Times New Roman" w:hAnsi="Times New Roman" w:cs="Times New Roman"/>
          <w:sz w:val="24"/>
          <w:szCs w:val="24"/>
        </w:rPr>
        <w:t>nar</w:t>
      </w:r>
      <w:proofErr w:type="spellEnd"/>
      <w:r w:rsidR="001D2D07" w:rsidRPr="00516213">
        <w:rPr>
          <w:rFonts w:ascii="Times New Roman" w:hAnsi="Times New Roman" w:cs="Times New Roman"/>
          <w:sz w:val="24"/>
          <w:szCs w:val="24"/>
        </w:rPr>
        <w:t xml:space="preserve"> and</w:t>
      </w:r>
      <w:r w:rsidR="00CF6A77" w:rsidRPr="00516213">
        <w:rPr>
          <w:rFonts w:ascii="Times New Roman" w:hAnsi="Times New Roman" w:cs="Times New Roman"/>
          <w:sz w:val="24"/>
          <w:szCs w:val="24"/>
        </w:rPr>
        <w:t xml:space="preserve"> </w:t>
      </w:r>
      <w:proofErr w:type="spellStart"/>
      <w:r w:rsidR="00CF6A77" w:rsidRPr="00516213">
        <w:rPr>
          <w:rFonts w:ascii="Times New Roman" w:hAnsi="Times New Roman" w:cs="Times New Roman"/>
          <w:sz w:val="24"/>
          <w:szCs w:val="24"/>
        </w:rPr>
        <w:t>Say</w:t>
      </w:r>
      <w:r w:rsidR="00A73933" w:rsidRPr="00516213">
        <w:rPr>
          <w:rFonts w:ascii="Times New Roman" w:hAnsi="Times New Roman" w:cs="Times New Roman"/>
          <w:sz w:val="24"/>
          <w:szCs w:val="24"/>
        </w:rPr>
        <w:t>ı</w:t>
      </w:r>
      <w:r w:rsidR="001D2D07" w:rsidRPr="00516213">
        <w:rPr>
          <w:rFonts w:ascii="Times New Roman" w:hAnsi="Times New Roman" w:cs="Times New Roman"/>
          <w:sz w:val="24"/>
          <w:szCs w:val="24"/>
        </w:rPr>
        <w:t>n</w:t>
      </w:r>
      <w:proofErr w:type="spellEnd"/>
      <w:r w:rsidR="001D2D07" w:rsidRPr="00516213">
        <w:rPr>
          <w:rFonts w:ascii="Times New Roman" w:hAnsi="Times New Roman" w:cs="Times New Roman"/>
          <w:sz w:val="24"/>
          <w:szCs w:val="24"/>
        </w:rPr>
        <w:t xml:space="preserve"> 2014; </w:t>
      </w:r>
      <w:proofErr w:type="spellStart"/>
      <w:r w:rsidR="00CF6A77" w:rsidRPr="00516213">
        <w:rPr>
          <w:rFonts w:ascii="Times New Roman" w:hAnsi="Times New Roman" w:cs="Times New Roman"/>
          <w:sz w:val="24"/>
          <w:szCs w:val="24"/>
        </w:rPr>
        <w:t>Somer</w:t>
      </w:r>
      <w:proofErr w:type="spellEnd"/>
      <w:r w:rsidR="00CF6A77" w:rsidRPr="00516213">
        <w:rPr>
          <w:rFonts w:ascii="Times New Roman" w:hAnsi="Times New Roman" w:cs="Times New Roman"/>
          <w:sz w:val="24"/>
          <w:szCs w:val="24"/>
        </w:rPr>
        <w:t xml:space="preserve"> 2016). </w:t>
      </w:r>
      <w:r w:rsidR="00440192" w:rsidRPr="00516213">
        <w:rPr>
          <w:rFonts w:ascii="Times New Roman" w:hAnsi="Times New Roman" w:cs="Times New Roman"/>
          <w:sz w:val="24"/>
          <w:szCs w:val="24"/>
        </w:rPr>
        <w:t xml:space="preserve">Nor was using the state’s apparatus to target Kurdish activism. </w:t>
      </w:r>
      <w:r w:rsidR="00CF6A77" w:rsidRPr="00516213">
        <w:rPr>
          <w:rFonts w:ascii="Times New Roman" w:hAnsi="Times New Roman" w:cs="Times New Roman"/>
          <w:sz w:val="24"/>
          <w:szCs w:val="24"/>
        </w:rPr>
        <w:t>There w</w:t>
      </w:r>
      <w:r w:rsidR="00440192" w:rsidRPr="00516213">
        <w:rPr>
          <w:rFonts w:ascii="Times New Roman" w:hAnsi="Times New Roman" w:cs="Times New Roman"/>
          <w:sz w:val="24"/>
          <w:szCs w:val="24"/>
        </w:rPr>
        <w:t>ere</w:t>
      </w:r>
      <w:r w:rsidR="00CF6A77" w:rsidRPr="00516213">
        <w:rPr>
          <w:rFonts w:ascii="Times New Roman" w:hAnsi="Times New Roman" w:cs="Times New Roman"/>
          <w:sz w:val="24"/>
          <w:szCs w:val="24"/>
        </w:rPr>
        <w:t xml:space="preserve"> established precedents of parties laying emergency rule</w:t>
      </w:r>
      <w:r w:rsidR="002431E3">
        <w:rPr>
          <w:rFonts w:ascii="Times New Roman" w:hAnsi="Times New Roman" w:cs="Times New Roman"/>
          <w:sz w:val="24"/>
          <w:szCs w:val="24"/>
        </w:rPr>
        <w:t>s</w:t>
      </w:r>
      <w:r w:rsidR="00CF6A77" w:rsidRPr="00516213">
        <w:rPr>
          <w:rFonts w:ascii="Times New Roman" w:hAnsi="Times New Roman" w:cs="Times New Roman"/>
          <w:sz w:val="24"/>
          <w:szCs w:val="24"/>
        </w:rPr>
        <w:t xml:space="preserve"> on top of ordinary legislation to create a more powerful </w:t>
      </w:r>
      <w:proofErr w:type="spellStart"/>
      <w:r w:rsidR="00CF6A77" w:rsidRPr="00516213">
        <w:rPr>
          <w:rFonts w:ascii="Times New Roman" w:hAnsi="Times New Roman" w:cs="Times New Roman"/>
          <w:sz w:val="24"/>
          <w:szCs w:val="24"/>
        </w:rPr>
        <w:t>autocratizing</w:t>
      </w:r>
      <w:proofErr w:type="spellEnd"/>
      <w:r w:rsidR="00CF6A77" w:rsidRPr="00516213">
        <w:rPr>
          <w:rFonts w:ascii="Times New Roman" w:hAnsi="Times New Roman" w:cs="Times New Roman"/>
          <w:sz w:val="24"/>
          <w:szCs w:val="24"/>
        </w:rPr>
        <w:t xml:space="preserve"> dynamic, most notably </w:t>
      </w:r>
      <w:r w:rsidR="0096757A" w:rsidRPr="00516213">
        <w:rPr>
          <w:rFonts w:ascii="Times New Roman" w:hAnsi="Times New Roman" w:cs="Times New Roman"/>
          <w:sz w:val="24"/>
          <w:szCs w:val="24"/>
        </w:rPr>
        <w:t>with the</w:t>
      </w:r>
      <w:r w:rsidR="009262C3" w:rsidRPr="00516213">
        <w:rPr>
          <w:rFonts w:ascii="Times New Roman" w:hAnsi="Times New Roman" w:cs="Times New Roman"/>
          <w:sz w:val="24"/>
          <w:szCs w:val="24"/>
        </w:rPr>
        <w:t xml:space="preserve"> </w:t>
      </w:r>
      <w:r w:rsidR="00CF6A77" w:rsidRPr="00516213">
        <w:rPr>
          <w:rFonts w:ascii="Times New Roman" w:hAnsi="Times New Roman" w:cs="Times New Roman"/>
          <w:sz w:val="24"/>
          <w:szCs w:val="24"/>
        </w:rPr>
        <w:t>Democrat Party in the 19</w:t>
      </w:r>
      <w:r w:rsidR="007A1E95" w:rsidRPr="00516213">
        <w:rPr>
          <w:rFonts w:ascii="Times New Roman" w:hAnsi="Times New Roman" w:cs="Times New Roman"/>
          <w:sz w:val="24"/>
          <w:szCs w:val="24"/>
        </w:rPr>
        <w:t>5</w:t>
      </w:r>
      <w:r w:rsidR="00CF6A77" w:rsidRPr="00516213">
        <w:rPr>
          <w:rFonts w:ascii="Times New Roman" w:hAnsi="Times New Roman" w:cs="Times New Roman"/>
          <w:sz w:val="24"/>
          <w:szCs w:val="24"/>
        </w:rPr>
        <w:t>0s</w:t>
      </w:r>
      <w:r w:rsidR="003C7746" w:rsidRPr="00516213">
        <w:rPr>
          <w:rFonts w:ascii="Times New Roman" w:hAnsi="Times New Roman" w:cs="Times New Roman"/>
          <w:sz w:val="24"/>
          <w:szCs w:val="24"/>
        </w:rPr>
        <w:t xml:space="preserve"> (Ahmad 1977)</w:t>
      </w:r>
      <w:r w:rsidR="00C05E23" w:rsidRPr="00516213">
        <w:rPr>
          <w:rFonts w:ascii="Times New Roman" w:hAnsi="Times New Roman" w:cs="Times New Roman"/>
          <w:sz w:val="24"/>
          <w:szCs w:val="24"/>
        </w:rPr>
        <w:t>.</w:t>
      </w:r>
      <w:r w:rsidR="00CF6A77" w:rsidRPr="00516213">
        <w:rPr>
          <w:rFonts w:ascii="Times New Roman" w:hAnsi="Times New Roman" w:cs="Times New Roman"/>
          <w:sz w:val="24"/>
          <w:szCs w:val="24"/>
        </w:rPr>
        <w:t xml:space="preserve"> </w:t>
      </w:r>
      <w:r w:rsidR="00A87CC0" w:rsidRPr="00516213">
        <w:rPr>
          <w:rFonts w:ascii="Times New Roman" w:hAnsi="Times New Roman" w:cs="Times New Roman"/>
          <w:sz w:val="24"/>
          <w:szCs w:val="24"/>
        </w:rPr>
        <w:t xml:space="preserve">Indeed, </w:t>
      </w:r>
      <w:proofErr w:type="spellStart"/>
      <w:r w:rsidR="00A87CC0" w:rsidRPr="00516213">
        <w:rPr>
          <w:rFonts w:ascii="Times New Roman" w:hAnsi="Times New Roman" w:cs="Times New Roman"/>
          <w:sz w:val="24"/>
          <w:szCs w:val="24"/>
        </w:rPr>
        <w:t>Bayır</w:t>
      </w:r>
      <w:proofErr w:type="spellEnd"/>
      <w:r w:rsidR="00A87CC0" w:rsidRPr="00516213">
        <w:rPr>
          <w:rFonts w:ascii="Times New Roman" w:hAnsi="Times New Roman" w:cs="Times New Roman"/>
          <w:sz w:val="24"/>
          <w:szCs w:val="24"/>
        </w:rPr>
        <w:t xml:space="preserve"> (2013) has shown how the founding philosophy of Turkish nationalism, </w:t>
      </w:r>
      <w:r w:rsidR="00735F75" w:rsidRPr="00516213">
        <w:rPr>
          <w:rFonts w:ascii="Times New Roman" w:hAnsi="Times New Roman" w:cs="Times New Roman"/>
          <w:sz w:val="24"/>
          <w:szCs w:val="24"/>
        </w:rPr>
        <w:t>institutionali</w:t>
      </w:r>
      <w:r w:rsidR="00735F75">
        <w:rPr>
          <w:rFonts w:ascii="Times New Roman" w:hAnsi="Times New Roman" w:cs="Times New Roman"/>
          <w:sz w:val="24"/>
          <w:szCs w:val="24"/>
        </w:rPr>
        <w:t>z</w:t>
      </w:r>
      <w:r w:rsidR="00735F75" w:rsidRPr="00516213">
        <w:rPr>
          <w:rFonts w:ascii="Times New Roman" w:hAnsi="Times New Roman" w:cs="Times New Roman"/>
          <w:sz w:val="24"/>
          <w:szCs w:val="24"/>
        </w:rPr>
        <w:t xml:space="preserve">ed </w:t>
      </w:r>
      <w:r w:rsidR="00A87CC0" w:rsidRPr="00516213">
        <w:rPr>
          <w:rFonts w:ascii="Times New Roman" w:hAnsi="Times New Roman" w:cs="Times New Roman"/>
          <w:sz w:val="24"/>
          <w:szCs w:val="24"/>
        </w:rPr>
        <w:t xml:space="preserve">in the constitutional and legal system at the foundation of the state, has hindered minority protections. </w:t>
      </w:r>
      <w:r w:rsidR="00CF6A77" w:rsidRPr="00516213">
        <w:rPr>
          <w:rFonts w:ascii="Times New Roman" w:hAnsi="Times New Roman" w:cs="Times New Roman"/>
          <w:sz w:val="24"/>
          <w:szCs w:val="24"/>
        </w:rPr>
        <w:t xml:space="preserve">There was also the precedent of the state using emergency rule to target the southeast, especially through </w:t>
      </w:r>
      <w:r w:rsidRPr="00516213">
        <w:rPr>
          <w:rFonts w:ascii="Times New Roman" w:hAnsi="Times New Roman" w:cs="Times New Roman"/>
          <w:sz w:val="24"/>
          <w:szCs w:val="24"/>
        </w:rPr>
        <w:t xml:space="preserve">the </w:t>
      </w:r>
      <w:r w:rsidR="00CF6A77" w:rsidRPr="000D373E">
        <w:rPr>
          <w:rFonts w:ascii="Times New Roman" w:hAnsi="Times New Roman" w:cs="Times New Roman"/>
          <w:iCs/>
          <w:sz w:val="24"/>
          <w:szCs w:val="24"/>
        </w:rPr>
        <w:t>OHAL</w:t>
      </w:r>
      <w:r w:rsidR="001D2D07" w:rsidRPr="00516213">
        <w:rPr>
          <w:rFonts w:ascii="Times New Roman" w:hAnsi="Times New Roman" w:cs="Times New Roman"/>
          <w:sz w:val="24"/>
          <w:szCs w:val="24"/>
        </w:rPr>
        <w:t xml:space="preserve"> (</w:t>
      </w:r>
      <w:proofErr w:type="spellStart"/>
      <w:r w:rsidR="002431E3">
        <w:rPr>
          <w:rFonts w:ascii="Times New Roman" w:hAnsi="Times New Roman" w:cs="Times New Roman"/>
          <w:i/>
          <w:iCs/>
          <w:sz w:val="24"/>
          <w:szCs w:val="24"/>
        </w:rPr>
        <w:t>olağanüstü</w:t>
      </w:r>
      <w:proofErr w:type="spellEnd"/>
      <w:r w:rsidR="002431E3">
        <w:rPr>
          <w:rFonts w:ascii="Times New Roman" w:hAnsi="Times New Roman" w:cs="Times New Roman"/>
          <w:i/>
          <w:iCs/>
          <w:sz w:val="24"/>
          <w:szCs w:val="24"/>
        </w:rPr>
        <w:t xml:space="preserve"> </w:t>
      </w:r>
      <w:proofErr w:type="spellStart"/>
      <w:r w:rsidR="002431E3">
        <w:rPr>
          <w:rFonts w:ascii="Times New Roman" w:hAnsi="Times New Roman" w:cs="Times New Roman"/>
          <w:i/>
          <w:iCs/>
          <w:sz w:val="24"/>
          <w:szCs w:val="24"/>
        </w:rPr>
        <w:t>hal</w:t>
      </w:r>
      <w:proofErr w:type="spellEnd"/>
      <w:r w:rsidR="002431E3">
        <w:rPr>
          <w:rFonts w:ascii="Times New Roman" w:hAnsi="Times New Roman" w:cs="Times New Roman"/>
          <w:i/>
          <w:iCs/>
          <w:sz w:val="24"/>
          <w:szCs w:val="24"/>
        </w:rPr>
        <w:t xml:space="preserve"> - </w:t>
      </w:r>
      <w:r w:rsidR="001D2D07" w:rsidRPr="00516213">
        <w:rPr>
          <w:rFonts w:ascii="Times New Roman" w:hAnsi="Times New Roman" w:cs="Times New Roman"/>
          <w:sz w:val="24"/>
          <w:szCs w:val="24"/>
        </w:rPr>
        <w:t>state of emergency rule)</w:t>
      </w:r>
      <w:r w:rsidR="00CF6A77" w:rsidRPr="00516213">
        <w:rPr>
          <w:rFonts w:ascii="Times New Roman" w:hAnsi="Times New Roman" w:cs="Times New Roman"/>
          <w:sz w:val="24"/>
          <w:szCs w:val="24"/>
        </w:rPr>
        <w:t xml:space="preserve"> period following the 1980 coup</w:t>
      </w:r>
      <w:r w:rsidR="004C24C0" w:rsidRPr="00516213">
        <w:rPr>
          <w:rFonts w:ascii="Times New Roman" w:hAnsi="Times New Roman" w:cs="Times New Roman"/>
          <w:sz w:val="24"/>
          <w:szCs w:val="24"/>
        </w:rPr>
        <w:t xml:space="preserve"> (Jacoby 2005)</w:t>
      </w:r>
      <w:r w:rsidR="00CF6A77" w:rsidRPr="00516213">
        <w:rPr>
          <w:rFonts w:ascii="Times New Roman" w:hAnsi="Times New Roman" w:cs="Times New Roman"/>
          <w:sz w:val="24"/>
          <w:szCs w:val="24"/>
        </w:rPr>
        <w:t>. Indeed, the 198</w:t>
      </w:r>
      <w:r w:rsidR="004C24C0" w:rsidRPr="00516213">
        <w:rPr>
          <w:rFonts w:ascii="Times New Roman" w:hAnsi="Times New Roman" w:cs="Times New Roman"/>
          <w:sz w:val="24"/>
          <w:szCs w:val="24"/>
        </w:rPr>
        <w:t>2</w:t>
      </w:r>
      <w:r w:rsidR="00CF6A77" w:rsidRPr="00516213">
        <w:rPr>
          <w:rFonts w:ascii="Times New Roman" w:hAnsi="Times New Roman" w:cs="Times New Roman"/>
          <w:sz w:val="24"/>
          <w:szCs w:val="24"/>
        </w:rPr>
        <w:t xml:space="preserve"> constitution empowered the government relative to the citizens and </w:t>
      </w:r>
      <w:r w:rsidR="00735F75" w:rsidRPr="00516213">
        <w:rPr>
          <w:rFonts w:ascii="Times New Roman" w:hAnsi="Times New Roman" w:cs="Times New Roman"/>
          <w:sz w:val="24"/>
          <w:szCs w:val="24"/>
        </w:rPr>
        <w:t>prioriti</w:t>
      </w:r>
      <w:r w:rsidR="00735F75">
        <w:rPr>
          <w:rFonts w:ascii="Times New Roman" w:hAnsi="Times New Roman" w:cs="Times New Roman"/>
          <w:sz w:val="24"/>
          <w:szCs w:val="24"/>
        </w:rPr>
        <w:t>z</w:t>
      </w:r>
      <w:r w:rsidR="00735F75" w:rsidRPr="00516213">
        <w:rPr>
          <w:rFonts w:ascii="Times New Roman" w:hAnsi="Times New Roman" w:cs="Times New Roman"/>
          <w:sz w:val="24"/>
          <w:szCs w:val="24"/>
        </w:rPr>
        <w:t xml:space="preserve">ed </w:t>
      </w:r>
      <w:r w:rsidR="00CF6A77" w:rsidRPr="00516213">
        <w:rPr>
          <w:rFonts w:ascii="Times New Roman" w:hAnsi="Times New Roman" w:cs="Times New Roman"/>
          <w:sz w:val="24"/>
          <w:szCs w:val="24"/>
        </w:rPr>
        <w:t>protecting ruling powers over rights and liberties</w:t>
      </w:r>
      <w:bookmarkStart w:id="4" w:name="_Hlk117264183"/>
      <w:r w:rsidR="00CF6A77" w:rsidRPr="00516213">
        <w:rPr>
          <w:rFonts w:ascii="Times New Roman" w:hAnsi="Times New Roman" w:cs="Times New Roman"/>
          <w:sz w:val="24"/>
          <w:szCs w:val="24"/>
        </w:rPr>
        <w:t xml:space="preserve">. </w:t>
      </w:r>
      <w:bookmarkEnd w:id="4"/>
      <w:r w:rsidR="00CF6A77" w:rsidRPr="00516213">
        <w:rPr>
          <w:rFonts w:ascii="Times New Roman" w:hAnsi="Times New Roman" w:cs="Times New Roman"/>
          <w:sz w:val="24"/>
          <w:szCs w:val="24"/>
        </w:rPr>
        <w:t xml:space="preserve">Given this political tradition, it became much easier for the AKP and MHP to argue for </w:t>
      </w:r>
      <w:r w:rsidR="002431E3">
        <w:rPr>
          <w:rFonts w:ascii="Times New Roman" w:hAnsi="Times New Roman" w:cs="Times New Roman"/>
          <w:sz w:val="24"/>
          <w:szCs w:val="24"/>
        </w:rPr>
        <w:t xml:space="preserve">the </w:t>
      </w:r>
      <w:proofErr w:type="spellStart"/>
      <w:r w:rsidR="002431E3">
        <w:rPr>
          <w:rFonts w:ascii="Times New Roman" w:hAnsi="Times New Roman" w:cs="Times New Roman"/>
          <w:sz w:val="24"/>
          <w:szCs w:val="24"/>
        </w:rPr>
        <w:t>expans</w:t>
      </w:r>
      <w:proofErr w:type="spellEnd"/>
      <w:r w:rsidR="002431E3">
        <w:rPr>
          <w:rFonts w:ascii="Times New Roman" w:hAnsi="Times New Roman" w:cs="Times New Roman"/>
          <w:sz w:val="24"/>
          <w:szCs w:val="24"/>
          <w:lang w:val="en-US"/>
        </w:rPr>
        <w:t xml:space="preserve">ion of </w:t>
      </w:r>
      <w:r w:rsidR="00CF6A77" w:rsidRPr="00516213">
        <w:rPr>
          <w:rFonts w:ascii="Times New Roman" w:hAnsi="Times New Roman" w:cs="Times New Roman"/>
          <w:sz w:val="24"/>
          <w:szCs w:val="24"/>
        </w:rPr>
        <w:t>the 2016 emergency rule to target Kurdish activism and to claim this was in line with Turkish democratic principles.</w:t>
      </w:r>
    </w:p>
    <w:p w14:paraId="7E3CCD67" w14:textId="4E376F4B" w:rsidR="00CF6A77" w:rsidRPr="00516213" w:rsidRDefault="00CF6A77" w:rsidP="000D373E">
      <w:pPr>
        <w:spacing w:line="360" w:lineRule="auto"/>
        <w:ind w:firstLine="720"/>
        <w:jc w:val="both"/>
        <w:rPr>
          <w:rFonts w:ascii="Times New Roman" w:hAnsi="Times New Roman" w:cs="Times New Roman"/>
          <w:sz w:val="24"/>
          <w:szCs w:val="24"/>
        </w:rPr>
      </w:pPr>
      <w:r w:rsidRPr="00516213">
        <w:rPr>
          <w:rFonts w:ascii="Times New Roman" w:hAnsi="Times New Roman" w:cs="Times New Roman"/>
          <w:sz w:val="24"/>
          <w:szCs w:val="24"/>
        </w:rPr>
        <w:t>We now turn to show how the use of emergency rule to target rights and liberties disproportionately impacted the Kurdish population by looking at the Kurdish elected politics</w:t>
      </w:r>
      <w:r w:rsidR="00803EDA" w:rsidRPr="00516213">
        <w:rPr>
          <w:rFonts w:ascii="Times New Roman" w:hAnsi="Times New Roman" w:cs="Times New Roman"/>
          <w:sz w:val="24"/>
          <w:szCs w:val="24"/>
        </w:rPr>
        <w:t xml:space="preserve"> and the Turkish state’s </w:t>
      </w:r>
      <w:r w:rsidRPr="00516213">
        <w:rPr>
          <w:rFonts w:ascii="Times New Roman" w:hAnsi="Times New Roman" w:cs="Times New Roman"/>
          <w:sz w:val="24"/>
          <w:szCs w:val="24"/>
        </w:rPr>
        <w:t>securit</w:t>
      </w:r>
      <w:r w:rsidR="00803EDA" w:rsidRPr="00516213">
        <w:rPr>
          <w:rFonts w:ascii="Times New Roman" w:hAnsi="Times New Roman" w:cs="Times New Roman"/>
          <w:sz w:val="24"/>
          <w:szCs w:val="24"/>
        </w:rPr>
        <w:t>izing</w:t>
      </w:r>
      <w:r w:rsidRPr="00516213">
        <w:rPr>
          <w:rFonts w:ascii="Times New Roman" w:hAnsi="Times New Roman" w:cs="Times New Roman"/>
          <w:sz w:val="24"/>
          <w:szCs w:val="24"/>
        </w:rPr>
        <w:t xml:space="preserve"> polic</w:t>
      </w:r>
      <w:r w:rsidR="00803EDA" w:rsidRPr="00516213">
        <w:rPr>
          <w:rFonts w:ascii="Times New Roman" w:hAnsi="Times New Roman" w:cs="Times New Roman"/>
          <w:sz w:val="24"/>
          <w:szCs w:val="24"/>
        </w:rPr>
        <w:t>ies on the Kurdish issue.</w:t>
      </w:r>
    </w:p>
    <w:p w14:paraId="7DA0F0C9" w14:textId="7782F7B9" w:rsidR="00CF6A77" w:rsidRPr="00516213" w:rsidRDefault="00CF6A77" w:rsidP="00703502">
      <w:pPr>
        <w:widowControl w:val="0"/>
        <w:autoSpaceDE w:val="0"/>
        <w:autoSpaceDN w:val="0"/>
        <w:adjustRightInd w:val="0"/>
        <w:spacing w:line="360" w:lineRule="auto"/>
        <w:jc w:val="both"/>
        <w:rPr>
          <w:rFonts w:ascii="Times New Roman" w:eastAsiaTheme="majorEastAsia" w:hAnsi="Times New Roman" w:cs="Times New Roman"/>
          <w:b/>
          <w:bCs/>
          <w:i/>
          <w:iCs/>
          <w:sz w:val="24"/>
          <w:szCs w:val="24"/>
        </w:rPr>
      </w:pPr>
      <w:r w:rsidRPr="00516213">
        <w:rPr>
          <w:rFonts w:ascii="Times New Roman" w:eastAsiaTheme="majorEastAsia" w:hAnsi="Times New Roman" w:cs="Times New Roman"/>
          <w:b/>
          <w:bCs/>
          <w:i/>
          <w:iCs/>
          <w:sz w:val="24"/>
          <w:szCs w:val="24"/>
        </w:rPr>
        <w:t>Elected Representatives of Kurdish Politics</w:t>
      </w:r>
    </w:p>
    <w:p w14:paraId="22423F57" w14:textId="1C4267EF" w:rsidR="00CF6A77" w:rsidRPr="00516213" w:rsidRDefault="00CF6A77" w:rsidP="00703502">
      <w:pPr>
        <w:widowControl w:val="0"/>
        <w:autoSpaceDE w:val="0"/>
        <w:autoSpaceDN w:val="0"/>
        <w:adjustRightInd w:val="0"/>
        <w:spacing w:line="360" w:lineRule="auto"/>
        <w:jc w:val="both"/>
        <w:rPr>
          <w:rFonts w:ascii="Times New Roman" w:eastAsiaTheme="majorEastAsia" w:hAnsi="Times New Roman" w:cs="Times New Roman"/>
          <w:bCs/>
          <w:sz w:val="24"/>
          <w:szCs w:val="24"/>
        </w:rPr>
      </w:pPr>
      <w:r w:rsidRPr="00516213">
        <w:rPr>
          <w:rFonts w:ascii="Times New Roman" w:eastAsiaTheme="majorEastAsia" w:hAnsi="Times New Roman" w:cs="Times New Roman"/>
          <w:bCs/>
          <w:sz w:val="24"/>
          <w:szCs w:val="24"/>
        </w:rPr>
        <w:t>Emergency decree 674 enabled the government to replace elected mayors, deputy mayors or members of municipal councils accused of terrorism</w:t>
      </w:r>
      <w:r w:rsidR="00C759A9" w:rsidRPr="00516213">
        <w:rPr>
          <w:rFonts w:ascii="Times New Roman" w:eastAsiaTheme="majorEastAsia" w:hAnsi="Times New Roman" w:cs="Times New Roman"/>
          <w:bCs/>
          <w:sz w:val="24"/>
          <w:szCs w:val="24"/>
        </w:rPr>
        <w:t>-</w:t>
      </w:r>
      <w:r w:rsidRPr="00516213">
        <w:rPr>
          <w:rFonts w:ascii="Times New Roman" w:eastAsiaTheme="majorEastAsia" w:hAnsi="Times New Roman" w:cs="Times New Roman"/>
          <w:bCs/>
          <w:sz w:val="24"/>
          <w:szCs w:val="24"/>
        </w:rPr>
        <w:t>related charges with executive trustees appointed by the Ministry of Interior (Official Gazette, 1 Sept</w:t>
      </w:r>
      <w:r w:rsidR="00DD1EBC" w:rsidRPr="00516213">
        <w:rPr>
          <w:rFonts w:ascii="Times New Roman" w:eastAsiaTheme="majorEastAsia" w:hAnsi="Times New Roman" w:cs="Times New Roman"/>
          <w:bCs/>
          <w:sz w:val="24"/>
          <w:szCs w:val="24"/>
        </w:rPr>
        <w:t>ember</w:t>
      </w:r>
      <w:r w:rsidRPr="00516213">
        <w:rPr>
          <w:rFonts w:ascii="Times New Roman" w:eastAsiaTheme="majorEastAsia" w:hAnsi="Times New Roman" w:cs="Times New Roman"/>
          <w:bCs/>
          <w:sz w:val="24"/>
          <w:szCs w:val="24"/>
        </w:rPr>
        <w:t xml:space="preserve"> 2016). </w:t>
      </w:r>
      <w:r w:rsidR="009262C3" w:rsidRPr="00516213">
        <w:rPr>
          <w:rFonts w:ascii="Times New Roman" w:eastAsiaTheme="majorEastAsia" w:hAnsi="Times New Roman" w:cs="Times New Roman"/>
          <w:bCs/>
          <w:sz w:val="24"/>
          <w:szCs w:val="24"/>
        </w:rPr>
        <w:t>T</w:t>
      </w:r>
      <w:r w:rsidRPr="00516213">
        <w:rPr>
          <w:rFonts w:ascii="Times New Roman" w:eastAsiaTheme="majorEastAsia" w:hAnsi="Times New Roman" w:cs="Times New Roman"/>
          <w:bCs/>
          <w:sz w:val="24"/>
          <w:szCs w:val="24"/>
        </w:rPr>
        <w:t xml:space="preserve">his decree was disproportionately used against Kurdish elected officials; it was used to remove almost 200 Kurdish elected officials but only three with alleged links to </w:t>
      </w:r>
      <w:r w:rsidR="004C2A17" w:rsidRPr="00516213">
        <w:rPr>
          <w:rFonts w:ascii="Times New Roman" w:eastAsiaTheme="majorEastAsia" w:hAnsi="Times New Roman" w:cs="Times New Roman"/>
          <w:bCs/>
          <w:sz w:val="24"/>
          <w:szCs w:val="24"/>
        </w:rPr>
        <w:t>FETÖ</w:t>
      </w:r>
      <w:r w:rsidR="00DD1EBC" w:rsidRPr="00516213">
        <w:rPr>
          <w:rFonts w:ascii="Times New Roman" w:eastAsiaTheme="majorEastAsia" w:hAnsi="Times New Roman" w:cs="Times New Roman"/>
          <w:bCs/>
          <w:sz w:val="24"/>
          <w:szCs w:val="24"/>
        </w:rPr>
        <w:t xml:space="preserve"> (Whiting and</w:t>
      </w:r>
      <w:r w:rsidRPr="00516213">
        <w:rPr>
          <w:rFonts w:ascii="Times New Roman" w:eastAsiaTheme="majorEastAsia" w:hAnsi="Times New Roman" w:cs="Times New Roman"/>
          <w:bCs/>
          <w:sz w:val="24"/>
          <w:szCs w:val="24"/>
        </w:rPr>
        <w:t xml:space="preserve"> Kaya 2021). Under this decree, almost all elected mayors and other local officials of the HDP were stripped of their office.</w:t>
      </w:r>
    </w:p>
    <w:p w14:paraId="4CEB8BC6" w14:textId="3C471BD0" w:rsidR="006C76BE" w:rsidRPr="00516213" w:rsidRDefault="00CF6A77" w:rsidP="000D373E">
      <w:pPr>
        <w:widowControl w:val="0"/>
        <w:autoSpaceDE w:val="0"/>
        <w:autoSpaceDN w:val="0"/>
        <w:adjustRightInd w:val="0"/>
        <w:spacing w:line="360" w:lineRule="auto"/>
        <w:ind w:firstLine="720"/>
        <w:jc w:val="both"/>
        <w:rPr>
          <w:rFonts w:ascii="Times New Roman" w:eastAsiaTheme="majorEastAsia" w:hAnsi="Times New Roman" w:cs="Times New Roman"/>
          <w:bCs/>
          <w:sz w:val="24"/>
          <w:szCs w:val="24"/>
        </w:rPr>
      </w:pPr>
      <w:r w:rsidRPr="00516213">
        <w:rPr>
          <w:rFonts w:ascii="Times New Roman" w:eastAsiaTheme="majorEastAsia" w:hAnsi="Times New Roman" w:cs="Times New Roman"/>
          <w:bCs/>
          <w:sz w:val="24"/>
          <w:szCs w:val="24"/>
        </w:rPr>
        <w:t xml:space="preserve">Many of them, including </w:t>
      </w:r>
      <w:proofErr w:type="spellStart"/>
      <w:r w:rsidRPr="00516213">
        <w:rPr>
          <w:rFonts w:ascii="Times New Roman" w:eastAsiaTheme="majorEastAsia" w:hAnsi="Times New Roman" w:cs="Times New Roman"/>
          <w:bCs/>
          <w:sz w:val="24"/>
          <w:szCs w:val="24"/>
        </w:rPr>
        <w:t>Selçuk</w:t>
      </w:r>
      <w:proofErr w:type="spellEnd"/>
      <w:r w:rsidRPr="00516213">
        <w:rPr>
          <w:rFonts w:ascii="Times New Roman" w:eastAsiaTheme="majorEastAsia" w:hAnsi="Times New Roman" w:cs="Times New Roman"/>
          <w:bCs/>
          <w:sz w:val="24"/>
          <w:szCs w:val="24"/>
        </w:rPr>
        <w:t xml:space="preserve"> </w:t>
      </w:r>
      <w:proofErr w:type="spellStart"/>
      <w:r w:rsidRPr="00516213">
        <w:rPr>
          <w:rFonts w:ascii="Times New Roman" w:eastAsiaTheme="majorEastAsia" w:hAnsi="Times New Roman" w:cs="Times New Roman"/>
          <w:bCs/>
          <w:sz w:val="24"/>
          <w:szCs w:val="24"/>
        </w:rPr>
        <w:t>Mızraklı</w:t>
      </w:r>
      <w:proofErr w:type="spellEnd"/>
      <w:r w:rsidRPr="00516213">
        <w:rPr>
          <w:rFonts w:ascii="Times New Roman" w:eastAsiaTheme="majorEastAsia" w:hAnsi="Times New Roman" w:cs="Times New Roman"/>
          <w:bCs/>
          <w:sz w:val="24"/>
          <w:szCs w:val="24"/>
        </w:rPr>
        <w:t xml:space="preserve">, the elected mayor of </w:t>
      </w:r>
      <w:proofErr w:type="spellStart"/>
      <w:r w:rsidRPr="00516213">
        <w:rPr>
          <w:rFonts w:ascii="Times New Roman" w:eastAsiaTheme="majorEastAsia" w:hAnsi="Times New Roman" w:cs="Times New Roman"/>
          <w:bCs/>
          <w:sz w:val="24"/>
          <w:szCs w:val="24"/>
        </w:rPr>
        <w:t>Diyarbakır</w:t>
      </w:r>
      <w:proofErr w:type="spellEnd"/>
      <w:r w:rsidRPr="00516213">
        <w:rPr>
          <w:rFonts w:ascii="Times New Roman" w:eastAsiaTheme="majorEastAsia" w:hAnsi="Times New Roman" w:cs="Times New Roman"/>
          <w:bCs/>
          <w:sz w:val="24"/>
          <w:szCs w:val="24"/>
        </w:rPr>
        <w:t xml:space="preserve"> Metropolitan Municipality, were subject to long pre-trial detention and imprisonment as they allegedly committed terrorist </w:t>
      </w:r>
      <w:r w:rsidR="00D12FBB" w:rsidRPr="00516213">
        <w:rPr>
          <w:rFonts w:ascii="Times New Roman" w:eastAsiaTheme="majorEastAsia" w:hAnsi="Times New Roman" w:cs="Times New Roman"/>
          <w:bCs/>
          <w:sz w:val="24"/>
          <w:szCs w:val="24"/>
        </w:rPr>
        <w:t>offen</w:t>
      </w:r>
      <w:r w:rsidR="00D12FBB">
        <w:rPr>
          <w:rFonts w:ascii="Times New Roman" w:eastAsiaTheme="majorEastAsia" w:hAnsi="Times New Roman" w:cs="Times New Roman"/>
          <w:bCs/>
          <w:sz w:val="24"/>
          <w:szCs w:val="24"/>
        </w:rPr>
        <w:t>c</w:t>
      </w:r>
      <w:r w:rsidR="00D12FBB" w:rsidRPr="00516213">
        <w:rPr>
          <w:rFonts w:ascii="Times New Roman" w:eastAsiaTheme="majorEastAsia" w:hAnsi="Times New Roman" w:cs="Times New Roman"/>
          <w:bCs/>
          <w:sz w:val="24"/>
          <w:szCs w:val="24"/>
        </w:rPr>
        <w:t>es</w:t>
      </w:r>
      <w:r w:rsidRPr="00516213">
        <w:rPr>
          <w:rFonts w:ascii="Times New Roman" w:eastAsiaTheme="majorEastAsia" w:hAnsi="Times New Roman" w:cs="Times New Roman"/>
          <w:bCs/>
          <w:sz w:val="24"/>
          <w:szCs w:val="24"/>
        </w:rPr>
        <w:t>. The courts’ decisions on pre-trial detentions often ‘relied on vague and generalized allegations by witnesses, some secret, and on details of their political activities and social media postings, which fail to establish reasonable suspicion of criminal activity that would justify detention’ (Human Rights Watch 2020b). Human Rights Watch argued that ‘removing, detaining, and putting on trial local Kurdish politicians as armed militants with no compelling evidence of criminal activity seems to be the Turkish government’s preferred way to wipe out political opposition’ (</w:t>
      </w:r>
      <w:r w:rsidR="00DD1EBC" w:rsidRPr="00516213">
        <w:rPr>
          <w:rFonts w:ascii="Times New Roman" w:eastAsiaTheme="majorEastAsia" w:hAnsi="Times New Roman" w:cs="Times New Roman"/>
          <w:bCs/>
          <w:sz w:val="24"/>
          <w:szCs w:val="24"/>
        </w:rPr>
        <w:t>Human Rights Watch 2020b</w:t>
      </w:r>
      <w:r w:rsidRPr="00516213">
        <w:rPr>
          <w:rFonts w:ascii="Times New Roman" w:eastAsiaTheme="majorEastAsia" w:hAnsi="Times New Roman" w:cs="Times New Roman"/>
          <w:bCs/>
          <w:sz w:val="24"/>
          <w:szCs w:val="24"/>
        </w:rPr>
        <w:t>).</w:t>
      </w:r>
      <w:r w:rsidR="00A73F4E" w:rsidRPr="00516213">
        <w:rPr>
          <w:rFonts w:ascii="Times New Roman" w:eastAsiaTheme="majorEastAsia" w:hAnsi="Times New Roman" w:cs="Times New Roman"/>
          <w:bCs/>
          <w:sz w:val="24"/>
          <w:szCs w:val="24"/>
        </w:rPr>
        <w:t xml:space="preserve"> Indeed</w:t>
      </w:r>
      <w:r w:rsidRPr="00516213">
        <w:rPr>
          <w:rFonts w:ascii="Times New Roman" w:eastAsiaTheme="majorEastAsia" w:hAnsi="Times New Roman" w:cs="Times New Roman"/>
          <w:bCs/>
          <w:sz w:val="24"/>
          <w:szCs w:val="24"/>
        </w:rPr>
        <w:t xml:space="preserve">, this </w:t>
      </w:r>
      <w:r w:rsidR="00C759A9" w:rsidRPr="00516213">
        <w:rPr>
          <w:rFonts w:ascii="Times New Roman" w:eastAsiaTheme="majorEastAsia" w:hAnsi="Times New Roman" w:cs="Times New Roman"/>
          <w:bCs/>
          <w:sz w:val="24"/>
          <w:szCs w:val="24"/>
        </w:rPr>
        <w:t>was</w:t>
      </w:r>
      <w:r w:rsidRPr="00516213">
        <w:rPr>
          <w:rFonts w:ascii="Times New Roman" w:eastAsiaTheme="majorEastAsia" w:hAnsi="Times New Roman" w:cs="Times New Roman"/>
          <w:bCs/>
          <w:sz w:val="24"/>
          <w:szCs w:val="24"/>
        </w:rPr>
        <w:t xml:space="preserve"> </w:t>
      </w:r>
      <w:r w:rsidR="00C759A9" w:rsidRPr="00516213">
        <w:rPr>
          <w:rFonts w:ascii="Times New Roman" w:eastAsiaTheme="majorEastAsia" w:hAnsi="Times New Roman" w:cs="Times New Roman"/>
          <w:bCs/>
          <w:sz w:val="24"/>
          <w:szCs w:val="24"/>
        </w:rPr>
        <w:t>‘</w:t>
      </w:r>
      <w:r w:rsidRPr="00516213">
        <w:rPr>
          <w:rFonts w:ascii="Times New Roman" w:eastAsiaTheme="majorEastAsia" w:hAnsi="Times New Roman" w:cs="Times New Roman"/>
          <w:bCs/>
          <w:sz w:val="24"/>
          <w:szCs w:val="24"/>
        </w:rPr>
        <w:t>the second time the authorities have systematically suspended local democracy for Kurdish voters in that region’ (</w:t>
      </w:r>
      <w:r w:rsidR="00DD1EBC" w:rsidRPr="00516213">
        <w:rPr>
          <w:rFonts w:ascii="Times New Roman" w:eastAsiaTheme="majorEastAsia" w:hAnsi="Times New Roman" w:cs="Times New Roman"/>
          <w:bCs/>
          <w:sz w:val="24"/>
          <w:szCs w:val="24"/>
        </w:rPr>
        <w:t>Human Rights Watch 2020b</w:t>
      </w:r>
      <w:r w:rsidRPr="00516213">
        <w:rPr>
          <w:rFonts w:ascii="Times New Roman" w:eastAsiaTheme="majorEastAsia" w:hAnsi="Times New Roman" w:cs="Times New Roman"/>
          <w:bCs/>
          <w:sz w:val="24"/>
          <w:szCs w:val="24"/>
        </w:rPr>
        <w:t xml:space="preserve">). The first wave of removals of HDP mayors occurred just after the declaration of the </w:t>
      </w:r>
      <w:proofErr w:type="spellStart"/>
      <w:r w:rsidR="00A73F4E" w:rsidRPr="00516213">
        <w:rPr>
          <w:rFonts w:ascii="Times New Roman" w:eastAsiaTheme="majorEastAsia" w:hAnsi="Times New Roman" w:cs="Times New Roman"/>
          <w:bCs/>
          <w:sz w:val="24"/>
          <w:szCs w:val="24"/>
        </w:rPr>
        <w:t>SoE</w:t>
      </w:r>
      <w:proofErr w:type="spellEnd"/>
      <w:r w:rsidR="00A73F4E" w:rsidRPr="00516213">
        <w:rPr>
          <w:rFonts w:ascii="Times New Roman" w:eastAsiaTheme="majorEastAsia" w:hAnsi="Times New Roman" w:cs="Times New Roman"/>
          <w:bCs/>
          <w:sz w:val="24"/>
          <w:szCs w:val="24"/>
        </w:rPr>
        <w:t xml:space="preserve"> </w:t>
      </w:r>
      <w:r w:rsidRPr="00516213">
        <w:rPr>
          <w:rFonts w:ascii="Times New Roman" w:eastAsiaTheme="majorEastAsia" w:hAnsi="Times New Roman" w:cs="Times New Roman"/>
          <w:bCs/>
          <w:sz w:val="24"/>
          <w:szCs w:val="24"/>
        </w:rPr>
        <w:t>when the AKP government amended articles 45 and 57 of the Law on Municipalities through an emergency decree and ‘took direct control of 94 HDP municipalities and removed mayors and councils who had won at the polls in 2014 local elections’ (</w:t>
      </w:r>
      <w:r w:rsidR="00DD1EBC" w:rsidRPr="00516213">
        <w:rPr>
          <w:rFonts w:ascii="Times New Roman" w:eastAsiaTheme="majorEastAsia" w:hAnsi="Times New Roman" w:cs="Times New Roman"/>
          <w:bCs/>
          <w:sz w:val="24"/>
          <w:szCs w:val="24"/>
        </w:rPr>
        <w:t>Human Rights Watch 2020b</w:t>
      </w:r>
      <w:r w:rsidRPr="00516213">
        <w:rPr>
          <w:rFonts w:ascii="Times New Roman" w:eastAsiaTheme="majorEastAsia" w:hAnsi="Times New Roman" w:cs="Times New Roman"/>
          <w:bCs/>
          <w:sz w:val="24"/>
          <w:szCs w:val="24"/>
        </w:rPr>
        <w:t>).</w:t>
      </w:r>
    </w:p>
    <w:p w14:paraId="169C04AE" w14:textId="0F02C6D8" w:rsidR="00CF6A77" w:rsidRPr="00516213" w:rsidRDefault="00CF6A77" w:rsidP="000D373E">
      <w:pPr>
        <w:widowControl w:val="0"/>
        <w:autoSpaceDE w:val="0"/>
        <w:autoSpaceDN w:val="0"/>
        <w:adjustRightInd w:val="0"/>
        <w:spacing w:line="360" w:lineRule="auto"/>
        <w:ind w:firstLine="720"/>
        <w:jc w:val="both"/>
        <w:rPr>
          <w:rFonts w:ascii="Times New Roman" w:eastAsiaTheme="majorEastAsia" w:hAnsi="Times New Roman" w:cs="Times New Roman"/>
          <w:bCs/>
          <w:sz w:val="24"/>
          <w:szCs w:val="24"/>
        </w:rPr>
      </w:pPr>
      <w:r w:rsidRPr="00516213">
        <w:rPr>
          <w:rFonts w:ascii="Times New Roman" w:eastAsiaTheme="majorEastAsia" w:hAnsi="Times New Roman" w:cs="Times New Roman"/>
          <w:bCs/>
          <w:sz w:val="24"/>
          <w:szCs w:val="24"/>
        </w:rPr>
        <w:t>Furthermore,</w:t>
      </w:r>
      <w:r w:rsidR="00DD1EBC" w:rsidRPr="00516213">
        <w:rPr>
          <w:rFonts w:ascii="Times New Roman" w:eastAsiaTheme="majorEastAsia" w:hAnsi="Times New Roman" w:cs="Times New Roman"/>
          <w:bCs/>
          <w:sz w:val="24"/>
          <w:szCs w:val="24"/>
        </w:rPr>
        <w:t xml:space="preserve"> twelve HDP deputies</w:t>
      </w:r>
      <w:r w:rsidRPr="00516213">
        <w:rPr>
          <w:rFonts w:ascii="Times New Roman" w:eastAsiaTheme="majorEastAsia" w:hAnsi="Times New Roman" w:cs="Times New Roman"/>
          <w:bCs/>
          <w:sz w:val="24"/>
          <w:szCs w:val="24"/>
        </w:rPr>
        <w:t>, including its two co-chairs</w:t>
      </w:r>
      <w:r w:rsidR="00D12FBB">
        <w:rPr>
          <w:rFonts w:ascii="Times New Roman" w:eastAsiaTheme="majorEastAsia" w:hAnsi="Times New Roman" w:cs="Times New Roman"/>
          <w:bCs/>
          <w:sz w:val="24"/>
          <w:szCs w:val="24"/>
        </w:rPr>
        <w:t>,</w:t>
      </w:r>
      <w:r w:rsidRPr="00516213">
        <w:rPr>
          <w:rFonts w:ascii="Times New Roman" w:eastAsiaTheme="majorEastAsia" w:hAnsi="Times New Roman" w:cs="Times New Roman"/>
          <w:bCs/>
          <w:sz w:val="24"/>
          <w:szCs w:val="24"/>
        </w:rPr>
        <w:t xml:space="preserve"> Selahattin Demirtaş and </w:t>
      </w:r>
      <w:proofErr w:type="spellStart"/>
      <w:r w:rsidRPr="00516213">
        <w:rPr>
          <w:rFonts w:ascii="Times New Roman" w:eastAsiaTheme="majorEastAsia" w:hAnsi="Times New Roman" w:cs="Times New Roman"/>
          <w:bCs/>
          <w:sz w:val="24"/>
          <w:szCs w:val="24"/>
        </w:rPr>
        <w:t>Figen</w:t>
      </w:r>
      <w:proofErr w:type="spellEnd"/>
      <w:r w:rsidRPr="00516213">
        <w:rPr>
          <w:rFonts w:ascii="Times New Roman" w:eastAsiaTheme="majorEastAsia" w:hAnsi="Times New Roman" w:cs="Times New Roman"/>
          <w:bCs/>
          <w:sz w:val="24"/>
          <w:szCs w:val="24"/>
        </w:rPr>
        <w:t xml:space="preserve"> </w:t>
      </w:r>
      <w:proofErr w:type="spellStart"/>
      <w:r w:rsidRPr="00516213">
        <w:rPr>
          <w:rFonts w:ascii="Times New Roman" w:eastAsiaTheme="majorEastAsia" w:hAnsi="Times New Roman" w:cs="Times New Roman"/>
          <w:bCs/>
          <w:sz w:val="24"/>
          <w:szCs w:val="24"/>
        </w:rPr>
        <w:t>Yüksekdağ</w:t>
      </w:r>
      <w:proofErr w:type="spellEnd"/>
      <w:r w:rsidRPr="00516213">
        <w:rPr>
          <w:rFonts w:ascii="Times New Roman" w:eastAsiaTheme="majorEastAsia" w:hAnsi="Times New Roman" w:cs="Times New Roman"/>
          <w:bCs/>
          <w:sz w:val="24"/>
          <w:szCs w:val="24"/>
        </w:rPr>
        <w:t xml:space="preserve">, were detained on anti-terror grounds and have been imprisoned for </w:t>
      </w:r>
      <w:r w:rsidR="003C6011" w:rsidRPr="00516213">
        <w:rPr>
          <w:rFonts w:ascii="Times New Roman" w:eastAsiaTheme="majorEastAsia" w:hAnsi="Times New Roman" w:cs="Times New Roman"/>
          <w:bCs/>
          <w:sz w:val="24"/>
          <w:szCs w:val="24"/>
        </w:rPr>
        <w:t>six</w:t>
      </w:r>
      <w:r w:rsidRPr="00516213">
        <w:rPr>
          <w:rFonts w:ascii="Times New Roman" w:eastAsiaTheme="majorEastAsia" w:hAnsi="Times New Roman" w:cs="Times New Roman"/>
          <w:bCs/>
          <w:sz w:val="24"/>
          <w:szCs w:val="24"/>
        </w:rPr>
        <w:t xml:space="preserve"> years as of </w:t>
      </w:r>
      <w:r w:rsidR="0083079C" w:rsidRPr="00516213">
        <w:rPr>
          <w:rFonts w:ascii="Times New Roman" w:eastAsiaTheme="majorEastAsia" w:hAnsi="Times New Roman" w:cs="Times New Roman"/>
          <w:bCs/>
          <w:sz w:val="24"/>
          <w:szCs w:val="24"/>
        </w:rPr>
        <w:t xml:space="preserve">November </w:t>
      </w:r>
      <w:r w:rsidRPr="00516213">
        <w:rPr>
          <w:rFonts w:ascii="Times New Roman" w:eastAsiaTheme="majorEastAsia" w:hAnsi="Times New Roman" w:cs="Times New Roman"/>
          <w:bCs/>
          <w:sz w:val="24"/>
          <w:szCs w:val="24"/>
        </w:rPr>
        <w:t>2022.</w:t>
      </w:r>
      <w:r w:rsidR="000B6C11" w:rsidRPr="00516213">
        <w:rPr>
          <w:rStyle w:val="EndnoteReference"/>
          <w:rFonts w:ascii="Times New Roman" w:eastAsiaTheme="majorEastAsia" w:hAnsi="Times New Roman" w:cs="Times New Roman"/>
          <w:bCs/>
          <w:sz w:val="24"/>
          <w:szCs w:val="24"/>
        </w:rPr>
        <w:endnoteReference w:id="3"/>
      </w:r>
      <w:r w:rsidR="000B6C11" w:rsidRPr="00516213">
        <w:rPr>
          <w:rFonts w:ascii="Times New Roman" w:eastAsiaTheme="majorEastAsia" w:hAnsi="Times New Roman" w:cs="Times New Roman"/>
          <w:bCs/>
          <w:sz w:val="24"/>
          <w:szCs w:val="24"/>
        </w:rPr>
        <w:t xml:space="preserve"> </w:t>
      </w:r>
      <w:proofErr w:type="spellStart"/>
      <w:r w:rsidR="00735F75" w:rsidRPr="00516213">
        <w:rPr>
          <w:rFonts w:ascii="Times New Roman" w:eastAsiaTheme="majorEastAsia" w:hAnsi="Times New Roman" w:cs="Times New Roman"/>
          <w:bCs/>
          <w:sz w:val="24"/>
          <w:szCs w:val="24"/>
        </w:rPr>
        <w:t>Analy</w:t>
      </w:r>
      <w:r w:rsidR="00735F75">
        <w:rPr>
          <w:rFonts w:ascii="Times New Roman" w:eastAsiaTheme="majorEastAsia" w:hAnsi="Times New Roman" w:cs="Times New Roman"/>
          <w:bCs/>
          <w:sz w:val="24"/>
          <w:szCs w:val="24"/>
        </w:rPr>
        <w:t>z</w:t>
      </w:r>
      <w:r w:rsidR="00735F75" w:rsidRPr="00516213">
        <w:rPr>
          <w:rFonts w:ascii="Times New Roman" w:eastAsiaTheme="majorEastAsia" w:hAnsi="Times New Roman" w:cs="Times New Roman"/>
          <w:bCs/>
          <w:sz w:val="24"/>
          <w:szCs w:val="24"/>
        </w:rPr>
        <w:t>ing</w:t>
      </w:r>
      <w:proofErr w:type="spellEnd"/>
      <w:r w:rsidR="00735F75" w:rsidRPr="00516213">
        <w:rPr>
          <w:rFonts w:ascii="Times New Roman" w:eastAsiaTheme="majorEastAsia" w:hAnsi="Times New Roman" w:cs="Times New Roman"/>
          <w:bCs/>
          <w:sz w:val="24"/>
          <w:szCs w:val="24"/>
        </w:rPr>
        <w:t xml:space="preserve"> </w:t>
      </w:r>
      <w:r w:rsidR="009F2BC8" w:rsidRPr="00516213">
        <w:rPr>
          <w:rFonts w:ascii="Times New Roman" w:eastAsiaTheme="majorEastAsia" w:hAnsi="Times New Roman" w:cs="Times New Roman"/>
          <w:bCs/>
          <w:sz w:val="24"/>
          <w:szCs w:val="24"/>
        </w:rPr>
        <w:t xml:space="preserve">indictments against HDP deputies, Human Rights Watch concluded that ‘the bulk of the prosecution’s evidence consists of the defendants’ public speeches and activities as politicians and in no case is there evidence of material connection with violent acts’ (Human Rights Watch 2020a). </w:t>
      </w:r>
      <w:r w:rsidRPr="00516213">
        <w:rPr>
          <w:rFonts w:ascii="Times New Roman" w:eastAsiaTheme="majorEastAsia" w:hAnsi="Times New Roman" w:cs="Times New Roman"/>
          <w:bCs/>
          <w:sz w:val="24"/>
          <w:szCs w:val="24"/>
        </w:rPr>
        <w:t>The E</w:t>
      </w:r>
      <w:r w:rsidR="00DD1EBC" w:rsidRPr="00516213">
        <w:rPr>
          <w:rFonts w:ascii="Times New Roman" w:eastAsiaTheme="majorEastAsia" w:hAnsi="Times New Roman" w:cs="Times New Roman"/>
          <w:bCs/>
          <w:sz w:val="24"/>
          <w:szCs w:val="24"/>
        </w:rPr>
        <w:t xml:space="preserve">uropean </w:t>
      </w:r>
      <w:r w:rsidRPr="00516213">
        <w:rPr>
          <w:rFonts w:ascii="Times New Roman" w:eastAsiaTheme="majorEastAsia" w:hAnsi="Times New Roman" w:cs="Times New Roman"/>
          <w:bCs/>
          <w:sz w:val="24"/>
          <w:szCs w:val="24"/>
        </w:rPr>
        <w:t>C</w:t>
      </w:r>
      <w:r w:rsidR="00DD1EBC" w:rsidRPr="00516213">
        <w:rPr>
          <w:rFonts w:ascii="Times New Roman" w:eastAsiaTheme="majorEastAsia" w:hAnsi="Times New Roman" w:cs="Times New Roman"/>
          <w:bCs/>
          <w:sz w:val="24"/>
          <w:szCs w:val="24"/>
        </w:rPr>
        <w:t xml:space="preserve">ourt of </w:t>
      </w:r>
      <w:r w:rsidRPr="00516213">
        <w:rPr>
          <w:rFonts w:ascii="Times New Roman" w:eastAsiaTheme="majorEastAsia" w:hAnsi="Times New Roman" w:cs="Times New Roman"/>
          <w:bCs/>
          <w:sz w:val="24"/>
          <w:szCs w:val="24"/>
        </w:rPr>
        <w:t>H</w:t>
      </w:r>
      <w:r w:rsidR="00DD1EBC" w:rsidRPr="00516213">
        <w:rPr>
          <w:rFonts w:ascii="Times New Roman" w:eastAsiaTheme="majorEastAsia" w:hAnsi="Times New Roman" w:cs="Times New Roman"/>
          <w:bCs/>
          <w:sz w:val="24"/>
          <w:szCs w:val="24"/>
        </w:rPr>
        <w:t xml:space="preserve">uman </w:t>
      </w:r>
      <w:r w:rsidRPr="00516213">
        <w:rPr>
          <w:rFonts w:ascii="Times New Roman" w:eastAsiaTheme="majorEastAsia" w:hAnsi="Times New Roman" w:cs="Times New Roman"/>
          <w:bCs/>
          <w:sz w:val="24"/>
          <w:szCs w:val="24"/>
        </w:rPr>
        <w:t>R</w:t>
      </w:r>
      <w:r w:rsidR="00DD1EBC" w:rsidRPr="00516213">
        <w:rPr>
          <w:rFonts w:ascii="Times New Roman" w:eastAsiaTheme="majorEastAsia" w:hAnsi="Times New Roman" w:cs="Times New Roman"/>
          <w:bCs/>
          <w:sz w:val="24"/>
          <w:szCs w:val="24"/>
        </w:rPr>
        <w:t>ights</w:t>
      </w:r>
      <w:r w:rsidRPr="00516213">
        <w:rPr>
          <w:rFonts w:ascii="Times New Roman" w:eastAsiaTheme="majorEastAsia" w:hAnsi="Times New Roman" w:cs="Times New Roman"/>
          <w:bCs/>
          <w:sz w:val="24"/>
          <w:szCs w:val="24"/>
        </w:rPr>
        <w:t xml:space="preserve"> ruled that Turkey violated article 18 of the European Convention on Human Rights for the first time since ‘the extensions of Mr Demirtaş’s detention, especially during two crucial campaigns, namely the referendum and the presidential election, had pursued the predominant ulterior purpose of stifling pluralism and limiting freedom of political debate’ (European Court of Human Rights 2018).</w:t>
      </w:r>
    </w:p>
    <w:p w14:paraId="2810E136" w14:textId="7892FC7F" w:rsidR="00CF6A77" w:rsidRPr="00516213" w:rsidRDefault="00567928" w:rsidP="000D373E">
      <w:pPr>
        <w:widowControl w:val="0"/>
        <w:autoSpaceDE w:val="0"/>
        <w:autoSpaceDN w:val="0"/>
        <w:adjustRightInd w:val="0"/>
        <w:spacing w:line="360" w:lineRule="auto"/>
        <w:ind w:firstLine="720"/>
        <w:jc w:val="both"/>
        <w:rPr>
          <w:rFonts w:ascii="Times New Roman" w:eastAsiaTheme="majorEastAsia" w:hAnsi="Times New Roman" w:cs="Times New Roman"/>
          <w:bCs/>
          <w:sz w:val="24"/>
          <w:szCs w:val="24"/>
        </w:rPr>
      </w:pPr>
      <w:r w:rsidRPr="00516213">
        <w:rPr>
          <w:rFonts w:ascii="Times New Roman" w:eastAsiaTheme="majorEastAsia" w:hAnsi="Times New Roman" w:cs="Times New Roman"/>
          <w:bCs/>
          <w:sz w:val="24"/>
          <w:szCs w:val="24"/>
        </w:rPr>
        <w:t>T</w:t>
      </w:r>
      <w:r w:rsidR="00CF6A77" w:rsidRPr="00516213">
        <w:rPr>
          <w:rFonts w:ascii="Times New Roman" w:eastAsiaTheme="majorEastAsia" w:hAnsi="Times New Roman" w:cs="Times New Roman"/>
          <w:bCs/>
          <w:sz w:val="24"/>
          <w:szCs w:val="24"/>
        </w:rPr>
        <w:t>he extension of emergency decrees to Kurdish elected officials</w:t>
      </w:r>
      <w:r w:rsidR="006C76BE" w:rsidRPr="00516213">
        <w:rPr>
          <w:rFonts w:ascii="Times New Roman" w:eastAsiaTheme="majorEastAsia" w:hAnsi="Times New Roman" w:cs="Times New Roman"/>
          <w:bCs/>
          <w:sz w:val="24"/>
          <w:szCs w:val="24"/>
        </w:rPr>
        <w:t xml:space="preserve"> </w:t>
      </w:r>
      <w:r w:rsidR="00E03F9A">
        <w:rPr>
          <w:rFonts w:ascii="Times New Roman" w:eastAsiaTheme="majorEastAsia" w:hAnsi="Times New Roman" w:cs="Times New Roman"/>
          <w:bCs/>
          <w:sz w:val="24"/>
          <w:szCs w:val="24"/>
        </w:rPr>
        <w:t xml:space="preserve">was </w:t>
      </w:r>
      <w:r w:rsidR="006C76BE" w:rsidRPr="00516213">
        <w:rPr>
          <w:rFonts w:ascii="Times New Roman" w:eastAsiaTheme="majorEastAsia" w:hAnsi="Times New Roman" w:cs="Times New Roman"/>
          <w:bCs/>
          <w:sz w:val="24"/>
          <w:szCs w:val="24"/>
        </w:rPr>
        <w:t>built</w:t>
      </w:r>
      <w:r w:rsidR="00CF6A77" w:rsidRPr="00516213">
        <w:rPr>
          <w:rFonts w:ascii="Times New Roman" w:eastAsiaTheme="majorEastAsia" w:hAnsi="Times New Roman" w:cs="Times New Roman"/>
          <w:bCs/>
          <w:sz w:val="24"/>
          <w:szCs w:val="24"/>
        </w:rPr>
        <w:t xml:space="preserve"> upon existing policies pursued by the AKP in power. </w:t>
      </w:r>
      <w:r w:rsidR="006C76BE" w:rsidRPr="00516213">
        <w:rPr>
          <w:rFonts w:ascii="Times New Roman" w:eastAsiaTheme="majorEastAsia" w:hAnsi="Times New Roman" w:cs="Times New Roman"/>
          <w:bCs/>
          <w:sz w:val="24"/>
          <w:szCs w:val="24"/>
        </w:rPr>
        <w:t>As noted earlier, t</w:t>
      </w:r>
      <w:r w:rsidR="00CF6A77" w:rsidRPr="00516213">
        <w:rPr>
          <w:rFonts w:ascii="Times New Roman" w:eastAsiaTheme="majorEastAsia" w:hAnsi="Times New Roman" w:cs="Times New Roman"/>
          <w:bCs/>
          <w:sz w:val="24"/>
          <w:szCs w:val="24"/>
        </w:rPr>
        <w:t xml:space="preserve">his interaction of pre-existing policies and emergency decrees is a hallmark of </w:t>
      </w:r>
      <w:r w:rsidR="00E92C6C">
        <w:rPr>
          <w:rFonts w:ascii="Times New Roman" w:eastAsiaTheme="majorEastAsia" w:hAnsi="Times New Roman" w:cs="Times New Roman"/>
          <w:bCs/>
          <w:sz w:val="24"/>
          <w:szCs w:val="24"/>
        </w:rPr>
        <w:t xml:space="preserve">the </w:t>
      </w:r>
      <w:r w:rsidR="00CF6A77" w:rsidRPr="00516213">
        <w:rPr>
          <w:rFonts w:ascii="Times New Roman" w:eastAsiaTheme="majorEastAsia" w:hAnsi="Times New Roman" w:cs="Times New Roman"/>
          <w:bCs/>
          <w:sz w:val="24"/>
          <w:szCs w:val="24"/>
        </w:rPr>
        <w:t xml:space="preserve">modular emergency rule. For example, on 20 May 2016, </w:t>
      </w:r>
      <w:r w:rsidR="006C76BE" w:rsidRPr="00516213">
        <w:rPr>
          <w:rFonts w:ascii="Times New Roman" w:eastAsiaTheme="majorEastAsia" w:hAnsi="Times New Roman" w:cs="Times New Roman"/>
          <w:bCs/>
          <w:sz w:val="24"/>
          <w:szCs w:val="24"/>
        </w:rPr>
        <w:t xml:space="preserve">two months </w:t>
      </w:r>
      <w:r w:rsidR="00CF6A77" w:rsidRPr="00516213">
        <w:rPr>
          <w:rFonts w:ascii="Times New Roman" w:eastAsiaTheme="majorEastAsia" w:hAnsi="Times New Roman" w:cs="Times New Roman"/>
          <w:bCs/>
          <w:sz w:val="24"/>
          <w:szCs w:val="24"/>
        </w:rPr>
        <w:t xml:space="preserve">before the </w:t>
      </w:r>
      <w:proofErr w:type="spellStart"/>
      <w:r w:rsidR="00A73F4E" w:rsidRPr="00516213">
        <w:rPr>
          <w:rFonts w:ascii="Times New Roman" w:eastAsiaTheme="majorEastAsia" w:hAnsi="Times New Roman" w:cs="Times New Roman"/>
          <w:bCs/>
          <w:sz w:val="24"/>
          <w:szCs w:val="24"/>
        </w:rPr>
        <w:t>SoE</w:t>
      </w:r>
      <w:proofErr w:type="spellEnd"/>
      <w:r w:rsidR="00A73F4E" w:rsidRPr="00516213">
        <w:rPr>
          <w:rFonts w:ascii="Times New Roman" w:eastAsiaTheme="majorEastAsia" w:hAnsi="Times New Roman" w:cs="Times New Roman"/>
          <w:bCs/>
          <w:sz w:val="24"/>
          <w:szCs w:val="24"/>
        </w:rPr>
        <w:t xml:space="preserve"> </w:t>
      </w:r>
      <w:r w:rsidR="00CF6A77" w:rsidRPr="00516213">
        <w:rPr>
          <w:rFonts w:ascii="Times New Roman" w:eastAsiaTheme="majorEastAsia" w:hAnsi="Times New Roman" w:cs="Times New Roman"/>
          <w:bCs/>
          <w:sz w:val="24"/>
          <w:szCs w:val="24"/>
        </w:rPr>
        <w:t xml:space="preserve">was declared, 40 HDP deputies’ parliamentary immunity from prosecution </w:t>
      </w:r>
      <w:r w:rsidR="006C76BE" w:rsidRPr="00516213">
        <w:rPr>
          <w:rFonts w:ascii="Times New Roman" w:eastAsiaTheme="majorEastAsia" w:hAnsi="Times New Roman" w:cs="Times New Roman"/>
          <w:bCs/>
          <w:sz w:val="24"/>
          <w:szCs w:val="24"/>
        </w:rPr>
        <w:t>was</w:t>
      </w:r>
      <w:r w:rsidR="00CF6A77" w:rsidRPr="00516213">
        <w:rPr>
          <w:rFonts w:ascii="Times New Roman" w:eastAsiaTheme="majorEastAsia" w:hAnsi="Times New Roman" w:cs="Times New Roman"/>
          <w:bCs/>
          <w:sz w:val="24"/>
          <w:szCs w:val="24"/>
        </w:rPr>
        <w:t xml:space="preserve"> removed through a controversial temporary constitutional amendment (Human Rights Watch 2020a). </w:t>
      </w:r>
      <w:r w:rsidR="00836BCA" w:rsidRPr="00516213">
        <w:rPr>
          <w:rFonts w:ascii="Times New Roman" w:eastAsiaTheme="majorEastAsia" w:hAnsi="Times New Roman" w:cs="Times New Roman"/>
          <w:bCs/>
          <w:sz w:val="24"/>
          <w:szCs w:val="24"/>
        </w:rPr>
        <w:t xml:space="preserve">This amendment was </w:t>
      </w:r>
      <w:r w:rsidR="007A1EC2" w:rsidRPr="00516213">
        <w:rPr>
          <w:rFonts w:ascii="Times New Roman" w:eastAsiaTheme="majorEastAsia" w:hAnsi="Times New Roman" w:cs="Times New Roman"/>
          <w:bCs/>
          <w:sz w:val="24"/>
          <w:szCs w:val="24"/>
        </w:rPr>
        <w:t xml:space="preserve">also </w:t>
      </w:r>
      <w:r w:rsidR="00836BCA" w:rsidRPr="00516213">
        <w:rPr>
          <w:rFonts w:ascii="Times New Roman" w:eastAsiaTheme="majorEastAsia" w:hAnsi="Times New Roman" w:cs="Times New Roman"/>
          <w:bCs/>
          <w:sz w:val="24"/>
          <w:szCs w:val="24"/>
        </w:rPr>
        <w:t xml:space="preserve">supported by the main opposition </w:t>
      </w:r>
      <w:r w:rsidR="005B02EF">
        <w:rPr>
          <w:rFonts w:ascii="Times New Roman" w:eastAsiaTheme="majorEastAsia" w:hAnsi="Times New Roman" w:cs="Times New Roman"/>
          <w:bCs/>
          <w:sz w:val="24"/>
          <w:szCs w:val="24"/>
        </w:rPr>
        <w:t>CHP</w:t>
      </w:r>
      <w:r w:rsidR="00E92C6C">
        <w:rPr>
          <w:rFonts w:ascii="Times New Roman" w:eastAsiaTheme="majorEastAsia" w:hAnsi="Times New Roman" w:cs="Times New Roman"/>
          <w:bCs/>
          <w:sz w:val="24"/>
          <w:szCs w:val="24"/>
        </w:rPr>
        <w:t>,</w:t>
      </w:r>
      <w:r w:rsidR="00836BCA" w:rsidRPr="00516213">
        <w:rPr>
          <w:rFonts w:ascii="Times New Roman" w:eastAsiaTheme="majorEastAsia" w:hAnsi="Times New Roman" w:cs="Times New Roman"/>
          <w:bCs/>
          <w:sz w:val="24"/>
          <w:szCs w:val="24"/>
        </w:rPr>
        <w:t xml:space="preserve"> even though </w:t>
      </w:r>
      <w:proofErr w:type="spellStart"/>
      <w:r w:rsidR="00836BCA" w:rsidRPr="00516213">
        <w:rPr>
          <w:rFonts w:ascii="Times New Roman" w:eastAsiaTheme="majorEastAsia" w:hAnsi="Times New Roman" w:cs="Times New Roman"/>
          <w:bCs/>
          <w:sz w:val="24"/>
          <w:szCs w:val="24"/>
        </w:rPr>
        <w:t>Kılıçdaroğlu</w:t>
      </w:r>
      <w:proofErr w:type="spellEnd"/>
      <w:r w:rsidR="00836BCA" w:rsidRPr="00516213">
        <w:rPr>
          <w:rFonts w:ascii="Times New Roman" w:eastAsiaTheme="majorEastAsia" w:hAnsi="Times New Roman" w:cs="Times New Roman"/>
          <w:bCs/>
          <w:sz w:val="24"/>
          <w:szCs w:val="24"/>
        </w:rPr>
        <w:t xml:space="preserve"> admitted that this measure ‘is against the constitution</w:t>
      </w:r>
      <w:r w:rsidR="003C6011" w:rsidRPr="00516213">
        <w:rPr>
          <w:rFonts w:ascii="Times New Roman" w:eastAsiaTheme="majorEastAsia" w:hAnsi="Times New Roman" w:cs="Times New Roman"/>
          <w:bCs/>
          <w:sz w:val="24"/>
          <w:szCs w:val="24"/>
        </w:rPr>
        <w:t>’</w:t>
      </w:r>
      <w:r w:rsidR="007A1EC2" w:rsidRPr="00516213">
        <w:rPr>
          <w:rFonts w:ascii="Times New Roman" w:eastAsiaTheme="majorEastAsia" w:hAnsi="Times New Roman" w:cs="Times New Roman"/>
          <w:bCs/>
          <w:sz w:val="24"/>
          <w:szCs w:val="24"/>
        </w:rPr>
        <w:t xml:space="preserve"> (</w:t>
      </w:r>
      <w:r w:rsidR="00C72564" w:rsidRPr="00516213">
        <w:rPr>
          <w:rFonts w:ascii="Times New Roman" w:eastAsiaTheme="majorEastAsia" w:hAnsi="Times New Roman" w:cs="Times New Roman"/>
          <w:bCs/>
          <w:sz w:val="24"/>
          <w:szCs w:val="24"/>
        </w:rPr>
        <w:t>Reuters 2016)</w:t>
      </w:r>
      <w:r w:rsidR="00836BCA" w:rsidRPr="00516213">
        <w:rPr>
          <w:rFonts w:ascii="Times New Roman" w:eastAsiaTheme="majorEastAsia" w:hAnsi="Times New Roman" w:cs="Times New Roman"/>
          <w:bCs/>
          <w:sz w:val="24"/>
          <w:szCs w:val="24"/>
        </w:rPr>
        <w:t>.</w:t>
      </w:r>
      <w:r w:rsidR="007A1EC2" w:rsidRPr="00516213">
        <w:rPr>
          <w:rFonts w:ascii="Times New Roman" w:eastAsiaTheme="majorEastAsia" w:hAnsi="Times New Roman" w:cs="Times New Roman"/>
          <w:bCs/>
          <w:sz w:val="24"/>
          <w:szCs w:val="24"/>
        </w:rPr>
        <w:t xml:space="preserve"> </w:t>
      </w:r>
      <w:r w:rsidR="00CF6A77" w:rsidRPr="00516213">
        <w:rPr>
          <w:rFonts w:ascii="Times New Roman" w:eastAsiaTheme="majorEastAsia" w:hAnsi="Times New Roman" w:cs="Times New Roman"/>
          <w:bCs/>
          <w:sz w:val="24"/>
          <w:szCs w:val="24"/>
        </w:rPr>
        <w:t>As such, the application of an emergency decree to remove local and national HDP representatives was easier</w:t>
      </w:r>
      <w:r w:rsidR="00E92C6C">
        <w:rPr>
          <w:rFonts w:ascii="Times New Roman" w:eastAsiaTheme="majorEastAsia" w:hAnsi="Times New Roman" w:cs="Times New Roman"/>
          <w:bCs/>
          <w:sz w:val="24"/>
          <w:szCs w:val="24"/>
        </w:rPr>
        <w:t>,</w:t>
      </w:r>
      <w:r w:rsidR="00CF6A77" w:rsidRPr="00516213">
        <w:rPr>
          <w:rFonts w:ascii="Times New Roman" w:eastAsiaTheme="majorEastAsia" w:hAnsi="Times New Roman" w:cs="Times New Roman"/>
          <w:bCs/>
          <w:sz w:val="24"/>
          <w:szCs w:val="24"/>
        </w:rPr>
        <w:t xml:space="preserve"> given </w:t>
      </w:r>
      <w:r w:rsidR="003B592E" w:rsidRPr="00516213">
        <w:rPr>
          <w:rFonts w:ascii="Times New Roman" w:eastAsiaTheme="majorEastAsia" w:hAnsi="Times New Roman" w:cs="Times New Roman"/>
          <w:bCs/>
          <w:sz w:val="24"/>
          <w:szCs w:val="24"/>
        </w:rPr>
        <w:t xml:space="preserve">that </w:t>
      </w:r>
      <w:r w:rsidR="00CF6A77" w:rsidRPr="00516213">
        <w:rPr>
          <w:rFonts w:ascii="Times New Roman" w:eastAsiaTheme="majorEastAsia" w:hAnsi="Times New Roman" w:cs="Times New Roman"/>
          <w:bCs/>
          <w:sz w:val="24"/>
          <w:szCs w:val="24"/>
        </w:rPr>
        <w:t>they were already a government target</w:t>
      </w:r>
      <w:r w:rsidR="007A1EC2" w:rsidRPr="00516213">
        <w:rPr>
          <w:rFonts w:ascii="Times New Roman" w:eastAsiaTheme="majorEastAsia" w:hAnsi="Times New Roman" w:cs="Times New Roman"/>
          <w:bCs/>
          <w:sz w:val="24"/>
          <w:szCs w:val="24"/>
        </w:rPr>
        <w:t xml:space="preserve"> with no objection </w:t>
      </w:r>
      <w:r w:rsidR="00DA4EDE" w:rsidRPr="00516213">
        <w:rPr>
          <w:rFonts w:ascii="Times New Roman" w:eastAsiaTheme="majorEastAsia" w:hAnsi="Times New Roman" w:cs="Times New Roman"/>
          <w:bCs/>
          <w:sz w:val="24"/>
          <w:szCs w:val="24"/>
        </w:rPr>
        <w:t xml:space="preserve">from </w:t>
      </w:r>
      <w:r w:rsidR="00C72564" w:rsidRPr="00516213">
        <w:rPr>
          <w:rFonts w:ascii="Times New Roman" w:eastAsiaTheme="majorEastAsia" w:hAnsi="Times New Roman" w:cs="Times New Roman"/>
          <w:bCs/>
          <w:sz w:val="24"/>
          <w:szCs w:val="24"/>
        </w:rPr>
        <w:t xml:space="preserve">the </w:t>
      </w:r>
      <w:r w:rsidR="00DA4EDE" w:rsidRPr="00516213">
        <w:rPr>
          <w:rFonts w:ascii="Times New Roman" w:eastAsiaTheme="majorEastAsia" w:hAnsi="Times New Roman" w:cs="Times New Roman"/>
          <w:bCs/>
          <w:sz w:val="24"/>
          <w:szCs w:val="24"/>
        </w:rPr>
        <w:t>opposition parties other th</w:t>
      </w:r>
      <w:r w:rsidR="00C72564" w:rsidRPr="00516213">
        <w:rPr>
          <w:rFonts w:ascii="Times New Roman" w:eastAsiaTheme="majorEastAsia" w:hAnsi="Times New Roman" w:cs="Times New Roman"/>
          <w:bCs/>
          <w:sz w:val="24"/>
          <w:szCs w:val="24"/>
        </w:rPr>
        <w:t>a</w:t>
      </w:r>
      <w:r w:rsidR="00DA4EDE" w:rsidRPr="00516213">
        <w:rPr>
          <w:rFonts w:ascii="Times New Roman" w:eastAsiaTheme="majorEastAsia" w:hAnsi="Times New Roman" w:cs="Times New Roman"/>
          <w:bCs/>
          <w:sz w:val="24"/>
          <w:szCs w:val="24"/>
        </w:rPr>
        <w:t xml:space="preserve">n </w:t>
      </w:r>
      <w:r w:rsidR="00C72564" w:rsidRPr="00516213">
        <w:rPr>
          <w:rFonts w:ascii="Times New Roman" w:eastAsiaTheme="majorEastAsia" w:hAnsi="Times New Roman" w:cs="Times New Roman"/>
          <w:bCs/>
          <w:sz w:val="24"/>
          <w:szCs w:val="24"/>
        </w:rPr>
        <w:t xml:space="preserve">the </w:t>
      </w:r>
      <w:r w:rsidR="00DA4EDE" w:rsidRPr="00516213">
        <w:rPr>
          <w:rFonts w:ascii="Times New Roman" w:eastAsiaTheme="majorEastAsia" w:hAnsi="Times New Roman" w:cs="Times New Roman"/>
          <w:bCs/>
          <w:sz w:val="24"/>
          <w:szCs w:val="24"/>
        </w:rPr>
        <w:t>HDP</w:t>
      </w:r>
      <w:r w:rsidR="00633AD3" w:rsidRPr="00516213">
        <w:rPr>
          <w:rFonts w:ascii="Times New Roman" w:eastAsiaTheme="majorEastAsia" w:hAnsi="Times New Roman" w:cs="Times New Roman"/>
          <w:bCs/>
          <w:sz w:val="24"/>
          <w:szCs w:val="24"/>
        </w:rPr>
        <w:t xml:space="preserve"> itself</w:t>
      </w:r>
      <w:r w:rsidR="00CF6A77" w:rsidRPr="00516213">
        <w:rPr>
          <w:rFonts w:ascii="Times New Roman" w:eastAsiaTheme="majorEastAsia" w:hAnsi="Times New Roman" w:cs="Times New Roman"/>
          <w:bCs/>
          <w:sz w:val="24"/>
          <w:szCs w:val="24"/>
        </w:rPr>
        <w:t xml:space="preserve">. The emergency decree simply made an existing policy easier to pursue rather than being a brand-new policy. </w:t>
      </w:r>
      <w:r w:rsidRPr="00516213">
        <w:rPr>
          <w:rFonts w:ascii="Times New Roman" w:eastAsiaTheme="majorEastAsia" w:hAnsi="Times New Roman" w:cs="Times New Roman"/>
          <w:bCs/>
          <w:sz w:val="24"/>
          <w:szCs w:val="24"/>
        </w:rPr>
        <w:t xml:space="preserve">This approach was </w:t>
      </w:r>
      <w:r w:rsidR="006C76BE" w:rsidRPr="00516213">
        <w:rPr>
          <w:rFonts w:ascii="Times New Roman" w:eastAsiaTheme="majorEastAsia" w:hAnsi="Times New Roman" w:cs="Times New Roman"/>
          <w:bCs/>
          <w:sz w:val="24"/>
          <w:szCs w:val="24"/>
        </w:rPr>
        <w:t xml:space="preserve">also </w:t>
      </w:r>
      <w:r w:rsidRPr="00516213">
        <w:rPr>
          <w:rFonts w:ascii="Times New Roman" w:eastAsiaTheme="majorEastAsia" w:hAnsi="Times New Roman" w:cs="Times New Roman"/>
          <w:bCs/>
          <w:sz w:val="24"/>
          <w:szCs w:val="24"/>
        </w:rPr>
        <w:t xml:space="preserve">building on </w:t>
      </w:r>
      <w:r w:rsidR="00CF6A77" w:rsidRPr="00516213">
        <w:rPr>
          <w:rFonts w:ascii="Times New Roman" w:eastAsiaTheme="majorEastAsia" w:hAnsi="Times New Roman" w:cs="Times New Roman"/>
          <w:bCs/>
          <w:sz w:val="24"/>
          <w:szCs w:val="24"/>
        </w:rPr>
        <w:t xml:space="preserve">an established history throughout the 1990s of using the constitutional court to shut down Kurdish political parties and ban Kurdish elective representatives from political life. Again, this made the extension of exceptional measures to Kurdish representatives more acceptable as it was not a new </w:t>
      </w:r>
      <w:proofErr w:type="gramStart"/>
      <w:r w:rsidR="00CF6A77" w:rsidRPr="00516213">
        <w:rPr>
          <w:rFonts w:ascii="Times New Roman" w:eastAsiaTheme="majorEastAsia" w:hAnsi="Times New Roman" w:cs="Times New Roman"/>
          <w:bCs/>
          <w:sz w:val="24"/>
          <w:szCs w:val="24"/>
        </w:rPr>
        <w:t>beginning</w:t>
      </w:r>
      <w:proofErr w:type="gramEnd"/>
      <w:r w:rsidR="00CF6A77" w:rsidRPr="00516213">
        <w:rPr>
          <w:rFonts w:ascii="Times New Roman" w:eastAsiaTheme="majorEastAsia" w:hAnsi="Times New Roman" w:cs="Times New Roman"/>
          <w:bCs/>
          <w:sz w:val="24"/>
          <w:szCs w:val="24"/>
        </w:rPr>
        <w:t xml:space="preserve"> but </w:t>
      </w:r>
      <w:r w:rsidR="006C76BE" w:rsidRPr="00516213">
        <w:rPr>
          <w:rFonts w:ascii="Times New Roman" w:eastAsiaTheme="majorEastAsia" w:hAnsi="Times New Roman" w:cs="Times New Roman"/>
          <w:bCs/>
          <w:sz w:val="24"/>
          <w:szCs w:val="24"/>
        </w:rPr>
        <w:t xml:space="preserve">it was </w:t>
      </w:r>
      <w:r w:rsidR="00E92C6C" w:rsidRPr="00516213">
        <w:rPr>
          <w:rFonts w:ascii="Times New Roman" w:eastAsiaTheme="majorEastAsia" w:hAnsi="Times New Roman" w:cs="Times New Roman"/>
          <w:bCs/>
          <w:sz w:val="24"/>
          <w:szCs w:val="24"/>
        </w:rPr>
        <w:t xml:space="preserve">rather </w:t>
      </w:r>
      <w:r w:rsidR="00CF6A77" w:rsidRPr="00516213">
        <w:rPr>
          <w:rFonts w:ascii="Times New Roman" w:eastAsiaTheme="majorEastAsia" w:hAnsi="Times New Roman" w:cs="Times New Roman"/>
          <w:bCs/>
          <w:sz w:val="24"/>
          <w:szCs w:val="24"/>
        </w:rPr>
        <w:t xml:space="preserve">an </w:t>
      </w:r>
      <w:r w:rsidR="006C76BE" w:rsidRPr="00516213">
        <w:rPr>
          <w:rFonts w:ascii="Times New Roman" w:eastAsiaTheme="majorEastAsia" w:hAnsi="Times New Roman" w:cs="Times New Roman"/>
          <w:bCs/>
          <w:sz w:val="24"/>
          <w:szCs w:val="24"/>
        </w:rPr>
        <w:t xml:space="preserve">already </w:t>
      </w:r>
      <w:r w:rsidR="00CF6A77" w:rsidRPr="00516213">
        <w:rPr>
          <w:rFonts w:ascii="Times New Roman" w:eastAsiaTheme="majorEastAsia" w:hAnsi="Times New Roman" w:cs="Times New Roman"/>
          <w:bCs/>
          <w:sz w:val="24"/>
          <w:szCs w:val="24"/>
        </w:rPr>
        <w:t>established practice within Turkish political life.</w:t>
      </w:r>
    </w:p>
    <w:p w14:paraId="2A9C97FB" w14:textId="6250DADA" w:rsidR="00CF6A77" w:rsidRPr="00516213" w:rsidRDefault="00CF6A77" w:rsidP="000D373E">
      <w:pPr>
        <w:pStyle w:val="Heading2"/>
      </w:pPr>
      <w:r w:rsidRPr="00516213">
        <w:t>Security Policy in the Kurdish Populated Region</w:t>
      </w:r>
    </w:p>
    <w:p w14:paraId="547F36F9" w14:textId="3DC0E200" w:rsidR="00CF6A77" w:rsidRPr="00516213" w:rsidRDefault="00CF6A77" w:rsidP="00703502">
      <w:pPr>
        <w:spacing w:line="360" w:lineRule="auto"/>
        <w:jc w:val="both"/>
        <w:rPr>
          <w:rFonts w:ascii="Times New Roman" w:eastAsiaTheme="majorEastAsia" w:hAnsi="Times New Roman" w:cs="Times New Roman"/>
          <w:bCs/>
          <w:sz w:val="24"/>
          <w:szCs w:val="24"/>
        </w:rPr>
      </w:pPr>
      <w:r w:rsidRPr="00516213">
        <w:rPr>
          <w:rFonts w:ascii="Times New Roman" w:eastAsiaTheme="majorEastAsia" w:hAnsi="Times New Roman" w:cs="Times New Roman"/>
          <w:bCs/>
          <w:sz w:val="24"/>
          <w:szCs w:val="24"/>
        </w:rPr>
        <w:t xml:space="preserve">The use of emergency measures accompanied by securitizing discourses </w:t>
      </w:r>
      <w:r w:rsidR="00E92C6C" w:rsidRPr="00516213">
        <w:rPr>
          <w:rFonts w:ascii="Times New Roman" w:eastAsiaTheme="majorEastAsia" w:hAnsi="Times New Roman" w:cs="Times New Roman"/>
          <w:bCs/>
          <w:sz w:val="24"/>
          <w:szCs w:val="24"/>
        </w:rPr>
        <w:t>ha</w:t>
      </w:r>
      <w:r w:rsidR="00E92C6C">
        <w:rPr>
          <w:rFonts w:ascii="Times New Roman" w:eastAsiaTheme="majorEastAsia" w:hAnsi="Times New Roman" w:cs="Times New Roman"/>
          <w:bCs/>
          <w:sz w:val="24"/>
          <w:szCs w:val="24"/>
        </w:rPr>
        <w:t>s</w:t>
      </w:r>
      <w:r w:rsidR="00E92C6C" w:rsidRPr="00516213">
        <w:rPr>
          <w:rFonts w:ascii="Times New Roman" w:eastAsiaTheme="majorEastAsia" w:hAnsi="Times New Roman" w:cs="Times New Roman"/>
          <w:bCs/>
          <w:sz w:val="24"/>
          <w:szCs w:val="24"/>
        </w:rPr>
        <w:t xml:space="preserve"> </w:t>
      </w:r>
      <w:r w:rsidRPr="00516213">
        <w:rPr>
          <w:rFonts w:ascii="Times New Roman" w:eastAsiaTheme="majorEastAsia" w:hAnsi="Times New Roman" w:cs="Times New Roman"/>
          <w:bCs/>
          <w:sz w:val="24"/>
          <w:szCs w:val="24"/>
        </w:rPr>
        <w:t>been the main instrument of the Turkish state to govern the Kurdish minority and their demands for recognition of their separate identities and collective rights. When Kurdish groups have demanded greater political autonomy either through peaceful or armed resistance, throughout its history</w:t>
      </w:r>
      <w:r w:rsidR="00E92C6C">
        <w:rPr>
          <w:rFonts w:ascii="Times New Roman" w:eastAsiaTheme="majorEastAsia" w:hAnsi="Times New Roman" w:cs="Times New Roman"/>
          <w:bCs/>
          <w:sz w:val="24"/>
          <w:szCs w:val="24"/>
        </w:rPr>
        <w:t>,</w:t>
      </w:r>
      <w:r w:rsidRPr="00516213">
        <w:rPr>
          <w:rFonts w:ascii="Times New Roman" w:eastAsiaTheme="majorEastAsia" w:hAnsi="Times New Roman" w:cs="Times New Roman"/>
          <w:bCs/>
          <w:sz w:val="24"/>
          <w:szCs w:val="24"/>
        </w:rPr>
        <w:t xml:space="preserve"> the Turkish state has typically responded with exceptional practices, such as special criminal tribunals, special regional administrations, forced displacement and resettlemen</w:t>
      </w:r>
      <w:r w:rsidR="00586EB8" w:rsidRPr="00516213">
        <w:rPr>
          <w:rFonts w:ascii="Times New Roman" w:eastAsiaTheme="majorEastAsia" w:hAnsi="Times New Roman" w:cs="Times New Roman"/>
          <w:bCs/>
          <w:sz w:val="24"/>
          <w:szCs w:val="24"/>
        </w:rPr>
        <w:t>t</w:t>
      </w:r>
      <w:r w:rsidR="0012734D" w:rsidRPr="00516213">
        <w:rPr>
          <w:rFonts w:ascii="Times New Roman" w:eastAsiaTheme="majorEastAsia" w:hAnsi="Times New Roman" w:cs="Times New Roman"/>
          <w:bCs/>
          <w:sz w:val="24"/>
          <w:szCs w:val="24"/>
        </w:rPr>
        <w:t xml:space="preserve"> (</w:t>
      </w:r>
      <w:proofErr w:type="spellStart"/>
      <w:r w:rsidR="0012734D" w:rsidRPr="00516213">
        <w:rPr>
          <w:rFonts w:ascii="Times New Roman" w:eastAsiaTheme="majorEastAsia" w:hAnsi="Times New Roman" w:cs="Times New Roman"/>
          <w:bCs/>
          <w:sz w:val="24"/>
          <w:szCs w:val="24"/>
        </w:rPr>
        <w:t>Kurban</w:t>
      </w:r>
      <w:proofErr w:type="spellEnd"/>
      <w:r w:rsidR="0012734D" w:rsidRPr="00516213">
        <w:rPr>
          <w:rFonts w:ascii="Times New Roman" w:eastAsiaTheme="majorEastAsia" w:hAnsi="Times New Roman" w:cs="Times New Roman"/>
          <w:bCs/>
          <w:sz w:val="24"/>
          <w:szCs w:val="24"/>
        </w:rPr>
        <w:t xml:space="preserve"> 2020, 79-132)</w:t>
      </w:r>
      <w:r w:rsidRPr="00516213">
        <w:rPr>
          <w:rFonts w:ascii="Times New Roman" w:eastAsiaTheme="majorEastAsia" w:hAnsi="Times New Roman" w:cs="Times New Roman"/>
          <w:bCs/>
          <w:sz w:val="24"/>
          <w:szCs w:val="24"/>
        </w:rPr>
        <w:t xml:space="preserve">. These practices </w:t>
      </w:r>
      <w:r w:rsidR="00E92C6C" w:rsidRPr="00516213">
        <w:rPr>
          <w:rFonts w:ascii="Times New Roman" w:eastAsiaTheme="majorEastAsia" w:hAnsi="Times New Roman" w:cs="Times New Roman"/>
          <w:bCs/>
          <w:sz w:val="24"/>
          <w:szCs w:val="24"/>
        </w:rPr>
        <w:t>ha</w:t>
      </w:r>
      <w:r w:rsidR="00E92C6C">
        <w:rPr>
          <w:rFonts w:ascii="Times New Roman" w:eastAsiaTheme="majorEastAsia" w:hAnsi="Times New Roman" w:cs="Times New Roman"/>
          <w:bCs/>
          <w:sz w:val="24"/>
          <w:szCs w:val="24"/>
        </w:rPr>
        <w:t>d</w:t>
      </w:r>
      <w:r w:rsidR="00E92C6C" w:rsidRPr="00516213">
        <w:rPr>
          <w:rFonts w:ascii="Times New Roman" w:eastAsiaTheme="majorEastAsia" w:hAnsi="Times New Roman" w:cs="Times New Roman"/>
          <w:bCs/>
          <w:sz w:val="24"/>
          <w:szCs w:val="24"/>
        </w:rPr>
        <w:t xml:space="preserve"> </w:t>
      </w:r>
      <w:r w:rsidRPr="00516213">
        <w:rPr>
          <w:rFonts w:ascii="Times New Roman" w:eastAsiaTheme="majorEastAsia" w:hAnsi="Times New Roman" w:cs="Times New Roman"/>
          <w:bCs/>
          <w:sz w:val="24"/>
          <w:szCs w:val="24"/>
        </w:rPr>
        <w:t>particularly intensified when demands for recognition of the Kurdish identity were voiced both in the early decades of the Turkish Republic and in the 1980s.</w:t>
      </w:r>
    </w:p>
    <w:p w14:paraId="2F6CD08A" w14:textId="2D7D94F3" w:rsidR="00CF6A77" w:rsidRPr="00516213" w:rsidRDefault="00CF6A77" w:rsidP="000D373E">
      <w:pPr>
        <w:spacing w:line="360" w:lineRule="auto"/>
        <w:ind w:firstLine="720"/>
        <w:jc w:val="both"/>
        <w:rPr>
          <w:rFonts w:ascii="Times New Roman" w:eastAsiaTheme="majorEastAsia" w:hAnsi="Times New Roman" w:cs="Times New Roman"/>
          <w:bCs/>
          <w:sz w:val="24"/>
          <w:szCs w:val="24"/>
        </w:rPr>
      </w:pPr>
      <w:r w:rsidRPr="00516213">
        <w:rPr>
          <w:rFonts w:ascii="Times New Roman" w:eastAsiaTheme="majorEastAsia" w:hAnsi="Times New Roman" w:cs="Times New Roman"/>
          <w:bCs/>
          <w:sz w:val="24"/>
          <w:szCs w:val="24"/>
        </w:rPr>
        <w:t xml:space="preserve">The same pattern is evident under the AKP. The extension of harsh security policies to </w:t>
      </w:r>
      <w:proofErr w:type="spellStart"/>
      <w:r w:rsidR="00E92C6C">
        <w:rPr>
          <w:rFonts w:ascii="Times New Roman" w:eastAsiaTheme="majorEastAsia" w:hAnsi="Times New Roman" w:cs="Times New Roman"/>
          <w:bCs/>
          <w:sz w:val="24"/>
          <w:szCs w:val="24"/>
        </w:rPr>
        <w:t>S</w:t>
      </w:r>
      <w:r w:rsidRPr="00516213">
        <w:rPr>
          <w:rFonts w:ascii="Times New Roman" w:eastAsiaTheme="majorEastAsia" w:hAnsi="Times New Roman" w:cs="Times New Roman"/>
          <w:bCs/>
          <w:sz w:val="24"/>
          <w:szCs w:val="24"/>
        </w:rPr>
        <w:t>outheast</w:t>
      </w:r>
      <w:r w:rsidR="00E92C6C">
        <w:rPr>
          <w:rFonts w:ascii="Times New Roman" w:eastAsiaTheme="majorEastAsia" w:hAnsi="Times New Roman" w:cs="Times New Roman"/>
          <w:bCs/>
          <w:sz w:val="24"/>
          <w:szCs w:val="24"/>
        </w:rPr>
        <w:t>ern</w:t>
      </w:r>
      <w:proofErr w:type="spellEnd"/>
      <w:r w:rsidR="00E92C6C">
        <w:rPr>
          <w:rFonts w:ascii="Times New Roman" w:eastAsiaTheme="majorEastAsia" w:hAnsi="Times New Roman" w:cs="Times New Roman"/>
          <w:bCs/>
          <w:sz w:val="24"/>
          <w:szCs w:val="24"/>
        </w:rPr>
        <w:t xml:space="preserve"> Turkey</w:t>
      </w:r>
      <w:r w:rsidRPr="00516213">
        <w:rPr>
          <w:rFonts w:ascii="Times New Roman" w:eastAsiaTheme="majorEastAsia" w:hAnsi="Times New Roman" w:cs="Times New Roman"/>
          <w:bCs/>
          <w:sz w:val="24"/>
          <w:szCs w:val="24"/>
        </w:rPr>
        <w:t xml:space="preserve"> using emergency rule was possible because the Kurds have been a core target of anti-terror and security legislation since the 1970s</w:t>
      </w:r>
      <w:r w:rsidR="00586EB8" w:rsidRPr="00516213">
        <w:rPr>
          <w:rFonts w:ascii="Times New Roman" w:eastAsiaTheme="majorEastAsia" w:hAnsi="Times New Roman" w:cs="Times New Roman"/>
          <w:bCs/>
          <w:sz w:val="24"/>
          <w:szCs w:val="24"/>
        </w:rPr>
        <w:t xml:space="preserve">, </w:t>
      </w:r>
      <w:r w:rsidRPr="00516213">
        <w:rPr>
          <w:rFonts w:ascii="Times New Roman" w:eastAsiaTheme="majorEastAsia" w:hAnsi="Times New Roman" w:cs="Times New Roman"/>
          <w:bCs/>
          <w:sz w:val="24"/>
          <w:szCs w:val="24"/>
        </w:rPr>
        <w:t xml:space="preserve">along with Islamists and </w:t>
      </w:r>
      <w:r w:rsidR="00586EB8" w:rsidRPr="00516213">
        <w:rPr>
          <w:rFonts w:ascii="Times New Roman" w:eastAsiaTheme="majorEastAsia" w:hAnsi="Times New Roman" w:cs="Times New Roman"/>
          <w:bCs/>
          <w:sz w:val="24"/>
          <w:szCs w:val="24"/>
        </w:rPr>
        <w:t>l</w:t>
      </w:r>
      <w:r w:rsidRPr="00516213">
        <w:rPr>
          <w:rFonts w:ascii="Times New Roman" w:eastAsiaTheme="majorEastAsia" w:hAnsi="Times New Roman" w:cs="Times New Roman"/>
          <w:bCs/>
          <w:sz w:val="24"/>
          <w:szCs w:val="24"/>
        </w:rPr>
        <w:t>eftists</w:t>
      </w:r>
      <w:r w:rsidR="00586EB8" w:rsidRPr="00516213">
        <w:rPr>
          <w:rFonts w:ascii="Times New Roman" w:eastAsiaTheme="majorEastAsia" w:hAnsi="Times New Roman" w:cs="Times New Roman"/>
          <w:bCs/>
          <w:sz w:val="24"/>
          <w:szCs w:val="24"/>
        </w:rPr>
        <w:t xml:space="preserve"> (Jenkins 2019)</w:t>
      </w:r>
      <w:r w:rsidRPr="00516213">
        <w:rPr>
          <w:rFonts w:ascii="Times New Roman" w:eastAsiaTheme="majorEastAsia" w:hAnsi="Times New Roman" w:cs="Times New Roman"/>
          <w:bCs/>
          <w:sz w:val="24"/>
          <w:szCs w:val="24"/>
        </w:rPr>
        <w:t xml:space="preserve">. Under this long-standing security paradigm, the southeast has been treated differently and experienced a different security response than the rest of the country, especially throughout the 1980s and 1990s. For example, following the 1980 coup, the state’s response to Kurdish terrorism was to </w:t>
      </w:r>
      <w:r w:rsidR="00735F75" w:rsidRPr="00516213">
        <w:rPr>
          <w:rFonts w:ascii="Times New Roman" w:eastAsiaTheme="majorEastAsia" w:hAnsi="Times New Roman" w:cs="Times New Roman"/>
          <w:bCs/>
          <w:sz w:val="24"/>
          <w:szCs w:val="24"/>
        </w:rPr>
        <w:t>securiti</w:t>
      </w:r>
      <w:r w:rsidR="00735F75">
        <w:rPr>
          <w:rFonts w:ascii="Times New Roman" w:eastAsiaTheme="majorEastAsia" w:hAnsi="Times New Roman" w:cs="Times New Roman"/>
          <w:bCs/>
          <w:sz w:val="24"/>
          <w:szCs w:val="24"/>
        </w:rPr>
        <w:t>z</w:t>
      </w:r>
      <w:r w:rsidR="00735F75" w:rsidRPr="00516213">
        <w:rPr>
          <w:rFonts w:ascii="Times New Roman" w:eastAsiaTheme="majorEastAsia" w:hAnsi="Times New Roman" w:cs="Times New Roman"/>
          <w:bCs/>
          <w:sz w:val="24"/>
          <w:szCs w:val="24"/>
        </w:rPr>
        <w:t xml:space="preserve">e </w:t>
      </w:r>
      <w:r w:rsidRPr="00516213">
        <w:rPr>
          <w:rFonts w:ascii="Times New Roman" w:eastAsiaTheme="majorEastAsia" w:hAnsi="Times New Roman" w:cs="Times New Roman"/>
          <w:bCs/>
          <w:sz w:val="24"/>
          <w:szCs w:val="24"/>
        </w:rPr>
        <w:t xml:space="preserve">the southeast </w:t>
      </w:r>
      <w:r w:rsidR="00E92C6C">
        <w:rPr>
          <w:rFonts w:ascii="Times New Roman" w:eastAsiaTheme="majorEastAsia" w:hAnsi="Times New Roman" w:cs="Times New Roman"/>
          <w:bCs/>
          <w:sz w:val="24"/>
          <w:szCs w:val="24"/>
        </w:rPr>
        <w:t xml:space="preserve">and </w:t>
      </w:r>
      <w:r w:rsidRPr="00516213">
        <w:rPr>
          <w:rFonts w:ascii="Times New Roman" w:eastAsiaTheme="majorEastAsia" w:hAnsi="Times New Roman" w:cs="Times New Roman"/>
          <w:bCs/>
          <w:sz w:val="24"/>
          <w:szCs w:val="24"/>
        </w:rPr>
        <w:t xml:space="preserve">adopt a scorched earth policy that included </w:t>
      </w:r>
      <w:r w:rsidR="00E92C6C">
        <w:rPr>
          <w:rFonts w:ascii="Times New Roman" w:eastAsiaTheme="majorEastAsia" w:hAnsi="Times New Roman" w:cs="Times New Roman"/>
          <w:bCs/>
          <w:sz w:val="24"/>
          <w:szCs w:val="24"/>
        </w:rPr>
        <w:t>razing</w:t>
      </w:r>
      <w:r w:rsidRPr="00516213">
        <w:rPr>
          <w:rFonts w:ascii="Times New Roman" w:eastAsiaTheme="majorEastAsia" w:hAnsi="Times New Roman" w:cs="Times New Roman"/>
          <w:bCs/>
          <w:sz w:val="24"/>
          <w:szCs w:val="24"/>
        </w:rPr>
        <w:t xml:space="preserve"> whole villages, combined with using a mixture of police and military in the region. Initially</w:t>
      </w:r>
      <w:r w:rsidR="00E92C6C">
        <w:rPr>
          <w:rFonts w:ascii="Times New Roman" w:eastAsiaTheme="majorEastAsia" w:hAnsi="Times New Roman" w:cs="Times New Roman"/>
          <w:bCs/>
          <w:sz w:val="24"/>
          <w:szCs w:val="24"/>
        </w:rPr>
        <w:t>,</w:t>
      </w:r>
      <w:r w:rsidRPr="00516213">
        <w:rPr>
          <w:rFonts w:ascii="Times New Roman" w:eastAsiaTheme="majorEastAsia" w:hAnsi="Times New Roman" w:cs="Times New Roman"/>
          <w:bCs/>
          <w:sz w:val="24"/>
          <w:szCs w:val="24"/>
        </w:rPr>
        <w:t xml:space="preserve"> it appeared the AKP </w:t>
      </w:r>
      <w:r w:rsidR="00E92C6C" w:rsidRPr="00516213">
        <w:rPr>
          <w:rFonts w:ascii="Times New Roman" w:eastAsiaTheme="majorEastAsia" w:hAnsi="Times New Roman" w:cs="Times New Roman"/>
          <w:bCs/>
          <w:sz w:val="24"/>
          <w:szCs w:val="24"/>
        </w:rPr>
        <w:t>w</w:t>
      </w:r>
      <w:r w:rsidR="00E92C6C">
        <w:rPr>
          <w:rFonts w:ascii="Times New Roman" w:eastAsiaTheme="majorEastAsia" w:hAnsi="Times New Roman" w:cs="Times New Roman"/>
          <w:bCs/>
          <w:sz w:val="24"/>
          <w:szCs w:val="24"/>
        </w:rPr>
        <w:t>as</w:t>
      </w:r>
      <w:r w:rsidR="00E92C6C" w:rsidRPr="00516213">
        <w:rPr>
          <w:rFonts w:ascii="Times New Roman" w:eastAsiaTheme="majorEastAsia" w:hAnsi="Times New Roman" w:cs="Times New Roman"/>
          <w:bCs/>
          <w:sz w:val="24"/>
          <w:szCs w:val="24"/>
        </w:rPr>
        <w:t xml:space="preserve"> </w:t>
      </w:r>
      <w:r w:rsidRPr="00516213">
        <w:rPr>
          <w:rFonts w:ascii="Times New Roman" w:eastAsiaTheme="majorEastAsia" w:hAnsi="Times New Roman" w:cs="Times New Roman"/>
          <w:bCs/>
          <w:sz w:val="24"/>
          <w:szCs w:val="24"/>
        </w:rPr>
        <w:t xml:space="preserve">set to change this paradigm in an effort to build support within </w:t>
      </w:r>
      <w:r w:rsidR="00E92C6C" w:rsidRPr="00516213">
        <w:rPr>
          <w:rFonts w:ascii="Times New Roman" w:eastAsiaTheme="majorEastAsia" w:hAnsi="Times New Roman" w:cs="Times New Roman"/>
          <w:bCs/>
          <w:sz w:val="24"/>
          <w:szCs w:val="24"/>
        </w:rPr>
        <w:t>Kurdish</w:t>
      </w:r>
      <w:r w:rsidR="00E92C6C">
        <w:rPr>
          <w:rFonts w:ascii="Times New Roman" w:eastAsiaTheme="majorEastAsia" w:hAnsi="Times New Roman" w:cs="Times New Roman"/>
          <w:bCs/>
          <w:sz w:val="24"/>
          <w:szCs w:val="24"/>
        </w:rPr>
        <w:t>-</w:t>
      </w:r>
      <w:r w:rsidRPr="00516213">
        <w:rPr>
          <w:rFonts w:ascii="Times New Roman" w:eastAsiaTheme="majorEastAsia" w:hAnsi="Times New Roman" w:cs="Times New Roman"/>
          <w:bCs/>
          <w:sz w:val="24"/>
          <w:szCs w:val="24"/>
        </w:rPr>
        <w:t xml:space="preserve">populated regions </w:t>
      </w:r>
      <w:r w:rsidR="00E92C6C">
        <w:rPr>
          <w:rFonts w:ascii="Times New Roman" w:eastAsiaTheme="majorEastAsia" w:hAnsi="Times New Roman" w:cs="Times New Roman"/>
          <w:bCs/>
          <w:sz w:val="24"/>
          <w:szCs w:val="24"/>
        </w:rPr>
        <w:t>based on</w:t>
      </w:r>
      <w:r w:rsidRPr="00516213">
        <w:rPr>
          <w:rFonts w:ascii="Times New Roman" w:eastAsiaTheme="majorEastAsia" w:hAnsi="Times New Roman" w:cs="Times New Roman"/>
          <w:bCs/>
          <w:sz w:val="24"/>
          <w:szCs w:val="24"/>
        </w:rPr>
        <w:t xml:space="preserve"> a shared conservative Islamist vision. From 2009 onwards</w:t>
      </w:r>
      <w:r w:rsidR="00E92C6C">
        <w:rPr>
          <w:rFonts w:ascii="Times New Roman" w:eastAsiaTheme="majorEastAsia" w:hAnsi="Times New Roman" w:cs="Times New Roman"/>
          <w:bCs/>
          <w:sz w:val="24"/>
          <w:szCs w:val="24"/>
        </w:rPr>
        <w:t>,</w:t>
      </w:r>
      <w:r w:rsidRPr="00516213">
        <w:rPr>
          <w:rFonts w:ascii="Times New Roman" w:eastAsiaTheme="majorEastAsia" w:hAnsi="Times New Roman" w:cs="Times New Roman"/>
          <w:bCs/>
          <w:sz w:val="24"/>
          <w:szCs w:val="24"/>
        </w:rPr>
        <w:t xml:space="preserve"> in particular, the AKP brought home thousands of Kurds who had left Turkey for Iraq due to the conflict with the PKK</w:t>
      </w:r>
      <w:r w:rsidR="00E92C6C">
        <w:rPr>
          <w:rFonts w:ascii="Times New Roman" w:eastAsiaTheme="majorEastAsia" w:hAnsi="Times New Roman" w:cs="Times New Roman"/>
          <w:bCs/>
          <w:sz w:val="24"/>
          <w:szCs w:val="24"/>
        </w:rPr>
        <w:t>,</w:t>
      </w:r>
      <w:r w:rsidRPr="00516213">
        <w:rPr>
          <w:rFonts w:ascii="Times New Roman" w:eastAsiaTheme="majorEastAsia" w:hAnsi="Times New Roman" w:cs="Times New Roman"/>
          <w:bCs/>
          <w:sz w:val="24"/>
          <w:szCs w:val="24"/>
        </w:rPr>
        <w:t xml:space="preserve"> restored the Kurdish names of villages and cities</w:t>
      </w:r>
      <w:r w:rsidR="00E92C6C">
        <w:rPr>
          <w:rFonts w:ascii="Times New Roman" w:eastAsiaTheme="majorEastAsia" w:hAnsi="Times New Roman" w:cs="Times New Roman"/>
          <w:bCs/>
          <w:sz w:val="24"/>
          <w:szCs w:val="24"/>
        </w:rPr>
        <w:t xml:space="preserve">, </w:t>
      </w:r>
      <w:r w:rsidRPr="00516213">
        <w:rPr>
          <w:rFonts w:ascii="Times New Roman" w:eastAsiaTheme="majorEastAsia" w:hAnsi="Times New Roman" w:cs="Times New Roman"/>
          <w:bCs/>
          <w:sz w:val="24"/>
          <w:szCs w:val="24"/>
        </w:rPr>
        <w:t>established Kurdish teaching programmes at schools and universities</w:t>
      </w:r>
      <w:r w:rsidR="00E92C6C">
        <w:rPr>
          <w:rFonts w:ascii="Times New Roman" w:eastAsiaTheme="majorEastAsia" w:hAnsi="Times New Roman" w:cs="Times New Roman"/>
          <w:bCs/>
          <w:sz w:val="24"/>
          <w:szCs w:val="24"/>
        </w:rPr>
        <w:t>,</w:t>
      </w:r>
      <w:r w:rsidRPr="00516213">
        <w:rPr>
          <w:rFonts w:ascii="Times New Roman" w:eastAsiaTheme="majorEastAsia" w:hAnsi="Times New Roman" w:cs="Times New Roman"/>
          <w:bCs/>
          <w:sz w:val="24"/>
          <w:szCs w:val="24"/>
        </w:rPr>
        <w:t xml:space="preserve"> liberalized media laws to allow for Kurdish broadcasting</w:t>
      </w:r>
      <w:r w:rsidR="00E92C6C">
        <w:rPr>
          <w:rFonts w:ascii="Times New Roman" w:eastAsiaTheme="majorEastAsia" w:hAnsi="Times New Roman" w:cs="Times New Roman"/>
          <w:bCs/>
          <w:sz w:val="24"/>
          <w:szCs w:val="24"/>
        </w:rPr>
        <w:t xml:space="preserve"> </w:t>
      </w:r>
      <w:r w:rsidRPr="00516213">
        <w:rPr>
          <w:rFonts w:ascii="Times New Roman" w:eastAsiaTheme="majorEastAsia" w:hAnsi="Times New Roman" w:cs="Times New Roman"/>
          <w:bCs/>
          <w:sz w:val="24"/>
          <w:szCs w:val="24"/>
        </w:rPr>
        <w:t>and allowed the purchasing of Kurdish books in public libraries.</w:t>
      </w:r>
    </w:p>
    <w:p w14:paraId="7C890F0D" w14:textId="3F98C5B3" w:rsidR="00CF6A77" w:rsidRPr="00516213" w:rsidRDefault="00CF6A77" w:rsidP="00703502">
      <w:pPr>
        <w:spacing w:line="360" w:lineRule="auto"/>
        <w:jc w:val="both"/>
        <w:rPr>
          <w:rFonts w:ascii="Times New Roman" w:eastAsiaTheme="majorEastAsia" w:hAnsi="Times New Roman" w:cs="Times New Roman"/>
          <w:bCs/>
          <w:sz w:val="24"/>
          <w:szCs w:val="24"/>
        </w:rPr>
      </w:pPr>
      <w:r w:rsidRPr="00516213">
        <w:rPr>
          <w:rFonts w:ascii="Times New Roman" w:eastAsiaTheme="majorEastAsia" w:hAnsi="Times New Roman" w:cs="Times New Roman"/>
          <w:bCs/>
          <w:sz w:val="24"/>
          <w:szCs w:val="24"/>
        </w:rPr>
        <w:t>However, after the failure of th</w:t>
      </w:r>
      <w:r w:rsidR="0028016C" w:rsidRPr="00516213">
        <w:rPr>
          <w:rFonts w:ascii="Times New Roman" w:eastAsiaTheme="majorEastAsia" w:hAnsi="Times New Roman" w:cs="Times New Roman"/>
          <w:bCs/>
          <w:sz w:val="24"/>
          <w:szCs w:val="24"/>
        </w:rPr>
        <w:t>is</w:t>
      </w:r>
      <w:r w:rsidRPr="00516213">
        <w:rPr>
          <w:rFonts w:ascii="Times New Roman" w:eastAsiaTheme="majorEastAsia" w:hAnsi="Times New Roman" w:cs="Times New Roman"/>
          <w:bCs/>
          <w:sz w:val="24"/>
          <w:szCs w:val="24"/>
        </w:rPr>
        <w:t xml:space="preserve"> Kurdish opening and amidst the rising influence of Kurd</w:t>
      </w:r>
      <w:r w:rsidR="00586EB8" w:rsidRPr="00516213">
        <w:rPr>
          <w:rFonts w:ascii="Times New Roman" w:eastAsiaTheme="majorEastAsia" w:hAnsi="Times New Roman" w:cs="Times New Roman"/>
          <w:bCs/>
          <w:sz w:val="24"/>
          <w:szCs w:val="24"/>
        </w:rPr>
        <w:t>i</w:t>
      </w:r>
      <w:r w:rsidRPr="00516213">
        <w:rPr>
          <w:rFonts w:ascii="Times New Roman" w:eastAsiaTheme="majorEastAsia" w:hAnsi="Times New Roman" w:cs="Times New Roman"/>
          <w:bCs/>
          <w:sz w:val="24"/>
          <w:szCs w:val="24"/>
        </w:rPr>
        <w:t>s</w:t>
      </w:r>
      <w:r w:rsidR="00586EB8" w:rsidRPr="00516213">
        <w:rPr>
          <w:rFonts w:ascii="Times New Roman" w:eastAsiaTheme="majorEastAsia" w:hAnsi="Times New Roman" w:cs="Times New Roman"/>
          <w:bCs/>
          <w:sz w:val="24"/>
          <w:szCs w:val="24"/>
        </w:rPr>
        <w:t>h groups</w:t>
      </w:r>
      <w:r w:rsidRPr="00516213">
        <w:rPr>
          <w:rFonts w:ascii="Times New Roman" w:eastAsiaTheme="majorEastAsia" w:hAnsi="Times New Roman" w:cs="Times New Roman"/>
          <w:bCs/>
          <w:sz w:val="24"/>
          <w:szCs w:val="24"/>
        </w:rPr>
        <w:t xml:space="preserve"> in Syria, the Turkish government returned to the old paradigm in 2015</w:t>
      </w:r>
      <w:r w:rsidR="00586EB8" w:rsidRPr="00516213">
        <w:rPr>
          <w:rFonts w:ascii="Times New Roman" w:eastAsiaTheme="majorEastAsia" w:hAnsi="Times New Roman" w:cs="Times New Roman"/>
          <w:bCs/>
          <w:sz w:val="24"/>
          <w:szCs w:val="24"/>
        </w:rPr>
        <w:t>. Alongside this, th</w:t>
      </w:r>
      <w:r w:rsidRPr="00516213">
        <w:rPr>
          <w:rFonts w:ascii="Times New Roman" w:eastAsiaTheme="majorEastAsia" w:hAnsi="Times New Roman" w:cs="Times New Roman"/>
          <w:bCs/>
          <w:sz w:val="24"/>
          <w:szCs w:val="24"/>
        </w:rPr>
        <w:t>e PKK pursued urban trench warfare in their strongholds in the southeast</w:t>
      </w:r>
      <w:r w:rsidR="00E92C6C">
        <w:rPr>
          <w:rFonts w:ascii="Times New Roman" w:eastAsiaTheme="majorEastAsia" w:hAnsi="Times New Roman" w:cs="Times New Roman"/>
          <w:bCs/>
          <w:sz w:val="24"/>
          <w:szCs w:val="24"/>
        </w:rPr>
        <w:t>,</w:t>
      </w:r>
      <w:r w:rsidRPr="00516213">
        <w:rPr>
          <w:rFonts w:ascii="Times New Roman" w:eastAsiaTheme="majorEastAsia" w:hAnsi="Times New Roman" w:cs="Times New Roman"/>
          <w:bCs/>
          <w:sz w:val="24"/>
          <w:szCs w:val="24"/>
        </w:rPr>
        <w:t xml:space="preserve"> </w:t>
      </w:r>
      <w:r w:rsidR="00586EB8" w:rsidRPr="00516213">
        <w:rPr>
          <w:rFonts w:ascii="Times New Roman" w:eastAsiaTheme="majorEastAsia" w:hAnsi="Times New Roman" w:cs="Times New Roman"/>
          <w:bCs/>
          <w:sz w:val="24"/>
          <w:szCs w:val="24"/>
        </w:rPr>
        <w:t>with some towns making</w:t>
      </w:r>
      <w:r w:rsidRPr="00516213">
        <w:rPr>
          <w:rFonts w:ascii="Times New Roman" w:eastAsiaTheme="majorEastAsia" w:hAnsi="Times New Roman" w:cs="Times New Roman"/>
          <w:bCs/>
          <w:sz w:val="24"/>
          <w:szCs w:val="24"/>
        </w:rPr>
        <w:t xml:space="preserve"> unilateral declarations of autonomy and no-go zones. The government’s response was </w:t>
      </w:r>
      <w:r w:rsidR="001B77AE" w:rsidRPr="00516213">
        <w:rPr>
          <w:rFonts w:ascii="Times New Roman" w:eastAsiaTheme="majorEastAsia" w:hAnsi="Times New Roman" w:cs="Times New Roman"/>
          <w:bCs/>
          <w:sz w:val="24"/>
          <w:szCs w:val="24"/>
        </w:rPr>
        <w:t xml:space="preserve">heavily </w:t>
      </w:r>
      <w:r w:rsidR="00E92C6C" w:rsidRPr="00516213">
        <w:rPr>
          <w:rFonts w:ascii="Times New Roman" w:eastAsiaTheme="majorEastAsia" w:hAnsi="Times New Roman" w:cs="Times New Roman"/>
          <w:bCs/>
          <w:sz w:val="24"/>
          <w:szCs w:val="24"/>
        </w:rPr>
        <w:t>militari</w:t>
      </w:r>
      <w:r w:rsidR="00E92C6C">
        <w:rPr>
          <w:rFonts w:ascii="Times New Roman" w:eastAsiaTheme="majorEastAsia" w:hAnsi="Times New Roman" w:cs="Times New Roman"/>
          <w:bCs/>
          <w:sz w:val="24"/>
          <w:szCs w:val="24"/>
        </w:rPr>
        <w:t>z</w:t>
      </w:r>
      <w:r w:rsidR="00E92C6C" w:rsidRPr="00516213">
        <w:rPr>
          <w:rFonts w:ascii="Times New Roman" w:eastAsiaTheme="majorEastAsia" w:hAnsi="Times New Roman" w:cs="Times New Roman"/>
          <w:bCs/>
          <w:sz w:val="24"/>
          <w:szCs w:val="24"/>
        </w:rPr>
        <w:t xml:space="preserve">ed </w:t>
      </w:r>
      <w:r w:rsidR="001B77AE" w:rsidRPr="00516213">
        <w:rPr>
          <w:rFonts w:ascii="Times New Roman" w:eastAsiaTheme="majorEastAsia" w:hAnsi="Times New Roman" w:cs="Times New Roman"/>
          <w:bCs/>
          <w:sz w:val="24"/>
          <w:szCs w:val="24"/>
        </w:rPr>
        <w:t>to remove the</w:t>
      </w:r>
      <w:r w:rsidRPr="00516213">
        <w:rPr>
          <w:rFonts w:ascii="Times New Roman" w:eastAsiaTheme="majorEastAsia" w:hAnsi="Times New Roman" w:cs="Times New Roman"/>
          <w:bCs/>
          <w:sz w:val="24"/>
          <w:szCs w:val="24"/>
        </w:rPr>
        <w:t xml:space="preserve"> PKK </w:t>
      </w:r>
      <w:r w:rsidR="001B77AE" w:rsidRPr="00516213">
        <w:rPr>
          <w:rFonts w:ascii="Times New Roman" w:eastAsiaTheme="majorEastAsia" w:hAnsi="Times New Roman" w:cs="Times New Roman"/>
          <w:bCs/>
          <w:sz w:val="24"/>
          <w:szCs w:val="24"/>
        </w:rPr>
        <w:t xml:space="preserve">from its </w:t>
      </w:r>
      <w:r w:rsidRPr="00516213">
        <w:rPr>
          <w:rFonts w:ascii="Times New Roman" w:eastAsiaTheme="majorEastAsia" w:hAnsi="Times New Roman" w:cs="Times New Roman"/>
          <w:bCs/>
          <w:sz w:val="24"/>
          <w:szCs w:val="24"/>
        </w:rPr>
        <w:t xml:space="preserve">strongholds, including the </w:t>
      </w:r>
      <w:r w:rsidR="001B77AE" w:rsidRPr="00516213">
        <w:rPr>
          <w:rFonts w:ascii="Times New Roman" w:eastAsiaTheme="majorEastAsia" w:hAnsi="Times New Roman" w:cs="Times New Roman"/>
          <w:bCs/>
          <w:sz w:val="24"/>
          <w:szCs w:val="24"/>
        </w:rPr>
        <w:t xml:space="preserve">destruction of much of the </w:t>
      </w:r>
      <w:r w:rsidRPr="00516213">
        <w:rPr>
          <w:rFonts w:ascii="Times New Roman" w:eastAsiaTheme="majorEastAsia" w:hAnsi="Times New Roman" w:cs="Times New Roman"/>
          <w:bCs/>
          <w:sz w:val="24"/>
          <w:szCs w:val="24"/>
        </w:rPr>
        <w:t xml:space="preserve">historical district of Sur in </w:t>
      </w:r>
      <w:proofErr w:type="spellStart"/>
      <w:r w:rsidRPr="00516213">
        <w:rPr>
          <w:rFonts w:ascii="Times New Roman" w:eastAsiaTheme="majorEastAsia" w:hAnsi="Times New Roman" w:cs="Times New Roman"/>
          <w:bCs/>
          <w:sz w:val="24"/>
          <w:szCs w:val="24"/>
        </w:rPr>
        <w:t>Diya</w:t>
      </w:r>
      <w:r w:rsidR="00516213">
        <w:rPr>
          <w:rFonts w:ascii="Times New Roman" w:eastAsiaTheme="majorEastAsia" w:hAnsi="Times New Roman" w:cs="Times New Roman"/>
          <w:bCs/>
          <w:sz w:val="24"/>
          <w:szCs w:val="24"/>
        </w:rPr>
        <w:t>rbakı</w:t>
      </w:r>
      <w:r w:rsidRPr="00516213">
        <w:rPr>
          <w:rFonts w:ascii="Times New Roman" w:eastAsiaTheme="majorEastAsia" w:hAnsi="Times New Roman" w:cs="Times New Roman"/>
          <w:bCs/>
          <w:sz w:val="24"/>
          <w:szCs w:val="24"/>
        </w:rPr>
        <w:t>r</w:t>
      </w:r>
      <w:proofErr w:type="spellEnd"/>
      <w:r w:rsidRPr="00516213">
        <w:rPr>
          <w:rFonts w:ascii="Times New Roman" w:eastAsiaTheme="majorEastAsia" w:hAnsi="Times New Roman" w:cs="Times New Roman"/>
          <w:bCs/>
          <w:sz w:val="24"/>
          <w:szCs w:val="24"/>
        </w:rPr>
        <w:t xml:space="preserve">. The government also </w:t>
      </w:r>
      <w:r w:rsidR="001B77AE" w:rsidRPr="00516213">
        <w:rPr>
          <w:rFonts w:ascii="Times New Roman" w:eastAsiaTheme="majorEastAsia" w:hAnsi="Times New Roman" w:cs="Times New Roman"/>
          <w:bCs/>
          <w:sz w:val="24"/>
          <w:szCs w:val="24"/>
        </w:rPr>
        <w:t xml:space="preserve">reversed many liberalizing policies around </w:t>
      </w:r>
      <w:r w:rsidRPr="00516213">
        <w:rPr>
          <w:rFonts w:ascii="Times New Roman" w:eastAsiaTheme="majorEastAsia" w:hAnsi="Times New Roman" w:cs="Times New Roman"/>
          <w:bCs/>
          <w:sz w:val="24"/>
          <w:szCs w:val="24"/>
        </w:rPr>
        <w:t xml:space="preserve">Kurdish culture and language. </w:t>
      </w:r>
      <w:r w:rsidR="0028016C" w:rsidRPr="00516213">
        <w:rPr>
          <w:rFonts w:ascii="Times New Roman" w:eastAsiaTheme="majorEastAsia" w:hAnsi="Times New Roman" w:cs="Times New Roman"/>
          <w:bCs/>
          <w:sz w:val="24"/>
          <w:szCs w:val="24"/>
        </w:rPr>
        <w:t>Thus</w:t>
      </w:r>
      <w:r w:rsidRPr="00516213">
        <w:rPr>
          <w:rFonts w:ascii="Times New Roman" w:eastAsiaTheme="majorEastAsia" w:hAnsi="Times New Roman" w:cs="Times New Roman"/>
          <w:bCs/>
          <w:sz w:val="24"/>
          <w:szCs w:val="24"/>
        </w:rPr>
        <w:t>, clamping down on the Kurds using security policies was already in place by 2015 (Al and Byrd 2018)</w:t>
      </w:r>
      <w:r w:rsidR="0028016C" w:rsidRPr="00516213">
        <w:rPr>
          <w:rFonts w:ascii="Times New Roman" w:eastAsiaTheme="majorEastAsia" w:hAnsi="Times New Roman" w:cs="Times New Roman"/>
          <w:bCs/>
          <w:sz w:val="24"/>
          <w:szCs w:val="24"/>
        </w:rPr>
        <w:t>,</w:t>
      </w:r>
      <w:r w:rsidRPr="00516213">
        <w:rPr>
          <w:rFonts w:ascii="Times New Roman" w:eastAsiaTheme="majorEastAsia" w:hAnsi="Times New Roman" w:cs="Times New Roman"/>
          <w:bCs/>
          <w:sz w:val="24"/>
          <w:szCs w:val="24"/>
        </w:rPr>
        <w:t xml:space="preserve"> and this return to the old security paradigm was embedded even further under the</w:t>
      </w:r>
      <w:r w:rsidR="00E34CCC" w:rsidRPr="00516213">
        <w:rPr>
          <w:rFonts w:ascii="Times New Roman" w:eastAsiaTheme="majorEastAsia" w:hAnsi="Times New Roman" w:cs="Times New Roman"/>
          <w:bCs/>
          <w:sz w:val="24"/>
          <w:szCs w:val="24"/>
        </w:rPr>
        <w:t xml:space="preserve"> </w:t>
      </w:r>
      <w:proofErr w:type="spellStart"/>
      <w:r w:rsidR="00E34CCC" w:rsidRPr="00516213">
        <w:rPr>
          <w:rFonts w:ascii="Times New Roman" w:eastAsiaTheme="majorEastAsia" w:hAnsi="Times New Roman" w:cs="Times New Roman"/>
          <w:bCs/>
          <w:sz w:val="24"/>
          <w:szCs w:val="24"/>
        </w:rPr>
        <w:t>SoE</w:t>
      </w:r>
      <w:proofErr w:type="spellEnd"/>
      <w:r w:rsidRPr="00516213">
        <w:rPr>
          <w:rFonts w:ascii="Times New Roman" w:eastAsiaTheme="majorEastAsia" w:hAnsi="Times New Roman" w:cs="Times New Roman"/>
          <w:bCs/>
          <w:sz w:val="24"/>
          <w:szCs w:val="24"/>
        </w:rPr>
        <w:t>. This was possible because the southeast had always been treated as an exceptional region that required exceptional measures</w:t>
      </w:r>
      <w:r w:rsidR="001B77AE" w:rsidRPr="00516213">
        <w:rPr>
          <w:rFonts w:ascii="Times New Roman" w:eastAsiaTheme="majorEastAsia" w:hAnsi="Times New Roman" w:cs="Times New Roman"/>
          <w:bCs/>
          <w:sz w:val="24"/>
          <w:szCs w:val="24"/>
        </w:rPr>
        <w:t xml:space="preserve"> (Watts 2009</w:t>
      </w:r>
      <w:proofErr w:type="gramStart"/>
      <w:r w:rsidR="001B77AE" w:rsidRPr="00516213">
        <w:rPr>
          <w:rFonts w:ascii="Times New Roman" w:eastAsiaTheme="majorEastAsia" w:hAnsi="Times New Roman" w:cs="Times New Roman"/>
          <w:bCs/>
          <w:sz w:val="24"/>
          <w:szCs w:val="24"/>
        </w:rPr>
        <w:t>)</w:t>
      </w:r>
      <w:r w:rsidR="00170ED6" w:rsidRPr="00516213">
        <w:rPr>
          <w:rFonts w:ascii="Times New Roman" w:eastAsiaTheme="majorEastAsia" w:hAnsi="Times New Roman" w:cs="Times New Roman"/>
          <w:bCs/>
          <w:sz w:val="24"/>
          <w:szCs w:val="24"/>
        </w:rPr>
        <w:t>,</w:t>
      </w:r>
      <w:r w:rsidRPr="00516213">
        <w:rPr>
          <w:rFonts w:ascii="Times New Roman" w:eastAsiaTheme="majorEastAsia" w:hAnsi="Times New Roman" w:cs="Times New Roman"/>
          <w:bCs/>
          <w:sz w:val="24"/>
          <w:szCs w:val="24"/>
        </w:rPr>
        <w:t xml:space="preserve"> and</w:t>
      </w:r>
      <w:proofErr w:type="gramEnd"/>
      <w:r w:rsidRPr="00516213">
        <w:rPr>
          <w:rFonts w:ascii="Times New Roman" w:eastAsiaTheme="majorEastAsia" w:hAnsi="Times New Roman" w:cs="Times New Roman"/>
          <w:bCs/>
          <w:sz w:val="24"/>
          <w:szCs w:val="24"/>
        </w:rPr>
        <w:t xml:space="preserve"> extending the </w:t>
      </w:r>
      <w:proofErr w:type="spellStart"/>
      <w:r w:rsidR="00F407E1" w:rsidRPr="00516213">
        <w:rPr>
          <w:rFonts w:ascii="Times New Roman" w:eastAsiaTheme="majorEastAsia" w:hAnsi="Times New Roman" w:cs="Times New Roman"/>
          <w:bCs/>
          <w:sz w:val="24"/>
          <w:szCs w:val="24"/>
        </w:rPr>
        <w:t>SoE</w:t>
      </w:r>
      <w:proofErr w:type="spellEnd"/>
      <w:r w:rsidR="00E34CCC" w:rsidRPr="00516213">
        <w:rPr>
          <w:rFonts w:ascii="Times New Roman" w:eastAsiaTheme="majorEastAsia" w:hAnsi="Times New Roman" w:cs="Times New Roman"/>
          <w:bCs/>
          <w:sz w:val="24"/>
          <w:szCs w:val="24"/>
        </w:rPr>
        <w:t xml:space="preserve"> </w:t>
      </w:r>
      <w:r w:rsidRPr="00516213">
        <w:rPr>
          <w:rFonts w:ascii="Times New Roman" w:eastAsiaTheme="majorEastAsia" w:hAnsi="Times New Roman" w:cs="Times New Roman"/>
          <w:bCs/>
          <w:sz w:val="24"/>
          <w:szCs w:val="24"/>
        </w:rPr>
        <w:t>was actually business as usual.</w:t>
      </w:r>
    </w:p>
    <w:p w14:paraId="5136FB77" w14:textId="46D000F3" w:rsidR="00CF6A77" w:rsidRPr="00516213" w:rsidRDefault="00CF6A77" w:rsidP="000D373E">
      <w:pPr>
        <w:spacing w:line="360" w:lineRule="auto"/>
        <w:ind w:firstLine="720"/>
        <w:jc w:val="both"/>
        <w:rPr>
          <w:rFonts w:ascii="Times New Roman" w:eastAsiaTheme="majorEastAsia" w:hAnsi="Times New Roman" w:cs="Times New Roman"/>
          <w:bCs/>
          <w:sz w:val="24"/>
          <w:szCs w:val="24"/>
        </w:rPr>
      </w:pPr>
      <w:r w:rsidRPr="00516213">
        <w:rPr>
          <w:rFonts w:ascii="Times New Roman" w:eastAsiaTheme="majorEastAsia" w:hAnsi="Times New Roman" w:cs="Times New Roman"/>
          <w:bCs/>
          <w:sz w:val="24"/>
          <w:szCs w:val="24"/>
        </w:rPr>
        <w:t xml:space="preserve">Exceptionalist practices in Turkey’s southeast </w:t>
      </w:r>
      <w:r w:rsidR="00DA3377" w:rsidRPr="00516213">
        <w:rPr>
          <w:rFonts w:ascii="Times New Roman" w:eastAsiaTheme="majorEastAsia" w:hAnsi="Times New Roman" w:cs="Times New Roman"/>
          <w:bCs/>
          <w:sz w:val="24"/>
          <w:szCs w:val="24"/>
        </w:rPr>
        <w:t xml:space="preserve">before, during and after the nationwide </w:t>
      </w:r>
      <w:proofErr w:type="spellStart"/>
      <w:r w:rsidR="0008705A" w:rsidRPr="00516213">
        <w:rPr>
          <w:rFonts w:ascii="Times New Roman" w:eastAsiaTheme="majorEastAsia" w:hAnsi="Times New Roman" w:cs="Times New Roman"/>
          <w:bCs/>
          <w:sz w:val="24"/>
          <w:szCs w:val="24"/>
        </w:rPr>
        <w:t>SoE</w:t>
      </w:r>
      <w:proofErr w:type="spellEnd"/>
      <w:r w:rsidR="0008705A" w:rsidRPr="00516213">
        <w:rPr>
          <w:rFonts w:ascii="Times New Roman" w:eastAsiaTheme="majorEastAsia" w:hAnsi="Times New Roman" w:cs="Times New Roman"/>
          <w:bCs/>
          <w:sz w:val="24"/>
          <w:szCs w:val="24"/>
        </w:rPr>
        <w:t xml:space="preserve"> </w:t>
      </w:r>
      <w:r w:rsidRPr="00516213">
        <w:rPr>
          <w:rFonts w:ascii="Times New Roman" w:eastAsiaTheme="majorEastAsia" w:hAnsi="Times New Roman" w:cs="Times New Roman"/>
          <w:bCs/>
          <w:sz w:val="24"/>
          <w:szCs w:val="24"/>
        </w:rPr>
        <w:t xml:space="preserve">took the form of declaring round-the-clock curfews and security zones. </w:t>
      </w:r>
      <w:r w:rsidR="00E92C6C">
        <w:rPr>
          <w:rFonts w:ascii="Times New Roman" w:eastAsiaTheme="majorEastAsia" w:hAnsi="Times New Roman" w:cs="Times New Roman"/>
          <w:bCs/>
          <w:sz w:val="24"/>
          <w:szCs w:val="24"/>
        </w:rPr>
        <w:t>I</w:t>
      </w:r>
      <w:r w:rsidRPr="00516213">
        <w:rPr>
          <w:rFonts w:ascii="Times New Roman" w:eastAsiaTheme="majorEastAsia" w:hAnsi="Times New Roman" w:cs="Times New Roman"/>
          <w:bCs/>
          <w:sz w:val="24"/>
          <w:szCs w:val="24"/>
        </w:rPr>
        <w:t xml:space="preserve">n February 2017, nine round-the-clock curfews were imposed in different districts of </w:t>
      </w:r>
      <w:proofErr w:type="spellStart"/>
      <w:r w:rsidRPr="00516213">
        <w:rPr>
          <w:rFonts w:ascii="Times New Roman" w:eastAsiaTheme="majorEastAsia" w:hAnsi="Times New Roman" w:cs="Times New Roman"/>
          <w:bCs/>
          <w:sz w:val="24"/>
          <w:szCs w:val="24"/>
        </w:rPr>
        <w:t>Mardin</w:t>
      </w:r>
      <w:proofErr w:type="spellEnd"/>
      <w:r w:rsidRPr="00516213">
        <w:rPr>
          <w:rFonts w:ascii="Times New Roman" w:eastAsiaTheme="majorEastAsia" w:hAnsi="Times New Roman" w:cs="Times New Roman"/>
          <w:bCs/>
          <w:sz w:val="24"/>
          <w:szCs w:val="24"/>
        </w:rPr>
        <w:t xml:space="preserve"> province (</w:t>
      </w:r>
      <w:r w:rsidRPr="00516213">
        <w:rPr>
          <w:rFonts w:ascii="Times New Roman" w:hAnsi="Times New Roman" w:cs="Times New Roman"/>
          <w:sz w:val="24"/>
          <w:szCs w:val="24"/>
        </w:rPr>
        <w:t>Office of the United Nations High Commissioner for Human Rights 2017, 25</w:t>
      </w:r>
      <w:r w:rsidRPr="00516213">
        <w:rPr>
          <w:rFonts w:ascii="Times New Roman" w:eastAsiaTheme="majorEastAsia" w:hAnsi="Times New Roman" w:cs="Times New Roman"/>
          <w:bCs/>
          <w:sz w:val="24"/>
          <w:szCs w:val="24"/>
        </w:rPr>
        <w:t xml:space="preserve">). Emergency decree 690 (Official Gazette 29 April 2017), amending the law on domestic security, among others, facilitated </w:t>
      </w:r>
      <w:r w:rsidR="00E92C6C">
        <w:rPr>
          <w:rFonts w:ascii="Times New Roman" w:eastAsiaTheme="majorEastAsia" w:hAnsi="Times New Roman" w:cs="Times New Roman"/>
          <w:bCs/>
          <w:sz w:val="24"/>
          <w:szCs w:val="24"/>
        </w:rPr>
        <w:t>the declaration of certain areas as military forbidden zones and special security zones considerably</w:t>
      </w:r>
      <w:r w:rsidRPr="00516213">
        <w:rPr>
          <w:rFonts w:ascii="Times New Roman" w:eastAsiaTheme="majorEastAsia" w:hAnsi="Times New Roman" w:cs="Times New Roman"/>
          <w:bCs/>
          <w:sz w:val="24"/>
          <w:szCs w:val="24"/>
        </w:rPr>
        <w:t>. The decree determined that places such as ‘guard posts, service buildings etc. where the contingents of the gendarmerie general command and coast guard command are positioned will be automatically deemed special security zones</w:t>
      </w:r>
      <w:r w:rsidR="00E92C6C">
        <w:rPr>
          <w:rFonts w:ascii="Times New Roman" w:eastAsiaTheme="majorEastAsia" w:hAnsi="Times New Roman" w:cs="Times New Roman"/>
          <w:bCs/>
          <w:sz w:val="24"/>
          <w:szCs w:val="24"/>
        </w:rPr>
        <w:t>,</w:t>
      </w:r>
      <w:r w:rsidRPr="00516213">
        <w:rPr>
          <w:rFonts w:ascii="Times New Roman" w:eastAsiaTheme="majorEastAsia" w:hAnsi="Times New Roman" w:cs="Times New Roman"/>
          <w:bCs/>
          <w:sz w:val="24"/>
          <w:szCs w:val="24"/>
        </w:rPr>
        <w:t xml:space="preserve"> and the limits of these zones will be determined by the Ministry of Interior’ (</w:t>
      </w:r>
      <w:proofErr w:type="spellStart"/>
      <w:r w:rsidRPr="00516213">
        <w:rPr>
          <w:rFonts w:ascii="Times New Roman" w:eastAsiaTheme="majorEastAsia" w:hAnsi="Times New Roman" w:cs="Times New Roman"/>
          <w:bCs/>
          <w:sz w:val="24"/>
          <w:szCs w:val="24"/>
        </w:rPr>
        <w:t>Akça</w:t>
      </w:r>
      <w:proofErr w:type="spellEnd"/>
      <w:r w:rsidRPr="00516213">
        <w:rPr>
          <w:rFonts w:ascii="Times New Roman" w:eastAsiaTheme="majorEastAsia" w:hAnsi="Times New Roman" w:cs="Times New Roman"/>
          <w:bCs/>
          <w:sz w:val="24"/>
          <w:szCs w:val="24"/>
        </w:rPr>
        <w:t xml:space="preserve"> et</w:t>
      </w:r>
      <w:r w:rsidR="00E92C6C">
        <w:rPr>
          <w:rFonts w:ascii="Times New Roman" w:eastAsiaTheme="majorEastAsia" w:hAnsi="Times New Roman" w:cs="Times New Roman"/>
          <w:bCs/>
          <w:sz w:val="24"/>
          <w:szCs w:val="24"/>
        </w:rPr>
        <w:t xml:space="preserve"> al.</w:t>
      </w:r>
      <w:r w:rsidRPr="00516213">
        <w:rPr>
          <w:rFonts w:ascii="Times New Roman" w:eastAsiaTheme="majorEastAsia" w:hAnsi="Times New Roman" w:cs="Times New Roman"/>
          <w:bCs/>
          <w:sz w:val="24"/>
          <w:szCs w:val="24"/>
        </w:rPr>
        <w:t xml:space="preserve"> 2018</w:t>
      </w:r>
      <w:r w:rsidR="00E92C6C">
        <w:rPr>
          <w:rFonts w:ascii="Times New Roman" w:eastAsiaTheme="majorEastAsia" w:hAnsi="Times New Roman" w:cs="Times New Roman"/>
          <w:bCs/>
          <w:sz w:val="24"/>
          <w:szCs w:val="24"/>
        </w:rPr>
        <w:t>,</w:t>
      </w:r>
      <w:r w:rsidRPr="00516213">
        <w:rPr>
          <w:rFonts w:ascii="Times New Roman" w:eastAsiaTheme="majorEastAsia" w:hAnsi="Times New Roman" w:cs="Times New Roman"/>
          <w:bCs/>
          <w:sz w:val="24"/>
          <w:szCs w:val="24"/>
        </w:rPr>
        <w:t xml:space="preserve"> 47).</w:t>
      </w:r>
      <w:r w:rsidR="00633AD3" w:rsidRPr="00516213">
        <w:rPr>
          <w:rFonts w:ascii="Times New Roman" w:eastAsiaTheme="majorEastAsia" w:hAnsi="Times New Roman" w:cs="Times New Roman"/>
          <w:bCs/>
          <w:sz w:val="24"/>
          <w:szCs w:val="24"/>
        </w:rPr>
        <w:t xml:space="preserve"> Similarly, </w:t>
      </w:r>
      <w:r w:rsidRPr="00516213">
        <w:rPr>
          <w:rFonts w:ascii="Times New Roman" w:eastAsiaTheme="majorEastAsia" w:hAnsi="Times New Roman" w:cs="Times New Roman"/>
          <w:bCs/>
          <w:sz w:val="24"/>
          <w:szCs w:val="24"/>
        </w:rPr>
        <w:t xml:space="preserve">it has become a common practice in recent years to declare ‘temporary special security zones’ (TSSZ) in Turkey’s southeast, where </w:t>
      </w:r>
      <w:r w:rsidR="00201365">
        <w:rPr>
          <w:rFonts w:ascii="Times New Roman" w:eastAsiaTheme="majorEastAsia" w:hAnsi="Times New Roman" w:cs="Times New Roman"/>
          <w:bCs/>
          <w:sz w:val="24"/>
          <w:szCs w:val="24"/>
        </w:rPr>
        <w:t xml:space="preserve">the </w:t>
      </w:r>
      <w:r w:rsidRPr="00516213">
        <w:rPr>
          <w:rFonts w:ascii="Times New Roman" w:eastAsiaTheme="majorEastAsia" w:hAnsi="Times New Roman" w:cs="Times New Roman"/>
          <w:bCs/>
          <w:sz w:val="24"/>
          <w:szCs w:val="24"/>
        </w:rPr>
        <w:t>entrance to and exit from the region are strictly controlled by the military. The president, and in urgent cases</w:t>
      </w:r>
      <w:r w:rsidR="00201365">
        <w:rPr>
          <w:rFonts w:ascii="Times New Roman" w:eastAsiaTheme="majorEastAsia" w:hAnsi="Times New Roman" w:cs="Times New Roman"/>
          <w:bCs/>
          <w:sz w:val="24"/>
          <w:szCs w:val="24"/>
        </w:rPr>
        <w:t>,</w:t>
      </w:r>
      <w:r w:rsidRPr="00516213">
        <w:rPr>
          <w:rFonts w:ascii="Times New Roman" w:eastAsiaTheme="majorEastAsia" w:hAnsi="Times New Roman" w:cs="Times New Roman"/>
          <w:bCs/>
          <w:sz w:val="24"/>
          <w:szCs w:val="24"/>
        </w:rPr>
        <w:t xml:space="preserve"> governors, have the authority to declare TSSZs for a specified period under the framework of anti-terror operations (Emergency Decree 700</w:t>
      </w:r>
      <w:r w:rsidR="001B77AE" w:rsidRPr="00516213">
        <w:rPr>
          <w:rFonts w:ascii="Times New Roman" w:eastAsiaTheme="majorEastAsia" w:hAnsi="Times New Roman" w:cs="Times New Roman"/>
          <w:bCs/>
          <w:sz w:val="24"/>
          <w:szCs w:val="24"/>
        </w:rPr>
        <w:t>,</w:t>
      </w:r>
      <w:r w:rsidRPr="00516213">
        <w:rPr>
          <w:rFonts w:ascii="Times New Roman" w:eastAsiaTheme="majorEastAsia" w:hAnsi="Times New Roman" w:cs="Times New Roman"/>
          <w:bCs/>
          <w:sz w:val="24"/>
          <w:szCs w:val="24"/>
        </w:rPr>
        <w:t xml:space="preserve"> Official Gazette 7 July 2018). </w:t>
      </w:r>
      <w:r w:rsidR="00170ED6" w:rsidRPr="00516213">
        <w:rPr>
          <w:rFonts w:ascii="Times New Roman" w:eastAsiaTheme="majorEastAsia" w:hAnsi="Times New Roman" w:cs="Times New Roman"/>
          <w:bCs/>
          <w:sz w:val="24"/>
          <w:szCs w:val="24"/>
        </w:rPr>
        <w:t>For example</w:t>
      </w:r>
      <w:r w:rsidRPr="00516213">
        <w:rPr>
          <w:rFonts w:ascii="Times New Roman" w:eastAsiaTheme="majorEastAsia" w:hAnsi="Times New Roman" w:cs="Times New Roman"/>
          <w:bCs/>
          <w:sz w:val="24"/>
          <w:szCs w:val="24"/>
        </w:rPr>
        <w:t xml:space="preserve">, the governorship of </w:t>
      </w:r>
      <w:proofErr w:type="spellStart"/>
      <w:r w:rsidRPr="00516213">
        <w:rPr>
          <w:rFonts w:ascii="Times New Roman" w:eastAsiaTheme="majorEastAsia" w:hAnsi="Times New Roman" w:cs="Times New Roman"/>
          <w:bCs/>
          <w:sz w:val="24"/>
          <w:szCs w:val="24"/>
        </w:rPr>
        <w:t>Tunceli</w:t>
      </w:r>
      <w:proofErr w:type="spellEnd"/>
      <w:r w:rsidRPr="00516213">
        <w:rPr>
          <w:rFonts w:ascii="Times New Roman" w:eastAsiaTheme="majorEastAsia" w:hAnsi="Times New Roman" w:cs="Times New Roman"/>
          <w:bCs/>
          <w:sz w:val="24"/>
          <w:szCs w:val="24"/>
        </w:rPr>
        <w:t xml:space="preserve"> declared </w:t>
      </w:r>
      <w:r w:rsidR="001B77AE" w:rsidRPr="00516213">
        <w:rPr>
          <w:rFonts w:ascii="Times New Roman" w:eastAsiaTheme="majorEastAsia" w:hAnsi="Times New Roman" w:cs="Times New Roman"/>
          <w:bCs/>
          <w:sz w:val="24"/>
          <w:szCs w:val="24"/>
        </w:rPr>
        <w:t>30</w:t>
      </w:r>
      <w:r w:rsidRPr="00516213">
        <w:rPr>
          <w:rFonts w:ascii="Times New Roman" w:eastAsiaTheme="majorEastAsia" w:hAnsi="Times New Roman" w:cs="Times New Roman"/>
          <w:bCs/>
          <w:sz w:val="24"/>
          <w:szCs w:val="24"/>
        </w:rPr>
        <w:t xml:space="preserve"> different areas in the city as TSSZs between 1 November 2017 and 1 September 2018 (</w:t>
      </w:r>
      <w:proofErr w:type="spellStart"/>
      <w:r w:rsidRPr="00516213">
        <w:rPr>
          <w:rFonts w:ascii="Times New Roman" w:eastAsiaTheme="majorEastAsia" w:hAnsi="Times New Roman" w:cs="Times New Roman"/>
          <w:bCs/>
          <w:sz w:val="24"/>
          <w:szCs w:val="24"/>
        </w:rPr>
        <w:t>Tunceli</w:t>
      </w:r>
      <w:proofErr w:type="spellEnd"/>
      <w:r w:rsidRPr="00516213">
        <w:rPr>
          <w:rFonts w:ascii="Times New Roman" w:eastAsiaTheme="majorEastAsia" w:hAnsi="Times New Roman" w:cs="Times New Roman"/>
          <w:bCs/>
          <w:sz w:val="24"/>
          <w:szCs w:val="24"/>
        </w:rPr>
        <w:t xml:space="preserve"> Governorship 2017) and </w:t>
      </w:r>
      <w:r w:rsidR="001B77AE" w:rsidRPr="00516213">
        <w:rPr>
          <w:rFonts w:ascii="Times New Roman" w:eastAsiaTheme="majorEastAsia" w:hAnsi="Times New Roman" w:cs="Times New Roman"/>
          <w:bCs/>
          <w:sz w:val="24"/>
          <w:szCs w:val="24"/>
        </w:rPr>
        <w:t>29</w:t>
      </w:r>
      <w:r w:rsidRPr="00516213">
        <w:rPr>
          <w:rFonts w:ascii="Times New Roman" w:eastAsiaTheme="majorEastAsia" w:hAnsi="Times New Roman" w:cs="Times New Roman"/>
          <w:bCs/>
          <w:sz w:val="24"/>
          <w:szCs w:val="24"/>
        </w:rPr>
        <w:t xml:space="preserve"> areas between 1 January and 16 January 2021 (</w:t>
      </w:r>
      <w:proofErr w:type="spellStart"/>
      <w:r w:rsidRPr="00516213">
        <w:rPr>
          <w:rFonts w:ascii="Times New Roman" w:eastAsiaTheme="majorEastAsia" w:hAnsi="Times New Roman" w:cs="Times New Roman"/>
          <w:bCs/>
          <w:sz w:val="24"/>
          <w:szCs w:val="24"/>
        </w:rPr>
        <w:t>Tunceli</w:t>
      </w:r>
      <w:proofErr w:type="spellEnd"/>
      <w:r w:rsidRPr="00516213">
        <w:rPr>
          <w:rFonts w:ascii="Times New Roman" w:eastAsiaTheme="majorEastAsia" w:hAnsi="Times New Roman" w:cs="Times New Roman"/>
          <w:bCs/>
          <w:sz w:val="24"/>
          <w:szCs w:val="24"/>
        </w:rPr>
        <w:t xml:space="preserve"> Governorship 2020). Similarly, 17 regions in </w:t>
      </w:r>
      <w:proofErr w:type="spellStart"/>
      <w:r w:rsidRPr="00516213">
        <w:rPr>
          <w:rFonts w:ascii="Times New Roman" w:eastAsiaTheme="majorEastAsia" w:hAnsi="Times New Roman" w:cs="Times New Roman"/>
          <w:bCs/>
          <w:sz w:val="24"/>
          <w:szCs w:val="24"/>
        </w:rPr>
        <w:t>Şırnak</w:t>
      </w:r>
      <w:proofErr w:type="spellEnd"/>
      <w:r w:rsidRPr="00516213">
        <w:rPr>
          <w:rFonts w:ascii="Times New Roman" w:eastAsiaTheme="majorEastAsia" w:hAnsi="Times New Roman" w:cs="Times New Roman"/>
          <w:bCs/>
          <w:sz w:val="24"/>
          <w:szCs w:val="24"/>
        </w:rPr>
        <w:t xml:space="preserve"> were declared TSSZs for 15 day</w:t>
      </w:r>
      <w:r w:rsidR="00521147" w:rsidRPr="00516213">
        <w:rPr>
          <w:rFonts w:ascii="Times New Roman" w:eastAsiaTheme="majorEastAsia" w:hAnsi="Times New Roman" w:cs="Times New Roman"/>
          <w:bCs/>
          <w:sz w:val="24"/>
          <w:szCs w:val="24"/>
        </w:rPr>
        <w:t>s in September 2017 (Cumhuriyet</w:t>
      </w:r>
      <w:r w:rsidRPr="00516213">
        <w:rPr>
          <w:rFonts w:ascii="Times New Roman" w:eastAsiaTheme="majorEastAsia" w:hAnsi="Times New Roman" w:cs="Times New Roman"/>
          <w:bCs/>
          <w:sz w:val="24"/>
          <w:szCs w:val="24"/>
        </w:rPr>
        <w:t xml:space="preserve"> 2017)</w:t>
      </w:r>
      <w:r w:rsidR="00201365">
        <w:rPr>
          <w:rFonts w:ascii="Times New Roman" w:eastAsiaTheme="majorEastAsia" w:hAnsi="Times New Roman" w:cs="Times New Roman"/>
          <w:bCs/>
          <w:sz w:val="24"/>
          <w:szCs w:val="24"/>
        </w:rPr>
        <w:t>,</w:t>
      </w:r>
      <w:r w:rsidRPr="00516213">
        <w:rPr>
          <w:rFonts w:ascii="Times New Roman" w:eastAsiaTheme="majorEastAsia" w:hAnsi="Times New Roman" w:cs="Times New Roman"/>
          <w:bCs/>
          <w:sz w:val="24"/>
          <w:szCs w:val="24"/>
        </w:rPr>
        <w:t xml:space="preserve"> while high grounds in </w:t>
      </w:r>
      <w:proofErr w:type="spellStart"/>
      <w:r w:rsidRPr="00516213">
        <w:rPr>
          <w:rFonts w:ascii="Times New Roman" w:eastAsiaTheme="majorEastAsia" w:hAnsi="Times New Roman" w:cs="Times New Roman"/>
          <w:bCs/>
          <w:sz w:val="24"/>
          <w:szCs w:val="24"/>
        </w:rPr>
        <w:t>Bitlis</w:t>
      </w:r>
      <w:proofErr w:type="spellEnd"/>
      <w:r w:rsidRPr="00516213">
        <w:rPr>
          <w:rFonts w:ascii="Times New Roman" w:eastAsiaTheme="majorEastAsia" w:hAnsi="Times New Roman" w:cs="Times New Roman"/>
          <w:bCs/>
          <w:sz w:val="24"/>
          <w:szCs w:val="24"/>
        </w:rPr>
        <w:t xml:space="preserve"> and its four districts became TSSZs throughout 2021 (</w:t>
      </w:r>
      <w:proofErr w:type="spellStart"/>
      <w:r w:rsidRPr="00516213">
        <w:rPr>
          <w:rFonts w:ascii="Times New Roman" w:eastAsiaTheme="majorEastAsia" w:hAnsi="Times New Roman" w:cs="Times New Roman"/>
          <w:bCs/>
          <w:sz w:val="24"/>
          <w:szCs w:val="24"/>
        </w:rPr>
        <w:t>Bitlis</w:t>
      </w:r>
      <w:proofErr w:type="spellEnd"/>
      <w:r w:rsidRPr="00516213">
        <w:rPr>
          <w:rFonts w:ascii="Times New Roman" w:eastAsiaTheme="majorEastAsia" w:hAnsi="Times New Roman" w:cs="Times New Roman"/>
          <w:bCs/>
          <w:sz w:val="24"/>
          <w:szCs w:val="24"/>
        </w:rPr>
        <w:t xml:space="preserve"> Governorship 2021). This policy</w:t>
      </w:r>
      <w:r w:rsidR="00201365">
        <w:rPr>
          <w:rFonts w:ascii="Times New Roman" w:eastAsiaTheme="majorEastAsia" w:hAnsi="Times New Roman" w:cs="Times New Roman"/>
          <w:bCs/>
          <w:sz w:val="24"/>
          <w:szCs w:val="24"/>
        </w:rPr>
        <w:t>,</w:t>
      </w:r>
      <w:r w:rsidRPr="00516213">
        <w:rPr>
          <w:rFonts w:ascii="Times New Roman" w:eastAsiaTheme="majorEastAsia" w:hAnsi="Times New Roman" w:cs="Times New Roman"/>
          <w:bCs/>
          <w:sz w:val="24"/>
          <w:szCs w:val="24"/>
        </w:rPr>
        <w:t xml:space="preserve"> peculiar to the </w:t>
      </w:r>
      <w:r w:rsidR="00201365" w:rsidRPr="00516213">
        <w:rPr>
          <w:rFonts w:ascii="Times New Roman" w:eastAsiaTheme="majorEastAsia" w:hAnsi="Times New Roman" w:cs="Times New Roman"/>
          <w:bCs/>
          <w:sz w:val="24"/>
          <w:szCs w:val="24"/>
        </w:rPr>
        <w:t>Kurdish</w:t>
      </w:r>
      <w:r w:rsidR="00201365">
        <w:rPr>
          <w:rFonts w:ascii="Times New Roman" w:eastAsiaTheme="majorEastAsia" w:hAnsi="Times New Roman" w:cs="Times New Roman"/>
          <w:bCs/>
          <w:sz w:val="24"/>
          <w:szCs w:val="24"/>
        </w:rPr>
        <w:t>-</w:t>
      </w:r>
      <w:r w:rsidR="0008705A" w:rsidRPr="00516213">
        <w:rPr>
          <w:rFonts w:ascii="Times New Roman" w:eastAsiaTheme="majorEastAsia" w:hAnsi="Times New Roman" w:cs="Times New Roman"/>
          <w:bCs/>
          <w:sz w:val="24"/>
          <w:szCs w:val="24"/>
        </w:rPr>
        <w:t xml:space="preserve">majority </w:t>
      </w:r>
      <w:r w:rsidRPr="00516213">
        <w:rPr>
          <w:rFonts w:ascii="Times New Roman" w:eastAsiaTheme="majorEastAsia" w:hAnsi="Times New Roman" w:cs="Times New Roman"/>
          <w:bCs/>
          <w:sz w:val="24"/>
          <w:szCs w:val="24"/>
        </w:rPr>
        <w:t>cities in Turkey</w:t>
      </w:r>
      <w:r w:rsidR="00201365">
        <w:rPr>
          <w:rFonts w:ascii="Times New Roman" w:eastAsiaTheme="majorEastAsia" w:hAnsi="Times New Roman" w:cs="Times New Roman"/>
          <w:bCs/>
          <w:sz w:val="24"/>
          <w:szCs w:val="24"/>
        </w:rPr>
        <w:t>,</w:t>
      </w:r>
      <w:r w:rsidRPr="00516213">
        <w:rPr>
          <w:rFonts w:ascii="Times New Roman" w:eastAsiaTheme="majorEastAsia" w:hAnsi="Times New Roman" w:cs="Times New Roman"/>
          <w:bCs/>
          <w:sz w:val="24"/>
          <w:szCs w:val="24"/>
        </w:rPr>
        <w:t xml:space="preserve"> is seen by some observers as indicative of the fact that ‘a de-facto state of emergency has continued to exist in a legally dubious form and substance’ (</w:t>
      </w:r>
      <w:proofErr w:type="spellStart"/>
      <w:r w:rsidRPr="00516213">
        <w:rPr>
          <w:rFonts w:ascii="Times New Roman" w:eastAsiaTheme="majorEastAsia" w:hAnsi="Times New Roman" w:cs="Times New Roman"/>
          <w:bCs/>
          <w:sz w:val="24"/>
          <w:szCs w:val="24"/>
        </w:rPr>
        <w:t>Turkut</w:t>
      </w:r>
      <w:proofErr w:type="spellEnd"/>
      <w:r w:rsidRPr="00516213">
        <w:rPr>
          <w:rFonts w:ascii="Times New Roman" w:eastAsiaTheme="majorEastAsia" w:hAnsi="Times New Roman" w:cs="Times New Roman"/>
          <w:bCs/>
          <w:sz w:val="24"/>
          <w:szCs w:val="24"/>
        </w:rPr>
        <w:t xml:space="preserve"> and Philips 2021, 115)</w:t>
      </w:r>
      <w:r w:rsidR="0008705A" w:rsidRPr="00516213">
        <w:rPr>
          <w:rFonts w:ascii="Times New Roman" w:eastAsiaTheme="majorEastAsia" w:hAnsi="Times New Roman" w:cs="Times New Roman"/>
          <w:bCs/>
          <w:sz w:val="24"/>
          <w:szCs w:val="24"/>
        </w:rPr>
        <w:t xml:space="preserve"> in the region</w:t>
      </w:r>
      <w:r w:rsidRPr="00516213">
        <w:rPr>
          <w:rFonts w:ascii="Times New Roman" w:eastAsiaTheme="majorEastAsia" w:hAnsi="Times New Roman" w:cs="Times New Roman"/>
          <w:bCs/>
          <w:sz w:val="24"/>
          <w:szCs w:val="24"/>
        </w:rPr>
        <w:t>.</w:t>
      </w:r>
    </w:p>
    <w:p w14:paraId="4559D334" w14:textId="34C136C8" w:rsidR="00CF6A77" w:rsidRPr="00516213" w:rsidRDefault="00CF6A77" w:rsidP="000D373E">
      <w:pPr>
        <w:spacing w:line="360" w:lineRule="auto"/>
        <w:ind w:firstLine="720"/>
        <w:jc w:val="both"/>
        <w:rPr>
          <w:rFonts w:ascii="Times New Roman" w:eastAsiaTheme="majorEastAsia" w:hAnsi="Times New Roman" w:cs="Times New Roman"/>
          <w:bCs/>
          <w:sz w:val="24"/>
          <w:szCs w:val="24"/>
        </w:rPr>
      </w:pPr>
      <w:r w:rsidRPr="00516213">
        <w:rPr>
          <w:rFonts w:ascii="Times New Roman" w:eastAsiaTheme="majorEastAsia" w:hAnsi="Times New Roman" w:cs="Times New Roman"/>
          <w:bCs/>
          <w:sz w:val="24"/>
          <w:szCs w:val="24"/>
        </w:rPr>
        <w:t xml:space="preserve">Another disproportionate impact of the </w:t>
      </w:r>
      <w:proofErr w:type="spellStart"/>
      <w:r w:rsidR="0008705A" w:rsidRPr="00516213">
        <w:rPr>
          <w:rFonts w:ascii="Times New Roman" w:eastAsiaTheme="majorEastAsia" w:hAnsi="Times New Roman" w:cs="Times New Roman"/>
          <w:bCs/>
          <w:sz w:val="24"/>
          <w:szCs w:val="24"/>
        </w:rPr>
        <w:t>SoE</w:t>
      </w:r>
      <w:proofErr w:type="spellEnd"/>
      <w:r w:rsidR="0008705A" w:rsidRPr="00516213">
        <w:rPr>
          <w:rFonts w:ascii="Times New Roman" w:eastAsiaTheme="majorEastAsia" w:hAnsi="Times New Roman" w:cs="Times New Roman"/>
          <w:bCs/>
          <w:sz w:val="24"/>
          <w:szCs w:val="24"/>
        </w:rPr>
        <w:t xml:space="preserve"> </w:t>
      </w:r>
      <w:r w:rsidRPr="00516213">
        <w:rPr>
          <w:rFonts w:ascii="Times New Roman" w:eastAsiaTheme="majorEastAsia" w:hAnsi="Times New Roman" w:cs="Times New Roman"/>
          <w:bCs/>
          <w:sz w:val="24"/>
          <w:szCs w:val="24"/>
        </w:rPr>
        <w:t xml:space="preserve">on the Kurdish minority may be found in the legal amendments made by the Turkish government introducing important changes to the status of the temporary village guards. While these guards used to operate only in suburban areas, emergency decree 674 made their temporary secondment possible in provincial areas ‘for a limited time period’ upon the approval of </w:t>
      </w:r>
      <w:r w:rsidR="00545EC3">
        <w:rPr>
          <w:rFonts w:ascii="Times New Roman" w:eastAsiaTheme="majorEastAsia" w:hAnsi="Times New Roman" w:cs="Times New Roman"/>
          <w:bCs/>
          <w:sz w:val="24"/>
          <w:szCs w:val="24"/>
        </w:rPr>
        <w:t xml:space="preserve">the </w:t>
      </w:r>
      <w:r w:rsidRPr="00516213">
        <w:rPr>
          <w:rFonts w:ascii="Times New Roman" w:eastAsiaTheme="majorEastAsia" w:hAnsi="Times New Roman" w:cs="Times New Roman"/>
          <w:bCs/>
          <w:sz w:val="24"/>
          <w:szCs w:val="24"/>
        </w:rPr>
        <w:t xml:space="preserve">district or provincial governor (Official Gazette 1 September 2016). Village guards were first recruited from different Kurdish tribes as ‘local militia forces’ (Aslan 2015, 138) in the service of the state in 1985 </w:t>
      </w:r>
      <w:r w:rsidR="001F672A" w:rsidRPr="00516213">
        <w:rPr>
          <w:rFonts w:ascii="Times New Roman" w:eastAsiaTheme="majorEastAsia" w:hAnsi="Times New Roman" w:cs="Times New Roman"/>
          <w:bCs/>
          <w:sz w:val="24"/>
          <w:szCs w:val="24"/>
        </w:rPr>
        <w:t xml:space="preserve">in its armed conflict with the PKK. </w:t>
      </w:r>
      <w:r w:rsidRPr="00516213">
        <w:rPr>
          <w:rFonts w:ascii="Times New Roman" w:eastAsiaTheme="majorEastAsia" w:hAnsi="Times New Roman" w:cs="Times New Roman"/>
          <w:bCs/>
          <w:sz w:val="24"/>
          <w:szCs w:val="24"/>
        </w:rPr>
        <w:t xml:space="preserve">This exceptionalist measure has been sustained by successive governments since then during both nationwide and regional emergencies and under the rule of law. Turning a blind eye to human rights violations by these guards throughout the 1980s and the 1990s has been a common practice, further blurring the distinctions between civilian and military rule and between normalcy and emergency in </w:t>
      </w:r>
      <w:r w:rsidR="0008705A" w:rsidRPr="00516213">
        <w:rPr>
          <w:rFonts w:ascii="Times New Roman" w:eastAsiaTheme="majorEastAsia" w:hAnsi="Times New Roman" w:cs="Times New Roman"/>
          <w:bCs/>
          <w:sz w:val="24"/>
          <w:szCs w:val="24"/>
        </w:rPr>
        <w:t xml:space="preserve">Turkey’s </w:t>
      </w:r>
      <w:r w:rsidRPr="00516213">
        <w:rPr>
          <w:rFonts w:ascii="Times New Roman" w:eastAsiaTheme="majorEastAsia" w:hAnsi="Times New Roman" w:cs="Times New Roman"/>
          <w:bCs/>
          <w:sz w:val="24"/>
          <w:szCs w:val="24"/>
        </w:rPr>
        <w:t>southeast.</w:t>
      </w:r>
    </w:p>
    <w:p w14:paraId="72EBEB2D" w14:textId="3FB5618C" w:rsidR="00A87CC0" w:rsidRPr="00516213" w:rsidRDefault="00CF6A77" w:rsidP="000D373E">
      <w:pPr>
        <w:spacing w:line="360" w:lineRule="auto"/>
        <w:ind w:firstLine="720"/>
        <w:jc w:val="both"/>
        <w:rPr>
          <w:rFonts w:ascii="Times New Roman" w:eastAsiaTheme="majorEastAsia" w:hAnsi="Times New Roman" w:cs="Times New Roman"/>
          <w:bCs/>
          <w:sz w:val="24"/>
          <w:szCs w:val="24"/>
        </w:rPr>
      </w:pPr>
      <w:r w:rsidRPr="00516213">
        <w:rPr>
          <w:rFonts w:ascii="Times New Roman" w:eastAsiaTheme="majorEastAsia" w:hAnsi="Times New Roman" w:cs="Times New Roman"/>
          <w:bCs/>
          <w:sz w:val="24"/>
          <w:szCs w:val="24"/>
        </w:rPr>
        <w:t>Turning to the recent</w:t>
      </w:r>
      <w:r w:rsidR="00180843" w:rsidRPr="00516213">
        <w:rPr>
          <w:rFonts w:ascii="Times New Roman" w:eastAsiaTheme="majorEastAsia" w:hAnsi="Times New Roman" w:cs="Times New Roman"/>
          <w:bCs/>
          <w:sz w:val="24"/>
          <w:szCs w:val="24"/>
        </w:rPr>
        <w:t xml:space="preserve"> </w:t>
      </w:r>
      <w:proofErr w:type="spellStart"/>
      <w:r w:rsidR="00180843" w:rsidRPr="00516213">
        <w:rPr>
          <w:rFonts w:ascii="Times New Roman" w:eastAsiaTheme="majorEastAsia" w:hAnsi="Times New Roman" w:cs="Times New Roman"/>
          <w:bCs/>
          <w:sz w:val="24"/>
          <w:szCs w:val="24"/>
        </w:rPr>
        <w:t>SoE</w:t>
      </w:r>
      <w:proofErr w:type="spellEnd"/>
      <w:r w:rsidRPr="00516213">
        <w:rPr>
          <w:rFonts w:ascii="Times New Roman" w:eastAsiaTheme="majorEastAsia" w:hAnsi="Times New Roman" w:cs="Times New Roman"/>
          <w:bCs/>
          <w:sz w:val="24"/>
          <w:szCs w:val="24"/>
        </w:rPr>
        <w:t>, emergency decree 676, replacing ‘temporary village guard’ with ‘security guard</w:t>
      </w:r>
      <w:r w:rsidR="00545EC3">
        <w:rPr>
          <w:rFonts w:ascii="Times New Roman" w:eastAsiaTheme="majorEastAsia" w:hAnsi="Times New Roman" w:cs="Times New Roman"/>
          <w:bCs/>
          <w:sz w:val="24"/>
          <w:szCs w:val="24"/>
        </w:rPr>
        <w:t>,</w:t>
      </w:r>
      <w:r w:rsidRPr="00516213">
        <w:rPr>
          <w:rFonts w:ascii="Times New Roman" w:eastAsiaTheme="majorEastAsia" w:hAnsi="Times New Roman" w:cs="Times New Roman"/>
          <w:bCs/>
          <w:sz w:val="24"/>
          <w:szCs w:val="24"/>
        </w:rPr>
        <w:t xml:space="preserve">’ consolidated their status as permanent staff within </w:t>
      </w:r>
      <w:r w:rsidR="00545EC3">
        <w:rPr>
          <w:rFonts w:ascii="Times New Roman" w:eastAsiaTheme="majorEastAsia" w:hAnsi="Times New Roman" w:cs="Times New Roman"/>
          <w:bCs/>
          <w:sz w:val="24"/>
          <w:szCs w:val="24"/>
        </w:rPr>
        <w:t xml:space="preserve">the </w:t>
      </w:r>
      <w:r w:rsidRPr="00516213">
        <w:rPr>
          <w:rFonts w:ascii="Times New Roman" w:eastAsiaTheme="majorEastAsia" w:hAnsi="Times New Roman" w:cs="Times New Roman"/>
          <w:bCs/>
          <w:sz w:val="24"/>
          <w:szCs w:val="24"/>
        </w:rPr>
        <w:t xml:space="preserve">Turkish security apparatus (Official Gazette 29 October 2016). Even if the nationwide </w:t>
      </w:r>
      <w:proofErr w:type="spellStart"/>
      <w:r w:rsidR="007F2DBA" w:rsidRPr="00516213">
        <w:rPr>
          <w:rFonts w:ascii="Times New Roman" w:eastAsiaTheme="majorEastAsia" w:hAnsi="Times New Roman" w:cs="Times New Roman"/>
          <w:bCs/>
          <w:sz w:val="24"/>
          <w:szCs w:val="24"/>
        </w:rPr>
        <w:t>SoE</w:t>
      </w:r>
      <w:proofErr w:type="spellEnd"/>
      <w:r w:rsidR="007F2DBA" w:rsidRPr="00516213">
        <w:rPr>
          <w:rFonts w:ascii="Times New Roman" w:eastAsiaTheme="majorEastAsia" w:hAnsi="Times New Roman" w:cs="Times New Roman"/>
          <w:bCs/>
          <w:sz w:val="24"/>
          <w:szCs w:val="24"/>
        </w:rPr>
        <w:t xml:space="preserve"> </w:t>
      </w:r>
      <w:r w:rsidRPr="00516213">
        <w:rPr>
          <w:rFonts w:ascii="Times New Roman" w:eastAsiaTheme="majorEastAsia" w:hAnsi="Times New Roman" w:cs="Times New Roman"/>
          <w:bCs/>
          <w:sz w:val="24"/>
          <w:szCs w:val="24"/>
        </w:rPr>
        <w:t>virtually ended in July 2018, ‘the post-coup measures reached an unprecedented level, targeting economic, social and cultural rights, and civil and political rights, through excessive detentions, massive dismissals, broad institutional closures and measures exclusively affecting the Kurdish minority in Turkey’ (</w:t>
      </w:r>
      <w:proofErr w:type="spellStart"/>
      <w:r w:rsidRPr="00516213">
        <w:rPr>
          <w:rFonts w:ascii="Times New Roman" w:eastAsiaTheme="majorEastAsia" w:hAnsi="Times New Roman" w:cs="Times New Roman"/>
          <w:bCs/>
          <w:sz w:val="24"/>
          <w:szCs w:val="24"/>
        </w:rPr>
        <w:t>Turkut</w:t>
      </w:r>
      <w:proofErr w:type="spellEnd"/>
      <w:r w:rsidRPr="00516213">
        <w:rPr>
          <w:rFonts w:ascii="Times New Roman" w:eastAsiaTheme="majorEastAsia" w:hAnsi="Times New Roman" w:cs="Times New Roman"/>
          <w:bCs/>
          <w:sz w:val="24"/>
          <w:szCs w:val="24"/>
        </w:rPr>
        <w:t xml:space="preserve"> 2019). Amendments made </w:t>
      </w:r>
      <w:r w:rsidR="00170ED6" w:rsidRPr="00516213">
        <w:rPr>
          <w:rFonts w:ascii="Times New Roman" w:eastAsiaTheme="majorEastAsia" w:hAnsi="Times New Roman" w:cs="Times New Roman"/>
          <w:bCs/>
          <w:sz w:val="24"/>
          <w:szCs w:val="24"/>
        </w:rPr>
        <w:t>to</w:t>
      </w:r>
      <w:r w:rsidRPr="00516213">
        <w:rPr>
          <w:rFonts w:ascii="Times New Roman" w:eastAsiaTheme="majorEastAsia" w:hAnsi="Times New Roman" w:cs="Times New Roman"/>
          <w:bCs/>
          <w:sz w:val="24"/>
          <w:szCs w:val="24"/>
        </w:rPr>
        <w:t xml:space="preserve"> different laws</w:t>
      </w:r>
      <w:r w:rsidR="00170ED6" w:rsidRPr="00516213">
        <w:rPr>
          <w:rFonts w:ascii="Times New Roman" w:eastAsiaTheme="majorEastAsia" w:hAnsi="Times New Roman" w:cs="Times New Roman"/>
          <w:bCs/>
          <w:sz w:val="24"/>
          <w:szCs w:val="24"/>
        </w:rPr>
        <w:t xml:space="preserve"> </w:t>
      </w:r>
      <w:r w:rsidRPr="00516213">
        <w:rPr>
          <w:rFonts w:ascii="Times New Roman" w:eastAsiaTheme="majorEastAsia" w:hAnsi="Times New Roman" w:cs="Times New Roman"/>
          <w:bCs/>
          <w:sz w:val="24"/>
          <w:szCs w:val="24"/>
        </w:rPr>
        <w:t>through emergency decrees turned to permanent legislation</w:t>
      </w:r>
      <w:r w:rsidR="00170ED6" w:rsidRPr="00516213">
        <w:rPr>
          <w:rFonts w:ascii="Times New Roman" w:eastAsiaTheme="majorEastAsia" w:hAnsi="Times New Roman" w:cs="Times New Roman"/>
          <w:bCs/>
          <w:sz w:val="24"/>
          <w:szCs w:val="24"/>
        </w:rPr>
        <w:t>,</w:t>
      </w:r>
      <w:r w:rsidRPr="00516213">
        <w:rPr>
          <w:rFonts w:ascii="Times New Roman" w:eastAsiaTheme="majorEastAsia" w:hAnsi="Times New Roman" w:cs="Times New Roman"/>
          <w:bCs/>
          <w:sz w:val="24"/>
          <w:szCs w:val="24"/>
        </w:rPr>
        <w:t xml:space="preserve"> which ensured that the exceptional measures remained in force in Turkey’s southeast. This further testifies </w:t>
      </w:r>
      <w:r w:rsidR="0028016C" w:rsidRPr="00516213">
        <w:rPr>
          <w:rFonts w:ascii="Times New Roman" w:eastAsiaTheme="majorEastAsia" w:hAnsi="Times New Roman" w:cs="Times New Roman"/>
          <w:bCs/>
          <w:sz w:val="24"/>
          <w:szCs w:val="24"/>
        </w:rPr>
        <w:t xml:space="preserve">to </w:t>
      </w:r>
      <w:r w:rsidRPr="00516213">
        <w:rPr>
          <w:rFonts w:ascii="Times New Roman" w:eastAsiaTheme="majorEastAsia" w:hAnsi="Times New Roman" w:cs="Times New Roman"/>
          <w:bCs/>
          <w:sz w:val="24"/>
          <w:szCs w:val="24"/>
        </w:rPr>
        <w:t xml:space="preserve">our observation that the Kurdish minority </w:t>
      </w:r>
      <w:r w:rsidR="00545EC3">
        <w:rPr>
          <w:rFonts w:ascii="Times New Roman" w:eastAsiaTheme="majorEastAsia" w:hAnsi="Times New Roman" w:cs="Times New Roman"/>
          <w:bCs/>
          <w:sz w:val="24"/>
          <w:szCs w:val="24"/>
        </w:rPr>
        <w:t>is</w:t>
      </w:r>
      <w:r w:rsidR="00545EC3" w:rsidRPr="00516213">
        <w:rPr>
          <w:rFonts w:ascii="Times New Roman" w:eastAsiaTheme="majorEastAsia" w:hAnsi="Times New Roman" w:cs="Times New Roman"/>
          <w:bCs/>
          <w:sz w:val="24"/>
          <w:szCs w:val="24"/>
        </w:rPr>
        <w:t xml:space="preserve"> </w:t>
      </w:r>
      <w:r w:rsidRPr="00516213">
        <w:rPr>
          <w:rFonts w:ascii="Times New Roman" w:eastAsiaTheme="majorEastAsia" w:hAnsi="Times New Roman" w:cs="Times New Roman"/>
          <w:bCs/>
          <w:sz w:val="24"/>
          <w:szCs w:val="24"/>
        </w:rPr>
        <w:t>still subject to everyday emergency measures and that ‘the most flagrant human rights abuses’ against them ‘have occurred in the context of states of emergency’ (</w:t>
      </w:r>
      <w:proofErr w:type="spellStart"/>
      <w:r w:rsidRPr="00516213">
        <w:rPr>
          <w:rFonts w:ascii="Times New Roman" w:eastAsiaTheme="majorEastAsia" w:hAnsi="Times New Roman" w:cs="Times New Roman"/>
          <w:bCs/>
          <w:sz w:val="24"/>
          <w:szCs w:val="24"/>
        </w:rPr>
        <w:t>Turkut</w:t>
      </w:r>
      <w:proofErr w:type="spellEnd"/>
      <w:r w:rsidRPr="00516213">
        <w:rPr>
          <w:rFonts w:ascii="Times New Roman" w:eastAsiaTheme="majorEastAsia" w:hAnsi="Times New Roman" w:cs="Times New Roman"/>
          <w:bCs/>
          <w:sz w:val="24"/>
          <w:szCs w:val="24"/>
        </w:rPr>
        <w:t xml:space="preserve"> 2019)</w:t>
      </w:r>
      <w:r w:rsidR="00C601D1" w:rsidRPr="00516213">
        <w:rPr>
          <w:rFonts w:ascii="Times New Roman" w:eastAsiaTheme="majorEastAsia" w:hAnsi="Times New Roman" w:cs="Times New Roman"/>
          <w:bCs/>
          <w:sz w:val="24"/>
          <w:szCs w:val="24"/>
        </w:rPr>
        <w:t>, despite having nothing to do with the basis for the original emergency in 2016</w:t>
      </w:r>
      <w:r w:rsidRPr="00516213">
        <w:rPr>
          <w:rFonts w:ascii="Times New Roman" w:eastAsiaTheme="majorEastAsia" w:hAnsi="Times New Roman" w:cs="Times New Roman"/>
          <w:bCs/>
          <w:sz w:val="24"/>
          <w:szCs w:val="24"/>
        </w:rPr>
        <w:t xml:space="preserve">. </w:t>
      </w:r>
    </w:p>
    <w:p w14:paraId="4EFA486E" w14:textId="6FDAC3D1" w:rsidR="00A87CC0" w:rsidRPr="00516213" w:rsidRDefault="00A87CC0" w:rsidP="000D373E">
      <w:pPr>
        <w:pStyle w:val="NormalWeb"/>
        <w:spacing w:before="240" w:after="240" w:line="360" w:lineRule="auto"/>
        <w:ind w:firstLine="720"/>
        <w:jc w:val="both"/>
      </w:pPr>
      <w:r w:rsidRPr="00516213">
        <w:t xml:space="preserve">In terms of its heavy influence on the Kurdish minority, Turkey’s recent nationwide </w:t>
      </w:r>
      <w:proofErr w:type="spellStart"/>
      <w:r w:rsidRPr="00516213">
        <w:t>SoE</w:t>
      </w:r>
      <w:proofErr w:type="spellEnd"/>
      <w:r w:rsidRPr="00516213">
        <w:t xml:space="preserve"> may be compared to the </w:t>
      </w:r>
      <w:r w:rsidR="00222146">
        <w:t xml:space="preserve">period of </w:t>
      </w:r>
      <w:r w:rsidRPr="00516213">
        <w:t xml:space="preserve">emergency rule declared in the wake of the military coup in 1980. In the immediate aftermath of the coup, the junta declared martial law throughout the country on 12 September 1980 under the pretext of ending political violence and restoring public security and order. Starting on 19 March 1984 and continuing until 19 July 1987, martial law was gradually lifted across Turkey. </w:t>
      </w:r>
      <w:r w:rsidR="00545EC3">
        <w:t>Nevertheless</w:t>
      </w:r>
      <w:r w:rsidRPr="00516213">
        <w:t xml:space="preserve">, it </w:t>
      </w:r>
      <w:r w:rsidR="00545EC3">
        <w:t>became an enduring traumatic experience for all politicized sectors of society,</w:t>
      </w:r>
      <w:r w:rsidRPr="00516213">
        <w:t xml:space="preserve"> most notably for Kurdish and human rights activists. Throughout this nationwide emergency rule</w:t>
      </w:r>
      <w:r w:rsidR="00545EC3">
        <w:t>,</w:t>
      </w:r>
      <w:r w:rsidRPr="00516213">
        <w:t xml:space="preserve"> the Turkish state’s curtailment of rights and freedoms intensified, as illustrated by the highly restrictive nature of the 1982 constitution (</w:t>
      </w:r>
      <w:proofErr w:type="spellStart"/>
      <w:r w:rsidRPr="00516213">
        <w:t>Kaliber</w:t>
      </w:r>
      <w:proofErr w:type="spellEnd"/>
      <w:r w:rsidRPr="00516213">
        <w:t xml:space="preserve"> and </w:t>
      </w:r>
      <w:proofErr w:type="spellStart"/>
      <w:r w:rsidRPr="00516213">
        <w:t>Tocci</w:t>
      </w:r>
      <w:proofErr w:type="spellEnd"/>
      <w:r w:rsidRPr="00516213">
        <w:t xml:space="preserve"> 2010). The new constitutional system restricted the public use of the Kurdish language and prohibited the expression of opinion (article 26), broadcasting (article 28) and education (article 42) in languages other than Turkish (</w:t>
      </w:r>
      <w:proofErr w:type="spellStart"/>
      <w:r w:rsidRPr="00516213">
        <w:t>Kurban</w:t>
      </w:r>
      <w:proofErr w:type="spellEnd"/>
      <w:r w:rsidRPr="00516213">
        <w:t xml:space="preserve"> 2020, 93). Law 2932</w:t>
      </w:r>
      <w:r w:rsidR="00545EC3">
        <w:t>,</w:t>
      </w:r>
      <w:r w:rsidRPr="00516213">
        <w:t xml:space="preserve"> adopted by the junta in 1983</w:t>
      </w:r>
      <w:r w:rsidR="00545EC3">
        <w:t>,</w:t>
      </w:r>
      <w:r w:rsidRPr="00516213">
        <w:t xml:space="preserve"> consolidated the ban on the Kurdish language, prohibiting its use both in public and private communications. The military junta also adopted a law reintroducing the State Security Courts in June 1983, with exceptional adjudication procedures, civilian and military judges, and prosecutors with exceptional powers. </w:t>
      </w:r>
      <w:r w:rsidR="00545EC3">
        <w:t>Throughout</w:t>
      </w:r>
      <w:r w:rsidRPr="00516213">
        <w:t xml:space="preserve"> the 1980s and 1990s, </w:t>
      </w:r>
      <w:r w:rsidR="00992117" w:rsidRPr="00516213">
        <w:t xml:space="preserve">these courts </w:t>
      </w:r>
      <w:r w:rsidRPr="00516213">
        <w:t xml:space="preserve">were particularly active in the trial of Kurdish political activists, who were often charged under anti-terrorism legislation (Joseph R. Crowley Program 1998). </w:t>
      </w:r>
    </w:p>
    <w:p w14:paraId="4E91305B" w14:textId="25650008" w:rsidR="00A87CC0" w:rsidRPr="00516213" w:rsidRDefault="00545EC3" w:rsidP="000D373E">
      <w:pPr>
        <w:pStyle w:val="NormalWeb"/>
        <w:spacing w:before="240" w:beforeAutospacing="0" w:after="240" w:afterAutospacing="0" w:line="360" w:lineRule="auto"/>
        <w:ind w:firstLine="720"/>
        <w:jc w:val="both"/>
      </w:pPr>
      <w:r>
        <w:t>Similar to</w:t>
      </w:r>
      <w:r w:rsidR="00A87CC0" w:rsidRPr="00516213">
        <w:t xml:space="preserve"> the case of the recent </w:t>
      </w:r>
      <w:proofErr w:type="spellStart"/>
      <w:r w:rsidR="00A87CC0" w:rsidRPr="00516213">
        <w:t>SoE</w:t>
      </w:r>
      <w:proofErr w:type="spellEnd"/>
      <w:r w:rsidR="00A87CC0" w:rsidRPr="00516213">
        <w:t>, in the 1980s</w:t>
      </w:r>
      <w:r>
        <w:t>,</w:t>
      </w:r>
      <w:r w:rsidR="00A87CC0" w:rsidRPr="00516213">
        <w:t xml:space="preserve"> ‘while all political groups were adversely affected by the [this time successful] military takeover</w:t>
      </w:r>
      <w:r>
        <w:t>,</w:t>
      </w:r>
      <w:r w:rsidR="00A87CC0" w:rsidRPr="00516213">
        <w:t xml:space="preserve">’ the accompanying emergency rule ‘hit the Kurdish activists, along with the Kurdish masses in the East, the hardest’ (Aslan 2015, 130). Whereas in the recent </w:t>
      </w:r>
      <w:proofErr w:type="spellStart"/>
      <w:r w:rsidR="00A87CC0" w:rsidRPr="00516213">
        <w:t>SoE</w:t>
      </w:r>
      <w:proofErr w:type="spellEnd"/>
      <w:r w:rsidR="00A87CC0" w:rsidRPr="00516213">
        <w:t xml:space="preserve">, emergency rule was formally lifted in the whole country, in the </w:t>
      </w:r>
      <w:r>
        <w:t>1980s,</w:t>
      </w:r>
      <w:r w:rsidR="00A87CC0" w:rsidRPr="00516213">
        <w:t xml:space="preserve"> the end of nationwide emergency rule was immediately followed by a regional state of exception imposed in some Kurdish-majority provinces on 19 July 1987. </w:t>
      </w:r>
      <w:r w:rsidR="00735F75" w:rsidRPr="00516213">
        <w:t>Characteri</w:t>
      </w:r>
      <w:r w:rsidR="00735F75">
        <w:t>z</w:t>
      </w:r>
      <w:r w:rsidR="00735F75" w:rsidRPr="00516213">
        <w:t xml:space="preserve">ed </w:t>
      </w:r>
      <w:r w:rsidR="00A87CC0" w:rsidRPr="00516213">
        <w:t xml:space="preserve">by a mingling of civilian and military rule and severe human rights violations, this emergency rule was first declared in eight provinces, including </w:t>
      </w:r>
      <w:proofErr w:type="spellStart"/>
      <w:r w:rsidR="00A87CC0" w:rsidRPr="00516213">
        <w:t>Diyarbakır</w:t>
      </w:r>
      <w:proofErr w:type="spellEnd"/>
      <w:r w:rsidR="00A87CC0" w:rsidRPr="00516213">
        <w:t xml:space="preserve">, Hakkari, </w:t>
      </w:r>
      <w:proofErr w:type="spellStart"/>
      <w:r w:rsidR="00A87CC0" w:rsidRPr="00516213">
        <w:t>Mardin</w:t>
      </w:r>
      <w:proofErr w:type="spellEnd"/>
      <w:r w:rsidR="00A87CC0" w:rsidRPr="00516213">
        <w:t xml:space="preserve"> and </w:t>
      </w:r>
      <w:proofErr w:type="spellStart"/>
      <w:r w:rsidR="00A87CC0" w:rsidRPr="00516213">
        <w:t>Siirt</w:t>
      </w:r>
      <w:proofErr w:type="spellEnd"/>
      <w:r w:rsidR="00A87CC0" w:rsidRPr="00516213">
        <w:t>, then extended to five other provinces. Renewed every four months for a total of forty-six times, the regional state of exception targeting the Kurdish minority continued for fifteen years</w:t>
      </w:r>
      <w:r>
        <w:t>,</w:t>
      </w:r>
      <w:r w:rsidR="00A87CC0" w:rsidRPr="00516213">
        <w:t xml:space="preserve"> while in other parts of Turkey</w:t>
      </w:r>
      <w:r>
        <w:t>,</w:t>
      </w:r>
      <w:r w:rsidR="00A87CC0" w:rsidRPr="00516213">
        <w:t xml:space="preserve"> the norm remained in force, which provides another example of governing the Kurdish minority through </w:t>
      </w:r>
      <w:r>
        <w:t xml:space="preserve">the </w:t>
      </w:r>
      <w:r w:rsidR="00A87CC0" w:rsidRPr="00516213">
        <w:t xml:space="preserve">modular emergency. This heavy legacy of exceptionalism rendered it easier for the AKP government to extend emergency decrees beyond the focus of FETÖ and to further its goals </w:t>
      </w:r>
      <w:r w:rsidRPr="00516213">
        <w:t>o</w:t>
      </w:r>
      <w:r>
        <w:t>f</w:t>
      </w:r>
      <w:r w:rsidRPr="00516213">
        <w:t xml:space="preserve"> </w:t>
      </w:r>
      <w:r w:rsidR="00A87CC0" w:rsidRPr="00516213">
        <w:t>reining in Kurdish politics.</w:t>
      </w:r>
    </w:p>
    <w:p w14:paraId="7DFEAA2E" w14:textId="56EBE822" w:rsidR="00CF6A77" w:rsidRPr="00516213" w:rsidRDefault="00CF6A77" w:rsidP="00703502">
      <w:pPr>
        <w:widowControl w:val="0"/>
        <w:autoSpaceDE w:val="0"/>
        <w:autoSpaceDN w:val="0"/>
        <w:adjustRightInd w:val="0"/>
        <w:spacing w:line="360" w:lineRule="auto"/>
        <w:jc w:val="both"/>
        <w:rPr>
          <w:rFonts w:ascii="Times New Roman" w:eastAsiaTheme="majorEastAsia" w:hAnsi="Times New Roman" w:cs="Times New Roman"/>
          <w:b/>
          <w:sz w:val="24"/>
          <w:szCs w:val="24"/>
        </w:rPr>
      </w:pPr>
      <w:r w:rsidRPr="00516213">
        <w:rPr>
          <w:rFonts w:ascii="Times New Roman" w:eastAsiaTheme="majorEastAsia" w:hAnsi="Times New Roman" w:cs="Times New Roman"/>
          <w:b/>
          <w:sz w:val="24"/>
          <w:szCs w:val="24"/>
        </w:rPr>
        <w:t>Conclusion</w:t>
      </w:r>
    </w:p>
    <w:p w14:paraId="33A6ECCA" w14:textId="6ED235AA" w:rsidR="00CF6A77" w:rsidRPr="00516213" w:rsidRDefault="00CE31AF" w:rsidP="00703502">
      <w:pPr>
        <w:pStyle w:val="NormalWeb"/>
        <w:spacing w:before="240" w:beforeAutospacing="0" w:after="240" w:afterAutospacing="0" w:line="360" w:lineRule="auto"/>
        <w:jc w:val="both"/>
      </w:pPr>
      <w:r w:rsidRPr="00516213">
        <w:t>The recent case of emergency rule following Turkey’s failed coup raises an under-studied puzzle</w:t>
      </w:r>
      <w:r w:rsidR="001C14F2" w:rsidRPr="00516213">
        <w:t xml:space="preserve"> in the literature on extraordinary rule and minorities.</w:t>
      </w:r>
      <w:r w:rsidR="00A76B5F" w:rsidRPr="00516213">
        <w:t xml:space="preserve"> According to the government’s own account, the failed military coup was the violent manifestation of a long-term and insidious effort by FETÖ to penetrate all aspects of the state’s apparatus and seize power from within. And yet the puzzle is, if responding to FETÖ was the main reason and official justification for </w:t>
      </w:r>
      <w:r w:rsidR="0042239F" w:rsidRPr="00516213">
        <w:t>declaring emergency rule, how and why was this expanded to target Kurdish political activism</w:t>
      </w:r>
      <w:r w:rsidR="00BF43B6" w:rsidRPr="00516213">
        <w:t xml:space="preserve"> where</w:t>
      </w:r>
      <w:r w:rsidR="0042239F" w:rsidRPr="00516213">
        <w:t xml:space="preserve"> oftentimes the Kurdish minority were pursued more robustly than FETÖ</w:t>
      </w:r>
      <w:r w:rsidR="00545EC3">
        <w:t>?</w:t>
      </w:r>
      <w:r w:rsidR="00545EC3" w:rsidRPr="00516213">
        <w:t xml:space="preserve"> </w:t>
      </w:r>
      <w:r w:rsidR="0042239F" w:rsidRPr="00516213">
        <w:t xml:space="preserve">It is </w:t>
      </w:r>
      <w:r w:rsidR="00545EC3">
        <w:t>well-</w:t>
      </w:r>
      <w:r w:rsidR="0042239F" w:rsidRPr="00516213">
        <w:t xml:space="preserve">established that minorities are vulnerable during times of emergency, but it is not </w:t>
      </w:r>
      <w:r w:rsidR="00BF43B6" w:rsidRPr="00516213">
        <w:t xml:space="preserve">yet </w:t>
      </w:r>
      <w:r w:rsidR="0042239F" w:rsidRPr="00516213">
        <w:t xml:space="preserve">understood how minorities can be targeted through emergency decrees despite the government and all major opposition groups agreeing they had nothing to do with the reasons for declaring </w:t>
      </w:r>
      <w:r w:rsidR="00583191" w:rsidRPr="00516213">
        <w:t xml:space="preserve">the </w:t>
      </w:r>
      <w:proofErr w:type="spellStart"/>
      <w:r w:rsidR="00583191" w:rsidRPr="00516213">
        <w:t>SoE</w:t>
      </w:r>
      <w:proofErr w:type="spellEnd"/>
      <w:r w:rsidR="0042239F" w:rsidRPr="00516213">
        <w:t>.</w:t>
      </w:r>
    </w:p>
    <w:p w14:paraId="13FA085F" w14:textId="668945A3" w:rsidR="00FF5E24" w:rsidRPr="00516213" w:rsidRDefault="0042239F" w:rsidP="000D373E">
      <w:pPr>
        <w:pStyle w:val="NormalWeb"/>
        <w:spacing w:before="240" w:beforeAutospacing="0" w:after="240" w:afterAutospacing="0" w:line="360" w:lineRule="auto"/>
        <w:ind w:firstLine="720"/>
        <w:jc w:val="both"/>
      </w:pPr>
      <w:r w:rsidRPr="00516213">
        <w:t xml:space="preserve">We argued that this was made possible because the government engaged in </w:t>
      </w:r>
      <w:r w:rsidR="00856506">
        <w:t xml:space="preserve">a </w:t>
      </w:r>
      <w:r w:rsidRPr="00516213">
        <w:t>modular emergency</w:t>
      </w:r>
      <w:r w:rsidR="00C601D1" w:rsidRPr="00516213">
        <w:t xml:space="preserve"> that combined </w:t>
      </w:r>
      <w:r w:rsidR="0062396F" w:rsidRPr="00516213">
        <w:t>ordinary rule with emergency</w:t>
      </w:r>
      <w:r w:rsidR="00757E51" w:rsidRPr="00516213">
        <w:t xml:space="preserve"> powers</w:t>
      </w:r>
      <w:r w:rsidR="000D5107" w:rsidRPr="00516213">
        <w:t>, thus blurring the boundaries between the two</w:t>
      </w:r>
      <w:r w:rsidR="00D05256" w:rsidRPr="00516213">
        <w:t>. We</w:t>
      </w:r>
      <w:r w:rsidRPr="00516213">
        <w:t xml:space="preserve"> sought to show that </w:t>
      </w:r>
      <w:r w:rsidR="00D05256" w:rsidRPr="00516213">
        <w:t xml:space="preserve">the extension of Turkey’s 2016 period of </w:t>
      </w:r>
      <w:r w:rsidRPr="00516213">
        <w:t xml:space="preserve">emergency rule </w:t>
      </w:r>
      <w:r w:rsidR="00D05256" w:rsidRPr="00516213">
        <w:t xml:space="preserve">to focus on the Kurds reinforced </w:t>
      </w:r>
      <w:r w:rsidRPr="00516213">
        <w:t xml:space="preserve">pre-existing ordinary legislation </w:t>
      </w:r>
      <w:r w:rsidR="00D05256" w:rsidRPr="00516213">
        <w:t xml:space="preserve">and </w:t>
      </w:r>
      <w:r w:rsidRPr="00516213">
        <w:t>pre-existing security</w:t>
      </w:r>
      <w:r w:rsidR="00757E51" w:rsidRPr="00516213">
        <w:t xml:space="preserve"> policies</w:t>
      </w:r>
      <w:r w:rsidRPr="00516213">
        <w:t xml:space="preserve">. </w:t>
      </w:r>
      <w:r w:rsidR="000D5107" w:rsidRPr="00516213">
        <w:t xml:space="preserve">When it came to targeting Kurdish political activism, emergency decrees were laid on top of already existing policies that </w:t>
      </w:r>
      <w:r w:rsidR="00020ABF" w:rsidRPr="00516213">
        <w:t xml:space="preserve">securitized and </w:t>
      </w:r>
      <w:r w:rsidR="000D5107" w:rsidRPr="00516213">
        <w:t>restrict</w:t>
      </w:r>
      <w:r w:rsidR="00BF43B6" w:rsidRPr="00516213">
        <w:t>ed</w:t>
      </w:r>
      <w:r w:rsidR="000D5107" w:rsidRPr="00516213">
        <w:t xml:space="preserve"> Kurdish culture and politics in public life. </w:t>
      </w:r>
      <w:r w:rsidR="00D05256" w:rsidRPr="00516213">
        <w:t xml:space="preserve">This combination allowed for hitherto efforts by the AKP to restrict Kurdish politics </w:t>
      </w:r>
      <w:r w:rsidR="00856506">
        <w:t>from going</w:t>
      </w:r>
      <w:r w:rsidR="00D05256" w:rsidRPr="00516213">
        <w:t xml:space="preserve"> into </w:t>
      </w:r>
      <w:r w:rsidR="00BF43B6" w:rsidRPr="00516213">
        <w:t>over</w:t>
      </w:r>
      <w:r w:rsidR="00D05256" w:rsidRPr="00516213">
        <w:t>drive</w:t>
      </w:r>
      <w:r w:rsidR="00BF43B6" w:rsidRPr="00516213">
        <w:t>,</w:t>
      </w:r>
      <w:r w:rsidR="00D05256" w:rsidRPr="00516213">
        <w:t xml:space="preserve"> while the AKP were able to portray it as continuous with previous policies. </w:t>
      </w:r>
      <w:r w:rsidR="000D5107" w:rsidRPr="00516213">
        <w:t>The Kurdish-populated southeast had long</w:t>
      </w:r>
      <w:r w:rsidR="00856506">
        <w:t xml:space="preserve"> </w:t>
      </w:r>
      <w:r w:rsidR="000D5107" w:rsidRPr="00516213">
        <w:t xml:space="preserve">been established as a place of exception and managed differently </w:t>
      </w:r>
      <w:r w:rsidR="00856506">
        <w:t>from</w:t>
      </w:r>
      <w:r w:rsidR="00856506" w:rsidRPr="00516213">
        <w:t xml:space="preserve"> </w:t>
      </w:r>
      <w:r w:rsidR="000D5107" w:rsidRPr="00516213">
        <w:t xml:space="preserve">the rest of Turkey. </w:t>
      </w:r>
      <w:r w:rsidRPr="00516213">
        <w:t xml:space="preserve">This </w:t>
      </w:r>
      <w:r w:rsidR="00D05256" w:rsidRPr="00516213">
        <w:t xml:space="preserve">approach </w:t>
      </w:r>
      <w:r w:rsidRPr="00516213">
        <w:t>was true not just for the AKP period but was also a recurring theme of Turkish political life</w:t>
      </w:r>
      <w:r w:rsidR="000D5107" w:rsidRPr="00516213">
        <w:t xml:space="preserve"> in the 1980s and 1990s</w:t>
      </w:r>
      <w:r w:rsidRPr="00516213">
        <w:t xml:space="preserve">. </w:t>
      </w:r>
    </w:p>
    <w:p w14:paraId="1E03931E" w14:textId="55EFD657" w:rsidR="00315ED7" w:rsidRPr="00516213" w:rsidRDefault="00326C5D" w:rsidP="000D373E">
      <w:pPr>
        <w:pStyle w:val="NormalWeb"/>
        <w:spacing w:before="240" w:beforeAutospacing="0" w:after="240" w:afterAutospacing="0" w:line="360" w:lineRule="auto"/>
        <w:ind w:firstLine="720"/>
        <w:jc w:val="both"/>
      </w:pPr>
      <w:r w:rsidRPr="00516213">
        <w:t xml:space="preserve">The Kurdish case has important lessons </w:t>
      </w:r>
      <w:r w:rsidR="00AB652E" w:rsidRPr="00516213">
        <w:t xml:space="preserve">also </w:t>
      </w:r>
      <w:r w:rsidRPr="00516213">
        <w:t>for understanding the contexts in which minorities are vulnerable under emergency rule. It demonstrates that not all social groups have equal protections when it comes to the encroachment of rights and restrictions of civil liberties inherent in emergency rule</w:t>
      </w:r>
      <w:r w:rsidR="00856506">
        <w:t>s</w:t>
      </w:r>
      <w:r w:rsidRPr="00516213">
        <w:t xml:space="preserve">. Even if a minority had nothing to do with the reasons for declaring </w:t>
      </w:r>
      <w:proofErr w:type="spellStart"/>
      <w:r w:rsidR="00315ED7" w:rsidRPr="00516213">
        <w:t>SoE</w:t>
      </w:r>
      <w:proofErr w:type="spellEnd"/>
      <w:r w:rsidR="00315ED7" w:rsidRPr="00516213">
        <w:t xml:space="preserve"> </w:t>
      </w:r>
      <w:r w:rsidRPr="00516213">
        <w:t xml:space="preserve">in the first place, the emergency </w:t>
      </w:r>
      <w:r w:rsidR="00225BEE" w:rsidRPr="00516213">
        <w:t>c</w:t>
      </w:r>
      <w:r w:rsidR="00225BEE">
        <w:t>ould</w:t>
      </w:r>
      <w:r w:rsidR="00225BEE" w:rsidRPr="00516213">
        <w:t xml:space="preserve"> </w:t>
      </w:r>
      <w:r w:rsidRPr="00516213">
        <w:t xml:space="preserve">be reconstructed and redefined by incumbents after it is declared. If the incumbents have </w:t>
      </w:r>
      <w:r w:rsidR="00225BEE">
        <w:t>the</w:t>
      </w:r>
      <w:r w:rsidR="00225BEE" w:rsidRPr="00516213">
        <w:t xml:space="preserve"> </w:t>
      </w:r>
      <w:r w:rsidRPr="00516213">
        <w:t>incentive to target a minority group through emergency decrees</w:t>
      </w:r>
      <w:r w:rsidR="00290DD7" w:rsidRPr="00516213">
        <w:t>,</w:t>
      </w:r>
      <w:r w:rsidRPr="00516213">
        <w:t xml:space="preserve"> and if there are weak levels of accountability, then this leaves incumbents in a very powerful position and minorities in a very disempowered one. </w:t>
      </w:r>
    </w:p>
    <w:p w14:paraId="3605A13A" w14:textId="0366F758" w:rsidR="00326C5D" w:rsidRPr="00516213" w:rsidRDefault="00326C5D" w:rsidP="000D373E">
      <w:pPr>
        <w:pStyle w:val="NormalWeb"/>
        <w:spacing w:before="240" w:beforeAutospacing="0" w:after="240" w:afterAutospacing="0" w:line="360" w:lineRule="auto"/>
        <w:ind w:firstLine="720"/>
        <w:jc w:val="both"/>
      </w:pPr>
      <w:r w:rsidRPr="00516213">
        <w:t xml:space="preserve">Clearly, such processes are much more likely in hybrid democracies than in consolidated ones. The weaker accountability mechanisms that </w:t>
      </w:r>
      <w:r w:rsidR="00735F75" w:rsidRPr="00516213">
        <w:t>characteri</w:t>
      </w:r>
      <w:r w:rsidR="00735F75">
        <w:t>z</w:t>
      </w:r>
      <w:r w:rsidR="00735F75" w:rsidRPr="00516213">
        <w:t xml:space="preserve">e </w:t>
      </w:r>
      <w:r w:rsidRPr="00516213">
        <w:t xml:space="preserve">hybrid democracies enabled the outcomes </w:t>
      </w:r>
      <w:r w:rsidR="00AB652E" w:rsidRPr="00516213">
        <w:t>observ</w:t>
      </w:r>
      <w:r w:rsidR="00290DD7" w:rsidRPr="00516213">
        <w:t>able</w:t>
      </w:r>
      <w:r w:rsidRPr="00516213">
        <w:t xml:space="preserve"> in Turkey. In the absence of meaningful oversight mechanisms, the AKP was able to introduce a modular emergency regime. </w:t>
      </w:r>
      <w:r w:rsidR="00AB652E" w:rsidRPr="00516213">
        <w:t>Such i</w:t>
      </w:r>
      <w:r w:rsidRPr="00516213">
        <w:t xml:space="preserve">nstitutions </w:t>
      </w:r>
      <w:r w:rsidR="00AB652E" w:rsidRPr="00516213">
        <w:t>as</w:t>
      </w:r>
      <w:r w:rsidRPr="00516213">
        <w:t xml:space="preserve"> an independent judiciary or the opposition in parliament were largely ignored or bypassed by a party that was already engaged in increasing executive power and </w:t>
      </w:r>
      <w:r w:rsidR="00735F75" w:rsidRPr="00516213">
        <w:t>marginali</w:t>
      </w:r>
      <w:r w:rsidR="00735F75">
        <w:t>z</w:t>
      </w:r>
      <w:r w:rsidR="00735F75" w:rsidRPr="00516213">
        <w:t xml:space="preserve">ing </w:t>
      </w:r>
      <w:r w:rsidRPr="00516213">
        <w:t xml:space="preserve">horizontal accountability mechanisms. </w:t>
      </w:r>
      <w:r w:rsidR="00315ED7" w:rsidRPr="00516213">
        <w:t>The mainstream opposition party’s implicit and</w:t>
      </w:r>
      <w:r w:rsidR="00225BEE">
        <w:t>,</w:t>
      </w:r>
      <w:r w:rsidR="00315ED7" w:rsidRPr="00516213">
        <w:t xml:space="preserve"> at times</w:t>
      </w:r>
      <w:r w:rsidR="00225BEE">
        <w:t>,</w:t>
      </w:r>
      <w:r w:rsidR="00315ED7" w:rsidRPr="00516213">
        <w:t xml:space="preserve"> explicit consent on the suppression of Kurds</w:t>
      </w:r>
      <w:r w:rsidR="00B22DA8" w:rsidRPr="00516213">
        <w:t>’</w:t>
      </w:r>
      <w:r w:rsidR="00315ED7" w:rsidRPr="00516213">
        <w:t xml:space="preserve"> collective and individual rights also helped the AKP government </w:t>
      </w:r>
      <w:r w:rsidR="000369C4" w:rsidRPr="00516213">
        <w:t xml:space="preserve">justify and sustain securitizing emergency policies. </w:t>
      </w:r>
      <w:r w:rsidRPr="00516213">
        <w:t xml:space="preserve">The </w:t>
      </w:r>
      <w:r w:rsidR="000369C4" w:rsidRPr="00516213">
        <w:t xml:space="preserve">dominant </w:t>
      </w:r>
      <w:r w:rsidRPr="00516213">
        <w:t xml:space="preserve">political culture that sees the Kurds as an exceptional social group and potentially subversive one that requires exceptional </w:t>
      </w:r>
      <w:r w:rsidR="00315ED7" w:rsidRPr="00516213">
        <w:t xml:space="preserve">measures </w:t>
      </w:r>
      <w:r w:rsidRPr="00516213">
        <w:t xml:space="preserve">enabled this process. </w:t>
      </w:r>
    </w:p>
    <w:p w14:paraId="29B45F7D" w14:textId="2C6C0569" w:rsidR="00646164" w:rsidRPr="00516213" w:rsidRDefault="0038319F" w:rsidP="000D373E">
      <w:pPr>
        <w:pStyle w:val="NormalWeb"/>
        <w:spacing w:before="240" w:beforeAutospacing="0" w:after="240" w:afterAutospacing="0" w:line="360" w:lineRule="auto"/>
        <w:ind w:firstLine="720"/>
        <w:jc w:val="both"/>
      </w:pPr>
      <w:r w:rsidRPr="00516213">
        <w:t>In many cases today, governments are responding to crises</w:t>
      </w:r>
      <w:r w:rsidR="00290DD7" w:rsidRPr="00516213">
        <w:t xml:space="preserve"> such as </w:t>
      </w:r>
      <w:r w:rsidRPr="00516213">
        <w:t>natural disasters</w:t>
      </w:r>
      <w:r w:rsidR="00290DD7" w:rsidRPr="00516213">
        <w:t xml:space="preserve">, </w:t>
      </w:r>
      <w:proofErr w:type="gramStart"/>
      <w:r w:rsidRPr="00516213">
        <w:t>migration</w:t>
      </w:r>
      <w:proofErr w:type="gramEnd"/>
      <w:r w:rsidRPr="00516213">
        <w:t xml:space="preserve"> and political protests with declarations of regional or national emergencies without a total suspension of the norm and its institutions. They create </w:t>
      </w:r>
      <w:r w:rsidR="00ED2DC1" w:rsidRPr="00516213">
        <w:t xml:space="preserve">modular emergency </w:t>
      </w:r>
      <w:r w:rsidRPr="00516213">
        <w:t>regimes limited in terms of space (</w:t>
      </w:r>
      <w:r w:rsidR="00290DD7" w:rsidRPr="00516213">
        <w:t xml:space="preserve">namely to </w:t>
      </w:r>
      <w:r w:rsidR="000D69AF" w:rsidRPr="00516213">
        <w:t xml:space="preserve">regions </w:t>
      </w:r>
      <w:r w:rsidRPr="00516213">
        <w:t xml:space="preserve">densely populated by minorities), scope or segment of </w:t>
      </w:r>
      <w:r w:rsidR="00225BEE">
        <w:t xml:space="preserve">the </w:t>
      </w:r>
      <w:r w:rsidRPr="00516213">
        <w:t xml:space="preserve">population. </w:t>
      </w:r>
      <w:r w:rsidR="00AA2024" w:rsidRPr="00516213">
        <w:t xml:space="preserve">Even if </w:t>
      </w:r>
      <w:r w:rsidR="005675C1" w:rsidRPr="00516213">
        <w:t>t</w:t>
      </w:r>
      <w:r w:rsidR="00AA2024" w:rsidRPr="00516213">
        <w:t>hese exceptional regimes are allegedly temporary and confined to cris</w:t>
      </w:r>
      <w:r w:rsidR="00225BEE">
        <w:t>e</w:t>
      </w:r>
      <w:r w:rsidR="00AA2024" w:rsidRPr="00516213">
        <w:t>s,</w:t>
      </w:r>
      <w:r w:rsidR="00AA2024" w:rsidRPr="00516213" w:rsidDel="00877BA2">
        <w:t xml:space="preserve"> </w:t>
      </w:r>
      <w:r w:rsidR="00ED2DC1" w:rsidRPr="00516213">
        <w:t xml:space="preserve">as post-coup Turkey illustrates, once adopted, it often becomes difficult to repeal emergency legislation and powers. Moreover, the rise of modular emergencies </w:t>
      </w:r>
      <w:r w:rsidR="00290DD7" w:rsidRPr="00516213">
        <w:t xml:space="preserve">has </w:t>
      </w:r>
      <w:r w:rsidR="00ED2DC1" w:rsidRPr="00516213">
        <w:t>coincided with the global upsurge of authoritarian populis</w:t>
      </w:r>
      <w:r w:rsidR="00225BEE">
        <w:t>m</w:t>
      </w:r>
      <w:r w:rsidR="005C59C5" w:rsidRPr="00516213">
        <w:t xml:space="preserve"> (</w:t>
      </w:r>
      <w:proofErr w:type="spellStart"/>
      <w:r w:rsidR="005C59C5" w:rsidRPr="00516213">
        <w:t>Levitsky</w:t>
      </w:r>
      <w:proofErr w:type="spellEnd"/>
      <w:r w:rsidR="005C59C5" w:rsidRPr="00516213">
        <w:t xml:space="preserve"> and Way 2020; Moffitt 2016)</w:t>
      </w:r>
      <w:r w:rsidR="00ED2DC1" w:rsidRPr="00516213">
        <w:t xml:space="preserve"> and </w:t>
      </w:r>
      <w:r w:rsidR="0099290F">
        <w:t>hybrid</w:t>
      </w:r>
      <w:r w:rsidR="00ED2DC1" w:rsidRPr="00516213">
        <w:t xml:space="preserve"> regimes</w:t>
      </w:r>
      <w:r w:rsidR="00290DD7" w:rsidRPr="00516213">
        <w:t xml:space="preserve"> </w:t>
      </w:r>
      <w:r w:rsidR="00225BEE">
        <w:t>that</w:t>
      </w:r>
      <w:r w:rsidR="00290DD7" w:rsidRPr="00516213">
        <w:t xml:space="preserve"> provide aspiring autocrats with opportunities to consolidate power </w:t>
      </w:r>
      <w:r w:rsidR="0099290F">
        <w:t>‘</w:t>
      </w:r>
      <w:r w:rsidR="00290DD7" w:rsidRPr="00516213">
        <w:t>under the veneer of constitutional legitimacy</w:t>
      </w:r>
      <w:r w:rsidR="0099290F">
        <w:t>’</w:t>
      </w:r>
      <w:r w:rsidR="00290DD7" w:rsidRPr="00516213">
        <w:t xml:space="preserve"> </w:t>
      </w:r>
      <w:r w:rsidR="005C59C5" w:rsidRPr="00516213">
        <w:t>(</w:t>
      </w:r>
      <w:proofErr w:type="spellStart"/>
      <w:r w:rsidR="005C59C5" w:rsidRPr="00516213">
        <w:t>Lührman</w:t>
      </w:r>
      <w:proofErr w:type="spellEnd"/>
      <w:r w:rsidR="005C59C5" w:rsidRPr="00516213">
        <w:t xml:space="preserve"> and Rooney 2021</w:t>
      </w:r>
      <w:r w:rsidR="00E205C2">
        <w:t>, 618</w:t>
      </w:r>
      <w:r w:rsidR="005C59C5" w:rsidRPr="00516213">
        <w:t>).</w:t>
      </w:r>
      <w:r w:rsidR="00ED2DC1" w:rsidRPr="00516213">
        <w:t xml:space="preserve"> </w:t>
      </w:r>
      <w:r w:rsidR="000369C4" w:rsidRPr="00516213">
        <w:t>Turkey’s modular emergency rule of the Kurdish issue is not an exception to this</w:t>
      </w:r>
      <w:r w:rsidR="00290DD7" w:rsidRPr="00516213">
        <w:t xml:space="preserve"> trend</w:t>
      </w:r>
      <w:r w:rsidR="000369C4" w:rsidRPr="00516213">
        <w:t>.</w:t>
      </w:r>
    </w:p>
    <w:p w14:paraId="399A1ED0" w14:textId="77777777" w:rsidR="004371E5" w:rsidRPr="00516213" w:rsidRDefault="004371E5" w:rsidP="00703502">
      <w:pPr>
        <w:widowControl w:val="0"/>
        <w:autoSpaceDE w:val="0"/>
        <w:autoSpaceDN w:val="0"/>
        <w:adjustRightInd w:val="0"/>
        <w:spacing w:line="360" w:lineRule="auto"/>
        <w:jc w:val="both"/>
        <w:rPr>
          <w:rFonts w:ascii="Times New Roman" w:hAnsi="Times New Roman" w:cs="Times New Roman"/>
          <w:b/>
        </w:rPr>
      </w:pPr>
      <w:r w:rsidRPr="00516213">
        <w:rPr>
          <w:rFonts w:ascii="Times New Roman" w:hAnsi="Times New Roman" w:cs="Times New Roman"/>
          <w:b/>
        </w:rPr>
        <w:t>Disclosure statement</w:t>
      </w:r>
    </w:p>
    <w:p w14:paraId="66366924" w14:textId="1B430A5E" w:rsidR="004371E5" w:rsidRPr="00516213" w:rsidRDefault="004371E5" w:rsidP="00703502">
      <w:pPr>
        <w:widowControl w:val="0"/>
        <w:autoSpaceDE w:val="0"/>
        <w:autoSpaceDN w:val="0"/>
        <w:adjustRightInd w:val="0"/>
        <w:spacing w:line="360" w:lineRule="auto"/>
        <w:jc w:val="both"/>
        <w:rPr>
          <w:rFonts w:ascii="Times New Roman" w:hAnsi="Times New Roman" w:cs="Times New Roman"/>
        </w:rPr>
      </w:pPr>
      <w:r w:rsidRPr="00516213">
        <w:rPr>
          <w:rFonts w:ascii="Times New Roman" w:hAnsi="Times New Roman" w:cs="Times New Roman"/>
        </w:rPr>
        <w:t>No potential conflict of interest was reported by the authors.</w:t>
      </w:r>
    </w:p>
    <w:p w14:paraId="506C7766" w14:textId="77777777" w:rsidR="004371E5" w:rsidRPr="00516213" w:rsidRDefault="004371E5" w:rsidP="00703502">
      <w:pPr>
        <w:widowControl w:val="0"/>
        <w:autoSpaceDE w:val="0"/>
        <w:autoSpaceDN w:val="0"/>
        <w:adjustRightInd w:val="0"/>
        <w:spacing w:line="360" w:lineRule="auto"/>
        <w:jc w:val="both"/>
        <w:rPr>
          <w:rFonts w:ascii="Times New Roman" w:hAnsi="Times New Roman" w:cs="Times New Roman"/>
          <w:b/>
        </w:rPr>
      </w:pPr>
      <w:r w:rsidRPr="00516213">
        <w:rPr>
          <w:rFonts w:ascii="Times New Roman" w:hAnsi="Times New Roman" w:cs="Times New Roman"/>
          <w:b/>
        </w:rPr>
        <w:t>Acknowledgement</w:t>
      </w:r>
    </w:p>
    <w:p w14:paraId="171BDDCB" w14:textId="37E31A34" w:rsidR="00A71968" w:rsidRPr="00516213" w:rsidRDefault="004371E5" w:rsidP="00703502">
      <w:pPr>
        <w:widowControl w:val="0"/>
        <w:autoSpaceDE w:val="0"/>
        <w:autoSpaceDN w:val="0"/>
        <w:adjustRightInd w:val="0"/>
        <w:spacing w:line="360" w:lineRule="auto"/>
        <w:jc w:val="both"/>
        <w:rPr>
          <w:rFonts w:ascii="Times New Roman" w:hAnsi="Times New Roman" w:cs="Times New Roman"/>
        </w:rPr>
      </w:pPr>
      <w:r w:rsidRPr="00516213">
        <w:rPr>
          <w:rFonts w:ascii="Times New Roman" w:hAnsi="Times New Roman" w:cs="Times New Roman"/>
        </w:rPr>
        <w:t>This article was funded by the British Academy [grant number NAFR1180137], Facing Threats to Democracy under Conditions of Emergency: Understanding Post-Failed Coup Turkey and its Relations with Europe.</w:t>
      </w:r>
    </w:p>
    <w:p w14:paraId="5A524F6B" w14:textId="77777777" w:rsidR="00950130" w:rsidRPr="00516213" w:rsidRDefault="00950130" w:rsidP="00703502">
      <w:pPr>
        <w:spacing w:after="0" w:line="360" w:lineRule="auto"/>
        <w:ind w:left="720" w:hanging="720"/>
        <w:contextualSpacing/>
        <w:jc w:val="both"/>
        <w:rPr>
          <w:rFonts w:ascii="Times New Roman" w:hAnsi="Times New Roman" w:cs="Times New Roman"/>
          <w:bCs/>
          <w:sz w:val="24"/>
          <w:szCs w:val="24"/>
        </w:rPr>
      </w:pPr>
    </w:p>
    <w:p w14:paraId="22BDA17A" w14:textId="4B727D8E" w:rsidR="00950130" w:rsidRPr="00516213" w:rsidRDefault="004371E5" w:rsidP="00703502">
      <w:pPr>
        <w:spacing w:after="0" w:line="360" w:lineRule="auto"/>
        <w:ind w:left="720" w:hanging="720"/>
        <w:contextualSpacing/>
        <w:jc w:val="both"/>
        <w:rPr>
          <w:rFonts w:ascii="Times New Roman" w:hAnsi="Times New Roman" w:cs="Times New Roman"/>
          <w:b/>
          <w:bCs/>
          <w:sz w:val="24"/>
          <w:szCs w:val="24"/>
        </w:rPr>
      </w:pPr>
      <w:r w:rsidRPr="00516213">
        <w:rPr>
          <w:rFonts w:ascii="Times New Roman" w:hAnsi="Times New Roman" w:cs="Times New Roman"/>
          <w:b/>
          <w:bCs/>
          <w:sz w:val="24"/>
          <w:szCs w:val="24"/>
        </w:rPr>
        <w:t>Endnotes</w:t>
      </w:r>
    </w:p>
    <w:sectPr w:rsidR="00950130" w:rsidRPr="00516213" w:rsidSect="004371E5">
      <w:footerReference w:type="even" r:id="rId8"/>
      <w:footerReference w:type="default" r:id="rId9"/>
      <w:footnotePr>
        <w:numFmt w:val="chicago"/>
      </w:footnotePr>
      <w:endnotePr>
        <w:numFmt w:val="decimal"/>
      </w:endnotePr>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3021B" w14:textId="77777777" w:rsidR="009713DF" w:rsidRDefault="009713DF" w:rsidP="00242D5B">
      <w:pPr>
        <w:spacing w:after="0" w:line="240" w:lineRule="auto"/>
      </w:pPr>
      <w:r>
        <w:separator/>
      </w:r>
    </w:p>
  </w:endnote>
  <w:endnote w:type="continuationSeparator" w:id="0">
    <w:p w14:paraId="0DA4DB85" w14:textId="77777777" w:rsidR="009713DF" w:rsidRDefault="009713DF" w:rsidP="00242D5B">
      <w:pPr>
        <w:spacing w:after="0" w:line="240" w:lineRule="auto"/>
      </w:pPr>
      <w:r>
        <w:continuationSeparator/>
      </w:r>
    </w:p>
  </w:endnote>
  <w:endnote w:id="1">
    <w:p w14:paraId="6C902F0B" w14:textId="462321D2" w:rsidR="005C795E" w:rsidRPr="00714D2F" w:rsidRDefault="005C795E" w:rsidP="00406858">
      <w:pPr>
        <w:spacing w:before="60" w:after="120" w:line="360" w:lineRule="auto"/>
        <w:jc w:val="both"/>
        <w:textAlignment w:val="baseline"/>
        <w:outlineLvl w:val="0"/>
        <w:rPr>
          <w:rFonts w:ascii="Times New Roman" w:eastAsia="Times New Roman" w:hAnsi="Times New Roman" w:cs="Times New Roman"/>
          <w:b/>
          <w:bCs/>
          <w:color w:val="32353A"/>
          <w:kern w:val="36"/>
        </w:rPr>
      </w:pPr>
      <w:r w:rsidRPr="00714D2F">
        <w:rPr>
          <w:rStyle w:val="EndnoteReference"/>
          <w:rFonts w:ascii="Times New Roman" w:hAnsi="Times New Roman" w:cs="Times New Roman"/>
        </w:rPr>
        <w:endnoteRef/>
      </w:r>
      <w:r w:rsidRPr="00714D2F">
        <w:rPr>
          <w:rFonts w:ascii="Times New Roman" w:hAnsi="Times New Roman" w:cs="Times New Roman"/>
        </w:rPr>
        <w:t xml:space="preserve"> EU</w:t>
      </w:r>
      <w:r>
        <w:rPr>
          <w:rFonts w:ascii="Times New Roman" w:hAnsi="Times New Roman" w:cs="Times New Roman"/>
        </w:rPr>
        <w:t>o</w:t>
      </w:r>
      <w:r w:rsidRPr="00714D2F">
        <w:rPr>
          <w:rFonts w:ascii="Times New Roman" w:hAnsi="Times New Roman" w:cs="Times New Roman"/>
        </w:rPr>
        <w:t xml:space="preserve">bserver, “Are Orban's Covid powers now the 'new normal' in Hungary?” 23 May 2022. </w:t>
      </w:r>
      <w:hyperlink r:id="rId1" w:history="1">
        <w:r w:rsidRPr="00714D2F">
          <w:rPr>
            <w:rStyle w:val="Hyperlink"/>
            <w:rFonts w:ascii="Times New Roman" w:hAnsi="Times New Roman" w:cs="Times New Roman"/>
          </w:rPr>
          <w:t>https://euobserver.com/opinion/155023</w:t>
        </w:r>
      </w:hyperlink>
      <w:r w:rsidRPr="00714D2F">
        <w:rPr>
          <w:rFonts w:ascii="Times New Roman" w:hAnsi="Times New Roman" w:cs="Times New Roman"/>
        </w:rPr>
        <w:t xml:space="preserve">. </w:t>
      </w:r>
    </w:p>
  </w:endnote>
  <w:endnote w:id="2">
    <w:p w14:paraId="023FF16B" w14:textId="77777777" w:rsidR="005C795E" w:rsidRPr="00714D2F" w:rsidRDefault="005C795E" w:rsidP="00946951">
      <w:pPr>
        <w:pStyle w:val="ListParagraph"/>
        <w:tabs>
          <w:tab w:val="left" w:pos="0"/>
        </w:tabs>
        <w:spacing w:after="0" w:line="360" w:lineRule="auto"/>
        <w:ind w:left="0"/>
        <w:jc w:val="both"/>
        <w:rPr>
          <w:rFonts w:ascii="Times New Roman" w:hAnsi="Times New Roman" w:cs="Times New Roman"/>
        </w:rPr>
      </w:pPr>
      <w:r w:rsidRPr="00714D2F">
        <w:rPr>
          <w:rStyle w:val="EndnoteReference"/>
          <w:rFonts w:ascii="Times New Roman" w:hAnsi="Times New Roman" w:cs="Times New Roman"/>
        </w:rPr>
        <w:endnoteRef/>
      </w:r>
      <w:r w:rsidRPr="00714D2F">
        <w:rPr>
          <w:rFonts w:ascii="Times New Roman" w:hAnsi="Times New Roman" w:cs="Times New Roman"/>
        </w:rPr>
        <w:t xml:space="preserve">. </w:t>
      </w:r>
      <w:r w:rsidRPr="00714D2F">
        <w:rPr>
          <w:rFonts w:ascii="Times New Roman" w:hAnsi="Times New Roman" w:cs="Times New Roman"/>
          <w:i/>
          <w:iCs/>
          <w:color w:val="262626"/>
        </w:rPr>
        <w:t>Milliyet</w:t>
      </w:r>
      <w:r w:rsidRPr="00714D2F">
        <w:rPr>
          <w:rFonts w:ascii="Times New Roman" w:hAnsi="Times New Roman" w:cs="Times New Roman"/>
          <w:color w:val="262626"/>
        </w:rPr>
        <w:t xml:space="preserve"> (Turkish daily), July 19, 2016, </w:t>
      </w:r>
      <w:hyperlink r:id="rId2" w:history="1">
        <w:r w:rsidRPr="00714D2F">
          <w:rPr>
            <w:rFonts w:ascii="Times New Roman" w:hAnsi="Times New Roman" w:cs="Times New Roman"/>
            <w:color w:val="262626"/>
          </w:rPr>
          <w:t>https://www.milliyet.com.tr/gundem/feto-darbe-girisiminin-aci-tablosu-240-sehit-2280468</w:t>
        </w:r>
      </w:hyperlink>
      <w:r w:rsidRPr="00714D2F">
        <w:rPr>
          <w:rFonts w:ascii="Times New Roman" w:hAnsi="Times New Roman" w:cs="Times New Roman"/>
          <w:color w:val="262626"/>
        </w:rPr>
        <w:t>.</w:t>
      </w:r>
    </w:p>
  </w:endnote>
  <w:endnote w:id="3">
    <w:p w14:paraId="74927522" w14:textId="77777777" w:rsidR="005C795E" w:rsidRDefault="005C795E" w:rsidP="00CF6A77">
      <w:pPr>
        <w:pStyle w:val="EndnoteText"/>
        <w:jc w:val="both"/>
        <w:rPr>
          <w:rFonts w:ascii="Times New Roman" w:hAnsi="Times New Roman" w:cs="Times New Roman"/>
        </w:rPr>
      </w:pPr>
      <w:r w:rsidRPr="00D525B4">
        <w:rPr>
          <w:rStyle w:val="EndnoteReference"/>
          <w:rFonts w:ascii="Times New Roman" w:hAnsi="Times New Roman" w:cs="Times New Roman"/>
        </w:rPr>
        <w:endnoteRef/>
      </w:r>
      <w:r w:rsidRPr="00D525B4">
        <w:rPr>
          <w:rFonts w:ascii="Times New Roman" w:hAnsi="Times New Roman" w:cs="Times New Roman"/>
        </w:rPr>
        <w:t xml:space="preserve"> </w:t>
      </w:r>
      <w:r w:rsidRPr="004371E5">
        <w:rPr>
          <w:rFonts w:ascii="Times New Roman" w:hAnsi="Times New Roman" w:cs="Times New Roman"/>
          <w:sz w:val="22"/>
          <w:szCs w:val="22"/>
        </w:rPr>
        <w:t>Abdullah Zeydan, a former HDP deputy, was relased from prison on 6 January 2022 after 6 years of imprisonment.</w:t>
      </w:r>
      <w:r w:rsidRPr="00D525B4">
        <w:rPr>
          <w:rFonts w:ascii="Times New Roman" w:hAnsi="Times New Roman" w:cs="Times New Roman"/>
        </w:rPr>
        <w:t xml:space="preserve"> </w:t>
      </w:r>
    </w:p>
    <w:p w14:paraId="720C266A" w14:textId="77777777" w:rsidR="005C795E" w:rsidRDefault="005C795E" w:rsidP="00CF6A77">
      <w:pPr>
        <w:pStyle w:val="EndnoteText"/>
        <w:jc w:val="both"/>
        <w:rPr>
          <w:rFonts w:ascii="Times New Roman" w:hAnsi="Times New Roman" w:cs="Times New Roman"/>
        </w:rPr>
      </w:pPr>
    </w:p>
    <w:p w14:paraId="1B850AF8" w14:textId="77777777" w:rsidR="005C795E" w:rsidRPr="00985544" w:rsidRDefault="005C795E" w:rsidP="00703502">
      <w:pPr>
        <w:pStyle w:val="NormalWeb"/>
        <w:tabs>
          <w:tab w:val="left" w:pos="709"/>
        </w:tabs>
        <w:spacing w:before="240" w:beforeAutospacing="0" w:after="240" w:afterAutospacing="0" w:line="360" w:lineRule="auto"/>
        <w:jc w:val="both"/>
        <w:rPr>
          <w:b/>
          <w:bCs/>
        </w:rPr>
      </w:pPr>
      <w:r w:rsidRPr="00985544">
        <w:rPr>
          <w:b/>
          <w:bCs/>
        </w:rPr>
        <w:t>References</w:t>
      </w:r>
    </w:p>
    <w:p w14:paraId="5A029C44" w14:textId="77777777" w:rsidR="005C795E" w:rsidRPr="00985544" w:rsidRDefault="005C795E" w:rsidP="00703502">
      <w:pPr>
        <w:tabs>
          <w:tab w:val="left" w:pos="709"/>
        </w:tabs>
        <w:spacing w:after="0" w:line="360" w:lineRule="auto"/>
        <w:ind w:left="720" w:hanging="720"/>
        <w:contextualSpacing/>
        <w:jc w:val="both"/>
        <w:rPr>
          <w:rFonts w:ascii="Times New Roman" w:hAnsi="Times New Roman" w:cs="Times New Roman"/>
          <w:bCs/>
          <w:sz w:val="24"/>
          <w:szCs w:val="24"/>
        </w:rPr>
      </w:pPr>
      <w:r w:rsidRPr="00985544">
        <w:rPr>
          <w:rFonts w:ascii="Times New Roman" w:hAnsi="Times New Roman" w:cs="Times New Roman"/>
          <w:bCs/>
          <w:sz w:val="24"/>
          <w:szCs w:val="24"/>
        </w:rPr>
        <w:t xml:space="preserve">Agamben, G. 2005. </w:t>
      </w:r>
      <w:r w:rsidRPr="00985544">
        <w:rPr>
          <w:rFonts w:ascii="Times New Roman" w:hAnsi="Times New Roman" w:cs="Times New Roman"/>
          <w:bCs/>
          <w:i/>
          <w:sz w:val="24"/>
          <w:szCs w:val="24"/>
        </w:rPr>
        <w:t>State of Exception</w:t>
      </w:r>
      <w:r w:rsidRPr="00985544">
        <w:rPr>
          <w:rFonts w:ascii="Times New Roman" w:hAnsi="Times New Roman" w:cs="Times New Roman"/>
          <w:bCs/>
          <w:sz w:val="24"/>
          <w:szCs w:val="24"/>
        </w:rPr>
        <w:t>. Chicago: University of Chicago Press.</w:t>
      </w:r>
    </w:p>
    <w:p w14:paraId="3131C42E" w14:textId="77777777" w:rsidR="005C795E" w:rsidRPr="00985544" w:rsidRDefault="005C795E" w:rsidP="00703502">
      <w:pPr>
        <w:tabs>
          <w:tab w:val="left" w:pos="709"/>
        </w:tabs>
        <w:spacing w:after="0" w:line="360" w:lineRule="auto"/>
        <w:ind w:left="720" w:hanging="720"/>
        <w:contextualSpacing/>
        <w:jc w:val="both"/>
        <w:rPr>
          <w:rFonts w:ascii="Times New Roman" w:hAnsi="Times New Roman" w:cs="Times New Roman"/>
          <w:bCs/>
          <w:sz w:val="24"/>
          <w:szCs w:val="24"/>
        </w:rPr>
      </w:pPr>
      <w:r w:rsidRPr="00985544">
        <w:rPr>
          <w:rFonts w:ascii="Times New Roman" w:hAnsi="Times New Roman" w:cs="Times New Roman"/>
          <w:bCs/>
          <w:sz w:val="24"/>
          <w:szCs w:val="24"/>
        </w:rPr>
        <w:t>Agence France Press. 2016. Turkey Imposes State of Emergency After Failed Coup. 21 July.</w:t>
      </w:r>
    </w:p>
    <w:p w14:paraId="5D3FECA1" w14:textId="77777777" w:rsidR="005C795E" w:rsidRPr="00985544" w:rsidRDefault="005C795E" w:rsidP="00703502">
      <w:pPr>
        <w:tabs>
          <w:tab w:val="left" w:pos="709"/>
        </w:tabs>
        <w:spacing w:after="0" w:line="360" w:lineRule="auto"/>
        <w:ind w:left="720" w:hanging="720"/>
        <w:contextualSpacing/>
        <w:jc w:val="both"/>
        <w:rPr>
          <w:rFonts w:ascii="Times New Roman" w:hAnsi="Times New Roman" w:cs="Times New Roman"/>
          <w:bCs/>
          <w:sz w:val="24"/>
          <w:szCs w:val="24"/>
        </w:rPr>
      </w:pPr>
      <w:r w:rsidRPr="00985544">
        <w:rPr>
          <w:rFonts w:ascii="Times New Roman" w:hAnsi="Times New Roman" w:cs="Times New Roman"/>
          <w:sz w:val="24"/>
          <w:szCs w:val="24"/>
        </w:rPr>
        <w:t xml:space="preserve">Ahmad, F. 1977. </w:t>
      </w:r>
      <w:r w:rsidRPr="00985544">
        <w:rPr>
          <w:rFonts w:ascii="Times New Roman" w:hAnsi="Times New Roman" w:cs="Times New Roman"/>
          <w:i/>
          <w:iCs/>
          <w:sz w:val="24"/>
          <w:szCs w:val="24"/>
        </w:rPr>
        <w:t>The Turkish Experiment in Democracy, 1950-1975</w:t>
      </w:r>
      <w:r w:rsidRPr="00985544">
        <w:rPr>
          <w:rFonts w:ascii="Times New Roman" w:hAnsi="Times New Roman" w:cs="Times New Roman"/>
          <w:sz w:val="24"/>
          <w:szCs w:val="24"/>
        </w:rPr>
        <w:t>. Hurst &amp; Co Publishers.</w:t>
      </w:r>
    </w:p>
    <w:p w14:paraId="7865C71C" w14:textId="4CD55127" w:rsidR="005C795E" w:rsidRDefault="005C795E" w:rsidP="00703502">
      <w:pPr>
        <w:tabs>
          <w:tab w:val="left" w:pos="0"/>
          <w:tab w:val="left" w:pos="709"/>
        </w:tabs>
        <w:spacing w:after="0" w:line="360" w:lineRule="auto"/>
        <w:ind w:left="720" w:hanging="720"/>
        <w:jc w:val="both"/>
        <w:rPr>
          <w:rFonts w:ascii="Times New Roman" w:hAnsi="Times New Roman" w:cs="Times New Roman"/>
          <w:color w:val="000000"/>
          <w:sz w:val="24"/>
          <w:szCs w:val="24"/>
        </w:rPr>
      </w:pPr>
      <w:r w:rsidRPr="00985544">
        <w:rPr>
          <w:rFonts w:ascii="Times New Roman" w:hAnsi="Times New Roman" w:cs="Times New Roman"/>
          <w:color w:val="000000"/>
          <w:sz w:val="24"/>
          <w:szCs w:val="24"/>
        </w:rPr>
        <w:t xml:space="preserve">Akça, I., S. Algül, H. Dincer, E. Keleşoglu, and B. A. Özden. </w:t>
      </w:r>
      <w:r w:rsidRPr="00985544">
        <w:rPr>
          <w:rFonts w:ascii="Times New Roman" w:hAnsi="Times New Roman" w:cs="Times New Roman"/>
          <w:color w:val="000080"/>
          <w:sz w:val="24"/>
          <w:szCs w:val="24"/>
        </w:rPr>
        <w:t>2018</w:t>
      </w:r>
      <w:r w:rsidRPr="00985544">
        <w:rPr>
          <w:rFonts w:ascii="Times New Roman" w:hAnsi="Times New Roman" w:cs="Times New Roman"/>
          <w:color w:val="000000"/>
          <w:sz w:val="24"/>
          <w:szCs w:val="24"/>
        </w:rPr>
        <w:t>. “When the state of emergency becomes the norm: the impact of executive decrees on Turkish legislation</w:t>
      </w:r>
      <w:r>
        <w:rPr>
          <w:rFonts w:ascii="Times New Roman" w:hAnsi="Times New Roman" w:cs="Times New Roman"/>
          <w:color w:val="000000"/>
          <w:sz w:val="24"/>
          <w:szCs w:val="24"/>
        </w:rPr>
        <w:t>.</w:t>
      </w:r>
      <w:r w:rsidRPr="00985544">
        <w:rPr>
          <w:rFonts w:ascii="Times New Roman" w:hAnsi="Times New Roman" w:cs="Times New Roman"/>
          <w:color w:val="000000"/>
          <w:sz w:val="24"/>
          <w:szCs w:val="24"/>
        </w:rPr>
        <w:t>” Istanbul: Heinrich Böll</w:t>
      </w:r>
      <w:r w:rsidRPr="00985544">
        <w:rPr>
          <w:rFonts w:ascii="Times New Roman" w:hAnsi="Times New Roman" w:cs="Times New Roman"/>
          <w:sz w:val="24"/>
          <w:szCs w:val="24"/>
        </w:rPr>
        <w:t xml:space="preserve"> </w:t>
      </w:r>
      <w:r w:rsidRPr="00985544">
        <w:rPr>
          <w:rFonts w:ascii="Times New Roman" w:hAnsi="Times New Roman" w:cs="Times New Roman"/>
          <w:color w:val="000000"/>
          <w:sz w:val="24"/>
          <w:szCs w:val="24"/>
        </w:rPr>
        <w:t>Stiftung.</w:t>
      </w:r>
    </w:p>
    <w:p w14:paraId="3BBDF9B9" w14:textId="74C735D4" w:rsidR="005C795E" w:rsidRPr="00985544" w:rsidRDefault="005C795E" w:rsidP="00703502">
      <w:pPr>
        <w:tabs>
          <w:tab w:val="left" w:pos="0"/>
          <w:tab w:val="left" w:pos="709"/>
        </w:tabs>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Al, S. 2018. “Human Security Versus National Security: Kurds, Turkey and Syrian Rojava.” In </w:t>
      </w:r>
      <w:r w:rsidRPr="00766B7C">
        <w:rPr>
          <w:rFonts w:ascii="Times New Roman" w:hAnsi="Times New Roman" w:cs="Times New Roman"/>
          <w:i/>
          <w:color w:val="000000"/>
          <w:sz w:val="24"/>
          <w:szCs w:val="24"/>
        </w:rPr>
        <w:t>Comparative Kurdish Politics in the Middle East: Actors, Ideas and Interests</w:t>
      </w:r>
      <w:r>
        <w:rPr>
          <w:rFonts w:ascii="Times New Roman" w:hAnsi="Times New Roman" w:cs="Times New Roman"/>
          <w:color w:val="000000"/>
          <w:sz w:val="24"/>
          <w:szCs w:val="24"/>
        </w:rPr>
        <w:t xml:space="preserve">, edited by E. Elif Tugdar and S. Al, 57-84. Palgrave Macmillan. </w:t>
      </w:r>
    </w:p>
    <w:p w14:paraId="73946937" w14:textId="712C60E6" w:rsidR="005C795E" w:rsidRPr="00985544" w:rsidRDefault="005C795E" w:rsidP="00703502">
      <w:pPr>
        <w:tabs>
          <w:tab w:val="left" w:pos="0"/>
          <w:tab w:val="left" w:pos="709"/>
        </w:tabs>
        <w:spacing w:after="0" w:line="360" w:lineRule="auto"/>
        <w:ind w:left="720" w:hanging="720"/>
        <w:jc w:val="both"/>
        <w:rPr>
          <w:rFonts w:ascii="Times New Roman" w:hAnsi="Times New Roman" w:cs="Times New Roman"/>
          <w:color w:val="000000"/>
          <w:sz w:val="24"/>
          <w:szCs w:val="24"/>
        </w:rPr>
      </w:pPr>
      <w:r w:rsidRPr="00985544">
        <w:rPr>
          <w:rFonts w:ascii="Times New Roman" w:hAnsi="Times New Roman" w:cs="Times New Roman"/>
          <w:color w:val="000000"/>
          <w:sz w:val="24"/>
          <w:szCs w:val="24"/>
        </w:rPr>
        <w:t>Al, S. and D. Byrd. 2018. “When do states (de)securitise minority identities? Conflict and Change in Turkey and Northern Ireland</w:t>
      </w:r>
      <w:r>
        <w:rPr>
          <w:rFonts w:ascii="Times New Roman" w:hAnsi="Times New Roman" w:cs="Times New Roman"/>
          <w:color w:val="000000"/>
          <w:sz w:val="24"/>
          <w:szCs w:val="24"/>
        </w:rPr>
        <w:t>.</w:t>
      </w:r>
      <w:r w:rsidRPr="00985544">
        <w:rPr>
          <w:rFonts w:ascii="Times New Roman" w:hAnsi="Times New Roman" w:cs="Times New Roman"/>
          <w:color w:val="000000"/>
          <w:sz w:val="24"/>
          <w:szCs w:val="24"/>
        </w:rPr>
        <w:t xml:space="preserve">” </w:t>
      </w:r>
      <w:r w:rsidRPr="00985544">
        <w:rPr>
          <w:rFonts w:ascii="Times New Roman" w:hAnsi="Times New Roman" w:cs="Times New Roman"/>
          <w:i/>
          <w:color w:val="000000"/>
          <w:sz w:val="24"/>
          <w:szCs w:val="24"/>
        </w:rPr>
        <w:t>Journal of International Relations and Development</w:t>
      </w:r>
      <w:r w:rsidRPr="00985544">
        <w:rPr>
          <w:rFonts w:ascii="Times New Roman" w:hAnsi="Times New Roman" w:cs="Times New Roman"/>
          <w:color w:val="000000"/>
          <w:sz w:val="24"/>
          <w:szCs w:val="24"/>
        </w:rPr>
        <w:t xml:space="preserve"> 21</w:t>
      </w:r>
      <w:r>
        <w:rPr>
          <w:rFonts w:ascii="Times New Roman" w:hAnsi="Times New Roman" w:cs="Times New Roman"/>
          <w:color w:val="000000"/>
          <w:sz w:val="24"/>
          <w:szCs w:val="24"/>
        </w:rPr>
        <w:t xml:space="preserve"> (</w:t>
      </w:r>
      <w:r w:rsidRPr="00985544">
        <w:rPr>
          <w:rFonts w:ascii="Times New Roman" w:hAnsi="Times New Roman" w:cs="Times New Roman"/>
          <w:color w:val="000000"/>
          <w:sz w:val="24"/>
          <w:szCs w:val="24"/>
        </w:rPr>
        <w:t>3</w:t>
      </w:r>
      <w:r>
        <w:rPr>
          <w:rFonts w:ascii="Times New Roman" w:hAnsi="Times New Roman" w:cs="Times New Roman"/>
          <w:color w:val="000000"/>
          <w:sz w:val="24"/>
          <w:szCs w:val="24"/>
        </w:rPr>
        <w:t>)</w:t>
      </w:r>
      <w:r w:rsidRPr="00985544">
        <w:rPr>
          <w:rFonts w:ascii="Times New Roman" w:hAnsi="Times New Roman" w:cs="Times New Roman"/>
          <w:color w:val="000000"/>
          <w:sz w:val="24"/>
          <w:szCs w:val="24"/>
        </w:rPr>
        <w:t xml:space="preserve">: 608–634. </w:t>
      </w:r>
      <w:r>
        <w:rPr>
          <w:rFonts w:ascii="Times New Roman" w:hAnsi="Times New Roman" w:cs="Times New Roman"/>
          <w:color w:val="000000"/>
          <w:sz w:val="24"/>
          <w:szCs w:val="24"/>
        </w:rPr>
        <w:t>doi:</w:t>
      </w:r>
      <w:r w:rsidRPr="000D373E">
        <w:rPr>
          <w:rFonts w:ascii="Times New Roman" w:hAnsi="Times New Roman" w:cs="Times New Roman"/>
          <w:color w:val="000000"/>
          <w:sz w:val="24"/>
          <w:szCs w:val="24"/>
        </w:rPr>
        <w:t>10.1057/s41268-017-0082-4</w:t>
      </w:r>
    </w:p>
    <w:p w14:paraId="1F95607D" w14:textId="77777777" w:rsidR="005C795E" w:rsidRPr="00985544" w:rsidRDefault="005C795E" w:rsidP="00703502">
      <w:pPr>
        <w:tabs>
          <w:tab w:val="left" w:pos="709"/>
        </w:tabs>
        <w:spacing w:after="0" w:line="360" w:lineRule="auto"/>
        <w:ind w:left="720" w:hanging="720"/>
        <w:contextualSpacing/>
        <w:jc w:val="both"/>
        <w:rPr>
          <w:rFonts w:ascii="Times New Roman" w:hAnsi="Times New Roman" w:cs="Times New Roman"/>
          <w:sz w:val="24"/>
          <w:szCs w:val="24"/>
        </w:rPr>
      </w:pPr>
      <w:r w:rsidRPr="00985544">
        <w:rPr>
          <w:rFonts w:ascii="Times New Roman" w:hAnsi="Times New Roman" w:cs="Times New Roman"/>
          <w:sz w:val="24"/>
          <w:szCs w:val="24"/>
        </w:rPr>
        <w:t xml:space="preserve">Anagnostou, D. ed. 2013. </w:t>
      </w:r>
      <w:r w:rsidRPr="00985544">
        <w:rPr>
          <w:rFonts w:ascii="Times New Roman" w:hAnsi="Times New Roman" w:cs="Times New Roman"/>
          <w:i/>
          <w:sz w:val="24"/>
          <w:szCs w:val="24"/>
        </w:rPr>
        <w:t>The European Court of Human Rights: Implementing Strasbourg’s</w:t>
      </w:r>
      <w:r w:rsidRPr="00985544">
        <w:rPr>
          <w:rFonts w:ascii="Times New Roman" w:hAnsi="Times New Roman" w:cs="Times New Roman"/>
          <w:bCs/>
          <w:i/>
          <w:sz w:val="24"/>
          <w:szCs w:val="24"/>
        </w:rPr>
        <w:t xml:space="preserve"> </w:t>
      </w:r>
      <w:r w:rsidRPr="00985544">
        <w:rPr>
          <w:rFonts w:ascii="Times New Roman" w:hAnsi="Times New Roman" w:cs="Times New Roman"/>
          <w:i/>
          <w:sz w:val="24"/>
          <w:szCs w:val="24"/>
        </w:rPr>
        <w:t>Judgments on Domestic Policy</w:t>
      </w:r>
      <w:r w:rsidRPr="00985544">
        <w:rPr>
          <w:rFonts w:ascii="Times New Roman" w:hAnsi="Times New Roman" w:cs="Times New Roman"/>
          <w:sz w:val="24"/>
          <w:szCs w:val="24"/>
        </w:rPr>
        <w:t>. Edinburgh: Edinburgh University Press.</w:t>
      </w:r>
    </w:p>
    <w:p w14:paraId="40A3587A" w14:textId="1AE234A3" w:rsidR="005C795E" w:rsidRPr="00985544" w:rsidRDefault="005C795E" w:rsidP="00703502">
      <w:pPr>
        <w:pStyle w:val="ListParagraph"/>
        <w:tabs>
          <w:tab w:val="left" w:pos="709"/>
        </w:tabs>
        <w:spacing w:after="0" w:line="360" w:lineRule="auto"/>
        <w:ind w:left="709" w:hanging="709"/>
        <w:jc w:val="both"/>
        <w:rPr>
          <w:rFonts w:ascii="Times New Roman" w:hAnsi="Times New Roman" w:cs="Times New Roman"/>
          <w:sz w:val="24"/>
          <w:szCs w:val="24"/>
        </w:rPr>
      </w:pPr>
      <w:r w:rsidRPr="00985544">
        <w:rPr>
          <w:rFonts w:ascii="Times New Roman" w:hAnsi="Times New Roman" w:cs="Times New Roman"/>
          <w:sz w:val="24"/>
          <w:szCs w:val="24"/>
        </w:rPr>
        <w:t xml:space="preserve">Arslanalp, M. and T. D. Erkmen. 2020. </w:t>
      </w:r>
      <w:r>
        <w:rPr>
          <w:rFonts w:ascii="Times New Roman" w:hAnsi="Times New Roman" w:cs="Times New Roman"/>
          <w:sz w:val="24"/>
          <w:szCs w:val="24"/>
        </w:rPr>
        <w:t>“</w:t>
      </w:r>
      <w:r w:rsidRPr="00985544">
        <w:rPr>
          <w:rFonts w:ascii="Times New Roman" w:eastAsia="Arial Unicode MS" w:hAnsi="Times New Roman" w:cs="Times New Roman"/>
          <w:sz w:val="24"/>
          <w:szCs w:val="24"/>
        </w:rPr>
        <w:t>Mobile emergency rule in Turkey: legal repression of protests during authoritarian transformation</w:t>
      </w:r>
      <w:r>
        <w:rPr>
          <w:rFonts w:ascii="Times New Roman" w:eastAsia="Arial Unicode MS" w:hAnsi="Times New Roman" w:cs="Times New Roman"/>
          <w:sz w:val="24"/>
          <w:szCs w:val="24"/>
        </w:rPr>
        <w:t>.”</w:t>
      </w:r>
      <w:r w:rsidRPr="00985544">
        <w:rPr>
          <w:rFonts w:ascii="Times New Roman" w:eastAsia="Arial Unicode MS" w:hAnsi="Times New Roman" w:cs="Times New Roman"/>
          <w:sz w:val="24"/>
          <w:szCs w:val="24"/>
        </w:rPr>
        <w:t xml:space="preserve"> </w:t>
      </w:r>
      <w:r w:rsidRPr="00985544">
        <w:rPr>
          <w:rFonts w:ascii="Times New Roman" w:eastAsia="Arial Unicode MS" w:hAnsi="Times New Roman" w:cs="Times New Roman"/>
          <w:i/>
          <w:sz w:val="24"/>
          <w:szCs w:val="24"/>
        </w:rPr>
        <w:t>Democratization</w:t>
      </w:r>
      <w:r w:rsidRPr="00985544">
        <w:rPr>
          <w:rFonts w:ascii="Times New Roman" w:eastAsia="Arial Unicode MS" w:hAnsi="Times New Roman" w:cs="Times New Roman"/>
          <w:sz w:val="24"/>
          <w:szCs w:val="24"/>
        </w:rPr>
        <w:t xml:space="preserve"> 27</w:t>
      </w:r>
      <w:r>
        <w:rPr>
          <w:rFonts w:ascii="Times New Roman" w:eastAsia="Arial Unicode MS" w:hAnsi="Times New Roman" w:cs="Times New Roman"/>
          <w:sz w:val="24"/>
          <w:szCs w:val="24"/>
        </w:rPr>
        <w:t xml:space="preserve"> (6):</w:t>
      </w:r>
      <w:r w:rsidRPr="00985544">
        <w:rPr>
          <w:rFonts w:ascii="Times New Roman" w:eastAsia="Arial Unicode MS" w:hAnsi="Times New Roman" w:cs="Times New Roman"/>
          <w:sz w:val="24"/>
          <w:szCs w:val="24"/>
        </w:rPr>
        <w:t xml:space="preserve"> 947-969. </w:t>
      </w:r>
      <w:r w:rsidRPr="002053AF">
        <w:rPr>
          <w:rFonts w:ascii="Times New Roman" w:eastAsia="Arial Unicode MS" w:hAnsi="Times New Roman" w:cs="Times New Roman"/>
          <w:sz w:val="24"/>
          <w:szCs w:val="24"/>
        </w:rPr>
        <w:t>doi:10.1080/13510347.2020.1753701</w:t>
      </w:r>
    </w:p>
    <w:p w14:paraId="55861B95" w14:textId="77777777" w:rsidR="005C795E" w:rsidRDefault="005C795E" w:rsidP="00703502">
      <w:pPr>
        <w:tabs>
          <w:tab w:val="left" w:pos="709"/>
        </w:tabs>
        <w:spacing w:after="0" w:line="360" w:lineRule="auto"/>
        <w:ind w:left="720" w:hanging="720"/>
        <w:contextualSpacing/>
        <w:jc w:val="both"/>
        <w:rPr>
          <w:rFonts w:ascii="Times New Roman" w:hAnsi="Times New Roman" w:cs="Times New Roman"/>
          <w:sz w:val="24"/>
          <w:szCs w:val="24"/>
        </w:rPr>
      </w:pPr>
      <w:r w:rsidRPr="00985544">
        <w:rPr>
          <w:rFonts w:ascii="Times New Roman" w:hAnsi="Times New Roman" w:cs="Times New Roman"/>
          <w:sz w:val="24"/>
          <w:szCs w:val="24"/>
        </w:rPr>
        <w:t xml:space="preserve">Aslan, S. 2015. </w:t>
      </w:r>
      <w:r w:rsidRPr="00985544">
        <w:rPr>
          <w:rFonts w:ascii="Times New Roman" w:hAnsi="Times New Roman" w:cs="Times New Roman"/>
          <w:i/>
          <w:sz w:val="24"/>
          <w:szCs w:val="24"/>
        </w:rPr>
        <w:t xml:space="preserve">Nation-building in Turkey and Morocco: Governing Kurdish and Berber Dissent. </w:t>
      </w:r>
      <w:r w:rsidRPr="00985544">
        <w:rPr>
          <w:rFonts w:ascii="Times New Roman" w:hAnsi="Times New Roman" w:cs="Times New Roman"/>
          <w:sz w:val="24"/>
          <w:szCs w:val="24"/>
        </w:rPr>
        <w:t xml:space="preserve"> Cambridge: Cambridge University Press.</w:t>
      </w:r>
    </w:p>
    <w:p w14:paraId="371F32F7" w14:textId="6B5E985D" w:rsidR="005C795E" w:rsidRPr="00CA1BDA" w:rsidRDefault="005C795E" w:rsidP="00703502">
      <w:pPr>
        <w:tabs>
          <w:tab w:val="left" w:pos="709"/>
        </w:tabs>
        <w:spacing w:after="0" w:line="360" w:lineRule="auto"/>
        <w:ind w:left="720" w:hanging="720"/>
        <w:contextualSpacing/>
        <w:jc w:val="both"/>
        <w:rPr>
          <w:rFonts w:ascii="Times New Roman" w:hAnsi="Times New Roman" w:cs="Times New Roman"/>
          <w:sz w:val="24"/>
          <w:szCs w:val="24"/>
        </w:rPr>
      </w:pPr>
      <w:r w:rsidRPr="00CA1BDA">
        <w:rPr>
          <w:rFonts w:ascii="Times New Roman" w:hAnsi="Times New Roman" w:cs="Times New Roman"/>
          <w:sz w:val="24"/>
          <w:szCs w:val="24"/>
        </w:rPr>
        <w:t xml:space="preserve">Bayır, D. 2013. </w:t>
      </w:r>
      <w:r>
        <w:rPr>
          <w:rFonts w:ascii="Times New Roman" w:hAnsi="Times New Roman" w:cs="Times New Roman"/>
          <w:sz w:val="24"/>
          <w:szCs w:val="24"/>
        </w:rPr>
        <w:t>“</w:t>
      </w:r>
      <w:r w:rsidRPr="00CA1BDA">
        <w:rPr>
          <w:rFonts w:ascii="Times New Roman" w:hAnsi="Times New Roman" w:cs="Times New Roman"/>
          <w:sz w:val="24"/>
          <w:szCs w:val="24"/>
        </w:rPr>
        <w:t>Representation of the Kurds by the Turkish Judiciary</w:t>
      </w:r>
      <w:r>
        <w:rPr>
          <w:rFonts w:ascii="Times New Roman" w:hAnsi="Times New Roman" w:cs="Times New Roman"/>
          <w:sz w:val="24"/>
          <w:szCs w:val="24"/>
        </w:rPr>
        <w:t>.”</w:t>
      </w:r>
      <w:r w:rsidRPr="00CA1BDA">
        <w:rPr>
          <w:rFonts w:ascii="Times New Roman" w:hAnsi="Times New Roman" w:cs="Times New Roman"/>
          <w:sz w:val="24"/>
          <w:szCs w:val="24"/>
        </w:rPr>
        <w:t xml:space="preserve"> </w:t>
      </w:r>
      <w:r w:rsidRPr="00CA1BDA">
        <w:rPr>
          <w:rFonts w:ascii="Times New Roman" w:hAnsi="Times New Roman" w:cs="Times New Roman"/>
          <w:i/>
          <w:sz w:val="24"/>
          <w:szCs w:val="24"/>
        </w:rPr>
        <w:t>Human Rights Quarterly</w:t>
      </w:r>
      <w:r w:rsidRPr="00CA1BDA">
        <w:rPr>
          <w:rFonts w:ascii="Times New Roman" w:hAnsi="Times New Roman" w:cs="Times New Roman"/>
          <w:sz w:val="24"/>
          <w:szCs w:val="24"/>
        </w:rPr>
        <w:t xml:space="preserve"> 35</w:t>
      </w:r>
      <w:r>
        <w:rPr>
          <w:rFonts w:ascii="Times New Roman" w:hAnsi="Times New Roman" w:cs="Times New Roman"/>
          <w:sz w:val="24"/>
          <w:szCs w:val="24"/>
        </w:rPr>
        <w:t xml:space="preserve"> (</w:t>
      </w:r>
      <w:r w:rsidRPr="00CA1BDA">
        <w:rPr>
          <w:rFonts w:ascii="Times New Roman" w:hAnsi="Times New Roman" w:cs="Times New Roman"/>
          <w:sz w:val="24"/>
          <w:szCs w:val="24"/>
        </w:rPr>
        <w:t>1</w:t>
      </w:r>
      <w:r>
        <w:rPr>
          <w:rFonts w:ascii="Times New Roman" w:hAnsi="Times New Roman" w:cs="Times New Roman"/>
          <w:sz w:val="24"/>
          <w:szCs w:val="24"/>
        </w:rPr>
        <w:t>):</w:t>
      </w:r>
      <w:r w:rsidRPr="00CA1BDA">
        <w:rPr>
          <w:rFonts w:ascii="Times New Roman" w:hAnsi="Times New Roman" w:cs="Times New Roman"/>
          <w:sz w:val="24"/>
          <w:szCs w:val="24"/>
        </w:rPr>
        <w:t xml:space="preserve"> 116-142. </w:t>
      </w:r>
    </w:p>
    <w:p w14:paraId="14DD061D" w14:textId="1DFFDF66" w:rsidR="005C795E" w:rsidRPr="00985544" w:rsidRDefault="005C795E" w:rsidP="00703502">
      <w:pPr>
        <w:tabs>
          <w:tab w:val="left" w:pos="709"/>
        </w:tabs>
        <w:spacing w:after="0" w:line="360" w:lineRule="auto"/>
        <w:ind w:left="720" w:hanging="720"/>
        <w:contextualSpacing/>
        <w:jc w:val="both"/>
        <w:rPr>
          <w:rFonts w:ascii="Times New Roman" w:hAnsi="Times New Roman" w:cs="Times New Roman"/>
          <w:bCs/>
          <w:sz w:val="24"/>
          <w:szCs w:val="24"/>
        </w:rPr>
      </w:pPr>
      <w:r w:rsidRPr="00985544">
        <w:rPr>
          <w:rFonts w:ascii="Times New Roman" w:hAnsi="Times New Roman" w:cs="Times New Roman"/>
          <w:bCs/>
          <w:sz w:val="24"/>
          <w:szCs w:val="24"/>
        </w:rPr>
        <w:t xml:space="preserve">Beşikçi, İ. 1990. </w:t>
      </w:r>
      <w:r w:rsidRPr="00985544">
        <w:rPr>
          <w:rFonts w:ascii="Times New Roman" w:hAnsi="Times New Roman" w:cs="Times New Roman"/>
          <w:bCs/>
          <w:i/>
          <w:sz w:val="24"/>
          <w:szCs w:val="24"/>
        </w:rPr>
        <w:t>Tunceli Kanunu (1935) ve Dersim Jenosidi</w:t>
      </w:r>
      <w:r>
        <w:rPr>
          <w:rFonts w:ascii="Times New Roman" w:hAnsi="Times New Roman" w:cs="Times New Roman"/>
          <w:bCs/>
          <w:i/>
          <w:sz w:val="24"/>
          <w:szCs w:val="24"/>
        </w:rPr>
        <w:t xml:space="preserve"> </w:t>
      </w:r>
      <w:r>
        <w:rPr>
          <w:rFonts w:ascii="Times New Roman" w:hAnsi="Times New Roman" w:cs="Times New Roman"/>
          <w:bCs/>
          <w:iCs/>
          <w:sz w:val="24"/>
          <w:szCs w:val="24"/>
        </w:rPr>
        <w:t>[Law of Tunceli 1935 and Dersim Genocide]</w:t>
      </w:r>
      <w:r w:rsidRPr="00985544">
        <w:rPr>
          <w:rFonts w:ascii="Times New Roman" w:hAnsi="Times New Roman" w:cs="Times New Roman"/>
          <w:bCs/>
          <w:sz w:val="24"/>
          <w:szCs w:val="24"/>
        </w:rPr>
        <w:t xml:space="preserve">. Istanbul: Belge Publishing. </w:t>
      </w:r>
    </w:p>
    <w:p w14:paraId="7E4037FC" w14:textId="20F11AAE" w:rsidR="005C795E" w:rsidRPr="00985544" w:rsidRDefault="005C795E" w:rsidP="00703502">
      <w:pPr>
        <w:tabs>
          <w:tab w:val="left" w:pos="709"/>
        </w:tabs>
        <w:spacing w:after="0" w:line="360" w:lineRule="auto"/>
        <w:ind w:left="709" w:hanging="709"/>
        <w:jc w:val="both"/>
        <w:rPr>
          <w:rFonts w:ascii="Times New Roman" w:eastAsia="Times New Roman" w:hAnsi="Times New Roman" w:cs="Times New Roman"/>
          <w:sz w:val="20"/>
          <w:szCs w:val="20"/>
        </w:rPr>
      </w:pPr>
      <w:r w:rsidRPr="00985544">
        <w:rPr>
          <w:rFonts w:ascii="Times New Roman" w:hAnsi="Times New Roman" w:cs="Times New Roman"/>
          <w:sz w:val="24"/>
          <w:szCs w:val="24"/>
        </w:rPr>
        <w:t>Bitlis Governorship. 2021. “</w:t>
      </w:r>
      <w:r w:rsidRPr="00985544">
        <w:rPr>
          <w:rFonts w:ascii="Times New Roman" w:hAnsi="Times New Roman" w:cs="Times New Roman"/>
          <w:bCs/>
          <w:sz w:val="24"/>
          <w:szCs w:val="24"/>
        </w:rPr>
        <w:t>Bitlis İl ve İlçelerinde Bazı Bölgeler Geçici Özel Güvenlik Bölgesi İlan Edildi”</w:t>
      </w:r>
      <w:r>
        <w:rPr>
          <w:rFonts w:ascii="Times New Roman" w:hAnsi="Times New Roman" w:cs="Times New Roman"/>
          <w:bCs/>
          <w:sz w:val="24"/>
          <w:szCs w:val="24"/>
        </w:rPr>
        <w:t xml:space="preserve"> [</w:t>
      </w:r>
      <w:r>
        <w:rPr>
          <w:rFonts w:ascii="Times New Roman" w:eastAsiaTheme="majorEastAsia" w:hAnsi="Times New Roman" w:cs="Times New Roman"/>
          <w:bCs/>
          <w:sz w:val="24"/>
          <w:szCs w:val="24"/>
        </w:rPr>
        <w:t>Bitlis and in some of its provinces have been declared to be T</w:t>
      </w:r>
      <w:r w:rsidRPr="00516213">
        <w:rPr>
          <w:rFonts w:ascii="Times New Roman" w:eastAsiaTheme="majorEastAsia" w:hAnsi="Times New Roman" w:cs="Times New Roman"/>
          <w:bCs/>
          <w:sz w:val="24"/>
          <w:szCs w:val="24"/>
        </w:rPr>
        <w:t>emporary special security zone</w:t>
      </w:r>
      <w:r>
        <w:rPr>
          <w:rFonts w:ascii="Times New Roman" w:eastAsiaTheme="majorEastAsia" w:hAnsi="Times New Roman" w:cs="Times New Roman"/>
          <w:bCs/>
          <w:sz w:val="24"/>
          <w:szCs w:val="24"/>
        </w:rPr>
        <w:t>s].</w:t>
      </w:r>
      <w:r w:rsidRPr="00985544">
        <w:rPr>
          <w:rFonts w:ascii="Times New Roman" w:hAnsi="Times New Roman" w:cs="Times New Roman"/>
          <w:bCs/>
          <w:sz w:val="24"/>
          <w:szCs w:val="24"/>
        </w:rPr>
        <w:t xml:space="preserve"> ht</w:t>
      </w:r>
      <w:r w:rsidRPr="00985544">
        <w:rPr>
          <w:rFonts w:ascii="Times New Roman" w:hAnsi="Times New Roman" w:cs="Times New Roman"/>
          <w:sz w:val="24"/>
          <w:szCs w:val="24"/>
        </w:rPr>
        <w:t>tp://www.bitlis.gov.tr/bitlis-il-ve-ilcelerinde-bazi-bolgeler-gecici-ozel-guvenlik-bolgesi-ilan-edildi</w:t>
      </w:r>
    </w:p>
    <w:p w14:paraId="00B0BA42" w14:textId="01031CDE" w:rsidR="005C795E" w:rsidRPr="00985544" w:rsidRDefault="005C795E" w:rsidP="00E47869">
      <w:pPr>
        <w:tabs>
          <w:tab w:val="left" w:pos="709"/>
        </w:tabs>
        <w:spacing w:after="0" w:line="360" w:lineRule="auto"/>
        <w:ind w:left="709" w:right="317" w:hanging="709"/>
        <w:jc w:val="both"/>
        <w:rPr>
          <w:rFonts w:ascii="Times New Roman" w:hAnsi="Times New Roman" w:cs="Times New Roman"/>
          <w:bCs/>
          <w:sz w:val="24"/>
          <w:szCs w:val="24"/>
        </w:rPr>
      </w:pPr>
      <w:r w:rsidRPr="00985544">
        <w:rPr>
          <w:rFonts w:ascii="Times New Roman" w:hAnsi="Times New Roman" w:cs="Times New Roman"/>
          <w:color w:val="000000" w:themeColor="text1"/>
          <w:sz w:val="24"/>
          <w:szCs w:val="24"/>
        </w:rPr>
        <w:t xml:space="preserve">Çınar, M. and Ç. Sayın. 2014. “Reproducing the Paradigm of Democracy in Turkey: </w:t>
      </w:r>
      <w:r w:rsidRPr="00985544">
        <w:rPr>
          <w:rFonts w:ascii="Times New Roman" w:hAnsi="Times New Roman" w:cs="Times New Roman"/>
          <w:bCs/>
          <w:sz w:val="24"/>
          <w:szCs w:val="24"/>
        </w:rPr>
        <w:t>Parochial Democratization in the Decade of the Justice and Development Party</w:t>
      </w:r>
      <w:r>
        <w:rPr>
          <w:rFonts w:ascii="Times New Roman" w:hAnsi="Times New Roman" w:cs="Times New Roman"/>
          <w:bCs/>
          <w:sz w:val="24"/>
          <w:szCs w:val="24"/>
        </w:rPr>
        <w:t>.</w:t>
      </w:r>
      <w:r w:rsidRPr="00985544">
        <w:rPr>
          <w:rFonts w:ascii="Times New Roman" w:hAnsi="Times New Roman" w:cs="Times New Roman"/>
          <w:bCs/>
          <w:sz w:val="24"/>
          <w:szCs w:val="24"/>
        </w:rPr>
        <w:t xml:space="preserve">” </w:t>
      </w:r>
      <w:r w:rsidRPr="00985544">
        <w:rPr>
          <w:rFonts w:ascii="Times New Roman" w:hAnsi="Times New Roman" w:cs="Times New Roman"/>
          <w:bCs/>
          <w:i/>
          <w:sz w:val="24"/>
          <w:szCs w:val="24"/>
        </w:rPr>
        <w:t>Turkish Studies</w:t>
      </w:r>
      <w:r w:rsidRPr="00985544">
        <w:rPr>
          <w:rFonts w:ascii="Times New Roman" w:hAnsi="Times New Roman" w:cs="Times New Roman"/>
          <w:bCs/>
          <w:sz w:val="24"/>
          <w:szCs w:val="24"/>
        </w:rPr>
        <w:t xml:space="preserve"> 15 </w:t>
      </w:r>
      <w:r>
        <w:rPr>
          <w:rFonts w:ascii="Times New Roman" w:hAnsi="Times New Roman" w:cs="Times New Roman"/>
          <w:bCs/>
          <w:sz w:val="24"/>
          <w:szCs w:val="24"/>
        </w:rPr>
        <w:t>(</w:t>
      </w:r>
      <w:r w:rsidRPr="00985544">
        <w:rPr>
          <w:rFonts w:ascii="Times New Roman" w:hAnsi="Times New Roman" w:cs="Times New Roman"/>
          <w:bCs/>
          <w:sz w:val="24"/>
          <w:szCs w:val="24"/>
        </w:rPr>
        <w:t>3</w:t>
      </w:r>
      <w:r>
        <w:rPr>
          <w:rFonts w:ascii="Times New Roman" w:hAnsi="Times New Roman" w:cs="Times New Roman"/>
          <w:bCs/>
          <w:sz w:val="24"/>
          <w:szCs w:val="24"/>
        </w:rPr>
        <w:t>)</w:t>
      </w:r>
      <w:r w:rsidRPr="00985544">
        <w:rPr>
          <w:rFonts w:ascii="Times New Roman" w:hAnsi="Times New Roman" w:cs="Times New Roman"/>
          <w:bCs/>
          <w:sz w:val="24"/>
          <w:szCs w:val="24"/>
        </w:rPr>
        <w:t>: 365-385.</w:t>
      </w:r>
      <w:r>
        <w:rPr>
          <w:rFonts w:ascii="Times New Roman" w:hAnsi="Times New Roman" w:cs="Times New Roman"/>
          <w:bCs/>
          <w:sz w:val="24"/>
          <w:szCs w:val="24"/>
        </w:rPr>
        <w:t xml:space="preserve"> </w:t>
      </w:r>
      <w:r w:rsidRPr="00FA1916">
        <w:rPr>
          <w:rFonts w:ascii="Times New Roman" w:hAnsi="Times New Roman" w:cs="Times New Roman"/>
          <w:bCs/>
          <w:sz w:val="24"/>
          <w:szCs w:val="24"/>
        </w:rPr>
        <w:t>doi:10.1080/14683849.2014.954743</w:t>
      </w:r>
    </w:p>
    <w:p w14:paraId="16E62542" w14:textId="47A93D32" w:rsidR="005C795E" w:rsidRPr="00985544" w:rsidRDefault="005C795E" w:rsidP="00E47869">
      <w:pPr>
        <w:pStyle w:val="ListParagraph"/>
        <w:tabs>
          <w:tab w:val="left" w:pos="709"/>
        </w:tabs>
        <w:spacing w:after="0" w:line="360" w:lineRule="auto"/>
        <w:ind w:left="709" w:right="317" w:hanging="709"/>
        <w:jc w:val="both"/>
        <w:rPr>
          <w:rFonts w:ascii="Times New Roman" w:hAnsi="Times New Roman" w:cs="Times New Roman"/>
          <w:color w:val="000000" w:themeColor="text1"/>
          <w:sz w:val="24"/>
          <w:szCs w:val="24"/>
        </w:rPr>
      </w:pPr>
      <w:r w:rsidRPr="00985544">
        <w:rPr>
          <w:rFonts w:ascii="Times New Roman" w:hAnsi="Times New Roman" w:cs="Times New Roman"/>
          <w:color w:val="000000" w:themeColor="text1"/>
          <w:sz w:val="24"/>
          <w:szCs w:val="24"/>
        </w:rPr>
        <w:t>Civil Rights Defenders (2018) “A State in Emergency – When Exceptions Become the New Norm</w:t>
      </w:r>
      <w:r>
        <w:rPr>
          <w:rFonts w:ascii="Times New Roman" w:hAnsi="Times New Roman" w:cs="Times New Roman"/>
          <w:color w:val="000000" w:themeColor="text1"/>
          <w:sz w:val="24"/>
          <w:szCs w:val="24"/>
        </w:rPr>
        <w:t>.</w:t>
      </w:r>
      <w:r w:rsidRPr="00985544">
        <w:rPr>
          <w:rFonts w:ascii="Times New Roman" w:hAnsi="Times New Roman" w:cs="Times New Roman"/>
          <w:color w:val="000000" w:themeColor="text1"/>
          <w:sz w:val="24"/>
          <w:szCs w:val="24"/>
        </w:rPr>
        <w:t xml:space="preserve">” </w:t>
      </w:r>
      <w:hyperlink r:id="rId3" w:history="1">
        <w:r w:rsidRPr="00985544">
          <w:rPr>
            <w:rStyle w:val="Hyperlink"/>
            <w:rFonts w:ascii="Times New Roman" w:hAnsi="Times New Roman" w:cs="Times New Roman"/>
            <w:sz w:val="24"/>
            <w:szCs w:val="24"/>
          </w:rPr>
          <w:t>https://crd.org/2018/04/12/a-state-in-emergency-when-exceptions-become-the-new-norm/</w:t>
        </w:r>
      </w:hyperlink>
    </w:p>
    <w:p w14:paraId="1630200F" w14:textId="3067C9A8" w:rsidR="005C795E" w:rsidRPr="00985544" w:rsidRDefault="005C795E" w:rsidP="00E47869">
      <w:pPr>
        <w:pStyle w:val="ListParagraph"/>
        <w:widowControl w:val="0"/>
        <w:tabs>
          <w:tab w:val="left" w:pos="709"/>
        </w:tabs>
        <w:autoSpaceDE w:val="0"/>
        <w:autoSpaceDN w:val="0"/>
        <w:adjustRightInd w:val="0"/>
        <w:spacing w:after="0" w:line="360" w:lineRule="auto"/>
        <w:ind w:left="709" w:hanging="709"/>
        <w:jc w:val="both"/>
        <w:rPr>
          <w:rFonts w:ascii="Times New Roman" w:hAnsi="Times New Roman" w:cs="Times New Roman"/>
          <w:color w:val="0000FF"/>
          <w:sz w:val="24"/>
          <w:szCs w:val="24"/>
          <w:u w:val="single"/>
        </w:rPr>
      </w:pPr>
      <w:r w:rsidRPr="00985544">
        <w:rPr>
          <w:rFonts w:ascii="Times New Roman" w:hAnsi="Times New Roman" w:cs="Times New Roman"/>
          <w:sz w:val="24"/>
          <w:szCs w:val="24"/>
        </w:rPr>
        <w:t xml:space="preserve">Cumhuriyet. 2017. </w:t>
      </w:r>
      <w:r>
        <w:rPr>
          <w:rFonts w:ascii="Times New Roman" w:hAnsi="Times New Roman" w:cs="Times New Roman"/>
          <w:sz w:val="24"/>
          <w:szCs w:val="24"/>
        </w:rPr>
        <w:t>“</w:t>
      </w:r>
      <w:r w:rsidRPr="00985544">
        <w:rPr>
          <w:rFonts w:ascii="Times New Roman" w:hAnsi="Times New Roman" w:cs="Times New Roman"/>
          <w:sz w:val="24"/>
          <w:szCs w:val="24"/>
        </w:rPr>
        <w:t>Şırnak’ta 17 özel geçici güvenlik bölgesi ilan edildi</w:t>
      </w:r>
      <w:r>
        <w:rPr>
          <w:rFonts w:ascii="Times New Roman" w:hAnsi="Times New Roman" w:cs="Times New Roman"/>
          <w:sz w:val="24"/>
          <w:szCs w:val="24"/>
        </w:rPr>
        <w:t xml:space="preserve">” [17 </w:t>
      </w:r>
      <w:r>
        <w:rPr>
          <w:rFonts w:ascii="Times New Roman" w:eastAsiaTheme="majorEastAsia" w:hAnsi="Times New Roman" w:cs="Times New Roman"/>
          <w:bCs/>
          <w:sz w:val="24"/>
          <w:szCs w:val="24"/>
        </w:rPr>
        <w:t>T</w:t>
      </w:r>
      <w:r w:rsidRPr="00516213">
        <w:rPr>
          <w:rFonts w:ascii="Times New Roman" w:eastAsiaTheme="majorEastAsia" w:hAnsi="Times New Roman" w:cs="Times New Roman"/>
          <w:bCs/>
          <w:sz w:val="24"/>
          <w:szCs w:val="24"/>
        </w:rPr>
        <w:t>emporary special security zones</w:t>
      </w:r>
      <w:r>
        <w:rPr>
          <w:rFonts w:ascii="Times New Roman" w:eastAsiaTheme="majorEastAsia" w:hAnsi="Times New Roman" w:cs="Times New Roman"/>
          <w:bCs/>
          <w:sz w:val="24"/>
          <w:szCs w:val="24"/>
        </w:rPr>
        <w:t xml:space="preserve"> have been declared in </w:t>
      </w:r>
      <w:r w:rsidRPr="00985544">
        <w:rPr>
          <w:rFonts w:ascii="Times New Roman" w:hAnsi="Times New Roman" w:cs="Times New Roman"/>
          <w:sz w:val="24"/>
          <w:szCs w:val="24"/>
        </w:rPr>
        <w:t>Şırnak</w:t>
      </w:r>
      <w:r>
        <w:rPr>
          <w:rFonts w:ascii="Times New Roman" w:hAnsi="Times New Roman" w:cs="Times New Roman"/>
          <w:sz w:val="24"/>
          <w:szCs w:val="24"/>
        </w:rPr>
        <w:t>]s.</w:t>
      </w:r>
      <w:r w:rsidRPr="00985544">
        <w:rPr>
          <w:rFonts w:ascii="Times New Roman" w:hAnsi="Times New Roman" w:cs="Times New Roman"/>
          <w:sz w:val="24"/>
          <w:szCs w:val="24"/>
        </w:rPr>
        <w:t xml:space="preserve"> August 30.  </w:t>
      </w:r>
      <w:hyperlink r:id="rId4" w:history="1">
        <w:r w:rsidRPr="00985544">
          <w:rPr>
            <w:rStyle w:val="Hyperlink"/>
            <w:rFonts w:ascii="Times New Roman" w:hAnsi="Times New Roman" w:cs="Times New Roman"/>
            <w:sz w:val="24"/>
            <w:szCs w:val="24"/>
          </w:rPr>
          <w:t>https://www.cumhuriyet.com.tr/haber/sirnakta-17-gecici-ozel-guvenlik-bolgesi-ilan-edildi-814519</w:t>
        </w:r>
      </w:hyperlink>
    </w:p>
    <w:p w14:paraId="4F4A9E93" w14:textId="32181A77" w:rsidR="005C795E" w:rsidRPr="00985544" w:rsidRDefault="005C795E" w:rsidP="00703502">
      <w:pPr>
        <w:tabs>
          <w:tab w:val="left" w:pos="709"/>
        </w:tabs>
        <w:spacing w:after="0" w:line="360" w:lineRule="auto"/>
        <w:ind w:left="720" w:hanging="720"/>
        <w:jc w:val="both"/>
        <w:rPr>
          <w:rFonts w:ascii="Times New Roman" w:eastAsia="Times New Roman" w:hAnsi="Times New Roman" w:cs="Times New Roman"/>
          <w:bCs/>
          <w:color w:val="000000"/>
          <w:spacing w:val="-5"/>
          <w:sz w:val="24"/>
          <w:szCs w:val="24"/>
        </w:rPr>
      </w:pPr>
      <w:r w:rsidRPr="00985544">
        <w:rPr>
          <w:rFonts w:ascii="Times New Roman" w:hAnsi="Times New Roman" w:cs="Times New Roman"/>
          <w:bCs/>
          <w:sz w:val="24"/>
          <w:szCs w:val="24"/>
        </w:rPr>
        <w:t>Darcy, S. 2002. “The Rights of Minorities in States of Emergency</w:t>
      </w:r>
      <w:r>
        <w:rPr>
          <w:rFonts w:ascii="Times New Roman" w:hAnsi="Times New Roman" w:cs="Times New Roman"/>
          <w:bCs/>
          <w:sz w:val="24"/>
          <w:szCs w:val="24"/>
        </w:rPr>
        <w:t>.</w:t>
      </w:r>
      <w:r w:rsidRPr="00985544">
        <w:rPr>
          <w:rFonts w:ascii="Times New Roman" w:hAnsi="Times New Roman" w:cs="Times New Roman"/>
          <w:bCs/>
          <w:sz w:val="24"/>
          <w:szCs w:val="24"/>
        </w:rPr>
        <w:t xml:space="preserve">” </w:t>
      </w:r>
      <w:r w:rsidRPr="00985544">
        <w:rPr>
          <w:rFonts w:ascii="Times New Roman" w:eastAsia="Times New Roman" w:hAnsi="Times New Roman" w:cs="Times New Roman"/>
          <w:bCs/>
          <w:i/>
          <w:iCs/>
          <w:color w:val="000000"/>
          <w:spacing w:val="-5"/>
          <w:sz w:val="24"/>
          <w:szCs w:val="24"/>
        </w:rPr>
        <w:t xml:space="preserve">International Journal on Minority and Group Rights </w:t>
      </w:r>
      <w:r w:rsidRPr="00985544">
        <w:rPr>
          <w:rFonts w:ascii="Times New Roman" w:eastAsia="Times New Roman" w:hAnsi="Times New Roman" w:cs="Times New Roman"/>
          <w:bCs/>
          <w:color w:val="000000"/>
          <w:spacing w:val="-5"/>
          <w:sz w:val="24"/>
          <w:szCs w:val="24"/>
        </w:rPr>
        <w:t xml:space="preserve"> 9</w:t>
      </w:r>
      <w:r>
        <w:rPr>
          <w:rFonts w:ascii="Times New Roman" w:eastAsia="Times New Roman" w:hAnsi="Times New Roman" w:cs="Times New Roman"/>
          <w:bCs/>
          <w:color w:val="000000"/>
          <w:spacing w:val="-5"/>
          <w:sz w:val="24"/>
          <w:szCs w:val="24"/>
        </w:rPr>
        <w:t xml:space="preserve"> (</w:t>
      </w:r>
      <w:r w:rsidRPr="00985544">
        <w:rPr>
          <w:rFonts w:ascii="Times New Roman" w:eastAsia="Times New Roman" w:hAnsi="Times New Roman" w:cs="Times New Roman"/>
          <w:bCs/>
          <w:color w:val="000000"/>
          <w:spacing w:val="-5"/>
          <w:sz w:val="24"/>
          <w:szCs w:val="24"/>
        </w:rPr>
        <w:t>4</w:t>
      </w:r>
      <w:r>
        <w:rPr>
          <w:rFonts w:ascii="Times New Roman" w:eastAsia="Times New Roman" w:hAnsi="Times New Roman" w:cs="Times New Roman"/>
          <w:bCs/>
          <w:color w:val="000000"/>
          <w:spacing w:val="-5"/>
          <w:sz w:val="24"/>
          <w:szCs w:val="24"/>
        </w:rPr>
        <w:t>)</w:t>
      </w:r>
      <w:r w:rsidRPr="00985544">
        <w:rPr>
          <w:rFonts w:ascii="Times New Roman" w:eastAsia="Times New Roman" w:hAnsi="Times New Roman" w:cs="Times New Roman"/>
          <w:bCs/>
          <w:color w:val="000000"/>
          <w:spacing w:val="-5"/>
          <w:sz w:val="24"/>
          <w:szCs w:val="24"/>
        </w:rPr>
        <w:t xml:space="preserve">: 345–369. </w:t>
      </w:r>
    </w:p>
    <w:p w14:paraId="7CB25BA8" w14:textId="77777777" w:rsidR="005C795E" w:rsidRPr="00985544" w:rsidRDefault="005C795E" w:rsidP="00703502">
      <w:pPr>
        <w:tabs>
          <w:tab w:val="left" w:pos="709"/>
        </w:tabs>
        <w:spacing w:after="0" w:line="360" w:lineRule="auto"/>
        <w:ind w:left="720" w:hanging="720"/>
        <w:jc w:val="both"/>
        <w:rPr>
          <w:rFonts w:ascii="Times New Roman" w:hAnsi="Times New Roman" w:cs="Times New Roman"/>
          <w:bCs/>
          <w:iCs/>
          <w:sz w:val="24"/>
          <w:szCs w:val="24"/>
        </w:rPr>
      </w:pPr>
      <w:r w:rsidRPr="00985544">
        <w:rPr>
          <w:rFonts w:ascii="Times New Roman" w:hAnsi="Times New Roman" w:cs="Times New Roman"/>
          <w:bCs/>
          <w:iCs/>
          <w:sz w:val="24"/>
          <w:szCs w:val="24"/>
        </w:rPr>
        <w:t xml:space="preserve">Donohue, L. K. 2008. </w:t>
      </w:r>
      <w:r w:rsidRPr="00985544">
        <w:rPr>
          <w:rFonts w:ascii="Times New Roman" w:hAnsi="Times New Roman" w:cs="Times New Roman"/>
          <w:bCs/>
          <w:i/>
          <w:iCs/>
          <w:sz w:val="24"/>
          <w:szCs w:val="24"/>
        </w:rPr>
        <w:t>The Cost of Counterterrorism: Power, Politics, and Liberty</w:t>
      </w:r>
      <w:r w:rsidRPr="00985544">
        <w:rPr>
          <w:rFonts w:ascii="Times New Roman" w:hAnsi="Times New Roman" w:cs="Times New Roman"/>
          <w:bCs/>
          <w:iCs/>
          <w:sz w:val="24"/>
          <w:szCs w:val="24"/>
        </w:rPr>
        <w:t xml:space="preserve">. Cambridge: Cambridge University Press. </w:t>
      </w:r>
    </w:p>
    <w:p w14:paraId="617333EA" w14:textId="46AC7EEF" w:rsidR="005C795E" w:rsidRPr="00985544" w:rsidRDefault="005C795E" w:rsidP="00E47869">
      <w:pPr>
        <w:pStyle w:val="ListParagraph"/>
        <w:widowControl w:val="0"/>
        <w:tabs>
          <w:tab w:val="left" w:pos="709"/>
        </w:tabs>
        <w:autoSpaceDE w:val="0"/>
        <w:autoSpaceDN w:val="0"/>
        <w:adjustRightInd w:val="0"/>
        <w:spacing w:after="0" w:line="360" w:lineRule="auto"/>
        <w:ind w:left="709" w:hanging="709"/>
        <w:jc w:val="both"/>
        <w:rPr>
          <w:rFonts w:ascii="Times New Roman" w:hAnsi="Times New Roman" w:cs="Times New Roman"/>
          <w:sz w:val="24"/>
          <w:szCs w:val="24"/>
        </w:rPr>
      </w:pPr>
      <w:r w:rsidRPr="00985544">
        <w:rPr>
          <w:rFonts w:ascii="Times New Roman" w:hAnsi="Times New Roman" w:cs="Times New Roman"/>
          <w:sz w:val="24"/>
          <w:szCs w:val="24"/>
        </w:rPr>
        <w:t>Esen, B. and Ş. Gümüşçü. 2016. “Rising competitive authoritarianism in Turkey</w:t>
      </w:r>
      <w:r>
        <w:rPr>
          <w:rFonts w:ascii="Times New Roman" w:hAnsi="Times New Roman" w:cs="Times New Roman"/>
          <w:sz w:val="24"/>
          <w:szCs w:val="24"/>
        </w:rPr>
        <w:t>.</w:t>
      </w:r>
      <w:r w:rsidRPr="00985544">
        <w:rPr>
          <w:rFonts w:ascii="Times New Roman" w:hAnsi="Times New Roman" w:cs="Times New Roman"/>
          <w:sz w:val="24"/>
          <w:szCs w:val="24"/>
        </w:rPr>
        <w:t xml:space="preserve">” </w:t>
      </w:r>
      <w:r w:rsidRPr="00985544">
        <w:rPr>
          <w:rFonts w:ascii="Times New Roman" w:hAnsi="Times New Roman" w:cs="Times New Roman"/>
          <w:i/>
          <w:sz w:val="24"/>
          <w:szCs w:val="24"/>
        </w:rPr>
        <w:t>Third World Quarterly</w:t>
      </w:r>
      <w:r w:rsidRPr="00985544">
        <w:rPr>
          <w:rFonts w:ascii="Times New Roman" w:hAnsi="Times New Roman" w:cs="Times New Roman"/>
          <w:sz w:val="24"/>
          <w:szCs w:val="24"/>
        </w:rPr>
        <w:t xml:space="preserve"> 37</w:t>
      </w:r>
      <w:r>
        <w:rPr>
          <w:rFonts w:ascii="Times New Roman" w:hAnsi="Times New Roman" w:cs="Times New Roman"/>
          <w:sz w:val="24"/>
          <w:szCs w:val="24"/>
        </w:rPr>
        <w:t xml:space="preserve"> (</w:t>
      </w:r>
      <w:r w:rsidRPr="00985544">
        <w:rPr>
          <w:rFonts w:ascii="Times New Roman" w:hAnsi="Times New Roman" w:cs="Times New Roman"/>
          <w:sz w:val="24"/>
          <w:szCs w:val="24"/>
        </w:rPr>
        <w:t>9</w:t>
      </w:r>
      <w:r>
        <w:rPr>
          <w:rFonts w:ascii="Times New Roman" w:hAnsi="Times New Roman" w:cs="Times New Roman"/>
          <w:sz w:val="24"/>
          <w:szCs w:val="24"/>
        </w:rPr>
        <w:t>)</w:t>
      </w:r>
      <w:r w:rsidRPr="00985544">
        <w:rPr>
          <w:rFonts w:ascii="Times New Roman" w:hAnsi="Times New Roman" w:cs="Times New Roman"/>
          <w:sz w:val="24"/>
          <w:szCs w:val="24"/>
        </w:rPr>
        <w:t xml:space="preserve">: 1581-1606. </w:t>
      </w:r>
      <w:r w:rsidRPr="006C7DBF">
        <w:rPr>
          <w:rFonts w:ascii="Times New Roman" w:hAnsi="Times New Roman" w:cs="Times New Roman"/>
          <w:sz w:val="24"/>
          <w:szCs w:val="24"/>
        </w:rPr>
        <w:t>doi:10.1080/01436597.2015.1135732</w:t>
      </w:r>
    </w:p>
    <w:p w14:paraId="1B9B89D4" w14:textId="1039BC44" w:rsidR="005C795E" w:rsidRPr="00985544" w:rsidRDefault="005C795E" w:rsidP="00703502">
      <w:pPr>
        <w:tabs>
          <w:tab w:val="left" w:pos="709"/>
        </w:tabs>
        <w:spacing w:after="0" w:line="360" w:lineRule="auto"/>
        <w:ind w:left="720" w:hanging="720"/>
        <w:contextualSpacing/>
        <w:jc w:val="both"/>
        <w:rPr>
          <w:rFonts w:ascii="Times New Roman" w:hAnsi="Times New Roman" w:cs="Times New Roman"/>
          <w:bCs/>
          <w:sz w:val="24"/>
          <w:szCs w:val="24"/>
        </w:rPr>
      </w:pPr>
      <w:r w:rsidRPr="00985544">
        <w:rPr>
          <w:rFonts w:ascii="Times New Roman" w:eastAsiaTheme="majorEastAsia" w:hAnsi="Times New Roman" w:cs="Times New Roman"/>
          <w:bCs/>
          <w:sz w:val="24"/>
          <w:szCs w:val="24"/>
        </w:rPr>
        <w:t xml:space="preserve">European Court of Human Rights. 2018. </w:t>
      </w:r>
      <w:r>
        <w:rPr>
          <w:rFonts w:ascii="Times New Roman" w:hAnsi="Times New Roman" w:cs="Times New Roman"/>
          <w:bCs/>
          <w:sz w:val="24"/>
          <w:szCs w:val="24"/>
        </w:rPr>
        <w:t>:</w:t>
      </w:r>
      <w:r w:rsidRPr="00985544">
        <w:rPr>
          <w:rFonts w:ascii="Times New Roman" w:hAnsi="Times New Roman" w:cs="Times New Roman"/>
          <w:bCs/>
          <w:sz w:val="24"/>
          <w:szCs w:val="24"/>
        </w:rPr>
        <w:t>The Court finds several violations of the Convention and orders the termination of the pre-trial detention of opposition politician Selahattin Demirtaş,</w:t>
      </w:r>
      <w:r>
        <w:rPr>
          <w:rFonts w:ascii="Times New Roman" w:hAnsi="Times New Roman" w:cs="Times New Roman"/>
          <w:bCs/>
          <w:sz w:val="24"/>
          <w:szCs w:val="24"/>
        </w:rPr>
        <w:t>”</w:t>
      </w:r>
      <w:r w:rsidRPr="00985544">
        <w:rPr>
          <w:rFonts w:ascii="Times New Roman" w:hAnsi="Times New Roman" w:cs="Times New Roman"/>
          <w:bCs/>
          <w:sz w:val="24"/>
          <w:szCs w:val="24"/>
        </w:rPr>
        <w:t xml:space="preserve"> ECHR 395. November 20. </w:t>
      </w:r>
    </w:p>
    <w:p w14:paraId="39033A1F" w14:textId="66210E25" w:rsidR="005C795E" w:rsidRPr="00985544" w:rsidRDefault="005C795E" w:rsidP="00703502">
      <w:pPr>
        <w:tabs>
          <w:tab w:val="left" w:pos="709"/>
        </w:tabs>
        <w:spacing w:after="0" w:line="360" w:lineRule="auto"/>
        <w:ind w:left="720" w:hanging="720"/>
        <w:contextualSpacing/>
        <w:jc w:val="both"/>
        <w:rPr>
          <w:rFonts w:ascii="Times New Roman" w:hAnsi="Times New Roman" w:cs="Times New Roman"/>
          <w:bCs/>
          <w:sz w:val="24"/>
          <w:szCs w:val="24"/>
        </w:rPr>
      </w:pPr>
      <w:r w:rsidRPr="00985544">
        <w:rPr>
          <w:rFonts w:ascii="Times New Roman" w:hAnsi="Times New Roman" w:cs="Times New Roman"/>
          <w:bCs/>
          <w:sz w:val="24"/>
          <w:szCs w:val="24"/>
        </w:rPr>
        <w:t>Feldman, L. C. 2010. The Banality of Emergency: On the Time and Space of “Political Necessity</w:t>
      </w:r>
      <w:r>
        <w:rPr>
          <w:rFonts w:ascii="Times New Roman" w:hAnsi="Times New Roman" w:cs="Times New Roman"/>
          <w:bCs/>
          <w:sz w:val="24"/>
          <w:szCs w:val="24"/>
        </w:rPr>
        <w:t>.</w:t>
      </w:r>
      <w:r w:rsidRPr="00985544">
        <w:rPr>
          <w:rFonts w:ascii="Times New Roman" w:hAnsi="Times New Roman" w:cs="Times New Roman"/>
          <w:bCs/>
          <w:sz w:val="24"/>
          <w:szCs w:val="24"/>
        </w:rPr>
        <w:t xml:space="preserve">” In </w:t>
      </w:r>
      <w:r w:rsidRPr="00985544">
        <w:rPr>
          <w:rFonts w:ascii="Times New Roman" w:hAnsi="Times New Roman" w:cs="Times New Roman"/>
          <w:bCs/>
          <w:i/>
          <w:sz w:val="24"/>
          <w:szCs w:val="24"/>
        </w:rPr>
        <w:t>Sovereignty, Emergency, Legality</w:t>
      </w:r>
      <w:r w:rsidRPr="00985544">
        <w:rPr>
          <w:rFonts w:ascii="Times New Roman" w:hAnsi="Times New Roman" w:cs="Times New Roman"/>
          <w:bCs/>
          <w:sz w:val="24"/>
          <w:szCs w:val="24"/>
        </w:rPr>
        <w:t>, ed</w:t>
      </w:r>
      <w:r>
        <w:rPr>
          <w:rFonts w:ascii="Times New Roman" w:hAnsi="Times New Roman" w:cs="Times New Roman"/>
          <w:bCs/>
          <w:sz w:val="24"/>
          <w:szCs w:val="24"/>
        </w:rPr>
        <w:t>ited by</w:t>
      </w:r>
      <w:r w:rsidRPr="00985544">
        <w:rPr>
          <w:rFonts w:ascii="Times New Roman" w:hAnsi="Times New Roman" w:cs="Times New Roman"/>
          <w:bCs/>
          <w:sz w:val="24"/>
          <w:szCs w:val="24"/>
        </w:rPr>
        <w:t xml:space="preserve"> A</w:t>
      </w:r>
      <w:r>
        <w:rPr>
          <w:rFonts w:ascii="Times New Roman" w:hAnsi="Times New Roman" w:cs="Times New Roman"/>
          <w:bCs/>
          <w:sz w:val="24"/>
          <w:szCs w:val="24"/>
        </w:rPr>
        <w:t>.</w:t>
      </w:r>
      <w:r w:rsidRPr="00985544">
        <w:rPr>
          <w:rFonts w:ascii="Times New Roman" w:hAnsi="Times New Roman" w:cs="Times New Roman"/>
          <w:bCs/>
          <w:sz w:val="24"/>
          <w:szCs w:val="24"/>
        </w:rPr>
        <w:t xml:space="preserve"> Sarat, 136–164 Cambridge: Cambridge University Press. </w:t>
      </w:r>
    </w:p>
    <w:p w14:paraId="4BD98244" w14:textId="3783CE82" w:rsidR="005C795E" w:rsidRPr="00985544" w:rsidRDefault="005C795E" w:rsidP="00703502">
      <w:pPr>
        <w:tabs>
          <w:tab w:val="left" w:pos="709"/>
        </w:tabs>
        <w:spacing w:after="0" w:line="360" w:lineRule="auto"/>
        <w:ind w:left="720" w:hanging="720"/>
        <w:contextualSpacing/>
        <w:jc w:val="both"/>
        <w:rPr>
          <w:rFonts w:ascii="Times New Roman" w:eastAsia="Times New Roman" w:hAnsi="Times New Roman" w:cs="Times New Roman"/>
          <w:iCs/>
          <w:color w:val="2A2A2A"/>
          <w:sz w:val="24"/>
          <w:szCs w:val="24"/>
          <w:bdr w:val="none" w:sz="0" w:space="0" w:color="auto" w:frame="1"/>
        </w:rPr>
      </w:pPr>
      <w:r w:rsidRPr="00985544">
        <w:rPr>
          <w:rFonts w:ascii="Times New Roman" w:hAnsi="Times New Roman" w:cs="Times New Roman"/>
          <w:bCs/>
          <w:sz w:val="24"/>
          <w:szCs w:val="24"/>
        </w:rPr>
        <w:t>Ferejohn, J. and P. Pasquino. 2004.  “The law of the exception: A typology of emergency powers</w:t>
      </w:r>
      <w:r>
        <w:rPr>
          <w:rFonts w:ascii="Times New Roman" w:hAnsi="Times New Roman" w:cs="Times New Roman"/>
          <w:bCs/>
          <w:sz w:val="24"/>
          <w:szCs w:val="24"/>
        </w:rPr>
        <w:t>.</w:t>
      </w:r>
      <w:r w:rsidRPr="00985544">
        <w:rPr>
          <w:rFonts w:ascii="Times New Roman" w:hAnsi="Times New Roman" w:cs="Times New Roman"/>
          <w:bCs/>
          <w:sz w:val="24"/>
          <w:szCs w:val="24"/>
        </w:rPr>
        <w:t xml:space="preserve">” </w:t>
      </w:r>
      <w:r w:rsidRPr="00985544">
        <w:rPr>
          <w:rFonts w:ascii="Times New Roman" w:eastAsia="Times New Roman" w:hAnsi="Times New Roman" w:cs="Times New Roman"/>
          <w:i/>
          <w:iCs/>
          <w:color w:val="2A2A2A"/>
          <w:sz w:val="24"/>
          <w:szCs w:val="24"/>
          <w:bdr w:val="none" w:sz="0" w:space="0" w:color="auto" w:frame="1"/>
        </w:rPr>
        <w:t>International Journal of Constitutional Law</w:t>
      </w:r>
      <w:r w:rsidRPr="00985544">
        <w:rPr>
          <w:rFonts w:ascii="Times New Roman" w:eastAsia="Times New Roman" w:hAnsi="Times New Roman" w:cs="Times New Roman"/>
          <w:iCs/>
          <w:color w:val="2A2A2A"/>
          <w:sz w:val="24"/>
          <w:szCs w:val="24"/>
          <w:bdr w:val="none" w:sz="0" w:space="0" w:color="auto" w:frame="1"/>
        </w:rPr>
        <w:t xml:space="preserve"> 2</w:t>
      </w:r>
      <w:r>
        <w:rPr>
          <w:rFonts w:ascii="Times New Roman" w:eastAsia="Times New Roman" w:hAnsi="Times New Roman" w:cs="Times New Roman"/>
          <w:iCs/>
          <w:color w:val="2A2A2A"/>
          <w:sz w:val="24"/>
          <w:szCs w:val="24"/>
          <w:bdr w:val="none" w:sz="0" w:space="0" w:color="auto" w:frame="1"/>
        </w:rPr>
        <w:t xml:space="preserve"> (</w:t>
      </w:r>
      <w:r w:rsidRPr="00985544">
        <w:rPr>
          <w:rFonts w:ascii="Times New Roman" w:eastAsia="Times New Roman" w:hAnsi="Times New Roman" w:cs="Times New Roman"/>
          <w:iCs/>
          <w:color w:val="2A2A2A"/>
          <w:sz w:val="24"/>
          <w:szCs w:val="24"/>
          <w:bdr w:val="none" w:sz="0" w:space="0" w:color="auto" w:frame="1"/>
        </w:rPr>
        <w:t>2</w:t>
      </w:r>
      <w:r>
        <w:rPr>
          <w:rFonts w:ascii="Times New Roman" w:eastAsia="Times New Roman" w:hAnsi="Times New Roman" w:cs="Times New Roman"/>
          <w:iCs/>
          <w:color w:val="2A2A2A"/>
          <w:sz w:val="24"/>
          <w:szCs w:val="24"/>
          <w:bdr w:val="none" w:sz="0" w:space="0" w:color="auto" w:frame="1"/>
        </w:rPr>
        <w:t>)</w:t>
      </w:r>
      <w:r w:rsidRPr="00985544">
        <w:rPr>
          <w:rFonts w:ascii="Times New Roman" w:eastAsia="Times New Roman" w:hAnsi="Times New Roman" w:cs="Times New Roman"/>
          <w:iCs/>
          <w:color w:val="2A2A2A"/>
          <w:sz w:val="24"/>
          <w:szCs w:val="24"/>
          <w:bdr w:val="none" w:sz="0" w:space="0" w:color="auto" w:frame="1"/>
        </w:rPr>
        <w:t xml:space="preserve">: 210–239. </w:t>
      </w:r>
      <w:r w:rsidRPr="00073302">
        <w:rPr>
          <w:rFonts w:ascii="Times New Roman" w:eastAsia="Times New Roman" w:hAnsi="Times New Roman" w:cs="Times New Roman"/>
          <w:iCs/>
          <w:color w:val="2A2A2A"/>
          <w:sz w:val="24"/>
          <w:szCs w:val="24"/>
          <w:bdr w:val="none" w:sz="0" w:space="0" w:color="auto" w:frame="1"/>
        </w:rPr>
        <w:t>doi:10.1093/icon/2.2.210</w:t>
      </w:r>
    </w:p>
    <w:p w14:paraId="7DB7C5EF" w14:textId="30932A4A" w:rsidR="005C795E" w:rsidRPr="00985544" w:rsidRDefault="005C795E" w:rsidP="00703502">
      <w:pPr>
        <w:tabs>
          <w:tab w:val="left" w:pos="709"/>
        </w:tabs>
        <w:spacing w:after="0" w:line="360" w:lineRule="auto"/>
        <w:ind w:left="720" w:hanging="720"/>
        <w:contextualSpacing/>
        <w:jc w:val="both"/>
        <w:rPr>
          <w:rFonts w:ascii="Times New Roman" w:eastAsia="Times New Roman" w:hAnsi="Times New Roman" w:cs="Times New Roman"/>
          <w:iCs/>
          <w:color w:val="2A2A2A"/>
          <w:sz w:val="24"/>
          <w:szCs w:val="24"/>
          <w:bdr w:val="none" w:sz="0" w:space="0" w:color="auto" w:frame="1"/>
        </w:rPr>
      </w:pPr>
      <w:r w:rsidRPr="00985544">
        <w:rPr>
          <w:rFonts w:ascii="Times New Roman" w:eastAsia="Times New Roman" w:hAnsi="Times New Roman" w:cs="Times New Roman"/>
          <w:iCs/>
          <w:color w:val="2A2A2A"/>
          <w:sz w:val="24"/>
          <w:szCs w:val="24"/>
          <w:bdr w:val="none" w:sz="0" w:space="0" w:color="auto" w:frame="1"/>
        </w:rPr>
        <w:t xml:space="preserve">Gerring, J. 2007. “Is there a (Viable) Crucial-Case Method?” </w:t>
      </w:r>
      <w:r w:rsidRPr="00985544">
        <w:rPr>
          <w:rFonts w:ascii="Times New Roman" w:eastAsia="Times New Roman" w:hAnsi="Times New Roman" w:cs="Times New Roman"/>
          <w:i/>
          <w:iCs/>
          <w:color w:val="2A2A2A"/>
          <w:sz w:val="24"/>
          <w:szCs w:val="24"/>
          <w:bdr w:val="none" w:sz="0" w:space="0" w:color="auto" w:frame="1"/>
        </w:rPr>
        <w:t>Comparative Political Studies</w:t>
      </w:r>
      <w:r w:rsidRPr="00985544">
        <w:rPr>
          <w:rFonts w:ascii="Times New Roman" w:eastAsia="Times New Roman" w:hAnsi="Times New Roman" w:cs="Times New Roman"/>
          <w:iCs/>
          <w:color w:val="2A2A2A"/>
          <w:sz w:val="24"/>
          <w:szCs w:val="24"/>
          <w:bdr w:val="none" w:sz="0" w:space="0" w:color="auto" w:frame="1"/>
        </w:rPr>
        <w:t xml:space="preserve"> 40</w:t>
      </w:r>
      <w:r>
        <w:rPr>
          <w:rFonts w:ascii="Times New Roman" w:eastAsia="Times New Roman" w:hAnsi="Times New Roman" w:cs="Times New Roman"/>
          <w:iCs/>
          <w:color w:val="2A2A2A"/>
          <w:sz w:val="24"/>
          <w:szCs w:val="24"/>
          <w:bdr w:val="none" w:sz="0" w:space="0" w:color="auto" w:frame="1"/>
        </w:rPr>
        <w:t xml:space="preserve"> (</w:t>
      </w:r>
      <w:r w:rsidRPr="00985544">
        <w:rPr>
          <w:rFonts w:ascii="Times New Roman" w:eastAsia="Times New Roman" w:hAnsi="Times New Roman" w:cs="Times New Roman"/>
          <w:iCs/>
          <w:color w:val="2A2A2A"/>
          <w:sz w:val="24"/>
          <w:szCs w:val="24"/>
          <w:bdr w:val="none" w:sz="0" w:space="0" w:color="auto" w:frame="1"/>
        </w:rPr>
        <w:t>3</w:t>
      </w:r>
      <w:r>
        <w:rPr>
          <w:rFonts w:ascii="Times New Roman" w:eastAsia="Times New Roman" w:hAnsi="Times New Roman" w:cs="Times New Roman"/>
          <w:iCs/>
          <w:color w:val="2A2A2A"/>
          <w:sz w:val="24"/>
          <w:szCs w:val="24"/>
          <w:bdr w:val="none" w:sz="0" w:space="0" w:color="auto" w:frame="1"/>
        </w:rPr>
        <w:t>)</w:t>
      </w:r>
      <w:r w:rsidRPr="00985544">
        <w:rPr>
          <w:rFonts w:ascii="Times New Roman" w:eastAsia="Times New Roman" w:hAnsi="Times New Roman" w:cs="Times New Roman"/>
          <w:iCs/>
          <w:color w:val="2A2A2A"/>
          <w:sz w:val="24"/>
          <w:szCs w:val="24"/>
          <w:bdr w:val="none" w:sz="0" w:space="0" w:color="auto" w:frame="1"/>
        </w:rPr>
        <w:t>: 231-253.</w:t>
      </w:r>
      <w:r>
        <w:rPr>
          <w:rFonts w:ascii="Times New Roman" w:eastAsia="Times New Roman" w:hAnsi="Times New Roman" w:cs="Times New Roman"/>
          <w:iCs/>
          <w:color w:val="2A2A2A"/>
          <w:sz w:val="24"/>
          <w:szCs w:val="24"/>
          <w:bdr w:val="none" w:sz="0" w:space="0" w:color="auto" w:frame="1"/>
        </w:rPr>
        <w:t xml:space="preserve"> </w:t>
      </w:r>
      <w:r w:rsidRPr="00061CAF">
        <w:rPr>
          <w:rFonts w:ascii="Times New Roman" w:eastAsia="Times New Roman" w:hAnsi="Times New Roman" w:cs="Times New Roman"/>
          <w:iCs/>
          <w:color w:val="2A2A2A"/>
          <w:sz w:val="24"/>
          <w:szCs w:val="24"/>
          <w:bdr w:val="none" w:sz="0" w:space="0" w:color="auto" w:frame="1"/>
        </w:rPr>
        <w:t>doi:10.1177/0010414006290784</w:t>
      </w:r>
    </w:p>
    <w:p w14:paraId="0E31590A" w14:textId="5805A26E" w:rsidR="005C795E" w:rsidRPr="00985544" w:rsidRDefault="005C795E" w:rsidP="00703502">
      <w:pPr>
        <w:tabs>
          <w:tab w:val="left" w:pos="709"/>
        </w:tabs>
        <w:spacing w:after="0" w:line="360" w:lineRule="auto"/>
        <w:ind w:left="720" w:hanging="720"/>
        <w:contextualSpacing/>
        <w:jc w:val="both"/>
        <w:rPr>
          <w:rFonts w:ascii="Times New Roman" w:hAnsi="Times New Roman" w:cs="Times New Roman"/>
          <w:bCs/>
          <w:sz w:val="24"/>
          <w:szCs w:val="24"/>
        </w:rPr>
      </w:pPr>
      <w:r w:rsidRPr="00985544">
        <w:rPr>
          <w:rFonts w:ascii="Times New Roman" w:hAnsi="Times New Roman" w:cs="Times New Roman"/>
          <w:sz w:val="24"/>
          <w:szCs w:val="24"/>
        </w:rPr>
        <w:t xml:space="preserve">Göztepe, E. 2018. “The permanency of the state of emergency in Turkey: The rise of a constituent power or only a new quality of the state?” </w:t>
      </w:r>
      <w:r w:rsidRPr="00985544">
        <w:rPr>
          <w:rFonts w:ascii="Times New Roman" w:hAnsi="Times New Roman" w:cs="Times New Roman"/>
          <w:i/>
          <w:sz w:val="24"/>
          <w:szCs w:val="24"/>
        </w:rPr>
        <w:t>Zeitschrift für Politikwissenschaft</w:t>
      </w:r>
      <w:r>
        <w:rPr>
          <w:rFonts w:ascii="Times New Roman" w:hAnsi="Times New Roman" w:cs="Times New Roman"/>
          <w:i/>
          <w:sz w:val="24"/>
          <w:szCs w:val="24"/>
        </w:rPr>
        <w:t xml:space="preserve"> </w:t>
      </w:r>
      <w:r w:rsidRPr="00985544">
        <w:rPr>
          <w:rFonts w:ascii="Times New Roman" w:hAnsi="Times New Roman" w:cs="Times New Roman"/>
          <w:bCs/>
          <w:sz w:val="24"/>
          <w:szCs w:val="24"/>
          <w:u w:color="330096"/>
        </w:rPr>
        <w:t xml:space="preserve"> 28</w:t>
      </w:r>
      <w:r w:rsidRPr="00985544">
        <w:rPr>
          <w:rFonts w:ascii="Times New Roman" w:hAnsi="Times New Roman" w:cs="Times New Roman"/>
          <w:sz w:val="24"/>
          <w:szCs w:val="24"/>
          <w:u w:color="330096"/>
        </w:rPr>
        <w:t>: 521–534.</w:t>
      </w:r>
    </w:p>
    <w:p w14:paraId="163187D0" w14:textId="72F057B6" w:rsidR="005C795E" w:rsidRPr="00985544" w:rsidRDefault="005C795E" w:rsidP="00703502">
      <w:pPr>
        <w:tabs>
          <w:tab w:val="left" w:pos="709"/>
        </w:tabs>
        <w:spacing w:after="0" w:line="360" w:lineRule="auto"/>
        <w:ind w:left="720" w:hanging="720"/>
        <w:contextualSpacing/>
        <w:jc w:val="both"/>
        <w:rPr>
          <w:rFonts w:ascii="Times New Roman" w:hAnsi="Times New Roman" w:cs="Times New Roman"/>
          <w:bCs/>
          <w:sz w:val="24"/>
          <w:szCs w:val="24"/>
        </w:rPr>
      </w:pPr>
      <w:r w:rsidRPr="00985544">
        <w:rPr>
          <w:rFonts w:ascii="Times New Roman" w:hAnsi="Times New Roman" w:cs="Times New Roman"/>
          <w:bCs/>
          <w:sz w:val="24"/>
          <w:szCs w:val="24"/>
        </w:rPr>
        <w:t>Gross, O. 2003. “</w:t>
      </w:r>
      <w:r w:rsidRPr="00985544">
        <w:rPr>
          <w:rFonts w:ascii="Times New Roman" w:hAnsi="Times New Roman" w:cs="Times New Roman"/>
          <w:sz w:val="24"/>
          <w:szCs w:val="24"/>
        </w:rPr>
        <w:t>Chaos and Rules: Should Responses to Violent Crises Always Be Constitutional?</w:t>
      </w:r>
      <w:r w:rsidRPr="00985544">
        <w:rPr>
          <w:rFonts w:ascii="Times New Roman" w:hAnsi="Times New Roman" w:cs="Times New Roman"/>
          <w:bCs/>
          <w:sz w:val="24"/>
          <w:szCs w:val="24"/>
        </w:rPr>
        <w:t xml:space="preserve">”. </w:t>
      </w:r>
      <w:r w:rsidRPr="00985544">
        <w:rPr>
          <w:rFonts w:ascii="Times New Roman" w:hAnsi="Times New Roman" w:cs="Times New Roman"/>
          <w:bCs/>
          <w:i/>
          <w:sz w:val="24"/>
          <w:szCs w:val="24"/>
        </w:rPr>
        <w:t>Yale Law Journal</w:t>
      </w:r>
      <w:r w:rsidRPr="00985544">
        <w:rPr>
          <w:rFonts w:ascii="Times New Roman" w:hAnsi="Times New Roman" w:cs="Times New Roman"/>
          <w:bCs/>
          <w:sz w:val="24"/>
          <w:szCs w:val="24"/>
        </w:rPr>
        <w:t xml:space="preserve"> 112 </w:t>
      </w:r>
      <w:r>
        <w:rPr>
          <w:rFonts w:ascii="Times New Roman" w:hAnsi="Times New Roman" w:cs="Times New Roman"/>
          <w:bCs/>
          <w:sz w:val="24"/>
          <w:szCs w:val="24"/>
        </w:rPr>
        <w:t>(</w:t>
      </w:r>
      <w:r w:rsidRPr="00985544">
        <w:rPr>
          <w:rFonts w:ascii="Times New Roman" w:hAnsi="Times New Roman" w:cs="Times New Roman"/>
          <w:bCs/>
          <w:sz w:val="24"/>
          <w:szCs w:val="24"/>
        </w:rPr>
        <w:t>5</w:t>
      </w:r>
      <w:r>
        <w:rPr>
          <w:rFonts w:ascii="Times New Roman" w:hAnsi="Times New Roman" w:cs="Times New Roman"/>
          <w:bCs/>
          <w:sz w:val="24"/>
          <w:szCs w:val="24"/>
        </w:rPr>
        <w:t>)</w:t>
      </w:r>
      <w:r w:rsidRPr="00985544">
        <w:rPr>
          <w:rFonts w:ascii="Times New Roman" w:hAnsi="Times New Roman" w:cs="Times New Roman"/>
          <w:bCs/>
          <w:sz w:val="24"/>
          <w:szCs w:val="24"/>
        </w:rPr>
        <w:t>: 1011–1134.</w:t>
      </w:r>
    </w:p>
    <w:p w14:paraId="0533EC5D" w14:textId="080B7B33" w:rsidR="005C795E" w:rsidRPr="00985544" w:rsidRDefault="005C795E" w:rsidP="00703502">
      <w:pPr>
        <w:tabs>
          <w:tab w:val="left" w:pos="709"/>
        </w:tabs>
        <w:spacing w:after="0" w:line="360" w:lineRule="auto"/>
        <w:ind w:left="720" w:hanging="720"/>
        <w:contextualSpacing/>
        <w:jc w:val="both"/>
        <w:rPr>
          <w:rFonts w:ascii="Times New Roman" w:hAnsi="Times New Roman" w:cs="Times New Roman"/>
          <w:bCs/>
          <w:sz w:val="24"/>
          <w:szCs w:val="24"/>
        </w:rPr>
      </w:pPr>
      <w:r w:rsidRPr="00985544">
        <w:rPr>
          <w:rFonts w:ascii="Times New Roman" w:hAnsi="Times New Roman" w:cs="Times New Roman"/>
          <w:bCs/>
          <w:sz w:val="24"/>
          <w:szCs w:val="24"/>
        </w:rPr>
        <w:t>Gürses, M. and E. Öztürk. 2020. “Religion and Armed Conflict: Evidence from the Kurdish Conflict in Turkey</w:t>
      </w:r>
      <w:r>
        <w:rPr>
          <w:rFonts w:ascii="Times New Roman" w:hAnsi="Times New Roman" w:cs="Times New Roman"/>
          <w:bCs/>
          <w:sz w:val="24"/>
          <w:szCs w:val="24"/>
        </w:rPr>
        <w:t>.</w:t>
      </w:r>
      <w:r w:rsidRPr="00985544">
        <w:rPr>
          <w:rFonts w:ascii="Times New Roman" w:hAnsi="Times New Roman" w:cs="Times New Roman"/>
          <w:bCs/>
          <w:sz w:val="24"/>
          <w:szCs w:val="24"/>
        </w:rPr>
        <w:t xml:space="preserve">” </w:t>
      </w:r>
      <w:r w:rsidRPr="00985544">
        <w:rPr>
          <w:rFonts w:ascii="Times New Roman" w:hAnsi="Times New Roman" w:cs="Times New Roman"/>
          <w:bCs/>
          <w:i/>
          <w:sz w:val="24"/>
          <w:szCs w:val="24"/>
        </w:rPr>
        <w:t>Journal for the Scientific Study of Religion</w:t>
      </w:r>
      <w:r w:rsidRPr="00985544">
        <w:rPr>
          <w:rFonts w:ascii="Times New Roman" w:hAnsi="Times New Roman" w:cs="Times New Roman"/>
          <w:bCs/>
          <w:sz w:val="24"/>
          <w:szCs w:val="24"/>
        </w:rPr>
        <w:t xml:space="preserve"> 59</w:t>
      </w:r>
      <w:r>
        <w:rPr>
          <w:rFonts w:ascii="Times New Roman" w:hAnsi="Times New Roman" w:cs="Times New Roman"/>
          <w:bCs/>
          <w:sz w:val="24"/>
          <w:szCs w:val="24"/>
        </w:rPr>
        <w:t xml:space="preserve"> (</w:t>
      </w:r>
      <w:r w:rsidRPr="00985544">
        <w:rPr>
          <w:rFonts w:ascii="Times New Roman" w:hAnsi="Times New Roman" w:cs="Times New Roman"/>
          <w:bCs/>
          <w:sz w:val="24"/>
          <w:szCs w:val="24"/>
        </w:rPr>
        <w:t>2</w:t>
      </w:r>
      <w:r>
        <w:rPr>
          <w:rFonts w:ascii="Times New Roman" w:hAnsi="Times New Roman" w:cs="Times New Roman"/>
          <w:bCs/>
          <w:sz w:val="24"/>
          <w:szCs w:val="24"/>
        </w:rPr>
        <w:t>)</w:t>
      </w:r>
      <w:r w:rsidRPr="00985544">
        <w:rPr>
          <w:rFonts w:ascii="Times New Roman" w:hAnsi="Times New Roman" w:cs="Times New Roman"/>
          <w:bCs/>
          <w:sz w:val="24"/>
          <w:szCs w:val="24"/>
        </w:rPr>
        <w:t>: 327-340.</w:t>
      </w:r>
      <w:r>
        <w:rPr>
          <w:rFonts w:ascii="Times New Roman" w:hAnsi="Times New Roman" w:cs="Times New Roman"/>
          <w:bCs/>
          <w:sz w:val="24"/>
          <w:szCs w:val="24"/>
        </w:rPr>
        <w:t xml:space="preserve"> </w:t>
      </w:r>
      <w:r w:rsidRPr="00530EF0">
        <w:rPr>
          <w:rFonts w:ascii="Times New Roman" w:hAnsi="Times New Roman" w:cs="Times New Roman"/>
          <w:bCs/>
          <w:sz w:val="24"/>
          <w:szCs w:val="24"/>
        </w:rPr>
        <w:t>doi:10.1111/jssr.12652</w:t>
      </w:r>
    </w:p>
    <w:p w14:paraId="33FF6F4C" w14:textId="411019F5" w:rsidR="005C795E" w:rsidRPr="00985544" w:rsidRDefault="005C795E" w:rsidP="00703502">
      <w:pPr>
        <w:tabs>
          <w:tab w:val="left" w:pos="709"/>
        </w:tabs>
        <w:spacing w:after="0" w:line="360" w:lineRule="auto"/>
        <w:ind w:left="720" w:hanging="720"/>
        <w:contextualSpacing/>
        <w:jc w:val="both"/>
        <w:rPr>
          <w:rFonts w:ascii="Times New Roman" w:hAnsi="Times New Roman" w:cs="Times New Roman"/>
          <w:bCs/>
          <w:sz w:val="24"/>
          <w:szCs w:val="24"/>
        </w:rPr>
      </w:pPr>
      <w:r w:rsidRPr="00985544">
        <w:rPr>
          <w:rFonts w:ascii="Times New Roman" w:hAnsi="Times New Roman" w:cs="Times New Roman"/>
          <w:bCs/>
          <w:sz w:val="24"/>
          <w:szCs w:val="24"/>
        </w:rPr>
        <w:t xml:space="preserve">Hadden, T. 1999. </w:t>
      </w:r>
      <w:r>
        <w:rPr>
          <w:rFonts w:ascii="Times New Roman" w:hAnsi="Times New Roman" w:cs="Times New Roman"/>
          <w:bCs/>
          <w:sz w:val="24"/>
          <w:szCs w:val="24"/>
        </w:rPr>
        <w:t>“</w:t>
      </w:r>
      <w:r w:rsidRPr="00985544">
        <w:rPr>
          <w:rFonts w:ascii="Times New Roman" w:hAnsi="Times New Roman" w:cs="Times New Roman"/>
          <w:bCs/>
          <w:sz w:val="24"/>
          <w:szCs w:val="24"/>
        </w:rPr>
        <w:t>Human Rights Abuses and the Protection of Democracy During States of Emergency.</w:t>
      </w:r>
      <w:r>
        <w:rPr>
          <w:rFonts w:ascii="Times New Roman" w:hAnsi="Times New Roman" w:cs="Times New Roman"/>
          <w:bCs/>
          <w:sz w:val="24"/>
          <w:szCs w:val="24"/>
        </w:rPr>
        <w:t>”</w:t>
      </w:r>
      <w:r w:rsidRPr="00985544">
        <w:rPr>
          <w:rFonts w:ascii="Times New Roman" w:hAnsi="Times New Roman" w:cs="Times New Roman"/>
          <w:bCs/>
          <w:sz w:val="24"/>
          <w:szCs w:val="24"/>
        </w:rPr>
        <w:t xml:space="preserve"> In </w:t>
      </w:r>
      <w:r w:rsidRPr="00985544">
        <w:rPr>
          <w:rFonts w:ascii="Times New Roman" w:hAnsi="Times New Roman" w:cs="Times New Roman"/>
          <w:bCs/>
          <w:i/>
          <w:sz w:val="24"/>
          <w:szCs w:val="24"/>
        </w:rPr>
        <w:t>Democracy, the Rule of Law and Islam</w:t>
      </w:r>
      <w:r>
        <w:rPr>
          <w:rFonts w:ascii="Times New Roman" w:hAnsi="Times New Roman" w:cs="Times New Roman"/>
          <w:bCs/>
          <w:sz w:val="24"/>
          <w:szCs w:val="24"/>
        </w:rPr>
        <w:t xml:space="preserve"> edited by</w:t>
      </w:r>
      <w:r w:rsidRPr="00985544">
        <w:rPr>
          <w:rFonts w:ascii="Times New Roman" w:hAnsi="Times New Roman" w:cs="Times New Roman"/>
          <w:bCs/>
          <w:sz w:val="24"/>
          <w:szCs w:val="24"/>
        </w:rPr>
        <w:t xml:space="preserve"> E</w:t>
      </w:r>
      <w:r>
        <w:rPr>
          <w:rFonts w:ascii="Times New Roman" w:hAnsi="Times New Roman" w:cs="Times New Roman"/>
          <w:bCs/>
          <w:sz w:val="24"/>
          <w:szCs w:val="24"/>
        </w:rPr>
        <w:t xml:space="preserve">. </w:t>
      </w:r>
      <w:r w:rsidRPr="00985544">
        <w:rPr>
          <w:rFonts w:ascii="Times New Roman" w:hAnsi="Times New Roman" w:cs="Times New Roman"/>
          <w:bCs/>
          <w:sz w:val="24"/>
          <w:szCs w:val="24"/>
        </w:rPr>
        <w:t>Cotran and A</w:t>
      </w:r>
      <w:r>
        <w:rPr>
          <w:rFonts w:ascii="Times New Roman" w:hAnsi="Times New Roman" w:cs="Times New Roman"/>
          <w:bCs/>
          <w:sz w:val="24"/>
          <w:szCs w:val="24"/>
        </w:rPr>
        <w:t xml:space="preserve">. </w:t>
      </w:r>
      <w:r w:rsidRPr="00985544">
        <w:rPr>
          <w:rFonts w:ascii="Times New Roman" w:hAnsi="Times New Roman" w:cs="Times New Roman"/>
          <w:bCs/>
          <w:sz w:val="24"/>
          <w:szCs w:val="24"/>
        </w:rPr>
        <w:t xml:space="preserve">O. Sherif. The Hague: Kluwer Law International.  </w:t>
      </w:r>
    </w:p>
    <w:p w14:paraId="695D8355" w14:textId="052BAFE6" w:rsidR="005C795E" w:rsidRPr="00985544" w:rsidRDefault="005C795E" w:rsidP="00703502">
      <w:pPr>
        <w:tabs>
          <w:tab w:val="left" w:pos="709"/>
        </w:tabs>
        <w:spacing w:after="0" w:line="360" w:lineRule="auto"/>
        <w:ind w:left="720" w:hanging="720"/>
        <w:contextualSpacing/>
        <w:jc w:val="both"/>
        <w:rPr>
          <w:rFonts w:ascii="Times New Roman" w:hAnsi="Times New Roman" w:cs="Times New Roman"/>
          <w:bCs/>
          <w:sz w:val="24"/>
          <w:szCs w:val="24"/>
        </w:rPr>
      </w:pPr>
      <w:r w:rsidRPr="00985544">
        <w:rPr>
          <w:rFonts w:ascii="Times New Roman" w:hAnsi="Times New Roman" w:cs="Times New Roman"/>
          <w:sz w:val="24"/>
          <w:szCs w:val="24"/>
        </w:rPr>
        <w:t>Hafner-Burton, E. M., L. R. Helfer, and C. J. Fariss. 2011.</w:t>
      </w:r>
      <w:r w:rsidRPr="00985544">
        <w:rPr>
          <w:rFonts w:ascii="Times New Roman" w:hAnsi="Times New Roman" w:cs="Times New Roman"/>
          <w:bCs/>
          <w:sz w:val="24"/>
          <w:szCs w:val="24"/>
        </w:rPr>
        <w:t xml:space="preserve"> “</w:t>
      </w:r>
      <w:r w:rsidRPr="00985544">
        <w:rPr>
          <w:rFonts w:ascii="Times New Roman" w:hAnsi="Times New Roman" w:cs="Times New Roman"/>
          <w:sz w:val="24"/>
          <w:szCs w:val="24"/>
        </w:rPr>
        <w:t>Emergency and Escape: Explaining Derogations</w:t>
      </w:r>
      <w:r w:rsidRPr="00985544">
        <w:rPr>
          <w:rFonts w:ascii="Times New Roman" w:hAnsi="Times New Roman" w:cs="Times New Roman"/>
          <w:bCs/>
          <w:sz w:val="24"/>
          <w:szCs w:val="24"/>
        </w:rPr>
        <w:t xml:space="preserve"> </w:t>
      </w:r>
      <w:r w:rsidRPr="00985544">
        <w:rPr>
          <w:rFonts w:ascii="Times New Roman" w:hAnsi="Times New Roman" w:cs="Times New Roman"/>
          <w:sz w:val="24"/>
          <w:szCs w:val="24"/>
        </w:rPr>
        <w:t>from Human Rights Treaties</w:t>
      </w:r>
      <w:r>
        <w:rPr>
          <w:rFonts w:ascii="Times New Roman" w:hAnsi="Times New Roman" w:cs="Times New Roman"/>
          <w:sz w:val="24"/>
          <w:szCs w:val="24"/>
        </w:rPr>
        <w:t>.</w:t>
      </w:r>
      <w:r w:rsidRPr="00985544">
        <w:rPr>
          <w:rFonts w:ascii="Times New Roman" w:hAnsi="Times New Roman" w:cs="Times New Roman"/>
          <w:sz w:val="24"/>
          <w:szCs w:val="24"/>
        </w:rPr>
        <w:t xml:space="preserve">” </w:t>
      </w:r>
      <w:r w:rsidRPr="00985544">
        <w:rPr>
          <w:rFonts w:ascii="Times New Roman" w:hAnsi="Times New Roman" w:cs="Times New Roman"/>
          <w:i/>
          <w:sz w:val="24"/>
          <w:szCs w:val="24"/>
        </w:rPr>
        <w:t>International Organization</w:t>
      </w:r>
      <w:r w:rsidRPr="00985544">
        <w:rPr>
          <w:rFonts w:ascii="Times New Roman" w:hAnsi="Times New Roman" w:cs="Times New Roman"/>
          <w:sz w:val="24"/>
          <w:szCs w:val="24"/>
        </w:rPr>
        <w:t xml:space="preserve"> 65</w:t>
      </w:r>
      <w:r>
        <w:rPr>
          <w:rFonts w:ascii="Times New Roman" w:hAnsi="Times New Roman" w:cs="Times New Roman"/>
          <w:sz w:val="24"/>
          <w:szCs w:val="24"/>
        </w:rPr>
        <w:t xml:space="preserve"> (</w:t>
      </w:r>
      <w:r w:rsidRPr="00985544">
        <w:rPr>
          <w:rFonts w:ascii="Times New Roman" w:hAnsi="Times New Roman" w:cs="Times New Roman"/>
          <w:sz w:val="24"/>
          <w:szCs w:val="24"/>
        </w:rPr>
        <w:t>4</w:t>
      </w:r>
      <w:r>
        <w:rPr>
          <w:rFonts w:ascii="Times New Roman" w:hAnsi="Times New Roman" w:cs="Times New Roman"/>
          <w:sz w:val="24"/>
          <w:szCs w:val="24"/>
        </w:rPr>
        <w:t>)</w:t>
      </w:r>
      <w:r w:rsidRPr="00985544">
        <w:rPr>
          <w:rFonts w:ascii="Times New Roman" w:hAnsi="Times New Roman" w:cs="Times New Roman"/>
          <w:sz w:val="24"/>
          <w:szCs w:val="24"/>
        </w:rPr>
        <w:t xml:space="preserve">: 673–707. </w:t>
      </w:r>
      <w:r w:rsidRPr="000D373E">
        <w:rPr>
          <w:rFonts w:ascii="Times New Roman" w:hAnsi="Times New Roman" w:cs="Times New Roman"/>
          <w:sz w:val="24"/>
          <w:szCs w:val="24"/>
        </w:rPr>
        <w:t>doi:10.1017/S002081831100021X</w:t>
      </w:r>
    </w:p>
    <w:p w14:paraId="43845415" w14:textId="7807C42C" w:rsidR="005C795E" w:rsidRPr="00985544" w:rsidRDefault="005C795E" w:rsidP="00703502">
      <w:pPr>
        <w:tabs>
          <w:tab w:val="left" w:pos="709"/>
        </w:tabs>
        <w:spacing w:after="0" w:line="360" w:lineRule="auto"/>
        <w:ind w:left="720" w:hanging="720"/>
        <w:contextualSpacing/>
        <w:jc w:val="both"/>
        <w:rPr>
          <w:rFonts w:ascii="Times New Roman" w:hAnsi="Times New Roman" w:cs="Times New Roman"/>
          <w:bCs/>
          <w:sz w:val="24"/>
          <w:szCs w:val="24"/>
        </w:rPr>
      </w:pPr>
      <w:r w:rsidRPr="00985544">
        <w:rPr>
          <w:rFonts w:ascii="Times New Roman" w:hAnsi="Times New Roman" w:cs="Times New Roman"/>
          <w:bCs/>
          <w:sz w:val="24"/>
          <w:szCs w:val="24"/>
        </w:rPr>
        <w:t>Hanrieder, T. and C. Kreuder-Sonnen. 2014. “WHO decides on the exception? Securitization and emergency governance in global health</w:t>
      </w:r>
      <w:r>
        <w:rPr>
          <w:rFonts w:ascii="Times New Roman" w:hAnsi="Times New Roman" w:cs="Times New Roman"/>
          <w:bCs/>
          <w:sz w:val="24"/>
          <w:szCs w:val="24"/>
        </w:rPr>
        <w:t>.</w:t>
      </w:r>
      <w:r w:rsidRPr="00985544">
        <w:rPr>
          <w:rFonts w:ascii="Times New Roman" w:hAnsi="Times New Roman" w:cs="Times New Roman"/>
          <w:bCs/>
          <w:sz w:val="24"/>
          <w:szCs w:val="24"/>
        </w:rPr>
        <w:t xml:space="preserve">” </w:t>
      </w:r>
      <w:r w:rsidRPr="00985544">
        <w:rPr>
          <w:rFonts w:ascii="Times New Roman" w:hAnsi="Times New Roman" w:cs="Times New Roman"/>
          <w:bCs/>
          <w:i/>
          <w:sz w:val="24"/>
          <w:szCs w:val="24"/>
        </w:rPr>
        <w:t>Security Dialogue</w:t>
      </w:r>
      <w:r w:rsidRPr="00985544">
        <w:rPr>
          <w:rFonts w:ascii="Times New Roman" w:hAnsi="Times New Roman" w:cs="Times New Roman"/>
          <w:bCs/>
          <w:sz w:val="24"/>
          <w:szCs w:val="24"/>
        </w:rPr>
        <w:t xml:space="preserve"> 45, no. 4: 331–348. </w:t>
      </w:r>
      <w:r w:rsidRPr="00E747B1">
        <w:rPr>
          <w:rFonts w:ascii="Times New Roman" w:hAnsi="Times New Roman" w:cs="Times New Roman"/>
          <w:bCs/>
          <w:sz w:val="24"/>
          <w:szCs w:val="24"/>
        </w:rPr>
        <w:t>doi:10.1177/0967010614535833</w:t>
      </w:r>
    </w:p>
    <w:p w14:paraId="469A7B4D" w14:textId="77777777" w:rsidR="005C795E" w:rsidRPr="00985544" w:rsidRDefault="005C795E" w:rsidP="00703502">
      <w:pPr>
        <w:tabs>
          <w:tab w:val="left" w:pos="0"/>
          <w:tab w:val="left" w:pos="709"/>
        </w:tabs>
        <w:spacing w:after="0" w:line="360" w:lineRule="auto"/>
        <w:ind w:left="720" w:hanging="720"/>
        <w:jc w:val="both"/>
        <w:rPr>
          <w:rFonts w:ascii="Times New Roman" w:hAnsi="Times New Roman" w:cs="Times New Roman"/>
          <w:sz w:val="24"/>
          <w:szCs w:val="24"/>
        </w:rPr>
      </w:pPr>
      <w:r w:rsidRPr="00985544">
        <w:rPr>
          <w:rFonts w:ascii="Times New Roman" w:hAnsi="Times New Roman" w:cs="Times New Roman"/>
          <w:sz w:val="24"/>
          <w:szCs w:val="24"/>
        </w:rPr>
        <w:t xml:space="preserve">Hardt, M. and A. Negri. 2004. </w:t>
      </w:r>
      <w:r w:rsidRPr="00985544">
        <w:rPr>
          <w:rFonts w:ascii="Times New Roman" w:hAnsi="Times New Roman" w:cs="Times New Roman"/>
          <w:i/>
          <w:sz w:val="24"/>
          <w:szCs w:val="24"/>
        </w:rPr>
        <w:t>Multitude: War and Democracy in the Age of Empire</w:t>
      </w:r>
      <w:r w:rsidRPr="00985544">
        <w:rPr>
          <w:rFonts w:ascii="Times New Roman" w:hAnsi="Times New Roman" w:cs="Times New Roman"/>
          <w:sz w:val="24"/>
          <w:szCs w:val="24"/>
        </w:rPr>
        <w:t>. New York: Penguin.</w:t>
      </w:r>
    </w:p>
    <w:p w14:paraId="2F79125D" w14:textId="49D3E262" w:rsidR="005C795E" w:rsidRPr="00985544" w:rsidRDefault="005C795E" w:rsidP="00703502">
      <w:pPr>
        <w:tabs>
          <w:tab w:val="left" w:pos="0"/>
          <w:tab w:val="left" w:pos="709"/>
        </w:tabs>
        <w:spacing w:after="0" w:line="360" w:lineRule="auto"/>
        <w:ind w:left="720" w:hanging="720"/>
        <w:jc w:val="both"/>
        <w:rPr>
          <w:rFonts w:ascii="Times New Roman" w:hAnsi="Times New Roman" w:cs="Times New Roman"/>
          <w:sz w:val="24"/>
          <w:szCs w:val="24"/>
        </w:rPr>
      </w:pPr>
      <w:r w:rsidRPr="00985544">
        <w:rPr>
          <w:rFonts w:ascii="Times New Roman" w:hAnsi="Times New Roman" w:cs="Times New Roman"/>
          <w:sz w:val="24"/>
          <w:szCs w:val="24"/>
        </w:rPr>
        <w:t xml:space="preserve">Human Rights Watch. 2019. </w:t>
      </w:r>
      <w:r>
        <w:rPr>
          <w:rFonts w:ascii="Times New Roman" w:hAnsi="Times New Roman" w:cs="Times New Roman"/>
          <w:color w:val="000000" w:themeColor="text1"/>
          <w:sz w:val="24"/>
          <w:szCs w:val="24"/>
        </w:rPr>
        <w:t>“</w:t>
      </w:r>
      <w:r w:rsidRPr="00985544">
        <w:rPr>
          <w:rFonts w:ascii="Times New Roman" w:hAnsi="Times New Roman" w:cs="Times New Roman"/>
          <w:sz w:val="24"/>
          <w:szCs w:val="24"/>
        </w:rPr>
        <w:t>Turkey: State of Emergency Ends, but Not Repression</w:t>
      </w:r>
      <w:r>
        <w:rPr>
          <w:rFonts w:ascii="Times New Roman" w:hAnsi="Times New Roman" w:cs="Times New Roman"/>
          <w:sz w:val="24"/>
          <w:szCs w:val="24"/>
        </w:rPr>
        <w:t>.”</w:t>
      </w:r>
      <w:r w:rsidRPr="00985544">
        <w:rPr>
          <w:rFonts w:ascii="Times New Roman" w:hAnsi="Times New Roman" w:cs="Times New Roman"/>
          <w:sz w:val="24"/>
          <w:szCs w:val="24"/>
        </w:rPr>
        <w:t xml:space="preserve"> </w:t>
      </w:r>
      <w:hyperlink r:id="rId5" w:history="1">
        <w:r w:rsidRPr="00985544">
          <w:rPr>
            <w:rStyle w:val="Hyperlink"/>
            <w:rFonts w:ascii="Times New Roman" w:hAnsi="Times New Roman" w:cs="Times New Roman"/>
            <w:sz w:val="24"/>
            <w:szCs w:val="24"/>
          </w:rPr>
          <w:t>https://www.hrw.org/print/324931</w:t>
        </w:r>
      </w:hyperlink>
      <w:r w:rsidRPr="00985544">
        <w:rPr>
          <w:rFonts w:ascii="Times New Roman" w:hAnsi="Times New Roman" w:cs="Times New Roman"/>
          <w:sz w:val="24"/>
          <w:szCs w:val="24"/>
        </w:rPr>
        <w:t xml:space="preserve">.  </w:t>
      </w:r>
    </w:p>
    <w:p w14:paraId="52C24802" w14:textId="60A0A77C" w:rsidR="005C795E" w:rsidRPr="00985544" w:rsidRDefault="005C795E" w:rsidP="00703502">
      <w:pPr>
        <w:tabs>
          <w:tab w:val="left" w:pos="0"/>
          <w:tab w:val="left" w:pos="709"/>
        </w:tabs>
        <w:spacing w:after="0" w:line="360" w:lineRule="auto"/>
        <w:ind w:left="720" w:hanging="720"/>
        <w:jc w:val="both"/>
        <w:rPr>
          <w:rFonts w:ascii="Times New Roman" w:hAnsi="Times New Roman" w:cs="Times New Roman"/>
          <w:bCs/>
          <w:sz w:val="24"/>
          <w:szCs w:val="24"/>
        </w:rPr>
      </w:pPr>
      <w:r w:rsidRPr="00985544">
        <w:rPr>
          <w:rFonts w:ascii="Times New Roman" w:hAnsi="Times New Roman" w:cs="Times New Roman"/>
          <w:sz w:val="24"/>
          <w:szCs w:val="24"/>
        </w:rPr>
        <w:t xml:space="preserve">Human Rights Watch. 2020a. </w:t>
      </w:r>
      <w:r>
        <w:rPr>
          <w:rFonts w:ascii="Times New Roman" w:hAnsi="Times New Roman" w:cs="Times New Roman"/>
          <w:sz w:val="24"/>
          <w:szCs w:val="24"/>
        </w:rPr>
        <w:t>“</w:t>
      </w:r>
      <w:r w:rsidRPr="00985544">
        <w:rPr>
          <w:rFonts w:ascii="Times New Roman" w:hAnsi="Times New Roman" w:cs="Times New Roman"/>
          <w:bCs/>
          <w:sz w:val="24"/>
          <w:szCs w:val="24"/>
        </w:rPr>
        <w:t>Turkey: Opposition Politicians Detained for Four Years</w:t>
      </w:r>
    </w:p>
    <w:p w14:paraId="025166D9" w14:textId="35C8A3B1" w:rsidR="005C795E" w:rsidRPr="00985544" w:rsidRDefault="005C795E" w:rsidP="00703502">
      <w:pPr>
        <w:widowControl w:val="0"/>
        <w:tabs>
          <w:tab w:val="left" w:pos="709"/>
        </w:tabs>
        <w:autoSpaceDE w:val="0"/>
        <w:autoSpaceDN w:val="0"/>
        <w:adjustRightInd w:val="0"/>
        <w:spacing w:after="0" w:line="360" w:lineRule="auto"/>
        <w:ind w:left="709"/>
        <w:jc w:val="both"/>
        <w:rPr>
          <w:rFonts w:ascii="Times New Roman" w:hAnsi="Times New Roman" w:cs="Times New Roman"/>
          <w:bCs/>
          <w:sz w:val="24"/>
          <w:szCs w:val="24"/>
        </w:rPr>
      </w:pPr>
      <w:r w:rsidRPr="00985544">
        <w:rPr>
          <w:rFonts w:ascii="Times New Roman" w:hAnsi="Times New Roman" w:cs="Times New Roman"/>
          <w:bCs/>
          <w:sz w:val="24"/>
          <w:szCs w:val="24"/>
        </w:rPr>
        <w:t>Pattern of Politically Motivated Prosecutions, Detentions</w:t>
      </w:r>
      <w:r>
        <w:rPr>
          <w:rFonts w:ascii="Times New Roman" w:hAnsi="Times New Roman" w:cs="Times New Roman"/>
          <w:bCs/>
          <w:sz w:val="24"/>
          <w:szCs w:val="24"/>
        </w:rPr>
        <w:t>.”</w:t>
      </w:r>
      <w:r w:rsidRPr="00985544">
        <w:rPr>
          <w:rFonts w:ascii="Times New Roman" w:hAnsi="Times New Roman" w:cs="Times New Roman"/>
          <w:bCs/>
          <w:sz w:val="24"/>
          <w:szCs w:val="24"/>
        </w:rPr>
        <w:t xml:space="preserve"> November 19</w:t>
      </w:r>
      <w:r>
        <w:rPr>
          <w:rFonts w:ascii="Times New Roman" w:hAnsi="Times New Roman" w:cs="Times New Roman"/>
          <w:bCs/>
          <w:sz w:val="24"/>
          <w:szCs w:val="24"/>
        </w:rPr>
        <w:t>.</w:t>
      </w:r>
      <w:r w:rsidRPr="00985544">
        <w:rPr>
          <w:rFonts w:ascii="Times New Roman" w:hAnsi="Times New Roman" w:cs="Times New Roman"/>
          <w:bCs/>
          <w:sz w:val="24"/>
          <w:szCs w:val="24"/>
        </w:rPr>
        <w:t xml:space="preserve"> </w:t>
      </w:r>
      <w:hyperlink r:id="rId6" w:history="1">
        <w:r w:rsidRPr="00985544">
          <w:rPr>
            <w:rStyle w:val="Hyperlink"/>
            <w:rFonts w:ascii="Times New Roman" w:hAnsi="Times New Roman" w:cs="Times New Roman"/>
            <w:bCs/>
            <w:sz w:val="24"/>
            <w:szCs w:val="24"/>
          </w:rPr>
          <w:t>https://www.hrw.org/news/2020/11/19/turkey-opposition-politicians-detained-four-years</w:t>
        </w:r>
      </w:hyperlink>
      <w:r w:rsidRPr="00985544">
        <w:rPr>
          <w:rFonts w:ascii="Times New Roman" w:hAnsi="Times New Roman" w:cs="Times New Roman"/>
          <w:bCs/>
          <w:sz w:val="24"/>
          <w:szCs w:val="24"/>
        </w:rPr>
        <w:t xml:space="preserve">. </w:t>
      </w:r>
    </w:p>
    <w:p w14:paraId="07E33873" w14:textId="49C9A2E1" w:rsidR="005C795E" w:rsidRPr="00985544" w:rsidRDefault="005C795E" w:rsidP="00703502">
      <w:pPr>
        <w:widowControl w:val="0"/>
        <w:tabs>
          <w:tab w:val="left" w:pos="709"/>
        </w:tabs>
        <w:autoSpaceDE w:val="0"/>
        <w:autoSpaceDN w:val="0"/>
        <w:adjustRightInd w:val="0"/>
        <w:spacing w:after="0" w:line="360" w:lineRule="auto"/>
        <w:ind w:left="709" w:hanging="709"/>
        <w:jc w:val="both"/>
        <w:rPr>
          <w:rFonts w:ascii="Times New Roman" w:hAnsi="Times New Roman" w:cs="Times New Roman"/>
          <w:bCs/>
          <w:sz w:val="24"/>
          <w:szCs w:val="24"/>
        </w:rPr>
      </w:pPr>
      <w:r w:rsidRPr="00985544">
        <w:rPr>
          <w:rFonts w:ascii="Times New Roman" w:hAnsi="Times New Roman" w:cs="Times New Roman"/>
          <w:bCs/>
          <w:sz w:val="24"/>
          <w:szCs w:val="24"/>
        </w:rPr>
        <w:t xml:space="preserve">Human Rights Watch. 2020b. </w:t>
      </w:r>
      <w:r>
        <w:rPr>
          <w:rFonts w:ascii="Times New Roman" w:hAnsi="Times New Roman" w:cs="Times New Roman"/>
          <w:bCs/>
          <w:sz w:val="24"/>
          <w:szCs w:val="24"/>
        </w:rPr>
        <w:t>“</w:t>
      </w:r>
      <w:r w:rsidRPr="00985544">
        <w:rPr>
          <w:rFonts w:ascii="Times New Roman" w:hAnsi="Times New Roman" w:cs="Times New Roman"/>
          <w:bCs/>
          <w:sz w:val="24"/>
          <w:szCs w:val="24"/>
        </w:rPr>
        <w:t>Turkey: Kurdish Mayors’ Removal Violates Voters’ Rights</w:t>
      </w:r>
      <w:r>
        <w:rPr>
          <w:rFonts w:ascii="Times New Roman" w:hAnsi="Times New Roman" w:cs="Times New Roman"/>
          <w:bCs/>
          <w:sz w:val="24"/>
          <w:szCs w:val="24"/>
        </w:rPr>
        <w:t>.”</w:t>
      </w:r>
      <w:r w:rsidRPr="00985544">
        <w:rPr>
          <w:rFonts w:ascii="Times New Roman" w:hAnsi="Times New Roman" w:cs="Times New Roman"/>
          <w:bCs/>
          <w:sz w:val="24"/>
          <w:szCs w:val="24"/>
        </w:rPr>
        <w:t xml:space="preserve"> February 7, available at </w:t>
      </w:r>
      <w:hyperlink r:id="rId7" w:history="1">
        <w:r w:rsidRPr="00985544">
          <w:rPr>
            <w:rStyle w:val="Hyperlink"/>
            <w:rFonts w:ascii="Times New Roman" w:hAnsi="Times New Roman" w:cs="Times New Roman"/>
            <w:bCs/>
            <w:sz w:val="24"/>
            <w:szCs w:val="24"/>
          </w:rPr>
          <w:t>https://www.hrw.org/news/2020/02/07/turkey-kurdish-mayors-removal-violates-voters-rights</w:t>
        </w:r>
      </w:hyperlink>
      <w:r w:rsidRPr="00985544">
        <w:rPr>
          <w:rFonts w:ascii="Times New Roman" w:hAnsi="Times New Roman" w:cs="Times New Roman"/>
          <w:bCs/>
          <w:sz w:val="24"/>
          <w:szCs w:val="24"/>
        </w:rPr>
        <w:t xml:space="preserve">. </w:t>
      </w:r>
    </w:p>
    <w:p w14:paraId="32F94E4D" w14:textId="6EA25869" w:rsidR="005C795E" w:rsidRPr="00985544" w:rsidRDefault="005C795E" w:rsidP="00703502">
      <w:pPr>
        <w:tabs>
          <w:tab w:val="left" w:pos="709"/>
        </w:tabs>
        <w:spacing w:after="0" w:line="360" w:lineRule="auto"/>
        <w:ind w:left="720" w:hanging="720"/>
        <w:contextualSpacing/>
        <w:jc w:val="both"/>
        <w:rPr>
          <w:rFonts w:ascii="Times New Roman" w:hAnsi="Times New Roman" w:cs="Times New Roman"/>
          <w:bCs/>
          <w:sz w:val="24"/>
          <w:szCs w:val="24"/>
        </w:rPr>
      </w:pPr>
      <w:r w:rsidRPr="00985544">
        <w:rPr>
          <w:rFonts w:ascii="Times New Roman" w:hAnsi="Times New Roman" w:cs="Times New Roman"/>
          <w:bCs/>
          <w:sz w:val="24"/>
          <w:szCs w:val="24"/>
        </w:rPr>
        <w:t>Huysmans, J. 2006. “International Politics of Exception: Competing Visions of International Political Order Between Law and Politics</w:t>
      </w:r>
      <w:r>
        <w:rPr>
          <w:rFonts w:ascii="Times New Roman" w:hAnsi="Times New Roman" w:cs="Times New Roman"/>
          <w:bCs/>
          <w:sz w:val="24"/>
          <w:szCs w:val="24"/>
        </w:rPr>
        <w:t>.</w:t>
      </w:r>
      <w:r w:rsidRPr="00985544">
        <w:rPr>
          <w:rFonts w:ascii="Times New Roman" w:hAnsi="Times New Roman" w:cs="Times New Roman"/>
          <w:bCs/>
          <w:sz w:val="24"/>
          <w:szCs w:val="24"/>
        </w:rPr>
        <w:t xml:space="preserve">” </w:t>
      </w:r>
      <w:r w:rsidRPr="00985544">
        <w:rPr>
          <w:rFonts w:ascii="Times New Roman" w:hAnsi="Times New Roman" w:cs="Times New Roman"/>
          <w:bCs/>
          <w:i/>
          <w:sz w:val="24"/>
          <w:szCs w:val="24"/>
        </w:rPr>
        <w:t>Alternatives</w:t>
      </w:r>
      <w:r w:rsidRPr="00985544">
        <w:rPr>
          <w:rFonts w:ascii="Times New Roman" w:hAnsi="Times New Roman" w:cs="Times New Roman"/>
          <w:bCs/>
          <w:sz w:val="24"/>
          <w:szCs w:val="24"/>
        </w:rPr>
        <w:t xml:space="preserve"> 31</w:t>
      </w:r>
      <w:r>
        <w:rPr>
          <w:rFonts w:ascii="Times New Roman" w:hAnsi="Times New Roman" w:cs="Times New Roman"/>
          <w:bCs/>
          <w:sz w:val="24"/>
          <w:szCs w:val="24"/>
        </w:rPr>
        <w:t xml:space="preserve"> (</w:t>
      </w:r>
      <w:r w:rsidRPr="00985544">
        <w:rPr>
          <w:rFonts w:ascii="Times New Roman" w:hAnsi="Times New Roman" w:cs="Times New Roman"/>
          <w:bCs/>
          <w:sz w:val="24"/>
          <w:szCs w:val="24"/>
        </w:rPr>
        <w:t>2</w:t>
      </w:r>
      <w:r>
        <w:rPr>
          <w:rFonts w:ascii="Times New Roman" w:hAnsi="Times New Roman" w:cs="Times New Roman"/>
          <w:bCs/>
          <w:sz w:val="24"/>
          <w:szCs w:val="24"/>
        </w:rPr>
        <w:t>)</w:t>
      </w:r>
      <w:r w:rsidRPr="00985544">
        <w:rPr>
          <w:rFonts w:ascii="Times New Roman" w:hAnsi="Times New Roman" w:cs="Times New Roman"/>
          <w:bCs/>
          <w:sz w:val="24"/>
          <w:szCs w:val="24"/>
        </w:rPr>
        <w:t xml:space="preserve">: 135–165. </w:t>
      </w:r>
      <w:r w:rsidRPr="00387517">
        <w:rPr>
          <w:rFonts w:ascii="Times New Roman" w:hAnsi="Times New Roman" w:cs="Times New Roman"/>
          <w:bCs/>
          <w:sz w:val="24"/>
          <w:szCs w:val="24"/>
        </w:rPr>
        <w:t>doi:10.1177/030437540603100202</w:t>
      </w:r>
    </w:p>
    <w:p w14:paraId="213DA520" w14:textId="6526AFC6" w:rsidR="005C795E" w:rsidRPr="00985544" w:rsidRDefault="005C795E" w:rsidP="00703502">
      <w:pPr>
        <w:pStyle w:val="ListParagraph"/>
        <w:tabs>
          <w:tab w:val="left" w:pos="709"/>
        </w:tabs>
        <w:spacing w:after="0" w:line="360" w:lineRule="auto"/>
        <w:ind w:left="709" w:right="317" w:hanging="709"/>
        <w:jc w:val="both"/>
        <w:rPr>
          <w:rStyle w:val="Hyperlink"/>
          <w:rFonts w:ascii="Times New Roman" w:hAnsi="Times New Roman" w:cs="Times New Roman"/>
          <w:sz w:val="24"/>
          <w:szCs w:val="24"/>
        </w:rPr>
      </w:pPr>
      <w:r w:rsidRPr="00985544">
        <w:rPr>
          <w:rFonts w:ascii="Times New Roman" w:hAnsi="Times New Roman" w:cs="Times New Roman"/>
          <w:sz w:val="24"/>
          <w:szCs w:val="24"/>
        </w:rPr>
        <w:t>International Commission of Jurists. 1983. ‘States of Emergency; Their Impact on Human Rights</w:t>
      </w:r>
      <w:r>
        <w:rPr>
          <w:rFonts w:ascii="Times New Roman" w:hAnsi="Times New Roman" w:cs="Times New Roman"/>
          <w:sz w:val="24"/>
          <w:szCs w:val="24"/>
        </w:rPr>
        <w:t>.</w:t>
      </w:r>
      <w:r w:rsidRPr="00985544">
        <w:rPr>
          <w:rFonts w:ascii="Times New Roman" w:hAnsi="Times New Roman" w:cs="Times New Roman"/>
          <w:sz w:val="24"/>
          <w:szCs w:val="24"/>
        </w:rPr>
        <w:t xml:space="preserve">’ </w:t>
      </w:r>
      <w:hyperlink r:id="rId8" w:history="1">
        <w:r w:rsidRPr="00985544">
          <w:rPr>
            <w:rStyle w:val="Hyperlink"/>
            <w:rFonts w:ascii="Times New Roman" w:hAnsi="Times New Roman" w:cs="Times New Roman"/>
            <w:sz w:val="24"/>
            <w:szCs w:val="24"/>
          </w:rPr>
          <w:t>https://www.icj.org/states-of-emergency-their-impact-on-human-rights/</w:t>
        </w:r>
      </w:hyperlink>
    </w:p>
    <w:p w14:paraId="54F479F4" w14:textId="1832340C" w:rsidR="005C795E" w:rsidRPr="00985544" w:rsidRDefault="005C795E" w:rsidP="00703502">
      <w:pPr>
        <w:pStyle w:val="ListParagraph"/>
        <w:tabs>
          <w:tab w:val="left" w:pos="709"/>
        </w:tabs>
        <w:spacing w:after="0" w:line="360" w:lineRule="auto"/>
        <w:ind w:left="709" w:right="317" w:hanging="709"/>
        <w:jc w:val="both"/>
        <w:rPr>
          <w:rFonts w:ascii="Times New Roman" w:hAnsi="Times New Roman" w:cs="Times New Roman"/>
          <w:sz w:val="24"/>
          <w:szCs w:val="24"/>
        </w:rPr>
      </w:pPr>
      <w:r w:rsidRPr="00985544">
        <w:rPr>
          <w:rFonts w:ascii="Times New Roman" w:hAnsi="Times New Roman" w:cs="Times New Roman"/>
          <w:sz w:val="24"/>
          <w:szCs w:val="24"/>
        </w:rPr>
        <w:t xml:space="preserve">Jabri, V. 2006. </w:t>
      </w:r>
      <w:r>
        <w:rPr>
          <w:rFonts w:ascii="Times New Roman" w:hAnsi="Times New Roman" w:cs="Times New Roman"/>
          <w:sz w:val="24"/>
          <w:szCs w:val="24"/>
        </w:rPr>
        <w:t>“</w:t>
      </w:r>
      <w:r w:rsidRPr="00985544">
        <w:rPr>
          <w:rFonts w:ascii="Times New Roman" w:hAnsi="Times New Roman" w:cs="Times New Roman"/>
          <w:sz w:val="24"/>
          <w:szCs w:val="24"/>
        </w:rPr>
        <w:t>The Limits of Agency in Times of Emergency.</w:t>
      </w:r>
      <w:r>
        <w:rPr>
          <w:rFonts w:ascii="Times New Roman" w:hAnsi="Times New Roman" w:cs="Times New Roman"/>
          <w:sz w:val="24"/>
          <w:szCs w:val="24"/>
        </w:rPr>
        <w:t>”</w:t>
      </w:r>
      <w:r w:rsidRPr="00985544">
        <w:rPr>
          <w:rFonts w:ascii="Times New Roman" w:hAnsi="Times New Roman" w:cs="Times New Roman"/>
          <w:sz w:val="24"/>
          <w:szCs w:val="24"/>
        </w:rPr>
        <w:t xml:space="preserve"> In </w:t>
      </w:r>
      <w:r w:rsidRPr="00985544">
        <w:rPr>
          <w:rFonts w:ascii="Times New Roman" w:hAnsi="Times New Roman" w:cs="Times New Roman"/>
          <w:i/>
          <w:sz w:val="24"/>
          <w:szCs w:val="24"/>
        </w:rPr>
        <w:t>The Politics of Protection: Sites of Insecurity and Political Agency</w:t>
      </w:r>
      <w:r w:rsidRPr="00985544">
        <w:rPr>
          <w:rFonts w:ascii="Times New Roman" w:hAnsi="Times New Roman" w:cs="Times New Roman"/>
          <w:sz w:val="24"/>
          <w:szCs w:val="24"/>
        </w:rPr>
        <w:t xml:space="preserve">, </w:t>
      </w:r>
      <w:r>
        <w:rPr>
          <w:rFonts w:ascii="Times New Roman" w:hAnsi="Times New Roman" w:cs="Times New Roman"/>
          <w:sz w:val="24"/>
          <w:szCs w:val="24"/>
        </w:rPr>
        <w:t>edited by</w:t>
      </w:r>
      <w:r w:rsidRPr="00985544">
        <w:rPr>
          <w:rFonts w:ascii="Times New Roman" w:hAnsi="Times New Roman" w:cs="Times New Roman"/>
          <w:sz w:val="24"/>
          <w:szCs w:val="24"/>
        </w:rPr>
        <w:t xml:space="preserve"> J. Huysmans, A. Dobson, R. Prokhovnik, 136-153. London: Routledge. </w:t>
      </w:r>
    </w:p>
    <w:p w14:paraId="41F7661C" w14:textId="718D00C0" w:rsidR="005C795E" w:rsidRPr="00985544" w:rsidRDefault="005C795E" w:rsidP="00703502">
      <w:pPr>
        <w:pStyle w:val="ListParagraph"/>
        <w:tabs>
          <w:tab w:val="left" w:pos="709"/>
        </w:tabs>
        <w:spacing w:after="0" w:line="360" w:lineRule="auto"/>
        <w:ind w:left="709" w:right="317" w:hanging="709"/>
        <w:jc w:val="both"/>
        <w:rPr>
          <w:rFonts w:ascii="Times New Roman" w:hAnsi="Times New Roman" w:cs="Times New Roman"/>
          <w:sz w:val="24"/>
          <w:szCs w:val="24"/>
        </w:rPr>
      </w:pPr>
      <w:r w:rsidRPr="00985544">
        <w:rPr>
          <w:rFonts w:ascii="Times New Roman" w:hAnsi="Times New Roman" w:cs="Times New Roman"/>
          <w:sz w:val="24"/>
          <w:szCs w:val="24"/>
        </w:rPr>
        <w:t>Jacoby, T. 2005. “Semi-Authoritarian Incorporation and Autocratic Militarism in Turkey</w:t>
      </w:r>
      <w:r>
        <w:rPr>
          <w:rFonts w:ascii="Times New Roman" w:hAnsi="Times New Roman" w:cs="Times New Roman"/>
          <w:sz w:val="24"/>
          <w:szCs w:val="24"/>
        </w:rPr>
        <w:t>.</w:t>
      </w:r>
      <w:r w:rsidRPr="00985544">
        <w:rPr>
          <w:rFonts w:ascii="Times New Roman" w:hAnsi="Times New Roman" w:cs="Times New Roman"/>
          <w:sz w:val="24"/>
          <w:szCs w:val="24"/>
        </w:rPr>
        <w:t xml:space="preserve">” </w:t>
      </w:r>
      <w:r w:rsidRPr="00985544">
        <w:rPr>
          <w:rFonts w:ascii="Times New Roman" w:hAnsi="Times New Roman" w:cs="Times New Roman"/>
          <w:i/>
          <w:sz w:val="24"/>
          <w:szCs w:val="24"/>
        </w:rPr>
        <w:t>Development and Change</w:t>
      </w:r>
      <w:r w:rsidRPr="00985544">
        <w:rPr>
          <w:rFonts w:ascii="Times New Roman" w:hAnsi="Times New Roman" w:cs="Times New Roman"/>
          <w:sz w:val="24"/>
          <w:szCs w:val="24"/>
        </w:rPr>
        <w:t xml:space="preserve"> 36</w:t>
      </w:r>
      <w:r>
        <w:rPr>
          <w:rFonts w:ascii="Times New Roman" w:hAnsi="Times New Roman" w:cs="Times New Roman"/>
          <w:sz w:val="24"/>
          <w:szCs w:val="24"/>
        </w:rPr>
        <w:t xml:space="preserve"> (</w:t>
      </w:r>
      <w:r w:rsidRPr="00985544">
        <w:rPr>
          <w:rFonts w:ascii="Times New Roman" w:hAnsi="Times New Roman" w:cs="Times New Roman"/>
          <w:sz w:val="24"/>
          <w:szCs w:val="24"/>
        </w:rPr>
        <w:t>4</w:t>
      </w:r>
      <w:r>
        <w:rPr>
          <w:rFonts w:ascii="Times New Roman" w:hAnsi="Times New Roman" w:cs="Times New Roman"/>
          <w:sz w:val="24"/>
          <w:szCs w:val="24"/>
        </w:rPr>
        <w:t>)</w:t>
      </w:r>
      <w:r w:rsidRPr="00985544">
        <w:rPr>
          <w:rFonts w:ascii="Times New Roman" w:hAnsi="Times New Roman" w:cs="Times New Roman"/>
          <w:sz w:val="24"/>
          <w:szCs w:val="24"/>
        </w:rPr>
        <w:t xml:space="preserve">: 641-665. </w:t>
      </w:r>
      <w:r w:rsidRPr="00F06EC3">
        <w:rPr>
          <w:rFonts w:ascii="Times New Roman" w:hAnsi="Times New Roman" w:cs="Times New Roman"/>
          <w:sz w:val="24"/>
          <w:szCs w:val="24"/>
        </w:rPr>
        <w:t>doi:10.1111/j.0012-155X.2005.00428.x</w:t>
      </w:r>
    </w:p>
    <w:p w14:paraId="4B1527DF" w14:textId="4962A941" w:rsidR="005C795E" w:rsidRDefault="005C795E" w:rsidP="00703502">
      <w:pPr>
        <w:pStyle w:val="ListParagraph"/>
        <w:tabs>
          <w:tab w:val="left" w:pos="709"/>
        </w:tabs>
        <w:spacing w:after="0" w:line="360" w:lineRule="auto"/>
        <w:ind w:left="709" w:right="317" w:hanging="709"/>
        <w:jc w:val="both"/>
        <w:rPr>
          <w:rFonts w:ascii="Times New Roman" w:hAnsi="Times New Roman" w:cs="Times New Roman"/>
          <w:sz w:val="24"/>
          <w:szCs w:val="24"/>
        </w:rPr>
      </w:pPr>
      <w:r w:rsidRPr="00985544">
        <w:rPr>
          <w:rFonts w:ascii="Times New Roman" w:hAnsi="Times New Roman" w:cs="Times New Roman"/>
          <w:sz w:val="24"/>
          <w:szCs w:val="24"/>
        </w:rPr>
        <w:t xml:space="preserve">Jenkins, G. 2019. </w:t>
      </w:r>
      <w:r>
        <w:rPr>
          <w:rFonts w:ascii="Times New Roman" w:hAnsi="Times New Roman" w:cs="Times New Roman"/>
          <w:sz w:val="24"/>
          <w:szCs w:val="24"/>
        </w:rPr>
        <w:t>“</w:t>
      </w:r>
      <w:r w:rsidRPr="00985544">
        <w:rPr>
          <w:rFonts w:ascii="Times New Roman" w:hAnsi="Times New Roman" w:cs="Times New Roman"/>
          <w:sz w:val="24"/>
          <w:szCs w:val="24"/>
        </w:rPr>
        <w:t>Terrorism, Counter-Insurgency, and Societal Relations.</w:t>
      </w:r>
      <w:r>
        <w:rPr>
          <w:rFonts w:ascii="Times New Roman" w:hAnsi="Times New Roman" w:cs="Times New Roman"/>
          <w:sz w:val="24"/>
          <w:szCs w:val="24"/>
        </w:rPr>
        <w:t>”</w:t>
      </w:r>
      <w:r w:rsidRPr="00985544">
        <w:rPr>
          <w:rFonts w:ascii="Times New Roman" w:hAnsi="Times New Roman" w:cs="Times New Roman"/>
          <w:sz w:val="24"/>
          <w:szCs w:val="24"/>
        </w:rPr>
        <w:t xml:space="preserve"> In </w:t>
      </w:r>
      <w:r w:rsidRPr="00985544">
        <w:rPr>
          <w:rFonts w:ascii="Times New Roman" w:hAnsi="Times New Roman" w:cs="Times New Roman"/>
          <w:i/>
          <w:sz w:val="24"/>
          <w:szCs w:val="24"/>
        </w:rPr>
        <w:t>Routledge Handbook of Turkish Politics</w:t>
      </w:r>
      <w:r w:rsidRPr="00985544">
        <w:rPr>
          <w:rFonts w:ascii="Times New Roman" w:hAnsi="Times New Roman" w:cs="Times New Roman"/>
          <w:sz w:val="24"/>
          <w:szCs w:val="24"/>
        </w:rPr>
        <w:t>, ed</w:t>
      </w:r>
      <w:r>
        <w:rPr>
          <w:rFonts w:ascii="Times New Roman" w:hAnsi="Times New Roman" w:cs="Times New Roman"/>
          <w:sz w:val="24"/>
          <w:szCs w:val="24"/>
        </w:rPr>
        <w:t>ited by</w:t>
      </w:r>
      <w:r w:rsidRPr="00985544">
        <w:rPr>
          <w:rFonts w:ascii="Times New Roman" w:hAnsi="Times New Roman" w:cs="Times New Roman"/>
          <w:sz w:val="24"/>
          <w:szCs w:val="24"/>
        </w:rPr>
        <w:t xml:space="preserve"> M. Whiting and A. Özerdem, 266-274. London: Routledge.</w:t>
      </w:r>
    </w:p>
    <w:p w14:paraId="666BE7F5" w14:textId="06064EBB" w:rsidR="005C795E" w:rsidRDefault="005C795E" w:rsidP="009331A7">
      <w:pPr>
        <w:spacing w:after="0" w:line="480" w:lineRule="auto"/>
        <w:ind w:left="360" w:right="317" w:hanging="360"/>
        <w:rPr>
          <w:rFonts w:ascii="Times New Roman" w:hAnsi="Times New Roman" w:cs="Times New Roman"/>
          <w:sz w:val="24"/>
          <w:szCs w:val="24"/>
        </w:rPr>
      </w:pPr>
      <w:r w:rsidRPr="009331A7">
        <w:rPr>
          <w:rFonts w:ascii="Times New Roman" w:hAnsi="Times New Roman" w:cs="Times New Roman"/>
          <w:sz w:val="24"/>
          <w:szCs w:val="24"/>
        </w:rPr>
        <w:t>Joseph R. Crowley Program</w:t>
      </w:r>
      <w:r>
        <w:rPr>
          <w:rFonts w:ascii="Times New Roman" w:hAnsi="Times New Roman" w:cs="Times New Roman"/>
          <w:sz w:val="24"/>
          <w:szCs w:val="24"/>
        </w:rPr>
        <w:t>.</w:t>
      </w:r>
      <w:r w:rsidRPr="009331A7">
        <w:rPr>
          <w:rFonts w:ascii="Times New Roman" w:hAnsi="Times New Roman" w:cs="Times New Roman"/>
          <w:sz w:val="24"/>
          <w:szCs w:val="24"/>
        </w:rPr>
        <w:t xml:space="preserve"> 1998</w:t>
      </w:r>
      <w:r>
        <w:rPr>
          <w:rFonts w:ascii="Times New Roman" w:hAnsi="Times New Roman" w:cs="Times New Roman"/>
          <w:sz w:val="24"/>
          <w:szCs w:val="24"/>
        </w:rPr>
        <w:t>. “</w:t>
      </w:r>
      <w:r w:rsidRPr="00152FF6">
        <w:rPr>
          <w:rFonts w:ascii="Times New Roman" w:hAnsi="Times New Roman" w:cs="Times New Roman"/>
          <w:sz w:val="24"/>
          <w:szCs w:val="24"/>
        </w:rPr>
        <w:t>Justice on Trial: State Security Courts, Police Impunity, and</w:t>
      </w:r>
      <w:r w:rsidRPr="00152FF6">
        <w:rPr>
          <w:rFonts w:ascii="Times New Roman" w:hAnsi="Times New Roman" w:cs="Times New Roman"/>
          <w:bCs/>
          <w:sz w:val="24"/>
          <w:szCs w:val="24"/>
        </w:rPr>
        <w:t xml:space="preserve"> </w:t>
      </w:r>
      <w:r w:rsidRPr="00152FF6">
        <w:rPr>
          <w:rFonts w:ascii="Times New Roman" w:hAnsi="Times New Roman" w:cs="Times New Roman"/>
          <w:sz w:val="24"/>
          <w:szCs w:val="24"/>
        </w:rPr>
        <w:t>the Intimidation of Human Rights Defenders in Turkey</w:t>
      </w:r>
      <w:r>
        <w:rPr>
          <w:rFonts w:ascii="Times New Roman" w:hAnsi="Times New Roman" w:cs="Times New Roman"/>
          <w:sz w:val="24"/>
          <w:szCs w:val="24"/>
        </w:rPr>
        <w:t>.”</w:t>
      </w:r>
      <w:r w:rsidRPr="00152FF6">
        <w:rPr>
          <w:rFonts w:ascii="Times New Roman" w:hAnsi="Times New Roman" w:cs="Times New Roman"/>
          <w:sz w:val="24"/>
          <w:szCs w:val="24"/>
        </w:rPr>
        <w:t xml:space="preserve"> </w:t>
      </w:r>
      <w:r w:rsidRPr="009331A7">
        <w:rPr>
          <w:rFonts w:ascii="Times New Roman" w:hAnsi="Times New Roman" w:cs="Times New Roman"/>
          <w:i/>
          <w:sz w:val="24"/>
          <w:szCs w:val="24"/>
        </w:rPr>
        <w:t>Fordham</w:t>
      </w:r>
      <w:r w:rsidRPr="009331A7">
        <w:rPr>
          <w:rFonts w:ascii="Times New Roman" w:hAnsi="Times New Roman" w:cs="Times New Roman"/>
          <w:bCs/>
          <w:i/>
          <w:sz w:val="24"/>
          <w:szCs w:val="24"/>
        </w:rPr>
        <w:t xml:space="preserve"> </w:t>
      </w:r>
      <w:r w:rsidRPr="009331A7">
        <w:rPr>
          <w:rFonts w:ascii="Times New Roman" w:hAnsi="Times New Roman" w:cs="Times New Roman"/>
          <w:i/>
          <w:sz w:val="24"/>
          <w:szCs w:val="24"/>
        </w:rPr>
        <w:t>International Law Journal</w:t>
      </w:r>
      <w:r>
        <w:rPr>
          <w:rFonts w:ascii="Times New Roman" w:hAnsi="Times New Roman" w:cs="Times New Roman"/>
          <w:sz w:val="24"/>
          <w:szCs w:val="24"/>
        </w:rPr>
        <w:t xml:space="preserve">  22:</w:t>
      </w:r>
      <w:r w:rsidRPr="00152FF6">
        <w:rPr>
          <w:rFonts w:ascii="Times New Roman" w:hAnsi="Times New Roman" w:cs="Times New Roman"/>
          <w:sz w:val="24"/>
          <w:szCs w:val="24"/>
        </w:rPr>
        <w:t xml:space="preserve"> 2129–2269. </w:t>
      </w:r>
    </w:p>
    <w:p w14:paraId="23171D56" w14:textId="454DC033" w:rsidR="005C795E" w:rsidRPr="00035A39" w:rsidRDefault="005C795E" w:rsidP="00035A39">
      <w:pPr>
        <w:spacing w:after="0" w:line="480" w:lineRule="auto"/>
        <w:ind w:left="360" w:right="317" w:hanging="360"/>
        <w:rPr>
          <w:rFonts w:ascii="Times New Roman" w:hAnsi="Times New Roman" w:cs="Times New Roman"/>
          <w:sz w:val="24"/>
          <w:szCs w:val="24"/>
        </w:rPr>
      </w:pPr>
      <w:r>
        <w:rPr>
          <w:rFonts w:ascii="Times New Roman" w:hAnsi="Times New Roman" w:cs="Times New Roman"/>
          <w:sz w:val="24"/>
          <w:szCs w:val="24"/>
        </w:rPr>
        <w:t>Kaliber, A. 2019. “</w:t>
      </w:r>
      <w:r w:rsidRPr="00035A39">
        <w:rPr>
          <w:rFonts w:ascii="Times New Roman" w:hAnsi="Times New Roman" w:cs="Times New Roman"/>
          <w:sz w:val="24"/>
          <w:szCs w:val="24"/>
        </w:rPr>
        <w:t xml:space="preserve">Re-engaging The Self/Other Problematic in Post-positivist International </w:t>
      </w:r>
      <w:r w:rsidRPr="002236B8">
        <w:rPr>
          <w:rFonts w:ascii="Times New Roman" w:hAnsi="Times New Roman" w:cs="Times New Roman"/>
          <w:sz w:val="24"/>
          <w:szCs w:val="24"/>
        </w:rPr>
        <w:t>Relations:</w:t>
      </w:r>
      <w:r w:rsidRPr="00035A39">
        <w:rPr>
          <w:rFonts w:ascii="Times New Roman" w:hAnsi="Times New Roman" w:cs="Times New Roman"/>
          <w:sz w:val="24"/>
          <w:szCs w:val="24"/>
        </w:rPr>
        <w:t xml:space="preserve"> The 1964 Expulsion of Greeks from Istanbul Revisited</w:t>
      </w:r>
      <w:r>
        <w:rPr>
          <w:rFonts w:ascii="Times New Roman" w:hAnsi="Times New Roman" w:cs="Times New Roman"/>
          <w:sz w:val="24"/>
          <w:szCs w:val="24"/>
        </w:rPr>
        <w:t xml:space="preserve">.” </w:t>
      </w:r>
      <w:r w:rsidRPr="00035A39">
        <w:rPr>
          <w:rFonts w:ascii="Times New Roman" w:hAnsi="Times New Roman" w:cs="Times New Roman"/>
          <w:sz w:val="24"/>
          <w:szCs w:val="24"/>
        </w:rPr>
        <w:t xml:space="preserve">Southeast European and Black Sea Studies 19 </w:t>
      </w:r>
      <w:r>
        <w:rPr>
          <w:rFonts w:ascii="Times New Roman" w:hAnsi="Times New Roman" w:cs="Times New Roman"/>
          <w:sz w:val="24"/>
          <w:szCs w:val="24"/>
        </w:rPr>
        <w:t>(</w:t>
      </w:r>
      <w:r w:rsidRPr="00035A39">
        <w:rPr>
          <w:rFonts w:ascii="Times New Roman" w:hAnsi="Times New Roman" w:cs="Times New Roman"/>
          <w:sz w:val="24"/>
          <w:szCs w:val="24"/>
        </w:rPr>
        <w:t>3</w:t>
      </w:r>
      <w:r>
        <w:rPr>
          <w:rFonts w:ascii="Times New Roman" w:hAnsi="Times New Roman" w:cs="Times New Roman"/>
          <w:sz w:val="24"/>
          <w:szCs w:val="24"/>
        </w:rPr>
        <w:t>)</w:t>
      </w:r>
      <w:r w:rsidRPr="00035A39">
        <w:rPr>
          <w:rFonts w:ascii="Times New Roman" w:hAnsi="Times New Roman" w:cs="Times New Roman"/>
          <w:sz w:val="24"/>
          <w:szCs w:val="24"/>
        </w:rPr>
        <w:t xml:space="preserve">: 365-386. </w:t>
      </w:r>
      <w:r w:rsidRPr="002236B8">
        <w:rPr>
          <w:rFonts w:ascii="Times New Roman" w:hAnsi="Times New Roman" w:cs="Times New Roman"/>
          <w:sz w:val="24"/>
          <w:szCs w:val="24"/>
        </w:rPr>
        <w:t>doi:10.1080/14683857.2019.1651082</w:t>
      </w:r>
    </w:p>
    <w:p w14:paraId="05A77ED7" w14:textId="77A52602" w:rsidR="005C795E" w:rsidRPr="00985544" w:rsidRDefault="005C795E" w:rsidP="00703502">
      <w:pPr>
        <w:tabs>
          <w:tab w:val="left" w:pos="709"/>
        </w:tabs>
        <w:spacing w:after="0" w:line="360" w:lineRule="auto"/>
        <w:ind w:left="720" w:hanging="720"/>
        <w:contextualSpacing/>
        <w:jc w:val="both"/>
        <w:rPr>
          <w:rFonts w:ascii="Times New Roman" w:hAnsi="Times New Roman" w:cs="Times New Roman"/>
          <w:bCs/>
          <w:iCs/>
          <w:sz w:val="24"/>
          <w:szCs w:val="24"/>
        </w:rPr>
      </w:pPr>
      <w:r w:rsidRPr="00985544">
        <w:rPr>
          <w:rFonts w:ascii="Times New Roman" w:eastAsia="Times New Roman" w:hAnsi="Times New Roman" w:cs="Times New Roman"/>
          <w:bCs/>
          <w:spacing w:val="-5"/>
          <w:sz w:val="24"/>
          <w:szCs w:val="24"/>
        </w:rPr>
        <w:t>Kaliber, A. and N. Tocci. 2010. “</w:t>
      </w:r>
      <w:r w:rsidRPr="00985544">
        <w:rPr>
          <w:rFonts w:ascii="Times New Roman" w:hAnsi="Times New Roman" w:cs="Times New Roman"/>
          <w:bCs/>
          <w:iCs/>
          <w:sz w:val="24"/>
          <w:szCs w:val="24"/>
        </w:rPr>
        <w:t>Conflict Society and the Transformation of Turkey’s Kurdish Question</w:t>
      </w:r>
      <w:r>
        <w:rPr>
          <w:rFonts w:ascii="Times New Roman" w:hAnsi="Times New Roman" w:cs="Times New Roman"/>
          <w:bCs/>
          <w:iCs/>
          <w:sz w:val="24"/>
          <w:szCs w:val="24"/>
        </w:rPr>
        <w:t>.</w:t>
      </w:r>
      <w:r w:rsidRPr="00985544">
        <w:rPr>
          <w:rFonts w:ascii="Times New Roman" w:hAnsi="Times New Roman" w:cs="Times New Roman"/>
          <w:bCs/>
          <w:iCs/>
          <w:sz w:val="24"/>
          <w:szCs w:val="24"/>
        </w:rPr>
        <w:t xml:space="preserve">” </w:t>
      </w:r>
      <w:r w:rsidRPr="00985544">
        <w:rPr>
          <w:rFonts w:ascii="Times New Roman" w:hAnsi="Times New Roman" w:cs="Times New Roman"/>
          <w:bCs/>
          <w:i/>
          <w:iCs/>
          <w:sz w:val="24"/>
          <w:szCs w:val="24"/>
        </w:rPr>
        <w:t>Security Dialogue</w:t>
      </w:r>
      <w:r w:rsidRPr="00985544">
        <w:rPr>
          <w:rFonts w:ascii="Times New Roman" w:hAnsi="Times New Roman" w:cs="Times New Roman"/>
          <w:bCs/>
          <w:iCs/>
          <w:sz w:val="24"/>
          <w:szCs w:val="24"/>
        </w:rPr>
        <w:t xml:space="preserve"> 41</w:t>
      </w:r>
      <w:r>
        <w:rPr>
          <w:rFonts w:ascii="Times New Roman" w:hAnsi="Times New Roman" w:cs="Times New Roman"/>
          <w:bCs/>
          <w:iCs/>
          <w:sz w:val="24"/>
          <w:szCs w:val="24"/>
        </w:rPr>
        <w:t xml:space="preserve"> (</w:t>
      </w:r>
      <w:r w:rsidRPr="00985544">
        <w:rPr>
          <w:rFonts w:ascii="Times New Roman" w:hAnsi="Times New Roman" w:cs="Times New Roman"/>
          <w:bCs/>
          <w:iCs/>
          <w:sz w:val="24"/>
          <w:szCs w:val="24"/>
        </w:rPr>
        <w:t>2</w:t>
      </w:r>
      <w:r>
        <w:rPr>
          <w:rFonts w:ascii="Times New Roman" w:hAnsi="Times New Roman" w:cs="Times New Roman"/>
          <w:bCs/>
          <w:iCs/>
          <w:sz w:val="24"/>
          <w:szCs w:val="24"/>
        </w:rPr>
        <w:t>)</w:t>
      </w:r>
      <w:r w:rsidRPr="00985544">
        <w:rPr>
          <w:rFonts w:ascii="Times New Roman" w:hAnsi="Times New Roman" w:cs="Times New Roman"/>
          <w:bCs/>
          <w:iCs/>
          <w:sz w:val="24"/>
          <w:szCs w:val="24"/>
        </w:rPr>
        <w:t>: 191–215.</w:t>
      </w:r>
      <w:r>
        <w:rPr>
          <w:rFonts w:ascii="Times New Roman" w:hAnsi="Times New Roman" w:cs="Times New Roman"/>
          <w:bCs/>
          <w:iCs/>
          <w:sz w:val="24"/>
          <w:szCs w:val="24"/>
        </w:rPr>
        <w:t xml:space="preserve"> </w:t>
      </w:r>
      <w:r w:rsidRPr="00ED4FF7">
        <w:rPr>
          <w:rFonts w:ascii="Times New Roman" w:hAnsi="Times New Roman" w:cs="Times New Roman"/>
          <w:bCs/>
          <w:iCs/>
          <w:sz w:val="24"/>
          <w:szCs w:val="24"/>
        </w:rPr>
        <w:t>doi:10.1177/0967010610361890</w:t>
      </w:r>
    </w:p>
    <w:p w14:paraId="05B9B602" w14:textId="15AFFFCF" w:rsidR="005C795E" w:rsidRPr="00985544" w:rsidRDefault="005C795E" w:rsidP="00703502">
      <w:pPr>
        <w:tabs>
          <w:tab w:val="left" w:pos="709"/>
        </w:tabs>
        <w:spacing w:after="0" w:line="360" w:lineRule="auto"/>
        <w:ind w:left="720" w:hanging="720"/>
        <w:contextualSpacing/>
        <w:jc w:val="both"/>
        <w:rPr>
          <w:rFonts w:ascii="Times New Roman" w:eastAsia="Times New Roman" w:hAnsi="Times New Roman" w:cs="Times New Roman"/>
          <w:bCs/>
          <w:spacing w:val="-5"/>
          <w:sz w:val="24"/>
          <w:szCs w:val="24"/>
        </w:rPr>
      </w:pPr>
      <w:r w:rsidRPr="00985544">
        <w:rPr>
          <w:rFonts w:ascii="Times New Roman" w:eastAsia="Times New Roman" w:hAnsi="Times New Roman" w:cs="Times New Roman"/>
          <w:bCs/>
          <w:spacing w:val="-5"/>
          <w:sz w:val="24"/>
          <w:szCs w:val="24"/>
        </w:rPr>
        <w:t xml:space="preserve">Kurban, D. 2020. </w:t>
      </w:r>
      <w:r w:rsidRPr="00985544">
        <w:rPr>
          <w:rFonts w:ascii="Times New Roman" w:eastAsia="Times New Roman" w:hAnsi="Times New Roman" w:cs="Times New Roman"/>
          <w:bCs/>
          <w:i/>
          <w:spacing w:val="-5"/>
          <w:sz w:val="24"/>
          <w:szCs w:val="24"/>
        </w:rPr>
        <w:t>Limits of Supranational Justice: The European Court of Human Rights and Turkey’s Kurdish Conflict</w:t>
      </w:r>
      <w:r>
        <w:rPr>
          <w:rFonts w:ascii="Times New Roman" w:eastAsia="Times New Roman" w:hAnsi="Times New Roman" w:cs="Times New Roman"/>
          <w:bCs/>
          <w:spacing w:val="-5"/>
          <w:sz w:val="24"/>
          <w:szCs w:val="24"/>
        </w:rPr>
        <w:t>.</w:t>
      </w:r>
      <w:r w:rsidRPr="00985544">
        <w:rPr>
          <w:rFonts w:ascii="Times New Roman" w:eastAsia="Times New Roman" w:hAnsi="Times New Roman" w:cs="Times New Roman"/>
          <w:bCs/>
          <w:spacing w:val="-5"/>
          <w:sz w:val="24"/>
          <w:szCs w:val="24"/>
        </w:rPr>
        <w:t xml:space="preserve"> Cambridge: Cambridge University Press. </w:t>
      </w:r>
    </w:p>
    <w:p w14:paraId="403C4D05" w14:textId="788BD1A0" w:rsidR="005C795E" w:rsidRDefault="005C795E" w:rsidP="00703502">
      <w:pPr>
        <w:tabs>
          <w:tab w:val="left" w:pos="709"/>
        </w:tabs>
        <w:spacing w:after="0" w:line="360" w:lineRule="auto"/>
        <w:ind w:left="720" w:hanging="720"/>
        <w:contextualSpacing/>
        <w:jc w:val="both"/>
        <w:rPr>
          <w:rFonts w:ascii="Times New Roman" w:eastAsia="Times New Roman" w:hAnsi="Times New Roman" w:cs="Times New Roman"/>
          <w:bCs/>
          <w:spacing w:val="-5"/>
          <w:sz w:val="24"/>
          <w:szCs w:val="24"/>
        </w:rPr>
      </w:pPr>
      <w:r w:rsidRPr="00985544">
        <w:rPr>
          <w:rFonts w:ascii="Times New Roman" w:hAnsi="Times New Roman" w:cs="Times New Roman"/>
          <w:bCs/>
          <w:spacing w:val="-5"/>
          <w:sz w:val="24"/>
          <w:szCs w:val="24"/>
        </w:rPr>
        <w:t>Laebens, M.G and A. Lührmann. 2021. “What halts democratic erosion? The changing role of accountability</w:t>
      </w:r>
      <w:r>
        <w:rPr>
          <w:rFonts w:ascii="Times New Roman" w:hAnsi="Times New Roman" w:cs="Times New Roman"/>
          <w:bCs/>
          <w:spacing w:val="-5"/>
          <w:sz w:val="24"/>
          <w:szCs w:val="24"/>
        </w:rPr>
        <w:t>.</w:t>
      </w:r>
      <w:r w:rsidRPr="00985544">
        <w:rPr>
          <w:rFonts w:ascii="Times New Roman" w:hAnsi="Times New Roman" w:cs="Times New Roman"/>
          <w:bCs/>
          <w:spacing w:val="-5"/>
          <w:sz w:val="24"/>
          <w:szCs w:val="24"/>
        </w:rPr>
        <w:t xml:space="preserve">” </w:t>
      </w:r>
      <w:r w:rsidRPr="00985544">
        <w:rPr>
          <w:rFonts w:ascii="Times New Roman" w:hAnsi="Times New Roman" w:cs="Times New Roman"/>
          <w:bCs/>
          <w:i/>
          <w:spacing w:val="-5"/>
          <w:sz w:val="24"/>
          <w:szCs w:val="24"/>
        </w:rPr>
        <w:t>Democratization</w:t>
      </w:r>
      <w:r w:rsidRPr="00985544">
        <w:rPr>
          <w:rFonts w:ascii="Times New Roman" w:hAnsi="Times New Roman" w:cs="Times New Roman"/>
          <w:bCs/>
          <w:spacing w:val="-5"/>
          <w:sz w:val="24"/>
          <w:szCs w:val="24"/>
        </w:rPr>
        <w:t> 28</w:t>
      </w:r>
      <w:r>
        <w:rPr>
          <w:rFonts w:ascii="Times New Roman" w:hAnsi="Times New Roman" w:cs="Times New Roman"/>
          <w:bCs/>
          <w:spacing w:val="-5"/>
          <w:sz w:val="24"/>
          <w:szCs w:val="24"/>
        </w:rPr>
        <w:t xml:space="preserve"> (</w:t>
      </w:r>
      <w:r w:rsidRPr="00985544">
        <w:rPr>
          <w:rFonts w:ascii="Times New Roman" w:hAnsi="Times New Roman" w:cs="Times New Roman"/>
          <w:bCs/>
          <w:spacing w:val="-5"/>
          <w:sz w:val="24"/>
          <w:szCs w:val="24"/>
        </w:rPr>
        <w:t>5</w:t>
      </w:r>
      <w:r>
        <w:rPr>
          <w:rFonts w:ascii="Times New Roman" w:hAnsi="Times New Roman" w:cs="Times New Roman"/>
          <w:bCs/>
          <w:spacing w:val="-5"/>
          <w:sz w:val="24"/>
          <w:szCs w:val="24"/>
        </w:rPr>
        <w:t>)</w:t>
      </w:r>
      <w:r w:rsidRPr="00985544">
        <w:rPr>
          <w:rFonts w:ascii="Times New Roman" w:hAnsi="Times New Roman" w:cs="Times New Roman"/>
          <w:bCs/>
          <w:spacing w:val="-5"/>
          <w:sz w:val="24"/>
          <w:szCs w:val="24"/>
        </w:rPr>
        <w:t xml:space="preserve">:  908-928. </w:t>
      </w:r>
      <w:r w:rsidRPr="00985544">
        <w:rPr>
          <w:rFonts w:ascii="Times New Roman" w:eastAsia="Times New Roman" w:hAnsi="Times New Roman" w:cs="Times New Roman"/>
          <w:bCs/>
          <w:spacing w:val="-5"/>
          <w:sz w:val="24"/>
          <w:szCs w:val="24"/>
        </w:rPr>
        <w:t xml:space="preserve"> </w:t>
      </w:r>
      <w:r w:rsidRPr="00035A39">
        <w:rPr>
          <w:rFonts w:ascii="Times New Roman" w:hAnsi="Times New Roman" w:cs="Times New Roman"/>
          <w:bCs/>
          <w:spacing w:val="-5"/>
          <w:sz w:val="24"/>
          <w:szCs w:val="24"/>
        </w:rPr>
        <w:t>doi:10.1080/13510347.2021.1897109</w:t>
      </w:r>
    </w:p>
    <w:p w14:paraId="60DBDF9A" w14:textId="422BC293" w:rsidR="005C795E" w:rsidRPr="009331A7" w:rsidRDefault="005C795E" w:rsidP="00035A39">
      <w:pPr>
        <w:tabs>
          <w:tab w:val="left" w:pos="709"/>
        </w:tabs>
        <w:spacing w:after="0" w:line="36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Levitsky, S., and L.</w:t>
      </w:r>
      <w:r w:rsidRPr="00DD0F0D">
        <w:rPr>
          <w:rFonts w:ascii="Times New Roman" w:hAnsi="Times New Roman" w:cs="Times New Roman"/>
          <w:sz w:val="24"/>
          <w:szCs w:val="24"/>
        </w:rPr>
        <w:t xml:space="preserve"> Way.</w:t>
      </w:r>
      <w:r>
        <w:rPr>
          <w:rFonts w:ascii="Times New Roman" w:hAnsi="Times New Roman" w:cs="Times New Roman"/>
          <w:sz w:val="24"/>
          <w:szCs w:val="24"/>
        </w:rPr>
        <w:t xml:space="preserve"> 2020.</w:t>
      </w:r>
      <w:r w:rsidRPr="00DD0F0D">
        <w:rPr>
          <w:rFonts w:ascii="Times New Roman" w:hAnsi="Times New Roman" w:cs="Times New Roman"/>
          <w:sz w:val="24"/>
          <w:szCs w:val="24"/>
        </w:rPr>
        <w:t xml:space="preserve"> “The New Competitive Authoritarianism</w:t>
      </w:r>
      <w:r>
        <w:rPr>
          <w:rFonts w:ascii="Times New Roman" w:hAnsi="Times New Roman" w:cs="Times New Roman"/>
          <w:sz w:val="24"/>
          <w:szCs w:val="24"/>
        </w:rPr>
        <w:t>.</w:t>
      </w:r>
      <w:r w:rsidRPr="00DD0F0D">
        <w:rPr>
          <w:rFonts w:ascii="Times New Roman" w:hAnsi="Times New Roman" w:cs="Times New Roman"/>
          <w:sz w:val="24"/>
          <w:szCs w:val="24"/>
        </w:rPr>
        <w:t>” </w:t>
      </w:r>
      <w:r w:rsidRPr="00DD0F0D">
        <w:rPr>
          <w:rFonts w:ascii="Times New Roman" w:hAnsi="Times New Roman" w:cs="Times New Roman"/>
          <w:i/>
          <w:sz w:val="24"/>
          <w:szCs w:val="24"/>
        </w:rPr>
        <w:t>Journal of Democracy </w:t>
      </w:r>
      <w:r>
        <w:rPr>
          <w:rFonts w:ascii="Times New Roman" w:hAnsi="Times New Roman" w:cs="Times New Roman"/>
          <w:sz w:val="24"/>
          <w:szCs w:val="24"/>
        </w:rPr>
        <w:t>31 (1)</w:t>
      </w:r>
      <w:r w:rsidRPr="00DD0F0D">
        <w:rPr>
          <w:rFonts w:ascii="Times New Roman" w:hAnsi="Times New Roman" w:cs="Times New Roman"/>
          <w:sz w:val="24"/>
          <w:szCs w:val="24"/>
        </w:rPr>
        <w:t>: 51-65.</w:t>
      </w:r>
    </w:p>
    <w:p w14:paraId="3E216369" w14:textId="77777777" w:rsidR="005C795E" w:rsidRPr="00985544" w:rsidRDefault="005C795E" w:rsidP="00703502">
      <w:pPr>
        <w:tabs>
          <w:tab w:val="left" w:pos="709"/>
        </w:tabs>
        <w:spacing w:after="0" w:line="360" w:lineRule="auto"/>
        <w:ind w:left="720" w:hanging="720"/>
        <w:contextualSpacing/>
        <w:jc w:val="both"/>
        <w:rPr>
          <w:rFonts w:ascii="Times New Roman" w:eastAsia="Times New Roman" w:hAnsi="Times New Roman" w:cs="Times New Roman"/>
          <w:bCs/>
          <w:spacing w:val="-5"/>
          <w:sz w:val="24"/>
          <w:szCs w:val="24"/>
        </w:rPr>
      </w:pPr>
      <w:r w:rsidRPr="00985544">
        <w:rPr>
          <w:rFonts w:ascii="Times New Roman" w:eastAsia="Times New Roman" w:hAnsi="Times New Roman" w:cs="Times New Roman"/>
          <w:bCs/>
          <w:spacing w:val="-5"/>
          <w:sz w:val="24"/>
          <w:szCs w:val="24"/>
        </w:rPr>
        <w:t xml:space="preserve">Loveman, B. 1993. </w:t>
      </w:r>
      <w:r w:rsidRPr="00985544">
        <w:rPr>
          <w:rFonts w:ascii="Times New Roman" w:eastAsia="Times New Roman" w:hAnsi="Times New Roman" w:cs="Times New Roman"/>
          <w:bCs/>
          <w:i/>
          <w:spacing w:val="-5"/>
          <w:sz w:val="24"/>
          <w:szCs w:val="24"/>
        </w:rPr>
        <w:t>The Constitution of Tyranny: Regimes of Exception in Spanish America</w:t>
      </w:r>
      <w:r w:rsidRPr="00985544">
        <w:rPr>
          <w:rFonts w:ascii="Times New Roman" w:eastAsia="Times New Roman" w:hAnsi="Times New Roman" w:cs="Times New Roman"/>
          <w:bCs/>
          <w:spacing w:val="-5"/>
          <w:sz w:val="24"/>
          <w:szCs w:val="24"/>
        </w:rPr>
        <w:t>. Pittsburgh: University of Pittsburgh Press.</w:t>
      </w:r>
    </w:p>
    <w:p w14:paraId="21EF977A" w14:textId="21EE8B87" w:rsidR="005C795E" w:rsidRDefault="005C795E" w:rsidP="00703502">
      <w:pPr>
        <w:tabs>
          <w:tab w:val="left" w:pos="709"/>
        </w:tabs>
        <w:spacing w:after="0" w:line="360" w:lineRule="auto"/>
        <w:ind w:left="720" w:hanging="720"/>
        <w:contextualSpacing/>
        <w:jc w:val="both"/>
        <w:rPr>
          <w:rFonts w:ascii="Times New Roman" w:hAnsi="Times New Roman" w:cs="Times New Roman"/>
          <w:bCs/>
          <w:sz w:val="24"/>
          <w:szCs w:val="24"/>
        </w:rPr>
      </w:pPr>
      <w:r w:rsidRPr="00985544">
        <w:rPr>
          <w:rFonts w:ascii="Times New Roman" w:hAnsi="Times New Roman" w:cs="Times New Roman"/>
          <w:bCs/>
          <w:sz w:val="24"/>
          <w:szCs w:val="24"/>
        </w:rPr>
        <w:t>Lund, C. 2014. “Of what is this a case? Analytical movements in qualitative social science research</w:t>
      </w:r>
      <w:r>
        <w:rPr>
          <w:rFonts w:ascii="Times New Roman" w:hAnsi="Times New Roman" w:cs="Times New Roman"/>
          <w:bCs/>
          <w:sz w:val="24"/>
          <w:szCs w:val="24"/>
        </w:rPr>
        <w:t>.</w:t>
      </w:r>
      <w:r w:rsidRPr="00985544">
        <w:rPr>
          <w:rFonts w:ascii="Times New Roman" w:hAnsi="Times New Roman" w:cs="Times New Roman"/>
          <w:bCs/>
          <w:sz w:val="24"/>
          <w:szCs w:val="24"/>
        </w:rPr>
        <w:t xml:space="preserve">” </w:t>
      </w:r>
      <w:r w:rsidRPr="00985544">
        <w:rPr>
          <w:rFonts w:ascii="Times New Roman" w:hAnsi="Times New Roman" w:cs="Times New Roman"/>
          <w:bCs/>
          <w:i/>
          <w:sz w:val="24"/>
          <w:szCs w:val="24"/>
        </w:rPr>
        <w:t>Human Organization</w:t>
      </w:r>
      <w:r w:rsidRPr="00985544">
        <w:rPr>
          <w:rFonts w:ascii="Times New Roman" w:hAnsi="Times New Roman" w:cs="Times New Roman"/>
          <w:bCs/>
          <w:sz w:val="24"/>
          <w:szCs w:val="24"/>
        </w:rPr>
        <w:t xml:space="preserve"> 73</w:t>
      </w:r>
      <w:r>
        <w:rPr>
          <w:rFonts w:ascii="Times New Roman" w:hAnsi="Times New Roman" w:cs="Times New Roman"/>
          <w:bCs/>
          <w:sz w:val="24"/>
          <w:szCs w:val="24"/>
        </w:rPr>
        <w:t xml:space="preserve"> (</w:t>
      </w:r>
      <w:r w:rsidRPr="00985544">
        <w:rPr>
          <w:rFonts w:ascii="Times New Roman" w:hAnsi="Times New Roman" w:cs="Times New Roman"/>
          <w:bCs/>
          <w:sz w:val="24"/>
          <w:szCs w:val="24"/>
        </w:rPr>
        <w:t>3</w:t>
      </w:r>
      <w:r>
        <w:rPr>
          <w:rFonts w:ascii="Times New Roman" w:hAnsi="Times New Roman" w:cs="Times New Roman"/>
          <w:bCs/>
          <w:sz w:val="24"/>
          <w:szCs w:val="24"/>
        </w:rPr>
        <w:t>)</w:t>
      </w:r>
      <w:r w:rsidRPr="00985544">
        <w:rPr>
          <w:rFonts w:ascii="Times New Roman" w:hAnsi="Times New Roman" w:cs="Times New Roman"/>
          <w:bCs/>
          <w:sz w:val="24"/>
          <w:szCs w:val="24"/>
        </w:rPr>
        <w:t>: 224–234.</w:t>
      </w:r>
    </w:p>
    <w:p w14:paraId="7F92DF1C" w14:textId="5637F30C" w:rsidR="005C795E" w:rsidRPr="00985544" w:rsidRDefault="005C795E" w:rsidP="00E47869">
      <w:pPr>
        <w:pStyle w:val="FootnoteText"/>
        <w:tabs>
          <w:tab w:val="left" w:pos="709"/>
        </w:tabs>
        <w:spacing w:line="360" w:lineRule="auto"/>
        <w:ind w:left="709" w:hanging="709"/>
        <w:jc w:val="both"/>
        <w:rPr>
          <w:rFonts w:ascii="Times New Roman" w:hAnsi="Times New Roman" w:cs="Times New Roman"/>
          <w:sz w:val="24"/>
          <w:szCs w:val="24"/>
        </w:rPr>
      </w:pPr>
      <w:r w:rsidRPr="00985544">
        <w:rPr>
          <w:rFonts w:ascii="Times New Roman" w:hAnsi="Times New Roman" w:cs="Times New Roman"/>
          <w:sz w:val="24"/>
          <w:szCs w:val="24"/>
        </w:rPr>
        <w:t>Lührmann, A., B. Rooney. 2021. “Autocratization by Decree: States of Emergency and Democratic Decline</w:t>
      </w:r>
      <w:r>
        <w:rPr>
          <w:rFonts w:ascii="Times New Roman" w:hAnsi="Times New Roman" w:cs="Times New Roman"/>
          <w:sz w:val="24"/>
          <w:szCs w:val="24"/>
        </w:rPr>
        <w:t>.</w:t>
      </w:r>
      <w:r w:rsidRPr="00985544">
        <w:rPr>
          <w:rFonts w:ascii="Times New Roman" w:hAnsi="Times New Roman" w:cs="Times New Roman"/>
          <w:sz w:val="24"/>
          <w:szCs w:val="24"/>
        </w:rPr>
        <w:t xml:space="preserve">” </w:t>
      </w:r>
      <w:r w:rsidRPr="00985544">
        <w:rPr>
          <w:rFonts w:ascii="Times New Roman" w:hAnsi="Times New Roman" w:cs="Times New Roman"/>
          <w:i/>
          <w:sz w:val="24"/>
          <w:szCs w:val="24"/>
        </w:rPr>
        <w:t>Comparative Politics</w:t>
      </w:r>
      <w:r w:rsidRPr="00985544">
        <w:rPr>
          <w:rFonts w:ascii="Times New Roman" w:hAnsi="Times New Roman" w:cs="Times New Roman"/>
          <w:sz w:val="24"/>
          <w:szCs w:val="24"/>
        </w:rPr>
        <w:t xml:space="preserve"> 53</w:t>
      </w:r>
      <w:r>
        <w:rPr>
          <w:rFonts w:ascii="Times New Roman" w:hAnsi="Times New Roman" w:cs="Times New Roman"/>
          <w:sz w:val="24"/>
          <w:szCs w:val="24"/>
        </w:rPr>
        <w:t xml:space="preserve"> (</w:t>
      </w:r>
      <w:r w:rsidRPr="00985544">
        <w:rPr>
          <w:rFonts w:ascii="Times New Roman" w:hAnsi="Times New Roman" w:cs="Times New Roman"/>
          <w:sz w:val="24"/>
          <w:szCs w:val="24"/>
        </w:rPr>
        <w:t>4</w:t>
      </w:r>
      <w:r>
        <w:rPr>
          <w:rFonts w:ascii="Times New Roman" w:hAnsi="Times New Roman" w:cs="Times New Roman"/>
          <w:sz w:val="24"/>
          <w:szCs w:val="24"/>
        </w:rPr>
        <w:t>)</w:t>
      </w:r>
      <w:r w:rsidRPr="00985544">
        <w:rPr>
          <w:rFonts w:ascii="Times New Roman" w:hAnsi="Times New Roman" w:cs="Times New Roman"/>
          <w:sz w:val="24"/>
          <w:szCs w:val="24"/>
        </w:rPr>
        <w:t>: 617-649.</w:t>
      </w:r>
      <w:r>
        <w:rPr>
          <w:rFonts w:ascii="Times New Roman" w:hAnsi="Times New Roman" w:cs="Times New Roman"/>
          <w:sz w:val="24"/>
          <w:szCs w:val="24"/>
        </w:rPr>
        <w:t xml:space="preserve"> doi: 10.5129/001041521X16004520146485</w:t>
      </w:r>
    </w:p>
    <w:p w14:paraId="4086336D" w14:textId="2F166C11" w:rsidR="005C795E" w:rsidRPr="00985544" w:rsidRDefault="005C795E" w:rsidP="00703502">
      <w:pPr>
        <w:tabs>
          <w:tab w:val="left" w:pos="709"/>
        </w:tabs>
        <w:spacing w:after="0" w:line="360" w:lineRule="auto"/>
        <w:ind w:left="709" w:right="-205" w:hanging="709"/>
        <w:jc w:val="both"/>
        <w:rPr>
          <w:rFonts w:ascii="Times New Roman" w:hAnsi="Times New Roman" w:cs="Times New Roman"/>
          <w:sz w:val="24"/>
          <w:szCs w:val="24"/>
        </w:rPr>
      </w:pPr>
      <w:r w:rsidRPr="00985544">
        <w:rPr>
          <w:rFonts w:ascii="Times New Roman" w:hAnsi="Times New Roman" w:cs="Times New Roman"/>
          <w:sz w:val="24"/>
          <w:szCs w:val="24"/>
        </w:rPr>
        <w:t>Michael-Matsas, S. 2005. “Capitalist Decline, Nation State and State of Emergency</w:t>
      </w:r>
      <w:r>
        <w:rPr>
          <w:rFonts w:ascii="Times New Roman" w:hAnsi="Times New Roman" w:cs="Times New Roman"/>
          <w:sz w:val="24"/>
          <w:szCs w:val="24"/>
        </w:rPr>
        <w:t>.</w:t>
      </w:r>
      <w:r w:rsidRPr="00985544">
        <w:rPr>
          <w:rFonts w:ascii="Times New Roman" w:hAnsi="Times New Roman" w:cs="Times New Roman"/>
          <w:sz w:val="24"/>
          <w:szCs w:val="24"/>
        </w:rPr>
        <w:t xml:space="preserve">” </w:t>
      </w:r>
      <w:r w:rsidRPr="00985544">
        <w:rPr>
          <w:rFonts w:ascii="Times New Roman" w:hAnsi="Times New Roman" w:cs="Times New Roman"/>
          <w:i/>
          <w:sz w:val="24"/>
          <w:szCs w:val="24"/>
        </w:rPr>
        <w:t>Critique</w:t>
      </w:r>
      <w:r w:rsidRPr="00985544">
        <w:rPr>
          <w:rFonts w:ascii="Times New Roman" w:hAnsi="Times New Roman" w:cs="Times New Roman"/>
          <w:sz w:val="24"/>
          <w:szCs w:val="24"/>
        </w:rPr>
        <w:t xml:space="preserve"> 36–37: 49–59.</w:t>
      </w:r>
    </w:p>
    <w:p w14:paraId="776FB8FB" w14:textId="77777777" w:rsidR="005C795E" w:rsidRDefault="005C795E" w:rsidP="00E47869">
      <w:pPr>
        <w:tabs>
          <w:tab w:val="left" w:pos="709"/>
        </w:tabs>
        <w:spacing w:after="0" w:line="360" w:lineRule="auto"/>
        <w:ind w:left="709" w:right="-205" w:hanging="709"/>
        <w:jc w:val="both"/>
        <w:rPr>
          <w:rFonts w:ascii="Times New Roman" w:hAnsi="Times New Roman" w:cs="Times New Roman"/>
          <w:sz w:val="24"/>
          <w:szCs w:val="24"/>
        </w:rPr>
      </w:pPr>
      <w:r w:rsidRPr="00985544">
        <w:rPr>
          <w:rFonts w:ascii="Times New Roman" w:hAnsi="Times New Roman" w:cs="Times New Roman"/>
          <w:sz w:val="24"/>
          <w:szCs w:val="24"/>
        </w:rPr>
        <w:t xml:space="preserve">Mehozay, Y. 2014. </w:t>
      </w:r>
      <w:r w:rsidRPr="00985544">
        <w:rPr>
          <w:rFonts w:ascii="Times New Roman" w:hAnsi="Times New Roman" w:cs="Times New Roman"/>
          <w:i/>
          <w:sz w:val="24"/>
          <w:szCs w:val="24"/>
        </w:rPr>
        <w:t>Between the Rule of Law and States of Emergency: The Fluid Jurisprudence of the Israeli Regime</w:t>
      </w:r>
      <w:r w:rsidRPr="00985544">
        <w:rPr>
          <w:rFonts w:ascii="Times New Roman" w:hAnsi="Times New Roman" w:cs="Times New Roman"/>
          <w:sz w:val="24"/>
          <w:szCs w:val="24"/>
        </w:rPr>
        <w:t xml:space="preserve">. Albany: State University of New York Press. </w:t>
      </w:r>
    </w:p>
    <w:p w14:paraId="30D1F39D" w14:textId="786E2999" w:rsidR="005C795E" w:rsidRPr="00985544" w:rsidRDefault="005C795E" w:rsidP="00E47869">
      <w:pPr>
        <w:tabs>
          <w:tab w:val="left" w:pos="0"/>
        </w:tabs>
        <w:spacing w:before="100" w:beforeAutospacing="1" w:after="200" w:line="360" w:lineRule="auto"/>
        <w:jc w:val="both"/>
        <w:rPr>
          <w:rFonts w:ascii="Times New Roman" w:hAnsi="Times New Roman" w:cs="Times New Roman"/>
          <w:sz w:val="24"/>
          <w:szCs w:val="24"/>
        </w:rPr>
      </w:pPr>
      <w:r>
        <w:rPr>
          <w:rFonts w:ascii="Times New Roman" w:hAnsi="Times New Roman" w:cs="Times New Roman"/>
          <w:sz w:val="24"/>
          <w:szCs w:val="24"/>
        </w:rPr>
        <w:t>Moffitt, B</w:t>
      </w:r>
      <w:r w:rsidRPr="00DD0F0D">
        <w:rPr>
          <w:rFonts w:ascii="Times New Roman" w:hAnsi="Times New Roman" w:cs="Times New Roman"/>
          <w:sz w:val="24"/>
          <w:szCs w:val="24"/>
        </w:rPr>
        <w:t>.</w:t>
      </w:r>
      <w:r>
        <w:rPr>
          <w:rFonts w:ascii="Times New Roman" w:hAnsi="Times New Roman" w:cs="Times New Roman"/>
          <w:sz w:val="24"/>
          <w:szCs w:val="24"/>
        </w:rPr>
        <w:t xml:space="preserve"> 2016.</w:t>
      </w:r>
      <w:r w:rsidRPr="00DD0F0D">
        <w:rPr>
          <w:rFonts w:ascii="Times New Roman" w:hAnsi="Times New Roman" w:cs="Times New Roman"/>
          <w:sz w:val="24"/>
          <w:szCs w:val="24"/>
        </w:rPr>
        <w:t xml:space="preserve"> </w:t>
      </w:r>
      <w:r w:rsidRPr="00DD0F0D">
        <w:rPr>
          <w:rFonts w:ascii="Times New Roman" w:hAnsi="Times New Roman" w:cs="Times New Roman"/>
          <w:i/>
          <w:sz w:val="24"/>
          <w:szCs w:val="24"/>
        </w:rPr>
        <w:t>The Global Rise of Populism: Performance, Political Style and Representation</w:t>
      </w:r>
      <w:r w:rsidRPr="00DD0F0D">
        <w:rPr>
          <w:rFonts w:ascii="Times New Roman" w:hAnsi="Times New Roman" w:cs="Times New Roman"/>
          <w:sz w:val="24"/>
          <w:szCs w:val="24"/>
        </w:rPr>
        <w:t>.</w:t>
      </w:r>
      <w:r>
        <w:rPr>
          <w:rFonts w:ascii="Times New Roman" w:hAnsi="Times New Roman" w:cs="Times New Roman"/>
          <w:sz w:val="24"/>
          <w:szCs w:val="24"/>
        </w:rPr>
        <w:t xml:space="preserve"> Stanford University Press</w:t>
      </w:r>
      <w:r w:rsidRPr="00DD0F0D">
        <w:rPr>
          <w:rFonts w:ascii="Times New Roman" w:hAnsi="Times New Roman" w:cs="Times New Roman"/>
          <w:sz w:val="24"/>
          <w:szCs w:val="24"/>
        </w:rPr>
        <w:t xml:space="preserve">. </w:t>
      </w:r>
    </w:p>
    <w:p w14:paraId="141873F7" w14:textId="77777777" w:rsidR="005C795E" w:rsidRPr="00985544" w:rsidRDefault="005C795E" w:rsidP="00703502">
      <w:pPr>
        <w:pStyle w:val="ListParagraph"/>
        <w:tabs>
          <w:tab w:val="left" w:pos="709"/>
        </w:tabs>
        <w:spacing w:after="0" w:line="360" w:lineRule="auto"/>
        <w:ind w:left="709" w:right="-30" w:hanging="709"/>
        <w:jc w:val="both"/>
        <w:rPr>
          <w:rFonts w:ascii="Times New Roman" w:hAnsi="Times New Roman"/>
          <w:sz w:val="24"/>
          <w:szCs w:val="24"/>
        </w:rPr>
      </w:pPr>
      <w:r w:rsidRPr="00985544">
        <w:rPr>
          <w:rFonts w:ascii="Times New Roman" w:hAnsi="Times New Roman"/>
          <w:sz w:val="24"/>
          <w:szCs w:val="24"/>
        </w:rPr>
        <w:t xml:space="preserve">Neal, A. 2010. </w:t>
      </w:r>
      <w:r w:rsidRPr="00985544">
        <w:rPr>
          <w:rFonts w:ascii="Times New Roman" w:hAnsi="Times New Roman"/>
          <w:i/>
          <w:sz w:val="24"/>
          <w:szCs w:val="24"/>
        </w:rPr>
        <w:t>Exceptionalism and the Politics of Counter-Terrorism: Liberty, security and the War on Terror</w:t>
      </w:r>
      <w:r w:rsidRPr="00985544">
        <w:rPr>
          <w:rFonts w:ascii="Times New Roman" w:hAnsi="Times New Roman"/>
          <w:sz w:val="24"/>
          <w:szCs w:val="24"/>
        </w:rPr>
        <w:t>. London: Routledge.</w:t>
      </w:r>
    </w:p>
    <w:p w14:paraId="09258B19" w14:textId="1234ECB8" w:rsidR="005C795E" w:rsidRPr="00985544" w:rsidRDefault="005C795E" w:rsidP="00703502">
      <w:pPr>
        <w:tabs>
          <w:tab w:val="left" w:pos="0"/>
          <w:tab w:val="left" w:pos="709"/>
        </w:tabs>
        <w:spacing w:after="0" w:line="360" w:lineRule="auto"/>
        <w:ind w:left="720" w:right="-30" w:hanging="720"/>
        <w:jc w:val="both"/>
        <w:rPr>
          <w:rFonts w:ascii="Times New Roman" w:hAnsi="Times New Roman" w:cs="Times New Roman"/>
          <w:sz w:val="24"/>
          <w:szCs w:val="24"/>
        </w:rPr>
      </w:pPr>
      <w:r w:rsidRPr="00985544">
        <w:rPr>
          <w:rFonts w:ascii="Times New Roman" w:hAnsi="Times New Roman" w:cs="Times New Roman"/>
          <w:color w:val="000000" w:themeColor="text1"/>
          <w:sz w:val="24"/>
          <w:szCs w:val="24"/>
        </w:rPr>
        <w:t xml:space="preserve">Neocleous, M. 2006. “The Problem with Normality: Taking Exception to </w:t>
      </w:r>
      <w:r>
        <w:rPr>
          <w:rFonts w:ascii="Times New Roman" w:hAnsi="Times New Roman" w:cs="Times New Roman"/>
          <w:color w:val="000000" w:themeColor="text1"/>
          <w:sz w:val="24"/>
          <w:szCs w:val="24"/>
        </w:rPr>
        <w:t>‘</w:t>
      </w:r>
      <w:r w:rsidRPr="00985544">
        <w:rPr>
          <w:rFonts w:ascii="Times New Roman" w:hAnsi="Times New Roman" w:cs="Times New Roman"/>
          <w:color w:val="000000" w:themeColor="text1"/>
          <w:sz w:val="24"/>
          <w:szCs w:val="24"/>
        </w:rPr>
        <w:t>Permanent Emergency</w:t>
      </w:r>
      <w:r>
        <w:rPr>
          <w:rFonts w:ascii="Times New Roman" w:hAnsi="Times New Roman" w:cs="Times New Roman"/>
          <w:color w:val="000000" w:themeColor="text1"/>
          <w:sz w:val="24"/>
          <w:szCs w:val="24"/>
        </w:rPr>
        <w:t>’</w:t>
      </w:r>
      <w:r w:rsidRPr="00985544">
        <w:rPr>
          <w:rFonts w:ascii="Times New Roman" w:hAnsi="Times New Roman" w:cs="Times New Roman"/>
          <w:color w:val="000000" w:themeColor="text1"/>
          <w:sz w:val="24"/>
          <w:szCs w:val="24"/>
        </w:rPr>
        <w:t xml:space="preserve">” </w:t>
      </w:r>
      <w:r w:rsidRPr="00985544">
        <w:rPr>
          <w:rFonts w:ascii="Times New Roman" w:hAnsi="Times New Roman" w:cs="Times New Roman"/>
          <w:i/>
          <w:color w:val="000000" w:themeColor="text1"/>
          <w:sz w:val="24"/>
          <w:szCs w:val="24"/>
        </w:rPr>
        <w:t>Alternatives: Global, Local, Political</w:t>
      </w:r>
      <w:r w:rsidRPr="00985544">
        <w:rPr>
          <w:rFonts w:ascii="Times New Roman" w:hAnsi="Times New Roman" w:cs="Times New Roman"/>
          <w:color w:val="000000" w:themeColor="text1"/>
          <w:sz w:val="24"/>
          <w:szCs w:val="24"/>
        </w:rPr>
        <w:t xml:space="preserve"> 31: 191–213.</w:t>
      </w:r>
      <w:r>
        <w:rPr>
          <w:rFonts w:ascii="Times New Roman" w:hAnsi="Times New Roman" w:cs="Times New Roman"/>
          <w:color w:val="000000" w:themeColor="text1"/>
          <w:sz w:val="24"/>
          <w:szCs w:val="24"/>
        </w:rPr>
        <w:t xml:space="preserve"> </w:t>
      </w:r>
      <w:r w:rsidRPr="00E35CBC">
        <w:rPr>
          <w:rFonts w:ascii="Times New Roman" w:hAnsi="Times New Roman" w:cs="Times New Roman"/>
          <w:color w:val="000000" w:themeColor="text1"/>
          <w:sz w:val="24"/>
          <w:szCs w:val="24"/>
        </w:rPr>
        <w:t>doi:10.1177/030437540603100204</w:t>
      </w:r>
    </w:p>
    <w:p w14:paraId="0055F2B0" w14:textId="1EF9D3FF" w:rsidR="005C795E" w:rsidRDefault="005C795E" w:rsidP="00703502">
      <w:pPr>
        <w:tabs>
          <w:tab w:val="left" w:pos="709"/>
        </w:tabs>
        <w:spacing w:after="0" w:line="360" w:lineRule="auto"/>
        <w:ind w:left="720" w:right="317" w:hanging="720"/>
        <w:jc w:val="both"/>
        <w:rPr>
          <w:rFonts w:ascii="Times New Roman" w:hAnsi="Times New Roman" w:cs="Times New Roman"/>
          <w:bCs/>
          <w:sz w:val="24"/>
          <w:szCs w:val="24"/>
        </w:rPr>
      </w:pPr>
      <w:r w:rsidRPr="00985544">
        <w:rPr>
          <w:rFonts w:ascii="Times New Roman" w:hAnsi="Times New Roman" w:cs="Times New Roman"/>
          <w:sz w:val="24"/>
          <w:szCs w:val="24"/>
        </w:rPr>
        <w:t>Office of the United Nations High Commissioner for Human Rights. 2017. ‘Report on the impact of the state of emergency on human rights in Turkey, including an update on the South-East</w:t>
      </w:r>
      <w:r>
        <w:rPr>
          <w:rFonts w:ascii="Times New Roman" w:hAnsi="Times New Roman" w:cs="Times New Roman"/>
          <w:sz w:val="24"/>
          <w:szCs w:val="24"/>
        </w:rPr>
        <w:t>.</w:t>
      </w:r>
      <w:r w:rsidRPr="00985544">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Accessed</w:t>
      </w:r>
      <w:r w:rsidRPr="00985544">
        <w:rPr>
          <w:rFonts w:ascii="Times New Roman" w:hAnsi="Times New Roman" w:cs="Times New Roman"/>
          <w:bCs/>
          <w:sz w:val="24"/>
          <w:szCs w:val="24"/>
        </w:rPr>
        <w:t xml:space="preserve"> 16 November 2021</w:t>
      </w:r>
      <w:r w:rsidRPr="00985544">
        <w:rPr>
          <w:rFonts w:ascii="Times New Roman" w:hAnsi="Times New Roman" w:cs="Times New Roman"/>
          <w:sz w:val="24"/>
          <w:szCs w:val="24"/>
        </w:rPr>
        <w:t xml:space="preserve"> </w:t>
      </w:r>
      <w:hyperlink r:id="rId9" w:history="1">
        <w:r w:rsidRPr="00985544">
          <w:rPr>
            <w:rStyle w:val="Hyperlink"/>
            <w:rFonts w:ascii="Times New Roman" w:hAnsi="Times New Roman" w:cs="Times New Roman"/>
            <w:sz w:val="24"/>
            <w:szCs w:val="24"/>
          </w:rPr>
          <w:t>https://www.ohchr.org/Documents/Countries/TR/2018-03-19_Second_OHCHR_Turkey_Report.pdf</w:t>
        </w:r>
      </w:hyperlink>
      <w:r w:rsidRPr="00985544">
        <w:rPr>
          <w:rFonts w:ascii="Times New Roman" w:hAnsi="Times New Roman" w:cs="Times New Roman"/>
          <w:sz w:val="24"/>
          <w:szCs w:val="24"/>
        </w:rPr>
        <w:t>,</w:t>
      </w:r>
    </w:p>
    <w:p w14:paraId="7E8258CD" w14:textId="6873AD87" w:rsidR="005C795E" w:rsidRPr="00985544" w:rsidRDefault="005C795E" w:rsidP="00703502">
      <w:pPr>
        <w:tabs>
          <w:tab w:val="left" w:pos="709"/>
        </w:tabs>
        <w:spacing w:after="0" w:line="360" w:lineRule="auto"/>
        <w:ind w:left="720" w:right="317" w:hanging="720"/>
        <w:jc w:val="both"/>
        <w:rPr>
          <w:rFonts w:ascii="Times New Roman" w:hAnsi="Times New Roman" w:cs="Times New Roman"/>
          <w:bCs/>
          <w:sz w:val="24"/>
          <w:szCs w:val="24"/>
        </w:rPr>
      </w:pPr>
      <w:r>
        <w:rPr>
          <w:rFonts w:ascii="Times New Roman" w:hAnsi="Times New Roman" w:cs="Times New Roman"/>
          <w:bCs/>
          <w:sz w:val="24"/>
          <w:szCs w:val="24"/>
        </w:rPr>
        <w:t xml:space="preserve">Reuters. 2016. “Turkey’s main opposition party supports bid to strip MPs of immunity.” April 14. </w:t>
      </w:r>
      <w:hyperlink r:id="rId10" w:history="1">
        <w:r w:rsidRPr="00BD1E67">
          <w:rPr>
            <w:rStyle w:val="Hyperlink"/>
            <w:rFonts w:ascii="Times New Roman" w:hAnsi="Times New Roman" w:cs="Times New Roman"/>
            <w:bCs/>
            <w:sz w:val="24"/>
            <w:szCs w:val="24"/>
          </w:rPr>
          <w:t>https://www.reuters.com/article/turkey-politics-idUSL5N17H0F6</w:t>
        </w:r>
      </w:hyperlink>
      <w:r>
        <w:rPr>
          <w:rFonts w:ascii="Times New Roman" w:hAnsi="Times New Roman" w:cs="Times New Roman"/>
          <w:bCs/>
          <w:sz w:val="24"/>
          <w:szCs w:val="24"/>
        </w:rPr>
        <w:t xml:space="preserve">. </w:t>
      </w:r>
    </w:p>
    <w:p w14:paraId="7C4BEAAE" w14:textId="3EA96FA2" w:rsidR="005C795E" w:rsidRPr="00985544" w:rsidRDefault="005C795E" w:rsidP="00703502">
      <w:pPr>
        <w:tabs>
          <w:tab w:val="left" w:pos="709"/>
        </w:tabs>
        <w:spacing w:after="0" w:line="360" w:lineRule="auto"/>
        <w:ind w:left="720" w:hanging="720"/>
        <w:contextualSpacing/>
        <w:jc w:val="both"/>
        <w:rPr>
          <w:rFonts w:ascii="Times New Roman" w:hAnsi="Times New Roman" w:cs="Times New Roman"/>
          <w:bCs/>
          <w:sz w:val="24"/>
          <w:szCs w:val="24"/>
        </w:rPr>
      </w:pPr>
      <w:r w:rsidRPr="00985544">
        <w:rPr>
          <w:rFonts w:ascii="Times New Roman" w:hAnsi="Times New Roman" w:cs="Times New Roman"/>
          <w:bCs/>
          <w:sz w:val="24"/>
          <w:szCs w:val="24"/>
        </w:rPr>
        <w:t>Richards, D. L. and K. C. Clay. 2012. “An Umbrella With Holes: Respect for Non-Derogable Human Rights During Declared States of Emergency, 1996–2004</w:t>
      </w:r>
      <w:r>
        <w:rPr>
          <w:rFonts w:ascii="Times New Roman" w:hAnsi="Times New Roman" w:cs="Times New Roman"/>
          <w:bCs/>
          <w:sz w:val="24"/>
          <w:szCs w:val="24"/>
        </w:rPr>
        <w:t>.</w:t>
      </w:r>
      <w:r w:rsidRPr="00985544">
        <w:rPr>
          <w:rFonts w:ascii="Times New Roman" w:hAnsi="Times New Roman" w:cs="Times New Roman"/>
          <w:bCs/>
          <w:sz w:val="24"/>
          <w:szCs w:val="24"/>
        </w:rPr>
        <w:t xml:space="preserve">” </w:t>
      </w:r>
      <w:r w:rsidRPr="00985544">
        <w:rPr>
          <w:rFonts w:ascii="Times New Roman" w:hAnsi="Times New Roman" w:cs="Times New Roman"/>
          <w:bCs/>
          <w:i/>
          <w:sz w:val="24"/>
          <w:szCs w:val="24"/>
        </w:rPr>
        <w:t>Human Rights Review</w:t>
      </w:r>
      <w:r w:rsidRPr="00985544">
        <w:rPr>
          <w:rFonts w:ascii="Times New Roman" w:hAnsi="Times New Roman" w:cs="Times New Roman"/>
          <w:bCs/>
          <w:sz w:val="24"/>
          <w:szCs w:val="24"/>
        </w:rPr>
        <w:t xml:space="preserve"> 13</w:t>
      </w:r>
      <w:r>
        <w:rPr>
          <w:rFonts w:ascii="Times New Roman" w:hAnsi="Times New Roman" w:cs="Times New Roman"/>
          <w:bCs/>
          <w:sz w:val="24"/>
          <w:szCs w:val="24"/>
        </w:rPr>
        <w:t xml:space="preserve"> (</w:t>
      </w:r>
      <w:r w:rsidRPr="00985544">
        <w:rPr>
          <w:rFonts w:ascii="Times New Roman" w:hAnsi="Times New Roman" w:cs="Times New Roman"/>
          <w:bCs/>
          <w:sz w:val="24"/>
          <w:szCs w:val="24"/>
        </w:rPr>
        <w:t>4</w:t>
      </w:r>
      <w:r>
        <w:rPr>
          <w:rFonts w:ascii="Times New Roman" w:hAnsi="Times New Roman" w:cs="Times New Roman"/>
          <w:bCs/>
          <w:sz w:val="24"/>
          <w:szCs w:val="24"/>
        </w:rPr>
        <w:t>)</w:t>
      </w:r>
      <w:r w:rsidRPr="00985544">
        <w:rPr>
          <w:rFonts w:ascii="Times New Roman" w:hAnsi="Times New Roman" w:cs="Times New Roman"/>
          <w:bCs/>
          <w:sz w:val="24"/>
          <w:szCs w:val="24"/>
        </w:rPr>
        <w:t xml:space="preserve">: 443–471. </w:t>
      </w:r>
      <w:r w:rsidRPr="00166B19">
        <w:rPr>
          <w:rFonts w:ascii="Times New Roman" w:hAnsi="Times New Roman" w:cs="Times New Roman"/>
          <w:bCs/>
          <w:sz w:val="24"/>
          <w:szCs w:val="24"/>
        </w:rPr>
        <w:t>doi:10.1007/s12142-012-0245-z</w:t>
      </w:r>
    </w:p>
    <w:p w14:paraId="7AE86CD1" w14:textId="77777777" w:rsidR="005C795E" w:rsidRPr="00985544" w:rsidRDefault="005C795E" w:rsidP="00703502">
      <w:pPr>
        <w:tabs>
          <w:tab w:val="left" w:pos="709"/>
        </w:tabs>
        <w:spacing w:after="0" w:line="360" w:lineRule="auto"/>
        <w:ind w:left="720" w:hanging="720"/>
        <w:contextualSpacing/>
        <w:jc w:val="both"/>
        <w:rPr>
          <w:rFonts w:ascii="Times New Roman" w:hAnsi="Times New Roman" w:cs="Times New Roman"/>
          <w:bCs/>
          <w:sz w:val="24"/>
          <w:szCs w:val="24"/>
        </w:rPr>
      </w:pPr>
      <w:r w:rsidRPr="00985544">
        <w:rPr>
          <w:rFonts w:ascii="Times New Roman" w:hAnsi="Times New Roman" w:cs="Times New Roman"/>
          <w:bCs/>
          <w:sz w:val="24"/>
          <w:szCs w:val="24"/>
        </w:rPr>
        <w:t xml:space="preserve">Schmitt, C. 2014. </w:t>
      </w:r>
      <w:r w:rsidRPr="00985544">
        <w:rPr>
          <w:rFonts w:ascii="Times New Roman" w:hAnsi="Times New Roman" w:cs="Times New Roman"/>
          <w:bCs/>
          <w:i/>
          <w:sz w:val="24"/>
          <w:szCs w:val="24"/>
        </w:rPr>
        <w:t>On Dictatorship: From the Origin of the Modern Concept of Sovereignty to Proletarian Class Struggle</w:t>
      </w:r>
      <w:r w:rsidRPr="00985544">
        <w:rPr>
          <w:rFonts w:ascii="Times New Roman" w:hAnsi="Times New Roman" w:cs="Times New Roman"/>
          <w:bCs/>
          <w:sz w:val="24"/>
          <w:szCs w:val="24"/>
        </w:rPr>
        <w:t>. Cambridge: Polity Press.</w:t>
      </w:r>
    </w:p>
    <w:p w14:paraId="41A39326" w14:textId="160B9737" w:rsidR="005C795E" w:rsidRPr="00985544" w:rsidRDefault="005C795E" w:rsidP="00703502">
      <w:pPr>
        <w:tabs>
          <w:tab w:val="left" w:pos="709"/>
        </w:tabs>
        <w:spacing w:after="0" w:line="360" w:lineRule="auto"/>
        <w:ind w:left="720" w:hanging="720"/>
        <w:contextualSpacing/>
        <w:jc w:val="both"/>
        <w:rPr>
          <w:rFonts w:ascii="Times New Roman" w:hAnsi="Times New Roman" w:cs="Times New Roman"/>
          <w:bCs/>
          <w:sz w:val="24"/>
          <w:szCs w:val="24"/>
        </w:rPr>
      </w:pPr>
      <w:r w:rsidRPr="00985544">
        <w:rPr>
          <w:rFonts w:ascii="Times New Roman" w:hAnsi="Times New Roman" w:cs="Times New Roman"/>
          <w:bCs/>
          <w:sz w:val="24"/>
          <w:szCs w:val="24"/>
        </w:rPr>
        <w:t>Somer, M. 2016. “Understanding Turkey’s Democratic Breakdown: Old vs New and Indigenous vs Global Authoritarianism</w:t>
      </w:r>
      <w:r>
        <w:rPr>
          <w:rFonts w:ascii="Times New Roman" w:hAnsi="Times New Roman" w:cs="Times New Roman"/>
          <w:bCs/>
          <w:sz w:val="24"/>
          <w:szCs w:val="24"/>
        </w:rPr>
        <w:t>.</w:t>
      </w:r>
      <w:r w:rsidRPr="00985544">
        <w:rPr>
          <w:rFonts w:ascii="Times New Roman" w:hAnsi="Times New Roman" w:cs="Times New Roman"/>
          <w:bCs/>
          <w:sz w:val="24"/>
          <w:szCs w:val="24"/>
        </w:rPr>
        <w:t xml:space="preserve">” </w:t>
      </w:r>
      <w:r w:rsidRPr="00985544">
        <w:rPr>
          <w:rFonts w:ascii="Times New Roman" w:hAnsi="Times New Roman" w:cs="Times New Roman"/>
          <w:bCs/>
          <w:i/>
          <w:iCs/>
          <w:sz w:val="24"/>
          <w:szCs w:val="24"/>
        </w:rPr>
        <w:t>Southeast European and Black Sea Studies</w:t>
      </w:r>
      <w:r w:rsidRPr="00985544">
        <w:rPr>
          <w:rFonts w:ascii="Times New Roman" w:hAnsi="Times New Roman" w:cs="Times New Roman"/>
          <w:bCs/>
          <w:sz w:val="24"/>
          <w:szCs w:val="24"/>
        </w:rPr>
        <w:t xml:space="preserve"> 16 </w:t>
      </w:r>
      <w:r>
        <w:rPr>
          <w:rFonts w:ascii="Times New Roman" w:hAnsi="Times New Roman" w:cs="Times New Roman"/>
          <w:bCs/>
          <w:sz w:val="24"/>
          <w:szCs w:val="24"/>
        </w:rPr>
        <w:t>(</w:t>
      </w:r>
      <w:r w:rsidRPr="00985544">
        <w:rPr>
          <w:rFonts w:ascii="Times New Roman" w:hAnsi="Times New Roman" w:cs="Times New Roman"/>
          <w:bCs/>
          <w:sz w:val="24"/>
          <w:szCs w:val="24"/>
        </w:rPr>
        <w:t>4</w:t>
      </w:r>
      <w:r>
        <w:rPr>
          <w:rFonts w:ascii="Times New Roman" w:hAnsi="Times New Roman" w:cs="Times New Roman"/>
          <w:bCs/>
          <w:sz w:val="24"/>
          <w:szCs w:val="24"/>
        </w:rPr>
        <w:t>)</w:t>
      </w:r>
      <w:r w:rsidRPr="00985544">
        <w:rPr>
          <w:rFonts w:ascii="Times New Roman" w:hAnsi="Times New Roman" w:cs="Times New Roman"/>
          <w:bCs/>
          <w:sz w:val="24"/>
          <w:szCs w:val="24"/>
        </w:rPr>
        <w:t>: 481-503.</w:t>
      </w:r>
      <w:r>
        <w:rPr>
          <w:rFonts w:ascii="Times New Roman" w:hAnsi="Times New Roman" w:cs="Times New Roman"/>
          <w:bCs/>
          <w:sz w:val="24"/>
          <w:szCs w:val="24"/>
        </w:rPr>
        <w:t xml:space="preserve"> </w:t>
      </w:r>
      <w:r w:rsidRPr="00830993">
        <w:rPr>
          <w:rFonts w:ascii="Times New Roman" w:hAnsi="Times New Roman" w:cs="Times New Roman"/>
          <w:bCs/>
          <w:sz w:val="24"/>
          <w:szCs w:val="24"/>
        </w:rPr>
        <w:t>doi:10.1080/14683857.2016.1246548</w:t>
      </w:r>
    </w:p>
    <w:p w14:paraId="3B50F125" w14:textId="77777777" w:rsidR="005C795E" w:rsidRPr="00985544" w:rsidRDefault="005C795E" w:rsidP="00703502">
      <w:pPr>
        <w:tabs>
          <w:tab w:val="left" w:pos="709"/>
        </w:tabs>
        <w:spacing w:after="0" w:line="360" w:lineRule="auto"/>
        <w:ind w:left="720" w:hanging="720"/>
        <w:contextualSpacing/>
        <w:jc w:val="both"/>
        <w:rPr>
          <w:rFonts w:ascii="Times New Roman" w:hAnsi="Times New Roman" w:cs="Times New Roman"/>
          <w:bCs/>
          <w:sz w:val="24"/>
          <w:szCs w:val="24"/>
        </w:rPr>
      </w:pPr>
      <w:r w:rsidRPr="00985544">
        <w:rPr>
          <w:rFonts w:ascii="Times New Roman" w:hAnsi="Times New Roman" w:cs="Times New Roman"/>
          <w:bCs/>
          <w:sz w:val="24"/>
          <w:szCs w:val="24"/>
        </w:rPr>
        <w:t xml:space="preserve">TBMM. 16 July 2016. </w:t>
      </w:r>
      <w:r w:rsidRPr="00985544">
        <w:rPr>
          <w:rFonts w:ascii="Times New Roman" w:hAnsi="Times New Roman" w:cs="Times New Roman"/>
          <w:color w:val="262626"/>
          <w:sz w:val="24"/>
          <w:szCs w:val="24"/>
        </w:rPr>
        <w:t>Minutes of the Turkish Grand National Assembly. Vol. 21. Session 114.</w:t>
      </w:r>
    </w:p>
    <w:p w14:paraId="2B3FF834" w14:textId="77777777" w:rsidR="005C795E" w:rsidRPr="00985544" w:rsidRDefault="005C795E" w:rsidP="00703502">
      <w:pPr>
        <w:tabs>
          <w:tab w:val="left" w:pos="709"/>
        </w:tabs>
        <w:spacing w:after="0" w:line="360" w:lineRule="auto"/>
        <w:ind w:left="720" w:hanging="720"/>
        <w:contextualSpacing/>
        <w:jc w:val="both"/>
        <w:rPr>
          <w:rFonts w:ascii="Times New Roman" w:hAnsi="Times New Roman" w:cs="Times New Roman"/>
          <w:bCs/>
          <w:sz w:val="24"/>
          <w:szCs w:val="24"/>
        </w:rPr>
      </w:pPr>
      <w:r w:rsidRPr="00985544">
        <w:rPr>
          <w:rFonts w:ascii="Times New Roman" w:hAnsi="Times New Roman" w:cs="Times New Roman"/>
          <w:bCs/>
          <w:sz w:val="24"/>
          <w:szCs w:val="24"/>
        </w:rPr>
        <w:t xml:space="preserve">TBMM. 21 July 2016. </w:t>
      </w:r>
      <w:r w:rsidRPr="00985544">
        <w:rPr>
          <w:rFonts w:ascii="Times New Roman" w:hAnsi="Times New Roman" w:cs="Times New Roman"/>
          <w:color w:val="262626"/>
          <w:sz w:val="24"/>
          <w:szCs w:val="24"/>
        </w:rPr>
        <w:t>Minutes of the Turkish Grand National Assembly. Vol. 21. Session 117.</w:t>
      </w:r>
    </w:p>
    <w:p w14:paraId="50219B9C" w14:textId="77777777" w:rsidR="005C795E" w:rsidRPr="00985544" w:rsidRDefault="005C795E" w:rsidP="00703502">
      <w:pPr>
        <w:tabs>
          <w:tab w:val="left" w:pos="709"/>
        </w:tabs>
        <w:spacing w:after="0" w:line="360" w:lineRule="auto"/>
        <w:ind w:left="720" w:hanging="720"/>
        <w:contextualSpacing/>
        <w:jc w:val="both"/>
        <w:rPr>
          <w:rFonts w:ascii="Times New Roman" w:hAnsi="Times New Roman" w:cs="Times New Roman"/>
          <w:bCs/>
          <w:sz w:val="24"/>
          <w:szCs w:val="24"/>
        </w:rPr>
      </w:pPr>
      <w:r w:rsidRPr="00985544">
        <w:rPr>
          <w:rFonts w:ascii="Times New Roman" w:hAnsi="Times New Roman" w:cs="Times New Roman"/>
          <w:bCs/>
          <w:sz w:val="24"/>
          <w:szCs w:val="24"/>
        </w:rPr>
        <w:t xml:space="preserve">TBMM. 3 January 2017. </w:t>
      </w:r>
      <w:r w:rsidRPr="00985544">
        <w:rPr>
          <w:rFonts w:ascii="Times New Roman" w:hAnsi="Times New Roman" w:cs="Times New Roman"/>
          <w:color w:val="262626"/>
          <w:sz w:val="24"/>
          <w:szCs w:val="24"/>
        </w:rPr>
        <w:t>Minutes of the Turkish Grand National Assembly. Vol. 30. Session 49.</w:t>
      </w:r>
    </w:p>
    <w:p w14:paraId="345B9CC5" w14:textId="77777777" w:rsidR="005C795E" w:rsidRPr="00985544" w:rsidRDefault="005C795E" w:rsidP="00703502">
      <w:pPr>
        <w:tabs>
          <w:tab w:val="left" w:pos="709"/>
        </w:tabs>
        <w:spacing w:after="0" w:line="360" w:lineRule="auto"/>
        <w:ind w:left="720" w:hanging="720"/>
        <w:contextualSpacing/>
        <w:jc w:val="both"/>
        <w:rPr>
          <w:rFonts w:ascii="Times New Roman" w:hAnsi="Times New Roman" w:cs="Times New Roman"/>
          <w:bCs/>
          <w:sz w:val="24"/>
          <w:szCs w:val="24"/>
        </w:rPr>
      </w:pPr>
      <w:r w:rsidRPr="00985544">
        <w:rPr>
          <w:rFonts w:ascii="Times New Roman" w:hAnsi="Times New Roman" w:cs="Times New Roman"/>
          <w:bCs/>
          <w:sz w:val="24"/>
          <w:szCs w:val="24"/>
        </w:rPr>
        <w:t xml:space="preserve">TBMM. 18 April 2017. </w:t>
      </w:r>
      <w:r w:rsidRPr="00985544">
        <w:rPr>
          <w:rFonts w:ascii="Times New Roman" w:hAnsi="Times New Roman" w:cs="Times New Roman"/>
          <w:color w:val="262626"/>
          <w:sz w:val="24"/>
          <w:szCs w:val="24"/>
        </w:rPr>
        <w:t>Minutes of the Turkish Grand National Assembly. Vol. 45. Session 84.</w:t>
      </w:r>
    </w:p>
    <w:p w14:paraId="3999F707" w14:textId="77777777" w:rsidR="005C795E" w:rsidRPr="00985544" w:rsidRDefault="005C795E" w:rsidP="00703502">
      <w:pPr>
        <w:tabs>
          <w:tab w:val="left" w:pos="709"/>
        </w:tabs>
        <w:spacing w:after="0" w:line="360" w:lineRule="auto"/>
        <w:ind w:left="720" w:hanging="720"/>
        <w:contextualSpacing/>
        <w:jc w:val="both"/>
        <w:rPr>
          <w:rFonts w:ascii="Times New Roman" w:hAnsi="Times New Roman" w:cs="Times New Roman"/>
          <w:bCs/>
          <w:sz w:val="24"/>
          <w:szCs w:val="24"/>
        </w:rPr>
      </w:pPr>
      <w:r w:rsidRPr="00985544">
        <w:rPr>
          <w:rFonts w:ascii="Times New Roman" w:hAnsi="Times New Roman" w:cs="Times New Roman"/>
          <w:bCs/>
          <w:sz w:val="24"/>
          <w:szCs w:val="24"/>
        </w:rPr>
        <w:t xml:space="preserve">TBMM. 17 July 2017. </w:t>
      </w:r>
      <w:r w:rsidRPr="00985544">
        <w:rPr>
          <w:rFonts w:ascii="Times New Roman" w:hAnsi="Times New Roman" w:cs="Times New Roman"/>
          <w:color w:val="262626"/>
          <w:sz w:val="24"/>
          <w:szCs w:val="24"/>
        </w:rPr>
        <w:t>Minutes of the Turkish Grand National Assembly. Vol. 48. Session 112.</w:t>
      </w:r>
    </w:p>
    <w:p w14:paraId="62A689A1" w14:textId="77777777" w:rsidR="005C795E" w:rsidRPr="00985544" w:rsidRDefault="005C795E" w:rsidP="00703502">
      <w:pPr>
        <w:tabs>
          <w:tab w:val="left" w:pos="709"/>
        </w:tabs>
        <w:spacing w:after="0" w:line="360" w:lineRule="auto"/>
        <w:ind w:left="720" w:hanging="720"/>
        <w:contextualSpacing/>
        <w:jc w:val="both"/>
        <w:rPr>
          <w:rFonts w:ascii="Times New Roman" w:hAnsi="Times New Roman" w:cs="Times New Roman"/>
          <w:bCs/>
          <w:sz w:val="24"/>
          <w:szCs w:val="24"/>
        </w:rPr>
      </w:pPr>
      <w:r w:rsidRPr="00985544">
        <w:rPr>
          <w:rFonts w:ascii="Times New Roman" w:hAnsi="Times New Roman" w:cs="Times New Roman"/>
          <w:bCs/>
          <w:sz w:val="24"/>
          <w:szCs w:val="24"/>
        </w:rPr>
        <w:t xml:space="preserve">TBMM. 17 October 2017. </w:t>
      </w:r>
      <w:r w:rsidRPr="00985544">
        <w:rPr>
          <w:rFonts w:ascii="Times New Roman" w:hAnsi="Times New Roman" w:cs="Times New Roman"/>
          <w:color w:val="262626"/>
          <w:sz w:val="24"/>
          <w:szCs w:val="24"/>
        </w:rPr>
        <w:t>Minutes of the Turkish Grand National Assembly. Vol. 52. Session 9.</w:t>
      </w:r>
    </w:p>
    <w:p w14:paraId="29FAC745" w14:textId="1733923A" w:rsidR="005C795E" w:rsidRPr="00985544" w:rsidRDefault="005C795E" w:rsidP="00703502">
      <w:pPr>
        <w:tabs>
          <w:tab w:val="left" w:pos="709"/>
        </w:tabs>
        <w:spacing w:after="0" w:line="360" w:lineRule="auto"/>
        <w:ind w:left="720" w:hanging="720"/>
        <w:contextualSpacing/>
        <w:jc w:val="both"/>
        <w:rPr>
          <w:rFonts w:ascii="Times New Roman" w:hAnsi="Times New Roman" w:cs="Times New Roman"/>
          <w:sz w:val="24"/>
          <w:szCs w:val="24"/>
        </w:rPr>
      </w:pPr>
      <w:r w:rsidRPr="00985544">
        <w:rPr>
          <w:rFonts w:ascii="Times New Roman" w:hAnsi="Times New Roman" w:cs="Times New Roman"/>
          <w:sz w:val="24"/>
          <w:szCs w:val="24"/>
        </w:rPr>
        <w:t xml:space="preserve">Tunceli Governorship. 2017. </w:t>
      </w:r>
      <w:r>
        <w:rPr>
          <w:rFonts w:ascii="Times New Roman" w:hAnsi="Times New Roman" w:cs="Times New Roman"/>
          <w:sz w:val="24"/>
          <w:szCs w:val="24"/>
        </w:rPr>
        <w:t>“</w:t>
      </w:r>
      <w:r w:rsidRPr="00985544">
        <w:rPr>
          <w:rFonts w:ascii="Times New Roman" w:hAnsi="Times New Roman" w:cs="Times New Roman"/>
          <w:sz w:val="24"/>
          <w:szCs w:val="24"/>
        </w:rPr>
        <w:t>Geçici Özel Güvenlik Bölgesi İlanı</w:t>
      </w:r>
      <w:r>
        <w:rPr>
          <w:rFonts w:ascii="Times New Roman" w:hAnsi="Times New Roman" w:cs="Times New Roman"/>
          <w:sz w:val="24"/>
          <w:szCs w:val="24"/>
        </w:rPr>
        <w:t xml:space="preserve">” [Declaration of </w:t>
      </w:r>
      <w:r w:rsidRPr="00516213">
        <w:rPr>
          <w:rFonts w:ascii="Times New Roman" w:eastAsiaTheme="majorEastAsia" w:hAnsi="Times New Roman" w:cs="Times New Roman"/>
          <w:bCs/>
          <w:sz w:val="24"/>
          <w:szCs w:val="24"/>
        </w:rPr>
        <w:t>temporary special security zone</w:t>
      </w:r>
      <w:r>
        <w:rPr>
          <w:rFonts w:ascii="Times New Roman" w:eastAsiaTheme="majorEastAsia" w:hAnsi="Times New Roman" w:cs="Times New Roman"/>
          <w:bCs/>
          <w:sz w:val="24"/>
          <w:szCs w:val="24"/>
        </w:rPr>
        <w:t>].</w:t>
      </w:r>
      <w:r w:rsidRPr="00985544">
        <w:rPr>
          <w:rFonts w:ascii="Times New Roman" w:hAnsi="Times New Roman" w:cs="Times New Roman"/>
          <w:sz w:val="24"/>
          <w:szCs w:val="24"/>
        </w:rPr>
        <w:t xml:space="preserve"> October 16</w:t>
      </w:r>
      <w:r>
        <w:rPr>
          <w:rFonts w:ascii="Times New Roman" w:hAnsi="Times New Roman" w:cs="Times New Roman"/>
          <w:sz w:val="24"/>
          <w:szCs w:val="24"/>
        </w:rPr>
        <w:t>.</w:t>
      </w:r>
      <w:r w:rsidRPr="00985544">
        <w:rPr>
          <w:rFonts w:ascii="Times New Roman" w:hAnsi="Times New Roman" w:cs="Times New Roman"/>
          <w:sz w:val="24"/>
          <w:szCs w:val="24"/>
        </w:rPr>
        <w:t xml:space="preserve"> </w:t>
      </w:r>
      <w:r w:rsidRPr="00985544">
        <w:rPr>
          <w:rFonts w:ascii="Times New Roman" w:hAnsi="Times New Roman" w:cs="Times New Roman"/>
          <w:color w:val="171717"/>
          <w:sz w:val="24"/>
          <w:szCs w:val="24"/>
        </w:rPr>
        <w:t>http://www.tunceli.gov.tr/gecici-ozel-guvenlik-bolgesi-ilani-165</w:t>
      </w:r>
    </w:p>
    <w:p w14:paraId="14BB7D7B" w14:textId="57BEBA41" w:rsidR="005C795E" w:rsidRPr="00985544" w:rsidRDefault="005C795E" w:rsidP="00703502">
      <w:pPr>
        <w:pStyle w:val="ListParagraph"/>
        <w:tabs>
          <w:tab w:val="left" w:pos="709"/>
        </w:tabs>
        <w:spacing w:after="0" w:line="360" w:lineRule="auto"/>
        <w:ind w:left="709" w:hanging="709"/>
        <w:jc w:val="both"/>
        <w:rPr>
          <w:rFonts w:ascii="Times New Roman" w:hAnsi="Times New Roman" w:cs="Times New Roman"/>
          <w:sz w:val="24"/>
          <w:szCs w:val="24"/>
        </w:rPr>
      </w:pPr>
      <w:r w:rsidRPr="00985544">
        <w:rPr>
          <w:rFonts w:ascii="Times New Roman" w:hAnsi="Times New Roman" w:cs="Times New Roman"/>
          <w:sz w:val="24"/>
          <w:szCs w:val="24"/>
        </w:rPr>
        <w:t xml:space="preserve">Tunceli Governorship. 2020. </w:t>
      </w:r>
      <w:r>
        <w:rPr>
          <w:rFonts w:ascii="Times New Roman" w:hAnsi="Times New Roman" w:cs="Times New Roman"/>
          <w:sz w:val="24"/>
          <w:szCs w:val="24"/>
        </w:rPr>
        <w:t>“</w:t>
      </w:r>
      <w:r w:rsidRPr="00985544">
        <w:rPr>
          <w:rFonts w:ascii="Times New Roman" w:hAnsi="Times New Roman" w:cs="Times New Roman"/>
          <w:sz w:val="24"/>
          <w:szCs w:val="24"/>
        </w:rPr>
        <w:t>Geçici Özel Güvenlik Bölgesi İlanı</w:t>
      </w:r>
      <w:r>
        <w:rPr>
          <w:rFonts w:ascii="Times New Roman" w:hAnsi="Times New Roman" w:cs="Times New Roman"/>
          <w:sz w:val="24"/>
          <w:szCs w:val="24"/>
        </w:rPr>
        <w:t xml:space="preserve">.” [Declaration of </w:t>
      </w:r>
      <w:r w:rsidRPr="00516213">
        <w:rPr>
          <w:rFonts w:ascii="Times New Roman" w:eastAsiaTheme="majorEastAsia" w:hAnsi="Times New Roman" w:cs="Times New Roman"/>
          <w:bCs/>
          <w:sz w:val="24"/>
          <w:szCs w:val="24"/>
        </w:rPr>
        <w:t>temporary special security zone</w:t>
      </w:r>
      <w:r>
        <w:rPr>
          <w:rFonts w:ascii="Times New Roman" w:eastAsiaTheme="majorEastAsia" w:hAnsi="Times New Roman" w:cs="Times New Roman"/>
          <w:bCs/>
          <w:sz w:val="24"/>
          <w:szCs w:val="24"/>
        </w:rPr>
        <w:t>].</w:t>
      </w:r>
      <w:r w:rsidRPr="00985544">
        <w:rPr>
          <w:rFonts w:ascii="Times New Roman" w:hAnsi="Times New Roman" w:cs="Times New Roman"/>
          <w:sz w:val="24"/>
          <w:szCs w:val="24"/>
        </w:rPr>
        <w:t xml:space="preserve"> December 31, </w:t>
      </w:r>
      <w:hyperlink r:id="rId11" w:history="1">
        <w:r w:rsidRPr="00985544">
          <w:rPr>
            <w:rStyle w:val="Hyperlink"/>
            <w:rFonts w:ascii="Times New Roman" w:hAnsi="Times New Roman" w:cs="Times New Roman"/>
            <w:sz w:val="24"/>
            <w:szCs w:val="24"/>
          </w:rPr>
          <w:t>http://www.tunceli.gov.tr/gecici-ozel-guvenlik-bolgesi-ilani-30</w:t>
        </w:r>
      </w:hyperlink>
      <w:r w:rsidRPr="00985544">
        <w:rPr>
          <w:rFonts w:ascii="Times New Roman" w:hAnsi="Times New Roman" w:cs="Times New Roman"/>
          <w:sz w:val="24"/>
          <w:szCs w:val="24"/>
        </w:rPr>
        <w:t xml:space="preserve">. </w:t>
      </w:r>
    </w:p>
    <w:p w14:paraId="77C9A23C" w14:textId="4775D150" w:rsidR="005C795E" w:rsidRPr="00985544" w:rsidRDefault="005C795E" w:rsidP="00703502">
      <w:pPr>
        <w:tabs>
          <w:tab w:val="left" w:pos="709"/>
        </w:tabs>
        <w:spacing w:after="0" w:line="360" w:lineRule="auto"/>
        <w:ind w:left="720" w:hanging="720"/>
        <w:contextualSpacing/>
        <w:jc w:val="both"/>
        <w:rPr>
          <w:rFonts w:ascii="Times New Roman" w:hAnsi="Times New Roman" w:cs="Times New Roman"/>
          <w:sz w:val="24"/>
          <w:szCs w:val="24"/>
        </w:rPr>
      </w:pPr>
      <w:r w:rsidRPr="00985544">
        <w:rPr>
          <w:rFonts w:ascii="Times New Roman" w:hAnsi="Times New Roman" w:cs="Times New Roman"/>
          <w:sz w:val="24"/>
          <w:szCs w:val="24"/>
        </w:rPr>
        <w:t xml:space="preserve">Turam, B. 2012. “Turkey Under the AKP. Are Rights and Liberties Safe?” </w:t>
      </w:r>
      <w:r w:rsidRPr="00985544">
        <w:rPr>
          <w:rFonts w:ascii="Times New Roman" w:hAnsi="Times New Roman" w:cs="Times New Roman"/>
          <w:i/>
          <w:sz w:val="24"/>
          <w:szCs w:val="24"/>
        </w:rPr>
        <w:t>Journal of Democracy</w:t>
      </w:r>
      <w:r w:rsidRPr="00985544">
        <w:rPr>
          <w:rFonts w:ascii="Times New Roman" w:hAnsi="Times New Roman" w:cs="Times New Roman"/>
          <w:sz w:val="24"/>
          <w:szCs w:val="24"/>
        </w:rPr>
        <w:t xml:space="preserve"> 23</w:t>
      </w:r>
      <w:r>
        <w:rPr>
          <w:rFonts w:ascii="Times New Roman" w:hAnsi="Times New Roman" w:cs="Times New Roman"/>
          <w:sz w:val="24"/>
          <w:szCs w:val="24"/>
        </w:rPr>
        <w:t xml:space="preserve"> (</w:t>
      </w:r>
      <w:r w:rsidRPr="00985544">
        <w:rPr>
          <w:rFonts w:ascii="Times New Roman" w:hAnsi="Times New Roman" w:cs="Times New Roman"/>
          <w:sz w:val="24"/>
          <w:szCs w:val="24"/>
        </w:rPr>
        <w:t>1</w:t>
      </w:r>
      <w:r>
        <w:rPr>
          <w:rFonts w:ascii="Times New Roman" w:hAnsi="Times New Roman" w:cs="Times New Roman"/>
          <w:sz w:val="24"/>
          <w:szCs w:val="24"/>
        </w:rPr>
        <w:t>)</w:t>
      </w:r>
      <w:r w:rsidRPr="00985544">
        <w:rPr>
          <w:rFonts w:ascii="Times New Roman" w:hAnsi="Times New Roman" w:cs="Times New Roman"/>
          <w:sz w:val="24"/>
          <w:szCs w:val="24"/>
        </w:rPr>
        <w:t>: 109-118.</w:t>
      </w:r>
    </w:p>
    <w:p w14:paraId="0D61CDBD" w14:textId="77777777" w:rsidR="005C795E" w:rsidRPr="00985544" w:rsidRDefault="005C795E" w:rsidP="00703502">
      <w:pPr>
        <w:tabs>
          <w:tab w:val="left" w:pos="709"/>
        </w:tabs>
        <w:spacing w:after="0" w:line="360" w:lineRule="auto"/>
        <w:ind w:left="720" w:hanging="720"/>
        <w:contextualSpacing/>
        <w:jc w:val="both"/>
        <w:rPr>
          <w:rFonts w:ascii="Times New Roman" w:hAnsi="Times New Roman" w:cs="Times New Roman"/>
          <w:sz w:val="24"/>
          <w:szCs w:val="24"/>
        </w:rPr>
      </w:pPr>
      <w:bookmarkStart w:id="5" w:name="_Hlk109144192"/>
      <w:r w:rsidRPr="00985544">
        <w:rPr>
          <w:rFonts w:ascii="Times New Roman" w:hAnsi="Times New Roman" w:cs="Times New Roman"/>
          <w:sz w:val="24"/>
          <w:szCs w:val="24"/>
        </w:rPr>
        <w:t xml:space="preserve">Turkey Purge. 2022. </w:t>
      </w:r>
      <w:bookmarkEnd w:id="5"/>
      <w:r w:rsidRPr="00985544">
        <w:rPr>
          <w:rFonts w:ascii="Times New Roman" w:hAnsi="Times New Roman" w:cs="Times New Roman"/>
          <w:sz w:val="24"/>
          <w:szCs w:val="24"/>
        </w:rPr>
        <w:t xml:space="preserve">Turkey’s Post Coup Crackdown. </w:t>
      </w:r>
      <w:hyperlink r:id="rId12" w:history="1">
        <w:r w:rsidRPr="00985544">
          <w:rPr>
            <w:rStyle w:val="Hyperlink"/>
            <w:rFonts w:ascii="Times New Roman" w:hAnsi="Times New Roman" w:cs="Times New Roman"/>
            <w:sz w:val="24"/>
            <w:szCs w:val="24"/>
          </w:rPr>
          <w:t>https://turkeypurge.com/</w:t>
        </w:r>
      </w:hyperlink>
    </w:p>
    <w:p w14:paraId="7C1E7B89" w14:textId="2762D6A1" w:rsidR="005C795E" w:rsidRPr="00985544" w:rsidRDefault="005C795E" w:rsidP="00703502">
      <w:pPr>
        <w:widowControl w:val="0"/>
        <w:tabs>
          <w:tab w:val="left" w:pos="709"/>
        </w:tabs>
        <w:autoSpaceDE w:val="0"/>
        <w:autoSpaceDN w:val="0"/>
        <w:adjustRightInd w:val="0"/>
        <w:spacing w:after="0" w:line="360" w:lineRule="auto"/>
        <w:ind w:left="709" w:hanging="709"/>
        <w:jc w:val="both"/>
        <w:rPr>
          <w:rFonts w:ascii="Times New Roman" w:hAnsi="Times New Roman" w:cs="Times New Roman"/>
          <w:sz w:val="24"/>
          <w:szCs w:val="24"/>
        </w:rPr>
      </w:pPr>
      <w:r w:rsidRPr="00985544">
        <w:rPr>
          <w:rFonts w:ascii="Times New Roman" w:hAnsi="Times New Roman" w:cs="Times New Roman"/>
          <w:sz w:val="24"/>
          <w:szCs w:val="24"/>
        </w:rPr>
        <w:t>Turkut, E. 2019. “Accommodating Security Imperatives v. Protecting Fundamental Rights: The Challenge of States of Emergency in the Context of Countering Terrorism in Turkey</w:t>
      </w:r>
      <w:r>
        <w:rPr>
          <w:rFonts w:ascii="Times New Roman" w:hAnsi="Times New Roman" w:cs="Times New Roman"/>
          <w:sz w:val="24"/>
          <w:szCs w:val="24"/>
        </w:rPr>
        <w:t>.</w:t>
      </w:r>
      <w:r w:rsidRPr="00985544">
        <w:rPr>
          <w:rFonts w:ascii="Times New Roman" w:hAnsi="Times New Roman" w:cs="Times New Roman"/>
          <w:sz w:val="24"/>
          <w:szCs w:val="24"/>
        </w:rPr>
        <w:t xml:space="preserve">” </w:t>
      </w:r>
      <w:r w:rsidRPr="00985544">
        <w:rPr>
          <w:rFonts w:ascii="Times New Roman" w:hAnsi="Times New Roman" w:cs="Times New Roman"/>
          <w:i/>
          <w:sz w:val="24"/>
          <w:szCs w:val="24"/>
        </w:rPr>
        <w:t>Security and Human Rights</w:t>
      </w:r>
      <w:r w:rsidRPr="00985544">
        <w:rPr>
          <w:rFonts w:ascii="Times New Roman" w:hAnsi="Times New Roman" w:cs="Times New Roman"/>
          <w:sz w:val="24"/>
          <w:szCs w:val="24"/>
        </w:rPr>
        <w:t xml:space="preserve"> 28 </w:t>
      </w:r>
      <w:r>
        <w:rPr>
          <w:rFonts w:ascii="Times New Roman" w:hAnsi="Times New Roman" w:cs="Times New Roman"/>
          <w:sz w:val="24"/>
          <w:szCs w:val="24"/>
        </w:rPr>
        <w:t>(</w:t>
      </w:r>
      <w:r w:rsidRPr="00985544">
        <w:rPr>
          <w:rFonts w:ascii="Times New Roman" w:hAnsi="Times New Roman" w:cs="Times New Roman"/>
          <w:sz w:val="24"/>
          <w:szCs w:val="24"/>
        </w:rPr>
        <w:t>1–4</w:t>
      </w:r>
      <w:r>
        <w:rPr>
          <w:rFonts w:ascii="Times New Roman" w:hAnsi="Times New Roman" w:cs="Times New Roman"/>
          <w:sz w:val="24"/>
          <w:szCs w:val="24"/>
        </w:rPr>
        <w:t>)</w:t>
      </w:r>
      <w:r w:rsidRPr="00985544">
        <w:rPr>
          <w:rFonts w:ascii="Times New Roman" w:hAnsi="Times New Roman" w:cs="Times New Roman"/>
          <w:sz w:val="24"/>
          <w:szCs w:val="24"/>
        </w:rPr>
        <w:t>: 62–91.</w:t>
      </w:r>
      <w:r>
        <w:rPr>
          <w:rFonts w:ascii="Times New Roman" w:hAnsi="Times New Roman" w:cs="Times New Roman"/>
          <w:sz w:val="24"/>
          <w:szCs w:val="24"/>
        </w:rPr>
        <w:t xml:space="preserve"> </w:t>
      </w:r>
      <w:r w:rsidRPr="00A15A29">
        <w:rPr>
          <w:rFonts w:ascii="Times New Roman" w:hAnsi="Times New Roman" w:cs="Times New Roman"/>
          <w:sz w:val="24"/>
          <w:szCs w:val="24"/>
        </w:rPr>
        <w:t>doi:10.1163/18750230-02801002</w:t>
      </w:r>
    </w:p>
    <w:p w14:paraId="38763998" w14:textId="15D09DCE" w:rsidR="005C795E" w:rsidRPr="00985544" w:rsidRDefault="005C795E" w:rsidP="00703502">
      <w:pPr>
        <w:widowControl w:val="0"/>
        <w:tabs>
          <w:tab w:val="left" w:pos="709"/>
        </w:tabs>
        <w:autoSpaceDE w:val="0"/>
        <w:autoSpaceDN w:val="0"/>
        <w:adjustRightInd w:val="0"/>
        <w:spacing w:after="0" w:line="360" w:lineRule="auto"/>
        <w:ind w:left="709" w:hanging="709"/>
        <w:jc w:val="both"/>
        <w:rPr>
          <w:rFonts w:ascii="Times New Roman" w:hAnsi="Times New Roman" w:cs="Times New Roman"/>
          <w:sz w:val="24"/>
          <w:szCs w:val="24"/>
        </w:rPr>
      </w:pPr>
      <w:r w:rsidRPr="00985544">
        <w:rPr>
          <w:rFonts w:ascii="Times New Roman" w:hAnsi="Times New Roman" w:cs="Times New Roman"/>
          <w:sz w:val="24"/>
          <w:szCs w:val="24"/>
        </w:rPr>
        <w:t xml:space="preserve">Turkut, E. and T. Philips. 2021. </w:t>
      </w:r>
      <w:r>
        <w:rPr>
          <w:rFonts w:ascii="Times New Roman" w:hAnsi="Times New Roman" w:cs="Times New Roman"/>
          <w:sz w:val="24"/>
          <w:szCs w:val="24"/>
        </w:rPr>
        <w:t>“</w:t>
      </w:r>
      <w:r w:rsidRPr="00985544">
        <w:rPr>
          <w:rFonts w:ascii="Times New Roman" w:hAnsi="Times New Roman" w:cs="Times New Roman"/>
          <w:sz w:val="24"/>
          <w:szCs w:val="24"/>
        </w:rPr>
        <w:t>Non-Discrimination, Minority Rights and Self-Determination: Turkey’s Post-Coup State of Emergency and the Position of Turkey’s Kurds.</w:t>
      </w:r>
      <w:r>
        <w:rPr>
          <w:rFonts w:ascii="Times New Roman" w:hAnsi="Times New Roman" w:cs="Times New Roman"/>
          <w:sz w:val="24"/>
          <w:szCs w:val="24"/>
        </w:rPr>
        <w:t>”</w:t>
      </w:r>
      <w:r w:rsidRPr="00985544">
        <w:rPr>
          <w:rFonts w:ascii="Times New Roman" w:hAnsi="Times New Roman" w:cs="Times New Roman"/>
          <w:sz w:val="24"/>
          <w:szCs w:val="24"/>
        </w:rPr>
        <w:t xml:space="preserve"> In </w:t>
      </w:r>
      <w:r w:rsidRPr="00985544">
        <w:rPr>
          <w:rFonts w:ascii="Times New Roman" w:hAnsi="Times New Roman" w:cs="Times New Roman"/>
          <w:i/>
          <w:sz w:val="24"/>
          <w:szCs w:val="24"/>
        </w:rPr>
        <w:t>Human Rights in Turkey: Assaults on Human Dignity</w:t>
      </w:r>
      <w:r w:rsidRPr="00035A39">
        <w:rPr>
          <w:rFonts w:ascii="Times New Roman" w:hAnsi="Times New Roman" w:cs="Times New Roman"/>
          <w:iCs/>
          <w:sz w:val="24"/>
          <w:szCs w:val="24"/>
        </w:rPr>
        <w:t>, edited by</w:t>
      </w:r>
      <w:r>
        <w:rPr>
          <w:rFonts w:ascii="Times New Roman" w:hAnsi="Times New Roman" w:cs="Times New Roman"/>
          <w:i/>
          <w:sz w:val="24"/>
          <w:szCs w:val="24"/>
        </w:rPr>
        <w:t xml:space="preserve"> </w:t>
      </w:r>
      <w:r w:rsidRPr="00985544">
        <w:rPr>
          <w:rFonts w:ascii="Times New Roman" w:hAnsi="Times New Roman" w:cs="Times New Roman"/>
          <w:sz w:val="24"/>
          <w:szCs w:val="24"/>
        </w:rPr>
        <w:t xml:space="preserve">H. Aydın and W. Langley, 109-130. Springer. </w:t>
      </w:r>
    </w:p>
    <w:p w14:paraId="2A8C5BC1" w14:textId="77777777" w:rsidR="005C795E" w:rsidRPr="00985544" w:rsidRDefault="005C795E" w:rsidP="00703502">
      <w:pPr>
        <w:tabs>
          <w:tab w:val="left" w:pos="709"/>
        </w:tabs>
        <w:spacing w:after="0" w:line="360" w:lineRule="auto"/>
        <w:ind w:left="720" w:hanging="720"/>
        <w:contextualSpacing/>
        <w:jc w:val="both"/>
        <w:rPr>
          <w:rFonts w:ascii="Times New Roman" w:hAnsi="Times New Roman" w:cs="Times New Roman"/>
          <w:bCs/>
          <w:sz w:val="24"/>
          <w:szCs w:val="24"/>
        </w:rPr>
      </w:pPr>
      <w:r w:rsidRPr="00985544">
        <w:rPr>
          <w:rFonts w:ascii="Times New Roman" w:hAnsi="Times New Roman" w:cs="Times New Roman"/>
          <w:bCs/>
          <w:sz w:val="24"/>
          <w:szCs w:val="24"/>
        </w:rPr>
        <w:t xml:space="preserve">Venice Commission. 2016. Turkey. Opinion on Emergency Decrees Laws Nos 667-676 Adopted Following the Failed Coup of 15 July 2016. </w:t>
      </w:r>
      <w:hyperlink r:id="rId13" w:history="1">
        <w:r w:rsidRPr="00985544">
          <w:rPr>
            <w:rStyle w:val="Hyperlink"/>
            <w:rFonts w:ascii="Times New Roman" w:hAnsi="Times New Roman" w:cs="Times New Roman"/>
            <w:bCs/>
            <w:sz w:val="24"/>
            <w:szCs w:val="24"/>
          </w:rPr>
          <w:t>https://www.venice.coe.int/webforms/documents/default.aspx?pdffile=CDL-AD(2016)037-e</w:t>
        </w:r>
      </w:hyperlink>
    </w:p>
    <w:p w14:paraId="65A8C54A" w14:textId="77777777" w:rsidR="005C795E" w:rsidRPr="00985544" w:rsidRDefault="005C795E" w:rsidP="00703502">
      <w:pPr>
        <w:tabs>
          <w:tab w:val="left" w:pos="709"/>
        </w:tabs>
        <w:spacing w:after="0" w:line="360" w:lineRule="auto"/>
        <w:ind w:left="720" w:hanging="720"/>
        <w:contextualSpacing/>
        <w:jc w:val="both"/>
        <w:rPr>
          <w:rFonts w:ascii="Times New Roman" w:hAnsi="Times New Roman" w:cs="Times New Roman"/>
          <w:bCs/>
          <w:sz w:val="24"/>
          <w:szCs w:val="24"/>
        </w:rPr>
      </w:pPr>
      <w:r w:rsidRPr="00985544">
        <w:rPr>
          <w:rFonts w:ascii="Times New Roman" w:hAnsi="Times New Roman" w:cs="Times New Roman"/>
          <w:bCs/>
          <w:sz w:val="24"/>
          <w:szCs w:val="24"/>
        </w:rPr>
        <w:t xml:space="preserve">Watts, N. 2009. “Re-Considering State-Society Dynamics in Turkey’s Kurdish Southeast”. </w:t>
      </w:r>
      <w:r w:rsidRPr="00985544">
        <w:rPr>
          <w:rFonts w:ascii="Times New Roman" w:hAnsi="Times New Roman" w:cs="Times New Roman"/>
          <w:bCs/>
          <w:i/>
          <w:iCs/>
          <w:sz w:val="24"/>
          <w:szCs w:val="24"/>
        </w:rPr>
        <w:t>European Journal of Turkish Studies</w:t>
      </w:r>
      <w:r w:rsidRPr="00985544">
        <w:rPr>
          <w:rFonts w:ascii="Times New Roman" w:hAnsi="Times New Roman" w:cs="Times New Roman"/>
          <w:bCs/>
          <w:sz w:val="24"/>
          <w:szCs w:val="24"/>
        </w:rPr>
        <w:t xml:space="preserve"> [Online] 10: </w:t>
      </w:r>
      <w:r w:rsidRPr="00985544">
        <w:rPr>
          <w:rFonts w:ascii="Times New Roman" w:hAnsi="Times New Roman" w:cs="Times New Roman"/>
          <w:sz w:val="24"/>
          <w:szCs w:val="24"/>
        </w:rPr>
        <w:t>DOI: 10.4000/ejts.4196.</w:t>
      </w:r>
    </w:p>
    <w:p w14:paraId="16A5A158" w14:textId="3C18DD88" w:rsidR="005C795E" w:rsidRPr="00985544" w:rsidRDefault="005C795E" w:rsidP="00703502">
      <w:pPr>
        <w:tabs>
          <w:tab w:val="left" w:pos="709"/>
        </w:tabs>
        <w:spacing w:after="0" w:line="360" w:lineRule="auto"/>
        <w:ind w:left="720" w:hanging="720"/>
        <w:contextualSpacing/>
        <w:jc w:val="both"/>
        <w:rPr>
          <w:rFonts w:ascii="Times New Roman" w:hAnsi="Times New Roman" w:cs="Times New Roman"/>
          <w:bCs/>
          <w:sz w:val="24"/>
          <w:szCs w:val="24"/>
        </w:rPr>
      </w:pPr>
      <w:r w:rsidRPr="00985544">
        <w:rPr>
          <w:rFonts w:ascii="Times New Roman" w:hAnsi="Times New Roman" w:cs="Times New Roman"/>
          <w:bCs/>
          <w:sz w:val="24"/>
          <w:szCs w:val="24"/>
        </w:rPr>
        <w:t>White, J. 2015. “Emergency Europe</w:t>
      </w:r>
      <w:r>
        <w:rPr>
          <w:rFonts w:ascii="Times New Roman" w:hAnsi="Times New Roman" w:cs="Times New Roman"/>
          <w:bCs/>
          <w:sz w:val="24"/>
          <w:szCs w:val="24"/>
        </w:rPr>
        <w:t>.</w:t>
      </w:r>
      <w:r w:rsidRPr="00985544">
        <w:rPr>
          <w:rFonts w:ascii="Times New Roman" w:hAnsi="Times New Roman" w:cs="Times New Roman"/>
          <w:bCs/>
          <w:sz w:val="24"/>
          <w:szCs w:val="24"/>
        </w:rPr>
        <w:t xml:space="preserve">” </w:t>
      </w:r>
      <w:r w:rsidRPr="00985544">
        <w:rPr>
          <w:rFonts w:ascii="Times New Roman" w:hAnsi="Times New Roman" w:cs="Times New Roman"/>
          <w:bCs/>
          <w:i/>
          <w:sz w:val="24"/>
          <w:szCs w:val="24"/>
        </w:rPr>
        <w:t>Political Studies</w:t>
      </w:r>
      <w:r w:rsidRPr="00985544">
        <w:rPr>
          <w:rFonts w:ascii="Times New Roman" w:hAnsi="Times New Roman" w:cs="Times New Roman"/>
          <w:bCs/>
          <w:sz w:val="24"/>
          <w:szCs w:val="24"/>
        </w:rPr>
        <w:t xml:space="preserve"> 63 </w:t>
      </w:r>
      <w:r>
        <w:rPr>
          <w:rFonts w:ascii="Times New Roman" w:hAnsi="Times New Roman" w:cs="Times New Roman"/>
          <w:bCs/>
          <w:sz w:val="24"/>
          <w:szCs w:val="24"/>
        </w:rPr>
        <w:t>(</w:t>
      </w:r>
      <w:r w:rsidRPr="00985544">
        <w:rPr>
          <w:rFonts w:ascii="Times New Roman" w:hAnsi="Times New Roman" w:cs="Times New Roman"/>
          <w:bCs/>
          <w:sz w:val="24"/>
          <w:szCs w:val="24"/>
        </w:rPr>
        <w:t>2</w:t>
      </w:r>
      <w:r>
        <w:rPr>
          <w:rFonts w:ascii="Times New Roman" w:hAnsi="Times New Roman" w:cs="Times New Roman"/>
          <w:bCs/>
          <w:sz w:val="24"/>
          <w:szCs w:val="24"/>
        </w:rPr>
        <w:t>)</w:t>
      </w:r>
      <w:r w:rsidRPr="00985544">
        <w:rPr>
          <w:rFonts w:ascii="Times New Roman" w:hAnsi="Times New Roman" w:cs="Times New Roman"/>
          <w:bCs/>
          <w:sz w:val="24"/>
          <w:szCs w:val="24"/>
        </w:rPr>
        <w:t>: 300–318.</w:t>
      </w:r>
      <w:r>
        <w:rPr>
          <w:rFonts w:ascii="Times New Roman" w:hAnsi="Times New Roman" w:cs="Times New Roman"/>
          <w:bCs/>
          <w:sz w:val="24"/>
          <w:szCs w:val="24"/>
        </w:rPr>
        <w:t xml:space="preserve"> </w:t>
      </w:r>
      <w:r w:rsidRPr="004C3223">
        <w:rPr>
          <w:rFonts w:ascii="Times New Roman" w:hAnsi="Times New Roman" w:cs="Times New Roman"/>
          <w:bCs/>
          <w:sz w:val="24"/>
          <w:szCs w:val="24"/>
        </w:rPr>
        <w:t>doi:10.1111/1467-9248.1</w:t>
      </w:r>
    </w:p>
    <w:p w14:paraId="6B2B714D" w14:textId="53FDA685" w:rsidR="005C795E" w:rsidRPr="00985544" w:rsidRDefault="005C795E" w:rsidP="00703502">
      <w:pPr>
        <w:tabs>
          <w:tab w:val="left" w:pos="709"/>
        </w:tabs>
        <w:spacing w:after="0" w:line="360" w:lineRule="auto"/>
        <w:ind w:left="720" w:hanging="720"/>
        <w:contextualSpacing/>
        <w:jc w:val="both"/>
        <w:rPr>
          <w:rFonts w:ascii="Times New Roman" w:hAnsi="Times New Roman" w:cs="Times New Roman"/>
          <w:bCs/>
          <w:sz w:val="24"/>
          <w:szCs w:val="24"/>
        </w:rPr>
      </w:pPr>
      <w:r w:rsidRPr="00985544">
        <w:rPr>
          <w:rFonts w:ascii="Times New Roman" w:hAnsi="Times New Roman" w:cs="Times New Roman"/>
          <w:bCs/>
          <w:sz w:val="24"/>
          <w:szCs w:val="24"/>
        </w:rPr>
        <w:t>Whiting, M. and Z. Kaya. 2021. “Autocratization, Permanent Emergency Rule and Local Politics: Lessons from the Kurds in Turkey</w:t>
      </w:r>
      <w:r>
        <w:rPr>
          <w:rFonts w:ascii="Times New Roman" w:hAnsi="Times New Roman" w:cs="Times New Roman"/>
          <w:bCs/>
          <w:sz w:val="24"/>
          <w:szCs w:val="24"/>
        </w:rPr>
        <w:t>.</w:t>
      </w:r>
      <w:r w:rsidRPr="00985544">
        <w:rPr>
          <w:rFonts w:ascii="Times New Roman" w:hAnsi="Times New Roman" w:cs="Times New Roman"/>
          <w:bCs/>
          <w:sz w:val="24"/>
          <w:szCs w:val="24"/>
        </w:rPr>
        <w:t xml:space="preserve">” </w:t>
      </w:r>
      <w:r w:rsidRPr="00985544">
        <w:rPr>
          <w:rFonts w:ascii="Times New Roman" w:hAnsi="Times New Roman" w:cs="Times New Roman"/>
          <w:bCs/>
          <w:i/>
          <w:iCs/>
          <w:sz w:val="24"/>
          <w:szCs w:val="24"/>
        </w:rPr>
        <w:t>Democratization</w:t>
      </w:r>
      <w:r w:rsidRPr="00985544">
        <w:rPr>
          <w:rFonts w:ascii="Times New Roman" w:hAnsi="Times New Roman" w:cs="Times New Roman"/>
          <w:bCs/>
          <w:sz w:val="24"/>
          <w:szCs w:val="24"/>
        </w:rPr>
        <w:t xml:space="preserve"> 28</w:t>
      </w:r>
      <w:r>
        <w:rPr>
          <w:rFonts w:ascii="Times New Roman" w:hAnsi="Times New Roman" w:cs="Times New Roman"/>
          <w:bCs/>
          <w:sz w:val="24"/>
          <w:szCs w:val="24"/>
        </w:rPr>
        <w:t xml:space="preserve"> (</w:t>
      </w:r>
      <w:r w:rsidRPr="00985544">
        <w:rPr>
          <w:rFonts w:ascii="Times New Roman" w:hAnsi="Times New Roman" w:cs="Times New Roman"/>
          <w:bCs/>
          <w:sz w:val="24"/>
          <w:szCs w:val="24"/>
        </w:rPr>
        <w:t>4</w:t>
      </w:r>
      <w:r>
        <w:rPr>
          <w:rFonts w:ascii="Times New Roman" w:hAnsi="Times New Roman" w:cs="Times New Roman"/>
          <w:bCs/>
          <w:sz w:val="24"/>
          <w:szCs w:val="24"/>
        </w:rPr>
        <w:t>)</w:t>
      </w:r>
      <w:r w:rsidRPr="00985544">
        <w:rPr>
          <w:rFonts w:ascii="Times New Roman" w:hAnsi="Times New Roman" w:cs="Times New Roman"/>
          <w:bCs/>
          <w:sz w:val="24"/>
          <w:szCs w:val="24"/>
        </w:rPr>
        <w:t>: 821–839.</w:t>
      </w:r>
      <w:r>
        <w:rPr>
          <w:rFonts w:ascii="Times New Roman" w:hAnsi="Times New Roman" w:cs="Times New Roman"/>
          <w:bCs/>
          <w:sz w:val="24"/>
          <w:szCs w:val="24"/>
        </w:rPr>
        <w:t xml:space="preserve"> </w:t>
      </w:r>
      <w:r w:rsidRPr="00E423C7">
        <w:rPr>
          <w:rFonts w:ascii="Times New Roman" w:hAnsi="Times New Roman" w:cs="Times New Roman"/>
          <w:bCs/>
          <w:sz w:val="24"/>
          <w:szCs w:val="24"/>
        </w:rPr>
        <w:t>doi:10.1080/13510347.2021.1871602</w:t>
      </w:r>
    </w:p>
    <w:p w14:paraId="7CA689FC" w14:textId="77777777" w:rsidR="005C795E" w:rsidRPr="00985544" w:rsidRDefault="005C795E" w:rsidP="00703502">
      <w:pPr>
        <w:tabs>
          <w:tab w:val="left" w:pos="709"/>
        </w:tabs>
        <w:spacing w:after="0" w:line="360" w:lineRule="auto"/>
        <w:ind w:left="720" w:hanging="720"/>
        <w:contextualSpacing/>
        <w:jc w:val="both"/>
        <w:rPr>
          <w:rFonts w:ascii="Times New Roman" w:hAnsi="Times New Roman" w:cs="Times New Roman"/>
          <w:bCs/>
          <w:sz w:val="24"/>
          <w:szCs w:val="24"/>
        </w:rPr>
      </w:pPr>
      <w:r w:rsidRPr="00985544">
        <w:rPr>
          <w:rFonts w:ascii="Times New Roman" w:hAnsi="Times New Roman" w:cs="Times New Roman"/>
          <w:bCs/>
          <w:sz w:val="24"/>
          <w:szCs w:val="24"/>
        </w:rPr>
        <w:t xml:space="preserve">Wright, C. 2015. </w:t>
      </w:r>
      <w:r w:rsidRPr="00985544">
        <w:rPr>
          <w:rFonts w:ascii="Times New Roman" w:hAnsi="Times New Roman" w:cs="Times New Roman"/>
          <w:bCs/>
          <w:i/>
          <w:iCs/>
          <w:sz w:val="24"/>
          <w:szCs w:val="24"/>
        </w:rPr>
        <w:t>Emergency Politics in the Third Wave of Democracy: A Study of Regimes of Exception in Bolivia, Ecuador, and Peru</w:t>
      </w:r>
      <w:r w:rsidRPr="00985544">
        <w:rPr>
          <w:rFonts w:ascii="Times New Roman" w:hAnsi="Times New Roman" w:cs="Times New Roman"/>
          <w:bCs/>
          <w:sz w:val="24"/>
          <w:szCs w:val="24"/>
        </w:rPr>
        <w:t>. Maryland: Lexington Books.</w:t>
      </w:r>
    </w:p>
    <w:p w14:paraId="1C0881DC" w14:textId="65E4F0E3" w:rsidR="005C795E" w:rsidRPr="00985544" w:rsidRDefault="005C795E" w:rsidP="00703502">
      <w:pPr>
        <w:tabs>
          <w:tab w:val="left" w:pos="709"/>
        </w:tabs>
        <w:spacing w:after="0" w:line="360" w:lineRule="auto"/>
        <w:ind w:left="720" w:hanging="720"/>
        <w:contextualSpacing/>
        <w:jc w:val="both"/>
        <w:rPr>
          <w:rFonts w:ascii="Times New Roman" w:hAnsi="Times New Roman" w:cs="Times New Roman"/>
          <w:bCs/>
          <w:sz w:val="24"/>
          <w:szCs w:val="24"/>
        </w:rPr>
      </w:pPr>
      <w:r w:rsidRPr="00985544">
        <w:rPr>
          <w:rFonts w:ascii="Times New Roman" w:hAnsi="Times New Roman" w:cs="Times New Roman"/>
          <w:bCs/>
          <w:sz w:val="24"/>
          <w:szCs w:val="24"/>
        </w:rPr>
        <w:t>Yavuz, H.M. 2018. “A Framework for Understanding the Intra-Islamist Conflict Between the AK Party and the Gülen Movement</w:t>
      </w:r>
      <w:r>
        <w:rPr>
          <w:rFonts w:ascii="Times New Roman" w:hAnsi="Times New Roman" w:cs="Times New Roman"/>
          <w:bCs/>
          <w:sz w:val="24"/>
          <w:szCs w:val="24"/>
        </w:rPr>
        <w:t>.</w:t>
      </w:r>
      <w:r w:rsidRPr="00985544">
        <w:rPr>
          <w:rFonts w:ascii="Times New Roman" w:hAnsi="Times New Roman" w:cs="Times New Roman"/>
          <w:bCs/>
          <w:sz w:val="24"/>
          <w:szCs w:val="24"/>
        </w:rPr>
        <w:t xml:space="preserve">” </w:t>
      </w:r>
      <w:r w:rsidRPr="00985544">
        <w:rPr>
          <w:rFonts w:ascii="Times New Roman" w:hAnsi="Times New Roman" w:cs="Times New Roman"/>
          <w:bCs/>
          <w:i/>
          <w:iCs/>
          <w:sz w:val="24"/>
          <w:szCs w:val="24"/>
        </w:rPr>
        <w:t>Politics, Religion &amp; Ideology</w:t>
      </w:r>
      <w:r w:rsidRPr="00985544">
        <w:rPr>
          <w:rFonts w:ascii="Times New Roman" w:hAnsi="Times New Roman" w:cs="Times New Roman"/>
          <w:bCs/>
          <w:sz w:val="24"/>
          <w:szCs w:val="24"/>
        </w:rPr>
        <w:t xml:space="preserve"> 19</w:t>
      </w:r>
      <w:r>
        <w:rPr>
          <w:rFonts w:ascii="Times New Roman" w:hAnsi="Times New Roman" w:cs="Times New Roman"/>
          <w:bCs/>
          <w:sz w:val="24"/>
          <w:szCs w:val="24"/>
        </w:rPr>
        <w:t xml:space="preserve"> (</w:t>
      </w:r>
      <w:r w:rsidRPr="00985544">
        <w:rPr>
          <w:rFonts w:ascii="Times New Roman" w:hAnsi="Times New Roman" w:cs="Times New Roman"/>
          <w:bCs/>
          <w:sz w:val="24"/>
          <w:szCs w:val="24"/>
        </w:rPr>
        <w:t>1</w:t>
      </w:r>
      <w:r>
        <w:rPr>
          <w:rFonts w:ascii="Times New Roman" w:hAnsi="Times New Roman" w:cs="Times New Roman"/>
          <w:bCs/>
          <w:sz w:val="24"/>
          <w:szCs w:val="24"/>
        </w:rPr>
        <w:t>)</w:t>
      </w:r>
      <w:r w:rsidRPr="00985544">
        <w:rPr>
          <w:rFonts w:ascii="Times New Roman" w:hAnsi="Times New Roman" w:cs="Times New Roman"/>
          <w:bCs/>
          <w:sz w:val="24"/>
          <w:szCs w:val="24"/>
        </w:rPr>
        <w:t>: 11-32.</w:t>
      </w:r>
      <w:r>
        <w:rPr>
          <w:rFonts w:ascii="Times New Roman" w:hAnsi="Times New Roman" w:cs="Times New Roman"/>
          <w:bCs/>
          <w:sz w:val="24"/>
          <w:szCs w:val="24"/>
        </w:rPr>
        <w:t xml:space="preserve"> </w:t>
      </w:r>
      <w:r w:rsidRPr="00B81850">
        <w:rPr>
          <w:rFonts w:ascii="Times New Roman" w:hAnsi="Times New Roman" w:cs="Times New Roman"/>
          <w:bCs/>
          <w:sz w:val="24"/>
          <w:szCs w:val="24"/>
        </w:rPr>
        <w:t>doi:10.1080/21567689.2018.1453247</w:t>
      </w:r>
    </w:p>
    <w:p w14:paraId="572AAEE9" w14:textId="77777777" w:rsidR="005C795E" w:rsidRPr="00D525B4" w:rsidRDefault="005C795E" w:rsidP="00703502">
      <w:pPr>
        <w:pStyle w:val="EndnoteText"/>
        <w:tabs>
          <w:tab w:val="left" w:pos="709"/>
        </w:tabs>
        <w:spacing w:line="360" w:lineRule="auto"/>
        <w:jc w:val="both"/>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mnesty Trade Gothic">
    <w:altName w:val="Cambria"/>
    <w:panose1 w:val="00000000000000000000"/>
    <w:charset w:val="4D"/>
    <w:family w:val="swiss"/>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AE5D3" w14:textId="77777777" w:rsidR="005C795E" w:rsidRDefault="005C795E" w:rsidP="009535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26417B" w14:textId="77777777" w:rsidR="005C795E" w:rsidRDefault="005C79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7A807" w14:textId="77777777" w:rsidR="005C795E" w:rsidRDefault="005C795E" w:rsidP="009535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05C2">
      <w:rPr>
        <w:rStyle w:val="PageNumber"/>
        <w:noProof/>
      </w:rPr>
      <w:t>19</w:t>
    </w:r>
    <w:r>
      <w:rPr>
        <w:rStyle w:val="PageNumber"/>
      </w:rPr>
      <w:fldChar w:fldCharType="end"/>
    </w:r>
  </w:p>
  <w:p w14:paraId="2C8A58A6" w14:textId="77777777" w:rsidR="005C795E" w:rsidRDefault="005C7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3037D" w14:textId="77777777" w:rsidR="009713DF" w:rsidRDefault="009713DF" w:rsidP="00242D5B">
      <w:pPr>
        <w:spacing w:after="0" w:line="240" w:lineRule="auto"/>
      </w:pPr>
      <w:r>
        <w:separator/>
      </w:r>
    </w:p>
  </w:footnote>
  <w:footnote w:type="continuationSeparator" w:id="0">
    <w:p w14:paraId="4949C7D7" w14:textId="77777777" w:rsidR="009713DF" w:rsidRDefault="009713DF" w:rsidP="00242D5B">
      <w:pPr>
        <w:spacing w:after="0" w:line="240" w:lineRule="auto"/>
      </w:pPr>
      <w:r>
        <w:continuationSeparator/>
      </w:r>
    </w:p>
  </w:footnote>
  <w:footnote w:id="1">
    <w:p w14:paraId="4E7ABE87" w14:textId="6FE135A5" w:rsidR="005C795E" w:rsidRPr="00B34799" w:rsidRDefault="005C795E">
      <w:pPr>
        <w:pStyle w:val="FootnoteText"/>
        <w:rPr>
          <w:lang w:val="tr-TR"/>
        </w:rPr>
      </w:pPr>
      <w:r>
        <w:rPr>
          <w:rStyle w:val="FootnoteReference"/>
        </w:rPr>
        <w:footnoteRef/>
      </w:r>
      <w:r>
        <w:t xml:space="preserve"> </w:t>
      </w:r>
      <w:r>
        <w:rPr>
          <w:lang w:val="tr-TR"/>
        </w:rPr>
        <w:t>Email: alper.kaliber@altinbas.edu.tr</w:t>
      </w:r>
    </w:p>
  </w:footnote>
  <w:footnote w:id="2">
    <w:p w14:paraId="5F6ABF6A" w14:textId="416D3C1F" w:rsidR="005C795E" w:rsidRPr="00B34799" w:rsidRDefault="005C795E">
      <w:pPr>
        <w:pStyle w:val="FootnoteText"/>
        <w:rPr>
          <w:lang w:val="tr-TR"/>
        </w:rPr>
      </w:pPr>
      <w:r>
        <w:rPr>
          <w:rStyle w:val="FootnoteReference"/>
        </w:rPr>
        <w:footnoteRef/>
      </w:r>
      <w:r>
        <w:t xml:space="preserve"> </w:t>
      </w:r>
      <w:r>
        <w:rPr>
          <w:lang w:val="tr-TR"/>
        </w:rPr>
        <w:t>Email: matthew.whiting@york.ac.uk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318AF"/>
    <w:multiLevelType w:val="hybridMultilevel"/>
    <w:tmpl w:val="5A12EE42"/>
    <w:lvl w:ilvl="0" w:tplc="57D0380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E07818"/>
    <w:multiLevelType w:val="hybridMultilevel"/>
    <w:tmpl w:val="7BBA199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46B83583"/>
    <w:multiLevelType w:val="hybridMultilevel"/>
    <w:tmpl w:val="1B62C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9304C8"/>
    <w:multiLevelType w:val="hybridMultilevel"/>
    <w:tmpl w:val="219A7CB0"/>
    <w:lvl w:ilvl="0" w:tplc="D714BFD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0539449">
    <w:abstractNumId w:val="2"/>
  </w:num>
  <w:num w:numId="2" w16cid:durableId="1236668549">
    <w:abstractNumId w:val="1"/>
  </w:num>
  <w:num w:numId="3" w16cid:durableId="1987466897">
    <w:abstractNumId w:val="3"/>
  </w:num>
  <w:num w:numId="4" w16cid:durableId="1947997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hyphenationZone w:val="425"/>
  <w:characterSpacingControl w:val="doNotCompress"/>
  <w:savePreviewPicture/>
  <w:hdrShapeDefaults>
    <o:shapedefaults v:ext="edit" spidmax="2050"/>
  </w:hdrShapeDefault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MzMDc2MTCzNLc0MzJX0lEKTi0uzszPAykwrAUA5OgCnSwAAAA="/>
  </w:docVars>
  <w:rsids>
    <w:rsidRoot w:val="0008546C"/>
    <w:rsid w:val="00003D77"/>
    <w:rsid w:val="00007AB2"/>
    <w:rsid w:val="00007D9D"/>
    <w:rsid w:val="00011F96"/>
    <w:rsid w:val="00013D1F"/>
    <w:rsid w:val="000150A3"/>
    <w:rsid w:val="000173D9"/>
    <w:rsid w:val="000200F2"/>
    <w:rsid w:val="00020ABF"/>
    <w:rsid w:val="00020D66"/>
    <w:rsid w:val="000221F4"/>
    <w:rsid w:val="000313A8"/>
    <w:rsid w:val="00033493"/>
    <w:rsid w:val="000344CF"/>
    <w:rsid w:val="00035A39"/>
    <w:rsid w:val="000369C4"/>
    <w:rsid w:val="00036CC2"/>
    <w:rsid w:val="000469BC"/>
    <w:rsid w:val="00047BA4"/>
    <w:rsid w:val="00051B49"/>
    <w:rsid w:val="00053C18"/>
    <w:rsid w:val="00060B57"/>
    <w:rsid w:val="00061CAF"/>
    <w:rsid w:val="00063DBF"/>
    <w:rsid w:val="00072827"/>
    <w:rsid w:val="00073302"/>
    <w:rsid w:val="00073E94"/>
    <w:rsid w:val="0007571F"/>
    <w:rsid w:val="00083244"/>
    <w:rsid w:val="0008546C"/>
    <w:rsid w:val="000864A3"/>
    <w:rsid w:val="00086D19"/>
    <w:rsid w:val="00086F18"/>
    <w:rsid w:val="0008705A"/>
    <w:rsid w:val="00087928"/>
    <w:rsid w:val="00090EA3"/>
    <w:rsid w:val="000913D9"/>
    <w:rsid w:val="00091953"/>
    <w:rsid w:val="000936BB"/>
    <w:rsid w:val="00095D78"/>
    <w:rsid w:val="00097FD3"/>
    <w:rsid w:val="000A08F0"/>
    <w:rsid w:val="000A4274"/>
    <w:rsid w:val="000A57C0"/>
    <w:rsid w:val="000B4C38"/>
    <w:rsid w:val="000B5E81"/>
    <w:rsid w:val="000B6C11"/>
    <w:rsid w:val="000C0241"/>
    <w:rsid w:val="000C2C1E"/>
    <w:rsid w:val="000C3127"/>
    <w:rsid w:val="000C5322"/>
    <w:rsid w:val="000D10F5"/>
    <w:rsid w:val="000D373E"/>
    <w:rsid w:val="000D5107"/>
    <w:rsid w:val="000D644F"/>
    <w:rsid w:val="000D69AF"/>
    <w:rsid w:val="000D7990"/>
    <w:rsid w:val="000E14C6"/>
    <w:rsid w:val="000E189F"/>
    <w:rsid w:val="000E3320"/>
    <w:rsid w:val="000E73EB"/>
    <w:rsid w:val="000F02D5"/>
    <w:rsid w:val="000F7074"/>
    <w:rsid w:val="000F76DC"/>
    <w:rsid w:val="00100AF6"/>
    <w:rsid w:val="0010430D"/>
    <w:rsid w:val="0010608E"/>
    <w:rsid w:val="00113C17"/>
    <w:rsid w:val="0011646E"/>
    <w:rsid w:val="00116635"/>
    <w:rsid w:val="00123414"/>
    <w:rsid w:val="0012734D"/>
    <w:rsid w:val="00131124"/>
    <w:rsid w:val="00134D4C"/>
    <w:rsid w:val="00136077"/>
    <w:rsid w:val="001369A5"/>
    <w:rsid w:val="001403F4"/>
    <w:rsid w:val="001411B2"/>
    <w:rsid w:val="001414F1"/>
    <w:rsid w:val="001415F2"/>
    <w:rsid w:val="00144EC8"/>
    <w:rsid w:val="00147601"/>
    <w:rsid w:val="00151102"/>
    <w:rsid w:val="001575DC"/>
    <w:rsid w:val="00160C11"/>
    <w:rsid w:val="001614E3"/>
    <w:rsid w:val="00164F53"/>
    <w:rsid w:val="00165C75"/>
    <w:rsid w:val="00166B19"/>
    <w:rsid w:val="001675B3"/>
    <w:rsid w:val="00170ED6"/>
    <w:rsid w:val="00173CEC"/>
    <w:rsid w:val="001745FB"/>
    <w:rsid w:val="00177F39"/>
    <w:rsid w:val="00180843"/>
    <w:rsid w:val="00181150"/>
    <w:rsid w:val="001826F3"/>
    <w:rsid w:val="0018372E"/>
    <w:rsid w:val="0018754F"/>
    <w:rsid w:val="001879E2"/>
    <w:rsid w:val="00191FB6"/>
    <w:rsid w:val="0019365B"/>
    <w:rsid w:val="001A04C1"/>
    <w:rsid w:val="001A1906"/>
    <w:rsid w:val="001B6B52"/>
    <w:rsid w:val="001B77AE"/>
    <w:rsid w:val="001C12F5"/>
    <w:rsid w:val="001C14F2"/>
    <w:rsid w:val="001C54CC"/>
    <w:rsid w:val="001D01BC"/>
    <w:rsid w:val="001D2D07"/>
    <w:rsid w:val="001E219F"/>
    <w:rsid w:val="001E2D4D"/>
    <w:rsid w:val="001E2DDA"/>
    <w:rsid w:val="001E4551"/>
    <w:rsid w:val="001E5D2D"/>
    <w:rsid w:val="001E681E"/>
    <w:rsid w:val="001F05C1"/>
    <w:rsid w:val="001F1972"/>
    <w:rsid w:val="001F63FE"/>
    <w:rsid w:val="001F672A"/>
    <w:rsid w:val="002007AF"/>
    <w:rsid w:val="00201365"/>
    <w:rsid w:val="00202843"/>
    <w:rsid w:val="002053AF"/>
    <w:rsid w:val="002074CA"/>
    <w:rsid w:val="00211FBA"/>
    <w:rsid w:val="002147BA"/>
    <w:rsid w:val="0021598C"/>
    <w:rsid w:val="00215BFA"/>
    <w:rsid w:val="002178A9"/>
    <w:rsid w:val="00217C39"/>
    <w:rsid w:val="0022033D"/>
    <w:rsid w:val="002219E3"/>
    <w:rsid w:val="00222146"/>
    <w:rsid w:val="00222328"/>
    <w:rsid w:val="002236B8"/>
    <w:rsid w:val="00223D33"/>
    <w:rsid w:val="00225BEE"/>
    <w:rsid w:val="00230D9F"/>
    <w:rsid w:val="002322BC"/>
    <w:rsid w:val="00233DD7"/>
    <w:rsid w:val="00235FD6"/>
    <w:rsid w:val="00242D5B"/>
    <w:rsid w:val="002431E3"/>
    <w:rsid w:val="002434E1"/>
    <w:rsid w:val="002478DC"/>
    <w:rsid w:val="00253C5E"/>
    <w:rsid w:val="002546EA"/>
    <w:rsid w:val="002547D9"/>
    <w:rsid w:val="0025692F"/>
    <w:rsid w:val="002603A4"/>
    <w:rsid w:val="00265D83"/>
    <w:rsid w:val="00265D9F"/>
    <w:rsid w:val="00273EB2"/>
    <w:rsid w:val="002758F7"/>
    <w:rsid w:val="0028016C"/>
    <w:rsid w:val="0028152B"/>
    <w:rsid w:val="00285F0F"/>
    <w:rsid w:val="00286319"/>
    <w:rsid w:val="002902BF"/>
    <w:rsid w:val="00290DD7"/>
    <w:rsid w:val="0029393E"/>
    <w:rsid w:val="0029680D"/>
    <w:rsid w:val="002A32B8"/>
    <w:rsid w:val="002A3C02"/>
    <w:rsid w:val="002A4B47"/>
    <w:rsid w:val="002A5DBA"/>
    <w:rsid w:val="002A6E82"/>
    <w:rsid w:val="002A7857"/>
    <w:rsid w:val="002B3D48"/>
    <w:rsid w:val="002B61DD"/>
    <w:rsid w:val="002B73C9"/>
    <w:rsid w:val="002C2335"/>
    <w:rsid w:val="002C24FB"/>
    <w:rsid w:val="002C4964"/>
    <w:rsid w:val="002C64BE"/>
    <w:rsid w:val="002C6FEA"/>
    <w:rsid w:val="002C79CC"/>
    <w:rsid w:val="002D301E"/>
    <w:rsid w:val="002D6EB1"/>
    <w:rsid w:val="002E05DA"/>
    <w:rsid w:val="002E1262"/>
    <w:rsid w:val="002E2300"/>
    <w:rsid w:val="002E46FD"/>
    <w:rsid w:val="002E5BDF"/>
    <w:rsid w:val="002F1380"/>
    <w:rsid w:val="002F298C"/>
    <w:rsid w:val="00303B29"/>
    <w:rsid w:val="00305328"/>
    <w:rsid w:val="00305D85"/>
    <w:rsid w:val="00315ED7"/>
    <w:rsid w:val="003221BD"/>
    <w:rsid w:val="00325EE9"/>
    <w:rsid w:val="00326C5D"/>
    <w:rsid w:val="00330660"/>
    <w:rsid w:val="00333ABB"/>
    <w:rsid w:val="0034032F"/>
    <w:rsid w:val="0034239F"/>
    <w:rsid w:val="00345075"/>
    <w:rsid w:val="00347A70"/>
    <w:rsid w:val="00350783"/>
    <w:rsid w:val="00350FA8"/>
    <w:rsid w:val="00355365"/>
    <w:rsid w:val="00362D8B"/>
    <w:rsid w:val="0037250E"/>
    <w:rsid w:val="00373593"/>
    <w:rsid w:val="0038289D"/>
    <w:rsid w:val="0038319F"/>
    <w:rsid w:val="0038331E"/>
    <w:rsid w:val="00385E9B"/>
    <w:rsid w:val="00387517"/>
    <w:rsid w:val="00391B6C"/>
    <w:rsid w:val="00393FA2"/>
    <w:rsid w:val="00394181"/>
    <w:rsid w:val="00394CE0"/>
    <w:rsid w:val="00397BBE"/>
    <w:rsid w:val="003A13F4"/>
    <w:rsid w:val="003A24AE"/>
    <w:rsid w:val="003A2AF0"/>
    <w:rsid w:val="003A2DCA"/>
    <w:rsid w:val="003A42DD"/>
    <w:rsid w:val="003A47E3"/>
    <w:rsid w:val="003A68E0"/>
    <w:rsid w:val="003B13AC"/>
    <w:rsid w:val="003B23BF"/>
    <w:rsid w:val="003B592E"/>
    <w:rsid w:val="003C0174"/>
    <w:rsid w:val="003C6011"/>
    <w:rsid w:val="003C6C65"/>
    <w:rsid w:val="003C7746"/>
    <w:rsid w:val="003D251F"/>
    <w:rsid w:val="003D2DFB"/>
    <w:rsid w:val="003D2F0A"/>
    <w:rsid w:val="003D3436"/>
    <w:rsid w:val="003D49A6"/>
    <w:rsid w:val="003F05DB"/>
    <w:rsid w:val="003F30B3"/>
    <w:rsid w:val="003F3AE9"/>
    <w:rsid w:val="003F3C39"/>
    <w:rsid w:val="003F708F"/>
    <w:rsid w:val="0040146B"/>
    <w:rsid w:val="00405326"/>
    <w:rsid w:val="00405980"/>
    <w:rsid w:val="00406858"/>
    <w:rsid w:val="00407639"/>
    <w:rsid w:val="00407BB5"/>
    <w:rsid w:val="00412949"/>
    <w:rsid w:val="004155F2"/>
    <w:rsid w:val="0042116E"/>
    <w:rsid w:val="0042239F"/>
    <w:rsid w:val="004224E1"/>
    <w:rsid w:val="00422F19"/>
    <w:rsid w:val="00426120"/>
    <w:rsid w:val="00427052"/>
    <w:rsid w:val="00431D00"/>
    <w:rsid w:val="00431DCA"/>
    <w:rsid w:val="004371E5"/>
    <w:rsid w:val="00440192"/>
    <w:rsid w:val="00447D36"/>
    <w:rsid w:val="00447ED4"/>
    <w:rsid w:val="00454AD5"/>
    <w:rsid w:val="00456E76"/>
    <w:rsid w:val="004571D8"/>
    <w:rsid w:val="004606DD"/>
    <w:rsid w:val="00460B30"/>
    <w:rsid w:val="00462980"/>
    <w:rsid w:val="00463153"/>
    <w:rsid w:val="004631F5"/>
    <w:rsid w:val="00465AB7"/>
    <w:rsid w:val="00472586"/>
    <w:rsid w:val="00472A37"/>
    <w:rsid w:val="00473DC7"/>
    <w:rsid w:val="00474B52"/>
    <w:rsid w:val="00480274"/>
    <w:rsid w:val="00481DFB"/>
    <w:rsid w:val="00490EF9"/>
    <w:rsid w:val="00493A32"/>
    <w:rsid w:val="00493E25"/>
    <w:rsid w:val="00494A01"/>
    <w:rsid w:val="004A27C0"/>
    <w:rsid w:val="004A2FBF"/>
    <w:rsid w:val="004B2A79"/>
    <w:rsid w:val="004C24C0"/>
    <w:rsid w:val="004C2A17"/>
    <w:rsid w:val="004C3223"/>
    <w:rsid w:val="004C5209"/>
    <w:rsid w:val="004C7777"/>
    <w:rsid w:val="004D0B20"/>
    <w:rsid w:val="004D5E03"/>
    <w:rsid w:val="004E0244"/>
    <w:rsid w:val="004E14FB"/>
    <w:rsid w:val="004F08E4"/>
    <w:rsid w:val="00502973"/>
    <w:rsid w:val="00503EF8"/>
    <w:rsid w:val="005064F7"/>
    <w:rsid w:val="005066EA"/>
    <w:rsid w:val="00506DF4"/>
    <w:rsid w:val="00507E25"/>
    <w:rsid w:val="00511EA2"/>
    <w:rsid w:val="0051347D"/>
    <w:rsid w:val="00516213"/>
    <w:rsid w:val="005171ED"/>
    <w:rsid w:val="00520ABB"/>
    <w:rsid w:val="00521147"/>
    <w:rsid w:val="00521AFE"/>
    <w:rsid w:val="00530EF0"/>
    <w:rsid w:val="0053159F"/>
    <w:rsid w:val="00533AF5"/>
    <w:rsid w:val="00536B3B"/>
    <w:rsid w:val="00536D72"/>
    <w:rsid w:val="0054105E"/>
    <w:rsid w:val="00541D46"/>
    <w:rsid w:val="00543999"/>
    <w:rsid w:val="00545EC3"/>
    <w:rsid w:val="00546F4D"/>
    <w:rsid w:val="00547401"/>
    <w:rsid w:val="00550741"/>
    <w:rsid w:val="005509BE"/>
    <w:rsid w:val="005517D8"/>
    <w:rsid w:val="0055296A"/>
    <w:rsid w:val="005530F7"/>
    <w:rsid w:val="0055765C"/>
    <w:rsid w:val="005648EC"/>
    <w:rsid w:val="005675C1"/>
    <w:rsid w:val="00567928"/>
    <w:rsid w:val="005713A7"/>
    <w:rsid w:val="00573EE6"/>
    <w:rsid w:val="005744A8"/>
    <w:rsid w:val="005750AA"/>
    <w:rsid w:val="005802C0"/>
    <w:rsid w:val="00581B87"/>
    <w:rsid w:val="00583191"/>
    <w:rsid w:val="00585721"/>
    <w:rsid w:val="00586EB8"/>
    <w:rsid w:val="005915AF"/>
    <w:rsid w:val="005926D9"/>
    <w:rsid w:val="00593432"/>
    <w:rsid w:val="005A3202"/>
    <w:rsid w:val="005A39CB"/>
    <w:rsid w:val="005A5264"/>
    <w:rsid w:val="005A60F3"/>
    <w:rsid w:val="005A69B4"/>
    <w:rsid w:val="005A7C13"/>
    <w:rsid w:val="005B02EF"/>
    <w:rsid w:val="005B0707"/>
    <w:rsid w:val="005B1CF7"/>
    <w:rsid w:val="005C0EC2"/>
    <w:rsid w:val="005C36F9"/>
    <w:rsid w:val="005C59C5"/>
    <w:rsid w:val="005C795E"/>
    <w:rsid w:val="005D1CD0"/>
    <w:rsid w:val="005E3AC4"/>
    <w:rsid w:val="005E7709"/>
    <w:rsid w:val="005F1347"/>
    <w:rsid w:val="005F2869"/>
    <w:rsid w:val="005F2910"/>
    <w:rsid w:val="005F2A11"/>
    <w:rsid w:val="005F2FEF"/>
    <w:rsid w:val="005F3370"/>
    <w:rsid w:val="005F357C"/>
    <w:rsid w:val="005F38BF"/>
    <w:rsid w:val="005F616B"/>
    <w:rsid w:val="00603077"/>
    <w:rsid w:val="00605E3B"/>
    <w:rsid w:val="00610AD1"/>
    <w:rsid w:val="00613308"/>
    <w:rsid w:val="00613E1E"/>
    <w:rsid w:val="00614A56"/>
    <w:rsid w:val="00614C06"/>
    <w:rsid w:val="0061745E"/>
    <w:rsid w:val="00620940"/>
    <w:rsid w:val="00620C9D"/>
    <w:rsid w:val="006227F7"/>
    <w:rsid w:val="0062396F"/>
    <w:rsid w:val="00625580"/>
    <w:rsid w:val="006255DC"/>
    <w:rsid w:val="006264B2"/>
    <w:rsid w:val="00633AD3"/>
    <w:rsid w:val="00640127"/>
    <w:rsid w:val="006418E3"/>
    <w:rsid w:val="00642940"/>
    <w:rsid w:val="006458B0"/>
    <w:rsid w:val="00646164"/>
    <w:rsid w:val="006514FC"/>
    <w:rsid w:val="0065206A"/>
    <w:rsid w:val="006521A8"/>
    <w:rsid w:val="006531D8"/>
    <w:rsid w:val="00654659"/>
    <w:rsid w:val="00663666"/>
    <w:rsid w:val="00665CE7"/>
    <w:rsid w:val="00667914"/>
    <w:rsid w:val="00672952"/>
    <w:rsid w:val="00673CE9"/>
    <w:rsid w:val="006752EE"/>
    <w:rsid w:val="00677A04"/>
    <w:rsid w:val="006826B5"/>
    <w:rsid w:val="006844D2"/>
    <w:rsid w:val="00691048"/>
    <w:rsid w:val="00692943"/>
    <w:rsid w:val="00693422"/>
    <w:rsid w:val="00694C6E"/>
    <w:rsid w:val="00695666"/>
    <w:rsid w:val="006A2F15"/>
    <w:rsid w:val="006A6AB8"/>
    <w:rsid w:val="006A70BD"/>
    <w:rsid w:val="006B004D"/>
    <w:rsid w:val="006B26C6"/>
    <w:rsid w:val="006B369C"/>
    <w:rsid w:val="006B42B0"/>
    <w:rsid w:val="006B480C"/>
    <w:rsid w:val="006C06E7"/>
    <w:rsid w:val="006C70E4"/>
    <w:rsid w:val="006C76BE"/>
    <w:rsid w:val="006C7DBF"/>
    <w:rsid w:val="006D35C3"/>
    <w:rsid w:val="006D5A5D"/>
    <w:rsid w:val="006D7ACB"/>
    <w:rsid w:val="006E2CA0"/>
    <w:rsid w:val="006E3B0A"/>
    <w:rsid w:val="006E5AB7"/>
    <w:rsid w:val="006F459E"/>
    <w:rsid w:val="006F4C48"/>
    <w:rsid w:val="00703502"/>
    <w:rsid w:val="00704806"/>
    <w:rsid w:val="00710E10"/>
    <w:rsid w:val="007138D7"/>
    <w:rsid w:val="00714495"/>
    <w:rsid w:val="0071479B"/>
    <w:rsid w:val="00721DB8"/>
    <w:rsid w:val="0072207C"/>
    <w:rsid w:val="00735F75"/>
    <w:rsid w:val="00740A63"/>
    <w:rsid w:val="007454E8"/>
    <w:rsid w:val="0074710C"/>
    <w:rsid w:val="00753E2D"/>
    <w:rsid w:val="00755CCC"/>
    <w:rsid w:val="00757E51"/>
    <w:rsid w:val="00760C74"/>
    <w:rsid w:val="00761768"/>
    <w:rsid w:val="00761EE1"/>
    <w:rsid w:val="00766B7C"/>
    <w:rsid w:val="00770153"/>
    <w:rsid w:val="00771DE3"/>
    <w:rsid w:val="00776DF2"/>
    <w:rsid w:val="007861FB"/>
    <w:rsid w:val="0079089C"/>
    <w:rsid w:val="007966EC"/>
    <w:rsid w:val="007A1E95"/>
    <w:rsid w:val="007A1EC2"/>
    <w:rsid w:val="007A729E"/>
    <w:rsid w:val="007B3FD3"/>
    <w:rsid w:val="007B5382"/>
    <w:rsid w:val="007B6C42"/>
    <w:rsid w:val="007C5359"/>
    <w:rsid w:val="007D0CF8"/>
    <w:rsid w:val="007D4239"/>
    <w:rsid w:val="007D5622"/>
    <w:rsid w:val="007D7D37"/>
    <w:rsid w:val="007E20BF"/>
    <w:rsid w:val="007E3376"/>
    <w:rsid w:val="007E39F5"/>
    <w:rsid w:val="007F0450"/>
    <w:rsid w:val="007F28C1"/>
    <w:rsid w:val="007F2DBA"/>
    <w:rsid w:val="007F76F3"/>
    <w:rsid w:val="00801CFD"/>
    <w:rsid w:val="00803EDA"/>
    <w:rsid w:val="00804C60"/>
    <w:rsid w:val="00807AEE"/>
    <w:rsid w:val="00807C4E"/>
    <w:rsid w:val="00811057"/>
    <w:rsid w:val="008114F3"/>
    <w:rsid w:val="0081377D"/>
    <w:rsid w:val="00815F80"/>
    <w:rsid w:val="00816D1D"/>
    <w:rsid w:val="008173B9"/>
    <w:rsid w:val="008243AD"/>
    <w:rsid w:val="00825B8F"/>
    <w:rsid w:val="0083079C"/>
    <w:rsid w:val="00830993"/>
    <w:rsid w:val="00835C3C"/>
    <w:rsid w:val="00836B80"/>
    <w:rsid w:val="00836BCA"/>
    <w:rsid w:val="0084085A"/>
    <w:rsid w:val="00841E18"/>
    <w:rsid w:val="00842369"/>
    <w:rsid w:val="008448ED"/>
    <w:rsid w:val="00851D37"/>
    <w:rsid w:val="00852006"/>
    <w:rsid w:val="00854234"/>
    <w:rsid w:val="00856506"/>
    <w:rsid w:val="0086102B"/>
    <w:rsid w:val="00871000"/>
    <w:rsid w:val="00873D3B"/>
    <w:rsid w:val="00873D8D"/>
    <w:rsid w:val="00877BA2"/>
    <w:rsid w:val="00877ECF"/>
    <w:rsid w:val="00883678"/>
    <w:rsid w:val="00885517"/>
    <w:rsid w:val="00885C45"/>
    <w:rsid w:val="0088733C"/>
    <w:rsid w:val="00890CB2"/>
    <w:rsid w:val="00891F10"/>
    <w:rsid w:val="008A0864"/>
    <w:rsid w:val="008B1E04"/>
    <w:rsid w:val="008B5A04"/>
    <w:rsid w:val="008C7BB3"/>
    <w:rsid w:val="008D0077"/>
    <w:rsid w:val="008D3979"/>
    <w:rsid w:val="008D72E6"/>
    <w:rsid w:val="008E14BD"/>
    <w:rsid w:val="008E2D82"/>
    <w:rsid w:val="008F273E"/>
    <w:rsid w:val="008F4C36"/>
    <w:rsid w:val="008F5F79"/>
    <w:rsid w:val="008F5FB8"/>
    <w:rsid w:val="009004F9"/>
    <w:rsid w:val="00905D92"/>
    <w:rsid w:val="00906316"/>
    <w:rsid w:val="00907E0F"/>
    <w:rsid w:val="009143FA"/>
    <w:rsid w:val="009163CC"/>
    <w:rsid w:val="00922118"/>
    <w:rsid w:val="00923ACC"/>
    <w:rsid w:val="009262C3"/>
    <w:rsid w:val="00930139"/>
    <w:rsid w:val="00931EBE"/>
    <w:rsid w:val="009331A7"/>
    <w:rsid w:val="009333D3"/>
    <w:rsid w:val="00936601"/>
    <w:rsid w:val="009419E5"/>
    <w:rsid w:val="00942DB0"/>
    <w:rsid w:val="009453E2"/>
    <w:rsid w:val="0094670F"/>
    <w:rsid w:val="00946951"/>
    <w:rsid w:val="00950130"/>
    <w:rsid w:val="0095311A"/>
    <w:rsid w:val="009535FD"/>
    <w:rsid w:val="00953BE0"/>
    <w:rsid w:val="00956A38"/>
    <w:rsid w:val="00960DB3"/>
    <w:rsid w:val="009641F6"/>
    <w:rsid w:val="00965E2E"/>
    <w:rsid w:val="0096757A"/>
    <w:rsid w:val="009713DF"/>
    <w:rsid w:val="00971DDD"/>
    <w:rsid w:val="009731FE"/>
    <w:rsid w:val="009755E7"/>
    <w:rsid w:val="00975DDB"/>
    <w:rsid w:val="009812AD"/>
    <w:rsid w:val="00984000"/>
    <w:rsid w:val="00985544"/>
    <w:rsid w:val="009920FC"/>
    <w:rsid w:val="00992117"/>
    <w:rsid w:val="0099290F"/>
    <w:rsid w:val="009A1E76"/>
    <w:rsid w:val="009A2077"/>
    <w:rsid w:val="009A36B0"/>
    <w:rsid w:val="009A7C80"/>
    <w:rsid w:val="009B40D5"/>
    <w:rsid w:val="009C08C9"/>
    <w:rsid w:val="009C25A2"/>
    <w:rsid w:val="009C6AA9"/>
    <w:rsid w:val="009D7640"/>
    <w:rsid w:val="009D76C4"/>
    <w:rsid w:val="009D7EAD"/>
    <w:rsid w:val="009E0DDD"/>
    <w:rsid w:val="009E204C"/>
    <w:rsid w:val="009E2545"/>
    <w:rsid w:val="009E7FEB"/>
    <w:rsid w:val="009F2BC8"/>
    <w:rsid w:val="009F2C6C"/>
    <w:rsid w:val="009F2EFE"/>
    <w:rsid w:val="009F3BAD"/>
    <w:rsid w:val="009F75DA"/>
    <w:rsid w:val="00A0282C"/>
    <w:rsid w:val="00A15A29"/>
    <w:rsid w:val="00A15EA1"/>
    <w:rsid w:val="00A17381"/>
    <w:rsid w:val="00A17FF1"/>
    <w:rsid w:val="00A2019E"/>
    <w:rsid w:val="00A220AB"/>
    <w:rsid w:val="00A224E2"/>
    <w:rsid w:val="00A23010"/>
    <w:rsid w:val="00A2339E"/>
    <w:rsid w:val="00A25414"/>
    <w:rsid w:val="00A30082"/>
    <w:rsid w:val="00A3069E"/>
    <w:rsid w:val="00A3287E"/>
    <w:rsid w:val="00A3492D"/>
    <w:rsid w:val="00A34B53"/>
    <w:rsid w:val="00A374C6"/>
    <w:rsid w:val="00A378C3"/>
    <w:rsid w:val="00A378E9"/>
    <w:rsid w:val="00A402A3"/>
    <w:rsid w:val="00A40AAE"/>
    <w:rsid w:val="00A42112"/>
    <w:rsid w:val="00A44362"/>
    <w:rsid w:val="00A47439"/>
    <w:rsid w:val="00A5308D"/>
    <w:rsid w:val="00A54FC3"/>
    <w:rsid w:val="00A56BA9"/>
    <w:rsid w:val="00A572E7"/>
    <w:rsid w:val="00A6229B"/>
    <w:rsid w:val="00A64306"/>
    <w:rsid w:val="00A71968"/>
    <w:rsid w:val="00A73909"/>
    <w:rsid w:val="00A73933"/>
    <w:rsid w:val="00A73F4E"/>
    <w:rsid w:val="00A76B5F"/>
    <w:rsid w:val="00A8205A"/>
    <w:rsid w:val="00A82920"/>
    <w:rsid w:val="00A850A1"/>
    <w:rsid w:val="00A850F3"/>
    <w:rsid w:val="00A854ED"/>
    <w:rsid w:val="00A87CC0"/>
    <w:rsid w:val="00A93D54"/>
    <w:rsid w:val="00A97B75"/>
    <w:rsid w:val="00AA2024"/>
    <w:rsid w:val="00AA5818"/>
    <w:rsid w:val="00AB1F18"/>
    <w:rsid w:val="00AB403C"/>
    <w:rsid w:val="00AB5099"/>
    <w:rsid w:val="00AB652E"/>
    <w:rsid w:val="00AC1301"/>
    <w:rsid w:val="00AD02F9"/>
    <w:rsid w:val="00AD150C"/>
    <w:rsid w:val="00AD546A"/>
    <w:rsid w:val="00AE393F"/>
    <w:rsid w:val="00AE4069"/>
    <w:rsid w:val="00AF33FC"/>
    <w:rsid w:val="00AF757F"/>
    <w:rsid w:val="00B00501"/>
    <w:rsid w:val="00B02E42"/>
    <w:rsid w:val="00B1396E"/>
    <w:rsid w:val="00B21309"/>
    <w:rsid w:val="00B21676"/>
    <w:rsid w:val="00B21CE0"/>
    <w:rsid w:val="00B22DA8"/>
    <w:rsid w:val="00B32373"/>
    <w:rsid w:val="00B33F52"/>
    <w:rsid w:val="00B34799"/>
    <w:rsid w:val="00B3586E"/>
    <w:rsid w:val="00B36E5E"/>
    <w:rsid w:val="00B43A6A"/>
    <w:rsid w:val="00B45D3B"/>
    <w:rsid w:val="00B50536"/>
    <w:rsid w:val="00B50B33"/>
    <w:rsid w:val="00B54134"/>
    <w:rsid w:val="00B57884"/>
    <w:rsid w:val="00B62911"/>
    <w:rsid w:val="00B62B1B"/>
    <w:rsid w:val="00B62DD1"/>
    <w:rsid w:val="00B70242"/>
    <w:rsid w:val="00B760AC"/>
    <w:rsid w:val="00B77C4F"/>
    <w:rsid w:val="00B814D6"/>
    <w:rsid w:val="00B81850"/>
    <w:rsid w:val="00B83685"/>
    <w:rsid w:val="00B83A82"/>
    <w:rsid w:val="00B83B6A"/>
    <w:rsid w:val="00B84CE1"/>
    <w:rsid w:val="00B91E07"/>
    <w:rsid w:val="00B930C2"/>
    <w:rsid w:val="00B9448E"/>
    <w:rsid w:val="00B95C65"/>
    <w:rsid w:val="00B97417"/>
    <w:rsid w:val="00BA0A25"/>
    <w:rsid w:val="00BA47DE"/>
    <w:rsid w:val="00BB1C97"/>
    <w:rsid w:val="00BB318D"/>
    <w:rsid w:val="00BB3D08"/>
    <w:rsid w:val="00BB6B89"/>
    <w:rsid w:val="00BC2A41"/>
    <w:rsid w:val="00BC3BE3"/>
    <w:rsid w:val="00BD103A"/>
    <w:rsid w:val="00BD23D0"/>
    <w:rsid w:val="00BD32E2"/>
    <w:rsid w:val="00BD4365"/>
    <w:rsid w:val="00BD4E1A"/>
    <w:rsid w:val="00BD5AA1"/>
    <w:rsid w:val="00BE0A36"/>
    <w:rsid w:val="00BE20B2"/>
    <w:rsid w:val="00BE26B9"/>
    <w:rsid w:val="00BE3478"/>
    <w:rsid w:val="00BE40E8"/>
    <w:rsid w:val="00BE4466"/>
    <w:rsid w:val="00BE503E"/>
    <w:rsid w:val="00BE508D"/>
    <w:rsid w:val="00BE5F20"/>
    <w:rsid w:val="00BE776F"/>
    <w:rsid w:val="00BF0AD1"/>
    <w:rsid w:val="00BF3AF5"/>
    <w:rsid w:val="00BF42C9"/>
    <w:rsid w:val="00BF43B6"/>
    <w:rsid w:val="00BF568A"/>
    <w:rsid w:val="00C04A4A"/>
    <w:rsid w:val="00C04EC3"/>
    <w:rsid w:val="00C05E23"/>
    <w:rsid w:val="00C1427B"/>
    <w:rsid w:val="00C20037"/>
    <w:rsid w:val="00C21641"/>
    <w:rsid w:val="00C222CC"/>
    <w:rsid w:val="00C23A40"/>
    <w:rsid w:val="00C24E09"/>
    <w:rsid w:val="00C24F8F"/>
    <w:rsid w:val="00C2758B"/>
    <w:rsid w:val="00C334D5"/>
    <w:rsid w:val="00C3385C"/>
    <w:rsid w:val="00C33A8C"/>
    <w:rsid w:val="00C36F1F"/>
    <w:rsid w:val="00C40448"/>
    <w:rsid w:val="00C42D54"/>
    <w:rsid w:val="00C44E6F"/>
    <w:rsid w:val="00C4609B"/>
    <w:rsid w:val="00C464ED"/>
    <w:rsid w:val="00C4663B"/>
    <w:rsid w:val="00C47270"/>
    <w:rsid w:val="00C50A9F"/>
    <w:rsid w:val="00C50F0C"/>
    <w:rsid w:val="00C51163"/>
    <w:rsid w:val="00C529BC"/>
    <w:rsid w:val="00C52C4C"/>
    <w:rsid w:val="00C52C6D"/>
    <w:rsid w:val="00C5618D"/>
    <w:rsid w:val="00C601D1"/>
    <w:rsid w:val="00C60BB4"/>
    <w:rsid w:val="00C61068"/>
    <w:rsid w:val="00C644F3"/>
    <w:rsid w:val="00C66C3B"/>
    <w:rsid w:val="00C72564"/>
    <w:rsid w:val="00C758AD"/>
    <w:rsid w:val="00C759A9"/>
    <w:rsid w:val="00C7725B"/>
    <w:rsid w:val="00C81222"/>
    <w:rsid w:val="00C81939"/>
    <w:rsid w:val="00C84B69"/>
    <w:rsid w:val="00C86A3A"/>
    <w:rsid w:val="00C8747B"/>
    <w:rsid w:val="00C93600"/>
    <w:rsid w:val="00CA0F17"/>
    <w:rsid w:val="00CA1BDA"/>
    <w:rsid w:val="00CA218B"/>
    <w:rsid w:val="00CA2308"/>
    <w:rsid w:val="00CA2914"/>
    <w:rsid w:val="00CA29C8"/>
    <w:rsid w:val="00CA2BEF"/>
    <w:rsid w:val="00CA3E6D"/>
    <w:rsid w:val="00CA4F1B"/>
    <w:rsid w:val="00CA4FBB"/>
    <w:rsid w:val="00CA6FE5"/>
    <w:rsid w:val="00CB0C66"/>
    <w:rsid w:val="00CB1728"/>
    <w:rsid w:val="00CB1D6E"/>
    <w:rsid w:val="00CB5B5D"/>
    <w:rsid w:val="00CC1995"/>
    <w:rsid w:val="00CC5BCF"/>
    <w:rsid w:val="00CD3F53"/>
    <w:rsid w:val="00CD4334"/>
    <w:rsid w:val="00CD4981"/>
    <w:rsid w:val="00CE0D28"/>
    <w:rsid w:val="00CE31AF"/>
    <w:rsid w:val="00CE40BF"/>
    <w:rsid w:val="00CE5B4E"/>
    <w:rsid w:val="00CF4E3C"/>
    <w:rsid w:val="00CF6A77"/>
    <w:rsid w:val="00D05256"/>
    <w:rsid w:val="00D12209"/>
    <w:rsid w:val="00D12FBB"/>
    <w:rsid w:val="00D1707E"/>
    <w:rsid w:val="00D1764E"/>
    <w:rsid w:val="00D23057"/>
    <w:rsid w:val="00D33F02"/>
    <w:rsid w:val="00D368B0"/>
    <w:rsid w:val="00D37D71"/>
    <w:rsid w:val="00D46499"/>
    <w:rsid w:val="00D46B62"/>
    <w:rsid w:val="00D521E6"/>
    <w:rsid w:val="00D525B4"/>
    <w:rsid w:val="00D53D46"/>
    <w:rsid w:val="00D571E4"/>
    <w:rsid w:val="00D600FB"/>
    <w:rsid w:val="00D63834"/>
    <w:rsid w:val="00D63D1F"/>
    <w:rsid w:val="00D63F2A"/>
    <w:rsid w:val="00D648D1"/>
    <w:rsid w:val="00D65080"/>
    <w:rsid w:val="00D6715E"/>
    <w:rsid w:val="00D73B57"/>
    <w:rsid w:val="00D75652"/>
    <w:rsid w:val="00D802C3"/>
    <w:rsid w:val="00D82DEC"/>
    <w:rsid w:val="00D83704"/>
    <w:rsid w:val="00D8379E"/>
    <w:rsid w:val="00D850D3"/>
    <w:rsid w:val="00D86BD7"/>
    <w:rsid w:val="00D93C67"/>
    <w:rsid w:val="00DA0C46"/>
    <w:rsid w:val="00DA1179"/>
    <w:rsid w:val="00DA14C0"/>
    <w:rsid w:val="00DA3377"/>
    <w:rsid w:val="00DA4E83"/>
    <w:rsid w:val="00DA4EDE"/>
    <w:rsid w:val="00DA7543"/>
    <w:rsid w:val="00DB496C"/>
    <w:rsid w:val="00DB59AC"/>
    <w:rsid w:val="00DB7F5D"/>
    <w:rsid w:val="00DC0698"/>
    <w:rsid w:val="00DC0BD4"/>
    <w:rsid w:val="00DC2473"/>
    <w:rsid w:val="00DC25DF"/>
    <w:rsid w:val="00DC2C51"/>
    <w:rsid w:val="00DC5024"/>
    <w:rsid w:val="00DD1745"/>
    <w:rsid w:val="00DD1EBC"/>
    <w:rsid w:val="00DE623D"/>
    <w:rsid w:val="00DE6F03"/>
    <w:rsid w:val="00DF4FE9"/>
    <w:rsid w:val="00E024D8"/>
    <w:rsid w:val="00E02971"/>
    <w:rsid w:val="00E02F9D"/>
    <w:rsid w:val="00E03F9A"/>
    <w:rsid w:val="00E04B46"/>
    <w:rsid w:val="00E123CB"/>
    <w:rsid w:val="00E13A06"/>
    <w:rsid w:val="00E205C2"/>
    <w:rsid w:val="00E22493"/>
    <w:rsid w:val="00E24F5D"/>
    <w:rsid w:val="00E26EEA"/>
    <w:rsid w:val="00E30780"/>
    <w:rsid w:val="00E32A21"/>
    <w:rsid w:val="00E34CCC"/>
    <w:rsid w:val="00E35CBC"/>
    <w:rsid w:val="00E41FE5"/>
    <w:rsid w:val="00E423C7"/>
    <w:rsid w:val="00E43280"/>
    <w:rsid w:val="00E4607D"/>
    <w:rsid w:val="00E47869"/>
    <w:rsid w:val="00E62CC4"/>
    <w:rsid w:val="00E64B3F"/>
    <w:rsid w:val="00E65B89"/>
    <w:rsid w:val="00E71E75"/>
    <w:rsid w:val="00E741D4"/>
    <w:rsid w:val="00E747B1"/>
    <w:rsid w:val="00E75DDF"/>
    <w:rsid w:val="00E77619"/>
    <w:rsid w:val="00E8061D"/>
    <w:rsid w:val="00E840AB"/>
    <w:rsid w:val="00E84DAD"/>
    <w:rsid w:val="00E8626D"/>
    <w:rsid w:val="00E92C6C"/>
    <w:rsid w:val="00E938A2"/>
    <w:rsid w:val="00E97C61"/>
    <w:rsid w:val="00EA2668"/>
    <w:rsid w:val="00EA2D0C"/>
    <w:rsid w:val="00EA6ED0"/>
    <w:rsid w:val="00EA7141"/>
    <w:rsid w:val="00EB1BE1"/>
    <w:rsid w:val="00EB3446"/>
    <w:rsid w:val="00EB44F6"/>
    <w:rsid w:val="00EC5295"/>
    <w:rsid w:val="00EC61A3"/>
    <w:rsid w:val="00ED079D"/>
    <w:rsid w:val="00ED1913"/>
    <w:rsid w:val="00ED2DC1"/>
    <w:rsid w:val="00ED3458"/>
    <w:rsid w:val="00ED429A"/>
    <w:rsid w:val="00ED4FF7"/>
    <w:rsid w:val="00ED77D9"/>
    <w:rsid w:val="00ED7E61"/>
    <w:rsid w:val="00EE4E93"/>
    <w:rsid w:val="00EE6409"/>
    <w:rsid w:val="00EE6FBD"/>
    <w:rsid w:val="00EE70C5"/>
    <w:rsid w:val="00EE7AE5"/>
    <w:rsid w:val="00EF1542"/>
    <w:rsid w:val="00EF427E"/>
    <w:rsid w:val="00EF4EAE"/>
    <w:rsid w:val="00EF5089"/>
    <w:rsid w:val="00EF6599"/>
    <w:rsid w:val="00F06948"/>
    <w:rsid w:val="00F06EC3"/>
    <w:rsid w:val="00F139D3"/>
    <w:rsid w:val="00F13C72"/>
    <w:rsid w:val="00F23963"/>
    <w:rsid w:val="00F2493C"/>
    <w:rsid w:val="00F24FCE"/>
    <w:rsid w:val="00F270F7"/>
    <w:rsid w:val="00F273E1"/>
    <w:rsid w:val="00F27701"/>
    <w:rsid w:val="00F32238"/>
    <w:rsid w:val="00F33BAB"/>
    <w:rsid w:val="00F363ED"/>
    <w:rsid w:val="00F40018"/>
    <w:rsid w:val="00F407E1"/>
    <w:rsid w:val="00F418C5"/>
    <w:rsid w:val="00F41E09"/>
    <w:rsid w:val="00F4217C"/>
    <w:rsid w:val="00F44B9E"/>
    <w:rsid w:val="00F520A1"/>
    <w:rsid w:val="00F55BCB"/>
    <w:rsid w:val="00F5685F"/>
    <w:rsid w:val="00F5770E"/>
    <w:rsid w:val="00F60050"/>
    <w:rsid w:val="00F61365"/>
    <w:rsid w:val="00F64AB4"/>
    <w:rsid w:val="00F65C0B"/>
    <w:rsid w:val="00F774A9"/>
    <w:rsid w:val="00F77C5E"/>
    <w:rsid w:val="00F80B07"/>
    <w:rsid w:val="00F82DBD"/>
    <w:rsid w:val="00F8407F"/>
    <w:rsid w:val="00F90F25"/>
    <w:rsid w:val="00F93D4C"/>
    <w:rsid w:val="00F96BF0"/>
    <w:rsid w:val="00F96EC8"/>
    <w:rsid w:val="00F97181"/>
    <w:rsid w:val="00FA1916"/>
    <w:rsid w:val="00FA3BB5"/>
    <w:rsid w:val="00FA5D57"/>
    <w:rsid w:val="00FB1EAC"/>
    <w:rsid w:val="00FB2482"/>
    <w:rsid w:val="00FB45A5"/>
    <w:rsid w:val="00FB5219"/>
    <w:rsid w:val="00FD2638"/>
    <w:rsid w:val="00FD2982"/>
    <w:rsid w:val="00FD41B5"/>
    <w:rsid w:val="00FD4EE1"/>
    <w:rsid w:val="00FD5F6D"/>
    <w:rsid w:val="00FE16E7"/>
    <w:rsid w:val="00FE285E"/>
    <w:rsid w:val="00FE351E"/>
    <w:rsid w:val="00FE69A8"/>
    <w:rsid w:val="00FE6CDE"/>
    <w:rsid w:val="00FF0E5D"/>
    <w:rsid w:val="00FF12AA"/>
    <w:rsid w:val="00FF2CEB"/>
    <w:rsid w:val="00FF3B98"/>
    <w:rsid w:val="00FF3EC1"/>
    <w:rsid w:val="00FF5E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F2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5EA1"/>
    <w:pPr>
      <w:keepNext/>
      <w:keepLines/>
      <w:spacing w:before="240" w:after="0"/>
      <w:outlineLvl w:val="0"/>
    </w:pPr>
    <w:rPr>
      <w:rFonts w:ascii="Times New Roman" w:eastAsiaTheme="majorEastAsia" w:hAnsi="Times New Roman" w:cstheme="majorBidi"/>
      <w:b/>
      <w:color w:val="000000" w:themeColor="text1"/>
      <w:sz w:val="26"/>
      <w:szCs w:val="32"/>
      <w:lang w:val="tr-TR"/>
    </w:rPr>
  </w:style>
  <w:style w:type="paragraph" w:styleId="Heading2">
    <w:name w:val="heading 2"/>
    <w:basedOn w:val="Normal"/>
    <w:next w:val="Normal"/>
    <w:link w:val="Heading2Char"/>
    <w:uiPriority w:val="9"/>
    <w:unhideWhenUsed/>
    <w:qFormat/>
    <w:rsid w:val="00A15EA1"/>
    <w:pPr>
      <w:keepNext/>
      <w:keepLines/>
      <w:spacing w:before="40" w:after="0"/>
      <w:outlineLvl w:val="1"/>
    </w:pPr>
    <w:rPr>
      <w:rFonts w:ascii="Times New Roman" w:eastAsiaTheme="majorEastAsia" w:hAnsi="Times New Roman" w:cstheme="majorBidi"/>
      <w:b/>
      <w: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6A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f-lnk">
    <w:name w:val="ref-lnk"/>
    <w:basedOn w:val="DefaultParagraphFont"/>
    <w:rsid w:val="00956A38"/>
  </w:style>
  <w:style w:type="character" w:styleId="Hyperlink">
    <w:name w:val="Hyperlink"/>
    <w:basedOn w:val="DefaultParagraphFont"/>
    <w:unhideWhenUsed/>
    <w:rsid w:val="00956A38"/>
    <w:rPr>
      <w:color w:val="0000FF"/>
      <w:u w:val="single"/>
    </w:rPr>
  </w:style>
  <w:style w:type="paragraph" w:styleId="FootnoteText">
    <w:name w:val="footnote text"/>
    <w:aliases w:val="Footnote Text Char1,Footnote Text Char Char1,Footnote Text Char3 Char1 Char,Footnote Text Char1 Char1 Char Char,Footnote Text Char3 Char1 Char Char Char1,Footnote Text Char Char Char1 Char Char Char,Footnote Text Char2 Char1"/>
    <w:basedOn w:val="Normal"/>
    <w:link w:val="FootnoteTextChar"/>
    <w:unhideWhenUsed/>
    <w:rsid w:val="00242D5B"/>
    <w:pPr>
      <w:spacing w:after="0" w:line="240" w:lineRule="auto"/>
    </w:pPr>
    <w:rPr>
      <w:sz w:val="20"/>
      <w:szCs w:val="20"/>
    </w:rPr>
  </w:style>
  <w:style w:type="character" w:customStyle="1" w:styleId="FootnoteTextChar">
    <w:name w:val="Footnote Text Char"/>
    <w:aliases w:val="Footnote Text Char1 Char,Footnote Text Char Char1 Char,Footnote Text Char3 Char1 Char Char,Footnote Text Char1 Char1 Char Char Char,Footnote Text Char3 Char1 Char Char Char1 Char,Footnote Text Char Char Char1 Char Char Char Char"/>
    <w:basedOn w:val="DefaultParagraphFont"/>
    <w:link w:val="FootnoteText"/>
    <w:rsid w:val="00242D5B"/>
    <w:rPr>
      <w:sz w:val="20"/>
      <w:szCs w:val="20"/>
    </w:rPr>
  </w:style>
  <w:style w:type="character" w:styleId="FootnoteReference">
    <w:name w:val="footnote reference"/>
    <w:basedOn w:val="DefaultParagraphFont"/>
    <w:uiPriority w:val="99"/>
    <w:unhideWhenUsed/>
    <w:rsid w:val="00242D5B"/>
    <w:rPr>
      <w:vertAlign w:val="superscript"/>
    </w:rPr>
  </w:style>
  <w:style w:type="paragraph" w:styleId="ListParagraph">
    <w:name w:val="List Paragraph"/>
    <w:basedOn w:val="Normal"/>
    <w:uiPriority w:val="34"/>
    <w:qFormat/>
    <w:rsid w:val="00350783"/>
    <w:pPr>
      <w:ind w:left="720"/>
      <w:contextualSpacing/>
    </w:pPr>
  </w:style>
  <w:style w:type="paragraph" w:styleId="EndnoteText">
    <w:name w:val="endnote text"/>
    <w:basedOn w:val="Normal"/>
    <w:link w:val="EndnoteTextChar"/>
    <w:uiPriority w:val="99"/>
    <w:unhideWhenUsed/>
    <w:rsid w:val="000200F2"/>
    <w:pPr>
      <w:spacing w:after="0" w:line="240" w:lineRule="auto"/>
    </w:pPr>
    <w:rPr>
      <w:sz w:val="24"/>
      <w:szCs w:val="24"/>
      <w:lang w:val="tr-TR"/>
    </w:rPr>
  </w:style>
  <w:style w:type="character" w:customStyle="1" w:styleId="EndnoteTextChar">
    <w:name w:val="Endnote Text Char"/>
    <w:basedOn w:val="DefaultParagraphFont"/>
    <w:link w:val="EndnoteText"/>
    <w:uiPriority w:val="99"/>
    <w:rsid w:val="000200F2"/>
    <w:rPr>
      <w:sz w:val="24"/>
      <w:szCs w:val="24"/>
      <w:lang w:val="tr-TR"/>
    </w:rPr>
  </w:style>
  <w:style w:type="character" w:styleId="EndnoteReference">
    <w:name w:val="endnote reference"/>
    <w:basedOn w:val="DefaultParagraphFont"/>
    <w:uiPriority w:val="99"/>
    <w:unhideWhenUsed/>
    <w:rsid w:val="000200F2"/>
    <w:rPr>
      <w:vertAlign w:val="superscript"/>
    </w:rPr>
  </w:style>
  <w:style w:type="character" w:customStyle="1" w:styleId="Heading1Char">
    <w:name w:val="Heading 1 Char"/>
    <w:basedOn w:val="DefaultParagraphFont"/>
    <w:link w:val="Heading1"/>
    <w:uiPriority w:val="9"/>
    <w:rsid w:val="00A15EA1"/>
    <w:rPr>
      <w:rFonts w:ascii="Times New Roman" w:eastAsiaTheme="majorEastAsia" w:hAnsi="Times New Roman" w:cstheme="majorBidi"/>
      <w:b/>
      <w:color w:val="000000" w:themeColor="text1"/>
      <w:sz w:val="26"/>
      <w:szCs w:val="32"/>
      <w:lang w:val="tr-TR"/>
    </w:rPr>
  </w:style>
  <w:style w:type="character" w:styleId="FollowedHyperlink">
    <w:name w:val="FollowedHyperlink"/>
    <w:basedOn w:val="DefaultParagraphFont"/>
    <w:uiPriority w:val="99"/>
    <w:semiHidden/>
    <w:unhideWhenUsed/>
    <w:rsid w:val="00EF427E"/>
    <w:rPr>
      <w:color w:val="954F72" w:themeColor="followedHyperlink"/>
      <w:u w:val="single"/>
    </w:rPr>
  </w:style>
  <w:style w:type="paragraph" w:styleId="Footer">
    <w:name w:val="footer"/>
    <w:basedOn w:val="Normal"/>
    <w:link w:val="FooterChar"/>
    <w:uiPriority w:val="99"/>
    <w:unhideWhenUsed/>
    <w:rsid w:val="00953BE0"/>
    <w:pPr>
      <w:tabs>
        <w:tab w:val="center" w:pos="4320"/>
        <w:tab w:val="right" w:pos="8640"/>
      </w:tabs>
      <w:spacing w:after="0" w:line="240" w:lineRule="auto"/>
    </w:pPr>
  </w:style>
  <w:style w:type="character" w:customStyle="1" w:styleId="FooterChar">
    <w:name w:val="Footer Char"/>
    <w:basedOn w:val="DefaultParagraphFont"/>
    <w:link w:val="Footer"/>
    <w:uiPriority w:val="99"/>
    <w:rsid w:val="00953BE0"/>
  </w:style>
  <w:style w:type="character" w:styleId="PageNumber">
    <w:name w:val="page number"/>
    <w:basedOn w:val="DefaultParagraphFont"/>
    <w:uiPriority w:val="99"/>
    <w:semiHidden/>
    <w:unhideWhenUsed/>
    <w:rsid w:val="00953BE0"/>
  </w:style>
  <w:style w:type="paragraph" w:customStyle="1" w:styleId="Default">
    <w:name w:val="Default"/>
    <w:rsid w:val="00511EA2"/>
    <w:pPr>
      <w:widowControl w:val="0"/>
      <w:autoSpaceDE w:val="0"/>
      <w:autoSpaceDN w:val="0"/>
      <w:adjustRightInd w:val="0"/>
      <w:spacing w:after="0" w:line="240" w:lineRule="auto"/>
    </w:pPr>
    <w:rPr>
      <w:rFonts w:ascii="Amnesty Trade Gothic" w:hAnsi="Amnesty Trade Gothic" w:cs="Amnesty Trade Gothic"/>
      <w:color w:val="000000"/>
      <w:sz w:val="24"/>
      <w:szCs w:val="24"/>
      <w:lang w:val="en-US"/>
    </w:rPr>
  </w:style>
  <w:style w:type="character" w:customStyle="1" w:styleId="addmd">
    <w:name w:val="addmd"/>
    <w:basedOn w:val="DefaultParagraphFont"/>
    <w:rsid w:val="00C86A3A"/>
  </w:style>
  <w:style w:type="character" w:styleId="CommentReference">
    <w:name w:val="annotation reference"/>
    <w:basedOn w:val="DefaultParagraphFont"/>
    <w:uiPriority w:val="99"/>
    <w:semiHidden/>
    <w:unhideWhenUsed/>
    <w:rsid w:val="00D46499"/>
    <w:rPr>
      <w:sz w:val="16"/>
      <w:szCs w:val="16"/>
    </w:rPr>
  </w:style>
  <w:style w:type="paragraph" w:styleId="CommentText">
    <w:name w:val="annotation text"/>
    <w:basedOn w:val="Normal"/>
    <w:link w:val="CommentTextChar"/>
    <w:uiPriority w:val="99"/>
    <w:unhideWhenUsed/>
    <w:rsid w:val="00D46499"/>
    <w:pPr>
      <w:spacing w:line="240" w:lineRule="auto"/>
    </w:pPr>
    <w:rPr>
      <w:sz w:val="20"/>
      <w:szCs w:val="20"/>
    </w:rPr>
  </w:style>
  <w:style w:type="character" w:customStyle="1" w:styleId="CommentTextChar">
    <w:name w:val="Comment Text Char"/>
    <w:basedOn w:val="DefaultParagraphFont"/>
    <w:link w:val="CommentText"/>
    <w:uiPriority w:val="99"/>
    <w:rsid w:val="00D46499"/>
    <w:rPr>
      <w:sz w:val="20"/>
      <w:szCs w:val="20"/>
    </w:rPr>
  </w:style>
  <w:style w:type="paragraph" w:styleId="CommentSubject">
    <w:name w:val="annotation subject"/>
    <w:basedOn w:val="CommentText"/>
    <w:next w:val="CommentText"/>
    <w:link w:val="CommentSubjectChar"/>
    <w:uiPriority w:val="99"/>
    <w:semiHidden/>
    <w:unhideWhenUsed/>
    <w:rsid w:val="00D46499"/>
    <w:rPr>
      <w:b/>
      <w:bCs/>
    </w:rPr>
  </w:style>
  <w:style w:type="character" w:customStyle="1" w:styleId="CommentSubjectChar">
    <w:name w:val="Comment Subject Char"/>
    <w:basedOn w:val="CommentTextChar"/>
    <w:link w:val="CommentSubject"/>
    <w:uiPriority w:val="99"/>
    <w:semiHidden/>
    <w:rsid w:val="00D46499"/>
    <w:rPr>
      <w:b/>
      <w:bCs/>
      <w:sz w:val="20"/>
      <w:szCs w:val="20"/>
    </w:rPr>
  </w:style>
  <w:style w:type="character" w:customStyle="1" w:styleId="UnresolvedMention1">
    <w:name w:val="Unresolved Mention1"/>
    <w:basedOn w:val="DefaultParagraphFont"/>
    <w:uiPriority w:val="99"/>
    <w:semiHidden/>
    <w:unhideWhenUsed/>
    <w:rsid w:val="00620C9D"/>
    <w:rPr>
      <w:color w:val="605E5C"/>
      <w:shd w:val="clear" w:color="auto" w:fill="E1DFDD"/>
    </w:rPr>
  </w:style>
  <w:style w:type="character" w:customStyle="1" w:styleId="authors">
    <w:name w:val="authors"/>
    <w:basedOn w:val="DefaultParagraphFont"/>
    <w:rsid w:val="004C5209"/>
  </w:style>
  <w:style w:type="character" w:customStyle="1" w:styleId="apple-converted-space">
    <w:name w:val="apple-converted-space"/>
    <w:basedOn w:val="DefaultParagraphFont"/>
    <w:rsid w:val="004C5209"/>
  </w:style>
  <w:style w:type="character" w:customStyle="1" w:styleId="date1">
    <w:name w:val="date1"/>
    <w:basedOn w:val="DefaultParagraphFont"/>
    <w:rsid w:val="004C5209"/>
  </w:style>
  <w:style w:type="character" w:customStyle="1" w:styleId="arttitle">
    <w:name w:val="art_title"/>
    <w:basedOn w:val="DefaultParagraphFont"/>
    <w:rsid w:val="004C5209"/>
  </w:style>
  <w:style w:type="character" w:customStyle="1" w:styleId="serialtitle">
    <w:name w:val="serial_title"/>
    <w:basedOn w:val="DefaultParagraphFont"/>
    <w:rsid w:val="004C5209"/>
  </w:style>
  <w:style w:type="character" w:customStyle="1" w:styleId="volumeissue">
    <w:name w:val="volume_issue"/>
    <w:basedOn w:val="DefaultParagraphFont"/>
    <w:rsid w:val="004C5209"/>
  </w:style>
  <w:style w:type="character" w:customStyle="1" w:styleId="pagerange">
    <w:name w:val="page_range"/>
    <w:basedOn w:val="DefaultParagraphFont"/>
    <w:rsid w:val="004C5209"/>
  </w:style>
  <w:style w:type="character" w:customStyle="1" w:styleId="doilink">
    <w:name w:val="doi_link"/>
    <w:basedOn w:val="DefaultParagraphFont"/>
    <w:rsid w:val="004C5209"/>
  </w:style>
  <w:style w:type="paragraph" w:styleId="Revision">
    <w:name w:val="Revision"/>
    <w:hidden/>
    <w:uiPriority w:val="99"/>
    <w:semiHidden/>
    <w:rsid w:val="006C70E4"/>
    <w:pPr>
      <w:spacing w:after="0" w:line="240" w:lineRule="auto"/>
    </w:pPr>
  </w:style>
  <w:style w:type="paragraph" w:styleId="BalloonText">
    <w:name w:val="Balloon Text"/>
    <w:basedOn w:val="Normal"/>
    <w:link w:val="BalloonTextChar"/>
    <w:uiPriority w:val="99"/>
    <w:semiHidden/>
    <w:unhideWhenUsed/>
    <w:rsid w:val="00BE40E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40E8"/>
    <w:rPr>
      <w:rFonts w:ascii="Lucida Grande" w:hAnsi="Lucida Grande" w:cs="Lucida Grande"/>
      <w:sz w:val="18"/>
      <w:szCs w:val="18"/>
    </w:rPr>
  </w:style>
  <w:style w:type="paragraph" w:styleId="Header">
    <w:name w:val="header"/>
    <w:basedOn w:val="Normal"/>
    <w:link w:val="HeaderChar"/>
    <w:uiPriority w:val="99"/>
    <w:unhideWhenUsed/>
    <w:rsid w:val="00D571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1E4"/>
  </w:style>
  <w:style w:type="character" w:customStyle="1" w:styleId="Heading2Char">
    <w:name w:val="Heading 2 Char"/>
    <w:basedOn w:val="DefaultParagraphFont"/>
    <w:link w:val="Heading2"/>
    <w:uiPriority w:val="9"/>
    <w:rsid w:val="00A15EA1"/>
    <w:rPr>
      <w:rFonts w:ascii="Times New Roman" w:eastAsiaTheme="majorEastAsia" w:hAnsi="Times New Roman" w:cstheme="majorBidi"/>
      <w:b/>
      <w:i/>
      <w:color w:val="000000" w:themeColor="tex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526564">
      <w:bodyDiv w:val="1"/>
      <w:marLeft w:val="0"/>
      <w:marRight w:val="0"/>
      <w:marTop w:val="0"/>
      <w:marBottom w:val="0"/>
      <w:divBdr>
        <w:top w:val="none" w:sz="0" w:space="0" w:color="auto"/>
        <w:left w:val="none" w:sz="0" w:space="0" w:color="auto"/>
        <w:bottom w:val="none" w:sz="0" w:space="0" w:color="auto"/>
        <w:right w:val="none" w:sz="0" w:space="0" w:color="auto"/>
      </w:divBdr>
    </w:div>
    <w:div w:id="622463376">
      <w:bodyDiv w:val="1"/>
      <w:marLeft w:val="0"/>
      <w:marRight w:val="0"/>
      <w:marTop w:val="0"/>
      <w:marBottom w:val="0"/>
      <w:divBdr>
        <w:top w:val="none" w:sz="0" w:space="0" w:color="auto"/>
        <w:left w:val="none" w:sz="0" w:space="0" w:color="auto"/>
        <w:bottom w:val="none" w:sz="0" w:space="0" w:color="auto"/>
        <w:right w:val="none" w:sz="0" w:space="0" w:color="auto"/>
      </w:divBdr>
    </w:div>
    <w:div w:id="708379590">
      <w:bodyDiv w:val="1"/>
      <w:marLeft w:val="0"/>
      <w:marRight w:val="0"/>
      <w:marTop w:val="0"/>
      <w:marBottom w:val="0"/>
      <w:divBdr>
        <w:top w:val="none" w:sz="0" w:space="0" w:color="auto"/>
        <w:left w:val="none" w:sz="0" w:space="0" w:color="auto"/>
        <w:bottom w:val="none" w:sz="0" w:space="0" w:color="auto"/>
        <w:right w:val="none" w:sz="0" w:space="0" w:color="auto"/>
      </w:divBdr>
    </w:div>
    <w:div w:id="822283981">
      <w:bodyDiv w:val="1"/>
      <w:marLeft w:val="0"/>
      <w:marRight w:val="0"/>
      <w:marTop w:val="0"/>
      <w:marBottom w:val="0"/>
      <w:divBdr>
        <w:top w:val="none" w:sz="0" w:space="0" w:color="auto"/>
        <w:left w:val="none" w:sz="0" w:space="0" w:color="auto"/>
        <w:bottom w:val="none" w:sz="0" w:space="0" w:color="auto"/>
        <w:right w:val="none" w:sz="0" w:space="0" w:color="auto"/>
      </w:divBdr>
    </w:div>
    <w:div w:id="824200660">
      <w:bodyDiv w:val="1"/>
      <w:marLeft w:val="0"/>
      <w:marRight w:val="0"/>
      <w:marTop w:val="0"/>
      <w:marBottom w:val="0"/>
      <w:divBdr>
        <w:top w:val="none" w:sz="0" w:space="0" w:color="auto"/>
        <w:left w:val="none" w:sz="0" w:space="0" w:color="auto"/>
        <w:bottom w:val="none" w:sz="0" w:space="0" w:color="auto"/>
        <w:right w:val="none" w:sz="0" w:space="0" w:color="auto"/>
      </w:divBdr>
    </w:div>
    <w:div w:id="928736398">
      <w:bodyDiv w:val="1"/>
      <w:marLeft w:val="0"/>
      <w:marRight w:val="0"/>
      <w:marTop w:val="0"/>
      <w:marBottom w:val="0"/>
      <w:divBdr>
        <w:top w:val="none" w:sz="0" w:space="0" w:color="auto"/>
        <w:left w:val="none" w:sz="0" w:space="0" w:color="auto"/>
        <w:bottom w:val="none" w:sz="0" w:space="0" w:color="auto"/>
        <w:right w:val="none" w:sz="0" w:space="0" w:color="auto"/>
      </w:divBdr>
    </w:div>
    <w:div w:id="1148596425">
      <w:bodyDiv w:val="1"/>
      <w:marLeft w:val="0"/>
      <w:marRight w:val="0"/>
      <w:marTop w:val="0"/>
      <w:marBottom w:val="0"/>
      <w:divBdr>
        <w:top w:val="none" w:sz="0" w:space="0" w:color="auto"/>
        <w:left w:val="none" w:sz="0" w:space="0" w:color="auto"/>
        <w:bottom w:val="none" w:sz="0" w:space="0" w:color="auto"/>
        <w:right w:val="none" w:sz="0" w:space="0" w:color="auto"/>
      </w:divBdr>
    </w:div>
    <w:div w:id="1229537721">
      <w:bodyDiv w:val="1"/>
      <w:marLeft w:val="0"/>
      <w:marRight w:val="0"/>
      <w:marTop w:val="0"/>
      <w:marBottom w:val="0"/>
      <w:divBdr>
        <w:top w:val="none" w:sz="0" w:space="0" w:color="auto"/>
        <w:left w:val="none" w:sz="0" w:space="0" w:color="auto"/>
        <w:bottom w:val="none" w:sz="0" w:space="0" w:color="auto"/>
        <w:right w:val="none" w:sz="0" w:space="0" w:color="auto"/>
      </w:divBdr>
    </w:div>
    <w:div w:id="1238830856">
      <w:bodyDiv w:val="1"/>
      <w:marLeft w:val="0"/>
      <w:marRight w:val="0"/>
      <w:marTop w:val="0"/>
      <w:marBottom w:val="0"/>
      <w:divBdr>
        <w:top w:val="none" w:sz="0" w:space="0" w:color="auto"/>
        <w:left w:val="none" w:sz="0" w:space="0" w:color="auto"/>
        <w:bottom w:val="none" w:sz="0" w:space="0" w:color="auto"/>
        <w:right w:val="none" w:sz="0" w:space="0" w:color="auto"/>
      </w:divBdr>
    </w:div>
    <w:div w:id="1255553937">
      <w:bodyDiv w:val="1"/>
      <w:marLeft w:val="0"/>
      <w:marRight w:val="0"/>
      <w:marTop w:val="0"/>
      <w:marBottom w:val="0"/>
      <w:divBdr>
        <w:top w:val="none" w:sz="0" w:space="0" w:color="auto"/>
        <w:left w:val="none" w:sz="0" w:space="0" w:color="auto"/>
        <w:bottom w:val="none" w:sz="0" w:space="0" w:color="auto"/>
        <w:right w:val="none" w:sz="0" w:space="0" w:color="auto"/>
      </w:divBdr>
    </w:div>
    <w:div w:id="1378357443">
      <w:bodyDiv w:val="1"/>
      <w:marLeft w:val="0"/>
      <w:marRight w:val="0"/>
      <w:marTop w:val="0"/>
      <w:marBottom w:val="0"/>
      <w:divBdr>
        <w:top w:val="none" w:sz="0" w:space="0" w:color="auto"/>
        <w:left w:val="none" w:sz="0" w:space="0" w:color="auto"/>
        <w:bottom w:val="none" w:sz="0" w:space="0" w:color="auto"/>
        <w:right w:val="none" w:sz="0" w:space="0" w:color="auto"/>
      </w:divBdr>
    </w:div>
    <w:div w:id="1870340951">
      <w:bodyDiv w:val="1"/>
      <w:marLeft w:val="0"/>
      <w:marRight w:val="0"/>
      <w:marTop w:val="0"/>
      <w:marBottom w:val="0"/>
      <w:divBdr>
        <w:top w:val="none" w:sz="0" w:space="0" w:color="auto"/>
        <w:left w:val="none" w:sz="0" w:space="0" w:color="auto"/>
        <w:bottom w:val="none" w:sz="0" w:space="0" w:color="auto"/>
        <w:right w:val="none" w:sz="0" w:space="0" w:color="auto"/>
      </w:divBdr>
    </w:div>
    <w:div w:id="1895504274">
      <w:bodyDiv w:val="1"/>
      <w:marLeft w:val="0"/>
      <w:marRight w:val="0"/>
      <w:marTop w:val="0"/>
      <w:marBottom w:val="0"/>
      <w:divBdr>
        <w:top w:val="none" w:sz="0" w:space="0" w:color="auto"/>
        <w:left w:val="none" w:sz="0" w:space="0" w:color="auto"/>
        <w:bottom w:val="none" w:sz="0" w:space="0" w:color="auto"/>
        <w:right w:val="none" w:sz="0" w:space="0" w:color="auto"/>
      </w:divBdr>
    </w:div>
    <w:div w:id="205280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8" Type="http://schemas.openxmlformats.org/officeDocument/2006/relationships/hyperlink" Target="https://www.icj.org/states-of-emergency-their-impact-on-human-rights/" TargetMode="External"/><Relationship Id="rId13" Type="http://schemas.openxmlformats.org/officeDocument/2006/relationships/hyperlink" Target="https://www.venice.coe.int/webforms/documents/default.aspx?pdffile=CDL-AD(2016)037-e" TargetMode="External"/><Relationship Id="rId3" Type="http://schemas.openxmlformats.org/officeDocument/2006/relationships/hyperlink" Target="https://crd.org/2018/04/12/a-state-in-emergency-when-exceptions-become-the-new-norm/" TargetMode="External"/><Relationship Id="rId7" Type="http://schemas.openxmlformats.org/officeDocument/2006/relationships/hyperlink" Target="https://www.hrw.org/news/2020/02/07/turkey-kurdish-mayors-removal-violates-voters-rights" TargetMode="External"/><Relationship Id="rId12" Type="http://schemas.openxmlformats.org/officeDocument/2006/relationships/hyperlink" Target="https://turkeypurge.com/" TargetMode="External"/><Relationship Id="rId2" Type="http://schemas.openxmlformats.org/officeDocument/2006/relationships/hyperlink" Target="https://www.milliyet.com.tr/gundem/feto-darbe-girisiminin-aci-tablosu-240-sehit-2280468" TargetMode="External"/><Relationship Id="rId1" Type="http://schemas.openxmlformats.org/officeDocument/2006/relationships/hyperlink" Target="https://euobserver.com/opinion/155023" TargetMode="External"/><Relationship Id="rId6" Type="http://schemas.openxmlformats.org/officeDocument/2006/relationships/hyperlink" Target="https://www.hrw.org/news/2020/11/19/turkey-opposition-politicians-detained-four-years" TargetMode="External"/><Relationship Id="rId11" Type="http://schemas.openxmlformats.org/officeDocument/2006/relationships/hyperlink" Target="http://www.tunceli.gov.tr/gecici-ozel-guvenlik-bolgesi-ilani-30" TargetMode="External"/><Relationship Id="rId5" Type="http://schemas.openxmlformats.org/officeDocument/2006/relationships/hyperlink" Target="https://www.hrw.org/print/324931" TargetMode="External"/><Relationship Id="rId10" Type="http://schemas.openxmlformats.org/officeDocument/2006/relationships/hyperlink" Target="https://www.reuters.com/article/turkey-politics-idUSL5N17H0F6" TargetMode="External"/><Relationship Id="rId4" Type="http://schemas.openxmlformats.org/officeDocument/2006/relationships/hyperlink" Target="https://www.cumhuriyet.com.tr/haber/sirnakta-17-gecici-ozel-guvenlik-bolgesi-ilan-edildi-814519" TargetMode="External"/><Relationship Id="rId9" Type="http://schemas.openxmlformats.org/officeDocument/2006/relationships/hyperlink" Target="https://www.ohchr.org/Documents/Countries/TR/2018-03-19_Second_OHCHR_Turkey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D3F64-D781-F340-AC25-5511231EE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7467</Words>
  <Characters>42562</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2022-12-30T14:54:00Z</dcterms:created>
  <dcterms:modified xsi:type="dcterms:W3CDTF">2023-02-10T09:39:00Z</dcterms:modified>
</cp:coreProperties>
</file>