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E2BB" w14:textId="4BF39AED" w:rsidR="001078FC" w:rsidRDefault="001078FC" w:rsidP="002A7E94">
      <w:pPr>
        <w:rPr>
          <w:rFonts w:cstheme="minorHAnsi"/>
        </w:rPr>
      </w:pPr>
      <w:r w:rsidRPr="0031682F">
        <w:rPr>
          <w:rFonts w:cstheme="minorHAnsi"/>
        </w:rPr>
        <w:t>Afterword</w:t>
      </w:r>
    </w:p>
    <w:p w14:paraId="5B8B44C5" w14:textId="04083788" w:rsidR="0031682F" w:rsidRPr="0031682F" w:rsidRDefault="0031682F" w:rsidP="002A7E94">
      <w:pPr>
        <w:rPr>
          <w:rFonts w:cstheme="minorHAnsi"/>
        </w:rPr>
      </w:pPr>
      <w:r>
        <w:rPr>
          <w:rFonts w:cstheme="minorHAnsi"/>
        </w:rPr>
        <w:t>Anna Bull, University of York</w:t>
      </w:r>
    </w:p>
    <w:p w14:paraId="338C1DBA" w14:textId="7A94552A" w:rsidR="00BF1F61" w:rsidRPr="0031682F" w:rsidRDefault="00B90E23" w:rsidP="003A7A05">
      <w:pPr>
        <w:jc w:val="both"/>
        <w:rPr>
          <w:rFonts w:cstheme="minorHAnsi"/>
        </w:rPr>
      </w:pPr>
      <w:r>
        <w:rPr>
          <w:rFonts w:cstheme="minorHAnsi"/>
        </w:rPr>
        <w:t>G</w:t>
      </w:r>
      <w:r w:rsidR="009F0B3B" w:rsidRPr="0031682F">
        <w:rPr>
          <w:rFonts w:cstheme="minorHAnsi"/>
        </w:rPr>
        <w:t xml:space="preserve">ender-based violence and harassment </w:t>
      </w:r>
      <w:r w:rsidR="00DA033A">
        <w:rPr>
          <w:rFonts w:cstheme="minorHAnsi"/>
        </w:rPr>
        <w:t>(</w:t>
      </w:r>
      <w:r>
        <w:rPr>
          <w:rFonts w:cstheme="minorHAnsi"/>
        </w:rPr>
        <w:t>GBVH</w:t>
      </w:r>
      <w:r w:rsidR="00DA033A">
        <w:rPr>
          <w:rFonts w:cstheme="minorHAnsi"/>
        </w:rPr>
        <w:t xml:space="preserve">) </w:t>
      </w:r>
      <w:r w:rsidR="009F0B3B" w:rsidRPr="0031682F">
        <w:rPr>
          <w:rFonts w:cstheme="minorHAnsi"/>
        </w:rPr>
        <w:t xml:space="preserve">occur in the everyday spaces of academia. </w:t>
      </w:r>
      <w:r w:rsidR="00A90AF0" w:rsidRPr="0031682F">
        <w:rPr>
          <w:rFonts w:cstheme="minorHAnsi"/>
        </w:rPr>
        <w:t>This statement should</w:t>
      </w:r>
      <w:r w:rsidR="006640B8" w:rsidRPr="0031682F">
        <w:rPr>
          <w:rFonts w:cstheme="minorHAnsi"/>
        </w:rPr>
        <w:t xml:space="preserve"> be a truism, but </w:t>
      </w:r>
      <w:r w:rsidR="00DD75E1" w:rsidRPr="0031682F">
        <w:rPr>
          <w:rFonts w:cstheme="minorHAnsi"/>
        </w:rPr>
        <w:t xml:space="preserve">as the chapters in the volume attest, it can still be risky to </w:t>
      </w:r>
      <w:r w:rsidR="0031682F">
        <w:rPr>
          <w:rFonts w:cstheme="minorHAnsi"/>
        </w:rPr>
        <w:t>state that</w:t>
      </w:r>
      <w:r w:rsidR="00DD75E1" w:rsidRPr="0031682F">
        <w:rPr>
          <w:rFonts w:cstheme="minorHAnsi"/>
        </w:rPr>
        <w:t xml:space="preserve"> </w:t>
      </w:r>
      <w:r>
        <w:rPr>
          <w:rFonts w:cstheme="minorHAnsi"/>
        </w:rPr>
        <w:t>GBVH</w:t>
      </w:r>
      <w:r w:rsidR="00DD75E1" w:rsidRPr="0031682F">
        <w:rPr>
          <w:rFonts w:cstheme="minorHAnsi"/>
        </w:rPr>
        <w:t xml:space="preserve"> happens</w:t>
      </w:r>
      <w:r w:rsidR="00D377A8" w:rsidRPr="0031682F">
        <w:rPr>
          <w:rFonts w:cstheme="minorHAnsi"/>
        </w:rPr>
        <w:t xml:space="preserve"> in </w:t>
      </w:r>
      <w:r w:rsidR="00DA033A">
        <w:rPr>
          <w:rFonts w:cstheme="minorHAnsi"/>
        </w:rPr>
        <w:t xml:space="preserve">academia, in </w:t>
      </w:r>
      <w:r w:rsidR="00D377A8" w:rsidRPr="0031682F">
        <w:rPr>
          <w:rFonts w:cstheme="minorHAnsi"/>
        </w:rPr>
        <w:t>everyday spaces</w:t>
      </w:r>
      <w:r w:rsidR="00DA033A">
        <w:rPr>
          <w:rFonts w:cstheme="minorHAnsi"/>
        </w:rPr>
        <w:t>,</w:t>
      </w:r>
      <w:r w:rsidR="00D377A8" w:rsidRPr="0031682F">
        <w:rPr>
          <w:rFonts w:cstheme="minorHAnsi"/>
        </w:rPr>
        <w:t xml:space="preserve"> as a normal occurrence. The focus of the volume on ‘everyday spaces’ </w:t>
      </w:r>
      <w:r w:rsidR="00FC61FC" w:rsidRPr="0031682F">
        <w:rPr>
          <w:rFonts w:cstheme="minorHAnsi"/>
        </w:rPr>
        <w:t xml:space="preserve">is a crucial intervention to move away from </w:t>
      </w:r>
      <w:r w:rsidR="00855A79" w:rsidRPr="0031682F">
        <w:rPr>
          <w:rFonts w:cstheme="minorHAnsi"/>
        </w:rPr>
        <w:t>common</w:t>
      </w:r>
      <w:r w:rsidR="00DA033A">
        <w:rPr>
          <w:rFonts w:cstheme="minorHAnsi"/>
        </w:rPr>
        <w:t xml:space="preserve"> </w:t>
      </w:r>
      <w:r w:rsidR="00855A79" w:rsidRPr="0031682F">
        <w:rPr>
          <w:rFonts w:cstheme="minorHAnsi"/>
        </w:rPr>
        <w:t xml:space="preserve">sense assumptions and </w:t>
      </w:r>
      <w:r w:rsidR="007E550F" w:rsidRPr="0031682F">
        <w:rPr>
          <w:rFonts w:cstheme="minorHAnsi"/>
        </w:rPr>
        <w:t xml:space="preserve">myths about </w:t>
      </w:r>
      <w:r w:rsidR="00855A79" w:rsidRPr="0031682F">
        <w:rPr>
          <w:rFonts w:cstheme="minorHAnsi"/>
        </w:rPr>
        <w:t xml:space="preserve">where, how, and to whom </w:t>
      </w:r>
      <w:r>
        <w:rPr>
          <w:rFonts w:cstheme="minorHAnsi"/>
        </w:rPr>
        <w:t>GBVH</w:t>
      </w:r>
      <w:r w:rsidR="002A7E94" w:rsidRPr="0031682F">
        <w:rPr>
          <w:rFonts w:cstheme="minorHAnsi"/>
        </w:rPr>
        <w:t xml:space="preserve"> in academia </w:t>
      </w:r>
      <w:r w:rsidR="006640B8" w:rsidRPr="0031682F">
        <w:rPr>
          <w:rFonts w:cstheme="minorHAnsi"/>
        </w:rPr>
        <w:t>occur</w:t>
      </w:r>
      <w:r w:rsidR="00690D8F">
        <w:rPr>
          <w:rFonts w:cstheme="minorHAnsi"/>
        </w:rPr>
        <w:t>, and a</w:t>
      </w:r>
      <w:r w:rsidR="00056814">
        <w:rPr>
          <w:rFonts w:cstheme="minorHAnsi"/>
        </w:rPr>
        <w:t xml:space="preserve">s </w:t>
      </w:r>
      <w:r w:rsidR="00056814" w:rsidRPr="0031682F">
        <w:rPr>
          <w:rFonts w:cstheme="minorHAnsi"/>
        </w:rPr>
        <w:t xml:space="preserve">Alexandria Petit-Thorne describes </w:t>
      </w:r>
      <w:r w:rsidR="00056814">
        <w:rPr>
          <w:rFonts w:cstheme="minorHAnsi"/>
        </w:rPr>
        <w:t>(</w:t>
      </w:r>
      <w:r w:rsidR="00056814" w:rsidRPr="0031682F">
        <w:rPr>
          <w:rFonts w:cstheme="minorHAnsi"/>
        </w:rPr>
        <w:t>in this volume</w:t>
      </w:r>
      <w:r w:rsidR="00056814">
        <w:rPr>
          <w:rFonts w:cstheme="minorHAnsi"/>
        </w:rPr>
        <w:t>),</w:t>
      </w:r>
      <w:r w:rsidR="001A462C">
        <w:rPr>
          <w:rFonts w:cstheme="minorHAnsi"/>
        </w:rPr>
        <w:t xml:space="preserve"> </w:t>
      </w:r>
      <w:r w:rsidR="002D2B03">
        <w:rPr>
          <w:rFonts w:cstheme="minorHAnsi"/>
        </w:rPr>
        <w:t>it is crucial to</w:t>
      </w:r>
      <w:r w:rsidR="00056814">
        <w:rPr>
          <w:rFonts w:cstheme="minorHAnsi"/>
        </w:rPr>
        <w:t xml:space="preserve"> </w:t>
      </w:r>
      <w:r w:rsidR="00056814" w:rsidRPr="0031682F">
        <w:rPr>
          <w:rFonts w:cstheme="minorHAnsi"/>
        </w:rPr>
        <w:t>includ</w:t>
      </w:r>
      <w:r w:rsidR="00056814">
        <w:rPr>
          <w:rFonts w:cstheme="minorHAnsi"/>
        </w:rPr>
        <w:t>e</w:t>
      </w:r>
      <w:r w:rsidR="00056814" w:rsidRPr="0031682F">
        <w:rPr>
          <w:rFonts w:cstheme="minorHAnsi"/>
        </w:rPr>
        <w:t xml:space="preserve"> ‘liminal academic spaces’ such as </w:t>
      </w:r>
      <w:r w:rsidR="00056814" w:rsidRPr="0031682F">
        <w:rPr>
          <w:rFonts w:eastAsia="Times New Roman" w:cstheme="minorHAnsi"/>
        </w:rPr>
        <w:t xml:space="preserve">student organizations, labour unions, and social </w:t>
      </w:r>
      <w:r w:rsidR="001A462C">
        <w:rPr>
          <w:rFonts w:eastAsia="Times New Roman" w:cstheme="minorHAnsi"/>
        </w:rPr>
        <w:t xml:space="preserve">spaces </w:t>
      </w:r>
      <w:r w:rsidR="001A462C">
        <w:rPr>
          <w:rFonts w:cstheme="minorHAnsi"/>
        </w:rPr>
        <w:t>within the understanding of ‘everyday spaces’</w:t>
      </w:r>
      <w:r w:rsidR="00056814">
        <w:rPr>
          <w:rFonts w:cstheme="minorHAnsi"/>
        </w:rPr>
        <w:t xml:space="preserve">. </w:t>
      </w:r>
      <w:r w:rsidR="00173618" w:rsidRPr="0031682F">
        <w:rPr>
          <w:rFonts w:cstheme="minorHAnsi"/>
        </w:rPr>
        <w:t>Chapters</w:t>
      </w:r>
      <w:r w:rsidR="00855A79" w:rsidRPr="0031682F">
        <w:rPr>
          <w:rFonts w:cstheme="minorHAnsi"/>
        </w:rPr>
        <w:t xml:space="preserve"> in this volume</w:t>
      </w:r>
      <w:r w:rsidR="006640B8" w:rsidRPr="0031682F">
        <w:rPr>
          <w:rFonts w:cstheme="minorHAnsi"/>
        </w:rPr>
        <w:t xml:space="preserve"> </w:t>
      </w:r>
      <w:r w:rsidR="001A462C">
        <w:rPr>
          <w:rFonts w:cstheme="minorHAnsi"/>
        </w:rPr>
        <w:t xml:space="preserve">also </w:t>
      </w:r>
      <w:r w:rsidR="006640B8" w:rsidRPr="0031682F">
        <w:rPr>
          <w:rFonts w:cstheme="minorHAnsi"/>
        </w:rPr>
        <w:t xml:space="preserve">reveal how </w:t>
      </w:r>
      <w:r>
        <w:rPr>
          <w:rFonts w:cstheme="minorHAnsi"/>
        </w:rPr>
        <w:t>GBVH</w:t>
      </w:r>
      <w:r w:rsidR="00C259F2" w:rsidRPr="0031682F">
        <w:rPr>
          <w:rFonts w:cstheme="minorHAnsi"/>
        </w:rPr>
        <w:t xml:space="preserve"> </w:t>
      </w:r>
      <w:r w:rsidR="002A7E94" w:rsidRPr="0031682F">
        <w:rPr>
          <w:rFonts w:cstheme="minorHAnsi"/>
        </w:rPr>
        <w:t xml:space="preserve">intersects with violence and harassment on the basis of gender identity, </w:t>
      </w:r>
      <w:r w:rsidR="00995549" w:rsidRPr="0031682F">
        <w:rPr>
          <w:rFonts w:cstheme="minorHAnsi"/>
        </w:rPr>
        <w:t>‘race’, sexuality</w:t>
      </w:r>
      <w:r w:rsidR="002A7E94" w:rsidRPr="0031682F">
        <w:rPr>
          <w:rFonts w:cstheme="minorHAnsi"/>
        </w:rPr>
        <w:t xml:space="preserve">, </w:t>
      </w:r>
      <w:r w:rsidR="00995549" w:rsidRPr="0031682F">
        <w:rPr>
          <w:rFonts w:cstheme="minorHAnsi"/>
        </w:rPr>
        <w:t xml:space="preserve">and disability, </w:t>
      </w:r>
      <w:r w:rsidR="002A7E94" w:rsidRPr="0031682F">
        <w:rPr>
          <w:rFonts w:cstheme="minorHAnsi"/>
        </w:rPr>
        <w:t xml:space="preserve">and </w:t>
      </w:r>
      <w:r w:rsidR="00C259F2" w:rsidRPr="0031682F">
        <w:rPr>
          <w:rFonts w:cstheme="minorHAnsi"/>
        </w:rPr>
        <w:t>is</w:t>
      </w:r>
      <w:r w:rsidR="00995549" w:rsidRPr="0031682F">
        <w:rPr>
          <w:rFonts w:cstheme="minorHAnsi"/>
        </w:rPr>
        <w:t xml:space="preserve"> </w:t>
      </w:r>
      <w:r w:rsidR="002A7E94" w:rsidRPr="0031682F">
        <w:rPr>
          <w:rFonts w:cstheme="minorHAnsi"/>
        </w:rPr>
        <w:t xml:space="preserve">upheld by legacies of colonial violence. </w:t>
      </w:r>
      <w:r w:rsidR="00173618" w:rsidRPr="0031682F">
        <w:rPr>
          <w:rFonts w:cstheme="minorHAnsi"/>
        </w:rPr>
        <w:t>The</w:t>
      </w:r>
      <w:r w:rsidR="00BC745B" w:rsidRPr="0031682F">
        <w:rPr>
          <w:rFonts w:cstheme="minorHAnsi"/>
        </w:rPr>
        <w:t xml:space="preserve"> book </w:t>
      </w:r>
      <w:r w:rsidR="00D9186C" w:rsidRPr="0031682F">
        <w:rPr>
          <w:rFonts w:cstheme="minorHAnsi"/>
        </w:rPr>
        <w:t>also serves as a reminder of</w:t>
      </w:r>
      <w:r w:rsidR="00BC745B" w:rsidRPr="0031682F">
        <w:rPr>
          <w:rFonts w:cstheme="minorHAnsi"/>
        </w:rPr>
        <w:t xml:space="preserve"> the value of autoethnographic accounts </w:t>
      </w:r>
      <w:r w:rsidR="003A7A05" w:rsidRPr="0031682F">
        <w:rPr>
          <w:rFonts w:cstheme="minorHAnsi"/>
        </w:rPr>
        <w:t xml:space="preserve">such as </w:t>
      </w:r>
      <w:r w:rsidR="003A7A05" w:rsidRPr="0031682F">
        <w:rPr>
          <w:rFonts w:eastAsia="Calibri" w:cstheme="minorHAnsi"/>
          <w:color w:val="222222"/>
          <w:highlight w:val="white"/>
        </w:rPr>
        <w:t>Lieselotte Viaene</w:t>
      </w:r>
      <w:r w:rsidR="000F1730" w:rsidRPr="0031682F">
        <w:rPr>
          <w:rFonts w:eastAsia="Calibri" w:cstheme="minorHAnsi"/>
          <w:color w:val="222222"/>
          <w:highlight w:val="white"/>
        </w:rPr>
        <w:t xml:space="preserve">, </w:t>
      </w:r>
      <w:r w:rsidR="003A7A05" w:rsidRPr="0031682F">
        <w:rPr>
          <w:rFonts w:eastAsia="Calibri" w:cstheme="minorHAnsi"/>
          <w:color w:val="222222"/>
          <w:highlight w:val="white"/>
        </w:rPr>
        <w:t>Catarina Laranjeiro</w:t>
      </w:r>
      <w:r w:rsidR="000F1730" w:rsidRPr="0031682F">
        <w:rPr>
          <w:rFonts w:eastAsia="Calibri" w:cstheme="minorHAnsi"/>
          <w:color w:val="222222"/>
        </w:rPr>
        <w:t xml:space="preserve"> and </w:t>
      </w:r>
      <w:r w:rsidR="000F1730" w:rsidRPr="0031682F">
        <w:rPr>
          <w:rFonts w:cstheme="minorHAnsi"/>
          <w:color w:val="000000"/>
        </w:rPr>
        <w:t>Miye Nadya Tom</w:t>
      </w:r>
      <w:r w:rsidR="003A7A05" w:rsidRPr="0031682F">
        <w:rPr>
          <w:rFonts w:eastAsia="Calibri" w:cstheme="minorHAnsi"/>
          <w:color w:val="222222"/>
        </w:rPr>
        <w:t xml:space="preserve">, </w:t>
      </w:r>
      <w:r w:rsidR="00D9186C" w:rsidRPr="0031682F">
        <w:rPr>
          <w:rFonts w:eastAsia="Calibri" w:cstheme="minorHAnsi"/>
          <w:color w:val="222222"/>
        </w:rPr>
        <w:t>as well as,</w:t>
      </w:r>
      <w:r w:rsidR="00D9186C" w:rsidRPr="0031682F">
        <w:rPr>
          <w:rFonts w:eastAsia="Calibri" w:cstheme="minorHAnsi"/>
          <w:color w:val="212529"/>
        </w:rPr>
        <w:t xml:space="preserve"> Simona Palladino and Laura Thurman in this volume. Such accounts </w:t>
      </w:r>
      <w:r w:rsidR="00A91326" w:rsidRPr="0031682F">
        <w:rPr>
          <w:rFonts w:eastAsia="Calibri" w:cstheme="minorHAnsi"/>
          <w:color w:val="212529"/>
        </w:rPr>
        <w:t xml:space="preserve">form their own genre, </w:t>
      </w:r>
      <w:r w:rsidR="00D30566" w:rsidRPr="0031682F">
        <w:rPr>
          <w:rFonts w:eastAsia="Calibri" w:cstheme="minorHAnsi"/>
          <w:color w:val="212529"/>
        </w:rPr>
        <w:t>forming a lineage that includes</w:t>
      </w:r>
      <w:r w:rsidR="00A91326" w:rsidRPr="0031682F">
        <w:rPr>
          <w:rFonts w:eastAsia="Calibri" w:cstheme="minorHAnsi"/>
          <w:color w:val="212529"/>
        </w:rPr>
        <w:t xml:space="preserve"> Elizabeth </w:t>
      </w:r>
      <w:r w:rsidR="00714270" w:rsidRPr="0031682F">
        <w:rPr>
          <w:rFonts w:eastAsia="Calibri" w:cstheme="minorHAnsi"/>
          <w:color w:val="212529"/>
        </w:rPr>
        <w:t xml:space="preserve">Stanko </w:t>
      </w:r>
      <w:r w:rsidR="00AF1DC3" w:rsidRPr="0031682F">
        <w:rPr>
          <w:rFonts w:eastAsia="Calibri" w:cstheme="minorHAnsi"/>
          <w:color w:val="212529"/>
        </w:rPr>
        <w:t>(1995)</w:t>
      </w:r>
      <w:r w:rsidR="00714270" w:rsidRPr="0031682F">
        <w:rPr>
          <w:rFonts w:eastAsia="Calibri" w:cstheme="minorHAnsi"/>
          <w:color w:val="212529"/>
        </w:rPr>
        <w:t>;</w:t>
      </w:r>
      <w:r w:rsidR="00A91326" w:rsidRPr="0031682F">
        <w:rPr>
          <w:rFonts w:eastAsia="Calibri" w:cstheme="minorHAnsi"/>
          <w:color w:val="212529"/>
        </w:rPr>
        <w:t xml:space="preserve"> Deborah Lee (</w:t>
      </w:r>
      <w:r w:rsidR="00B869BC" w:rsidRPr="0031682F">
        <w:rPr>
          <w:rFonts w:eastAsia="Calibri" w:cstheme="minorHAnsi"/>
          <w:color w:val="212529"/>
        </w:rPr>
        <w:t>2018</w:t>
      </w:r>
      <w:r w:rsidR="00A91326" w:rsidRPr="0031682F">
        <w:rPr>
          <w:rFonts w:eastAsia="Calibri" w:cstheme="minorHAnsi"/>
          <w:color w:val="212529"/>
        </w:rPr>
        <w:t xml:space="preserve">), and </w:t>
      </w:r>
      <w:r w:rsidR="00BC745B" w:rsidRPr="0031682F">
        <w:rPr>
          <w:rFonts w:cstheme="minorHAnsi"/>
        </w:rPr>
        <w:t>Whitley and Page</w:t>
      </w:r>
      <w:r w:rsidR="00A91326" w:rsidRPr="0031682F">
        <w:rPr>
          <w:rFonts w:cstheme="minorHAnsi"/>
        </w:rPr>
        <w:t xml:space="preserve"> (2015)</w:t>
      </w:r>
      <w:r w:rsidR="00BC745B" w:rsidRPr="0031682F">
        <w:rPr>
          <w:rFonts w:cstheme="minorHAnsi"/>
        </w:rPr>
        <w:t xml:space="preserve">, </w:t>
      </w:r>
      <w:r w:rsidR="00BF1F61" w:rsidRPr="0031682F">
        <w:rPr>
          <w:rFonts w:cstheme="minorHAnsi"/>
        </w:rPr>
        <w:t xml:space="preserve">among others, </w:t>
      </w:r>
      <w:r w:rsidR="00BC745B" w:rsidRPr="0031682F">
        <w:rPr>
          <w:rFonts w:cstheme="minorHAnsi"/>
        </w:rPr>
        <w:t xml:space="preserve">in making visible </w:t>
      </w:r>
      <w:r w:rsidR="00A91326" w:rsidRPr="0031682F">
        <w:rPr>
          <w:rFonts w:cstheme="minorHAnsi"/>
        </w:rPr>
        <w:t xml:space="preserve">the experiential level of how </w:t>
      </w:r>
      <w:r w:rsidR="00BC745B" w:rsidRPr="0031682F">
        <w:rPr>
          <w:rFonts w:cstheme="minorHAnsi"/>
        </w:rPr>
        <w:t xml:space="preserve">abuse occurs. </w:t>
      </w:r>
    </w:p>
    <w:p w14:paraId="556D4482" w14:textId="315B86C6" w:rsidR="002A7E94" w:rsidRPr="0031682F" w:rsidRDefault="00714270" w:rsidP="003A7A05">
      <w:pPr>
        <w:jc w:val="both"/>
        <w:rPr>
          <w:rFonts w:cstheme="minorHAnsi"/>
        </w:rPr>
      </w:pPr>
      <w:r w:rsidRPr="0031682F">
        <w:rPr>
          <w:rFonts w:cstheme="minorHAnsi"/>
        </w:rPr>
        <w:t>In addition to its contribution to this lineage, an</w:t>
      </w:r>
      <w:r w:rsidR="00173618" w:rsidRPr="0031682F">
        <w:rPr>
          <w:rFonts w:cstheme="minorHAnsi"/>
        </w:rPr>
        <w:t xml:space="preserve"> under-examined area that this volume contributes to is</w:t>
      </w:r>
      <w:r w:rsidR="00BC745B" w:rsidRPr="0031682F">
        <w:rPr>
          <w:rFonts w:cstheme="minorHAnsi"/>
        </w:rPr>
        <w:t xml:space="preserve"> the specific logics </w:t>
      </w:r>
      <w:r w:rsidR="00173618" w:rsidRPr="0031682F">
        <w:rPr>
          <w:rFonts w:cstheme="minorHAnsi"/>
        </w:rPr>
        <w:t xml:space="preserve">of how </w:t>
      </w:r>
      <w:r w:rsidR="00B90E23">
        <w:rPr>
          <w:rFonts w:cstheme="minorHAnsi"/>
        </w:rPr>
        <w:t>GBVH</w:t>
      </w:r>
      <w:r w:rsidR="00173618" w:rsidRPr="0031682F">
        <w:rPr>
          <w:rFonts w:cstheme="minorHAnsi"/>
        </w:rPr>
        <w:t xml:space="preserve"> occurs within the cultures and </w:t>
      </w:r>
      <w:r w:rsidR="00E31512" w:rsidRPr="0031682F">
        <w:rPr>
          <w:rFonts w:cstheme="minorHAnsi"/>
        </w:rPr>
        <w:t xml:space="preserve">norms </w:t>
      </w:r>
      <w:r w:rsidR="00BC745B" w:rsidRPr="0031682F">
        <w:rPr>
          <w:rFonts w:cstheme="minorHAnsi"/>
        </w:rPr>
        <w:t>of different disciplines, as outlined</w:t>
      </w:r>
      <w:r w:rsidR="00834B84" w:rsidRPr="0031682F">
        <w:rPr>
          <w:rFonts w:cstheme="minorHAnsi"/>
        </w:rPr>
        <w:t xml:space="preserve"> </w:t>
      </w:r>
      <w:r w:rsidR="005B5D64" w:rsidRPr="0031682F">
        <w:rPr>
          <w:rFonts w:cstheme="minorHAnsi"/>
        </w:rPr>
        <w:t xml:space="preserve">in this volume </w:t>
      </w:r>
      <w:r w:rsidR="00834B84" w:rsidRPr="0031682F">
        <w:rPr>
          <w:rFonts w:cstheme="minorHAnsi"/>
        </w:rPr>
        <w:t xml:space="preserve">by </w:t>
      </w:r>
      <w:r w:rsidR="005B5D64" w:rsidRPr="0031682F">
        <w:rPr>
          <w:rFonts w:cstheme="minorHAnsi"/>
        </w:rPr>
        <w:t xml:space="preserve">Simona Palladino as well as Laura Thurman in anthropology, and </w:t>
      </w:r>
      <w:r w:rsidR="00834B84" w:rsidRPr="0031682F">
        <w:rPr>
          <w:rFonts w:eastAsia="Calibri" w:cstheme="minorHAnsi"/>
          <w:bCs/>
        </w:rPr>
        <w:t>Apen Ruiz Martinez and colleagues</w:t>
      </w:r>
      <w:r w:rsidR="00BC745B" w:rsidRPr="0031682F">
        <w:rPr>
          <w:rFonts w:cstheme="minorHAnsi"/>
        </w:rPr>
        <w:t xml:space="preserve"> in arch</w:t>
      </w:r>
      <w:r w:rsidR="00834B84" w:rsidRPr="0031682F">
        <w:rPr>
          <w:rFonts w:cstheme="minorHAnsi"/>
        </w:rPr>
        <w:t>a</w:t>
      </w:r>
      <w:r w:rsidR="00BC745B" w:rsidRPr="0031682F">
        <w:rPr>
          <w:rFonts w:cstheme="minorHAnsi"/>
        </w:rPr>
        <w:t>eology</w:t>
      </w:r>
      <w:r w:rsidR="00287E3C" w:rsidRPr="0031682F">
        <w:rPr>
          <w:rFonts w:cstheme="minorHAnsi"/>
        </w:rPr>
        <w:t xml:space="preserve">. </w:t>
      </w:r>
      <w:r w:rsidR="00BC745B" w:rsidRPr="0031682F">
        <w:rPr>
          <w:rFonts w:cstheme="minorHAnsi"/>
        </w:rPr>
        <w:t>see</w:t>
      </w:r>
      <w:r w:rsidR="008047A0" w:rsidRPr="0031682F">
        <w:rPr>
          <w:rFonts w:cstheme="minorHAnsi"/>
        </w:rPr>
        <w:t xml:space="preserve"> for example</w:t>
      </w:r>
      <w:r w:rsidR="00BC745B" w:rsidRPr="0031682F">
        <w:rPr>
          <w:rFonts w:cstheme="minorHAnsi"/>
        </w:rPr>
        <w:t xml:space="preserve"> </w:t>
      </w:r>
      <w:r w:rsidR="00C17A56" w:rsidRPr="0031682F">
        <w:rPr>
          <w:rFonts w:cstheme="minorHAnsi"/>
        </w:rPr>
        <w:t xml:space="preserve">Bradford and Crema (2022) and Voss (2021) </w:t>
      </w:r>
      <w:r w:rsidR="008047A0" w:rsidRPr="0031682F">
        <w:rPr>
          <w:rFonts w:cstheme="minorHAnsi"/>
        </w:rPr>
        <w:t>also on</w:t>
      </w:r>
      <w:r w:rsidR="00C17A56" w:rsidRPr="0031682F">
        <w:rPr>
          <w:rFonts w:cstheme="minorHAnsi"/>
        </w:rPr>
        <w:t xml:space="preserve"> archaelogy; </w:t>
      </w:r>
      <w:r w:rsidR="00552687" w:rsidRPr="0031682F">
        <w:rPr>
          <w:rFonts w:cstheme="minorHAnsi"/>
        </w:rPr>
        <w:t xml:space="preserve">Aycock et al. (2019) in physics; </w:t>
      </w:r>
      <w:r w:rsidR="00BC745B" w:rsidRPr="0031682F">
        <w:rPr>
          <w:rFonts w:cstheme="minorHAnsi"/>
        </w:rPr>
        <w:t>Bull</w:t>
      </w:r>
      <w:r w:rsidR="00834B84" w:rsidRPr="0031682F">
        <w:rPr>
          <w:rFonts w:cstheme="minorHAnsi"/>
        </w:rPr>
        <w:t>,</w:t>
      </w:r>
      <w:r w:rsidR="00BC745B" w:rsidRPr="0031682F">
        <w:rPr>
          <w:rFonts w:cstheme="minorHAnsi"/>
        </w:rPr>
        <w:t xml:space="preserve"> forthcoming</w:t>
      </w:r>
      <w:r w:rsidR="006F76BF" w:rsidRPr="0031682F">
        <w:rPr>
          <w:rFonts w:cstheme="minorHAnsi"/>
        </w:rPr>
        <w:t xml:space="preserve"> on music</w:t>
      </w:r>
      <w:r w:rsidR="00BC745B" w:rsidRPr="0031682F">
        <w:rPr>
          <w:rFonts w:cstheme="minorHAnsi"/>
        </w:rPr>
        <w:t xml:space="preserve">; </w:t>
      </w:r>
      <w:r w:rsidR="008047A0" w:rsidRPr="0031682F">
        <w:rPr>
          <w:rFonts w:cstheme="minorHAnsi"/>
        </w:rPr>
        <w:t xml:space="preserve">Cardwell and Hitchen (2022) on geography; </w:t>
      </w:r>
      <w:r w:rsidR="00BC745B" w:rsidRPr="0031682F">
        <w:rPr>
          <w:rFonts w:cstheme="minorHAnsi"/>
        </w:rPr>
        <w:t xml:space="preserve">Fernando and Prasad </w:t>
      </w:r>
      <w:r w:rsidR="00EF1F8B" w:rsidRPr="0031682F">
        <w:rPr>
          <w:rFonts w:cstheme="minorHAnsi"/>
        </w:rPr>
        <w:t xml:space="preserve">(2018) </w:t>
      </w:r>
      <w:r w:rsidR="00BC745B" w:rsidRPr="0031682F">
        <w:rPr>
          <w:rFonts w:cstheme="minorHAnsi"/>
        </w:rPr>
        <w:t>on business schools; Clancy</w:t>
      </w:r>
      <w:r w:rsidR="006F76BF" w:rsidRPr="0031682F">
        <w:rPr>
          <w:rFonts w:cstheme="minorHAnsi"/>
        </w:rPr>
        <w:t xml:space="preserve"> et al. on astronomy and planetary science</w:t>
      </w:r>
      <w:r w:rsidR="00BC745B" w:rsidRPr="0031682F">
        <w:rPr>
          <w:rFonts w:cstheme="minorHAnsi"/>
        </w:rPr>
        <w:t xml:space="preserve">; </w:t>
      </w:r>
      <w:r w:rsidR="00287E3C" w:rsidRPr="0031682F">
        <w:rPr>
          <w:rFonts w:cstheme="minorHAnsi"/>
        </w:rPr>
        <w:t xml:space="preserve">and a relatively large body of work in medicine, including </w:t>
      </w:r>
      <w:r w:rsidR="00EF1F8B" w:rsidRPr="0031682F">
        <w:rPr>
          <w:rFonts w:cstheme="minorHAnsi"/>
        </w:rPr>
        <w:t>National Academies of Sciences, Engineering and Medicine, 2018</w:t>
      </w:r>
      <w:r w:rsidR="00BC745B" w:rsidRPr="0031682F">
        <w:rPr>
          <w:rFonts w:cstheme="minorHAnsi"/>
        </w:rPr>
        <w:t>)</w:t>
      </w:r>
      <w:r w:rsidR="00836902" w:rsidRPr="0031682F">
        <w:rPr>
          <w:rFonts w:cstheme="minorHAnsi"/>
        </w:rPr>
        <w:t xml:space="preserve">. </w:t>
      </w:r>
      <w:r w:rsidR="009D4209" w:rsidRPr="0031682F">
        <w:rPr>
          <w:rFonts w:cstheme="minorHAnsi"/>
        </w:rPr>
        <w:t>As Laura Thurman notes in relation to anthropology, publishing such accounts ‘</w:t>
      </w:r>
      <w:r w:rsidR="00B85F5A" w:rsidRPr="0031682F">
        <w:rPr>
          <w:rFonts w:cstheme="minorHAnsi"/>
        </w:rPr>
        <w:t xml:space="preserve">can </w:t>
      </w:r>
      <w:r w:rsidR="009D4209" w:rsidRPr="0031682F">
        <w:rPr>
          <w:rFonts w:eastAsia="Times New Roman" w:cstheme="minorHAnsi"/>
        </w:rPr>
        <w:t>contribute to a larger understanding of different kinds of violence and the ways in which they are connected to our discipline’s methodology</w:t>
      </w:r>
      <w:r w:rsidR="009D4209" w:rsidRPr="0031682F">
        <w:rPr>
          <w:rFonts w:cstheme="minorHAnsi"/>
        </w:rPr>
        <w:t xml:space="preserve">’. </w:t>
      </w:r>
      <w:r w:rsidR="006A5920" w:rsidRPr="0031682F">
        <w:rPr>
          <w:rFonts w:cstheme="minorHAnsi"/>
        </w:rPr>
        <w:t xml:space="preserve">They can also allow </w:t>
      </w:r>
      <w:r w:rsidR="00AF70C1" w:rsidRPr="0031682F">
        <w:rPr>
          <w:rFonts w:cstheme="minorHAnsi"/>
        </w:rPr>
        <w:t xml:space="preserve">academic </w:t>
      </w:r>
      <w:r w:rsidR="006A5920" w:rsidRPr="0031682F">
        <w:rPr>
          <w:rFonts w:cstheme="minorHAnsi"/>
        </w:rPr>
        <w:t xml:space="preserve">disciplines to </w:t>
      </w:r>
      <w:r w:rsidR="00AF70C1" w:rsidRPr="0031682F">
        <w:rPr>
          <w:rFonts w:cstheme="minorHAnsi"/>
        </w:rPr>
        <w:t>see</w:t>
      </w:r>
      <w:r w:rsidR="006A5920" w:rsidRPr="0031682F">
        <w:rPr>
          <w:rFonts w:cstheme="minorHAnsi"/>
        </w:rPr>
        <w:t xml:space="preserve"> beyond their own siloes </w:t>
      </w:r>
      <w:r w:rsidR="00AF70C1" w:rsidRPr="0031682F">
        <w:rPr>
          <w:rFonts w:cstheme="minorHAnsi"/>
        </w:rPr>
        <w:t xml:space="preserve">or cultures and examine the similarities (and differences) across different contexts where </w:t>
      </w:r>
      <w:r w:rsidR="00B90E23">
        <w:rPr>
          <w:rFonts w:cstheme="minorHAnsi"/>
        </w:rPr>
        <w:t>GBVH</w:t>
      </w:r>
      <w:r w:rsidR="00AF70C1" w:rsidRPr="0031682F">
        <w:rPr>
          <w:rFonts w:cstheme="minorHAnsi"/>
        </w:rPr>
        <w:t xml:space="preserve"> occurs (Kelly, 2016</w:t>
      </w:r>
      <w:r w:rsidR="00C0487A" w:rsidRPr="0031682F">
        <w:rPr>
          <w:rFonts w:cstheme="minorHAnsi"/>
        </w:rPr>
        <w:t xml:space="preserve">), avoiding an approach whereby </w:t>
      </w:r>
      <w:r w:rsidR="00B90E23">
        <w:rPr>
          <w:rFonts w:cstheme="minorHAnsi"/>
        </w:rPr>
        <w:t>GBVH</w:t>
      </w:r>
      <w:r w:rsidR="00C0487A" w:rsidRPr="0031682F">
        <w:rPr>
          <w:rFonts w:cstheme="minorHAnsi"/>
        </w:rPr>
        <w:t xml:space="preserve"> is seen as an issue particular to a discipline and instead focusing on the structural factors that create a conducive context</w:t>
      </w:r>
      <w:r w:rsidR="00AF70C1" w:rsidRPr="0031682F">
        <w:rPr>
          <w:rFonts w:cstheme="minorHAnsi"/>
        </w:rPr>
        <w:t xml:space="preserve"> </w:t>
      </w:r>
      <w:r w:rsidR="00C0487A" w:rsidRPr="0031682F">
        <w:rPr>
          <w:rFonts w:cstheme="minorHAnsi"/>
        </w:rPr>
        <w:t>(</w:t>
      </w:r>
      <w:r w:rsidR="00AF70C1" w:rsidRPr="0031682F">
        <w:rPr>
          <w:rFonts w:cstheme="minorHAnsi"/>
        </w:rPr>
        <w:t>Bull forthcoming)</w:t>
      </w:r>
      <w:r w:rsidR="00C0487A" w:rsidRPr="0031682F">
        <w:rPr>
          <w:rFonts w:cstheme="minorHAnsi"/>
        </w:rPr>
        <w:t xml:space="preserve">. </w:t>
      </w:r>
    </w:p>
    <w:p w14:paraId="0F4E1C3C" w14:textId="74E92EF3" w:rsidR="009F0B3B" w:rsidRPr="0031682F" w:rsidRDefault="002E5C7A" w:rsidP="002A7E94">
      <w:pPr>
        <w:rPr>
          <w:rFonts w:cstheme="minorHAnsi"/>
        </w:rPr>
      </w:pPr>
      <w:r w:rsidRPr="0031682F">
        <w:rPr>
          <w:rFonts w:cstheme="minorHAnsi"/>
        </w:rPr>
        <w:t xml:space="preserve">As such, </w:t>
      </w:r>
      <w:r w:rsidR="00E31512" w:rsidRPr="0031682F">
        <w:rPr>
          <w:rFonts w:cstheme="minorHAnsi"/>
        </w:rPr>
        <w:t>the detailed, empirical, context-specific</w:t>
      </w:r>
      <w:r w:rsidR="00BC745B" w:rsidRPr="0031682F">
        <w:rPr>
          <w:rFonts w:cstheme="minorHAnsi"/>
        </w:rPr>
        <w:t xml:space="preserve"> accounts of </w:t>
      </w:r>
      <w:r w:rsidR="00B90E23">
        <w:rPr>
          <w:rFonts w:cstheme="minorHAnsi"/>
        </w:rPr>
        <w:t>GBVH</w:t>
      </w:r>
      <w:r w:rsidR="00E31512" w:rsidRPr="0031682F">
        <w:rPr>
          <w:rFonts w:cstheme="minorHAnsi"/>
        </w:rPr>
        <w:t xml:space="preserve"> </w:t>
      </w:r>
      <w:r w:rsidR="00B27C7F" w:rsidRPr="0031682F">
        <w:rPr>
          <w:rFonts w:cstheme="minorHAnsi"/>
        </w:rPr>
        <w:t>that this book includes</w:t>
      </w:r>
      <w:r w:rsidRPr="0031682F">
        <w:rPr>
          <w:rFonts w:cstheme="minorHAnsi"/>
        </w:rPr>
        <w:t xml:space="preserve"> are </w:t>
      </w:r>
      <w:r w:rsidR="00C04ACF" w:rsidRPr="0031682F">
        <w:rPr>
          <w:rFonts w:cstheme="minorHAnsi"/>
        </w:rPr>
        <w:t>of great importance</w:t>
      </w:r>
      <w:r w:rsidR="00B85F5A" w:rsidRPr="0031682F">
        <w:rPr>
          <w:rFonts w:cstheme="minorHAnsi"/>
        </w:rPr>
        <w:t xml:space="preserve"> and contribute towards unveiling hidden histories – and present-day accounts – of </w:t>
      </w:r>
      <w:r w:rsidR="00B90E23">
        <w:rPr>
          <w:rFonts w:cstheme="minorHAnsi"/>
        </w:rPr>
        <w:t>GBVH</w:t>
      </w:r>
      <w:r w:rsidR="00B85F5A" w:rsidRPr="0031682F">
        <w:rPr>
          <w:rFonts w:cstheme="minorHAnsi"/>
        </w:rPr>
        <w:t xml:space="preserve"> in the academy</w:t>
      </w:r>
      <w:r w:rsidR="00C04ACF" w:rsidRPr="0031682F">
        <w:rPr>
          <w:rFonts w:cstheme="minorHAnsi"/>
        </w:rPr>
        <w:t xml:space="preserve">. </w:t>
      </w:r>
      <w:r w:rsidRPr="0031682F">
        <w:rPr>
          <w:rFonts w:cstheme="minorHAnsi"/>
        </w:rPr>
        <w:t>My ongoing research and activism</w:t>
      </w:r>
      <w:r w:rsidR="002D2B03">
        <w:rPr>
          <w:rFonts w:cstheme="minorHAnsi"/>
        </w:rPr>
        <w:t>,</w:t>
      </w:r>
      <w:r w:rsidRPr="0031682F">
        <w:rPr>
          <w:rFonts w:cstheme="minorHAnsi"/>
        </w:rPr>
        <w:t xml:space="preserve"> carried out primarily within UK higher education</w:t>
      </w:r>
      <w:r w:rsidR="002D2B03">
        <w:rPr>
          <w:rFonts w:cstheme="minorHAnsi"/>
        </w:rPr>
        <w:t>,</w:t>
      </w:r>
      <w:r w:rsidRPr="0031682F">
        <w:rPr>
          <w:rFonts w:cstheme="minorHAnsi"/>
        </w:rPr>
        <w:t xml:space="preserve"> has shown the </w:t>
      </w:r>
      <w:r w:rsidR="00C04ACF" w:rsidRPr="0031682F">
        <w:rPr>
          <w:rFonts w:cstheme="minorHAnsi"/>
        </w:rPr>
        <w:t>need for such accounts</w:t>
      </w:r>
      <w:r w:rsidR="00B27C7F" w:rsidRPr="0031682F">
        <w:rPr>
          <w:rFonts w:cstheme="minorHAnsi"/>
        </w:rPr>
        <w:t xml:space="preserve">. </w:t>
      </w:r>
      <w:r w:rsidR="00836902" w:rsidRPr="0031682F">
        <w:rPr>
          <w:rFonts w:cstheme="minorHAnsi"/>
        </w:rPr>
        <w:t xml:space="preserve">As a co-founder and director of The 1752 Group, a research and campaign organisation addressing </w:t>
      </w:r>
      <w:r w:rsidR="00D972B6" w:rsidRPr="0031682F">
        <w:rPr>
          <w:rFonts w:cstheme="minorHAnsi"/>
        </w:rPr>
        <w:t xml:space="preserve">staff/faculty sexual misconduct, it is clear that </w:t>
      </w:r>
      <w:r w:rsidR="00B90E23">
        <w:rPr>
          <w:rFonts w:cstheme="minorHAnsi"/>
        </w:rPr>
        <w:t>GBVH</w:t>
      </w:r>
      <w:r w:rsidR="00D972B6" w:rsidRPr="0031682F">
        <w:rPr>
          <w:rFonts w:cstheme="minorHAnsi"/>
        </w:rPr>
        <w:t xml:space="preserve"> is still minimised and invisibilised in higher education institutions (Jackson and Sundaram, 2020</w:t>
      </w:r>
      <w:r w:rsidR="003A5447" w:rsidRPr="0031682F">
        <w:rPr>
          <w:rFonts w:cstheme="minorHAnsi"/>
        </w:rPr>
        <w:t>; Whitley 2022</w:t>
      </w:r>
      <w:r w:rsidR="00D972B6" w:rsidRPr="0031682F">
        <w:rPr>
          <w:rFonts w:cstheme="minorHAnsi"/>
        </w:rPr>
        <w:t>)</w:t>
      </w:r>
      <w:r w:rsidR="00E752D8" w:rsidRPr="0031682F">
        <w:rPr>
          <w:rFonts w:cstheme="minorHAnsi"/>
        </w:rPr>
        <w:t xml:space="preserve">. </w:t>
      </w:r>
      <w:r w:rsidR="00D9115D" w:rsidRPr="0031682F">
        <w:rPr>
          <w:rFonts w:cstheme="minorHAnsi"/>
        </w:rPr>
        <w:t>The 1752 Group was formed in 2016 by Tiffany Page, Heidi Hasbrouck and Chryssa Sdroulia</w:t>
      </w:r>
      <w:r w:rsidR="00372B5F" w:rsidRPr="0031682F">
        <w:rPr>
          <w:rFonts w:cstheme="minorHAnsi"/>
        </w:rPr>
        <w:t xml:space="preserve"> and myself. </w:t>
      </w:r>
      <w:r w:rsidR="00D9115D" w:rsidRPr="0031682F">
        <w:rPr>
          <w:rFonts w:cstheme="minorHAnsi"/>
        </w:rPr>
        <w:t>T</w:t>
      </w:r>
      <w:r w:rsidR="00B713DB" w:rsidRPr="0031682F">
        <w:rPr>
          <w:rFonts w:cstheme="minorHAnsi"/>
        </w:rPr>
        <w:t>iffany, Heidi and Chryssa</w:t>
      </w:r>
      <w:r w:rsidR="00D9115D" w:rsidRPr="0031682F">
        <w:rPr>
          <w:rFonts w:cstheme="minorHAnsi"/>
        </w:rPr>
        <w:t xml:space="preserve"> had all spent several years fighting </w:t>
      </w:r>
      <w:r w:rsidR="00B713DB" w:rsidRPr="0031682F">
        <w:rPr>
          <w:rFonts w:cstheme="minorHAnsi"/>
        </w:rPr>
        <w:t xml:space="preserve">(as part of a larger group) </w:t>
      </w:r>
      <w:r w:rsidR="00D9115D" w:rsidRPr="0031682F">
        <w:rPr>
          <w:rFonts w:cstheme="minorHAnsi"/>
        </w:rPr>
        <w:t xml:space="preserve">to have </w:t>
      </w:r>
      <w:r w:rsidR="00B713DB" w:rsidRPr="0031682F">
        <w:rPr>
          <w:rFonts w:cstheme="minorHAnsi"/>
        </w:rPr>
        <w:t>their ‘complaint collective’ (Ahmed, 2021)</w:t>
      </w:r>
      <w:r w:rsidR="00D9115D" w:rsidRPr="0031682F">
        <w:rPr>
          <w:rFonts w:cstheme="minorHAnsi"/>
        </w:rPr>
        <w:t xml:space="preserve"> taken seriously </w:t>
      </w:r>
      <w:r w:rsidR="00B713DB" w:rsidRPr="0031682F">
        <w:rPr>
          <w:rFonts w:cstheme="minorHAnsi"/>
        </w:rPr>
        <w:t>and acted on b</w:t>
      </w:r>
      <w:r w:rsidR="00D9115D" w:rsidRPr="0031682F">
        <w:rPr>
          <w:rFonts w:cstheme="minorHAnsi"/>
        </w:rPr>
        <w:t>y Goldsmiths</w:t>
      </w:r>
      <w:r w:rsidR="00372B5F" w:rsidRPr="0031682F">
        <w:rPr>
          <w:rFonts w:cstheme="minorHAnsi"/>
        </w:rPr>
        <w:t>, University of London</w:t>
      </w:r>
      <w:r w:rsidR="00B713DB" w:rsidRPr="0031682F">
        <w:rPr>
          <w:rFonts w:cstheme="minorHAnsi"/>
        </w:rPr>
        <w:t xml:space="preserve">. </w:t>
      </w:r>
      <w:r w:rsidR="001D59C5" w:rsidRPr="0031682F">
        <w:rPr>
          <w:rFonts w:cstheme="minorHAnsi"/>
        </w:rPr>
        <w:t>A</w:t>
      </w:r>
      <w:r w:rsidR="00B713DB" w:rsidRPr="0031682F">
        <w:rPr>
          <w:rFonts w:cstheme="minorHAnsi"/>
        </w:rPr>
        <w:t>s outlined in Page et al. (2019)</w:t>
      </w:r>
      <w:r w:rsidR="00390114" w:rsidRPr="0031682F">
        <w:rPr>
          <w:rFonts w:cstheme="minorHAnsi"/>
        </w:rPr>
        <w:t>,</w:t>
      </w:r>
      <w:r w:rsidR="00B713DB" w:rsidRPr="0031682F">
        <w:rPr>
          <w:rFonts w:cstheme="minorHAnsi"/>
        </w:rPr>
        <w:t xml:space="preserve"> </w:t>
      </w:r>
      <w:r w:rsidR="00BE2184" w:rsidRPr="0031682F">
        <w:rPr>
          <w:rFonts w:cstheme="minorHAnsi"/>
        </w:rPr>
        <w:t>as part of a wider</w:t>
      </w:r>
      <w:r w:rsidR="00EA6E5C" w:rsidRPr="0031682F">
        <w:rPr>
          <w:rFonts w:cstheme="minorHAnsi"/>
        </w:rPr>
        <w:t xml:space="preserve"> institution</w:t>
      </w:r>
      <w:r w:rsidR="001D59C5" w:rsidRPr="0031682F">
        <w:rPr>
          <w:rFonts w:cstheme="minorHAnsi"/>
        </w:rPr>
        <w:t>al reluctance to address this issue; Goldsmiths</w:t>
      </w:r>
      <w:r w:rsidR="00EA6E5C" w:rsidRPr="0031682F">
        <w:rPr>
          <w:rFonts w:cstheme="minorHAnsi"/>
        </w:rPr>
        <w:t xml:space="preserve"> was willing to commit only £1752 to supporting the </w:t>
      </w:r>
      <w:r w:rsidR="001D59C5" w:rsidRPr="0031682F">
        <w:rPr>
          <w:rFonts w:cstheme="minorHAnsi"/>
        </w:rPr>
        <w:t>group of PhD students attempting to make change in the institution</w:t>
      </w:r>
      <w:r w:rsidR="00EA6E5C" w:rsidRPr="0031682F">
        <w:rPr>
          <w:rFonts w:cstheme="minorHAnsi"/>
        </w:rPr>
        <w:t xml:space="preserve">. Our name therefore serves as a reminder that sticking-plaster solutions will not be sufficient to address </w:t>
      </w:r>
      <w:r w:rsidR="00B90E23">
        <w:rPr>
          <w:rFonts w:cstheme="minorHAnsi"/>
        </w:rPr>
        <w:t>GBVH</w:t>
      </w:r>
      <w:r w:rsidR="00BE2184" w:rsidRPr="0031682F">
        <w:rPr>
          <w:rFonts w:cstheme="minorHAnsi"/>
        </w:rPr>
        <w:t xml:space="preserve"> in academia;</w:t>
      </w:r>
      <w:r w:rsidR="00EA6E5C" w:rsidRPr="0031682F">
        <w:rPr>
          <w:rFonts w:cstheme="minorHAnsi"/>
        </w:rPr>
        <w:t xml:space="preserve"> and indeed, some months after this gesture from the institution</w:t>
      </w:r>
      <w:r w:rsidR="00F94E4A" w:rsidRPr="0031682F">
        <w:rPr>
          <w:rFonts w:cstheme="minorHAnsi"/>
        </w:rPr>
        <w:t xml:space="preserve">, Professor Sara Ahmed resigned in protest at Goldsmiths’ failure to tackle sexual harassment, leading to headlines around the world. Goldsmiths then saw fit to </w:t>
      </w:r>
      <w:r w:rsidR="00BE2184" w:rsidRPr="0031682F">
        <w:rPr>
          <w:rFonts w:cstheme="minorHAnsi"/>
        </w:rPr>
        <w:t>appoint a member of staff to</w:t>
      </w:r>
      <w:r w:rsidR="00F94E4A" w:rsidRPr="0031682F">
        <w:rPr>
          <w:rFonts w:cstheme="minorHAnsi"/>
        </w:rPr>
        <w:t xml:space="preserve"> a full-time strategic role to lead on this work. </w:t>
      </w:r>
    </w:p>
    <w:p w14:paraId="68D9EA28" w14:textId="46FECA14" w:rsidR="00053A21" w:rsidRPr="0031682F" w:rsidRDefault="00626B8E" w:rsidP="0072249C">
      <w:pPr>
        <w:rPr>
          <w:rFonts w:cstheme="minorHAnsi"/>
        </w:rPr>
      </w:pPr>
      <w:r w:rsidRPr="0031682F">
        <w:rPr>
          <w:rFonts w:cstheme="minorHAnsi"/>
        </w:rPr>
        <w:lastRenderedPageBreak/>
        <w:t>Such detailed</w:t>
      </w:r>
      <w:r w:rsidR="0024754F" w:rsidRPr="0031682F">
        <w:rPr>
          <w:rFonts w:cstheme="minorHAnsi"/>
        </w:rPr>
        <w:t>,</w:t>
      </w:r>
      <w:r w:rsidR="00BE353D" w:rsidRPr="0031682F">
        <w:rPr>
          <w:rFonts w:cstheme="minorHAnsi"/>
        </w:rPr>
        <w:t xml:space="preserve"> context-</w:t>
      </w:r>
      <w:r w:rsidRPr="0031682F">
        <w:rPr>
          <w:rFonts w:cstheme="minorHAnsi"/>
        </w:rPr>
        <w:t xml:space="preserve">specific accounts are needed to combat </w:t>
      </w:r>
      <w:r w:rsidR="001F76C7" w:rsidRPr="0031682F">
        <w:rPr>
          <w:rFonts w:cstheme="minorHAnsi"/>
        </w:rPr>
        <w:t>‘</w:t>
      </w:r>
      <w:r w:rsidRPr="0031682F">
        <w:rPr>
          <w:rFonts w:cstheme="minorHAnsi"/>
        </w:rPr>
        <w:t>common</w:t>
      </w:r>
      <w:r w:rsidR="001744D9" w:rsidRPr="0031682F">
        <w:rPr>
          <w:rFonts w:cstheme="minorHAnsi"/>
        </w:rPr>
        <w:t xml:space="preserve"> </w:t>
      </w:r>
      <w:r w:rsidRPr="0031682F">
        <w:rPr>
          <w:rFonts w:cstheme="minorHAnsi"/>
        </w:rPr>
        <w:t>sense</w:t>
      </w:r>
      <w:r w:rsidR="001F76C7" w:rsidRPr="0031682F">
        <w:rPr>
          <w:rFonts w:cstheme="minorHAnsi"/>
        </w:rPr>
        <w:t>’</w:t>
      </w:r>
      <w:r w:rsidRPr="0031682F">
        <w:rPr>
          <w:rFonts w:cstheme="minorHAnsi"/>
        </w:rPr>
        <w:t xml:space="preserve"> assumptions and myths around what </w:t>
      </w:r>
      <w:r w:rsidR="00B90E23">
        <w:rPr>
          <w:rFonts w:cstheme="minorHAnsi"/>
        </w:rPr>
        <w:t>GBVH</w:t>
      </w:r>
      <w:r w:rsidRPr="0031682F">
        <w:rPr>
          <w:rFonts w:cstheme="minorHAnsi"/>
        </w:rPr>
        <w:t xml:space="preserve"> is and where and how it occurs</w:t>
      </w:r>
      <w:r w:rsidR="001F76C7" w:rsidRPr="0031682F">
        <w:rPr>
          <w:rFonts w:cstheme="minorHAnsi"/>
        </w:rPr>
        <w:t>. Such myths</w:t>
      </w:r>
      <w:r w:rsidRPr="0031682F">
        <w:rPr>
          <w:rFonts w:cstheme="minorHAnsi"/>
        </w:rPr>
        <w:t xml:space="preserve"> still abound, despite increasing public knowledge of this issue. </w:t>
      </w:r>
      <w:r w:rsidR="00901B2A" w:rsidRPr="0031682F">
        <w:rPr>
          <w:rFonts w:cstheme="minorHAnsi"/>
        </w:rPr>
        <w:t xml:space="preserve">One of these </w:t>
      </w:r>
      <w:r w:rsidR="000F601A" w:rsidRPr="0031682F">
        <w:rPr>
          <w:rFonts w:cstheme="minorHAnsi"/>
        </w:rPr>
        <w:t>common</w:t>
      </w:r>
      <w:r w:rsidR="001744D9" w:rsidRPr="0031682F">
        <w:rPr>
          <w:rFonts w:cstheme="minorHAnsi"/>
        </w:rPr>
        <w:t xml:space="preserve"> </w:t>
      </w:r>
      <w:r w:rsidR="000F601A" w:rsidRPr="0031682F">
        <w:rPr>
          <w:rFonts w:cstheme="minorHAnsi"/>
        </w:rPr>
        <w:t>sense</w:t>
      </w:r>
      <w:r w:rsidR="001744D9" w:rsidRPr="0031682F">
        <w:rPr>
          <w:rFonts w:cstheme="minorHAnsi"/>
        </w:rPr>
        <w:t xml:space="preserve"> myths</w:t>
      </w:r>
      <w:r w:rsidR="00901B2A" w:rsidRPr="0031682F">
        <w:rPr>
          <w:rFonts w:cstheme="minorHAnsi"/>
        </w:rPr>
        <w:t xml:space="preserve"> is</w:t>
      </w:r>
      <w:r w:rsidR="000F601A" w:rsidRPr="0031682F">
        <w:rPr>
          <w:rFonts w:cstheme="minorHAnsi"/>
        </w:rPr>
        <w:t xml:space="preserve"> around</w:t>
      </w:r>
      <w:r w:rsidR="00901B2A" w:rsidRPr="0031682F">
        <w:rPr>
          <w:rFonts w:cstheme="minorHAnsi"/>
        </w:rPr>
        <w:t xml:space="preserve"> why </w:t>
      </w:r>
      <w:r w:rsidR="001744D9" w:rsidRPr="0031682F">
        <w:rPr>
          <w:rFonts w:cstheme="minorHAnsi"/>
        </w:rPr>
        <w:t xml:space="preserve">and how </w:t>
      </w:r>
      <w:r w:rsidR="00901B2A" w:rsidRPr="0031682F">
        <w:rPr>
          <w:rFonts w:cstheme="minorHAnsi"/>
        </w:rPr>
        <w:t>people repor</w:t>
      </w:r>
      <w:r w:rsidR="006C7A9B" w:rsidRPr="0031682F">
        <w:rPr>
          <w:rFonts w:cstheme="minorHAnsi"/>
        </w:rPr>
        <w:t>t</w:t>
      </w:r>
      <w:r w:rsidR="001744D9" w:rsidRPr="0031682F">
        <w:rPr>
          <w:rFonts w:cstheme="minorHAnsi"/>
        </w:rPr>
        <w:t xml:space="preserve"> </w:t>
      </w:r>
      <w:r w:rsidR="00B90E23">
        <w:rPr>
          <w:rFonts w:cstheme="minorHAnsi"/>
        </w:rPr>
        <w:t>GBVH</w:t>
      </w:r>
      <w:r w:rsidR="00901B2A" w:rsidRPr="0031682F">
        <w:rPr>
          <w:rFonts w:cstheme="minorHAnsi"/>
        </w:rPr>
        <w:t>.</w:t>
      </w:r>
      <w:r w:rsidR="00AB7794" w:rsidRPr="0031682F">
        <w:rPr>
          <w:rFonts w:cstheme="minorHAnsi"/>
        </w:rPr>
        <w:t xml:space="preserve"> </w:t>
      </w:r>
      <w:r w:rsidR="00F93FED" w:rsidRPr="0031682F">
        <w:rPr>
          <w:rFonts w:cstheme="minorHAnsi"/>
        </w:rPr>
        <w:t xml:space="preserve">Institutional policies </w:t>
      </w:r>
      <w:r w:rsidR="007815C1" w:rsidRPr="0031682F">
        <w:rPr>
          <w:rFonts w:cstheme="minorHAnsi"/>
        </w:rPr>
        <w:t xml:space="preserve">still </w:t>
      </w:r>
      <w:r w:rsidR="00F93FED" w:rsidRPr="0031682F">
        <w:rPr>
          <w:rFonts w:cstheme="minorHAnsi"/>
        </w:rPr>
        <w:t xml:space="preserve">tend to </w:t>
      </w:r>
      <w:r w:rsidR="007815C1" w:rsidRPr="0031682F">
        <w:rPr>
          <w:rFonts w:cstheme="minorHAnsi"/>
        </w:rPr>
        <w:t>work within the assumption that reporting occurs on an individual basis</w:t>
      </w:r>
      <w:r w:rsidR="001744D9" w:rsidRPr="0031682F">
        <w:rPr>
          <w:rFonts w:cstheme="minorHAnsi"/>
        </w:rPr>
        <w:t xml:space="preserve">: </w:t>
      </w:r>
      <w:r w:rsidR="007815C1" w:rsidRPr="0031682F">
        <w:rPr>
          <w:rFonts w:cstheme="minorHAnsi"/>
        </w:rPr>
        <w:t>that</w:t>
      </w:r>
      <w:r w:rsidR="00673287" w:rsidRPr="0031682F">
        <w:rPr>
          <w:rFonts w:cstheme="minorHAnsi"/>
        </w:rPr>
        <w:t xml:space="preserve"> reporting </w:t>
      </w:r>
      <w:r w:rsidR="004E3C2F" w:rsidRPr="0031682F">
        <w:rPr>
          <w:rFonts w:cstheme="minorHAnsi"/>
        </w:rPr>
        <w:t xml:space="preserve">will </w:t>
      </w:r>
      <w:r w:rsidR="00673287" w:rsidRPr="0031682F">
        <w:rPr>
          <w:rFonts w:cstheme="minorHAnsi"/>
        </w:rPr>
        <w:t>involve</w:t>
      </w:r>
      <w:r w:rsidR="004E3C2F" w:rsidRPr="0031682F">
        <w:rPr>
          <w:rFonts w:cstheme="minorHAnsi"/>
        </w:rPr>
        <w:t xml:space="preserve"> a single incident</w:t>
      </w:r>
      <w:r w:rsidR="00673287" w:rsidRPr="0031682F">
        <w:rPr>
          <w:rFonts w:cstheme="minorHAnsi"/>
        </w:rPr>
        <w:t>, a single person being targeted, and</w:t>
      </w:r>
      <w:r w:rsidR="004E3C2F" w:rsidRPr="0031682F">
        <w:rPr>
          <w:rFonts w:cstheme="minorHAnsi"/>
        </w:rPr>
        <w:t xml:space="preserve"> </w:t>
      </w:r>
      <w:r w:rsidR="00673287" w:rsidRPr="0031682F">
        <w:rPr>
          <w:rFonts w:cstheme="minorHAnsi"/>
        </w:rPr>
        <w:t xml:space="preserve">this incident will be carried out by one </w:t>
      </w:r>
      <w:r w:rsidR="007D04E5" w:rsidRPr="0031682F">
        <w:rPr>
          <w:rFonts w:cstheme="minorHAnsi"/>
        </w:rPr>
        <w:t>other individual</w:t>
      </w:r>
      <w:r w:rsidR="004E3C2F" w:rsidRPr="0031682F">
        <w:rPr>
          <w:rFonts w:cstheme="minorHAnsi"/>
        </w:rPr>
        <w:t xml:space="preserve"> within their academic community. Instead, reporting is just as likely to occur </w:t>
      </w:r>
      <w:r w:rsidR="00DA12F4" w:rsidRPr="0031682F">
        <w:rPr>
          <w:rFonts w:cstheme="minorHAnsi"/>
        </w:rPr>
        <w:t>through</w:t>
      </w:r>
      <w:r w:rsidR="004E3C2F" w:rsidRPr="0031682F">
        <w:rPr>
          <w:rFonts w:cstheme="minorHAnsi"/>
        </w:rPr>
        <w:t xml:space="preserve"> a ‘complaint collective’ (Ahmed, 2021)</w:t>
      </w:r>
      <w:r w:rsidR="00DA12F4" w:rsidRPr="0031682F">
        <w:rPr>
          <w:rFonts w:cstheme="minorHAnsi"/>
        </w:rPr>
        <w:t xml:space="preserve"> whereby a group of (usually) women will find each other – often by </w:t>
      </w:r>
      <w:r w:rsidR="00796435" w:rsidRPr="0031682F">
        <w:rPr>
          <w:rFonts w:cstheme="minorHAnsi"/>
        </w:rPr>
        <w:t>chance</w:t>
      </w:r>
      <w:r w:rsidR="00515B2D" w:rsidRPr="0031682F">
        <w:rPr>
          <w:rFonts w:cstheme="minorHAnsi"/>
        </w:rPr>
        <w:t>, or through</w:t>
      </w:r>
      <w:r w:rsidR="00DA12F4" w:rsidRPr="0031682F">
        <w:rPr>
          <w:rFonts w:cstheme="minorHAnsi"/>
        </w:rPr>
        <w:t xml:space="preserve"> the </w:t>
      </w:r>
      <w:r w:rsidR="00796435" w:rsidRPr="0031682F">
        <w:rPr>
          <w:rFonts w:cstheme="minorHAnsi"/>
        </w:rPr>
        <w:t>‘</w:t>
      </w:r>
      <w:r w:rsidR="00DA12F4" w:rsidRPr="0031682F">
        <w:rPr>
          <w:rFonts w:cstheme="minorHAnsi"/>
        </w:rPr>
        <w:t>whisper network</w:t>
      </w:r>
      <w:r w:rsidR="00796435" w:rsidRPr="0031682F">
        <w:rPr>
          <w:rFonts w:cstheme="minorHAnsi"/>
        </w:rPr>
        <w:t>’</w:t>
      </w:r>
      <w:r w:rsidR="00515B2D" w:rsidRPr="0031682F">
        <w:rPr>
          <w:rFonts w:cstheme="minorHAnsi"/>
        </w:rPr>
        <w:t xml:space="preserve"> or other forms of direct action such as graffiti </w:t>
      </w:r>
      <w:r w:rsidR="00DA12F4" w:rsidRPr="0031682F">
        <w:rPr>
          <w:rFonts w:cstheme="minorHAnsi"/>
        </w:rPr>
        <w:t xml:space="preserve">as outlined by </w:t>
      </w:r>
      <w:r w:rsidR="000F1730" w:rsidRPr="0031682F">
        <w:rPr>
          <w:rFonts w:eastAsia="Calibri" w:cstheme="minorHAnsi"/>
          <w:color w:val="222222"/>
          <w:highlight w:val="white"/>
        </w:rPr>
        <w:t>Lieselotte Viaene</w:t>
      </w:r>
      <w:r w:rsidR="000F1730" w:rsidRPr="0031682F">
        <w:rPr>
          <w:rFonts w:cstheme="minorHAnsi"/>
        </w:rPr>
        <w:t xml:space="preserve"> and colleagues, in this volume</w:t>
      </w:r>
      <w:r w:rsidR="00515B2D" w:rsidRPr="0031682F">
        <w:rPr>
          <w:rFonts w:cstheme="minorHAnsi"/>
        </w:rPr>
        <w:t xml:space="preserve"> as well as Whitley and Page (2015)</w:t>
      </w:r>
      <w:r w:rsidR="000F1730" w:rsidRPr="0031682F">
        <w:rPr>
          <w:rFonts w:cstheme="minorHAnsi"/>
        </w:rPr>
        <w:t xml:space="preserve"> </w:t>
      </w:r>
      <w:r w:rsidR="00DA12F4" w:rsidRPr="0031682F">
        <w:rPr>
          <w:rFonts w:cstheme="minorHAnsi"/>
        </w:rPr>
        <w:t xml:space="preserve">– and </w:t>
      </w:r>
      <w:r w:rsidR="00515B2D" w:rsidRPr="0031682F">
        <w:rPr>
          <w:rFonts w:cstheme="minorHAnsi"/>
        </w:rPr>
        <w:t xml:space="preserve">then may </w:t>
      </w:r>
      <w:r w:rsidR="00DA12F4" w:rsidRPr="0031682F">
        <w:rPr>
          <w:rFonts w:cstheme="minorHAnsi"/>
        </w:rPr>
        <w:t xml:space="preserve">support each other to </w:t>
      </w:r>
      <w:r w:rsidR="00796435" w:rsidRPr="0031682F">
        <w:rPr>
          <w:rFonts w:cstheme="minorHAnsi"/>
        </w:rPr>
        <w:t xml:space="preserve">come forward to their institution. Indeed, this </w:t>
      </w:r>
      <w:r w:rsidR="0068445D" w:rsidRPr="0031682F">
        <w:rPr>
          <w:rFonts w:cstheme="minorHAnsi"/>
        </w:rPr>
        <w:t>collective approach should not be surprising when evidence shows that many of those who engage in abusive behaviours target multiple people (Cantalupo and Kidder</w:t>
      </w:r>
      <w:r w:rsidR="000F1730" w:rsidRPr="0031682F">
        <w:rPr>
          <w:rFonts w:cstheme="minorHAnsi"/>
        </w:rPr>
        <w:t xml:space="preserve"> 2018</w:t>
      </w:r>
      <w:r w:rsidR="0068445D" w:rsidRPr="0031682F">
        <w:rPr>
          <w:rFonts w:cstheme="minorHAnsi"/>
        </w:rPr>
        <w:t xml:space="preserve">; Bull and Rye, 2018). </w:t>
      </w:r>
      <w:r w:rsidR="00796435" w:rsidRPr="0031682F">
        <w:rPr>
          <w:rFonts w:cstheme="minorHAnsi"/>
        </w:rPr>
        <w:t>This reality – made visible through</w:t>
      </w:r>
      <w:r w:rsidR="00F93FED" w:rsidRPr="0031682F">
        <w:rPr>
          <w:rFonts w:cstheme="minorHAnsi"/>
        </w:rPr>
        <w:t xml:space="preserve"> empirical research as well as</w:t>
      </w:r>
      <w:r w:rsidR="00B96422" w:rsidRPr="0031682F">
        <w:rPr>
          <w:rFonts w:cstheme="minorHAnsi"/>
        </w:rPr>
        <w:t xml:space="preserve"> </w:t>
      </w:r>
      <w:r w:rsidR="00BE353D" w:rsidRPr="0031682F">
        <w:rPr>
          <w:rFonts w:cstheme="minorHAnsi"/>
        </w:rPr>
        <w:t>first person</w:t>
      </w:r>
      <w:r w:rsidR="00B96422" w:rsidRPr="0031682F">
        <w:rPr>
          <w:rFonts w:cstheme="minorHAnsi"/>
        </w:rPr>
        <w:t xml:space="preserve"> accounts – also calls into question</w:t>
      </w:r>
      <w:r w:rsidR="00AB7794" w:rsidRPr="0031682F">
        <w:rPr>
          <w:rFonts w:cstheme="minorHAnsi"/>
        </w:rPr>
        <w:t xml:space="preserve"> the common</w:t>
      </w:r>
      <w:r w:rsidR="0024754F" w:rsidRPr="0031682F">
        <w:rPr>
          <w:rFonts w:cstheme="minorHAnsi"/>
        </w:rPr>
        <w:t xml:space="preserve"> </w:t>
      </w:r>
      <w:r w:rsidR="00AB7794" w:rsidRPr="0031682F">
        <w:rPr>
          <w:rFonts w:cstheme="minorHAnsi"/>
        </w:rPr>
        <w:t xml:space="preserve">sense notion of ‘barriers to reporting’ </w:t>
      </w:r>
      <w:r w:rsidR="00B96422" w:rsidRPr="0031682F">
        <w:rPr>
          <w:rFonts w:cstheme="minorHAnsi"/>
        </w:rPr>
        <w:t>a</w:t>
      </w:r>
      <w:r w:rsidR="00AB7794" w:rsidRPr="0031682F">
        <w:rPr>
          <w:rFonts w:cstheme="minorHAnsi"/>
        </w:rPr>
        <w:t>s</w:t>
      </w:r>
      <w:r w:rsidR="00B96422" w:rsidRPr="0031682F">
        <w:rPr>
          <w:rFonts w:cstheme="minorHAnsi"/>
        </w:rPr>
        <w:t xml:space="preserve"> it is</w:t>
      </w:r>
      <w:r w:rsidR="00AB7794" w:rsidRPr="0031682F">
        <w:rPr>
          <w:rFonts w:cstheme="minorHAnsi"/>
        </w:rPr>
        <w:t xml:space="preserve"> often outlined in research and policy. </w:t>
      </w:r>
      <w:r w:rsidR="00BE353D" w:rsidRPr="0031682F">
        <w:rPr>
          <w:rFonts w:cstheme="minorHAnsi"/>
        </w:rPr>
        <w:t>W</w:t>
      </w:r>
      <w:r w:rsidR="00AB7794" w:rsidRPr="0031682F">
        <w:rPr>
          <w:rFonts w:cstheme="minorHAnsi"/>
        </w:rPr>
        <w:t xml:space="preserve">hile there is a </w:t>
      </w:r>
      <w:r w:rsidR="00BE353D" w:rsidRPr="0031682F">
        <w:rPr>
          <w:rFonts w:cstheme="minorHAnsi"/>
        </w:rPr>
        <w:t>large</w:t>
      </w:r>
      <w:r w:rsidR="00AB7794" w:rsidRPr="0031682F">
        <w:rPr>
          <w:rFonts w:cstheme="minorHAnsi"/>
        </w:rPr>
        <w:t xml:space="preserve"> literature on such ‘barriers</w:t>
      </w:r>
      <w:r w:rsidR="00B96422" w:rsidRPr="0031682F">
        <w:rPr>
          <w:rFonts w:cstheme="minorHAnsi"/>
        </w:rPr>
        <w:t>’</w:t>
      </w:r>
      <w:r w:rsidR="00AB7794" w:rsidRPr="0031682F">
        <w:rPr>
          <w:rFonts w:cstheme="minorHAnsi"/>
        </w:rPr>
        <w:t xml:space="preserve">, there is </w:t>
      </w:r>
      <w:r w:rsidR="0024754F" w:rsidRPr="0031682F">
        <w:rPr>
          <w:rFonts w:cstheme="minorHAnsi"/>
        </w:rPr>
        <w:t>much less</w:t>
      </w:r>
      <w:r w:rsidR="00AB7794" w:rsidRPr="0031682F">
        <w:rPr>
          <w:rFonts w:cstheme="minorHAnsi"/>
        </w:rPr>
        <w:t xml:space="preserve"> research looking at </w:t>
      </w:r>
      <w:r w:rsidR="00B96422" w:rsidRPr="0031682F">
        <w:rPr>
          <w:rFonts w:cstheme="minorHAnsi"/>
        </w:rPr>
        <w:t xml:space="preserve">the other side of the coin: </w:t>
      </w:r>
      <w:r w:rsidR="00AB7794" w:rsidRPr="0031682F">
        <w:rPr>
          <w:rFonts w:cstheme="minorHAnsi"/>
        </w:rPr>
        <w:t xml:space="preserve">reasons why people </w:t>
      </w:r>
      <w:r w:rsidR="00AB7794" w:rsidRPr="0031682F">
        <w:rPr>
          <w:rFonts w:cstheme="minorHAnsi"/>
          <w:i/>
          <w:iCs/>
        </w:rPr>
        <w:t xml:space="preserve">do </w:t>
      </w:r>
      <w:r w:rsidR="00AB7794" w:rsidRPr="0031682F">
        <w:rPr>
          <w:rFonts w:cstheme="minorHAnsi"/>
        </w:rPr>
        <w:t>report</w:t>
      </w:r>
      <w:r w:rsidR="00BE353D" w:rsidRPr="0031682F">
        <w:rPr>
          <w:rFonts w:cstheme="minorHAnsi"/>
        </w:rPr>
        <w:t xml:space="preserve"> (Bull, 2021)</w:t>
      </w:r>
      <w:r w:rsidR="00464043" w:rsidRPr="0031682F">
        <w:rPr>
          <w:rFonts w:cstheme="minorHAnsi"/>
        </w:rPr>
        <w:t xml:space="preserve">. In qualitative interviews with students and early-career staff/faculty who did report – or attempted to report – </w:t>
      </w:r>
      <w:r w:rsidR="00B90E23">
        <w:rPr>
          <w:rFonts w:cstheme="minorHAnsi"/>
        </w:rPr>
        <w:t>GBVH</w:t>
      </w:r>
      <w:r w:rsidR="00464043" w:rsidRPr="0031682F">
        <w:rPr>
          <w:rFonts w:cstheme="minorHAnsi"/>
        </w:rPr>
        <w:t xml:space="preserve"> to their institution or to the police, it was clear that the overwhelming reasons they reported were to protect themselves and others</w:t>
      </w:r>
      <w:r w:rsidR="00BF031A" w:rsidRPr="0031682F">
        <w:rPr>
          <w:rFonts w:cstheme="minorHAnsi"/>
        </w:rPr>
        <w:t xml:space="preserve"> (Bull, 2021)</w:t>
      </w:r>
      <w:r w:rsidR="00464043" w:rsidRPr="0031682F">
        <w:rPr>
          <w:rFonts w:cstheme="minorHAnsi"/>
        </w:rPr>
        <w:t xml:space="preserve">. </w:t>
      </w:r>
      <w:r w:rsidR="000F601A" w:rsidRPr="0031682F">
        <w:rPr>
          <w:rFonts w:cstheme="minorHAnsi"/>
        </w:rPr>
        <w:t>In some cases, this was at great cost to themselves</w:t>
      </w:r>
      <w:r w:rsidR="00BF031A" w:rsidRPr="0031682F">
        <w:rPr>
          <w:rFonts w:cstheme="minorHAnsi"/>
        </w:rPr>
        <w:t>.</w:t>
      </w:r>
      <w:r w:rsidR="00053A21" w:rsidRPr="0031682F">
        <w:rPr>
          <w:rFonts w:cstheme="minorHAnsi"/>
        </w:rPr>
        <w:t xml:space="preserve"> </w:t>
      </w:r>
      <w:r w:rsidR="00AB733C" w:rsidRPr="0031682F">
        <w:rPr>
          <w:rFonts w:cstheme="minorHAnsi"/>
        </w:rPr>
        <w:t xml:space="preserve">This collective, mutually-supportive approach </w:t>
      </w:r>
      <w:r w:rsidR="00E95395" w:rsidRPr="0031682F">
        <w:rPr>
          <w:rFonts w:cstheme="minorHAnsi"/>
        </w:rPr>
        <w:t>needs to replace the myth that reporting usually occurs on an individualised basis.</w:t>
      </w:r>
    </w:p>
    <w:p w14:paraId="0A131F12" w14:textId="5AE958F3" w:rsidR="001078FC" w:rsidRPr="0031682F" w:rsidRDefault="002F1EE1" w:rsidP="004029CF">
      <w:pPr>
        <w:rPr>
          <w:rFonts w:cstheme="minorHAnsi"/>
        </w:rPr>
      </w:pPr>
      <w:r w:rsidRPr="0031682F">
        <w:rPr>
          <w:rFonts w:cstheme="minorHAnsi"/>
        </w:rPr>
        <w:t xml:space="preserve">Another </w:t>
      </w:r>
      <w:r w:rsidR="00080445" w:rsidRPr="0031682F">
        <w:rPr>
          <w:rFonts w:cstheme="minorHAnsi"/>
        </w:rPr>
        <w:t>widely-held</w:t>
      </w:r>
      <w:r w:rsidRPr="0031682F">
        <w:rPr>
          <w:rFonts w:cstheme="minorHAnsi"/>
        </w:rPr>
        <w:t xml:space="preserve"> </w:t>
      </w:r>
      <w:r w:rsidR="00080445" w:rsidRPr="0031682F">
        <w:rPr>
          <w:rFonts w:cstheme="minorHAnsi"/>
        </w:rPr>
        <w:t>assumption</w:t>
      </w:r>
      <w:r w:rsidRPr="0031682F">
        <w:rPr>
          <w:rFonts w:cstheme="minorHAnsi"/>
        </w:rPr>
        <w:t xml:space="preserve"> is that </w:t>
      </w:r>
      <w:r w:rsidR="00080445" w:rsidRPr="0031682F">
        <w:rPr>
          <w:rFonts w:cstheme="minorHAnsi"/>
        </w:rPr>
        <w:t>people</w:t>
      </w:r>
      <w:r w:rsidRPr="0031682F">
        <w:rPr>
          <w:rFonts w:cstheme="minorHAnsi"/>
        </w:rPr>
        <w:t xml:space="preserve"> will recognise sexual violence or harassment when it </w:t>
      </w:r>
      <w:r w:rsidR="008552A8" w:rsidRPr="0031682F">
        <w:rPr>
          <w:rFonts w:cstheme="minorHAnsi"/>
        </w:rPr>
        <w:t>happens to them or when they witness it</w:t>
      </w:r>
      <w:r w:rsidR="00842D86" w:rsidRPr="0031682F">
        <w:rPr>
          <w:rFonts w:cstheme="minorHAnsi"/>
        </w:rPr>
        <w:t>. Some survivors have found that the idea of ‘grooming’ is helpful in making sense of their experience</w:t>
      </w:r>
      <w:r w:rsidR="008552A8" w:rsidRPr="0031682F">
        <w:rPr>
          <w:rFonts w:cstheme="minorHAnsi"/>
        </w:rPr>
        <w:t>s as it helps to make visible the ways</w:t>
      </w:r>
      <w:r w:rsidR="00A574AE" w:rsidRPr="0031682F">
        <w:rPr>
          <w:rFonts w:cstheme="minorHAnsi"/>
        </w:rPr>
        <w:t xml:space="preserve"> in which abuse may </w:t>
      </w:r>
      <w:r w:rsidR="00BC4DEE" w:rsidRPr="0031682F">
        <w:rPr>
          <w:rFonts w:cstheme="minorHAnsi"/>
        </w:rPr>
        <w:t>occur in ways that are difficult to recognise</w:t>
      </w:r>
      <w:r w:rsidR="00726974" w:rsidRPr="0031682F">
        <w:rPr>
          <w:rFonts w:cstheme="minorHAnsi"/>
        </w:rPr>
        <w:t xml:space="preserve">. While </w:t>
      </w:r>
      <w:r w:rsidR="00A574AE" w:rsidRPr="0031682F">
        <w:rPr>
          <w:rFonts w:cstheme="minorHAnsi"/>
        </w:rPr>
        <w:t>in the criminal justice system</w:t>
      </w:r>
      <w:r w:rsidR="00726974" w:rsidRPr="0031682F">
        <w:rPr>
          <w:rFonts w:cstheme="minorHAnsi"/>
        </w:rPr>
        <w:t xml:space="preserve">, </w:t>
      </w:r>
      <w:r w:rsidR="00A574AE" w:rsidRPr="0031682F">
        <w:rPr>
          <w:rFonts w:cstheme="minorHAnsi"/>
        </w:rPr>
        <w:t>within</w:t>
      </w:r>
      <w:r w:rsidR="00726974" w:rsidRPr="0031682F">
        <w:rPr>
          <w:rFonts w:cstheme="minorHAnsi"/>
        </w:rPr>
        <w:t xml:space="preserve"> English law, </w:t>
      </w:r>
      <w:r w:rsidR="00A574AE" w:rsidRPr="0031682F">
        <w:rPr>
          <w:rFonts w:cstheme="minorHAnsi"/>
        </w:rPr>
        <w:t xml:space="preserve">this term </w:t>
      </w:r>
      <w:r w:rsidR="00726974" w:rsidRPr="0031682F">
        <w:rPr>
          <w:rFonts w:cstheme="minorHAnsi"/>
        </w:rPr>
        <w:t xml:space="preserve">refers </w:t>
      </w:r>
      <w:r w:rsidR="00A574AE" w:rsidRPr="0031682F">
        <w:rPr>
          <w:rFonts w:cstheme="minorHAnsi"/>
        </w:rPr>
        <w:t xml:space="preserve">only </w:t>
      </w:r>
      <w:r w:rsidR="00726974" w:rsidRPr="0031682F">
        <w:rPr>
          <w:rFonts w:cstheme="minorHAnsi"/>
        </w:rPr>
        <w:t xml:space="preserve">to actions taken by an adult towards a child, </w:t>
      </w:r>
      <w:r w:rsidR="004029CF" w:rsidRPr="0031682F">
        <w:rPr>
          <w:rFonts w:cstheme="minorHAnsi"/>
        </w:rPr>
        <w:t xml:space="preserve">it is gaining traction </w:t>
      </w:r>
      <w:r w:rsidR="00F22660" w:rsidRPr="0031682F">
        <w:rPr>
          <w:rFonts w:cstheme="minorHAnsi"/>
        </w:rPr>
        <w:t>in</w:t>
      </w:r>
      <w:r w:rsidR="004029CF" w:rsidRPr="0031682F">
        <w:rPr>
          <w:rFonts w:cstheme="minorHAnsi"/>
        </w:rPr>
        <w:t xml:space="preserve"> explain</w:t>
      </w:r>
      <w:r w:rsidR="00F22660" w:rsidRPr="0031682F">
        <w:rPr>
          <w:rFonts w:cstheme="minorHAnsi"/>
        </w:rPr>
        <w:t>ing</w:t>
      </w:r>
      <w:r w:rsidR="004029CF" w:rsidRPr="0031682F">
        <w:rPr>
          <w:rFonts w:cstheme="minorHAnsi"/>
        </w:rPr>
        <w:t xml:space="preserve"> a pattern of ‘boundary-blurring’ behaviours over time </w:t>
      </w:r>
      <w:r w:rsidR="001078FC" w:rsidRPr="0031682F">
        <w:rPr>
          <w:rFonts w:cstheme="minorHAnsi"/>
        </w:rPr>
        <w:t>between people in positions of unequal power</w:t>
      </w:r>
      <w:r w:rsidR="0015114C" w:rsidRPr="0031682F">
        <w:rPr>
          <w:rFonts w:cstheme="minorHAnsi"/>
        </w:rPr>
        <w:t xml:space="preserve"> (Bull and Page, 2021a</w:t>
      </w:r>
      <w:r w:rsidR="006D107B" w:rsidRPr="0031682F">
        <w:rPr>
          <w:rFonts w:cstheme="minorHAnsi"/>
        </w:rPr>
        <w:t>)</w:t>
      </w:r>
      <w:r w:rsidR="001078FC" w:rsidRPr="0031682F">
        <w:rPr>
          <w:rFonts w:cstheme="minorHAnsi"/>
        </w:rPr>
        <w:t>.</w:t>
      </w:r>
      <w:r w:rsidR="006D107B" w:rsidRPr="0031682F">
        <w:rPr>
          <w:rFonts w:cstheme="minorHAnsi"/>
        </w:rPr>
        <w:t xml:space="preserve"> Being subjected to ‘grooming’ behaviours means that </w:t>
      </w:r>
      <w:r w:rsidR="000360A9" w:rsidRPr="0031682F">
        <w:rPr>
          <w:rFonts w:cstheme="minorHAnsi"/>
        </w:rPr>
        <w:t xml:space="preserve">it may take a long time for </w:t>
      </w:r>
      <w:r w:rsidR="006D107B" w:rsidRPr="0031682F">
        <w:rPr>
          <w:rFonts w:cstheme="minorHAnsi"/>
        </w:rPr>
        <w:t xml:space="preserve">survivors </w:t>
      </w:r>
      <w:r w:rsidR="000360A9" w:rsidRPr="0031682F">
        <w:rPr>
          <w:rFonts w:cstheme="minorHAnsi"/>
        </w:rPr>
        <w:t>to</w:t>
      </w:r>
      <w:r w:rsidR="006D107B" w:rsidRPr="0031682F">
        <w:rPr>
          <w:rFonts w:cstheme="minorHAnsi"/>
        </w:rPr>
        <w:t xml:space="preserve"> recognis</w:t>
      </w:r>
      <w:r w:rsidR="006833EA" w:rsidRPr="0031682F">
        <w:rPr>
          <w:rFonts w:cstheme="minorHAnsi"/>
        </w:rPr>
        <w:t xml:space="preserve">e </w:t>
      </w:r>
      <w:r w:rsidR="00F22660" w:rsidRPr="0031682F">
        <w:rPr>
          <w:rFonts w:cstheme="minorHAnsi"/>
        </w:rPr>
        <w:t xml:space="preserve">how </w:t>
      </w:r>
      <w:r w:rsidR="000360A9" w:rsidRPr="0031682F">
        <w:rPr>
          <w:rFonts w:cstheme="minorHAnsi"/>
        </w:rPr>
        <w:t>unequal (usually gendered)</w:t>
      </w:r>
      <w:r w:rsidR="006833EA" w:rsidRPr="0031682F">
        <w:rPr>
          <w:rFonts w:cstheme="minorHAnsi"/>
        </w:rPr>
        <w:t xml:space="preserve"> power dynamics</w:t>
      </w:r>
      <w:r w:rsidR="00F22660" w:rsidRPr="0031682F">
        <w:rPr>
          <w:rFonts w:cstheme="minorHAnsi"/>
        </w:rPr>
        <w:t xml:space="preserve"> are creating a situation where they are not in control</w:t>
      </w:r>
      <w:r w:rsidR="000360A9" w:rsidRPr="0031682F">
        <w:rPr>
          <w:rFonts w:cstheme="minorHAnsi"/>
        </w:rPr>
        <w:t xml:space="preserve">; these dynamics </w:t>
      </w:r>
      <w:r w:rsidR="006833EA" w:rsidRPr="0031682F">
        <w:rPr>
          <w:rFonts w:cstheme="minorHAnsi"/>
        </w:rPr>
        <w:t xml:space="preserve">can </w:t>
      </w:r>
      <w:r w:rsidR="000360A9" w:rsidRPr="0031682F">
        <w:rPr>
          <w:rFonts w:cstheme="minorHAnsi"/>
        </w:rPr>
        <w:t xml:space="preserve">also </w:t>
      </w:r>
      <w:r w:rsidR="006833EA" w:rsidRPr="0031682F">
        <w:rPr>
          <w:rFonts w:cstheme="minorHAnsi"/>
        </w:rPr>
        <w:t xml:space="preserve">lead to </w:t>
      </w:r>
      <w:r w:rsidR="00C5719A" w:rsidRPr="0031682F">
        <w:rPr>
          <w:rFonts w:cstheme="minorHAnsi"/>
        </w:rPr>
        <w:t>victim-survivors</w:t>
      </w:r>
      <w:r w:rsidR="006833EA" w:rsidRPr="0031682F">
        <w:rPr>
          <w:rFonts w:cstheme="minorHAnsi"/>
        </w:rPr>
        <w:t xml:space="preserve"> feeling complicit in the</w:t>
      </w:r>
      <w:r w:rsidR="00C5719A" w:rsidRPr="0031682F">
        <w:rPr>
          <w:rFonts w:cstheme="minorHAnsi"/>
        </w:rPr>
        <w:t>ir</w:t>
      </w:r>
      <w:r w:rsidR="006833EA" w:rsidRPr="0031682F">
        <w:rPr>
          <w:rFonts w:cstheme="minorHAnsi"/>
        </w:rPr>
        <w:t xml:space="preserve"> abuse (Bull and Page, 2021a). </w:t>
      </w:r>
      <w:r w:rsidR="00EB0F03" w:rsidRPr="0031682F">
        <w:rPr>
          <w:rFonts w:cstheme="minorHAnsi"/>
        </w:rPr>
        <w:t xml:space="preserve">Part of the work that this volume is doing, therefore, is to help make visible to readers the myriad ways in which </w:t>
      </w:r>
      <w:r w:rsidR="00B90E23">
        <w:rPr>
          <w:rFonts w:cstheme="minorHAnsi"/>
        </w:rPr>
        <w:t>GBVH</w:t>
      </w:r>
      <w:r w:rsidR="00EB0F03" w:rsidRPr="0031682F">
        <w:rPr>
          <w:rFonts w:cstheme="minorHAnsi"/>
        </w:rPr>
        <w:t xml:space="preserve"> can occur, and how it can compound</w:t>
      </w:r>
      <w:r w:rsidR="00952223" w:rsidRPr="0031682F">
        <w:rPr>
          <w:rFonts w:cstheme="minorHAnsi"/>
        </w:rPr>
        <w:t xml:space="preserve"> </w:t>
      </w:r>
      <w:r w:rsidR="00474A53" w:rsidRPr="0031682F">
        <w:rPr>
          <w:rFonts w:cstheme="minorHAnsi"/>
        </w:rPr>
        <w:t xml:space="preserve">wider social inequalities or legacies such as those </w:t>
      </w:r>
      <w:r w:rsidR="006457E0" w:rsidRPr="0031682F">
        <w:rPr>
          <w:rFonts w:cstheme="minorHAnsi"/>
        </w:rPr>
        <w:t xml:space="preserve">occurring due to </w:t>
      </w:r>
      <w:r w:rsidR="00474A53" w:rsidRPr="0031682F">
        <w:rPr>
          <w:rFonts w:cstheme="minorHAnsi"/>
        </w:rPr>
        <w:t>colonialism (</w:t>
      </w:r>
      <w:r w:rsidR="007B09FB" w:rsidRPr="0031682F">
        <w:rPr>
          <w:rFonts w:cstheme="minorHAnsi"/>
        </w:rPr>
        <w:t xml:space="preserve">see </w:t>
      </w:r>
      <w:r w:rsidR="007B09FB" w:rsidRPr="0031682F">
        <w:rPr>
          <w:rFonts w:eastAsia="Calibri" w:cstheme="minorHAnsi"/>
          <w:bCs/>
        </w:rPr>
        <w:t>Keri Cheechoo’s chapter in this volume</w:t>
      </w:r>
      <w:r w:rsidR="00474A53" w:rsidRPr="0031682F">
        <w:rPr>
          <w:rFonts w:cstheme="minorHAnsi"/>
        </w:rPr>
        <w:t>).</w:t>
      </w:r>
    </w:p>
    <w:p w14:paraId="1CBBF214" w14:textId="1FA6C9BF" w:rsidR="00F31087" w:rsidRPr="0031682F" w:rsidRDefault="00166B9B" w:rsidP="00F31087">
      <w:pPr>
        <w:rPr>
          <w:rFonts w:cstheme="minorHAnsi"/>
        </w:rPr>
      </w:pPr>
      <w:r w:rsidRPr="0031682F">
        <w:rPr>
          <w:rFonts w:cstheme="minorHAnsi"/>
        </w:rPr>
        <w:t xml:space="preserve">When it comes to institutional responses to </w:t>
      </w:r>
      <w:r w:rsidR="00B90E23">
        <w:rPr>
          <w:rFonts w:cstheme="minorHAnsi"/>
        </w:rPr>
        <w:t>GBVH</w:t>
      </w:r>
      <w:r w:rsidR="00AD7BBD" w:rsidRPr="0031682F">
        <w:rPr>
          <w:rFonts w:cstheme="minorHAnsi"/>
        </w:rPr>
        <w:t xml:space="preserve">, as </w:t>
      </w:r>
      <w:r w:rsidR="00AD7BBD" w:rsidRPr="0031682F">
        <w:rPr>
          <w:rFonts w:eastAsia="Calibri" w:cstheme="minorHAnsi"/>
          <w:color w:val="222222"/>
          <w:highlight w:val="white"/>
        </w:rPr>
        <w:t>Lieselotte Viaene</w:t>
      </w:r>
      <w:r w:rsidR="00AD7BBD" w:rsidRPr="0031682F">
        <w:rPr>
          <w:rFonts w:eastAsia="Calibri" w:cstheme="minorHAnsi"/>
          <w:color w:val="222222"/>
        </w:rPr>
        <w:t xml:space="preserve"> et al.’s chapter attests, </w:t>
      </w:r>
      <w:r w:rsidR="00D92FB8" w:rsidRPr="0031682F">
        <w:rPr>
          <w:rFonts w:cstheme="minorHAnsi"/>
        </w:rPr>
        <w:t xml:space="preserve">many victim-survivors do not have faith that their institution is safe to report to. And yet within </w:t>
      </w:r>
      <w:r w:rsidR="00454621" w:rsidRPr="0031682F">
        <w:rPr>
          <w:rFonts w:cstheme="minorHAnsi"/>
        </w:rPr>
        <w:t xml:space="preserve">institutional </w:t>
      </w:r>
      <w:r w:rsidR="00D92FB8" w:rsidRPr="0031682F">
        <w:rPr>
          <w:rFonts w:cstheme="minorHAnsi"/>
        </w:rPr>
        <w:t xml:space="preserve">policies, the </w:t>
      </w:r>
      <w:r w:rsidR="00053A21" w:rsidRPr="0031682F">
        <w:rPr>
          <w:rFonts w:cstheme="minorHAnsi"/>
        </w:rPr>
        <w:t>common</w:t>
      </w:r>
      <w:r w:rsidRPr="0031682F">
        <w:rPr>
          <w:rFonts w:cstheme="minorHAnsi"/>
        </w:rPr>
        <w:t xml:space="preserve"> </w:t>
      </w:r>
      <w:r w:rsidR="00053A21" w:rsidRPr="0031682F">
        <w:rPr>
          <w:rFonts w:cstheme="minorHAnsi"/>
        </w:rPr>
        <w:t xml:space="preserve">sense </w:t>
      </w:r>
      <w:r w:rsidRPr="0031682F">
        <w:rPr>
          <w:rFonts w:cstheme="minorHAnsi"/>
        </w:rPr>
        <w:t>assumption</w:t>
      </w:r>
      <w:r w:rsidR="00053A21" w:rsidRPr="0031682F">
        <w:rPr>
          <w:rFonts w:cstheme="minorHAnsi"/>
        </w:rPr>
        <w:t xml:space="preserve"> </w:t>
      </w:r>
      <w:r w:rsidR="00454621" w:rsidRPr="0031682F">
        <w:rPr>
          <w:rFonts w:cstheme="minorHAnsi"/>
        </w:rPr>
        <w:t>prevails</w:t>
      </w:r>
      <w:r w:rsidR="00053A21" w:rsidRPr="0031682F">
        <w:rPr>
          <w:rFonts w:cstheme="minorHAnsi"/>
        </w:rPr>
        <w:t xml:space="preserve"> </w:t>
      </w:r>
      <w:r w:rsidR="00F31087" w:rsidRPr="0031682F">
        <w:rPr>
          <w:rFonts w:cstheme="minorHAnsi"/>
        </w:rPr>
        <w:t xml:space="preserve">that </w:t>
      </w:r>
      <w:r w:rsidR="00454621" w:rsidRPr="0031682F">
        <w:rPr>
          <w:rFonts w:cstheme="minorHAnsi"/>
        </w:rPr>
        <w:t>if complaints processes are followed, they</w:t>
      </w:r>
      <w:r w:rsidR="0015114C" w:rsidRPr="0031682F">
        <w:rPr>
          <w:rFonts w:cstheme="minorHAnsi"/>
        </w:rPr>
        <w:t xml:space="preserve"> will</w:t>
      </w:r>
      <w:r w:rsidR="0097593D" w:rsidRPr="0031682F">
        <w:rPr>
          <w:rFonts w:cstheme="minorHAnsi"/>
        </w:rPr>
        <w:t xml:space="preserve"> provide justice and safety for complainants</w:t>
      </w:r>
      <w:r w:rsidR="00454621" w:rsidRPr="0031682F">
        <w:rPr>
          <w:rFonts w:cstheme="minorHAnsi"/>
        </w:rPr>
        <w:t xml:space="preserve">. </w:t>
      </w:r>
      <w:r w:rsidR="00282E09" w:rsidRPr="0031682F">
        <w:rPr>
          <w:rFonts w:cstheme="minorHAnsi"/>
        </w:rPr>
        <w:t xml:space="preserve">This assumption overlooks, as Ahmed (2021) describes, the reality that the complaint is being made in the same context where discrimination or harassment occurred. As various authors have outlined, </w:t>
      </w:r>
      <w:r w:rsidR="006C1728" w:rsidRPr="0031682F">
        <w:rPr>
          <w:rFonts w:cstheme="minorHAnsi"/>
        </w:rPr>
        <w:t>the</w:t>
      </w:r>
      <w:r w:rsidR="0097593D" w:rsidRPr="0031682F">
        <w:rPr>
          <w:rFonts w:cstheme="minorHAnsi"/>
        </w:rPr>
        <w:t xml:space="preserve"> wider conditions of marketized higher education and historical and contemporary inequalities within institutions</w:t>
      </w:r>
      <w:r w:rsidR="00811CC4" w:rsidRPr="0031682F">
        <w:rPr>
          <w:rFonts w:cstheme="minorHAnsi"/>
        </w:rPr>
        <w:t xml:space="preserve"> </w:t>
      </w:r>
      <w:r w:rsidR="00282E09" w:rsidRPr="0031682F">
        <w:rPr>
          <w:rFonts w:cstheme="minorHAnsi"/>
        </w:rPr>
        <w:t xml:space="preserve">shape how institutions handle complaints </w:t>
      </w:r>
      <w:r w:rsidR="00726974" w:rsidRPr="0031682F">
        <w:rPr>
          <w:rFonts w:cstheme="minorHAnsi"/>
        </w:rPr>
        <w:t>(Phipps, 2018</w:t>
      </w:r>
      <w:r w:rsidR="004F41AA" w:rsidRPr="0031682F">
        <w:rPr>
          <w:rFonts w:cstheme="minorHAnsi"/>
        </w:rPr>
        <w:t xml:space="preserve">; see also </w:t>
      </w:r>
      <w:r w:rsidR="00424E16" w:rsidRPr="0031682F">
        <w:rPr>
          <w:rFonts w:eastAsia="Calibri" w:cstheme="minorHAnsi"/>
          <w:bCs/>
        </w:rPr>
        <w:t>Lena Wånggren</w:t>
      </w:r>
      <w:r w:rsidR="00424E16" w:rsidRPr="0031682F">
        <w:rPr>
          <w:rFonts w:eastAsia="Calibri" w:cstheme="minorHAnsi"/>
          <w:b/>
        </w:rPr>
        <w:t xml:space="preserve"> </w:t>
      </w:r>
      <w:r w:rsidR="004F41AA" w:rsidRPr="0031682F">
        <w:rPr>
          <w:rFonts w:cstheme="minorHAnsi"/>
        </w:rPr>
        <w:t>in this volume; Shannon, 2021</w:t>
      </w:r>
      <w:r w:rsidR="00726974" w:rsidRPr="0031682F">
        <w:rPr>
          <w:rFonts w:cstheme="minorHAnsi"/>
        </w:rPr>
        <w:t>)</w:t>
      </w:r>
      <w:r w:rsidR="00282E09" w:rsidRPr="0031682F">
        <w:rPr>
          <w:rFonts w:cstheme="minorHAnsi"/>
        </w:rPr>
        <w:t xml:space="preserve">. But it is not </w:t>
      </w:r>
      <w:r w:rsidR="00145FB6" w:rsidRPr="0031682F">
        <w:rPr>
          <w:rFonts w:cstheme="minorHAnsi"/>
        </w:rPr>
        <w:t>simply policies’ implementation within unequal, discriminatory, marketized HEIs that impedes complainants’ ability to obtain justice; t</w:t>
      </w:r>
      <w:r w:rsidR="00811CC4" w:rsidRPr="0031682F">
        <w:rPr>
          <w:rFonts w:cstheme="minorHAnsi"/>
        </w:rPr>
        <w:t xml:space="preserve">here are also </w:t>
      </w:r>
      <w:r w:rsidR="0044509C" w:rsidRPr="0031682F">
        <w:rPr>
          <w:rFonts w:cstheme="minorHAnsi"/>
        </w:rPr>
        <w:t xml:space="preserve">issues to be tackled on the level of the structure of policies. </w:t>
      </w:r>
      <w:r w:rsidR="00F31087" w:rsidRPr="0031682F">
        <w:rPr>
          <w:rFonts w:cstheme="minorHAnsi"/>
        </w:rPr>
        <w:t xml:space="preserve">As </w:t>
      </w:r>
      <w:r w:rsidR="00726974" w:rsidRPr="0031682F">
        <w:rPr>
          <w:rFonts w:cstheme="minorHAnsi"/>
        </w:rPr>
        <w:t>Tiffany Page, Georgina Calvert-Lee and I</w:t>
      </w:r>
      <w:r w:rsidR="00F31087" w:rsidRPr="0031682F">
        <w:rPr>
          <w:rFonts w:cstheme="minorHAnsi"/>
        </w:rPr>
        <w:t xml:space="preserve"> have outlined</w:t>
      </w:r>
      <w:r w:rsidR="00726974" w:rsidRPr="0031682F">
        <w:rPr>
          <w:rFonts w:cstheme="minorHAnsi"/>
        </w:rPr>
        <w:t>,</w:t>
      </w:r>
      <w:r w:rsidR="00F31087" w:rsidRPr="0031682F">
        <w:rPr>
          <w:rFonts w:cstheme="minorHAnsi"/>
        </w:rPr>
        <w:t xml:space="preserve"> </w:t>
      </w:r>
      <w:r w:rsidR="00CE53D5" w:rsidRPr="0031682F">
        <w:rPr>
          <w:rFonts w:cstheme="minorHAnsi"/>
        </w:rPr>
        <w:t>staff-student complaints processes in particular (but also to a lesser degree in staff-staff or student-student processes)</w:t>
      </w:r>
      <w:r w:rsidR="00424E16" w:rsidRPr="0031682F">
        <w:rPr>
          <w:rFonts w:cstheme="minorHAnsi"/>
        </w:rPr>
        <w:t>:</w:t>
      </w:r>
    </w:p>
    <w:p w14:paraId="0F31992E" w14:textId="6263917A" w:rsidR="00CE53D5" w:rsidRPr="0031682F" w:rsidRDefault="00CE53D5" w:rsidP="00CE53D5">
      <w:pPr>
        <w:ind w:left="720"/>
        <w:rPr>
          <w:rFonts w:cstheme="minorHAnsi"/>
        </w:rPr>
      </w:pPr>
      <w:r w:rsidRPr="0031682F">
        <w:rPr>
          <w:rFonts w:cstheme="minorHAnsi"/>
        </w:rPr>
        <w:lastRenderedPageBreak/>
        <w:t>fail to offer similar protections and privileges to the student complainant and the responding staff member and, as a result, students are often excluded from the process purporting to resolve their complaint</w:t>
      </w:r>
      <w:r w:rsidR="00586284" w:rsidRPr="0031682F">
        <w:rPr>
          <w:rFonts w:cstheme="minorHAnsi"/>
        </w:rPr>
        <w:t xml:space="preserve"> (Bull et al., 2020)</w:t>
      </w:r>
      <w:r w:rsidRPr="0031682F">
        <w:rPr>
          <w:rFonts w:cstheme="minorHAnsi"/>
        </w:rPr>
        <w:t>.</w:t>
      </w:r>
    </w:p>
    <w:p w14:paraId="20D0CE7D" w14:textId="52DCAEF4" w:rsidR="00586284" w:rsidRPr="0031682F" w:rsidRDefault="00586284" w:rsidP="00586284">
      <w:pPr>
        <w:rPr>
          <w:rFonts w:cstheme="minorHAnsi"/>
        </w:rPr>
      </w:pPr>
      <w:r w:rsidRPr="0031682F">
        <w:rPr>
          <w:rFonts w:cstheme="minorHAnsi"/>
        </w:rPr>
        <w:t xml:space="preserve">Indeed, </w:t>
      </w:r>
    </w:p>
    <w:p w14:paraId="7730B8AE" w14:textId="48F68B87" w:rsidR="00586284" w:rsidRPr="0031682F" w:rsidRDefault="00586284" w:rsidP="00586284">
      <w:pPr>
        <w:ind w:left="720"/>
        <w:rPr>
          <w:rFonts w:cstheme="minorHAnsi"/>
        </w:rPr>
      </w:pPr>
      <w:r w:rsidRPr="0031682F">
        <w:rPr>
          <w:rFonts w:cstheme="minorHAnsi"/>
        </w:rPr>
        <w:t>In a society where vastly more sexual misconduct complaints are made by women against men than vice versa, a process for investigating sexual misconduct complaints which gives those responding more rights than those complaining might well be thought to place women as a group at a particular disadvantage and so to amount to indirect discrimination, in breach of the Equality Act 2010</w:t>
      </w:r>
      <w:r w:rsidR="00A67A0E" w:rsidRPr="0031682F">
        <w:rPr>
          <w:rFonts w:cstheme="minorHAnsi"/>
        </w:rPr>
        <w:t xml:space="preserve"> (The 1752 Group and McAllister Olivarius, 2020a, 4–5; see also UN Women 2018, 8) </w:t>
      </w:r>
    </w:p>
    <w:p w14:paraId="08F995F0" w14:textId="1324F7E0" w:rsidR="00A67A0E" w:rsidRPr="0031682F" w:rsidRDefault="00A67A0E" w:rsidP="00A67A0E">
      <w:pPr>
        <w:rPr>
          <w:rFonts w:cstheme="minorHAnsi"/>
        </w:rPr>
      </w:pPr>
      <w:r w:rsidRPr="0031682F">
        <w:rPr>
          <w:rFonts w:cstheme="minorHAnsi"/>
        </w:rPr>
        <w:t xml:space="preserve">While this example refers to UK policy and practice, similar structures for institutional complaints are in </w:t>
      </w:r>
      <w:r w:rsidR="005764E6" w:rsidRPr="0031682F">
        <w:rPr>
          <w:rFonts w:cstheme="minorHAnsi"/>
        </w:rPr>
        <w:t>other jurisdictions where the process of making a grievance or complaint against the institution is separated from the disciplinary process against the reported party</w:t>
      </w:r>
      <w:r w:rsidR="008877DF" w:rsidRPr="0031682F">
        <w:rPr>
          <w:rFonts w:cstheme="minorHAnsi"/>
        </w:rPr>
        <w:t>, or where the legal framework favours perpetrators (such as in Spain (Lombardo and Bustelo, 2022))</w:t>
      </w:r>
      <w:r w:rsidR="005764E6" w:rsidRPr="0031682F">
        <w:rPr>
          <w:rFonts w:cstheme="minorHAnsi"/>
        </w:rPr>
        <w:t>. There</w:t>
      </w:r>
      <w:r w:rsidR="004B6AAF" w:rsidRPr="0031682F">
        <w:rPr>
          <w:rFonts w:cstheme="minorHAnsi"/>
        </w:rPr>
        <w:t>fore, a fundamental lack of parity of rights within complaints is normal practice. In our Sector Guidance we have suggested an amended process to address this issue</w:t>
      </w:r>
      <w:r w:rsidR="00B43922" w:rsidRPr="0031682F">
        <w:rPr>
          <w:rFonts w:cstheme="minorHAnsi"/>
        </w:rPr>
        <w:t xml:space="preserve"> (which also applies to other discrimination-related complaints)</w:t>
      </w:r>
      <w:r w:rsidR="00136DD8" w:rsidRPr="0031682F">
        <w:rPr>
          <w:rFonts w:cstheme="minorHAnsi"/>
        </w:rPr>
        <w:t xml:space="preserve"> (Bull et al., 2020)</w:t>
      </w:r>
      <w:r w:rsidR="001B7738" w:rsidRPr="0031682F">
        <w:rPr>
          <w:rFonts w:cstheme="minorHAnsi"/>
        </w:rPr>
        <w:t xml:space="preserve">. The question of whether </w:t>
      </w:r>
      <w:r w:rsidR="00B90E23">
        <w:rPr>
          <w:rFonts w:cstheme="minorHAnsi"/>
        </w:rPr>
        <w:t>GBVH</w:t>
      </w:r>
      <w:r w:rsidR="001B7738" w:rsidRPr="0031682F">
        <w:rPr>
          <w:rFonts w:cstheme="minorHAnsi"/>
        </w:rPr>
        <w:t xml:space="preserve">-related complaints processes should </w:t>
      </w:r>
      <w:r w:rsidR="008877DF" w:rsidRPr="0031682F">
        <w:rPr>
          <w:rFonts w:cstheme="minorHAnsi"/>
        </w:rPr>
        <w:t>follow the same structures as other forms of disciplinary processes within higher education</w:t>
      </w:r>
      <w:r w:rsidR="007A7690" w:rsidRPr="0031682F">
        <w:rPr>
          <w:rFonts w:cstheme="minorHAnsi"/>
        </w:rPr>
        <w:t xml:space="preserve"> (Brodsky, 2021), or whether</w:t>
      </w:r>
      <w:r w:rsidR="00B43922" w:rsidRPr="0031682F">
        <w:rPr>
          <w:rFonts w:cstheme="minorHAnsi"/>
        </w:rPr>
        <w:t xml:space="preserve"> bespoke systems </w:t>
      </w:r>
      <w:r w:rsidR="007A7690" w:rsidRPr="0031682F">
        <w:rPr>
          <w:rFonts w:cstheme="minorHAnsi"/>
        </w:rPr>
        <w:t>need to be</w:t>
      </w:r>
      <w:r w:rsidR="00B43922" w:rsidRPr="0031682F">
        <w:rPr>
          <w:rFonts w:cstheme="minorHAnsi"/>
        </w:rPr>
        <w:t xml:space="preserve"> devised to address this issue (Witwatersrand University, 201</w:t>
      </w:r>
      <w:r w:rsidR="00136DD8" w:rsidRPr="0031682F">
        <w:rPr>
          <w:rFonts w:cstheme="minorHAnsi"/>
        </w:rPr>
        <w:t>5</w:t>
      </w:r>
      <w:r w:rsidR="00B43922" w:rsidRPr="0031682F">
        <w:rPr>
          <w:rFonts w:cstheme="minorHAnsi"/>
        </w:rPr>
        <w:t>)</w:t>
      </w:r>
      <w:r w:rsidR="007A7690" w:rsidRPr="0031682F">
        <w:rPr>
          <w:rFonts w:cstheme="minorHAnsi"/>
        </w:rPr>
        <w:t xml:space="preserve"> remains open, and this is one area where international </w:t>
      </w:r>
      <w:r w:rsidR="00A30E28" w:rsidRPr="0031682F">
        <w:rPr>
          <w:rFonts w:cstheme="minorHAnsi"/>
        </w:rPr>
        <w:t>sharing of research, experience, and activism is needed.</w:t>
      </w:r>
    </w:p>
    <w:p w14:paraId="45987D8B" w14:textId="0810D4CD" w:rsidR="00F31087" w:rsidRPr="0031682F" w:rsidRDefault="00136DD8" w:rsidP="00F31087">
      <w:pPr>
        <w:rPr>
          <w:rFonts w:cstheme="minorHAnsi"/>
        </w:rPr>
      </w:pPr>
      <w:r w:rsidRPr="0031682F">
        <w:rPr>
          <w:rFonts w:cstheme="minorHAnsi"/>
        </w:rPr>
        <w:t xml:space="preserve">Also relating to institutional responses to </w:t>
      </w:r>
      <w:r w:rsidR="00B90E23">
        <w:rPr>
          <w:rFonts w:cstheme="minorHAnsi"/>
        </w:rPr>
        <w:t>GBVH</w:t>
      </w:r>
      <w:r w:rsidR="00153132" w:rsidRPr="0031682F">
        <w:rPr>
          <w:rFonts w:cstheme="minorHAnsi"/>
        </w:rPr>
        <w:t xml:space="preserve">, a further assumption that needs to be called into question is the idea that </w:t>
      </w:r>
      <w:r w:rsidR="00B578BE" w:rsidRPr="0031682F">
        <w:rPr>
          <w:rFonts w:cstheme="minorHAnsi"/>
        </w:rPr>
        <w:t>complainants can obtain a satisfactory outcome to their complaint under current mechanisms</w:t>
      </w:r>
      <w:r w:rsidR="00F31087" w:rsidRPr="0031682F">
        <w:rPr>
          <w:rFonts w:cstheme="minorHAnsi"/>
        </w:rPr>
        <w:t xml:space="preserve">. </w:t>
      </w:r>
      <w:r w:rsidR="00B578BE" w:rsidRPr="0031682F">
        <w:rPr>
          <w:rFonts w:cstheme="minorHAnsi"/>
        </w:rPr>
        <w:t>In some contexts, such as the UK and Canada, this is u</w:t>
      </w:r>
      <w:r w:rsidR="00F31087" w:rsidRPr="0031682F">
        <w:rPr>
          <w:rFonts w:cstheme="minorHAnsi"/>
        </w:rPr>
        <w:t>nfortunately this is not (yet) the case</w:t>
      </w:r>
      <w:r w:rsidR="00B578BE" w:rsidRPr="0031682F">
        <w:rPr>
          <w:rFonts w:cstheme="minorHAnsi"/>
        </w:rPr>
        <w:t xml:space="preserve"> (</w:t>
      </w:r>
      <w:r w:rsidR="00540410" w:rsidRPr="0031682F">
        <w:rPr>
          <w:rFonts w:cstheme="minorHAnsi"/>
        </w:rPr>
        <w:t>Busby and Birenbaum, 2020)</w:t>
      </w:r>
      <w:r w:rsidR="00F31087" w:rsidRPr="0031682F">
        <w:rPr>
          <w:rFonts w:cstheme="minorHAnsi"/>
        </w:rPr>
        <w:t xml:space="preserve">. </w:t>
      </w:r>
      <w:r w:rsidR="002C5AB3" w:rsidRPr="0031682F">
        <w:rPr>
          <w:rFonts w:cstheme="minorHAnsi"/>
        </w:rPr>
        <w:t xml:space="preserve">In a qualitative study of students and ECRs attempting to report </w:t>
      </w:r>
      <w:r w:rsidR="00B90E23">
        <w:rPr>
          <w:rFonts w:cstheme="minorHAnsi"/>
        </w:rPr>
        <w:t>GBVH</w:t>
      </w:r>
      <w:r w:rsidR="002C5AB3" w:rsidRPr="0031682F">
        <w:rPr>
          <w:rFonts w:cstheme="minorHAnsi"/>
        </w:rPr>
        <w:t xml:space="preserve"> in the UK, </w:t>
      </w:r>
      <w:r w:rsidR="001A462C">
        <w:rPr>
          <w:rFonts w:cstheme="minorHAnsi"/>
        </w:rPr>
        <w:t xml:space="preserve">we </w:t>
      </w:r>
      <w:r w:rsidR="002C5AB3" w:rsidRPr="0031682F">
        <w:rPr>
          <w:rFonts w:cstheme="minorHAnsi"/>
        </w:rPr>
        <w:t>found that only four out of 15 reached the end of the process and were able to obtain ‘remedy’ or redress for their complaint</w:t>
      </w:r>
      <w:r w:rsidR="00995549" w:rsidRPr="0031682F">
        <w:rPr>
          <w:rFonts w:cstheme="minorHAnsi"/>
        </w:rPr>
        <w:t xml:space="preserve"> (Bull and Page, 2021b)</w:t>
      </w:r>
      <w:r w:rsidR="002C5AB3" w:rsidRPr="0031682F">
        <w:rPr>
          <w:rFonts w:cstheme="minorHAnsi"/>
        </w:rPr>
        <w:t xml:space="preserve">. For </w:t>
      </w:r>
      <w:r w:rsidR="00FE66FD" w:rsidRPr="0031682F">
        <w:rPr>
          <w:rFonts w:cstheme="minorHAnsi"/>
        </w:rPr>
        <w:t>two</w:t>
      </w:r>
      <w:r w:rsidR="002C5AB3" w:rsidRPr="0031682F">
        <w:rPr>
          <w:rFonts w:cstheme="minorHAnsi"/>
        </w:rPr>
        <w:t xml:space="preserve"> of these, obtaining this outcome required taking legal action</w:t>
      </w:r>
      <w:r w:rsidR="00FE66FD" w:rsidRPr="0031682F">
        <w:rPr>
          <w:rFonts w:cstheme="minorHAnsi"/>
        </w:rPr>
        <w:t xml:space="preserve"> or going to the </w:t>
      </w:r>
      <w:r w:rsidR="00A30E28" w:rsidRPr="0031682F">
        <w:rPr>
          <w:rFonts w:cstheme="minorHAnsi"/>
        </w:rPr>
        <w:t>higher education adjudicator</w:t>
      </w:r>
      <w:r w:rsidR="00FE66FD" w:rsidRPr="0031682F">
        <w:rPr>
          <w:rFonts w:cstheme="minorHAnsi"/>
        </w:rPr>
        <w:t xml:space="preserve"> to attempt to hold their institution to account. Even then, </w:t>
      </w:r>
      <w:r w:rsidR="00995549" w:rsidRPr="0031682F">
        <w:rPr>
          <w:rFonts w:cstheme="minorHAnsi"/>
        </w:rPr>
        <w:t>the remedies offered were, for the most part, not what</w:t>
      </w:r>
      <w:r w:rsidR="00A30E28" w:rsidRPr="0031682F">
        <w:rPr>
          <w:rFonts w:cstheme="minorHAnsi"/>
        </w:rPr>
        <w:t xml:space="preserve"> complainants were seeking – which as above, was to protect themselves and others fro</w:t>
      </w:r>
      <w:r w:rsidR="00DE3D5D" w:rsidRPr="0031682F">
        <w:rPr>
          <w:rFonts w:cstheme="minorHAnsi"/>
        </w:rPr>
        <w:t xml:space="preserve">m the reported parties. </w:t>
      </w:r>
    </w:p>
    <w:p w14:paraId="7A3390B2" w14:textId="589F39F1" w:rsidR="00A861CE" w:rsidRPr="0031682F" w:rsidRDefault="0044509C" w:rsidP="00793F54">
      <w:pPr>
        <w:pStyle w:val="NormalWeb"/>
        <w:rPr>
          <w:rFonts w:asciiTheme="minorHAnsi" w:hAnsiTheme="minorHAnsi" w:cstheme="minorHAnsi"/>
          <w:sz w:val="22"/>
          <w:szCs w:val="22"/>
        </w:rPr>
      </w:pPr>
      <w:r w:rsidRPr="0031682F">
        <w:rPr>
          <w:rFonts w:asciiTheme="minorHAnsi" w:hAnsiTheme="minorHAnsi" w:cstheme="minorHAnsi"/>
          <w:sz w:val="22"/>
          <w:szCs w:val="22"/>
        </w:rPr>
        <w:t xml:space="preserve">Such reflections might leave readers despairing </w:t>
      </w:r>
      <w:r w:rsidR="00EB5CEF" w:rsidRPr="0031682F">
        <w:rPr>
          <w:rFonts w:asciiTheme="minorHAnsi" w:hAnsiTheme="minorHAnsi" w:cstheme="minorHAnsi"/>
          <w:sz w:val="22"/>
          <w:szCs w:val="22"/>
        </w:rPr>
        <w:t>of the possibility of obtaining justice or safety within academic spaces. However, i</w:t>
      </w:r>
      <w:r w:rsidR="0070544B" w:rsidRPr="0031682F">
        <w:rPr>
          <w:rFonts w:asciiTheme="minorHAnsi" w:hAnsiTheme="minorHAnsi" w:cstheme="minorHAnsi"/>
          <w:sz w:val="22"/>
          <w:szCs w:val="22"/>
        </w:rPr>
        <w:t>t is also</w:t>
      </w:r>
      <w:r w:rsidRPr="0031682F">
        <w:rPr>
          <w:rFonts w:asciiTheme="minorHAnsi" w:hAnsiTheme="minorHAnsi" w:cstheme="minorHAnsi"/>
          <w:sz w:val="22"/>
          <w:szCs w:val="22"/>
        </w:rPr>
        <w:t xml:space="preserve"> important</w:t>
      </w:r>
      <w:r w:rsidR="0070544B" w:rsidRPr="0031682F">
        <w:rPr>
          <w:rFonts w:asciiTheme="minorHAnsi" w:hAnsiTheme="minorHAnsi" w:cstheme="minorHAnsi"/>
          <w:sz w:val="22"/>
          <w:szCs w:val="22"/>
        </w:rPr>
        <w:t xml:space="preserve"> not to hold to </w:t>
      </w:r>
      <w:r w:rsidR="00EB5CEF" w:rsidRPr="0031682F">
        <w:rPr>
          <w:rFonts w:asciiTheme="minorHAnsi" w:hAnsiTheme="minorHAnsi" w:cstheme="minorHAnsi"/>
          <w:sz w:val="22"/>
          <w:szCs w:val="22"/>
        </w:rPr>
        <w:t xml:space="preserve">solely </w:t>
      </w:r>
      <w:r w:rsidR="0070544B" w:rsidRPr="0031682F">
        <w:rPr>
          <w:rFonts w:asciiTheme="minorHAnsi" w:hAnsiTheme="minorHAnsi" w:cstheme="minorHAnsi"/>
          <w:sz w:val="22"/>
          <w:szCs w:val="22"/>
        </w:rPr>
        <w:t xml:space="preserve">negative assumptions about </w:t>
      </w:r>
      <w:r w:rsidR="00B90E23">
        <w:rPr>
          <w:rFonts w:asciiTheme="minorHAnsi" w:hAnsiTheme="minorHAnsi" w:cstheme="minorHAnsi"/>
          <w:sz w:val="22"/>
          <w:szCs w:val="22"/>
        </w:rPr>
        <w:t>GBVH</w:t>
      </w:r>
      <w:r w:rsidR="0070544B" w:rsidRPr="0031682F">
        <w:rPr>
          <w:rFonts w:asciiTheme="minorHAnsi" w:hAnsiTheme="minorHAnsi" w:cstheme="minorHAnsi"/>
          <w:sz w:val="22"/>
          <w:szCs w:val="22"/>
        </w:rPr>
        <w:t xml:space="preserve"> and institutional </w:t>
      </w:r>
      <w:r w:rsidR="00704C19" w:rsidRPr="0031682F">
        <w:rPr>
          <w:rFonts w:asciiTheme="minorHAnsi" w:hAnsiTheme="minorHAnsi" w:cstheme="minorHAnsi"/>
          <w:sz w:val="22"/>
          <w:szCs w:val="22"/>
        </w:rPr>
        <w:t xml:space="preserve">responses. In </w:t>
      </w:r>
      <w:r w:rsidR="00833FC9" w:rsidRPr="0031682F">
        <w:rPr>
          <w:rFonts w:asciiTheme="minorHAnsi" w:hAnsiTheme="minorHAnsi" w:cstheme="minorHAnsi"/>
          <w:sz w:val="22"/>
          <w:szCs w:val="22"/>
        </w:rPr>
        <w:t xml:space="preserve">an </w:t>
      </w:r>
      <w:r w:rsidR="00704C19" w:rsidRPr="0031682F">
        <w:rPr>
          <w:rFonts w:asciiTheme="minorHAnsi" w:hAnsiTheme="minorHAnsi" w:cstheme="minorHAnsi"/>
          <w:sz w:val="22"/>
          <w:szCs w:val="22"/>
        </w:rPr>
        <w:t>ongoing research project</w:t>
      </w:r>
      <w:r w:rsidR="00833FC9" w:rsidRPr="0031682F">
        <w:rPr>
          <w:rFonts w:asciiTheme="minorHAnsi" w:hAnsiTheme="minorHAnsi" w:cstheme="minorHAnsi"/>
          <w:sz w:val="22"/>
          <w:szCs w:val="22"/>
        </w:rPr>
        <w:t xml:space="preserve"> with Erin Shannon</w:t>
      </w:r>
      <w:r w:rsidR="00704C19" w:rsidRPr="0031682F">
        <w:rPr>
          <w:rFonts w:asciiTheme="minorHAnsi" w:hAnsiTheme="minorHAnsi" w:cstheme="minorHAnsi"/>
          <w:sz w:val="22"/>
          <w:szCs w:val="22"/>
        </w:rPr>
        <w:t xml:space="preserve">, ‘Higher Education After #MeToo’, we have found </w:t>
      </w:r>
      <w:r w:rsidR="00D351A0" w:rsidRPr="0031682F">
        <w:rPr>
          <w:rFonts w:asciiTheme="minorHAnsi" w:hAnsiTheme="minorHAnsi" w:cstheme="minorHAnsi"/>
          <w:sz w:val="22"/>
          <w:szCs w:val="22"/>
        </w:rPr>
        <w:t xml:space="preserve">very great differences between the resources, expertise, and institutional </w:t>
      </w:r>
      <w:r w:rsidR="00EB5CEF" w:rsidRPr="0031682F">
        <w:rPr>
          <w:rFonts w:asciiTheme="minorHAnsi" w:hAnsiTheme="minorHAnsi" w:cstheme="minorHAnsi"/>
          <w:sz w:val="22"/>
          <w:szCs w:val="22"/>
        </w:rPr>
        <w:t>willingness</w:t>
      </w:r>
      <w:r w:rsidR="00D351A0" w:rsidRPr="0031682F">
        <w:rPr>
          <w:rFonts w:asciiTheme="minorHAnsi" w:hAnsiTheme="minorHAnsi" w:cstheme="minorHAnsi"/>
          <w:sz w:val="22"/>
          <w:szCs w:val="22"/>
        </w:rPr>
        <w:t xml:space="preserve"> that different </w:t>
      </w:r>
      <w:r w:rsidR="00B01FA9" w:rsidRPr="0031682F">
        <w:rPr>
          <w:rFonts w:asciiTheme="minorHAnsi" w:hAnsiTheme="minorHAnsi" w:cstheme="minorHAnsi"/>
          <w:sz w:val="22"/>
          <w:szCs w:val="22"/>
        </w:rPr>
        <w:t xml:space="preserve">UK </w:t>
      </w:r>
      <w:r w:rsidR="00D351A0" w:rsidRPr="0031682F">
        <w:rPr>
          <w:rFonts w:asciiTheme="minorHAnsi" w:hAnsiTheme="minorHAnsi" w:cstheme="minorHAnsi"/>
          <w:sz w:val="22"/>
          <w:szCs w:val="22"/>
        </w:rPr>
        <w:t>higher education institutions are committing to tackling this issue</w:t>
      </w:r>
      <w:r w:rsidR="00833FC9" w:rsidRPr="0031682F">
        <w:rPr>
          <w:rFonts w:asciiTheme="minorHAnsi" w:hAnsiTheme="minorHAnsi" w:cstheme="minorHAnsi"/>
          <w:sz w:val="22"/>
          <w:szCs w:val="22"/>
        </w:rPr>
        <w:t xml:space="preserve"> (see also Chantler et al., 2019). </w:t>
      </w:r>
      <w:r w:rsidR="00784BDF" w:rsidRPr="0031682F">
        <w:rPr>
          <w:rFonts w:asciiTheme="minorHAnsi" w:hAnsiTheme="minorHAnsi" w:cstheme="minorHAnsi"/>
          <w:sz w:val="22"/>
          <w:szCs w:val="22"/>
        </w:rPr>
        <w:t>Some</w:t>
      </w:r>
      <w:r w:rsidR="009F0B3B" w:rsidRPr="0031682F">
        <w:rPr>
          <w:rFonts w:asciiTheme="minorHAnsi" w:hAnsiTheme="minorHAnsi" w:cstheme="minorHAnsi"/>
          <w:sz w:val="22"/>
          <w:szCs w:val="22"/>
        </w:rPr>
        <w:t xml:space="preserve"> institutions </w:t>
      </w:r>
      <w:r w:rsidR="00EB5CEF" w:rsidRPr="0031682F">
        <w:rPr>
          <w:rFonts w:asciiTheme="minorHAnsi" w:hAnsiTheme="minorHAnsi" w:cstheme="minorHAnsi"/>
          <w:sz w:val="22"/>
          <w:szCs w:val="22"/>
        </w:rPr>
        <w:t xml:space="preserve">appear to have </w:t>
      </w:r>
      <w:r w:rsidR="009F0B3B" w:rsidRPr="0031682F">
        <w:rPr>
          <w:rFonts w:asciiTheme="minorHAnsi" w:hAnsiTheme="minorHAnsi" w:cstheme="minorHAnsi"/>
          <w:sz w:val="22"/>
          <w:szCs w:val="22"/>
        </w:rPr>
        <w:t xml:space="preserve">put </w:t>
      </w:r>
      <w:r w:rsidR="00784BDF" w:rsidRPr="0031682F">
        <w:rPr>
          <w:rFonts w:asciiTheme="minorHAnsi" w:hAnsiTheme="minorHAnsi" w:cstheme="minorHAnsi"/>
          <w:sz w:val="22"/>
          <w:szCs w:val="22"/>
        </w:rPr>
        <w:t>high levels of</w:t>
      </w:r>
      <w:r w:rsidR="009F0B3B" w:rsidRPr="0031682F">
        <w:rPr>
          <w:rFonts w:asciiTheme="minorHAnsi" w:hAnsiTheme="minorHAnsi" w:cstheme="minorHAnsi"/>
          <w:sz w:val="22"/>
          <w:szCs w:val="22"/>
        </w:rPr>
        <w:t xml:space="preserve"> investment into this area and are drawing on trauma-informed, specialist expertise </w:t>
      </w:r>
      <w:r w:rsidR="00784BDF" w:rsidRPr="0031682F">
        <w:rPr>
          <w:rFonts w:asciiTheme="minorHAnsi" w:hAnsiTheme="minorHAnsi" w:cstheme="minorHAnsi"/>
          <w:sz w:val="22"/>
          <w:szCs w:val="22"/>
        </w:rPr>
        <w:t xml:space="preserve">to provide </w:t>
      </w:r>
      <w:r w:rsidR="009F0B3B" w:rsidRPr="0031682F">
        <w:rPr>
          <w:rFonts w:asciiTheme="minorHAnsi" w:hAnsiTheme="minorHAnsi" w:cstheme="minorHAnsi"/>
          <w:sz w:val="22"/>
          <w:szCs w:val="22"/>
        </w:rPr>
        <w:t xml:space="preserve">support and </w:t>
      </w:r>
      <w:r w:rsidR="00784BDF" w:rsidRPr="0031682F">
        <w:rPr>
          <w:rFonts w:asciiTheme="minorHAnsi" w:hAnsiTheme="minorHAnsi" w:cstheme="minorHAnsi"/>
          <w:sz w:val="22"/>
          <w:szCs w:val="22"/>
        </w:rPr>
        <w:t>to handle reports</w:t>
      </w:r>
      <w:r w:rsidR="009F0B3B" w:rsidRPr="0031682F">
        <w:rPr>
          <w:rFonts w:asciiTheme="minorHAnsi" w:hAnsiTheme="minorHAnsi" w:cstheme="minorHAnsi"/>
          <w:sz w:val="22"/>
          <w:szCs w:val="22"/>
        </w:rPr>
        <w:t xml:space="preserve">. </w:t>
      </w:r>
      <w:r w:rsidR="00FC6E2F" w:rsidRPr="0031682F">
        <w:rPr>
          <w:rFonts w:asciiTheme="minorHAnsi" w:hAnsiTheme="minorHAnsi" w:cstheme="minorHAnsi"/>
          <w:sz w:val="22"/>
          <w:szCs w:val="22"/>
        </w:rPr>
        <w:t>T</w:t>
      </w:r>
      <w:r w:rsidR="009F0B3B" w:rsidRPr="0031682F">
        <w:rPr>
          <w:rFonts w:asciiTheme="minorHAnsi" w:hAnsiTheme="minorHAnsi" w:cstheme="minorHAnsi"/>
          <w:sz w:val="22"/>
          <w:szCs w:val="22"/>
        </w:rPr>
        <w:t>hese are by far the minority, and even these (few) institutions still have a long way to go in this work or risk having it overturned by a change of leadership or dedicated personnel leaving.</w:t>
      </w:r>
      <w:r w:rsidR="00784BDF" w:rsidRPr="0031682F">
        <w:rPr>
          <w:rFonts w:asciiTheme="minorHAnsi" w:hAnsiTheme="minorHAnsi" w:cstheme="minorHAnsi"/>
          <w:sz w:val="22"/>
          <w:szCs w:val="22"/>
        </w:rPr>
        <w:t xml:space="preserve"> Nevertheless, </w:t>
      </w:r>
      <w:r w:rsidR="00CD288C" w:rsidRPr="0031682F">
        <w:rPr>
          <w:rFonts w:asciiTheme="minorHAnsi" w:hAnsiTheme="minorHAnsi" w:cstheme="minorHAnsi"/>
          <w:sz w:val="22"/>
          <w:szCs w:val="22"/>
        </w:rPr>
        <w:t>for activists, survivors, and researchers in this space, these differences of approach are important</w:t>
      </w:r>
      <w:r w:rsidR="00C867BA" w:rsidRPr="0031682F">
        <w:rPr>
          <w:rFonts w:asciiTheme="minorHAnsi" w:hAnsiTheme="minorHAnsi" w:cstheme="minorHAnsi"/>
          <w:sz w:val="22"/>
          <w:szCs w:val="22"/>
        </w:rPr>
        <w:t>; in</w:t>
      </w:r>
      <w:r w:rsidR="00B01FA9" w:rsidRPr="0031682F">
        <w:rPr>
          <w:rFonts w:asciiTheme="minorHAnsi" w:hAnsiTheme="minorHAnsi" w:cstheme="minorHAnsi"/>
          <w:sz w:val="22"/>
          <w:szCs w:val="22"/>
        </w:rPr>
        <w:t xml:space="preserve"> the Australian context,</w:t>
      </w:r>
      <w:r w:rsidR="00C867BA" w:rsidRPr="0031682F">
        <w:rPr>
          <w:rFonts w:asciiTheme="minorHAnsi" w:hAnsiTheme="minorHAnsi" w:cstheme="minorHAnsi"/>
          <w:sz w:val="22"/>
          <w:szCs w:val="22"/>
        </w:rPr>
        <w:t xml:space="preserve"> a large-scale survey of 43,819 students </w:t>
      </w:r>
      <w:r w:rsidR="00B01FA9" w:rsidRPr="0031682F">
        <w:rPr>
          <w:rFonts w:asciiTheme="minorHAnsi" w:hAnsiTheme="minorHAnsi" w:cstheme="minorHAnsi"/>
          <w:sz w:val="22"/>
          <w:szCs w:val="22"/>
        </w:rPr>
        <w:t>has shown that</w:t>
      </w:r>
      <w:r w:rsidR="00C867BA" w:rsidRPr="0031682F">
        <w:rPr>
          <w:rFonts w:asciiTheme="minorHAnsi" w:hAnsiTheme="minorHAnsi" w:cstheme="minorHAnsi"/>
          <w:sz w:val="22"/>
          <w:szCs w:val="22"/>
        </w:rPr>
        <w:t xml:space="preserve"> </w:t>
      </w:r>
      <w:r w:rsidR="00A861CE" w:rsidRPr="0031682F">
        <w:rPr>
          <w:rFonts w:asciiTheme="minorHAnsi" w:hAnsiTheme="minorHAnsi" w:cstheme="minorHAnsi"/>
          <w:sz w:val="22"/>
          <w:szCs w:val="22"/>
        </w:rPr>
        <w:t xml:space="preserve">two-fifths </w:t>
      </w:r>
      <w:r w:rsidR="00C10DE3" w:rsidRPr="0031682F">
        <w:rPr>
          <w:rFonts w:asciiTheme="minorHAnsi" w:hAnsiTheme="minorHAnsi" w:cstheme="minorHAnsi"/>
          <w:sz w:val="22"/>
          <w:szCs w:val="22"/>
        </w:rPr>
        <w:t>of those who reported sexual harassment to their university</w:t>
      </w:r>
      <w:r w:rsidR="00A861CE" w:rsidRPr="0031682F">
        <w:rPr>
          <w:rFonts w:asciiTheme="minorHAnsi" w:hAnsiTheme="minorHAnsi" w:cstheme="minorHAnsi"/>
          <w:sz w:val="22"/>
          <w:szCs w:val="22"/>
        </w:rPr>
        <w:t xml:space="preserve"> were satisfied with the process, </w:t>
      </w:r>
      <w:r w:rsidR="00C10DE3" w:rsidRPr="0031682F">
        <w:rPr>
          <w:rFonts w:asciiTheme="minorHAnsi" w:hAnsiTheme="minorHAnsi" w:cstheme="minorHAnsi"/>
          <w:sz w:val="22"/>
          <w:szCs w:val="22"/>
        </w:rPr>
        <w:t>and</w:t>
      </w:r>
      <w:r w:rsidR="00503D65" w:rsidRPr="0031682F">
        <w:rPr>
          <w:rFonts w:asciiTheme="minorHAnsi" w:hAnsiTheme="minorHAnsi" w:cstheme="minorHAnsi"/>
          <w:sz w:val="22"/>
          <w:szCs w:val="22"/>
        </w:rPr>
        <w:t xml:space="preserve"> of</w:t>
      </w:r>
      <w:r w:rsidR="00C10DE3" w:rsidRPr="0031682F">
        <w:rPr>
          <w:rFonts w:asciiTheme="minorHAnsi" w:hAnsiTheme="minorHAnsi" w:cstheme="minorHAnsi"/>
          <w:sz w:val="22"/>
          <w:szCs w:val="22"/>
        </w:rPr>
        <w:t xml:space="preserve"> those who reported sexual assault to their university, nearly </w:t>
      </w:r>
      <w:r w:rsidR="00A861CE" w:rsidRPr="0031682F">
        <w:rPr>
          <w:rFonts w:asciiTheme="minorHAnsi" w:hAnsiTheme="minorHAnsi" w:cstheme="minorHAnsi"/>
          <w:sz w:val="22"/>
          <w:szCs w:val="22"/>
        </w:rPr>
        <w:t>one in three were satisfied with the formal reporting or complaints process</w:t>
      </w:r>
      <w:r w:rsidR="00C867BA" w:rsidRPr="0031682F">
        <w:rPr>
          <w:rFonts w:asciiTheme="minorHAnsi" w:hAnsiTheme="minorHAnsi" w:cstheme="minorHAnsi"/>
          <w:sz w:val="22"/>
          <w:szCs w:val="22"/>
        </w:rPr>
        <w:t xml:space="preserve"> (Heywood et al., 2022: 45)</w:t>
      </w:r>
      <w:r w:rsidR="00C10DE3" w:rsidRPr="0031682F">
        <w:rPr>
          <w:rFonts w:asciiTheme="minorHAnsi" w:hAnsiTheme="minorHAnsi" w:cstheme="minorHAnsi"/>
          <w:sz w:val="22"/>
          <w:szCs w:val="22"/>
        </w:rPr>
        <w:t xml:space="preserve">. </w:t>
      </w:r>
      <w:r w:rsidR="004C1473" w:rsidRPr="0031682F">
        <w:rPr>
          <w:rFonts w:asciiTheme="minorHAnsi" w:hAnsiTheme="minorHAnsi" w:cstheme="minorHAnsi"/>
          <w:sz w:val="22"/>
          <w:szCs w:val="22"/>
        </w:rPr>
        <w:t xml:space="preserve">This of course means that over two-thirds of those who reported sexual assaults were </w:t>
      </w:r>
      <w:r w:rsidR="004C1473" w:rsidRPr="0031682F">
        <w:rPr>
          <w:rFonts w:asciiTheme="minorHAnsi" w:hAnsiTheme="minorHAnsi" w:cstheme="minorHAnsi"/>
          <w:sz w:val="22"/>
          <w:szCs w:val="22"/>
        </w:rPr>
        <w:lastRenderedPageBreak/>
        <w:t>dissatisfied – an unacceptably high number. Nevertheless, the</w:t>
      </w:r>
      <w:r w:rsidR="00503D65" w:rsidRPr="0031682F">
        <w:rPr>
          <w:rFonts w:asciiTheme="minorHAnsi" w:hAnsiTheme="minorHAnsi" w:cstheme="minorHAnsi"/>
          <w:sz w:val="22"/>
          <w:szCs w:val="22"/>
        </w:rPr>
        <w:t>re is space for hope within these findings. W</w:t>
      </w:r>
      <w:r w:rsidR="00C10DE3" w:rsidRPr="0031682F">
        <w:rPr>
          <w:rFonts w:asciiTheme="minorHAnsi" w:hAnsiTheme="minorHAnsi" w:cstheme="minorHAnsi"/>
          <w:sz w:val="22"/>
          <w:szCs w:val="22"/>
        </w:rPr>
        <w:t xml:space="preserve">hile such quantitative studies </w:t>
      </w:r>
      <w:r w:rsidR="004A2C4A" w:rsidRPr="0031682F">
        <w:rPr>
          <w:rFonts w:asciiTheme="minorHAnsi" w:hAnsiTheme="minorHAnsi" w:cstheme="minorHAnsi"/>
          <w:sz w:val="22"/>
          <w:szCs w:val="22"/>
        </w:rPr>
        <w:t xml:space="preserve">cannot convey the complexity of experiences and responses that </w:t>
      </w:r>
      <w:r w:rsidR="00793F54" w:rsidRPr="0031682F">
        <w:rPr>
          <w:rFonts w:asciiTheme="minorHAnsi" w:hAnsiTheme="minorHAnsi" w:cstheme="minorHAnsi"/>
          <w:sz w:val="22"/>
          <w:szCs w:val="22"/>
        </w:rPr>
        <w:t xml:space="preserve">survivors describe (see for example Bull and Page, 2021b), </w:t>
      </w:r>
      <w:r w:rsidR="004C1473" w:rsidRPr="0031682F">
        <w:rPr>
          <w:rFonts w:asciiTheme="minorHAnsi" w:hAnsiTheme="minorHAnsi" w:cstheme="minorHAnsi"/>
          <w:sz w:val="22"/>
          <w:szCs w:val="22"/>
        </w:rPr>
        <w:t xml:space="preserve">they serve as an important reminder that it is worth </w:t>
      </w:r>
      <w:r w:rsidR="00A07811" w:rsidRPr="0031682F">
        <w:rPr>
          <w:rFonts w:asciiTheme="minorHAnsi" w:hAnsiTheme="minorHAnsi" w:cstheme="minorHAnsi"/>
          <w:sz w:val="22"/>
          <w:szCs w:val="22"/>
        </w:rPr>
        <w:t xml:space="preserve">fighting for change within individual institutions as such activist and change-making work can and does make a difference. </w:t>
      </w:r>
    </w:p>
    <w:p w14:paraId="7DA102E3" w14:textId="09F2B5CC" w:rsidR="009F0B3B" w:rsidRPr="0031682F" w:rsidRDefault="00FC6E2F" w:rsidP="006B416E">
      <w:pPr>
        <w:rPr>
          <w:rFonts w:cstheme="minorHAnsi"/>
        </w:rPr>
      </w:pPr>
      <w:r w:rsidRPr="0031682F">
        <w:rPr>
          <w:rFonts w:cstheme="minorHAnsi"/>
        </w:rPr>
        <w:t>Related to this point, another common</w:t>
      </w:r>
      <w:r w:rsidR="001A462C">
        <w:rPr>
          <w:rFonts w:cstheme="minorHAnsi"/>
        </w:rPr>
        <w:t xml:space="preserve"> </w:t>
      </w:r>
      <w:r w:rsidRPr="0031682F">
        <w:rPr>
          <w:rFonts w:cstheme="minorHAnsi"/>
        </w:rPr>
        <w:t xml:space="preserve">sense assumption can be that ‘the university’ or ‘the institution’ acts as a monolithic entity in responding to reports or disclosures of </w:t>
      </w:r>
      <w:r w:rsidR="00B90E23">
        <w:rPr>
          <w:rFonts w:cstheme="minorHAnsi"/>
        </w:rPr>
        <w:t>GBVH</w:t>
      </w:r>
      <w:r w:rsidRPr="0031682F">
        <w:rPr>
          <w:rFonts w:cstheme="minorHAnsi"/>
        </w:rPr>
        <w:t xml:space="preserve">. </w:t>
      </w:r>
      <w:r w:rsidR="006B416E" w:rsidRPr="0031682F">
        <w:rPr>
          <w:rFonts w:cstheme="minorHAnsi"/>
        </w:rPr>
        <w:t>Against this assumption, it is</w:t>
      </w:r>
      <w:r w:rsidR="009F0B3B" w:rsidRPr="0031682F">
        <w:rPr>
          <w:rFonts w:cstheme="minorHAnsi"/>
        </w:rPr>
        <w:t xml:space="preserve"> important to </w:t>
      </w:r>
      <w:r w:rsidR="006B416E" w:rsidRPr="0031682F">
        <w:rPr>
          <w:rFonts w:cstheme="minorHAnsi"/>
        </w:rPr>
        <w:t xml:space="preserve">be alert to </w:t>
      </w:r>
      <w:r w:rsidR="009F0B3B" w:rsidRPr="0031682F">
        <w:rPr>
          <w:rFonts w:cstheme="minorHAnsi"/>
        </w:rPr>
        <w:t>disjunct</w:t>
      </w:r>
      <w:r w:rsidR="006E74EA" w:rsidRPr="0031682F">
        <w:rPr>
          <w:rFonts w:cstheme="minorHAnsi"/>
        </w:rPr>
        <w:t>ions</w:t>
      </w:r>
      <w:r w:rsidR="006B416E" w:rsidRPr="0031682F">
        <w:rPr>
          <w:rFonts w:cstheme="minorHAnsi"/>
        </w:rPr>
        <w:t xml:space="preserve"> </w:t>
      </w:r>
      <w:r w:rsidR="00503D65" w:rsidRPr="0031682F">
        <w:rPr>
          <w:rFonts w:cstheme="minorHAnsi"/>
        </w:rPr>
        <w:t>between different levels and areas</w:t>
      </w:r>
      <w:r w:rsidR="009F0B3B" w:rsidRPr="0031682F">
        <w:rPr>
          <w:rFonts w:cstheme="minorHAnsi"/>
        </w:rPr>
        <w:t xml:space="preserve"> within the institution</w:t>
      </w:r>
      <w:r w:rsidR="006B416E" w:rsidRPr="0031682F">
        <w:rPr>
          <w:rFonts w:cstheme="minorHAnsi"/>
        </w:rPr>
        <w:t xml:space="preserve">. </w:t>
      </w:r>
      <w:r w:rsidR="00F16DF7" w:rsidRPr="0031682F">
        <w:rPr>
          <w:rFonts w:cstheme="minorHAnsi"/>
        </w:rPr>
        <w:t>Staff</w:t>
      </w:r>
      <w:r w:rsidR="009F0B3B" w:rsidRPr="0031682F">
        <w:rPr>
          <w:rFonts w:cstheme="minorHAnsi"/>
        </w:rPr>
        <w:t xml:space="preserve"> within institutions, perhaps with their own experiences of </w:t>
      </w:r>
      <w:r w:rsidR="00B90E23">
        <w:rPr>
          <w:rFonts w:cstheme="minorHAnsi"/>
        </w:rPr>
        <w:t>GBVH</w:t>
      </w:r>
      <w:r w:rsidR="00F16DF7" w:rsidRPr="0031682F">
        <w:rPr>
          <w:rFonts w:cstheme="minorHAnsi"/>
        </w:rPr>
        <w:t>,</w:t>
      </w:r>
      <w:r w:rsidR="009F0B3B" w:rsidRPr="0031682F">
        <w:rPr>
          <w:rFonts w:cstheme="minorHAnsi"/>
        </w:rPr>
        <w:t xml:space="preserve"> are in many cases pushing their institutions to do better</w:t>
      </w:r>
      <w:r w:rsidR="00F16DF7" w:rsidRPr="0031682F">
        <w:rPr>
          <w:rFonts w:cstheme="minorHAnsi"/>
        </w:rPr>
        <w:t xml:space="preserve"> and doing their best to support survivors as far as they are able. </w:t>
      </w:r>
      <w:r w:rsidR="006B416E" w:rsidRPr="0031682F">
        <w:rPr>
          <w:rFonts w:cstheme="minorHAnsi"/>
        </w:rPr>
        <w:t xml:space="preserve">This can lead to a pattern of ‘institutional listening while silencing’ (Oman and Bull, 2021) </w:t>
      </w:r>
      <w:r w:rsidR="00CB4995" w:rsidRPr="0031682F">
        <w:rPr>
          <w:rFonts w:cstheme="minorHAnsi"/>
        </w:rPr>
        <w:t xml:space="preserve">whereby </w:t>
      </w:r>
      <w:r w:rsidR="00223D01" w:rsidRPr="0031682F">
        <w:rPr>
          <w:rFonts w:cstheme="minorHAnsi"/>
        </w:rPr>
        <w:t xml:space="preserve">‘individual staff members within an institution are attempting to provide care but this care is not connected to the wider policy framework’ (2021: 11). The effect of this, for those attempting to disclose or report, is to feel initially supported then progressively confused and let down when the early response </w:t>
      </w:r>
      <w:r w:rsidR="00E27609" w:rsidRPr="0031682F">
        <w:rPr>
          <w:rFonts w:cstheme="minorHAnsi"/>
        </w:rPr>
        <w:t xml:space="preserve">turns into institutional </w:t>
      </w:r>
      <w:r w:rsidR="00C50964" w:rsidRPr="0031682F">
        <w:rPr>
          <w:rFonts w:cstheme="minorHAnsi"/>
        </w:rPr>
        <w:t xml:space="preserve">‘brick walls’ (Ahmed, </w:t>
      </w:r>
      <w:r w:rsidR="00E27609" w:rsidRPr="0031682F">
        <w:rPr>
          <w:rFonts w:cstheme="minorHAnsi"/>
        </w:rPr>
        <w:t>2021</w:t>
      </w:r>
      <w:r w:rsidR="00C50964" w:rsidRPr="0031682F">
        <w:rPr>
          <w:rFonts w:cstheme="minorHAnsi"/>
        </w:rPr>
        <w:t xml:space="preserve">), or even institutional harassment (Bull </w:t>
      </w:r>
      <w:r w:rsidR="006E74EA" w:rsidRPr="0031682F">
        <w:rPr>
          <w:rFonts w:cstheme="minorHAnsi"/>
        </w:rPr>
        <w:t>and</w:t>
      </w:r>
      <w:r w:rsidR="00C50964" w:rsidRPr="0031682F">
        <w:rPr>
          <w:rFonts w:cstheme="minorHAnsi"/>
        </w:rPr>
        <w:t xml:space="preserve"> Page, 2021b; Bull </w:t>
      </w:r>
      <w:r w:rsidR="006E74EA" w:rsidRPr="0031682F">
        <w:rPr>
          <w:rFonts w:cstheme="minorHAnsi"/>
        </w:rPr>
        <w:t>and</w:t>
      </w:r>
      <w:r w:rsidR="00C50964" w:rsidRPr="0031682F">
        <w:rPr>
          <w:rFonts w:cstheme="minorHAnsi"/>
        </w:rPr>
        <w:t xml:space="preserve"> Rye, 2018).</w:t>
      </w:r>
      <w:r w:rsidR="00E27609" w:rsidRPr="0031682F">
        <w:rPr>
          <w:rFonts w:cstheme="minorHAnsi"/>
        </w:rPr>
        <w:t xml:space="preserve"> Nevertheless, these disjunct</w:t>
      </w:r>
      <w:r w:rsidR="006E74EA" w:rsidRPr="0031682F">
        <w:rPr>
          <w:rFonts w:cstheme="minorHAnsi"/>
        </w:rPr>
        <w:t>ion</w:t>
      </w:r>
      <w:r w:rsidR="00D720F8" w:rsidRPr="0031682F">
        <w:rPr>
          <w:rFonts w:cstheme="minorHAnsi"/>
        </w:rPr>
        <w:t>s</w:t>
      </w:r>
      <w:r w:rsidR="00E27609" w:rsidRPr="0031682F">
        <w:rPr>
          <w:rFonts w:cstheme="minorHAnsi"/>
        </w:rPr>
        <w:t xml:space="preserve"> within institutions can work to the advantage of complainants, </w:t>
      </w:r>
      <w:r w:rsidR="00D720F8" w:rsidRPr="0031682F">
        <w:rPr>
          <w:rFonts w:cstheme="minorHAnsi"/>
        </w:rPr>
        <w:t>such as</w:t>
      </w:r>
      <w:r w:rsidR="00E27609" w:rsidRPr="0031682F">
        <w:rPr>
          <w:rFonts w:cstheme="minorHAnsi"/>
        </w:rPr>
        <w:t xml:space="preserve"> where committed and knowledgeable staff find </w:t>
      </w:r>
      <w:r w:rsidR="00BD1B65" w:rsidRPr="0031682F">
        <w:rPr>
          <w:rFonts w:cstheme="minorHAnsi"/>
        </w:rPr>
        <w:t xml:space="preserve">creative ways to find ways to </w:t>
      </w:r>
      <w:r w:rsidR="000D1CD0" w:rsidRPr="0031682F">
        <w:rPr>
          <w:rFonts w:cstheme="minorHAnsi"/>
        </w:rPr>
        <w:t>obtain</w:t>
      </w:r>
      <w:r w:rsidR="00BD1B65" w:rsidRPr="0031682F">
        <w:rPr>
          <w:rFonts w:cstheme="minorHAnsi"/>
        </w:rPr>
        <w:t xml:space="preserve"> justice</w:t>
      </w:r>
      <w:r w:rsidR="000D1CD0" w:rsidRPr="0031682F">
        <w:rPr>
          <w:rFonts w:cstheme="minorHAnsi"/>
        </w:rPr>
        <w:t>, support, and safety for complainants</w:t>
      </w:r>
      <w:r w:rsidR="00BD1B65" w:rsidRPr="0031682F">
        <w:rPr>
          <w:rFonts w:cstheme="minorHAnsi"/>
        </w:rPr>
        <w:t xml:space="preserve">. </w:t>
      </w:r>
      <w:r w:rsidR="00C50964" w:rsidRPr="0031682F">
        <w:rPr>
          <w:rFonts w:cstheme="minorHAnsi"/>
        </w:rPr>
        <w:t xml:space="preserve"> </w:t>
      </w:r>
    </w:p>
    <w:p w14:paraId="143EC4FB" w14:textId="77A9A4E6" w:rsidR="005B54E5" w:rsidRPr="0031682F" w:rsidRDefault="00A07811" w:rsidP="00B200D3">
      <w:pPr>
        <w:rPr>
          <w:rFonts w:cstheme="minorHAnsi"/>
        </w:rPr>
      </w:pPr>
      <w:r w:rsidRPr="0031682F">
        <w:rPr>
          <w:rFonts w:cstheme="minorHAnsi"/>
        </w:rPr>
        <w:t>In conclusion, over recent years w</w:t>
      </w:r>
      <w:r w:rsidR="009F0B3B" w:rsidRPr="0031682F">
        <w:rPr>
          <w:rFonts w:cstheme="minorHAnsi"/>
        </w:rPr>
        <w:t>e have seen a</w:t>
      </w:r>
      <w:r w:rsidRPr="0031682F">
        <w:rPr>
          <w:rFonts w:cstheme="minorHAnsi"/>
        </w:rPr>
        <w:t xml:space="preserve">n enormous </w:t>
      </w:r>
      <w:r w:rsidR="009F0B3B" w:rsidRPr="0031682F">
        <w:rPr>
          <w:rFonts w:cstheme="minorHAnsi"/>
        </w:rPr>
        <w:t xml:space="preserve">shift </w:t>
      </w:r>
      <w:r w:rsidR="00CE20A1" w:rsidRPr="0031682F">
        <w:rPr>
          <w:rFonts w:cstheme="minorHAnsi"/>
        </w:rPr>
        <w:t xml:space="preserve">towards </w:t>
      </w:r>
      <w:r w:rsidR="009F0B3B" w:rsidRPr="0031682F">
        <w:rPr>
          <w:rFonts w:cstheme="minorHAnsi"/>
        </w:rPr>
        <w:t xml:space="preserve">institutions </w:t>
      </w:r>
      <w:r w:rsidR="00D720F8" w:rsidRPr="0031682F">
        <w:rPr>
          <w:rFonts w:cstheme="minorHAnsi"/>
        </w:rPr>
        <w:t xml:space="preserve">across society </w:t>
      </w:r>
      <w:r w:rsidR="00CE20A1" w:rsidRPr="0031682F">
        <w:rPr>
          <w:rFonts w:cstheme="minorHAnsi"/>
        </w:rPr>
        <w:t xml:space="preserve">being required </w:t>
      </w:r>
      <w:r w:rsidR="009F0B3B" w:rsidRPr="0031682F">
        <w:rPr>
          <w:rFonts w:cstheme="minorHAnsi"/>
        </w:rPr>
        <w:t xml:space="preserve">to take </w:t>
      </w:r>
      <w:r w:rsidR="00D720F8" w:rsidRPr="0031682F">
        <w:rPr>
          <w:rFonts w:cstheme="minorHAnsi"/>
        </w:rPr>
        <w:t xml:space="preserve">greater </w:t>
      </w:r>
      <w:r w:rsidR="009F0B3B" w:rsidRPr="0031682F">
        <w:rPr>
          <w:rFonts w:cstheme="minorHAnsi"/>
        </w:rPr>
        <w:t xml:space="preserve">responsibility for preventing and responding to </w:t>
      </w:r>
      <w:r w:rsidR="00B90E23">
        <w:rPr>
          <w:rFonts w:cstheme="minorHAnsi"/>
        </w:rPr>
        <w:t>GBVH</w:t>
      </w:r>
      <w:r w:rsidR="00CE20A1" w:rsidRPr="0031682F">
        <w:rPr>
          <w:rFonts w:cstheme="minorHAnsi"/>
        </w:rPr>
        <w:t xml:space="preserve">. Higher education institutions are just one </w:t>
      </w:r>
      <w:r w:rsidR="00FD165E" w:rsidRPr="0031682F">
        <w:rPr>
          <w:rFonts w:cstheme="minorHAnsi"/>
        </w:rPr>
        <w:t>site</w:t>
      </w:r>
      <w:r w:rsidR="00CE20A1" w:rsidRPr="0031682F">
        <w:rPr>
          <w:rFonts w:cstheme="minorHAnsi"/>
        </w:rPr>
        <w:t xml:space="preserve"> of this wider </w:t>
      </w:r>
      <w:r w:rsidR="00D720F8" w:rsidRPr="0031682F">
        <w:rPr>
          <w:rFonts w:cstheme="minorHAnsi"/>
        </w:rPr>
        <w:t>shift</w:t>
      </w:r>
      <w:r w:rsidR="00CE20A1" w:rsidRPr="0031682F">
        <w:rPr>
          <w:rFonts w:cstheme="minorHAnsi"/>
        </w:rPr>
        <w:t xml:space="preserve"> towards moving beyond criminal justice responses as the sole or primary mode of addressing </w:t>
      </w:r>
      <w:r w:rsidR="00B90E23">
        <w:rPr>
          <w:rFonts w:cstheme="minorHAnsi"/>
        </w:rPr>
        <w:t>GBVH</w:t>
      </w:r>
      <w:r w:rsidR="00CE20A1" w:rsidRPr="0031682F">
        <w:rPr>
          <w:rFonts w:cstheme="minorHAnsi"/>
        </w:rPr>
        <w:t xml:space="preserve"> in society</w:t>
      </w:r>
      <w:r w:rsidR="00FD165E" w:rsidRPr="0031682F">
        <w:rPr>
          <w:rFonts w:cstheme="minorHAnsi"/>
        </w:rPr>
        <w:t xml:space="preserve"> (</w:t>
      </w:r>
      <w:r w:rsidR="00F15675" w:rsidRPr="0031682F">
        <w:rPr>
          <w:rFonts w:cstheme="minorHAnsi"/>
        </w:rPr>
        <w:t xml:space="preserve">Cowan </w:t>
      </w:r>
      <w:r w:rsidR="00723A10">
        <w:rPr>
          <w:rFonts w:cstheme="minorHAnsi"/>
        </w:rPr>
        <w:t>and Munro</w:t>
      </w:r>
      <w:r w:rsidR="00F15675" w:rsidRPr="0031682F">
        <w:rPr>
          <w:rFonts w:cstheme="minorHAnsi"/>
        </w:rPr>
        <w:t>,</w:t>
      </w:r>
      <w:r w:rsidR="00FD165E" w:rsidRPr="0031682F">
        <w:rPr>
          <w:rFonts w:cstheme="minorHAnsi"/>
        </w:rPr>
        <w:t xml:space="preserve"> 2021)</w:t>
      </w:r>
      <w:r w:rsidR="00AC251B" w:rsidRPr="0031682F">
        <w:rPr>
          <w:rFonts w:cstheme="minorHAnsi"/>
        </w:rPr>
        <w:t xml:space="preserve">, and demanding that perpetrators and institutions </w:t>
      </w:r>
      <w:r w:rsidR="00382278" w:rsidRPr="0031682F">
        <w:rPr>
          <w:rFonts w:cstheme="minorHAnsi"/>
        </w:rPr>
        <w:t xml:space="preserve">are held </w:t>
      </w:r>
      <w:r w:rsidR="00AC251B" w:rsidRPr="0031682F">
        <w:rPr>
          <w:rFonts w:cstheme="minorHAnsi"/>
        </w:rPr>
        <w:t>accountable</w:t>
      </w:r>
      <w:r w:rsidR="009F0B3B" w:rsidRPr="0031682F">
        <w:rPr>
          <w:rFonts w:cstheme="minorHAnsi"/>
        </w:rPr>
        <w:t xml:space="preserve">. </w:t>
      </w:r>
      <w:r w:rsidR="00382278" w:rsidRPr="0031682F">
        <w:rPr>
          <w:rFonts w:cstheme="minorHAnsi"/>
        </w:rPr>
        <w:t xml:space="preserve">The common sense assumptions outlined above reveal a snapshot of </w:t>
      </w:r>
      <w:r w:rsidR="00446418" w:rsidRPr="0031682F">
        <w:rPr>
          <w:rFonts w:cstheme="minorHAnsi"/>
        </w:rPr>
        <w:t xml:space="preserve">the progress to date, and the areas where we still need to do work to change our institutions and disciplines. </w:t>
      </w:r>
      <w:r w:rsidR="002A7D44" w:rsidRPr="0031682F">
        <w:rPr>
          <w:rFonts w:cstheme="minorHAnsi"/>
        </w:rPr>
        <w:t>As this book outlines, t</w:t>
      </w:r>
      <w:r w:rsidR="009F0B3B" w:rsidRPr="0031682F">
        <w:rPr>
          <w:rFonts w:cstheme="minorHAnsi"/>
        </w:rPr>
        <w:t xml:space="preserve">his </w:t>
      </w:r>
      <w:r w:rsidR="00446418" w:rsidRPr="0031682F">
        <w:rPr>
          <w:rFonts w:cstheme="minorHAnsi"/>
        </w:rPr>
        <w:t>broader sense of</w:t>
      </w:r>
      <w:r w:rsidR="002A7D44" w:rsidRPr="0031682F">
        <w:rPr>
          <w:rFonts w:cstheme="minorHAnsi"/>
        </w:rPr>
        <w:t xml:space="preserve"> accountability also needs to </w:t>
      </w:r>
      <w:r w:rsidR="009F0B3B" w:rsidRPr="0031682F">
        <w:rPr>
          <w:rFonts w:cstheme="minorHAnsi"/>
        </w:rPr>
        <w:t xml:space="preserve">extend to ‘liminal’ </w:t>
      </w:r>
      <w:r w:rsidR="00FD165E" w:rsidRPr="0031682F">
        <w:rPr>
          <w:rFonts w:cstheme="minorHAnsi"/>
        </w:rPr>
        <w:t xml:space="preserve">and everyday, </w:t>
      </w:r>
      <w:r w:rsidR="00A438EF" w:rsidRPr="0031682F">
        <w:rPr>
          <w:rFonts w:cstheme="minorHAnsi"/>
        </w:rPr>
        <w:t xml:space="preserve">as well as mainstream academic spaces. </w:t>
      </w:r>
    </w:p>
    <w:p w14:paraId="64A3AE10" w14:textId="3A3706D3" w:rsidR="00A0198D" w:rsidRPr="0031682F" w:rsidRDefault="005B54E5" w:rsidP="00B200D3">
      <w:pPr>
        <w:rPr>
          <w:rFonts w:cstheme="minorHAnsi"/>
        </w:rPr>
      </w:pPr>
      <w:r w:rsidRPr="0031682F">
        <w:rPr>
          <w:rFonts w:cstheme="minorHAnsi"/>
        </w:rPr>
        <w:t>Challenges abound</w:t>
      </w:r>
      <w:r w:rsidR="00342EC2" w:rsidRPr="0031682F">
        <w:rPr>
          <w:rFonts w:cstheme="minorHAnsi"/>
        </w:rPr>
        <w:t>:</w:t>
      </w:r>
      <w:r w:rsidR="008B3BA9" w:rsidRPr="0031682F">
        <w:rPr>
          <w:rFonts w:cstheme="minorHAnsi"/>
        </w:rPr>
        <w:t xml:space="preserve"> new generations coming into academia still find they have to break the silence over and over again;</w:t>
      </w:r>
      <w:r w:rsidRPr="0031682F">
        <w:rPr>
          <w:rFonts w:cstheme="minorHAnsi"/>
        </w:rPr>
        <w:t xml:space="preserve"> </w:t>
      </w:r>
      <w:r w:rsidR="00197231" w:rsidRPr="0031682F">
        <w:rPr>
          <w:rFonts w:cstheme="minorHAnsi"/>
        </w:rPr>
        <w:t>institution</w:t>
      </w:r>
      <w:r w:rsidR="00342EC2" w:rsidRPr="0031682F">
        <w:rPr>
          <w:rFonts w:cstheme="minorHAnsi"/>
        </w:rPr>
        <w:t>al</w:t>
      </w:r>
      <w:r w:rsidR="00197231" w:rsidRPr="0031682F">
        <w:rPr>
          <w:rFonts w:cstheme="minorHAnsi"/>
        </w:rPr>
        <w:t xml:space="preserve"> responses </w:t>
      </w:r>
      <w:r w:rsidR="00342EC2" w:rsidRPr="0031682F">
        <w:rPr>
          <w:rFonts w:cstheme="minorHAnsi"/>
        </w:rPr>
        <w:t>too often</w:t>
      </w:r>
      <w:r w:rsidR="00197231" w:rsidRPr="0031682F">
        <w:rPr>
          <w:rFonts w:cstheme="minorHAnsi"/>
        </w:rPr>
        <w:t xml:space="preserve"> take a gender-neutral approach</w:t>
      </w:r>
      <w:r w:rsidR="00342EC2" w:rsidRPr="0031682F">
        <w:rPr>
          <w:rFonts w:cstheme="minorHAnsi"/>
        </w:rPr>
        <w:t xml:space="preserve"> rather than recognising the ways in which gendered power creates a context that enables abuse</w:t>
      </w:r>
      <w:r w:rsidR="00197231" w:rsidRPr="0031682F">
        <w:rPr>
          <w:rFonts w:cstheme="minorHAnsi"/>
        </w:rPr>
        <w:t xml:space="preserve"> (see for example Jackson and Sundaram: 2020)</w:t>
      </w:r>
      <w:r w:rsidR="008B3BA9" w:rsidRPr="0031682F">
        <w:rPr>
          <w:rFonts w:cstheme="minorHAnsi"/>
        </w:rPr>
        <w:t xml:space="preserve">; </w:t>
      </w:r>
      <w:r w:rsidR="002938D3">
        <w:rPr>
          <w:rFonts w:cstheme="minorHAnsi"/>
        </w:rPr>
        <w:t xml:space="preserve">survivor-centred approaches are not the norm (Bull, Page and Bullough, 2019); </w:t>
      </w:r>
      <w:r w:rsidR="00342EC2" w:rsidRPr="0031682F">
        <w:rPr>
          <w:rFonts w:cstheme="minorHAnsi"/>
        </w:rPr>
        <w:t>and e</w:t>
      </w:r>
      <w:r w:rsidRPr="0031682F">
        <w:rPr>
          <w:rFonts w:cstheme="minorHAnsi"/>
        </w:rPr>
        <w:t xml:space="preserve">vidence-based prevention programmes </w:t>
      </w:r>
      <w:r w:rsidR="00723A10">
        <w:rPr>
          <w:rFonts w:cstheme="minorHAnsi"/>
        </w:rPr>
        <w:t>–</w:t>
      </w:r>
      <w:r w:rsidRPr="0031682F">
        <w:rPr>
          <w:rFonts w:cstheme="minorHAnsi"/>
        </w:rPr>
        <w:t xml:space="preserve"> such</w:t>
      </w:r>
      <w:r w:rsidR="00723A10">
        <w:rPr>
          <w:rFonts w:cstheme="minorHAnsi"/>
        </w:rPr>
        <w:t xml:space="preserve"> </w:t>
      </w:r>
      <w:r w:rsidRPr="0031682F">
        <w:rPr>
          <w:rFonts w:cstheme="minorHAnsi"/>
        </w:rPr>
        <w:t xml:space="preserve">as in Egan et al.’s chapter in this volume </w:t>
      </w:r>
      <w:r w:rsidR="008B3BA9" w:rsidRPr="0031682F">
        <w:rPr>
          <w:rFonts w:cstheme="minorHAnsi"/>
        </w:rPr>
        <w:t>–</w:t>
      </w:r>
      <w:r w:rsidRPr="0031682F">
        <w:rPr>
          <w:rFonts w:cstheme="minorHAnsi"/>
        </w:rPr>
        <w:t xml:space="preserve"> </w:t>
      </w:r>
      <w:r w:rsidR="008B3BA9" w:rsidRPr="0031682F">
        <w:rPr>
          <w:rFonts w:cstheme="minorHAnsi"/>
        </w:rPr>
        <w:t>need much more attention and resources</w:t>
      </w:r>
      <w:r w:rsidR="0039069C" w:rsidRPr="0031682F">
        <w:rPr>
          <w:rFonts w:cstheme="minorHAnsi"/>
        </w:rPr>
        <w:t xml:space="preserve">. </w:t>
      </w:r>
      <w:r w:rsidR="00A438EF" w:rsidRPr="0031682F">
        <w:rPr>
          <w:rFonts w:cstheme="minorHAnsi"/>
        </w:rPr>
        <w:t xml:space="preserve">Nevertheless, </w:t>
      </w:r>
      <w:r w:rsidR="0039069C" w:rsidRPr="0031682F">
        <w:rPr>
          <w:rFonts w:cstheme="minorHAnsi"/>
        </w:rPr>
        <w:t>it is important to remain</w:t>
      </w:r>
      <w:r w:rsidR="00A438EF" w:rsidRPr="0031682F">
        <w:rPr>
          <w:rFonts w:cstheme="minorHAnsi"/>
        </w:rPr>
        <w:t xml:space="preserve"> hopeful that the work we are doing – even if the pace of change remains </w:t>
      </w:r>
      <w:r w:rsidR="00B200D3" w:rsidRPr="0031682F">
        <w:rPr>
          <w:rFonts w:cstheme="minorHAnsi"/>
        </w:rPr>
        <w:t>infuriatingly slow – is making a difference</w:t>
      </w:r>
      <w:r w:rsidR="00A0198D" w:rsidRPr="0031682F">
        <w:rPr>
          <w:rFonts w:cstheme="minorHAnsi"/>
        </w:rPr>
        <w:t xml:space="preserve">. Rebecca Solnit </w:t>
      </w:r>
      <w:r w:rsidR="002949AE" w:rsidRPr="0031682F">
        <w:rPr>
          <w:rFonts w:cstheme="minorHAnsi"/>
        </w:rPr>
        <w:t>reminds us that hope is an indispensable resource for activists</w:t>
      </w:r>
      <w:r w:rsidR="006F339F" w:rsidRPr="0031682F">
        <w:rPr>
          <w:rFonts w:cstheme="minorHAnsi"/>
        </w:rPr>
        <w:t>:</w:t>
      </w:r>
    </w:p>
    <w:p w14:paraId="04199A9A" w14:textId="78E927B3" w:rsidR="002949AE" w:rsidRPr="0031682F" w:rsidRDefault="00A0198D" w:rsidP="006F339F">
      <w:pPr>
        <w:ind w:left="720"/>
        <w:rPr>
          <w:rFonts w:cstheme="minorHAnsi"/>
          <w:color w:val="121212"/>
          <w:shd w:val="clear" w:color="auto" w:fill="FFFFFF"/>
        </w:rPr>
      </w:pPr>
      <w:r w:rsidRPr="0031682F">
        <w:rPr>
          <w:rFonts w:cstheme="minorHAnsi"/>
          <w:color w:val="121212"/>
          <w:shd w:val="clear" w:color="auto" w:fill="FFFFFF"/>
        </w:rPr>
        <w:t xml:space="preserve">Hope is a gift you don’t have to surrender, a power you don’t have to throw away. </w:t>
      </w:r>
      <w:r w:rsidR="0011399E" w:rsidRPr="0031682F">
        <w:rPr>
          <w:rFonts w:cstheme="minorHAnsi"/>
          <w:color w:val="121212"/>
          <w:shd w:val="clear" w:color="auto" w:fill="FFFFFF"/>
        </w:rPr>
        <w:t xml:space="preserve">[…] </w:t>
      </w:r>
      <w:r w:rsidR="002949AE" w:rsidRPr="0031682F">
        <w:rPr>
          <w:rFonts w:cstheme="minorHAnsi"/>
          <w:color w:val="121212"/>
          <w:shd w:val="clear" w:color="auto" w:fill="FFFFFF"/>
        </w:rPr>
        <w:t>Hope locates itself in the premises that we don’t know what will happen and that in the spaciousness of uncertainty is room to act. When you recognise uncertainty, you recognise that you may be able to influence the outcomes – you alone or you in concert with a few dozen or several million others. Hope is an embrace of the unknown and the unknowable, an alternative to the certainty of both optimists and pessimists</w:t>
      </w:r>
      <w:r w:rsidR="006F339F" w:rsidRPr="0031682F">
        <w:rPr>
          <w:rFonts w:cstheme="minorHAnsi"/>
          <w:color w:val="121212"/>
          <w:shd w:val="clear" w:color="auto" w:fill="FFFFFF"/>
        </w:rPr>
        <w:t xml:space="preserve"> (Solnit, 2016, n.p.)</w:t>
      </w:r>
    </w:p>
    <w:p w14:paraId="09870F8F" w14:textId="203C7B28" w:rsidR="006F339F" w:rsidRPr="0031682F" w:rsidRDefault="006F339F" w:rsidP="006F339F">
      <w:pPr>
        <w:rPr>
          <w:rFonts w:cstheme="minorHAnsi"/>
          <w:color w:val="121212"/>
          <w:shd w:val="clear" w:color="auto" w:fill="FFFFFF"/>
        </w:rPr>
      </w:pPr>
      <w:r w:rsidRPr="0031682F">
        <w:rPr>
          <w:rFonts w:cstheme="minorHAnsi"/>
          <w:color w:val="121212"/>
          <w:shd w:val="clear" w:color="auto" w:fill="FFFFFF"/>
        </w:rPr>
        <w:t>Let’s hope for change, and in making changes, find hope.</w:t>
      </w:r>
    </w:p>
    <w:p w14:paraId="4B4D83A0" w14:textId="77BF5FA6" w:rsidR="00EE3AB3" w:rsidRPr="0031682F" w:rsidRDefault="00EE3AB3" w:rsidP="006F339F">
      <w:pPr>
        <w:rPr>
          <w:rFonts w:cstheme="minorHAnsi"/>
          <w:color w:val="121212"/>
          <w:shd w:val="clear" w:color="auto" w:fill="FFFFFF"/>
        </w:rPr>
      </w:pPr>
    </w:p>
    <w:p w14:paraId="59CAE823" w14:textId="77777777" w:rsidR="00A840A6" w:rsidRDefault="00A840A6" w:rsidP="006F339F">
      <w:pPr>
        <w:rPr>
          <w:rFonts w:cstheme="minorHAnsi"/>
          <w:b/>
          <w:bCs/>
          <w:color w:val="121212"/>
          <w:shd w:val="clear" w:color="auto" w:fill="FFFFFF"/>
        </w:rPr>
      </w:pPr>
    </w:p>
    <w:p w14:paraId="03C54AEF" w14:textId="5404DE24" w:rsidR="00EE3AB3" w:rsidRPr="0031682F" w:rsidRDefault="00EE3AB3" w:rsidP="006F339F">
      <w:pPr>
        <w:rPr>
          <w:rFonts w:cstheme="minorHAnsi"/>
          <w:b/>
          <w:bCs/>
        </w:rPr>
      </w:pPr>
      <w:r w:rsidRPr="0031682F">
        <w:rPr>
          <w:rFonts w:cstheme="minorHAnsi"/>
          <w:b/>
          <w:bCs/>
          <w:color w:val="121212"/>
          <w:shd w:val="clear" w:color="auto" w:fill="FFFFFF"/>
        </w:rPr>
        <w:lastRenderedPageBreak/>
        <w:t>References</w:t>
      </w:r>
    </w:p>
    <w:p w14:paraId="77A020B0" w14:textId="77777777" w:rsidR="007F538E" w:rsidRPr="007F538E" w:rsidRDefault="007F538E" w:rsidP="007F538E">
      <w:pPr>
        <w:spacing w:after="0" w:line="480" w:lineRule="auto"/>
        <w:rPr>
          <w:rFonts w:eastAsia="Times New Roman" w:cstheme="minorHAnsi"/>
          <w:lang w:eastAsia="en-GB"/>
        </w:rPr>
      </w:pPr>
      <w:r w:rsidRPr="007F538E">
        <w:rPr>
          <w:rFonts w:eastAsia="Times New Roman" w:cstheme="minorHAnsi"/>
          <w:lang w:eastAsia="en-GB"/>
        </w:rPr>
        <w:t xml:space="preserve">Ahmed, S. (2021). </w:t>
      </w:r>
      <w:r w:rsidRPr="007F538E">
        <w:rPr>
          <w:rFonts w:eastAsia="Times New Roman" w:cstheme="minorHAnsi"/>
          <w:i/>
          <w:iCs/>
          <w:lang w:eastAsia="en-GB"/>
        </w:rPr>
        <w:t>Complaint!</w:t>
      </w:r>
      <w:r w:rsidRPr="007F538E">
        <w:rPr>
          <w:rFonts w:eastAsia="Times New Roman" w:cstheme="minorHAnsi"/>
          <w:lang w:eastAsia="en-GB"/>
        </w:rPr>
        <w:t xml:space="preserve"> Duke University Press Books.</w:t>
      </w:r>
    </w:p>
    <w:p w14:paraId="1B0A73EB" w14:textId="77777777" w:rsidR="00552687" w:rsidRPr="00552687" w:rsidRDefault="00552687" w:rsidP="00552687">
      <w:pPr>
        <w:spacing w:after="0" w:line="480" w:lineRule="auto"/>
        <w:rPr>
          <w:rFonts w:eastAsia="Times New Roman" w:cstheme="minorHAnsi"/>
          <w:lang w:eastAsia="en-GB"/>
        </w:rPr>
      </w:pPr>
      <w:r w:rsidRPr="00552687">
        <w:rPr>
          <w:rFonts w:eastAsia="Times New Roman" w:cstheme="minorHAnsi"/>
          <w:lang w:eastAsia="en-GB"/>
        </w:rPr>
        <w:t xml:space="preserve">Aycock, L. M., Hazari, Z., Brewe, E., Clancy, K. B. H., Hodapp, T., &amp; Goertzen, R. M. (2019). Sexual harassment reported by undergraduate female physicists. </w:t>
      </w:r>
      <w:r w:rsidRPr="00552687">
        <w:rPr>
          <w:rFonts w:eastAsia="Times New Roman" w:cstheme="minorHAnsi"/>
          <w:i/>
          <w:iCs/>
          <w:lang w:eastAsia="en-GB"/>
        </w:rPr>
        <w:t>Physical Review Physics Education Research</w:t>
      </w:r>
      <w:r w:rsidRPr="00552687">
        <w:rPr>
          <w:rFonts w:eastAsia="Times New Roman" w:cstheme="minorHAnsi"/>
          <w:lang w:eastAsia="en-GB"/>
        </w:rPr>
        <w:t xml:space="preserve">, </w:t>
      </w:r>
      <w:r w:rsidRPr="00552687">
        <w:rPr>
          <w:rFonts w:eastAsia="Times New Roman" w:cstheme="minorHAnsi"/>
          <w:i/>
          <w:iCs/>
          <w:lang w:eastAsia="en-GB"/>
        </w:rPr>
        <w:t>15</w:t>
      </w:r>
      <w:r w:rsidRPr="00552687">
        <w:rPr>
          <w:rFonts w:eastAsia="Times New Roman" w:cstheme="minorHAnsi"/>
          <w:lang w:eastAsia="en-GB"/>
        </w:rPr>
        <w:t xml:space="preserve">(1), 010121. </w:t>
      </w:r>
      <w:hyperlink r:id="rId5" w:history="1">
        <w:r w:rsidRPr="00552687">
          <w:rPr>
            <w:rFonts w:eastAsia="Times New Roman" w:cstheme="minorHAnsi"/>
            <w:color w:val="0000FF"/>
            <w:u w:val="single"/>
            <w:lang w:eastAsia="en-GB"/>
          </w:rPr>
          <w:t>https://doi.org/10.1103/PhysRevPhysEducRes.15.010121</w:t>
        </w:r>
      </w:hyperlink>
    </w:p>
    <w:p w14:paraId="39FDCB4C" w14:textId="77777777" w:rsidR="00C17A56" w:rsidRPr="00C17A56" w:rsidRDefault="00C17A56" w:rsidP="00C17A56">
      <w:pPr>
        <w:spacing w:after="0" w:line="480" w:lineRule="auto"/>
        <w:rPr>
          <w:rFonts w:eastAsia="Times New Roman" w:cstheme="minorHAnsi"/>
          <w:lang w:eastAsia="en-GB"/>
        </w:rPr>
      </w:pPr>
      <w:r w:rsidRPr="00C17A56">
        <w:rPr>
          <w:rFonts w:eastAsia="Times New Roman" w:cstheme="minorHAnsi"/>
          <w:lang w:eastAsia="en-GB"/>
        </w:rPr>
        <w:t xml:space="preserve">Bradford, D., &amp; Crema, E. R. (2022). </w:t>
      </w:r>
      <w:r w:rsidRPr="00C17A56">
        <w:rPr>
          <w:rFonts w:eastAsia="Times New Roman" w:cstheme="minorHAnsi"/>
          <w:i/>
          <w:iCs/>
          <w:lang w:eastAsia="en-GB"/>
        </w:rPr>
        <w:t>Risk factors for the occurrence of sexual misconduct during archaeological and anthropological fieldwork</w:t>
      </w:r>
      <w:r w:rsidRPr="00C17A56">
        <w:rPr>
          <w:rFonts w:eastAsia="Times New Roman" w:cstheme="minorHAnsi"/>
          <w:lang w:eastAsia="en-GB"/>
        </w:rPr>
        <w:t xml:space="preserve">. SocArXiv. </w:t>
      </w:r>
      <w:hyperlink r:id="rId6" w:history="1">
        <w:r w:rsidRPr="00C17A56">
          <w:rPr>
            <w:rFonts w:eastAsia="Times New Roman" w:cstheme="minorHAnsi"/>
            <w:color w:val="0000FF"/>
            <w:u w:val="single"/>
            <w:lang w:eastAsia="en-GB"/>
          </w:rPr>
          <w:t>https://doi.org/10.31235/osf.io/a38d2</w:t>
        </w:r>
      </w:hyperlink>
    </w:p>
    <w:p w14:paraId="6F3DC662" w14:textId="77777777" w:rsidR="000E5567" w:rsidRPr="000E5567" w:rsidRDefault="000E5567" w:rsidP="000E5567">
      <w:pPr>
        <w:spacing w:after="0" w:line="480" w:lineRule="auto"/>
        <w:rPr>
          <w:rFonts w:eastAsia="Times New Roman" w:cstheme="minorHAnsi"/>
          <w:lang w:eastAsia="en-GB"/>
        </w:rPr>
      </w:pPr>
      <w:r w:rsidRPr="000E5567">
        <w:rPr>
          <w:rFonts w:eastAsia="Times New Roman" w:cstheme="minorHAnsi"/>
          <w:lang w:eastAsia="en-GB"/>
        </w:rPr>
        <w:t xml:space="preserve">Brodsky, A. (2021). </w:t>
      </w:r>
      <w:r w:rsidRPr="000E5567">
        <w:rPr>
          <w:rFonts w:eastAsia="Times New Roman" w:cstheme="minorHAnsi"/>
          <w:i/>
          <w:iCs/>
          <w:lang w:eastAsia="en-GB"/>
        </w:rPr>
        <w:t>Sexual Justice: Supporting Victims, Ensuring Due Process, and Resisting the Conservative Backlash</w:t>
      </w:r>
      <w:r w:rsidRPr="000E5567">
        <w:rPr>
          <w:rFonts w:eastAsia="Times New Roman" w:cstheme="minorHAnsi"/>
          <w:lang w:eastAsia="en-GB"/>
        </w:rPr>
        <w:t>. Metropolitan Books.</w:t>
      </w:r>
    </w:p>
    <w:p w14:paraId="6A969906" w14:textId="040E62E0" w:rsidR="007F538E" w:rsidRPr="007F538E" w:rsidRDefault="007F538E" w:rsidP="007F538E">
      <w:pPr>
        <w:spacing w:after="0" w:line="480" w:lineRule="auto"/>
        <w:rPr>
          <w:rFonts w:eastAsia="Times New Roman" w:cstheme="minorHAnsi"/>
          <w:lang w:eastAsia="en-GB"/>
        </w:rPr>
      </w:pPr>
      <w:r w:rsidRPr="007F538E">
        <w:rPr>
          <w:rFonts w:eastAsia="Times New Roman" w:cstheme="minorHAnsi"/>
          <w:lang w:eastAsia="en-GB"/>
        </w:rPr>
        <w:t xml:space="preserve">Bull, A. (2021). Catalysts and rationales for reporting staff sexual misconduct to UK higher education institutions. </w:t>
      </w:r>
      <w:r w:rsidRPr="007F538E">
        <w:rPr>
          <w:rFonts w:eastAsia="Times New Roman" w:cstheme="minorHAnsi"/>
          <w:i/>
          <w:iCs/>
          <w:lang w:eastAsia="en-GB"/>
        </w:rPr>
        <w:t>Journal of Gender-Based Violence</w:t>
      </w:r>
      <w:r w:rsidRPr="007F538E">
        <w:rPr>
          <w:rFonts w:eastAsia="Times New Roman" w:cstheme="minorHAnsi"/>
          <w:lang w:eastAsia="en-GB"/>
        </w:rPr>
        <w:t xml:space="preserve">. </w:t>
      </w:r>
      <w:hyperlink r:id="rId7" w:history="1">
        <w:r w:rsidRPr="007F538E">
          <w:rPr>
            <w:rFonts w:eastAsia="Times New Roman" w:cstheme="minorHAnsi"/>
            <w:color w:val="0000FF"/>
            <w:u w:val="single"/>
            <w:lang w:eastAsia="en-GB"/>
          </w:rPr>
          <w:t>https://doi.org/10.1332/239868021X16270572218631</w:t>
        </w:r>
      </w:hyperlink>
    </w:p>
    <w:p w14:paraId="102C5700" w14:textId="3161E8CD" w:rsidR="00B31977" w:rsidRPr="00B31977" w:rsidRDefault="00B31977" w:rsidP="00B31977">
      <w:pPr>
        <w:spacing w:after="0" w:line="480" w:lineRule="auto"/>
        <w:rPr>
          <w:rFonts w:eastAsia="Times New Roman" w:cstheme="minorHAnsi"/>
          <w:lang w:eastAsia="en-GB"/>
        </w:rPr>
      </w:pPr>
      <w:r w:rsidRPr="00B31977">
        <w:rPr>
          <w:rFonts w:eastAsia="Times New Roman" w:cstheme="minorHAnsi"/>
          <w:lang w:eastAsia="en-GB"/>
        </w:rPr>
        <w:t xml:space="preserve">Bull, A. (Forthcoming). Classical music after #MeToo: Tackling sexual harassment and misconduct in music higher education institutions. In R. Reitsamer &amp; R. Prokop (Eds.), </w:t>
      </w:r>
      <w:r w:rsidRPr="00B31977">
        <w:rPr>
          <w:rFonts w:eastAsia="Times New Roman" w:cstheme="minorHAnsi"/>
          <w:i/>
          <w:iCs/>
          <w:lang w:eastAsia="en-GB"/>
        </w:rPr>
        <w:t>Higher Music Education and Employability in a Neoliberal World</w:t>
      </w:r>
      <w:r w:rsidRPr="00B31977">
        <w:rPr>
          <w:rFonts w:eastAsia="Times New Roman" w:cstheme="minorHAnsi"/>
          <w:lang w:eastAsia="en-GB"/>
        </w:rPr>
        <w:t>. Bloomsbury.</w:t>
      </w:r>
    </w:p>
    <w:p w14:paraId="2E55D5E2" w14:textId="430824A0" w:rsidR="00CB4CA9" w:rsidRPr="006C2D04" w:rsidRDefault="00CB4CA9" w:rsidP="00CB4CA9">
      <w:pPr>
        <w:spacing w:after="0" w:line="480" w:lineRule="auto"/>
        <w:rPr>
          <w:rFonts w:eastAsia="Times New Roman" w:cstheme="minorHAnsi"/>
          <w:lang w:eastAsia="en-GB"/>
        </w:rPr>
      </w:pPr>
      <w:r w:rsidRPr="006C2D04">
        <w:rPr>
          <w:rFonts w:eastAsia="Times New Roman" w:cstheme="minorHAnsi"/>
          <w:lang w:eastAsia="en-GB"/>
        </w:rPr>
        <w:t xml:space="preserve">Bull, A., &amp; Rye, R. (2018). </w:t>
      </w:r>
      <w:r w:rsidRPr="006C2D04">
        <w:rPr>
          <w:rFonts w:eastAsia="Times New Roman" w:cstheme="minorHAnsi"/>
          <w:i/>
          <w:iCs/>
          <w:lang w:eastAsia="en-GB"/>
        </w:rPr>
        <w:t>Silencing students: Institutional responses to staff sexual misconduct in higher education</w:t>
      </w:r>
      <w:r w:rsidRPr="006C2D04">
        <w:rPr>
          <w:rFonts w:eastAsia="Times New Roman" w:cstheme="minorHAnsi"/>
          <w:lang w:eastAsia="en-GB"/>
        </w:rPr>
        <w:t xml:space="preserve">. The 1752 Group/University of Portsmouth. </w:t>
      </w:r>
      <w:hyperlink r:id="rId8" w:history="1">
        <w:r w:rsidRPr="006C2D04">
          <w:rPr>
            <w:rFonts w:eastAsia="Times New Roman" w:cstheme="minorHAnsi"/>
            <w:color w:val="0000FF"/>
            <w:u w:val="single"/>
            <w:lang w:eastAsia="en-GB"/>
          </w:rPr>
          <w:t>https://1752group.files.wordpress.com/2018/09/silencing-students_the-1752-group.pdf</w:t>
        </w:r>
      </w:hyperlink>
    </w:p>
    <w:p w14:paraId="186A212D" w14:textId="77777777" w:rsidR="007F538E" w:rsidRPr="007F538E" w:rsidRDefault="007F538E" w:rsidP="007F538E">
      <w:pPr>
        <w:spacing w:after="0" w:line="480" w:lineRule="auto"/>
        <w:rPr>
          <w:rFonts w:eastAsia="Times New Roman" w:cstheme="minorHAnsi"/>
          <w:lang w:eastAsia="en-GB"/>
        </w:rPr>
      </w:pPr>
      <w:r w:rsidRPr="007F538E">
        <w:rPr>
          <w:rFonts w:eastAsia="Times New Roman" w:cstheme="minorHAnsi"/>
          <w:lang w:eastAsia="en-GB"/>
        </w:rPr>
        <w:t xml:space="preserve">Bull, A., Page, Tiffany, &amp; Bullough, J. (2019). What would a survivor-centred higher education sector look like? In S. Gamsu (Ed.), </w:t>
      </w:r>
      <w:r w:rsidRPr="007F538E">
        <w:rPr>
          <w:rFonts w:eastAsia="Times New Roman" w:cstheme="minorHAnsi"/>
          <w:i/>
          <w:iCs/>
          <w:lang w:eastAsia="en-GB"/>
        </w:rPr>
        <w:t>A New Vision for Further and Higher Education</w:t>
      </w:r>
      <w:r w:rsidRPr="007F538E">
        <w:rPr>
          <w:rFonts w:eastAsia="Times New Roman" w:cstheme="minorHAnsi"/>
          <w:lang w:eastAsia="en-GB"/>
        </w:rPr>
        <w:t xml:space="preserve"> (pp. 73–82). Centre for Labour and Social Studies. </w:t>
      </w:r>
      <w:hyperlink r:id="rId9" w:history="1">
        <w:r w:rsidRPr="007F538E">
          <w:rPr>
            <w:rFonts w:eastAsia="Times New Roman" w:cstheme="minorHAnsi"/>
            <w:color w:val="0000FF"/>
            <w:u w:val="single"/>
            <w:lang w:eastAsia="en-GB"/>
          </w:rPr>
          <w:t>http://classonline.org.uk/docs/A_New_Vision_For_Further_and_Higher_Education_220519_1647_forwebv1.pdf</w:t>
        </w:r>
      </w:hyperlink>
    </w:p>
    <w:p w14:paraId="702174DA" w14:textId="2DFB0A68" w:rsidR="006C2D04" w:rsidRPr="006C2D04" w:rsidRDefault="006C2D04" w:rsidP="00CB4CA9">
      <w:pPr>
        <w:spacing w:after="0" w:line="480" w:lineRule="auto"/>
        <w:rPr>
          <w:rFonts w:eastAsia="Times New Roman" w:cstheme="minorHAnsi"/>
          <w:lang w:eastAsia="en-GB"/>
        </w:rPr>
      </w:pPr>
      <w:r w:rsidRPr="006C2D04">
        <w:rPr>
          <w:rFonts w:eastAsia="Times New Roman" w:cstheme="minorHAnsi"/>
          <w:lang w:eastAsia="en-GB"/>
        </w:rPr>
        <w:t xml:space="preserve">Bull, A., Calvert-Lee, G., &amp; Page, T. (2020). Discrimination in the complaints process: Introducing the sector guidance to address staff sexual misconduct in UK higher education. </w:t>
      </w:r>
      <w:r w:rsidRPr="006C2D04">
        <w:rPr>
          <w:rFonts w:eastAsia="Times New Roman" w:cstheme="minorHAnsi"/>
          <w:i/>
          <w:iCs/>
          <w:lang w:eastAsia="en-GB"/>
        </w:rPr>
        <w:t>Perspectives: Policy and Practice in Higher Education</w:t>
      </w:r>
      <w:r w:rsidRPr="006C2D04">
        <w:rPr>
          <w:rFonts w:eastAsia="Times New Roman" w:cstheme="minorHAnsi"/>
          <w:lang w:eastAsia="en-GB"/>
        </w:rPr>
        <w:t xml:space="preserve">, </w:t>
      </w:r>
      <w:r w:rsidRPr="006C2D04">
        <w:rPr>
          <w:rFonts w:eastAsia="Times New Roman" w:cstheme="minorHAnsi"/>
          <w:i/>
          <w:iCs/>
          <w:lang w:eastAsia="en-GB"/>
        </w:rPr>
        <w:t>25</w:t>
      </w:r>
      <w:r w:rsidRPr="006C2D04">
        <w:rPr>
          <w:rFonts w:eastAsia="Times New Roman" w:cstheme="minorHAnsi"/>
          <w:lang w:eastAsia="en-GB"/>
        </w:rPr>
        <w:t xml:space="preserve">(2), 72–77. </w:t>
      </w:r>
      <w:hyperlink r:id="rId10" w:history="1">
        <w:r w:rsidRPr="006C2D04">
          <w:rPr>
            <w:rFonts w:eastAsia="Times New Roman" w:cstheme="minorHAnsi"/>
            <w:color w:val="0000FF"/>
            <w:u w:val="single"/>
            <w:lang w:eastAsia="en-GB"/>
          </w:rPr>
          <w:t>https://doi.org/10.1080/13603108.2020.1823512</w:t>
        </w:r>
      </w:hyperlink>
    </w:p>
    <w:p w14:paraId="24AC05DC" w14:textId="1DB6E7A3" w:rsidR="001078FC" w:rsidRPr="001078FC" w:rsidRDefault="001078FC" w:rsidP="001078FC">
      <w:pPr>
        <w:spacing w:after="0" w:line="480" w:lineRule="auto"/>
        <w:rPr>
          <w:rFonts w:eastAsia="Times New Roman" w:cstheme="minorHAnsi"/>
          <w:lang w:eastAsia="en-GB"/>
        </w:rPr>
      </w:pPr>
      <w:r w:rsidRPr="001078FC">
        <w:rPr>
          <w:rFonts w:eastAsia="Times New Roman" w:cstheme="minorHAnsi"/>
          <w:lang w:eastAsia="en-GB"/>
        </w:rPr>
        <w:lastRenderedPageBreak/>
        <w:t>Bull, A., &amp; Page, T. (2021</w:t>
      </w:r>
      <w:r w:rsidR="006C2D04" w:rsidRPr="0031682F">
        <w:rPr>
          <w:rFonts w:eastAsia="Times New Roman" w:cstheme="minorHAnsi"/>
          <w:lang w:eastAsia="en-GB"/>
        </w:rPr>
        <w:t>a</w:t>
      </w:r>
      <w:r w:rsidRPr="001078FC">
        <w:rPr>
          <w:rFonts w:eastAsia="Times New Roman" w:cstheme="minorHAnsi"/>
          <w:lang w:eastAsia="en-GB"/>
        </w:rPr>
        <w:t xml:space="preserve">). Students’ accounts of grooming and boundary-blurring behaviours by academic staff in UK higher education. </w:t>
      </w:r>
      <w:r w:rsidRPr="001078FC">
        <w:rPr>
          <w:rFonts w:eastAsia="Times New Roman" w:cstheme="minorHAnsi"/>
          <w:i/>
          <w:iCs/>
          <w:lang w:eastAsia="en-GB"/>
        </w:rPr>
        <w:t>Gender and Education</w:t>
      </w:r>
      <w:r w:rsidRPr="001078FC">
        <w:rPr>
          <w:rFonts w:eastAsia="Times New Roman" w:cstheme="minorHAnsi"/>
          <w:lang w:eastAsia="en-GB"/>
        </w:rPr>
        <w:t xml:space="preserve">, 1–16. </w:t>
      </w:r>
      <w:hyperlink r:id="rId11" w:history="1">
        <w:r w:rsidRPr="001078FC">
          <w:rPr>
            <w:rFonts w:eastAsia="Times New Roman" w:cstheme="minorHAnsi"/>
            <w:color w:val="0000FF"/>
            <w:u w:val="single"/>
            <w:lang w:eastAsia="en-GB"/>
          </w:rPr>
          <w:t>https://doi.org/10.1080/09540253.2021.1884199</w:t>
        </w:r>
      </w:hyperlink>
    </w:p>
    <w:p w14:paraId="1B1A7678" w14:textId="6FA167D4" w:rsidR="00CB4CA9" w:rsidRPr="00CB4CA9" w:rsidRDefault="00CB4CA9" w:rsidP="00CB4CA9">
      <w:pPr>
        <w:spacing w:after="0" w:line="480" w:lineRule="auto"/>
        <w:rPr>
          <w:rFonts w:eastAsia="Times New Roman" w:cstheme="minorHAnsi"/>
          <w:lang w:eastAsia="en-GB"/>
        </w:rPr>
      </w:pPr>
      <w:r w:rsidRPr="00CB4CA9">
        <w:rPr>
          <w:rFonts w:eastAsia="Times New Roman" w:cstheme="minorHAnsi"/>
          <w:lang w:eastAsia="en-GB"/>
        </w:rPr>
        <w:t>Bull, A., &amp; Page, T. (2021</w:t>
      </w:r>
      <w:r w:rsidRPr="0031682F">
        <w:rPr>
          <w:rFonts w:eastAsia="Times New Roman" w:cstheme="minorHAnsi"/>
          <w:lang w:eastAsia="en-GB"/>
        </w:rPr>
        <w:t>b</w:t>
      </w:r>
      <w:r w:rsidRPr="00CB4CA9">
        <w:rPr>
          <w:rFonts w:eastAsia="Times New Roman" w:cstheme="minorHAnsi"/>
          <w:lang w:eastAsia="en-GB"/>
        </w:rPr>
        <w:t xml:space="preserve">). The Governance of Complaints in UK Higher Education: Critically Examining ‘Remedies’ for Staff Sexual Misconduct. </w:t>
      </w:r>
      <w:r w:rsidRPr="00CB4CA9">
        <w:rPr>
          <w:rFonts w:eastAsia="Times New Roman" w:cstheme="minorHAnsi"/>
          <w:i/>
          <w:iCs/>
          <w:lang w:eastAsia="en-GB"/>
        </w:rPr>
        <w:t>Social &amp; Legal Studies</w:t>
      </w:r>
      <w:r w:rsidRPr="00CB4CA9">
        <w:rPr>
          <w:rFonts w:eastAsia="Times New Roman" w:cstheme="minorHAnsi"/>
          <w:lang w:eastAsia="en-GB"/>
        </w:rPr>
        <w:t xml:space="preserve">, 09646639211002243. </w:t>
      </w:r>
      <w:hyperlink r:id="rId12" w:history="1">
        <w:r w:rsidRPr="00CB4CA9">
          <w:rPr>
            <w:rFonts w:eastAsia="Times New Roman" w:cstheme="minorHAnsi"/>
            <w:color w:val="0000FF"/>
            <w:u w:val="single"/>
            <w:lang w:eastAsia="en-GB"/>
          </w:rPr>
          <w:t>https://doi.org/10.1177/09646639211002243</w:t>
        </w:r>
      </w:hyperlink>
    </w:p>
    <w:p w14:paraId="2999DBBD" w14:textId="77777777" w:rsidR="00540410" w:rsidRPr="00540410" w:rsidRDefault="00540410" w:rsidP="00540410">
      <w:pPr>
        <w:spacing w:after="0" w:line="480" w:lineRule="auto"/>
        <w:rPr>
          <w:rFonts w:eastAsia="Times New Roman" w:cstheme="minorHAnsi"/>
          <w:lang w:eastAsia="en-GB"/>
        </w:rPr>
      </w:pPr>
      <w:r w:rsidRPr="00540410">
        <w:rPr>
          <w:rFonts w:eastAsia="Times New Roman" w:cstheme="minorHAnsi"/>
          <w:lang w:eastAsia="en-GB"/>
        </w:rPr>
        <w:t xml:space="preserve">Busby, K., &amp; Birenbaum, J. (2020). </w:t>
      </w:r>
      <w:r w:rsidRPr="00540410">
        <w:rPr>
          <w:rFonts w:eastAsia="Times New Roman" w:cstheme="minorHAnsi"/>
          <w:i/>
          <w:iCs/>
          <w:lang w:eastAsia="en-GB"/>
        </w:rPr>
        <w:t>Achieving Fairness: A Guide to Campus Sexual Violence Complaints</w:t>
      </w:r>
      <w:r w:rsidRPr="00540410">
        <w:rPr>
          <w:rFonts w:eastAsia="Times New Roman" w:cstheme="minorHAnsi"/>
          <w:lang w:eastAsia="en-GB"/>
        </w:rPr>
        <w:t>. Thompson Reuters Canada.</w:t>
      </w:r>
    </w:p>
    <w:p w14:paraId="15C8F176" w14:textId="3A5C9273" w:rsidR="00DE34C2" w:rsidRPr="0031682F" w:rsidRDefault="00E00BC0" w:rsidP="00DE34C2">
      <w:pPr>
        <w:spacing w:after="0" w:line="480" w:lineRule="auto"/>
        <w:rPr>
          <w:rFonts w:eastAsia="Times New Roman" w:cstheme="minorHAnsi"/>
          <w:lang w:eastAsia="en-GB"/>
        </w:rPr>
      </w:pPr>
      <w:r w:rsidRPr="00E00BC0">
        <w:rPr>
          <w:rFonts w:eastAsia="Times New Roman" w:cstheme="minorHAnsi"/>
          <w:lang w:eastAsia="en-GB"/>
        </w:rPr>
        <w:t xml:space="preserve">Cantalupo, N. C., &amp; Kidder, W. C. (2017). </w:t>
      </w:r>
      <w:r w:rsidRPr="00E00BC0">
        <w:rPr>
          <w:rFonts w:eastAsia="Times New Roman" w:cstheme="minorHAnsi"/>
          <w:i/>
          <w:iCs/>
          <w:lang w:eastAsia="en-GB"/>
        </w:rPr>
        <w:t>A Systematic Look at a Serial Problem: Sexual Harassment of Students by University Faculty</w:t>
      </w:r>
      <w:r w:rsidRPr="00E00BC0">
        <w:rPr>
          <w:rFonts w:eastAsia="Times New Roman" w:cstheme="minorHAnsi"/>
          <w:lang w:eastAsia="en-GB"/>
        </w:rPr>
        <w:t xml:space="preserve"> (SSRN Scholarly Paper ID 2971447). Social Science Research Network. </w:t>
      </w:r>
      <w:hyperlink r:id="rId13" w:history="1">
        <w:r w:rsidRPr="00E00BC0">
          <w:rPr>
            <w:rFonts w:eastAsia="Times New Roman" w:cstheme="minorHAnsi"/>
            <w:color w:val="0000FF"/>
            <w:u w:val="single"/>
            <w:lang w:eastAsia="en-GB"/>
          </w:rPr>
          <w:t>https://papers.ssrn.com/abstract=2971447</w:t>
        </w:r>
      </w:hyperlink>
    </w:p>
    <w:p w14:paraId="65D117F4" w14:textId="77777777" w:rsidR="008C0EC6" w:rsidRPr="008C0EC6" w:rsidRDefault="008C0EC6" w:rsidP="008C0EC6">
      <w:pPr>
        <w:spacing w:after="0" w:line="480" w:lineRule="auto"/>
        <w:rPr>
          <w:rFonts w:eastAsia="Times New Roman" w:cstheme="minorHAnsi"/>
          <w:lang w:eastAsia="en-GB"/>
        </w:rPr>
      </w:pPr>
      <w:r w:rsidRPr="008C0EC6">
        <w:rPr>
          <w:rFonts w:eastAsia="Times New Roman" w:cstheme="minorHAnsi"/>
          <w:lang w:eastAsia="en-GB"/>
        </w:rPr>
        <w:t xml:space="preserve">Cardwell, E., &amp; Hitchen. (2022, January 6). Intervention – “Precarity, Transactions, Insecure Attachments: Reflections on Participating in Degrees of Abuse”. </w:t>
      </w:r>
      <w:r w:rsidRPr="008C0EC6">
        <w:rPr>
          <w:rFonts w:eastAsia="Times New Roman" w:cstheme="minorHAnsi"/>
          <w:i/>
          <w:iCs/>
          <w:lang w:eastAsia="en-GB"/>
        </w:rPr>
        <w:t>Antipode Online</w:t>
      </w:r>
      <w:r w:rsidRPr="008C0EC6">
        <w:rPr>
          <w:rFonts w:eastAsia="Times New Roman" w:cstheme="minorHAnsi"/>
          <w:lang w:eastAsia="en-GB"/>
        </w:rPr>
        <w:t xml:space="preserve">. </w:t>
      </w:r>
      <w:hyperlink r:id="rId14" w:history="1">
        <w:r w:rsidRPr="008C0EC6">
          <w:rPr>
            <w:rFonts w:eastAsia="Times New Roman" w:cstheme="minorHAnsi"/>
            <w:color w:val="0000FF"/>
            <w:u w:val="single"/>
            <w:lang w:eastAsia="en-GB"/>
          </w:rPr>
          <w:t>https://antipodeonline.org/2022/01/06/precarity-transactions-insecure-attachments/</w:t>
        </w:r>
      </w:hyperlink>
    </w:p>
    <w:p w14:paraId="41BEC23A" w14:textId="77777777" w:rsidR="006F76BF" w:rsidRPr="006F76BF" w:rsidRDefault="006F76BF" w:rsidP="006F76BF">
      <w:pPr>
        <w:spacing w:after="0" w:line="480" w:lineRule="auto"/>
        <w:rPr>
          <w:rFonts w:eastAsia="Times New Roman" w:cstheme="minorHAnsi"/>
          <w:lang w:eastAsia="en-GB"/>
        </w:rPr>
      </w:pPr>
      <w:r w:rsidRPr="006F76BF">
        <w:rPr>
          <w:rFonts w:eastAsia="Times New Roman" w:cstheme="minorHAnsi"/>
          <w:lang w:eastAsia="en-GB"/>
        </w:rPr>
        <w:t xml:space="preserve">Clancy, K. B. H., Lee, K. M. N., Rodgers, E. M., &amp; Richey, C. (2017). Double jeopardy in astronomy and planetary science: Women of color face greater risks of gendered and racial harassment. </w:t>
      </w:r>
      <w:r w:rsidRPr="006F76BF">
        <w:rPr>
          <w:rFonts w:eastAsia="Times New Roman" w:cstheme="minorHAnsi"/>
          <w:i/>
          <w:iCs/>
          <w:lang w:eastAsia="en-GB"/>
        </w:rPr>
        <w:t>Journal of Geophysical Research: Planets</w:t>
      </w:r>
      <w:r w:rsidRPr="006F76BF">
        <w:rPr>
          <w:rFonts w:eastAsia="Times New Roman" w:cstheme="minorHAnsi"/>
          <w:lang w:eastAsia="en-GB"/>
        </w:rPr>
        <w:t xml:space="preserve">, </w:t>
      </w:r>
      <w:r w:rsidRPr="006F76BF">
        <w:rPr>
          <w:rFonts w:eastAsia="Times New Roman" w:cstheme="minorHAnsi"/>
          <w:i/>
          <w:iCs/>
          <w:lang w:eastAsia="en-GB"/>
        </w:rPr>
        <w:t>122</w:t>
      </w:r>
      <w:r w:rsidRPr="006F76BF">
        <w:rPr>
          <w:rFonts w:eastAsia="Times New Roman" w:cstheme="minorHAnsi"/>
          <w:lang w:eastAsia="en-GB"/>
        </w:rPr>
        <w:t xml:space="preserve">(7), 1610–1623. </w:t>
      </w:r>
      <w:hyperlink r:id="rId15" w:history="1">
        <w:r w:rsidRPr="006F76BF">
          <w:rPr>
            <w:rFonts w:eastAsia="Times New Roman" w:cstheme="minorHAnsi"/>
            <w:color w:val="0000FF"/>
            <w:u w:val="single"/>
            <w:lang w:eastAsia="en-GB"/>
          </w:rPr>
          <w:t>https://doi.org/10.1002/2017JE005256</w:t>
        </w:r>
      </w:hyperlink>
    </w:p>
    <w:p w14:paraId="6266592C" w14:textId="77777777" w:rsidR="00C665F6" w:rsidRDefault="00C665F6" w:rsidP="00C665F6">
      <w:pPr>
        <w:spacing w:line="480" w:lineRule="auto"/>
      </w:pPr>
      <w:r>
        <w:t xml:space="preserve">Cowan, S., &amp; Munro, V. E. (2021). Seeking campus justice: Challenging the ‘criminal justice drift’ in United Kingdom university responses to student sexual violence and misconduct. </w:t>
      </w:r>
      <w:r>
        <w:rPr>
          <w:i/>
          <w:iCs/>
        </w:rPr>
        <w:t>Journal of Law and Society</w:t>
      </w:r>
      <w:r>
        <w:t xml:space="preserve">, </w:t>
      </w:r>
      <w:r>
        <w:rPr>
          <w:i/>
          <w:iCs/>
        </w:rPr>
        <w:t>48</w:t>
      </w:r>
      <w:r>
        <w:t xml:space="preserve">(3), 308–333. </w:t>
      </w:r>
      <w:hyperlink r:id="rId16" w:history="1">
        <w:r>
          <w:rPr>
            <w:rStyle w:val="Hyperlink"/>
          </w:rPr>
          <w:t>https://doi.org/10.1111/jols.12306</w:t>
        </w:r>
      </w:hyperlink>
    </w:p>
    <w:p w14:paraId="44F96E0A" w14:textId="0D6F98AE" w:rsidR="00A861CE" w:rsidRPr="00A861CE" w:rsidRDefault="00A861CE" w:rsidP="00A861CE">
      <w:pPr>
        <w:spacing w:after="0" w:line="480" w:lineRule="auto"/>
        <w:rPr>
          <w:rFonts w:eastAsia="Times New Roman" w:cstheme="minorHAnsi"/>
          <w:lang w:eastAsia="en-GB"/>
        </w:rPr>
      </w:pPr>
      <w:r w:rsidRPr="00A861CE">
        <w:rPr>
          <w:rFonts w:eastAsia="Times New Roman" w:cstheme="minorHAnsi"/>
          <w:lang w:eastAsia="en-GB"/>
        </w:rPr>
        <w:t xml:space="preserve">Heywood, W., Myers, P., Powell, A., Meikle, G., &amp; Nguyen, D. (2021). </w:t>
      </w:r>
      <w:r w:rsidRPr="00A861CE">
        <w:rPr>
          <w:rFonts w:eastAsia="Times New Roman" w:cstheme="minorHAnsi"/>
          <w:i/>
          <w:iCs/>
          <w:lang w:eastAsia="en-GB"/>
        </w:rPr>
        <w:t>Report on the prevalence of sexual  harassment and sexual assault among university students in 2021</w:t>
      </w:r>
      <w:r w:rsidRPr="00A861CE">
        <w:rPr>
          <w:rFonts w:eastAsia="Times New Roman" w:cstheme="minorHAnsi"/>
          <w:lang w:eastAsia="en-GB"/>
        </w:rPr>
        <w:t xml:space="preserve">. Social Research Centre. </w:t>
      </w:r>
      <w:hyperlink r:id="rId17" w:history="1">
        <w:r w:rsidRPr="00A861CE">
          <w:rPr>
            <w:rFonts w:eastAsia="Times New Roman" w:cstheme="minorHAnsi"/>
            <w:color w:val="0000FF"/>
            <w:u w:val="single"/>
            <w:lang w:eastAsia="en-GB"/>
          </w:rPr>
          <w:t>https://assets.website-files.com/61c2583e4730c0d5b054b8ab/623a86e60a6118c69da92d37_2021%20NSSS%20National%20Report.pdf</w:t>
        </w:r>
      </w:hyperlink>
    </w:p>
    <w:p w14:paraId="3B08B8A6" w14:textId="77777777" w:rsidR="00DE34C2" w:rsidRPr="0031682F" w:rsidRDefault="00DE34C2" w:rsidP="00DE34C2">
      <w:pPr>
        <w:spacing w:after="0" w:line="480" w:lineRule="auto"/>
        <w:rPr>
          <w:rFonts w:eastAsia="Times New Roman" w:cstheme="minorHAnsi"/>
          <w:lang w:eastAsia="en-GB"/>
        </w:rPr>
      </w:pPr>
    </w:p>
    <w:p w14:paraId="5712F479" w14:textId="7BDC6697" w:rsidR="00DC0A18" w:rsidRPr="0031682F" w:rsidRDefault="00DE34C2" w:rsidP="00833FC9">
      <w:pPr>
        <w:spacing w:after="0" w:line="480" w:lineRule="auto"/>
        <w:rPr>
          <w:rFonts w:eastAsia="Times New Roman" w:cstheme="minorHAnsi"/>
          <w:lang w:eastAsia="en-GB"/>
        </w:rPr>
      </w:pPr>
      <w:r w:rsidRPr="0031682F">
        <w:rPr>
          <w:rFonts w:eastAsia="Times New Roman" w:cstheme="minorHAnsi"/>
          <w:lang w:eastAsia="en-GB"/>
        </w:rPr>
        <w:lastRenderedPageBreak/>
        <w:t xml:space="preserve">Chantler, K., Fenton, R., Donovan, C., &amp; Bracewell, K. (2019). </w:t>
      </w:r>
      <w:r w:rsidRPr="0031682F">
        <w:rPr>
          <w:rFonts w:eastAsia="Times New Roman" w:cstheme="minorHAnsi"/>
          <w:i/>
          <w:iCs/>
          <w:lang w:eastAsia="en-GB"/>
        </w:rPr>
        <w:t>Findings from a national study to investigate how British universities are challenging sexual violence and harassment on campus</w:t>
      </w:r>
      <w:r w:rsidRPr="0031682F">
        <w:rPr>
          <w:rFonts w:eastAsia="Times New Roman" w:cstheme="minorHAnsi"/>
          <w:lang w:eastAsia="en-GB"/>
        </w:rPr>
        <w:t xml:space="preserve">. </w:t>
      </w:r>
      <w:hyperlink r:id="rId18" w:history="1">
        <w:r w:rsidRPr="0031682F">
          <w:rPr>
            <w:rFonts w:eastAsia="Times New Roman" w:cstheme="minorHAnsi"/>
            <w:color w:val="0000FF"/>
            <w:u w:val="single"/>
            <w:lang w:eastAsia="en-GB"/>
          </w:rPr>
          <w:t>https://ore.exeter.ac.uk/repository/bitstream/handle/10871/39248/13.10.19%20Briefing%20Paper.pdf?sequence=1&amp;isAllowed=y</w:t>
        </w:r>
      </w:hyperlink>
    </w:p>
    <w:p w14:paraId="413AA578" w14:textId="77777777" w:rsidR="00EF1F8B" w:rsidRPr="00EF1F8B" w:rsidRDefault="00EF1F8B" w:rsidP="00EF1F8B">
      <w:pPr>
        <w:spacing w:after="0" w:line="480" w:lineRule="auto"/>
        <w:rPr>
          <w:rFonts w:eastAsia="Times New Roman" w:cstheme="minorHAnsi"/>
          <w:lang w:eastAsia="en-GB"/>
        </w:rPr>
      </w:pPr>
      <w:r w:rsidRPr="00EF1F8B">
        <w:rPr>
          <w:rFonts w:eastAsia="Times New Roman" w:cstheme="minorHAnsi"/>
          <w:lang w:eastAsia="en-GB"/>
        </w:rPr>
        <w:t xml:space="preserve">Fernando, D., &amp; Prasad, A. (2018). Sex-based harassment and organizational silencing: How women are led to reluctant acquiescence in academia. </w:t>
      </w:r>
      <w:r w:rsidRPr="00EF1F8B">
        <w:rPr>
          <w:rFonts w:eastAsia="Times New Roman" w:cstheme="minorHAnsi"/>
          <w:i/>
          <w:iCs/>
          <w:lang w:eastAsia="en-GB"/>
        </w:rPr>
        <w:t>Human Relations</w:t>
      </w:r>
      <w:r w:rsidRPr="00EF1F8B">
        <w:rPr>
          <w:rFonts w:eastAsia="Times New Roman" w:cstheme="minorHAnsi"/>
          <w:lang w:eastAsia="en-GB"/>
        </w:rPr>
        <w:t xml:space="preserve">, 0018726718809164. </w:t>
      </w:r>
      <w:hyperlink r:id="rId19" w:history="1">
        <w:r w:rsidRPr="00EF1F8B">
          <w:rPr>
            <w:rFonts w:eastAsia="Times New Roman" w:cstheme="minorHAnsi"/>
            <w:color w:val="0000FF"/>
            <w:u w:val="single"/>
            <w:lang w:eastAsia="en-GB"/>
          </w:rPr>
          <w:t>https://doi.org/10.1177/0018726718809164</w:t>
        </w:r>
      </w:hyperlink>
    </w:p>
    <w:p w14:paraId="340048F3" w14:textId="77777777" w:rsidR="00F0025D" w:rsidRPr="00F0025D" w:rsidRDefault="00F0025D" w:rsidP="00F0025D">
      <w:pPr>
        <w:spacing w:after="0" w:line="480" w:lineRule="auto"/>
        <w:rPr>
          <w:rFonts w:eastAsia="Times New Roman" w:cstheme="minorHAnsi"/>
          <w:lang w:eastAsia="en-GB"/>
        </w:rPr>
      </w:pPr>
      <w:r w:rsidRPr="00F0025D">
        <w:rPr>
          <w:rFonts w:eastAsia="Times New Roman" w:cstheme="minorHAnsi"/>
          <w:lang w:eastAsia="en-GB"/>
        </w:rPr>
        <w:t xml:space="preserve">Gender Equity Office, University of the Witwatersrand. (2015). </w:t>
      </w:r>
      <w:r w:rsidRPr="00F0025D">
        <w:rPr>
          <w:rFonts w:eastAsia="Times New Roman" w:cstheme="minorHAnsi"/>
          <w:i/>
          <w:iCs/>
          <w:lang w:eastAsia="en-GB"/>
        </w:rPr>
        <w:t>Disciplinary procedure for gender-related misconduct, staff and students</w:t>
      </w:r>
      <w:r w:rsidRPr="00F0025D">
        <w:rPr>
          <w:rFonts w:eastAsia="Times New Roman" w:cstheme="minorHAnsi"/>
          <w:lang w:eastAsia="en-GB"/>
        </w:rPr>
        <w:t xml:space="preserve">. </w:t>
      </w:r>
      <w:hyperlink r:id="rId20" w:history="1">
        <w:r w:rsidRPr="00F0025D">
          <w:rPr>
            <w:rFonts w:eastAsia="Times New Roman" w:cstheme="minorHAnsi"/>
            <w:color w:val="0000FF"/>
            <w:u w:val="single"/>
            <w:lang w:eastAsia="en-GB"/>
          </w:rPr>
          <w:t>https://www.wits.ac.za/media/wits-university/students/gender-equity-and-tolerance/documents/Disciplinary%20Process%20for%20Gender-Related%20Misconduct.pdf</w:t>
        </w:r>
      </w:hyperlink>
    </w:p>
    <w:p w14:paraId="25A4F35E" w14:textId="77777777" w:rsidR="009B5EBA" w:rsidRPr="009B5EBA" w:rsidRDefault="009B5EBA" w:rsidP="009B5EBA">
      <w:pPr>
        <w:spacing w:after="0" w:line="480" w:lineRule="auto"/>
        <w:rPr>
          <w:rFonts w:eastAsia="Times New Roman" w:cstheme="minorHAnsi"/>
          <w:lang w:eastAsia="en-GB"/>
        </w:rPr>
      </w:pPr>
      <w:r w:rsidRPr="009B5EBA">
        <w:rPr>
          <w:rFonts w:eastAsia="Times New Roman" w:cstheme="minorHAnsi"/>
          <w:lang w:eastAsia="en-GB"/>
        </w:rPr>
        <w:t xml:space="preserve">Jackson, C., &amp; Sundaram, V. (2020). </w:t>
      </w:r>
      <w:r w:rsidRPr="009B5EBA">
        <w:rPr>
          <w:rFonts w:eastAsia="Times New Roman" w:cstheme="minorHAnsi"/>
          <w:i/>
          <w:iCs/>
          <w:lang w:eastAsia="en-GB"/>
        </w:rPr>
        <w:t>Lad Culture in Higher Education: Sexism, Sexual Harassment and Violence</w:t>
      </w:r>
      <w:r w:rsidRPr="009B5EBA">
        <w:rPr>
          <w:rFonts w:eastAsia="Times New Roman" w:cstheme="minorHAnsi"/>
          <w:lang w:eastAsia="en-GB"/>
        </w:rPr>
        <w:t>. Routledge.</w:t>
      </w:r>
    </w:p>
    <w:p w14:paraId="05C9CBD0" w14:textId="77777777" w:rsidR="00BD4134" w:rsidRPr="00BD4134" w:rsidRDefault="00BD4134" w:rsidP="00BD4134">
      <w:pPr>
        <w:spacing w:after="0" w:line="480" w:lineRule="auto"/>
        <w:rPr>
          <w:rFonts w:eastAsia="Times New Roman" w:cstheme="minorHAnsi"/>
          <w:lang w:eastAsia="en-GB"/>
        </w:rPr>
      </w:pPr>
      <w:r w:rsidRPr="00BD4134">
        <w:rPr>
          <w:rFonts w:eastAsia="Times New Roman" w:cstheme="minorHAnsi"/>
          <w:lang w:eastAsia="en-GB"/>
        </w:rPr>
        <w:t xml:space="preserve">Kelly, L. (2016, March 1). The conducive context of violence against women and girls. </w:t>
      </w:r>
      <w:r w:rsidRPr="00BD4134">
        <w:rPr>
          <w:rFonts w:eastAsia="Times New Roman" w:cstheme="minorHAnsi"/>
          <w:i/>
          <w:iCs/>
          <w:lang w:eastAsia="en-GB"/>
        </w:rPr>
        <w:t>Discover Society</w:t>
      </w:r>
      <w:r w:rsidRPr="00BD4134">
        <w:rPr>
          <w:rFonts w:eastAsia="Times New Roman" w:cstheme="minorHAnsi"/>
          <w:lang w:eastAsia="en-GB"/>
        </w:rPr>
        <w:t xml:space="preserve">, </w:t>
      </w:r>
      <w:r w:rsidRPr="00BD4134">
        <w:rPr>
          <w:rFonts w:eastAsia="Times New Roman" w:cstheme="minorHAnsi"/>
          <w:i/>
          <w:iCs/>
          <w:lang w:eastAsia="en-GB"/>
        </w:rPr>
        <w:t>30</w:t>
      </w:r>
      <w:r w:rsidRPr="00BD4134">
        <w:rPr>
          <w:rFonts w:eastAsia="Times New Roman" w:cstheme="minorHAnsi"/>
          <w:lang w:eastAsia="en-GB"/>
        </w:rPr>
        <w:t xml:space="preserve">. </w:t>
      </w:r>
      <w:hyperlink r:id="rId21" w:history="1">
        <w:r w:rsidRPr="00BD4134">
          <w:rPr>
            <w:rFonts w:eastAsia="Times New Roman" w:cstheme="minorHAnsi"/>
            <w:color w:val="0000FF"/>
            <w:u w:val="single"/>
            <w:lang w:eastAsia="en-GB"/>
          </w:rPr>
          <w:t>https://archive.discoversociety.org/2016/03/01/theorising-violence-against-women-and-girls/</w:t>
        </w:r>
      </w:hyperlink>
    </w:p>
    <w:p w14:paraId="2DACB244" w14:textId="77777777" w:rsidR="00B869BC" w:rsidRPr="00B869BC" w:rsidRDefault="00B869BC" w:rsidP="00B869BC">
      <w:pPr>
        <w:spacing w:after="0" w:line="480" w:lineRule="auto"/>
        <w:rPr>
          <w:rFonts w:eastAsia="Times New Roman" w:cstheme="minorHAnsi"/>
          <w:lang w:eastAsia="en-GB"/>
        </w:rPr>
      </w:pPr>
      <w:r w:rsidRPr="00B869BC">
        <w:rPr>
          <w:rFonts w:eastAsia="Times New Roman" w:cstheme="minorHAnsi"/>
          <w:lang w:eastAsia="en-GB"/>
        </w:rPr>
        <w:t xml:space="preserve">Lee, D. A. (2018). Sexual violence while studying abroad: A critical, collagist personal testimony. </w:t>
      </w:r>
      <w:r w:rsidRPr="00B869BC">
        <w:rPr>
          <w:rFonts w:eastAsia="Times New Roman" w:cstheme="minorHAnsi"/>
          <w:i/>
          <w:iCs/>
          <w:lang w:eastAsia="en-GB"/>
        </w:rPr>
        <w:t>Journal of Gender-Based Violence</w:t>
      </w:r>
      <w:r w:rsidRPr="00B869BC">
        <w:rPr>
          <w:rFonts w:eastAsia="Times New Roman" w:cstheme="minorHAnsi"/>
          <w:lang w:eastAsia="en-GB"/>
        </w:rPr>
        <w:t xml:space="preserve">, </w:t>
      </w:r>
      <w:r w:rsidRPr="00B869BC">
        <w:rPr>
          <w:rFonts w:eastAsia="Times New Roman" w:cstheme="minorHAnsi"/>
          <w:i/>
          <w:iCs/>
          <w:lang w:eastAsia="en-GB"/>
        </w:rPr>
        <w:t>2</w:t>
      </w:r>
      <w:r w:rsidRPr="00B869BC">
        <w:rPr>
          <w:rFonts w:eastAsia="Times New Roman" w:cstheme="minorHAnsi"/>
          <w:lang w:eastAsia="en-GB"/>
        </w:rPr>
        <w:t xml:space="preserve">(1), 119–128. </w:t>
      </w:r>
      <w:hyperlink r:id="rId22" w:history="1">
        <w:r w:rsidRPr="00B869BC">
          <w:rPr>
            <w:rFonts w:eastAsia="Times New Roman" w:cstheme="minorHAnsi"/>
            <w:color w:val="0000FF"/>
            <w:u w:val="single"/>
            <w:lang w:eastAsia="en-GB"/>
          </w:rPr>
          <w:t>https://doi.org/info:doi/10.1332/239868017X15127312653082</w:t>
        </w:r>
      </w:hyperlink>
    </w:p>
    <w:p w14:paraId="608A3F12" w14:textId="77777777" w:rsidR="008877DF" w:rsidRPr="008877DF" w:rsidRDefault="008877DF" w:rsidP="008877DF">
      <w:pPr>
        <w:spacing w:after="0" w:line="480" w:lineRule="auto"/>
        <w:rPr>
          <w:rFonts w:eastAsia="Times New Roman" w:cstheme="minorHAnsi"/>
          <w:lang w:eastAsia="en-GB"/>
        </w:rPr>
      </w:pPr>
      <w:r w:rsidRPr="008877DF">
        <w:rPr>
          <w:rFonts w:eastAsia="Times New Roman" w:cstheme="minorHAnsi"/>
          <w:lang w:eastAsia="en-GB"/>
        </w:rPr>
        <w:t xml:space="preserve">Lombardo, E., &amp; Bustelo, M. (2022). Sexual and sexist harassment in Spanish universities: Policy implementation and resistances against gender equality measures. </w:t>
      </w:r>
      <w:r w:rsidRPr="008877DF">
        <w:rPr>
          <w:rFonts w:eastAsia="Times New Roman" w:cstheme="minorHAnsi"/>
          <w:i/>
          <w:iCs/>
          <w:lang w:eastAsia="en-GB"/>
        </w:rPr>
        <w:t>Journal of Gender Studies</w:t>
      </w:r>
      <w:r w:rsidRPr="008877DF">
        <w:rPr>
          <w:rFonts w:eastAsia="Times New Roman" w:cstheme="minorHAnsi"/>
          <w:lang w:eastAsia="en-GB"/>
        </w:rPr>
        <w:t xml:space="preserve">, </w:t>
      </w:r>
      <w:r w:rsidRPr="008877DF">
        <w:rPr>
          <w:rFonts w:eastAsia="Times New Roman" w:cstheme="minorHAnsi"/>
          <w:i/>
          <w:iCs/>
          <w:lang w:eastAsia="en-GB"/>
        </w:rPr>
        <w:t>31</w:t>
      </w:r>
      <w:r w:rsidRPr="008877DF">
        <w:rPr>
          <w:rFonts w:eastAsia="Times New Roman" w:cstheme="minorHAnsi"/>
          <w:lang w:eastAsia="en-GB"/>
        </w:rPr>
        <w:t xml:space="preserve">(1), 8–22. </w:t>
      </w:r>
      <w:hyperlink r:id="rId23" w:history="1">
        <w:r w:rsidRPr="008877DF">
          <w:rPr>
            <w:rFonts w:eastAsia="Times New Roman" w:cstheme="minorHAnsi"/>
            <w:color w:val="0000FF"/>
            <w:u w:val="single"/>
            <w:lang w:eastAsia="en-GB"/>
          </w:rPr>
          <w:t>https://doi.org/10.1080/09589236.2021.1924643</w:t>
        </w:r>
      </w:hyperlink>
    </w:p>
    <w:p w14:paraId="69D84F9C" w14:textId="77777777" w:rsidR="000E5567" w:rsidRPr="000E5567" w:rsidRDefault="000E5567" w:rsidP="000E5567">
      <w:pPr>
        <w:spacing w:after="0" w:line="480" w:lineRule="auto"/>
        <w:rPr>
          <w:rFonts w:eastAsia="Times New Roman" w:cstheme="minorHAnsi"/>
          <w:lang w:eastAsia="en-GB"/>
        </w:rPr>
      </w:pPr>
      <w:r w:rsidRPr="000E5567">
        <w:rPr>
          <w:rFonts w:eastAsia="Times New Roman" w:cstheme="minorHAnsi"/>
          <w:lang w:eastAsia="en-GB"/>
        </w:rPr>
        <w:t xml:space="preserve">National Academies of Sciences, E. (2018). </w:t>
      </w:r>
      <w:r w:rsidRPr="000E5567">
        <w:rPr>
          <w:rFonts w:eastAsia="Times New Roman" w:cstheme="minorHAnsi"/>
          <w:i/>
          <w:iCs/>
          <w:lang w:eastAsia="en-GB"/>
        </w:rPr>
        <w:t>Sexual Harassment of Women: Climate, Culture, and Consequences in Academic Sciences, Engineering, and Medicine</w:t>
      </w:r>
      <w:r w:rsidRPr="000E5567">
        <w:rPr>
          <w:rFonts w:eastAsia="Times New Roman" w:cstheme="minorHAnsi"/>
          <w:lang w:eastAsia="en-GB"/>
        </w:rPr>
        <w:t xml:space="preserve">. The National Academies of Sciences, Engineering, and Medicine. </w:t>
      </w:r>
      <w:hyperlink r:id="rId24" w:history="1">
        <w:r w:rsidRPr="000E5567">
          <w:rPr>
            <w:rFonts w:eastAsia="Times New Roman" w:cstheme="minorHAnsi"/>
            <w:color w:val="0000FF"/>
            <w:u w:val="single"/>
            <w:lang w:eastAsia="en-GB"/>
          </w:rPr>
          <w:t>https://doi.org/10.17226/24994</w:t>
        </w:r>
      </w:hyperlink>
    </w:p>
    <w:p w14:paraId="35DD31F1" w14:textId="76AF880B" w:rsidR="00E12DD8" w:rsidRPr="00E12DD8" w:rsidRDefault="00E12DD8" w:rsidP="00E12DD8">
      <w:pPr>
        <w:spacing w:after="0" w:line="480" w:lineRule="auto"/>
        <w:rPr>
          <w:rFonts w:eastAsia="Times New Roman" w:cstheme="minorHAnsi"/>
          <w:lang w:eastAsia="en-GB"/>
        </w:rPr>
      </w:pPr>
      <w:r w:rsidRPr="00E12DD8">
        <w:rPr>
          <w:rFonts w:eastAsia="Times New Roman" w:cstheme="minorHAnsi"/>
          <w:lang w:eastAsia="en-GB"/>
        </w:rPr>
        <w:lastRenderedPageBreak/>
        <w:t xml:space="preserve">Oman, S., &amp; Bull, A. (2021). Joining up well-being and sexual misconduct data and policy in HE: ‘To stand in the gap’ as a feminist approach. </w:t>
      </w:r>
      <w:r w:rsidRPr="00E12DD8">
        <w:rPr>
          <w:rFonts w:eastAsia="Times New Roman" w:cstheme="minorHAnsi"/>
          <w:i/>
          <w:iCs/>
          <w:lang w:eastAsia="en-GB"/>
        </w:rPr>
        <w:t>The Sociological Review</w:t>
      </w:r>
      <w:r w:rsidRPr="00E12DD8">
        <w:rPr>
          <w:rFonts w:eastAsia="Times New Roman" w:cstheme="minorHAnsi"/>
          <w:lang w:eastAsia="en-GB"/>
        </w:rPr>
        <w:t xml:space="preserve">, </w:t>
      </w:r>
      <w:hyperlink r:id="rId25" w:history="1">
        <w:r w:rsidRPr="00E12DD8">
          <w:rPr>
            <w:rFonts w:eastAsia="Times New Roman" w:cstheme="minorHAnsi"/>
            <w:color w:val="0000FF"/>
            <w:u w:val="single"/>
            <w:lang w:eastAsia="en-GB"/>
          </w:rPr>
          <w:t>https://doi.org/10.1177/00380261211049024</w:t>
        </w:r>
      </w:hyperlink>
    </w:p>
    <w:p w14:paraId="13BA21B6" w14:textId="77777777" w:rsidR="00CB4CA9" w:rsidRPr="00CB4CA9" w:rsidRDefault="00CB4CA9" w:rsidP="00CB4CA9">
      <w:pPr>
        <w:spacing w:after="0" w:line="480" w:lineRule="auto"/>
        <w:rPr>
          <w:rFonts w:eastAsia="Times New Roman" w:cstheme="minorHAnsi"/>
          <w:lang w:eastAsia="en-GB"/>
        </w:rPr>
      </w:pPr>
      <w:r w:rsidRPr="00CB4CA9">
        <w:rPr>
          <w:rFonts w:eastAsia="Times New Roman" w:cstheme="minorHAnsi"/>
          <w:lang w:eastAsia="en-GB"/>
        </w:rPr>
        <w:t xml:space="preserve">Page, T., Bull, A., &amp; Chapman, E. (2019). Making Power Visible: “Slow Activism” to Address Staff Sexual Misconduct in Higher Education. </w:t>
      </w:r>
      <w:r w:rsidRPr="00CB4CA9">
        <w:rPr>
          <w:rFonts w:eastAsia="Times New Roman" w:cstheme="minorHAnsi"/>
          <w:i/>
          <w:iCs/>
          <w:lang w:eastAsia="en-GB"/>
        </w:rPr>
        <w:t>Violence Against Women</w:t>
      </w:r>
      <w:r w:rsidRPr="00CB4CA9">
        <w:rPr>
          <w:rFonts w:eastAsia="Times New Roman" w:cstheme="minorHAnsi"/>
          <w:lang w:eastAsia="en-GB"/>
        </w:rPr>
        <w:t xml:space="preserve">, </w:t>
      </w:r>
      <w:r w:rsidRPr="00CB4CA9">
        <w:rPr>
          <w:rFonts w:eastAsia="Times New Roman" w:cstheme="minorHAnsi"/>
          <w:i/>
          <w:iCs/>
          <w:lang w:eastAsia="en-GB"/>
        </w:rPr>
        <w:t>25</w:t>
      </w:r>
      <w:r w:rsidRPr="00CB4CA9">
        <w:rPr>
          <w:rFonts w:eastAsia="Times New Roman" w:cstheme="minorHAnsi"/>
          <w:lang w:eastAsia="en-GB"/>
        </w:rPr>
        <w:t xml:space="preserve">(11), 1309–1330. </w:t>
      </w:r>
      <w:hyperlink r:id="rId26" w:history="1">
        <w:r w:rsidRPr="00CB4CA9">
          <w:rPr>
            <w:rFonts w:eastAsia="Times New Roman" w:cstheme="minorHAnsi"/>
            <w:color w:val="0000FF"/>
            <w:u w:val="single"/>
            <w:lang w:eastAsia="en-GB"/>
          </w:rPr>
          <w:t>https://doi.org/10.1177/1077801219844606</w:t>
        </w:r>
      </w:hyperlink>
    </w:p>
    <w:p w14:paraId="171832B3" w14:textId="77777777" w:rsidR="00BD4134" w:rsidRPr="00BD4134" w:rsidRDefault="00BD4134" w:rsidP="00BD4134">
      <w:pPr>
        <w:spacing w:after="0" w:line="480" w:lineRule="auto"/>
        <w:rPr>
          <w:rFonts w:eastAsia="Times New Roman" w:cstheme="minorHAnsi"/>
          <w:lang w:eastAsia="en-GB"/>
        </w:rPr>
      </w:pPr>
      <w:r w:rsidRPr="00BD4134">
        <w:rPr>
          <w:rFonts w:eastAsia="Times New Roman" w:cstheme="minorHAnsi"/>
          <w:lang w:eastAsia="en-GB"/>
        </w:rPr>
        <w:t xml:space="preserve">Phipps, A. (2018). Reckoning up: Sexual harassment and violence in the neoliberal university. </w:t>
      </w:r>
      <w:r w:rsidRPr="00BD4134">
        <w:rPr>
          <w:rFonts w:eastAsia="Times New Roman" w:cstheme="minorHAnsi"/>
          <w:i/>
          <w:iCs/>
          <w:lang w:eastAsia="en-GB"/>
        </w:rPr>
        <w:t>Gender and Education</w:t>
      </w:r>
      <w:r w:rsidRPr="00BD4134">
        <w:rPr>
          <w:rFonts w:eastAsia="Times New Roman" w:cstheme="minorHAnsi"/>
          <w:lang w:eastAsia="en-GB"/>
        </w:rPr>
        <w:t xml:space="preserve">, </w:t>
      </w:r>
      <w:r w:rsidRPr="00BD4134">
        <w:rPr>
          <w:rFonts w:eastAsia="Times New Roman" w:cstheme="minorHAnsi"/>
          <w:i/>
          <w:iCs/>
          <w:lang w:eastAsia="en-GB"/>
        </w:rPr>
        <w:t>32</w:t>
      </w:r>
      <w:r w:rsidRPr="00BD4134">
        <w:rPr>
          <w:rFonts w:eastAsia="Times New Roman" w:cstheme="minorHAnsi"/>
          <w:lang w:eastAsia="en-GB"/>
        </w:rPr>
        <w:t xml:space="preserve">(2), 227–243. </w:t>
      </w:r>
      <w:hyperlink r:id="rId27" w:history="1">
        <w:r w:rsidRPr="00BD4134">
          <w:rPr>
            <w:rFonts w:eastAsia="Times New Roman" w:cstheme="minorHAnsi"/>
            <w:color w:val="0000FF"/>
            <w:u w:val="single"/>
            <w:lang w:eastAsia="en-GB"/>
          </w:rPr>
          <w:t>https://doi.org/10.1080/09540253.2018.1482413</w:t>
        </w:r>
      </w:hyperlink>
    </w:p>
    <w:p w14:paraId="317485BE" w14:textId="649CC8FE" w:rsidR="004F41AA" w:rsidRPr="004F41AA" w:rsidRDefault="004F41AA" w:rsidP="004F41AA">
      <w:pPr>
        <w:spacing w:after="0" w:line="480" w:lineRule="auto"/>
        <w:rPr>
          <w:rFonts w:eastAsia="Times New Roman" w:cstheme="minorHAnsi"/>
          <w:lang w:eastAsia="en-GB"/>
        </w:rPr>
      </w:pPr>
      <w:r w:rsidRPr="004F41AA">
        <w:rPr>
          <w:rFonts w:eastAsia="Times New Roman" w:cstheme="minorHAnsi"/>
          <w:lang w:eastAsia="en-GB"/>
        </w:rPr>
        <w:t xml:space="preserve">Shannon, E. R. (2021). Protecting the perpetrator: Value judgements in US and English university sexual violence cases. </w:t>
      </w:r>
      <w:r w:rsidRPr="004F41AA">
        <w:rPr>
          <w:rFonts w:eastAsia="Times New Roman" w:cstheme="minorHAnsi"/>
          <w:i/>
          <w:iCs/>
          <w:lang w:eastAsia="en-GB"/>
        </w:rPr>
        <w:t>Gender and Education</w:t>
      </w:r>
      <w:r w:rsidRPr="004F41AA">
        <w:rPr>
          <w:rFonts w:eastAsia="Times New Roman" w:cstheme="minorHAnsi"/>
          <w:lang w:eastAsia="en-GB"/>
        </w:rPr>
        <w:t xml:space="preserve">, 1–17. </w:t>
      </w:r>
      <w:hyperlink r:id="rId28" w:history="1">
        <w:r w:rsidRPr="004F41AA">
          <w:rPr>
            <w:rFonts w:eastAsia="Times New Roman" w:cstheme="minorHAnsi"/>
            <w:color w:val="0000FF"/>
            <w:u w:val="single"/>
            <w:lang w:eastAsia="en-GB"/>
          </w:rPr>
          <w:t>https://doi.org/10.1080/09540253.2021.1955093</w:t>
        </w:r>
      </w:hyperlink>
    </w:p>
    <w:p w14:paraId="09EB9B44" w14:textId="77777777" w:rsidR="006F339F" w:rsidRPr="006F339F" w:rsidRDefault="006F339F" w:rsidP="006F339F">
      <w:pPr>
        <w:spacing w:after="0" w:line="480" w:lineRule="auto"/>
        <w:rPr>
          <w:rFonts w:eastAsia="Times New Roman" w:cstheme="minorHAnsi"/>
          <w:lang w:eastAsia="en-GB"/>
        </w:rPr>
      </w:pPr>
      <w:r w:rsidRPr="006F339F">
        <w:rPr>
          <w:rFonts w:eastAsia="Times New Roman" w:cstheme="minorHAnsi"/>
          <w:lang w:eastAsia="en-GB"/>
        </w:rPr>
        <w:t xml:space="preserve">Solnit, R. (2016, July 15). ‘Hope is a​n embrace of the unknown​’: Rebecca Solnit on living in dark times. </w:t>
      </w:r>
      <w:r w:rsidRPr="006F339F">
        <w:rPr>
          <w:rFonts w:eastAsia="Times New Roman" w:cstheme="minorHAnsi"/>
          <w:i/>
          <w:iCs/>
          <w:lang w:eastAsia="en-GB"/>
        </w:rPr>
        <w:t>The Guardian</w:t>
      </w:r>
      <w:r w:rsidRPr="006F339F">
        <w:rPr>
          <w:rFonts w:eastAsia="Times New Roman" w:cstheme="minorHAnsi"/>
          <w:lang w:eastAsia="en-GB"/>
        </w:rPr>
        <w:t xml:space="preserve">. </w:t>
      </w:r>
      <w:hyperlink r:id="rId29" w:history="1">
        <w:r w:rsidRPr="006F339F">
          <w:rPr>
            <w:rFonts w:eastAsia="Times New Roman" w:cstheme="minorHAnsi"/>
            <w:color w:val="0000FF"/>
            <w:u w:val="single"/>
            <w:lang w:eastAsia="en-GB"/>
          </w:rPr>
          <w:t>https://www.theguardian.com/books/2016/jul/15/rebecca-solnit-hope-in-the-dark-new-essay-embrace-unknown</w:t>
        </w:r>
      </w:hyperlink>
    </w:p>
    <w:p w14:paraId="19596209" w14:textId="77777777" w:rsidR="00D30566" w:rsidRPr="00D30566" w:rsidRDefault="00D30566" w:rsidP="00D30566">
      <w:pPr>
        <w:spacing w:after="0" w:line="480" w:lineRule="auto"/>
        <w:rPr>
          <w:rFonts w:eastAsia="Times New Roman" w:cstheme="minorHAnsi"/>
          <w:lang w:eastAsia="en-GB"/>
        </w:rPr>
      </w:pPr>
      <w:r w:rsidRPr="00D30566">
        <w:rPr>
          <w:rFonts w:eastAsia="Times New Roman" w:cstheme="minorHAnsi"/>
          <w:lang w:eastAsia="en-GB"/>
        </w:rPr>
        <w:t xml:space="preserve">Stanko, E. A. (1995). Reading danger: Sexual harassment, anticipation and self-protection. In M. Hester, L. Kelly, &amp; J. Radford (Eds.), </w:t>
      </w:r>
      <w:r w:rsidRPr="00D30566">
        <w:rPr>
          <w:rFonts w:eastAsia="Times New Roman" w:cstheme="minorHAnsi"/>
          <w:i/>
          <w:iCs/>
          <w:lang w:eastAsia="en-GB"/>
        </w:rPr>
        <w:t>Women, Violence and Male Power: Feminist Research, Activism and Practice</w:t>
      </w:r>
      <w:r w:rsidRPr="00D30566">
        <w:rPr>
          <w:rFonts w:eastAsia="Times New Roman" w:cstheme="minorHAnsi"/>
          <w:lang w:eastAsia="en-GB"/>
        </w:rPr>
        <w:t>. Open University Press.</w:t>
      </w:r>
    </w:p>
    <w:p w14:paraId="5DD4D4B2" w14:textId="77777777" w:rsidR="00F0025D" w:rsidRPr="00F0025D" w:rsidRDefault="00F0025D" w:rsidP="00F0025D">
      <w:pPr>
        <w:spacing w:after="0" w:line="480" w:lineRule="auto"/>
        <w:rPr>
          <w:rFonts w:eastAsia="Times New Roman" w:cstheme="minorHAnsi"/>
          <w:lang w:eastAsia="en-GB"/>
        </w:rPr>
      </w:pPr>
      <w:r w:rsidRPr="00F0025D">
        <w:rPr>
          <w:rFonts w:eastAsia="Times New Roman" w:cstheme="minorHAnsi"/>
          <w:lang w:eastAsia="en-GB"/>
        </w:rPr>
        <w:t xml:space="preserve">The 1752 Group, &amp; McAllister Olivarius. (2020). </w:t>
      </w:r>
      <w:r w:rsidRPr="00F0025D">
        <w:rPr>
          <w:rFonts w:eastAsia="Times New Roman" w:cstheme="minorHAnsi"/>
          <w:i/>
          <w:iCs/>
          <w:lang w:eastAsia="en-GB"/>
        </w:rPr>
        <w:t>Sector guidance to address staff sexual misconduct in UK higher education: Recommendations for reporting, investigation and decision-making procedures relating to student complaints of staff sexual misconduct</w:t>
      </w:r>
      <w:r w:rsidRPr="00F0025D">
        <w:rPr>
          <w:rFonts w:eastAsia="Times New Roman" w:cstheme="minorHAnsi"/>
          <w:lang w:eastAsia="en-GB"/>
        </w:rPr>
        <w:t xml:space="preserve">. </w:t>
      </w:r>
      <w:hyperlink r:id="rId30" w:history="1">
        <w:r w:rsidRPr="00F0025D">
          <w:rPr>
            <w:rFonts w:eastAsia="Times New Roman" w:cstheme="minorHAnsi"/>
            <w:color w:val="0000FF"/>
            <w:u w:val="single"/>
            <w:lang w:eastAsia="en-GB"/>
          </w:rPr>
          <w:t>https://1752group.files.wordpress.com/2021/09/5ed32-the-1752-group-and-mcallister-olivarius-sector-guidance-to-address-staff-sexual-misconduct-in-uk-he.pdf</w:t>
        </w:r>
      </w:hyperlink>
    </w:p>
    <w:p w14:paraId="3A2FC3C4" w14:textId="77777777" w:rsidR="006444AC" w:rsidRPr="006444AC" w:rsidRDefault="006444AC" w:rsidP="006444AC">
      <w:pPr>
        <w:spacing w:after="0" w:line="480" w:lineRule="auto"/>
        <w:rPr>
          <w:rFonts w:eastAsia="Times New Roman" w:cstheme="minorHAnsi"/>
          <w:lang w:eastAsia="en-GB"/>
        </w:rPr>
      </w:pPr>
      <w:r w:rsidRPr="006444AC">
        <w:rPr>
          <w:rFonts w:eastAsia="Times New Roman" w:cstheme="minorHAnsi"/>
          <w:lang w:eastAsia="en-GB"/>
        </w:rPr>
        <w:t xml:space="preserve">UN Women. (2018). </w:t>
      </w:r>
      <w:r w:rsidRPr="006444AC">
        <w:rPr>
          <w:rFonts w:eastAsia="Times New Roman" w:cstheme="minorHAnsi"/>
          <w:i/>
          <w:iCs/>
          <w:lang w:eastAsia="en-GB"/>
        </w:rPr>
        <w:t>Towards and end to sexual harassment: The nature of change in the era of #MeToo</w:t>
      </w:r>
      <w:r w:rsidRPr="006444AC">
        <w:rPr>
          <w:rFonts w:eastAsia="Times New Roman" w:cstheme="minorHAnsi"/>
          <w:lang w:eastAsia="en-GB"/>
        </w:rPr>
        <w:t xml:space="preserve">. United Nations. </w:t>
      </w:r>
      <w:hyperlink r:id="rId31" w:history="1">
        <w:r w:rsidRPr="006444AC">
          <w:rPr>
            <w:rFonts w:eastAsia="Times New Roman" w:cstheme="minorHAnsi"/>
            <w:color w:val="0000FF"/>
            <w:u w:val="single"/>
            <w:lang w:eastAsia="en-GB"/>
          </w:rPr>
          <w:t>https://www.unwomen.org/-/media/headquarters/attachments/sections/library/publications/2018/towards-an-end-to-sexual-harassment-en.pdf?la=en&amp;vs=4236</w:t>
        </w:r>
      </w:hyperlink>
    </w:p>
    <w:p w14:paraId="1D4F185E" w14:textId="77777777" w:rsidR="00C17A56" w:rsidRPr="00C17A56" w:rsidRDefault="00C17A56" w:rsidP="00D30566">
      <w:pPr>
        <w:spacing w:after="0" w:line="480" w:lineRule="auto"/>
        <w:rPr>
          <w:rFonts w:eastAsia="Times New Roman" w:cstheme="minorHAnsi"/>
          <w:lang w:eastAsia="en-GB"/>
        </w:rPr>
      </w:pPr>
      <w:r w:rsidRPr="00C17A56">
        <w:rPr>
          <w:rFonts w:eastAsia="Times New Roman" w:cstheme="minorHAnsi"/>
          <w:lang w:eastAsia="en-GB"/>
        </w:rPr>
        <w:lastRenderedPageBreak/>
        <w:t xml:space="preserve">Voss, B. L. (2021). Disrupting Cultures of Harassment in Archaeology: Social-Environmental and Trauma-Informed Approaches to Disciplinary Transformation. </w:t>
      </w:r>
      <w:r w:rsidRPr="00C17A56">
        <w:rPr>
          <w:rFonts w:eastAsia="Times New Roman" w:cstheme="minorHAnsi"/>
          <w:i/>
          <w:iCs/>
          <w:lang w:eastAsia="en-GB"/>
        </w:rPr>
        <w:t>American Antiquity</w:t>
      </w:r>
      <w:r w:rsidRPr="00C17A56">
        <w:rPr>
          <w:rFonts w:eastAsia="Times New Roman" w:cstheme="minorHAnsi"/>
          <w:lang w:eastAsia="en-GB"/>
        </w:rPr>
        <w:t xml:space="preserve">, </w:t>
      </w:r>
      <w:r w:rsidRPr="00C17A56">
        <w:rPr>
          <w:rFonts w:eastAsia="Times New Roman" w:cstheme="minorHAnsi"/>
          <w:i/>
          <w:iCs/>
          <w:lang w:eastAsia="en-GB"/>
        </w:rPr>
        <w:t>86</w:t>
      </w:r>
      <w:r w:rsidRPr="00C17A56">
        <w:rPr>
          <w:rFonts w:eastAsia="Times New Roman" w:cstheme="minorHAnsi"/>
          <w:lang w:eastAsia="en-GB"/>
        </w:rPr>
        <w:t xml:space="preserve">(3), 447–464. </w:t>
      </w:r>
      <w:hyperlink r:id="rId32" w:history="1">
        <w:r w:rsidRPr="00C17A56">
          <w:rPr>
            <w:rFonts w:eastAsia="Times New Roman" w:cstheme="minorHAnsi"/>
            <w:color w:val="0000FF"/>
            <w:u w:val="single"/>
            <w:lang w:eastAsia="en-GB"/>
          </w:rPr>
          <w:t>https://doi.org/10.1017/aaq.2021.19</w:t>
        </w:r>
      </w:hyperlink>
    </w:p>
    <w:p w14:paraId="110F9706" w14:textId="77777777" w:rsidR="003A5447" w:rsidRPr="003A5447" w:rsidRDefault="003A5447" w:rsidP="003A5447">
      <w:pPr>
        <w:spacing w:after="0" w:line="480" w:lineRule="auto"/>
        <w:rPr>
          <w:rFonts w:eastAsia="Times New Roman" w:cstheme="minorHAnsi"/>
          <w:lang w:eastAsia="en-GB"/>
        </w:rPr>
      </w:pPr>
      <w:r w:rsidRPr="003A5447">
        <w:rPr>
          <w:rFonts w:eastAsia="Times New Roman" w:cstheme="minorHAnsi"/>
          <w:lang w:eastAsia="en-GB"/>
        </w:rPr>
        <w:t xml:space="preserve">Whitley, L. (2022). Narratives of Harm: Accounts and Displacements of Faculty Sexual Harassment of Students. </w:t>
      </w:r>
      <w:r w:rsidRPr="003A5447">
        <w:rPr>
          <w:rFonts w:eastAsia="Times New Roman" w:cstheme="minorHAnsi"/>
          <w:i/>
          <w:iCs/>
          <w:lang w:eastAsia="en-GB"/>
        </w:rPr>
        <w:t>Signs: Journal of Women in Culture and Society</w:t>
      </w:r>
      <w:r w:rsidRPr="003A5447">
        <w:rPr>
          <w:rFonts w:eastAsia="Times New Roman" w:cstheme="minorHAnsi"/>
          <w:lang w:eastAsia="en-GB"/>
        </w:rPr>
        <w:t xml:space="preserve">, </w:t>
      </w:r>
      <w:r w:rsidRPr="003A5447">
        <w:rPr>
          <w:rFonts w:eastAsia="Times New Roman" w:cstheme="minorHAnsi"/>
          <w:i/>
          <w:iCs/>
          <w:lang w:eastAsia="en-GB"/>
        </w:rPr>
        <w:t>47</w:t>
      </w:r>
      <w:r w:rsidRPr="003A5447">
        <w:rPr>
          <w:rFonts w:eastAsia="Times New Roman" w:cstheme="minorHAnsi"/>
          <w:lang w:eastAsia="en-GB"/>
        </w:rPr>
        <w:t xml:space="preserve">(2), 347–369. </w:t>
      </w:r>
      <w:hyperlink r:id="rId33" w:history="1">
        <w:r w:rsidRPr="003A5447">
          <w:rPr>
            <w:rFonts w:eastAsia="Times New Roman" w:cstheme="minorHAnsi"/>
            <w:color w:val="0000FF"/>
            <w:u w:val="single"/>
            <w:lang w:eastAsia="en-GB"/>
          </w:rPr>
          <w:t>https://doi.org/10.1086/716640</w:t>
        </w:r>
      </w:hyperlink>
    </w:p>
    <w:p w14:paraId="1E2174CF" w14:textId="26BF4C71" w:rsidR="003A5447" w:rsidRPr="0031682F" w:rsidRDefault="003A5447" w:rsidP="003A5447">
      <w:pPr>
        <w:spacing w:after="0" w:line="480" w:lineRule="auto"/>
        <w:rPr>
          <w:rFonts w:eastAsia="Times New Roman" w:cstheme="minorHAnsi"/>
          <w:lang w:eastAsia="en-GB"/>
        </w:rPr>
      </w:pPr>
      <w:r w:rsidRPr="003A5447">
        <w:rPr>
          <w:rFonts w:eastAsia="Times New Roman" w:cstheme="minorHAnsi"/>
          <w:lang w:eastAsia="en-GB"/>
        </w:rPr>
        <w:t xml:space="preserve">Whitley, L., &amp; Page, T. (2015). Sexism at the centre: Locating the problem of sexual harassment. </w:t>
      </w:r>
      <w:r w:rsidRPr="003A5447">
        <w:rPr>
          <w:rFonts w:eastAsia="Times New Roman" w:cstheme="minorHAnsi"/>
          <w:i/>
          <w:iCs/>
          <w:lang w:eastAsia="en-GB"/>
        </w:rPr>
        <w:t>New Formations</w:t>
      </w:r>
      <w:r w:rsidRPr="003A5447">
        <w:rPr>
          <w:rFonts w:eastAsia="Times New Roman" w:cstheme="minorHAnsi"/>
          <w:lang w:eastAsia="en-GB"/>
        </w:rPr>
        <w:t xml:space="preserve">, </w:t>
      </w:r>
      <w:r w:rsidRPr="003A5447">
        <w:rPr>
          <w:rFonts w:eastAsia="Times New Roman" w:cstheme="minorHAnsi"/>
          <w:i/>
          <w:iCs/>
          <w:lang w:eastAsia="en-GB"/>
        </w:rPr>
        <w:t>86</w:t>
      </w:r>
      <w:r w:rsidRPr="003A5447">
        <w:rPr>
          <w:rFonts w:eastAsia="Times New Roman" w:cstheme="minorHAnsi"/>
          <w:lang w:eastAsia="en-GB"/>
        </w:rPr>
        <w:t xml:space="preserve">. </w:t>
      </w:r>
      <w:hyperlink r:id="rId34" w:history="1">
        <w:r w:rsidRPr="003A5447">
          <w:rPr>
            <w:rFonts w:eastAsia="Times New Roman" w:cstheme="minorHAnsi"/>
            <w:color w:val="0000FF"/>
            <w:u w:val="single"/>
            <w:lang w:eastAsia="en-GB"/>
          </w:rPr>
          <w:t>https://www.lwbooks.co.uk/sites/default/files/nf86_03whitely_page.pdf</w:t>
        </w:r>
      </w:hyperlink>
    </w:p>
    <w:p w14:paraId="13E44952" w14:textId="77777777" w:rsidR="00C17A56" w:rsidRPr="003A5447" w:rsidRDefault="00C17A56" w:rsidP="003A5447">
      <w:pPr>
        <w:spacing w:after="0" w:line="480" w:lineRule="auto"/>
        <w:rPr>
          <w:rFonts w:eastAsia="Times New Roman" w:cstheme="minorHAnsi"/>
          <w:lang w:eastAsia="en-GB"/>
        </w:rPr>
      </w:pPr>
    </w:p>
    <w:p w14:paraId="5158B67A" w14:textId="77777777" w:rsidR="00E12DD8" w:rsidRPr="0031682F" w:rsidRDefault="00E12DD8" w:rsidP="00833FC9">
      <w:pPr>
        <w:spacing w:after="0" w:line="480" w:lineRule="auto"/>
        <w:rPr>
          <w:rFonts w:cstheme="minorHAnsi"/>
        </w:rPr>
      </w:pPr>
    </w:p>
    <w:sectPr w:rsidR="00E12DD8" w:rsidRPr="003168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F7EC5"/>
    <w:multiLevelType w:val="hybridMultilevel"/>
    <w:tmpl w:val="A3769302"/>
    <w:lvl w:ilvl="0" w:tplc="34564F82">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37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3B"/>
    <w:rsid w:val="000360A9"/>
    <w:rsid w:val="00053A21"/>
    <w:rsid w:val="00056814"/>
    <w:rsid w:val="00080445"/>
    <w:rsid w:val="000D1046"/>
    <w:rsid w:val="000D1CD0"/>
    <w:rsid w:val="000E5567"/>
    <w:rsid w:val="000F1730"/>
    <w:rsid w:val="000F601A"/>
    <w:rsid w:val="001078FC"/>
    <w:rsid w:val="0011399E"/>
    <w:rsid w:val="00136DD8"/>
    <w:rsid w:val="00145FB6"/>
    <w:rsid w:val="0015114C"/>
    <w:rsid w:val="00153132"/>
    <w:rsid w:val="0016267F"/>
    <w:rsid w:val="00166B9B"/>
    <w:rsid w:val="00173618"/>
    <w:rsid w:val="001744D9"/>
    <w:rsid w:val="00197231"/>
    <w:rsid w:val="001A462C"/>
    <w:rsid w:val="001B7738"/>
    <w:rsid w:val="001D59C5"/>
    <w:rsid w:val="001F76C7"/>
    <w:rsid w:val="00223D01"/>
    <w:rsid w:val="0024754F"/>
    <w:rsid w:val="00282E09"/>
    <w:rsid w:val="00287E3C"/>
    <w:rsid w:val="002938D3"/>
    <w:rsid w:val="002949AE"/>
    <w:rsid w:val="002A7D44"/>
    <w:rsid w:val="002A7E94"/>
    <w:rsid w:val="002C5AB3"/>
    <w:rsid w:val="002D2B03"/>
    <w:rsid w:val="002D54C0"/>
    <w:rsid w:val="002E5C7A"/>
    <w:rsid w:val="002F0B1B"/>
    <w:rsid w:val="002F1EE1"/>
    <w:rsid w:val="0031682F"/>
    <w:rsid w:val="00342EC2"/>
    <w:rsid w:val="00356DDC"/>
    <w:rsid w:val="00372B5F"/>
    <w:rsid w:val="00382278"/>
    <w:rsid w:val="00390114"/>
    <w:rsid w:val="0039069C"/>
    <w:rsid w:val="003A5447"/>
    <w:rsid w:val="003A7A05"/>
    <w:rsid w:val="003E734E"/>
    <w:rsid w:val="004029CF"/>
    <w:rsid w:val="00424E16"/>
    <w:rsid w:val="0044509C"/>
    <w:rsid w:val="00446418"/>
    <w:rsid w:val="00446E7D"/>
    <w:rsid w:val="00454621"/>
    <w:rsid w:val="00464043"/>
    <w:rsid w:val="00474A53"/>
    <w:rsid w:val="004A2C4A"/>
    <w:rsid w:val="004A72DD"/>
    <w:rsid w:val="004B6AAF"/>
    <w:rsid w:val="004C1473"/>
    <w:rsid w:val="004E3C2F"/>
    <w:rsid w:val="004F41AA"/>
    <w:rsid w:val="00503D65"/>
    <w:rsid w:val="00515B2D"/>
    <w:rsid w:val="00540410"/>
    <w:rsid w:val="00552687"/>
    <w:rsid w:val="005764E6"/>
    <w:rsid w:val="00586284"/>
    <w:rsid w:val="005B54E5"/>
    <w:rsid w:val="005B5D64"/>
    <w:rsid w:val="00604685"/>
    <w:rsid w:val="006148A3"/>
    <w:rsid w:val="00626B8E"/>
    <w:rsid w:val="006444AC"/>
    <w:rsid w:val="006457E0"/>
    <w:rsid w:val="006640B8"/>
    <w:rsid w:val="00673287"/>
    <w:rsid w:val="006833EA"/>
    <w:rsid w:val="0068445D"/>
    <w:rsid w:val="00690D8F"/>
    <w:rsid w:val="006A5920"/>
    <w:rsid w:val="006B416E"/>
    <w:rsid w:val="006C1728"/>
    <w:rsid w:val="006C2D04"/>
    <w:rsid w:val="006C7A9B"/>
    <w:rsid w:val="006D107B"/>
    <w:rsid w:val="006D460A"/>
    <w:rsid w:val="006D48E6"/>
    <w:rsid w:val="006E74EA"/>
    <w:rsid w:val="006F339F"/>
    <w:rsid w:val="006F76BF"/>
    <w:rsid w:val="00704C19"/>
    <w:rsid w:val="0070544B"/>
    <w:rsid w:val="00714270"/>
    <w:rsid w:val="0072249C"/>
    <w:rsid w:val="00723A10"/>
    <w:rsid w:val="00726974"/>
    <w:rsid w:val="007629FA"/>
    <w:rsid w:val="007815C1"/>
    <w:rsid w:val="00784BDF"/>
    <w:rsid w:val="00793F54"/>
    <w:rsid w:val="00796435"/>
    <w:rsid w:val="007A7690"/>
    <w:rsid w:val="007B09FB"/>
    <w:rsid w:val="007D04E5"/>
    <w:rsid w:val="007E550F"/>
    <w:rsid w:val="007F538E"/>
    <w:rsid w:val="008047A0"/>
    <w:rsid w:val="00811CC4"/>
    <w:rsid w:val="00824FC0"/>
    <w:rsid w:val="00833FC9"/>
    <w:rsid w:val="00834B84"/>
    <w:rsid w:val="00836902"/>
    <w:rsid w:val="00842D86"/>
    <w:rsid w:val="008552A8"/>
    <w:rsid w:val="00855A79"/>
    <w:rsid w:val="0087634F"/>
    <w:rsid w:val="008877DF"/>
    <w:rsid w:val="008B3BA9"/>
    <w:rsid w:val="008C0EC6"/>
    <w:rsid w:val="008C7EBE"/>
    <w:rsid w:val="00901B2A"/>
    <w:rsid w:val="00921DC1"/>
    <w:rsid w:val="00952223"/>
    <w:rsid w:val="0097593D"/>
    <w:rsid w:val="00995549"/>
    <w:rsid w:val="009B4849"/>
    <w:rsid w:val="009B5EBA"/>
    <w:rsid w:val="009D4209"/>
    <w:rsid w:val="009F0B3B"/>
    <w:rsid w:val="00A0198D"/>
    <w:rsid w:val="00A07811"/>
    <w:rsid w:val="00A30E28"/>
    <w:rsid w:val="00A438EF"/>
    <w:rsid w:val="00A574AE"/>
    <w:rsid w:val="00A67A0E"/>
    <w:rsid w:val="00A840A6"/>
    <w:rsid w:val="00A861CE"/>
    <w:rsid w:val="00A90AF0"/>
    <w:rsid w:val="00A91326"/>
    <w:rsid w:val="00AB733C"/>
    <w:rsid w:val="00AB7794"/>
    <w:rsid w:val="00AC251B"/>
    <w:rsid w:val="00AD7BBD"/>
    <w:rsid w:val="00AF1DC3"/>
    <w:rsid w:val="00AF70C1"/>
    <w:rsid w:val="00B01FA9"/>
    <w:rsid w:val="00B200D3"/>
    <w:rsid w:val="00B27C7F"/>
    <w:rsid w:val="00B31977"/>
    <w:rsid w:val="00B43922"/>
    <w:rsid w:val="00B578BE"/>
    <w:rsid w:val="00B713DB"/>
    <w:rsid w:val="00B85F5A"/>
    <w:rsid w:val="00B869BC"/>
    <w:rsid w:val="00B90E23"/>
    <w:rsid w:val="00B96422"/>
    <w:rsid w:val="00BC05DB"/>
    <w:rsid w:val="00BC4DEE"/>
    <w:rsid w:val="00BC745B"/>
    <w:rsid w:val="00BD1B65"/>
    <w:rsid w:val="00BD4134"/>
    <w:rsid w:val="00BE2184"/>
    <w:rsid w:val="00BE353D"/>
    <w:rsid w:val="00BF031A"/>
    <w:rsid w:val="00BF1F61"/>
    <w:rsid w:val="00C0487A"/>
    <w:rsid w:val="00C04ACF"/>
    <w:rsid w:val="00C10DE3"/>
    <w:rsid w:val="00C17A56"/>
    <w:rsid w:val="00C259F2"/>
    <w:rsid w:val="00C3717D"/>
    <w:rsid w:val="00C50964"/>
    <w:rsid w:val="00C5719A"/>
    <w:rsid w:val="00C65C86"/>
    <w:rsid w:val="00C665F6"/>
    <w:rsid w:val="00C867BA"/>
    <w:rsid w:val="00CB4995"/>
    <w:rsid w:val="00CB4CA9"/>
    <w:rsid w:val="00CC4309"/>
    <w:rsid w:val="00CD288C"/>
    <w:rsid w:val="00CE20A1"/>
    <w:rsid w:val="00CE53D5"/>
    <w:rsid w:val="00D30566"/>
    <w:rsid w:val="00D351A0"/>
    <w:rsid w:val="00D377A8"/>
    <w:rsid w:val="00D720F8"/>
    <w:rsid w:val="00D9115D"/>
    <w:rsid w:val="00D9186C"/>
    <w:rsid w:val="00D92FB8"/>
    <w:rsid w:val="00D972B6"/>
    <w:rsid w:val="00DA033A"/>
    <w:rsid w:val="00DA12F4"/>
    <w:rsid w:val="00DC0A18"/>
    <w:rsid w:val="00DD4B19"/>
    <w:rsid w:val="00DD75E1"/>
    <w:rsid w:val="00DE34C2"/>
    <w:rsid w:val="00DE3D5D"/>
    <w:rsid w:val="00E00BC0"/>
    <w:rsid w:val="00E12DD8"/>
    <w:rsid w:val="00E27609"/>
    <w:rsid w:val="00E31512"/>
    <w:rsid w:val="00E31ACC"/>
    <w:rsid w:val="00E47786"/>
    <w:rsid w:val="00E752D8"/>
    <w:rsid w:val="00E95395"/>
    <w:rsid w:val="00EA6E5C"/>
    <w:rsid w:val="00EB0F03"/>
    <w:rsid w:val="00EB5CEF"/>
    <w:rsid w:val="00EE3AB3"/>
    <w:rsid w:val="00EF1F8B"/>
    <w:rsid w:val="00F0025D"/>
    <w:rsid w:val="00F15675"/>
    <w:rsid w:val="00F16DF7"/>
    <w:rsid w:val="00F22660"/>
    <w:rsid w:val="00F31087"/>
    <w:rsid w:val="00F93DFD"/>
    <w:rsid w:val="00F93FED"/>
    <w:rsid w:val="00F94E4A"/>
    <w:rsid w:val="00FC61FC"/>
    <w:rsid w:val="00FC6E2F"/>
    <w:rsid w:val="00FD165E"/>
    <w:rsid w:val="00FE6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60E3"/>
  <w15:chartTrackingRefBased/>
  <w15:docId w15:val="{4AA9905D-E641-4BCC-A771-52D6A904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B3B"/>
    <w:pPr>
      <w:ind w:left="720"/>
      <w:contextualSpacing/>
    </w:pPr>
  </w:style>
  <w:style w:type="character" w:styleId="Hyperlink">
    <w:name w:val="Hyperlink"/>
    <w:basedOn w:val="DefaultParagraphFont"/>
    <w:uiPriority w:val="99"/>
    <w:semiHidden/>
    <w:unhideWhenUsed/>
    <w:rsid w:val="00DE34C2"/>
    <w:rPr>
      <w:color w:val="0000FF"/>
      <w:u w:val="single"/>
    </w:rPr>
  </w:style>
  <w:style w:type="character" w:styleId="CommentReference">
    <w:name w:val="annotation reference"/>
    <w:basedOn w:val="DefaultParagraphFont"/>
    <w:uiPriority w:val="99"/>
    <w:semiHidden/>
    <w:unhideWhenUsed/>
    <w:rsid w:val="00C50964"/>
    <w:rPr>
      <w:sz w:val="16"/>
      <w:szCs w:val="16"/>
    </w:rPr>
  </w:style>
  <w:style w:type="paragraph" w:styleId="CommentText">
    <w:name w:val="annotation text"/>
    <w:basedOn w:val="Normal"/>
    <w:link w:val="CommentTextChar"/>
    <w:uiPriority w:val="99"/>
    <w:semiHidden/>
    <w:unhideWhenUsed/>
    <w:rsid w:val="00C50964"/>
    <w:pPr>
      <w:spacing w:line="240" w:lineRule="auto"/>
    </w:pPr>
    <w:rPr>
      <w:sz w:val="20"/>
      <w:szCs w:val="20"/>
    </w:rPr>
  </w:style>
  <w:style w:type="character" w:customStyle="1" w:styleId="CommentTextChar">
    <w:name w:val="Comment Text Char"/>
    <w:basedOn w:val="DefaultParagraphFont"/>
    <w:link w:val="CommentText"/>
    <w:uiPriority w:val="99"/>
    <w:semiHidden/>
    <w:rsid w:val="00C50964"/>
    <w:rPr>
      <w:sz w:val="20"/>
      <w:szCs w:val="20"/>
    </w:rPr>
  </w:style>
  <w:style w:type="paragraph" w:styleId="CommentSubject">
    <w:name w:val="annotation subject"/>
    <w:basedOn w:val="CommentText"/>
    <w:next w:val="CommentText"/>
    <w:link w:val="CommentSubjectChar"/>
    <w:uiPriority w:val="99"/>
    <w:semiHidden/>
    <w:unhideWhenUsed/>
    <w:rsid w:val="00C50964"/>
    <w:rPr>
      <w:b/>
      <w:bCs/>
    </w:rPr>
  </w:style>
  <w:style w:type="character" w:customStyle="1" w:styleId="CommentSubjectChar">
    <w:name w:val="Comment Subject Char"/>
    <w:basedOn w:val="CommentTextChar"/>
    <w:link w:val="CommentSubject"/>
    <w:uiPriority w:val="99"/>
    <w:semiHidden/>
    <w:rsid w:val="00C50964"/>
    <w:rPr>
      <w:b/>
      <w:bCs/>
      <w:sz w:val="20"/>
      <w:szCs w:val="20"/>
    </w:rPr>
  </w:style>
  <w:style w:type="paragraph" w:styleId="NormalWeb">
    <w:name w:val="Normal (Web)"/>
    <w:basedOn w:val="Normal"/>
    <w:uiPriority w:val="99"/>
    <w:unhideWhenUsed/>
    <w:rsid w:val="00A861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1471">
      <w:bodyDiv w:val="1"/>
      <w:marLeft w:val="0"/>
      <w:marRight w:val="0"/>
      <w:marTop w:val="0"/>
      <w:marBottom w:val="0"/>
      <w:divBdr>
        <w:top w:val="none" w:sz="0" w:space="0" w:color="auto"/>
        <w:left w:val="none" w:sz="0" w:space="0" w:color="auto"/>
        <w:bottom w:val="none" w:sz="0" w:space="0" w:color="auto"/>
        <w:right w:val="none" w:sz="0" w:space="0" w:color="auto"/>
      </w:divBdr>
      <w:divsChild>
        <w:div w:id="602569580">
          <w:marLeft w:val="480"/>
          <w:marRight w:val="0"/>
          <w:marTop w:val="0"/>
          <w:marBottom w:val="0"/>
          <w:divBdr>
            <w:top w:val="none" w:sz="0" w:space="0" w:color="auto"/>
            <w:left w:val="none" w:sz="0" w:space="0" w:color="auto"/>
            <w:bottom w:val="none" w:sz="0" w:space="0" w:color="auto"/>
            <w:right w:val="none" w:sz="0" w:space="0" w:color="auto"/>
          </w:divBdr>
          <w:divsChild>
            <w:div w:id="1107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3386">
      <w:bodyDiv w:val="1"/>
      <w:marLeft w:val="0"/>
      <w:marRight w:val="0"/>
      <w:marTop w:val="0"/>
      <w:marBottom w:val="0"/>
      <w:divBdr>
        <w:top w:val="none" w:sz="0" w:space="0" w:color="auto"/>
        <w:left w:val="none" w:sz="0" w:space="0" w:color="auto"/>
        <w:bottom w:val="none" w:sz="0" w:space="0" w:color="auto"/>
        <w:right w:val="none" w:sz="0" w:space="0" w:color="auto"/>
      </w:divBdr>
    </w:div>
    <w:div w:id="78985900">
      <w:bodyDiv w:val="1"/>
      <w:marLeft w:val="0"/>
      <w:marRight w:val="0"/>
      <w:marTop w:val="0"/>
      <w:marBottom w:val="0"/>
      <w:divBdr>
        <w:top w:val="none" w:sz="0" w:space="0" w:color="auto"/>
        <w:left w:val="none" w:sz="0" w:space="0" w:color="auto"/>
        <w:bottom w:val="none" w:sz="0" w:space="0" w:color="auto"/>
        <w:right w:val="none" w:sz="0" w:space="0" w:color="auto"/>
      </w:divBdr>
      <w:divsChild>
        <w:div w:id="1276445753">
          <w:marLeft w:val="480"/>
          <w:marRight w:val="0"/>
          <w:marTop w:val="0"/>
          <w:marBottom w:val="0"/>
          <w:divBdr>
            <w:top w:val="none" w:sz="0" w:space="0" w:color="auto"/>
            <w:left w:val="none" w:sz="0" w:space="0" w:color="auto"/>
            <w:bottom w:val="none" w:sz="0" w:space="0" w:color="auto"/>
            <w:right w:val="none" w:sz="0" w:space="0" w:color="auto"/>
          </w:divBdr>
          <w:divsChild>
            <w:div w:id="15839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0126">
      <w:bodyDiv w:val="1"/>
      <w:marLeft w:val="0"/>
      <w:marRight w:val="0"/>
      <w:marTop w:val="0"/>
      <w:marBottom w:val="0"/>
      <w:divBdr>
        <w:top w:val="none" w:sz="0" w:space="0" w:color="auto"/>
        <w:left w:val="none" w:sz="0" w:space="0" w:color="auto"/>
        <w:bottom w:val="none" w:sz="0" w:space="0" w:color="auto"/>
        <w:right w:val="none" w:sz="0" w:space="0" w:color="auto"/>
      </w:divBdr>
      <w:divsChild>
        <w:div w:id="86538475">
          <w:marLeft w:val="480"/>
          <w:marRight w:val="0"/>
          <w:marTop w:val="0"/>
          <w:marBottom w:val="0"/>
          <w:divBdr>
            <w:top w:val="none" w:sz="0" w:space="0" w:color="auto"/>
            <w:left w:val="none" w:sz="0" w:space="0" w:color="auto"/>
            <w:bottom w:val="none" w:sz="0" w:space="0" w:color="auto"/>
            <w:right w:val="none" w:sz="0" w:space="0" w:color="auto"/>
          </w:divBdr>
          <w:divsChild>
            <w:div w:id="148983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690">
      <w:bodyDiv w:val="1"/>
      <w:marLeft w:val="0"/>
      <w:marRight w:val="0"/>
      <w:marTop w:val="0"/>
      <w:marBottom w:val="0"/>
      <w:divBdr>
        <w:top w:val="none" w:sz="0" w:space="0" w:color="auto"/>
        <w:left w:val="none" w:sz="0" w:space="0" w:color="auto"/>
        <w:bottom w:val="none" w:sz="0" w:space="0" w:color="auto"/>
        <w:right w:val="none" w:sz="0" w:space="0" w:color="auto"/>
      </w:divBdr>
      <w:divsChild>
        <w:div w:id="1100564622">
          <w:marLeft w:val="480"/>
          <w:marRight w:val="0"/>
          <w:marTop w:val="0"/>
          <w:marBottom w:val="0"/>
          <w:divBdr>
            <w:top w:val="none" w:sz="0" w:space="0" w:color="auto"/>
            <w:left w:val="none" w:sz="0" w:space="0" w:color="auto"/>
            <w:bottom w:val="none" w:sz="0" w:space="0" w:color="auto"/>
            <w:right w:val="none" w:sz="0" w:space="0" w:color="auto"/>
          </w:divBdr>
          <w:divsChild>
            <w:div w:id="14746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64126">
      <w:bodyDiv w:val="1"/>
      <w:marLeft w:val="0"/>
      <w:marRight w:val="0"/>
      <w:marTop w:val="0"/>
      <w:marBottom w:val="0"/>
      <w:divBdr>
        <w:top w:val="none" w:sz="0" w:space="0" w:color="auto"/>
        <w:left w:val="none" w:sz="0" w:space="0" w:color="auto"/>
        <w:bottom w:val="none" w:sz="0" w:space="0" w:color="auto"/>
        <w:right w:val="none" w:sz="0" w:space="0" w:color="auto"/>
      </w:divBdr>
      <w:divsChild>
        <w:div w:id="1773745373">
          <w:marLeft w:val="480"/>
          <w:marRight w:val="0"/>
          <w:marTop w:val="0"/>
          <w:marBottom w:val="0"/>
          <w:divBdr>
            <w:top w:val="none" w:sz="0" w:space="0" w:color="auto"/>
            <w:left w:val="none" w:sz="0" w:space="0" w:color="auto"/>
            <w:bottom w:val="none" w:sz="0" w:space="0" w:color="auto"/>
            <w:right w:val="none" w:sz="0" w:space="0" w:color="auto"/>
          </w:divBdr>
          <w:divsChild>
            <w:div w:id="19683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21743">
      <w:bodyDiv w:val="1"/>
      <w:marLeft w:val="0"/>
      <w:marRight w:val="0"/>
      <w:marTop w:val="0"/>
      <w:marBottom w:val="0"/>
      <w:divBdr>
        <w:top w:val="none" w:sz="0" w:space="0" w:color="auto"/>
        <w:left w:val="none" w:sz="0" w:space="0" w:color="auto"/>
        <w:bottom w:val="none" w:sz="0" w:space="0" w:color="auto"/>
        <w:right w:val="none" w:sz="0" w:space="0" w:color="auto"/>
      </w:divBdr>
      <w:divsChild>
        <w:div w:id="342828709">
          <w:marLeft w:val="480"/>
          <w:marRight w:val="0"/>
          <w:marTop w:val="0"/>
          <w:marBottom w:val="0"/>
          <w:divBdr>
            <w:top w:val="none" w:sz="0" w:space="0" w:color="auto"/>
            <w:left w:val="none" w:sz="0" w:space="0" w:color="auto"/>
            <w:bottom w:val="none" w:sz="0" w:space="0" w:color="auto"/>
            <w:right w:val="none" w:sz="0" w:space="0" w:color="auto"/>
          </w:divBdr>
          <w:divsChild>
            <w:div w:id="1032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7442">
      <w:bodyDiv w:val="1"/>
      <w:marLeft w:val="0"/>
      <w:marRight w:val="0"/>
      <w:marTop w:val="0"/>
      <w:marBottom w:val="0"/>
      <w:divBdr>
        <w:top w:val="none" w:sz="0" w:space="0" w:color="auto"/>
        <w:left w:val="none" w:sz="0" w:space="0" w:color="auto"/>
        <w:bottom w:val="none" w:sz="0" w:space="0" w:color="auto"/>
        <w:right w:val="none" w:sz="0" w:space="0" w:color="auto"/>
      </w:divBdr>
      <w:divsChild>
        <w:div w:id="1763068890">
          <w:marLeft w:val="480"/>
          <w:marRight w:val="0"/>
          <w:marTop w:val="0"/>
          <w:marBottom w:val="0"/>
          <w:divBdr>
            <w:top w:val="none" w:sz="0" w:space="0" w:color="auto"/>
            <w:left w:val="none" w:sz="0" w:space="0" w:color="auto"/>
            <w:bottom w:val="none" w:sz="0" w:space="0" w:color="auto"/>
            <w:right w:val="none" w:sz="0" w:space="0" w:color="auto"/>
          </w:divBdr>
          <w:divsChild>
            <w:div w:id="151152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68811">
      <w:bodyDiv w:val="1"/>
      <w:marLeft w:val="0"/>
      <w:marRight w:val="0"/>
      <w:marTop w:val="0"/>
      <w:marBottom w:val="0"/>
      <w:divBdr>
        <w:top w:val="none" w:sz="0" w:space="0" w:color="auto"/>
        <w:left w:val="none" w:sz="0" w:space="0" w:color="auto"/>
        <w:bottom w:val="none" w:sz="0" w:space="0" w:color="auto"/>
        <w:right w:val="none" w:sz="0" w:space="0" w:color="auto"/>
      </w:divBdr>
      <w:divsChild>
        <w:div w:id="628052545">
          <w:marLeft w:val="480"/>
          <w:marRight w:val="0"/>
          <w:marTop w:val="0"/>
          <w:marBottom w:val="0"/>
          <w:divBdr>
            <w:top w:val="none" w:sz="0" w:space="0" w:color="auto"/>
            <w:left w:val="none" w:sz="0" w:space="0" w:color="auto"/>
            <w:bottom w:val="none" w:sz="0" w:space="0" w:color="auto"/>
            <w:right w:val="none" w:sz="0" w:space="0" w:color="auto"/>
          </w:divBdr>
          <w:divsChild>
            <w:div w:id="16983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90558">
      <w:bodyDiv w:val="1"/>
      <w:marLeft w:val="0"/>
      <w:marRight w:val="0"/>
      <w:marTop w:val="0"/>
      <w:marBottom w:val="0"/>
      <w:divBdr>
        <w:top w:val="none" w:sz="0" w:space="0" w:color="auto"/>
        <w:left w:val="none" w:sz="0" w:space="0" w:color="auto"/>
        <w:bottom w:val="none" w:sz="0" w:space="0" w:color="auto"/>
        <w:right w:val="none" w:sz="0" w:space="0" w:color="auto"/>
      </w:divBdr>
      <w:divsChild>
        <w:div w:id="1157041007">
          <w:marLeft w:val="480"/>
          <w:marRight w:val="0"/>
          <w:marTop w:val="0"/>
          <w:marBottom w:val="0"/>
          <w:divBdr>
            <w:top w:val="none" w:sz="0" w:space="0" w:color="auto"/>
            <w:left w:val="none" w:sz="0" w:space="0" w:color="auto"/>
            <w:bottom w:val="none" w:sz="0" w:space="0" w:color="auto"/>
            <w:right w:val="none" w:sz="0" w:space="0" w:color="auto"/>
          </w:divBdr>
          <w:divsChild>
            <w:div w:id="1133209161">
              <w:marLeft w:val="0"/>
              <w:marRight w:val="0"/>
              <w:marTop w:val="0"/>
              <w:marBottom w:val="0"/>
              <w:divBdr>
                <w:top w:val="none" w:sz="0" w:space="0" w:color="auto"/>
                <w:left w:val="none" w:sz="0" w:space="0" w:color="auto"/>
                <w:bottom w:val="none" w:sz="0" w:space="0" w:color="auto"/>
                <w:right w:val="none" w:sz="0" w:space="0" w:color="auto"/>
              </w:divBdr>
            </w:div>
            <w:div w:id="7958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2072">
      <w:bodyDiv w:val="1"/>
      <w:marLeft w:val="0"/>
      <w:marRight w:val="0"/>
      <w:marTop w:val="0"/>
      <w:marBottom w:val="0"/>
      <w:divBdr>
        <w:top w:val="none" w:sz="0" w:space="0" w:color="auto"/>
        <w:left w:val="none" w:sz="0" w:space="0" w:color="auto"/>
        <w:bottom w:val="none" w:sz="0" w:space="0" w:color="auto"/>
        <w:right w:val="none" w:sz="0" w:space="0" w:color="auto"/>
      </w:divBdr>
      <w:divsChild>
        <w:div w:id="1386104778">
          <w:marLeft w:val="480"/>
          <w:marRight w:val="0"/>
          <w:marTop w:val="0"/>
          <w:marBottom w:val="0"/>
          <w:divBdr>
            <w:top w:val="none" w:sz="0" w:space="0" w:color="auto"/>
            <w:left w:val="none" w:sz="0" w:space="0" w:color="auto"/>
            <w:bottom w:val="none" w:sz="0" w:space="0" w:color="auto"/>
            <w:right w:val="none" w:sz="0" w:space="0" w:color="auto"/>
          </w:divBdr>
          <w:divsChild>
            <w:div w:id="103403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9824">
      <w:bodyDiv w:val="1"/>
      <w:marLeft w:val="0"/>
      <w:marRight w:val="0"/>
      <w:marTop w:val="0"/>
      <w:marBottom w:val="0"/>
      <w:divBdr>
        <w:top w:val="none" w:sz="0" w:space="0" w:color="auto"/>
        <w:left w:val="none" w:sz="0" w:space="0" w:color="auto"/>
        <w:bottom w:val="none" w:sz="0" w:space="0" w:color="auto"/>
        <w:right w:val="none" w:sz="0" w:space="0" w:color="auto"/>
      </w:divBdr>
      <w:divsChild>
        <w:div w:id="1341347527">
          <w:marLeft w:val="480"/>
          <w:marRight w:val="0"/>
          <w:marTop w:val="0"/>
          <w:marBottom w:val="0"/>
          <w:divBdr>
            <w:top w:val="none" w:sz="0" w:space="0" w:color="auto"/>
            <w:left w:val="none" w:sz="0" w:space="0" w:color="auto"/>
            <w:bottom w:val="none" w:sz="0" w:space="0" w:color="auto"/>
            <w:right w:val="none" w:sz="0" w:space="0" w:color="auto"/>
          </w:divBdr>
          <w:divsChild>
            <w:div w:id="10492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53971">
      <w:bodyDiv w:val="1"/>
      <w:marLeft w:val="0"/>
      <w:marRight w:val="0"/>
      <w:marTop w:val="0"/>
      <w:marBottom w:val="0"/>
      <w:divBdr>
        <w:top w:val="none" w:sz="0" w:space="0" w:color="auto"/>
        <w:left w:val="none" w:sz="0" w:space="0" w:color="auto"/>
        <w:bottom w:val="none" w:sz="0" w:space="0" w:color="auto"/>
        <w:right w:val="none" w:sz="0" w:space="0" w:color="auto"/>
      </w:divBdr>
      <w:divsChild>
        <w:div w:id="194583245">
          <w:marLeft w:val="480"/>
          <w:marRight w:val="0"/>
          <w:marTop w:val="0"/>
          <w:marBottom w:val="0"/>
          <w:divBdr>
            <w:top w:val="none" w:sz="0" w:space="0" w:color="auto"/>
            <w:left w:val="none" w:sz="0" w:space="0" w:color="auto"/>
            <w:bottom w:val="none" w:sz="0" w:space="0" w:color="auto"/>
            <w:right w:val="none" w:sz="0" w:space="0" w:color="auto"/>
          </w:divBdr>
          <w:divsChild>
            <w:div w:id="207037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973">
      <w:bodyDiv w:val="1"/>
      <w:marLeft w:val="0"/>
      <w:marRight w:val="0"/>
      <w:marTop w:val="0"/>
      <w:marBottom w:val="0"/>
      <w:divBdr>
        <w:top w:val="none" w:sz="0" w:space="0" w:color="auto"/>
        <w:left w:val="none" w:sz="0" w:space="0" w:color="auto"/>
        <w:bottom w:val="none" w:sz="0" w:space="0" w:color="auto"/>
        <w:right w:val="none" w:sz="0" w:space="0" w:color="auto"/>
      </w:divBdr>
      <w:divsChild>
        <w:div w:id="105271176">
          <w:marLeft w:val="480"/>
          <w:marRight w:val="0"/>
          <w:marTop w:val="0"/>
          <w:marBottom w:val="0"/>
          <w:divBdr>
            <w:top w:val="none" w:sz="0" w:space="0" w:color="auto"/>
            <w:left w:val="none" w:sz="0" w:space="0" w:color="auto"/>
            <w:bottom w:val="none" w:sz="0" w:space="0" w:color="auto"/>
            <w:right w:val="none" w:sz="0" w:space="0" w:color="auto"/>
          </w:divBdr>
          <w:divsChild>
            <w:div w:id="1118644653">
              <w:marLeft w:val="0"/>
              <w:marRight w:val="0"/>
              <w:marTop w:val="0"/>
              <w:marBottom w:val="0"/>
              <w:divBdr>
                <w:top w:val="none" w:sz="0" w:space="0" w:color="auto"/>
                <w:left w:val="none" w:sz="0" w:space="0" w:color="auto"/>
                <w:bottom w:val="none" w:sz="0" w:space="0" w:color="auto"/>
                <w:right w:val="none" w:sz="0" w:space="0" w:color="auto"/>
              </w:divBdr>
            </w:div>
            <w:div w:id="170887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82069">
      <w:bodyDiv w:val="1"/>
      <w:marLeft w:val="0"/>
      <w:marRight w:val="0"/>
      <w:marTop w:val="0"/>
      <w:marBottom w:val="0"/>
      <w:divBdr>
        <w:top w:val="none" w:sz="0" w:space="0" w:color="auto"/>
        <w:left w:val="none" w:sz="0" w:space="0" w:color="auto"/>
        <w:bottom w:val="none" w:sz="0" w:space="0" w:color="auto"/>
        <w:right w:val="none" w:sz="0" w:space="0" w:color="auto"/>
      </w:divBdr>
      <w:divsChild>
        <w:div w:id="1939294251">
          <w:marLeft w:val="480"/>
          <w:marRight w:val="0"/>
          <w:marTop w:val="0"/>
          <w:marBottom w:val="0"/>
          <w:divBdr>
            <w:top w:val="none" w:sz="0" w:space="0" w:color="auto"/>
            <w:left w:val="none" w:sz="0" w:space="0" w:color="auto"/>
            <w:bottom w:val="none" w:sz="0" w:space="0" w:color="auto"/>
            <w:right w:val="none" w:sz="0" w:space="0" w:color="auto"/>
          </w:divBdr>
          <w:divsChild>
            <w:div w:id="777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7896">
      <w:bodyDiv w:val="1"/>
      <w:marLeft w:val="0"/>
      <w:marRight w:val="0"/>
      <w:marTop w:val="0"/>
      <w:marBottom w:val="0"/>
      <w:divBdr>
        <w:top w:val="none" w:sz="0" w:space="0" w:color="auto"/>
        <w:left w:val="none" w:sz="0" w:space="0" w:color="auto"/>
        <w:bottom w:val="none" w:sz="0" w:space="0" w:color="auto"/>
        <w:right w:val="none" w:sz="0" w:space="0" w:color="auto"/>
      </w:divBdr>
      <w:divsChild>
        <w:div w:id="1845515728">
          <w:marLeft w:val="480"/>
          <w:marRight w:val="0"/>
          <w:marTop w:val="0"/>
          <w:marBottom w:val="0"/>
          <w:divBdr>
            <w:top w:val="none" w:sz="0" w:space="0" w:color="auto"/>
            <w:left w:val="none" w:sz="0" w:space="0" w:color="auto"/>
            <w:bottom w:val="none" w:sz="0" w:space="0" w:color="auto"/>
            <w:right w:val="none" w:sz="0" w:space="0" w:color="auto"/>
          </w:divBdr>
          <w:divsChild>
            <w:div w:id="6448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3719">
      <w:bodyDiv w:val="1"/>
      <w:marLeft w:val="0"/>
      <w:marRight w:val="0"/>
      <w:marTop w:val="0"/>
      <w:marBottom w:val="0"/>
      <w:divBdr>
        <w:top w:val="none" w:sz="0" w:space="0" w:color="auto"/>
        <w:left w:val="none" w:sz="0" w:space="0" w:color="auto"/>
        <w:bottom w:val="none" w:sz="0" w:space="0" w:color="auto"/>
        <w:right w:val="none" w:sz="0" w:space="0" w:color="auto"/>
      </w:divBdr>
      <w:divsChild>
        <w:div w:id="1233733015">
          <w:marLeft w:val="480"/>
          <w:marRight w:val="0"/>
          <w:marTop w:val="0"/>
          <w:marBottom w:val="0"/>
          <w:divBdr>
            <w:top w:val="none" w:sz="0" w:space="0" w:color="auto"/>
            <w:left w:val="none" w:sz="0" w:space="0" w:color="auto"/>
            <w:bottom w:val="none" w:sz="0" w:space="0" w:color="auto"/>
            <w:right w:val="none" w:sz="0" w:space="0" w:color="auto"/>
          </w:divBdr>
          <w:divsChild>
            <w:div w:id="4980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22384">
      <w:bodyDiv w:val="1"/>
      <w:marLeft w:val="0"/>
      <w:marRight w:val="0"/>
      <w:marTop w:val="0"/>
      <w:marBottom w:val="0"/>
      <w:divBdr>
        <w:top w:val="none" w:sz="0" w:space="0" w:color="auto"/>
        <w:left w:val="none" w:sz="0" w:space="0" w:color="auto"/>
        <w:bottom w:val="none" w:sz="0" w:space="0" w:color="auto"/>
        <w:right w:val="none" w:sz="0" w:space="0" w:color="auto"/>
      </w:divBdr>
    </w:div>
    <w:div w:id="1226791832">
      <w:bodyDiv w:val="1"/>
      <w:marLeft w:val="0"/>
      <w:marRight w:val="0"/>
      <w:marTop w:val="0"/>
      <w:marBottom w:val="0"/>
      <w:divBdr>
        <w:top w:val="none" w:sz="0" w:space="0" w:color="auto"/>
        <w:left w:val="none" w:sz="0" w:space="0" w:color="auto"/>
        <w:bottom w:val="none" w:sz="0" w:space="0" w:color="auto"/>
        <w:right w:val="none" w:sz="0" w:space="0" w:color="auto"/>
      </w:divBdr>
      <w:divsChild>
        <w:div w:id="544605686">
          <w:marLeft w:val="480"/>
          <w:marRight w:val="0"/>
          <w:marTop w:val="0"/>
          <w:marBottom w:val="0"/>
          <w:divBdr>
            <w:top w:val="none" w:sz="0" w:space="0" w:color="auto"/>
            <w:left w:val="none" w:sz="0" w:space="0" w:color="auto"/>
            <w:bottom w:val="none" w:sz="0" w:space="0" w:color="auto"/>
            <w:right w:val="none" w:sz="0" w:space="0" w:color="auto"/>
          </w:divBdr>
          <w:divsChild>
            <w:div w:id="10065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8548">
      <w:bodyDiv w:val="1"/>
      <w:marLeft w:val="0"/>
      <w:marRight w:val="0"/>
      <w:marTop w:val="0"/>
      <w:marBottom w:val="0"/>
      <w:divBdr>
        <w:top w:val="none" w:sz="0" w:space="0" w:color="auto"/>
        <w:left w:val="none" w:sz="0" w:space="0" w:color="auto"/>
        <w:bottom w:val="none" w:sz="0" w:space="0" w:color="auto"/>
        <w:right w:val="none" w:sz="0" w:space="0" w:color="auto"/>
      </w:divBdr>
      <w:divsChild>
        <w:div w:id="1370375768">
          <w:marLeft w:val="480"/>
          <w:marRight w:val="0"/>
          <w:marTop w:val="0"/>
          <w:marBottom w:val="0"/>
          <w:divBdr>
            <w:top w:val="none" w:sz="0" w:space="0" w:color="auto"/>
            <w:left w:val="none" w:sz="0" w:space="0" w:color="auto"/>
            <w:bottom w:val="none" w:sz="0" w:space="0" w:color="auto"/>
            <w:right w:val="none" w:sz="0" w:space="0" w:color="auto"/>
          </w:divBdr>
          <w:divsChild>
            <w:div w:id="10885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9135">
      <w:bodyDiv w:val="1"/>
      <w:marLeft w:val="0"/>
      <w:marRight w:val="0"/>
      <w:marTop w:val="0"/>
      <w:marBottom w:val="0"/>
      <w:divBdr>
        <w:top w:val="none" w:sz="0" w:space="0" w:color="auto"/>
        <w:left w:val="none" w:sz="0" w:space="0" w:color="auto"/>
        <w:bottom w:val="none" w:sz="0" w:space="0" w:color="auto"/>
        <w:right w:val="none" w:sz="0" w:space="0" w:color="auto"/>
      </w:divBdr>
      <w:divsChild>
        <w:div w:id="1289706901">
          <w:marLeft w:val="480"/>
          <w:marRight w:val="0"/>
          <w:marTop w:val="0"/>
          <w:marBottom w:val="0"/>
          <w:divBdr>
            <w:top w:val="none" w:sz="0" w:space="0" w:color="auto"/>
            <w:left w:val="none" w:sz="0" w:space="0" w:color="auto"/>
            <w:bottom w:val="none" w:sz="0" w:space="0" w:color="auto"/>
            <w:right w:val="none" w:sz="0" w:space="0" w:color="auto"/>
          </w:divBdr>
          <w:divsChild>
            <w:div w:id="844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9107">
      <w:bodyDiv w:val="1"/>
      <w:marLeft w:val="0"/>
      <w:marRight w:val="0"/>
      <w:marTop w:val="0"/>
      <w:marBottom w:val="0"/>
      <w:divBdr>
        <w:top w:val="none" w:sz="0" w:space="0" w:color="auto"/>
        <w:left w:val="none" w:sz="0" w:space="0" w:color="auto"/>
        <w:bottom w:val="none" w:sz="0" w:space="0" w:color="auto"/>
        <w:right w:val="none" w:sz="0" w:space="0" w:color="auto"/>
      </w:divBdr>
      <w:divsChild>
        <w:div w:id="1398746761">
          <w:marLeft w:val="480"/>
          <w:marRight w:val="0"/>
          <w:marTop w:val="0"/>
          <w:marBottom w:val="0"/>
          <w:divBdr>
            <w:top w:val="none" w:sz="0" w:space="0" w:color="auto"/>
            <w:left w:val="none" w:sz="0" w:space="0" w:color="auto"/>
            <w:bottom w:val="none" w:sz="0" w:space="0" w:color="auto"/>
            <w:right w:val="none" w:sz="0" w:space="0" w:color="auto"/>
          </w:divBdr>
          <w:divsChild>
            <w:div w:id="1743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7449">
      <w:bodyDiv w:val="1"/>
      <w:marLeft w:val="0"/>
      <w:marRight w:val="0"/>
      <w:marTop w:val="0"/>
      <w:marBottom w:val="0"/>
      <w:divBdr>
        <w:top w:val="none" w:sz="0" w:space="0" w:color="auto"/>
        <w:left w:val="none" w:sz="0" w:space="0" w:color="auto"/>
        <w:bottom w:val="none" w:sz="0" w:space="0" w:color="auto"/>
        <w:right w:val="none" w:sz="0" w:space="0" w:color="auto"/>
      </w:divBdr>
      <w:divsChild>
        <w:div w:id="621034582">
          <w:marLeft w:val="480"/>
          <w:marRight w:val="0"/>
          <w:marTop w:val="0"/>
          <w:marBottom w:val="0"/>
          <w:divBdr>
            <w:top w:val="none" w:sz="0" w:space="0" w:color="auto"/>
            <w:left w:val="none" w:sz="0" w:space="0" w:color="auto"/>
            <w:bottom w:val="none" w:sz="0" w:space="0" w:color="auto"/>
            <w:right w:val="none" w:sz="0" w:space="0" w:color="auto"/>
          </w:divBdr>
          <w:divsChild>
            <w:div w:id="14444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30317">
      <w:bodyDiv w:val="1"/>
      <w:marLeft w:val="0"/>
      <w:marRight w:val="0"/>
      <w:marTop w:val="0"/>
      <w:marBottom w:val="0"/>
      <w:divBdr>
        <w:top w:val="none" w:sz="0" w:space="0" w:color="auto"/>
        <w:left w:val="none" w:sz="0" w:space="0" w:color="auto"/>
        <w:bottom w:val="none" w:sz="0" w:space="0" w:color="auto"/>
        <w:right w:val="none" w:sz="0" w:space="0" w:color="auto"/>
      </w:divBdr>
      <w:divsChild>
        <w:div w:id="2108888418">
          <w:marLeft w:val="480"/>
          <w:marRight w:val="0"/>
          <w:marTop w:val="0"/>
          <w:marBottom w:val="0"/>
          <w:divBdr>
            <w:top w:val="none" w:sz="0" w:space="0" w:color="auto"/>
            <w:left w:val="none" w:sz="0" w:space="0" w:color="auto"/>
            <w:bottom w:val="none" w:sz="0" w:space="0" w:color="auto"/>
            <w:right w:val="none" w:sz="0" w:space="0" w:color="auto"/>
          </w:divBdr>
          <w:divsChild>
            <w:div w:id="586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2804">
      <w:bodyDiv w:val="1"/>
      <w:marLeft w:val="0"/>
      <w:marRight w:val="0"/>
      <w:marTop w:val="0"/>
      <w:marBottom w:val="0"/>
      <w:divBdr>
        <w:top w:val="none" w:sz="0" w:space="0" w:color="auto"/>
        <w:left w:val="none" w:sz="0" w:space="0" w:color="auto"/>
        <w:bottom w:val="none" w:sz="0" w:space="0" w:color="auto"/>
        <w:right w:val="none" w:sz="0" w:space="0" w:color="auto"/>
      </w:divBdr>
      <w:divsChild>
        <w:div w:id="1722752782">
          <w:marLeft w:val="480"/>
          <w:marRight w:val="0"/>
          <w:marTop w:val="0"/>
          <w:marBottom w:val="0"/>
          <w:divBdr>
            <w:top w:val="none" w:sz="0" w:space="0" w:color="auto"/>
            <w:left w:val="none" w:sz="0" w:space="0" w:color="auto"/>
            <w:bottom w:val="none" w:sz="0" w:space="0" w:color="auto"/>
            <w:right w:val="none" w:sz="0" w:space="0" w:color="auto"/>
          </w:divBdr>
          <w:divsChild>
            <w:div w:id="8616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6235">
      <w:bodyDiv w:val="1"/>
      <w:marLeft w:val="0"/>
      <w:marRight w:val="0"/>
      <w:marTop w:val="0"/>
      <w:marBottom w:val="0"/>
      <w:divBdr>
        <w:top w:val="none" w:sz="0" w:space="0" w:color="auto"/>
        <w:left w:val="none" w:sz="0" w:space="0" w:color="auto"/>
        <w:bottom w:val="none" w:sz="0" w:space="0" w:color="auto"/>
        <w:right w:val="none" w:sz="0" w:space="0" w:color="auto"/>
      </w:divBdr>
      <w:divsChild>
        <w:div w:id="312611207">
          <w:marLeft w:val="480"/>
          <w:marRight w:val="0"/>
          <w:marTop w:val="0"/>
          <w:marBottom w:val="0"/>
          <w:divBdr>
            <w:top w:val="none" w:sz="0" w:space="0" w:color="auto"/>
            <w:left w:val="none" w:sz="0" w:space="0" w:color="auto"/>
            <w:bottom w:val="none" w:sz="0" w:space="0" w:color="auto"/>
            <w:right w:val="none" w:sz="0" w:space="0" w:color="auto"/>
          </w:divBdr>
          <w:divsChild>
            <w:div w:id="8067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48722">
      <w:bodyDiv w:val="1"/>
      <w:marLeft w:val="0"/>
      <w:marRight w:val="0"/>
      <w:marTop w:val="0"/>
      <w:marBottom w:val="0"/>
      <w:divBdr>
        <w:top w:val="none" w:sz="0" w:space="0" w:color="auto"/>
        <w:left w:val="none" w:sz="0" w:space="0" w:color="auto"/>
        <w:bottom w:val="none" w:sz="0" w:space="0" w:color="auto"/>
        <w:right w:val="none" w:sz="0" w:space="0" w:color="auto"/>
      </w:divBdr>
      <w:divsChild>
        <w:div w:id="266937132">
          <w:marLeft w:val="480"/>
          <w:marRight w:val="0"/>
          <w:marTop w:val="0"/>
          <w:marBottom w:val="0"/>
          <w:divBdr>
            <w:top w:val="none" w:sz="0" w:space="0" w:color="auto"/>
            <w:left w:val="none" w:sz="0" w:space="0" w:color="auto"/>
            <w:bottom w:val="none" w:sz="0" w:space="0" w:color="auto"/>
            <w:right w:val="none" w:sz="0" w:space="0" w:color="auto"/>
          </w:divBdr>
          <w:divsChild>
            <w:div w:id="15332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88996">
      <w:bodyDiv w:val="1"/>
      <w:marLeft w:val="0"/>
      <w:marRight w:val="0"/>
      <w:marTop w:val="0"/>
      <w:marBottom w:val="0"/>
      <w:divBdr>
        <w:top w:val="none" w:sz="0" w:space="0" w:color="auto"/>
        <w:left w:val="none" w:sz="0" w:space="0" w:color="auto"/>
        <w:bottom w:val="none" w:sz="0" w:space="0" w:color="auto"/>
        <w:right w:val="none" w:sz="0" w:space="0" w:color="auto"/>
      </w:divBdr>
      <w:divsChild>
        <w:div w:id="493641504">
          <w:marLeft w:val="480"/>
          <w:marRight w:val="0"/>
          <w:marTop w:val="0"/>
          <w:marBottom w:val="0"/>
          <w:divBdr>
            <w:top w:val="none" w:sz="0" w:space="0" w:color="auto"/>
            <w:left w:val="none" w:sz="0" w:space="0" w:color="auto"/>
            <w:bottom w:val="none" w:sz="0" w:space="0" w:color="auto"/>
            <w:right w:val="none" w:sz="0" w:space="0" w:color="auto"/>
          </w:divBdr>
          <w:divsChild>
            <w:div w:id="44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05893">
      <w:bodyDiv w:val="1"/>
      <w:marLeft w:val="0"/>
      <w:marRight w:val="0"/>
      <w:marTop w:val="0"/>
      <w:marBottom w:val="0"/>
      <w:divBdr>
        <w:top w:val="none" w:sz="0" w:space="0" w:color="auto"/>
        <w:left w:val="none" w:sz="0" w:space="0" w:color="auto"/>
        <w:bottom w:val="none" w:sz="0" w:space="0" w:color="auto"/>
        <w:right w:val="none" w:sz="0" w:space="0" w:color="auto"/>
      </w:divBdr>
      <w:divsChild>
        <w:div w:id="397898926">
          <w:marLeft w:val="480"/>
          <w:marRight w:val="0"/>
          <w:marTop w:val="0"/>
          <w:marBottom w:val="0"/>
          <w:divBdr>
            <w:top w:val="none" w:sz="0" w:space="0" w:color="auto"/>
            <w:left w:val="none" w:sz="0" w:space="0" w:color="auto"/>
            <w:bottom w:val="none" w:sz="0" w:space="0" w:color="auto"/>
            <w:right w:val="none" w:sz="0" w:space="0" w:color="auto"/>
          </w:divBdr>
          <w:divsChild>
            <w:div w:id="1222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6944">
      <w:bodyDiv w:val="1"/>
      <w:marLeft w:val="0"/>
      <w:marRight w:val="0"/>
      <w:marTop w:val="0"/>
      <w:marBottom w:val="0"/>
      <w:divBdr>
        <w:top w:val="none" w:sz="0" w:space="0" w:color="auto"/>
        <w:left w:val="none" w:sz="0" w:space="0" w:color="auto"/>
        <w:bottom w:val="none" w:sz="0" w:space="0" w:color="auto"/>
        <w:right w:val="none" w:sz="0" w:space="0" w:color="auto"/>
      </w:divBdr>
      <w:divsChild>
        <w:div w:id="481428683">
          <w:marLeft w:val="480"/>
          <w:marRight w:val="0"/>
          <w:marTop w:val="0"/>
          <w:marBottom w:val="0"/>
          <w:divBdr>
            <w:top w:val="none" w:sz="0" w:space="0" w:color="auto"/>
            <w:left w:val="none" w:sz="0" w:space="0" w:color="auto"/>
            <w:bottom w:val="none" w:sz="0" w:space="0" w:color="auto"/>
            <w:right w:val="none" w:sz="0" w:space="0" w:color="auto"/>
          </w:divBdr>
          <w:divsChild>
            <w:div w:id="4917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04168">
      <w:bodyDiv w:val="1"/>
      <w:marLeft w:val="0"/>
      <w:marRight w:val="0"/>
      <w:marTop w:val="0"/>
      <w:marBottom w:val="0"/>
      <w:divBdr>
        <w:top w:val="none" w:sz="0" w:space="0" w:color="auto"/>
        <w:left w:val="none" w:sz="0" w:space="0" w:color="auto"/>
        <w:bottom w:val="none" w:sz="0" w:space="0" w:color="auto"/>
        <w:right w:val="none" w:sz="0" w:space="0" w:color="auto"/>
      </w:divBdr>
      <w:divsChild>
        <w:div w:id="452871499">
          <w:marLeft w:val="480"/>
          <w:marRight w:val="0"/>
          <w:marTop w:val="0"/>
          <w:marBottom w:val="0"/>
          <w:divBdr>
            <w:top w:val="none" w:sz="0" w:space="0" w:color="auto"/>
            <w:left w:val="none" w:sz="0" w:space="0" w:color="auto"/>
            <w:bottom w:val="none" w:sz="0" w:space="0" w:color="auto"/>
            <w:right w:val="none" w:sz="0" w:space="0" w:color="auto"/>
          </w:divBdr>
          <w:divsChild>
            <w:div w:id="7266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4020">
      <w:bodyDiv w:val="1"/>
      <w:marLeft w:val="0"/>
      <w:marRight w:val="0"/>
      <w:marTop w:val="0"/>
      <w:marBottom w:val="0"/>
      <w:divBdr>
        <w:top w:val="none" w:sz="0" w:space="0" w:color="auto"/>
        <w:left w:val="none" w:sz="0" w:space="0" w:color="auto"/>
        <w:bottom w:val="none" w:sz="0" w:space="0" w:color="auto"/>
        <w:right w:val="none" w:sz="0" w:space="0" w:color="auto"/>
      </w:divBdr>
      <w:divsChild>
        <w:div w:id="1053311997">
          <w:marLeft w:val="480"/>
          <w:marRight w:val="0"/>
          <w:marTop w:val="0"/>
          <w:marBottom w:val="0"/>
          <w:divBdr>
            <w:top w:val="none" w:sz="0" w:space="0" w:color="auto"/>
            <w:left w:val="none" w:sz="0" w:space="0" w:color="auto"/>
            <w:bottom w:val="none" w:sz="0" w:space="0" w:color="auto"/>
            <w:right w:val="none" w:sz="0" w:space="0" w:color="auto"/>
          </w:divBdr>
          <w:divsChild>
            <w:div w:id="1225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61147">
      <w:bodyDiv w:val="1"/>
      <w:marLeft w:val="0"/>
      <w:marRight w:val="0"/>
      <w:marTop w:val="0"/>
      <w:marBottom w:val="0"/>
      <w:divBdr>
        <w:top w:val="none" w:sz="0" w:space="0" w:color="auto"/>
        <w:left w:val="none" w:sz="0" w:space="0" w:color="auto"/>
        <w:bottom w:val="none" w:sz="0" w:space="0" w:color="auto"/>
        <w:right w:val="none" w:sz="0" w:space="0" w:color="auto"/>
      </w:divBdr>
      <w:divsChild>
        <w:div w:id="263848369">
          <w:marLeft w:val="480"/>
          <w:marRight w:val="0"/>
          <w:marTop w:val="0"/>
          <w:marBottom w:val="0"/>
          <w:divBdr>
            <w:top w:val="none" w:sz="0" w:space="0" w:color="auto"/>
            <w:left w:val="none" w:sz="0" w:space="0" w:color="auto"/>
            <w:bottom w:val="none" w:sz="0" w:space="0" w:color="auto"/>
            <w:right w:val="none" w:sz="0" w:space="0" w:color="auto"/>
          </w:divBdr>
          <w:divsChild>
            <w:div w:id="189584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90916">
      <w:bodyDiv w:val="1"/>
      <w:marLeft w:val="0"/>
      <w:marRight w:val="0"/>
      <w:marTop w:val="0"/>
      <w:marBottom w:val="0"/>
      <w:divBdr>
        <w:top w:val="none" w:sz="0" w:space="0" w:color="auto"/>
        <w:left w:val="none" w:sz="0" w:space="0" w:color="auto"/>
        <w:bottom w:val="none" w:sz="0" w:space="0" w:color="auto"/>
        <w:right w:val="none" w:sz="0" w:space="0" w:color="auto"/>
      </w:divBdr>
      <w:divsChild>
        <w:div w:id="801650311">
          <w:marLeft w:val="480"/>
          <w:marRight w:val="0"/>
          <w:marTop w:val="0"/>
          <w:marBottom w:val="0"/>
          <w:divBdr>
            <w:top w:val="none" w:sz="0" w:space="0" w:color="auto"/>
            <w:left w:val="none" w:sz="0" w:space="0" w:color="auto"/>
            <w:bottom w:val="none" w:sz="0" w:space="0" w:color="auto"/>
            <w:right w:val="none" w:sz="0" w:space="0" w:color="auto"/>
          </w:divBdr>
          <w:divsChild>
            <w:div w:id="13208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3846">
      <w:bodyDiv w:val="1"/>
      <w:marLeft w:val="0"/>
      <w:marRight w:val="0"/>
      <w:marTop w:val="0"/>
      <w:marBottom w:val="0"/>
      <w:divBdr>
        <w:top w:val="none" w:sz="0" w:space="0" w:color="auto"/>
        <w:left w:val="none" w:sz="0" w:space="0" w:color="auto"/>
        <w:bottom w:val="none" w:sz="0" w:space="0" w:color="auto"/>
        <w:right w:val="none" w:sz="0" w:space="0" w:color="auto"/>
      </w:divBdr>
      <w:divsChild>
        <w:div w:id="2013143162">
          <w:marLeft w:val="480"/>
          <w:marRight w:val="0"/>
          <w:marTop w:val="0"/>
          <w:marBottom w:val="0"/>
          <w:divBdr>
            <w:top w:val="none" w:sz="0" w:space="0" w:color="auto"/>
            <w:left w:val="none" w:sz="0" w:space="0" w:color="auto"/>
            <w:bottom w:val="none" w:sz="0" w:space="0" w:color="auto"/>
            <w:right w:val="none" w:sz="0" w:space="0" w:color="auto"/>
          </w:divBdr>
          <w:divsChild>
            <w:div w:id="61179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2255">
      <w:bodyDiv w:val="1"/>
      <w:marLeft w:val="0"/>
      <w:marRight w:val="0"/>
      <w:marTop w:val="0"/>
      <w:marBottom w:val="0"/>
      <w:divBdr>
        <w:top w:val="none" w:sz="0" w:space="0" w:color="auto"/>
        <w:left w:val="none" w:sz="0" w:space="0" w:color="auto"/>
        <w:bottom w:val="none" w:sz="0" w:space="0" w:color="auto"/>
        <w:right w:val="none" w:sz="0" w:space="0" w:color="auto"/>
      </w:divBdr>
      <w:divsChild>
        <w:div w:id="914824194">
          <w:marLeft w:val="480"/>
          <w:marRight w:val="0"/>
          <w:marTop w:val="0"/>
          <w:marBottom w:val="0"/>
          <w:divBdr>
            <w:top w:val="none" w:sz="0" w:space="0" w:color="auto"/>
            <w:left w:val="none" w:sz="0" w:space="0" w:color="auto"/>
            <w:bottom w:val="none" w:sz="0" w:space="0" w:color="auto"/>
            <w:right w:val="none" w:sz="0" w:space="0" w:color="auto"/>
          </w:divBdr>
          <w:divsChild>
            <w:div w:id="8347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pers.ssrn.com/abstract=2971447" TargetMode="External"/><Relationship Id="rId18" Type="http://schemas.openxmlformats.org/officeDocument/2006/relationships/hyperlink" Target="https://ore.exeter.ac.uk/repository/bitstream/handle/10871/39248/13.10.19%20Briefing%20Paper.pdf?sequence=1&amp;isAllowed=y" TargetMode="External"/><Relationship Id="rId26" Type="http://schemas.openxmlformats.org/officeDocument/2006/relationships/hyperlink" Target="https://doi.org/10.1177/1077801219844606" TargetMode="External"/><Relationship Id="rId3" Type="http://schemas.openxmlformats.org/officeDocument/2006/relationships/settings" Target="settings.xml"/><Relationship Id="rId21" Type="http://schemas.openxmlformats.org/officeDocument/2006/relationships/hyperlink" Target="https://archive.discoversociety.org/2016/03/01/theorising-violence-against-women-and-girls/" TargetMode="External"/><Relationship Id="rId34" Type="http://schemas.openxmlformats.org/officeDocument/2006/relationships/hyperlink" Target="https://www.lwbooks.co.uk/sites/default/files/nf86_03whitely_page.pdf" TargetMode="External"/><Relationship Id="rId7" Type="http://schemas.openxmlformats.org/officeDocument/2006/relationships/hyperlink" Target="https://doi.org/10.1332/239868021X16270572218631" TargetMode="External"/><Relationship Id="rId12" Type="http://schemas.openxmlformats.org/officeDocument/2006/relationships/hyperlink" Target="https://doi.org/10.1177/09646639211002243" TargetMode="External"/><Relationship Id="rId17" Type="http://schemas.openxmlformats.org/officeDocument/2006/relationships/hyperlink" Target="https://assets.website-files.com/61c2583e4730c0d5b054b8ab/623a86e60a6118c69da92d37_2021%20NSSS%20National%20Report.pdf" TargetMode="External"/><Relationship Id="rId25" Type="http://schemas.openxmlformats.org/officeDocument/2006/relationships/hyperlink" Target="https://doi.org/10.1177/00380261211049024" TargetMode="External"/><Relationship Id="rId33" Type="http://schemas.openxmlformats.org/officeDocument/2006/relationships/hyperlink" Target="https://doi.org/10.1086/716640" TargetMode="External"/><Relationship Id="rId2" Type="http://schemas.openxmlformats.org/officeDocument/2006/relationships/styles" Target="styles.xml"/><Relationship Id="rId16" Type="http://schemas.openxmlformats.org/officeDocument/2006/relationships/hyperlink" Target="https://doi.org/10.1111/jols.12306" TargetMode="External"/><Relationship Id="rId20" Type="http://schemas.openxmlformats.org/officeDocument/2006/relationships/hyperlink" Target="https://www.wits.ac.za/media/wits-university/students/gender-equity-and-tolerance/documents/Disciplinary%20Process%20for%20Gender-Related%20Misconduct.pdf" TargetMode="External"/><Relationship Id="rId29" Type="http://schemas.openxmlformats.org/officeDocument/2006/relationships/hyperlink" Target="https://www.theguardian.com/books/2016/jul/15/rebecca-solnit-hope-in-the-dark-new-essay-embrace-unknown" TargetMode="External"/><Relationship Id="rId1" Type="http://schemas.openxmlformats.org/officeDocument/2006/relationships/numbering" Target="numbering.xml"/><Relationship Id="rId6" Type="http://schemas.openxmlformats.org/officeDocument/2006/relationships/hyperlink" Target="https://doi.org/10.31235/osf.io/a38d2" TargetMode="External"/><Relationship Id="rId11" Type="http://schemas.openxmlformats.org/officeDocument/2006/relationships/hyperlink" Target="https://doi.org/10.1080/09540253.2021.1884199" TargetMode="External"/><Relationship Id="rId24" Type="http://schemas.openxmlformats.org/officeDocument/2006/relationships/hyperlink" Target="https://doi.org/10.17226/24994" TargetMode="External"/><Relationship Id="rId32" Type="http://schemas.openxmlformats.org/officeDocument/2006/relationships/hyperlink" Target="https://doi.org/10.1017/aaq.2021.19" TargetMode="External"/><Relationship Id="rId5" Type="http://schemas.openxmlformats.org/officeDocument/2006/relationships/hyperlink" Target="https://doi.org/10.1103/PhysRevPhysEducRes.15.010121" TargetMode="External"/><Relationship Id="rId15" Type="http://schemas.openxmlformats.org/officeDocument/2006/relationships/hyperlink" Target="https://doi.org/10.1002/2017JE005256" TargetMode="External"/><Relationship Id="rId23" Type="http://schemas.openxmlformats.org/officeDocument/2006/relationships/hyperlink" Target="https://doi.org/10.1080/09589236.2021.1924643" TargetMode="External"/><Relationship Id="rId28" Type="http://schemas.openxmlformats.org/officeDocument/2006/relationships/hyperlink" Target="https://doi.org/10.1080/09540253.2021.1955093" TargetMode="External"/><Relationship Id="rId36" Type="http://schemas.openxmlformats.org/officeDocument/2006/relationships/theme" Target="theme/theme1.xml"/><Relationship Id="rId10" Type="http://schemas.openxmlformats.org/officeDocument/2006/relationships/hyperlink" Target="https://doi.org/10.1080/13603108.2020.1823512" TargetMode="External"/><Relationship Id="rId19" Type="http://schemas.openxmlformats.org/officeDocument/2006/relationships/hyperlink" Target="https://doi.org/10.1177/0018726718809164" TargetMode="External"/><Relationship Id="rId31" Type="http://schemas.openxmlformats.org/officeDocument/2006/relationships/hyperlink" Target="https://www.unwomen.org/-/media/headquarters/attachments/sections/library/publications/2018/towards-an-end-to-sexual-harassment-en.pdf?la=en&amp;vs=4236" TargetMode="External"/><Relationship Id="rId4" Type="http://schemas.openxmlformats.org/officeDocument/2006/relationships/webSettings" Target="webSettings.xml"/><Relationship Id="rId9" Type="http://schemas.openxmlformats.org/officeDocument/2006/relationships/hyperlink" Target="http://classonline.org.uk/docs/A_New_Vision_For_Further_and_Higher_Education_220519_1647_forwebv1.pdf" TargetMode="External"/><Relationship Id="rId14" Type="http://schemas.openxmlformats.org/officeDocument/2006/relationships/hyperlink" Target="https://antipodeonline.org/2022/01/06/precarity-transactions-insecure-attachments/" TargetMode="External"/><Relationship Id="rId22" Type="http://schemas.openxmlformats.org/officeDocument/2006/relationships/hyperlink" Target="https://doi.org/info:doi/10.1332/239868017X15127312653082" TargetMode="External"/><Relationship Id="rId27" Type="http://schemas.openxmlformats.org/officeDocument/2006/relationships/hyperlink" Target="https://doi.org/10.1080/09540253.2018.1482413" TargetMode="External"/><Relationship Id="rId30" Type="http://schemas.openxmlformats.org/officeDocument/2006/relationships/hyperlink" Target="https://1752group.files.wordpress.com/2021/09/5ed32-the-1752-group-and-mcallister-olivarius-sector-guidance-to-address-staff-sexual-misconduct-in-uk-he.pdf" TargetMode="External"/><Relationship Id="rId35" Type="http://schemas.openxmlformats.org/officeDocument/2006/relationships/fontTable" Target="fontTable.xml"/><Relationship Id="rId8" Type="http://schemas.openxmlformats.org/officeDocument/2006/relationships/hyperlink" Target="https://1752group.files.wordpress.com/2018/09/silencing-students_the-1752-grou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9</Pages>
  <Words>4100</Words>
  <Characters>23372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Bull</dc:creator>
  <cp:keywords/>
  <dc:description/>
  <cp:lastModifiedBy>Anna Bull</cp:lastModifiedBy>
  <cp:revision>17</cp:revision>
  <dcterms:created xsi:type="dcterms:W3CDTF">2022-03-25T10:05:00Z</dcterms:created>
  <dcterms:modified xsi:type="dcterms:W3CDTF">2022-11-18T19:21:00Z</dcterms:modified>
</cp:coreProperties>
</file>