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5AA7" w14:textId="2036C485" w:rsidR="00BD0782" w:rsidRDefault="00BD0782" w:rsidP="006600B5">
      <w:pPr>
        <w:spacing w:after="0" w:line="480" w:lineRule="auto"/>
        <w:rPr>
          <w:rFonts w:ascii="Calibri" w:hAnsi="Calibri" w:cs="Calibri"/>
          <w:b/>
          <w:color w:val="201F1E"/>
          <w:sz w:val="28"/>
          <w:szCs w:val="28"/>
          <w:shd w:val="clear" w:color="auto" w:fill="FFFFFF"/>
        </w:rPr>
      </w:pPr>
      <w:r w:rsidRPr="00BD0782">
        <w:rPr>
          <w:rFonts w:ascii="Calibri" w:hAnsi="Calibri" w:cs="Calibri"/>
          <w:b/>
          <w:color w:val="201F1E"/>
          <w:sz w:val="28"/>
          <w:szCs w:val="28"/>
          <w:shd w:val="clear" w:color="auto" w:fill="FFFFFF"/>
        </w:rPr>
        <w:t>Exploring the barriers to accessing personal financial planning advice</w:t>
      </w:r>
    </w:p>
    <w:p w14:paraId="701DD8A3" w14:textId="255342B2" w:rsidR="008E7AED" w:rsidRPr="00BD0782" w:rsidRDefault="008E7AED" w:rsidP="008E7AED">
      <w:pPr>
        <w:spacing w:after="0" w:line="480" w:lineRule="auto"/>
        <w:rPr>
          <w:rFonts w:ascii="Calibri" w:hAnsi="Calibri" w:cs="Calibri"/>
          <w:b/>
          <w:color w:val="201F1E"/>
          <w:sz w:val="28"/>
          <w:szCs w:val="28"/>
          <w:shd w:val="clear" w:color="auto" w:fill="FFFFFF"/>
        </w:rPr>
      </w:pPr>
      <w:r w:rsidRPr="008E7AED">
        <w:rPr>
          <w:rFonts w:ascii="Calibri" w:hAnsi="Calibri" w:cs="Calibri"/>
          <w:b/>
          <w:color w:val="201F1E"/>
          <w:sz w:val="28"/>
          <w:szCs w:val="28"/>
          <w:shd w:val="clear" w:color="auto" w:fill="FFFFFF"/>
        </w:rPr>
        <w:t>John Moss</w:t>
      </w:r>
      <w:r>
        <w:rPr>
          <w:rFonts w:ascii="Calibri" w:hAnsi="Calibri" w:cs="Calibri"/>
          <w:b/>
          <w:color w:val="201F1E"/>
          <w:sz w:val="28"/>
          <w:szCs w:val="28"/>
          <w:shd w:val="clear" w:color="auto" w:fill="FFFFFF"/>
        </w:rPr>
        <w:t xml:space="preserve">, </w:t>
      </w:r>
      <w:r w:rsidRPr="008E7AED">
        <w:rPr>
          <w:rFonts w:ascii="Calibri" w:hAnsi="Calibri" w:cs="Calibri"/>
          <w:b/>
          <w:color w:val="201F1E"/>
          <w:sz w:val="28"/>
          <w:szCs w:val="28"/>
          <w:shd w:val="clear" w:color="auto" w:fill="FFFFFF"/>
        </w:rPr>
        <w:t xml:space="preserve"> Karen Rowlingson </w:t>
      </w:r>
      <w:r>
        <w:rPr>
          <w:rFonts w:ascii="Calibri" w:hAnsi="Calibri" w:cs="Calibri"/>
          <w:b/>
          <w:color w:val="201F1E"/>
          <w:sz w:val="28"/>
          <w:szCs w:val="28"/>
          <w:shd w:val="clear" w:color="auto" w:fill="FFFFFF"/>
        </w:rPr>
        <w:t xml:space="preserve">and </w:t>
      </w:r>
      <w:r w:rsidRPr="008E7AED">
        <w:rPr>
          <w:rFonts w:ascii="Calibri" w:hAnsi="Calibri" w:cs="Calibri"/>
          <w:b/>
          <w:color w:val="201F1E"/>
          <w:sz w:val="28"/>
          <w:szCs w:val="28"/>
          <w:shd w:val="clear" w:color="auto" w:fill="FFFFFF"/>
        </w:rPr>
        <w:t>Andrew Lymer</w:t>
      </w:r>
    </w:p>
    <w:p w14:paraId="4887DC2B" w14:textId="0530816D" w:rsidR="006600B5" w:rsidRDefault="00E4127C" w:rsidP="006600B5">
      <w:pPr>
        <w:spacing w:after="0" w:line="480" w:lineRule="auto"/>
        <w:rPr>
          <w:rFonts w:eastAsia="Times New Roman" w:cstheme="minorHAnsi"/>
          <w:b/>
          <w:sz w:val="24"/>
          <w:szCs w:val="24"/>
          <w:u w:val="single"/>
        </w:rPr>
      </w:pPr>
      <w:r w:rsidRPr="00640529">
        <w:rPr>
          <w:rFonts w:eastAsia="Times New Roman" w:cstheme="minorHAnsi"/>
          <w:b/>
          <w:sz w:val="24"/>
          <w:szCs w:val="24"/>
          <w:u w:val="single"/>
        </w:rPr>
        <w:t>Abstract.</w:t>
      </w:r>
    </w:p>
    <w:p w14:paraId="46C1A8B6" w14:textId="1AAD273B" w:rsidR="00BD53A4" w:rsidRPr="00640529" w:rsidRDefault="009F4A87" w:rsidP="006600B5">
      <w:pPr>
        <w:spacing w:after="0" w:line="480" w:lineRule="auto"/>
        <w:rPr>
          <w:rFonts w:eastAsia="Times New Roman" w:cstheme="minorHAnsi"/>
          <w:sz w:val="24"/>
          <w:szCs w:val="24"/>
        </w:rPr>
      </w:pPr>
      <w:r>
        <w:rPr>
          <w:rFonts w:eastAsia="Times New Roman" w:cstheme="minorHAnsi"/>
          <w:sz w:val="24"/>
          <w:szCs w:val="24"/>
        </w:rPr>
        <w:t>S</w:t>
      </w:r>
      <w:r w:rsidR="00BD53A4" w:rsidRPr="00640529">
        <w:rPr>
          <w:rFonts w:eastAsia="Times New Roman" w:cstheme="minorHAnsi"/>
          <w:sz w:val="24"/>
          <w:szCs w:val="24"/>
        </w:rPr>
        <w:t>hift</w:t>
      </w:r>
      <w:r>
        <w:rPr>
          <w:rFonts w:eastAsia="Times New Roman" w:cstheme="minorHAnsi"/>
          <w:sz w:val="24"/>
          <w:szCs w:val="24"/>
        </w:rPr>
        <w:t>s</w:t>
      </w:r>
      <w:r w:rsidR="00BD53A4" w:rsidRPr="00640529">
        <w:rPr>
          <w:rFonts w:eastAsia="Times New Roman" w:cstheme="minorHAnsi"/>
          <w:sz w:val="24"/>
          <w:szCs w:val="24"/>
        </w:rPr>
        <w:t xml:space="preserve"> in welfare policy over the last forty years towards </w:t>
      </w:r>
      <w:r w:rsidR="00BD53A4">
        <w:rPr>
          <w:rFonts w:eastAsia="Times New Roman" w:cstheme="minorHAnsi"/>
          <w:sz w:val="24"/>
          <w:szCs w:val="24"/>
        </w:rPr>
        <w:t>a greater</w:t>
      </w:r>
      <w:r w:rsidR="00BD53A4" w:rsidRPr="00640529">
        <w:rPr>
          <w:rFonts w:eastAsia="Times New Roman" w:cstheme="minorHAnsi"/>
          <w:sz w:val="24"/>
          <w:szCs w:val="24"/>
        </w:rPr>
        <w:t xml:space="preserve"> neo-liberal stance has resulted in citizens needing to take greater responsibility fo</w:t>
      </w:r>
      <w:r>
        <w:rPr>
          <w:rFonts w:eastAsia="Times New Roman" w:cstheme="minorHAnsi"/>
          <w:sz w:val="24"/>
          <w:szCs w:val="24"/>
        </w:rPr>
        <w:t>r</w:t>
      </w:r>
      <w:r w:rsidR="00BD53A4" w:rsidRPr="00640529">
        <w:rPr>
          <w:rFonts w:eastAsia="Times New Roman" w:cstheme="minorHAnsi"/>
          <w:sz w:val="24"/>
          <w:szCs w:val="24"/>
        </w:rPr>
        <w:t xml:space="preserve"> their finances (Rowlingson, 2000;</w:t>
      </w:r>
      <w:r w:rsidR="00BD53A4">
        <w:rPr>
          <w:rFonts w:eastAsia="Times New Roman" w:cstheme="minorHAnsi"/>
          <w:sz w:val="24"/>
          <w:szCs w:val="24"/>
        </w:rPr>
        <w:t xml:space="preserve"> </w:t>
      </w:r>
      <w:r w:rsidR="00BD53A4" w:rsidRPr="00640529">
        <w:rPr>
          <w:rFonts w:eastAsia="Times New Roman" w:cstheme="minorHAnsi"/>
          <w:sz w:val="24"/>
          <w:szCs w:val="24"/>
        </w:rPr>
        <w:t>Strauss, 2008</w:t>
      </w:r>
      <w:r w:rsidR="00906049">
        <w:rPr>
          <w:rFonts w:eastAsia="Times New Roman" w:cstheme="minorHAnsi"/>
          <w:sz w:val="24"/>
          <w:szCs w:val="24"/>
        </w:rPr>
        <w:t>; Sherraden and Ansong, 2016</w:t>
      </w:r>
      <w:r w:rsidR="00BD53A4" w:rsidRPr="00640529">
        <w:rPr>
          <w:rFonts w:eastAsia="Times New Roman" w:cstheme="minorHAnsi"/>
          <w:sz w:val="24"/>
          <w:szCs w:val="24"/>
        </w:rPr>
        <w:t>). This coupled with low levels of financial capability</w:t>
      </w:r>
      <w:r w:rsidR="0034167E">
        <w:rPr>
          <w:rFonts w:eastAsia="Times New Roman" w:cstheme="minorHAnsi"/>
          <w:sz w:val="24"/>
          <w:szCs w:val="24"/>
        </w:rPr>
        <w:t xml:space="preserve"> across the United Kingdom (UK)</w:t>
      </w:r>
      <w:r w:rsidR="00BD53A4">
        <w:rPr>
          <w:rFonts w:eastAsia="Times New Roman" w:cstheme="minorHAnsi"/>
          <w:sz w:val="24"/>
          <w:szCs w:val="24"/>
        </w:rPr>
        <w:t xml:space="preserve"> population</w:t>
      </w:r>
      <w:r w:rsidR="00BD53A4" w:rsidRPr="00640529">
        <w:rPr>
          <w:rFonts w:eastAsia="Times New Roman" w:cstheme="minorHAnsi"/>
          <w:sz w:val="24"/>
          <w:szCs w:val="24"/>
        </w:rPr>
        <w:t xml:space="preserve"> and consumers trying to make </w:t>
      </w:r>
      <w:r w:rsidR="00AC7369">
        <w:rPr>
          <w:rFonts w:eastAsia="Times New Roman" w:cstheme="minorHAnsi"/>
          <w:sz w:val="24"/>
          <w:szCs w:val="24"/>
        </w:rPr>
        <w:t xml:space="preserve">informed </w:t>
      </w:r>
      <w:r w:rsidR="00BD53A4" w:rsidRPr="00640529">
        <w:rPr>
          <w:rFonts w:eastAsia="Times New Roman" w:cstheme="minorHAnsi"/>
          <w:sz w:val="24"/>
          <w:szCs w:val="24"/>
        </w:rPr>
        <w:t>decisions</w:t>
      </w:r>
      <w:r w:rsidR="00AC7369">
        <w:rPr>
          <w:rFonts w:eastAsia="Times New Roman" w:cstheme="minorHAnsi"/>
          <w:sz w:val="24"/>
          <w:szCs w:val="24"/>
        </w:rPr>
        <w:t xml:space="preserve"> from this low knowledge base </w:t>
      </w:r>
      <w:r w:rsidR="00AC7369" w:rsidRPr="00640529">
        <w:rPr>
          <w:rFonts w:eastAsia="Times New Roman" w:cstheme="minorHAnsi"/>
          <w:sz w:val="24"/>
          <w:szCs w:val="24"/>
        </w:rPr>
        <w:t>(</w:t>
      </w:r>
      <w:r w:rsidR="00AC7369">
        <w:rPr>
          <w:rFonts w:eastAsia="Times New Roman" w:cstheme="minorHAnsi"/>
          <w:sz w:val="24"/>
          <w:szCs w:val="24"/>
        </w:rPr>
        <w:t xml:space="preserve">Sandler, 2002; </w:t>
      </w:r>
      <w:r w:rsidR="00AC7369" w:rsidRPr="00640529">
        <w:rPr>
          <w:rFonts w:eastAsia="Times New Roman" w:cstheme="minorHAnsi"/>
          <w:sz w:val="24"/>
          <w:szCs w:val="24"/>
        </w:rPr>
        <w:t>FSA, 2004; FSA, 2006; Thoreson, 2007; Thoreson, 2008</w:t>
      </w:r>
      <w:r w:rsidR="00906049">
        <w:rPr>
          <w:rFonts w:eastAsia="Times New Roman" w:cstheme="minorHAnsi"/>
          <w:sz w:val="24"/>
          <w:szCs w:val="24"/>
        </w:rPr>
        <w:t>; Arthur, 2016; Stillwell, 2016</w:t>
      </w:r>
      <w:r w:rsidR="00AC7369" w:rsidRPr="00640529">
        <w:rPr>
          <w:rFonts w:eastAsia="Times New Roman" w:cstheme="minorHAnsi"/>
          <w:sz w:val="24"/>
          <w:szCs w:val="24"/>
        </w:rPr>
        <w:t xml:space="preserve">) </w:t>
      </w:r>
      <w:r w:rsidR="00BD53A4">
        <w:rPr>
          <w:rFonts w:eastAsia="Times New Roman" w:cstheme="minorHAnsi"/>
          <w:sz w:val="24"/>
          <w:szCs w:val="24"/>
        </w:rPr>
        <w:t>suggests</w:t>
      </w:r>
      <w:r w:rsidR="00BD53A4" w:rsidRPr="00640529">
        <w:rPr>
          <w:rFonts w:eastAsia="Times New Roman" w:cstheme="minorHAnsi"/>
          <w:sz w:val="24"/>
          <w:szCs w:val="24"/>
        </w:rPr>
        <w:t xml:space="preserve"> a</w:t>
      </w:r>
      <w:r w:rsidR="00BD53A4">
        <w:rPr>
          <w:rFonts w:eastAsia="Times New Roman" w:cstheme="minorHAnsi"/>
          <w:sz w:val="24"/>
          <w:szCs w:val="24"/>
        </w:rPr>
        <w:t xml:space="preserve"> growing</w:t>
      </w:r>
      <w:r w:rsidR="00BD53A4" w:rsidRPr="00640529">
        <w:rPr>
          <w:rFonts w:eastAsia="Times New Roman" w:cstheme="minorHAnsi"/>
          <w:sz w:val="24"/>
          <w:szCs w:val="24"/>
        </w:rPr>
        <w:t xml:space="preserve"> nee</w:t>
      </w:r>
      <w:r w:rsidR="0034167E">
        <w:rPr>
          <w:rFonts w:eastAsia="Times New Roman" w:cstheme="minorHAnsi"/>
          <w:sz w:val="24"/>
          <w:szCs w:val="24"/>
        </w:rPr>
        <w:t xml:space="preserve">d to understand the barriers that </w:t>
      </w:r>
      <w:r w:rsidR="00BD53A4" w:rsidRPr="00640529">
        <w:rPr>
          <w:rFonts w:eastAsia="Times New Roman" w:cstheme="minorHAnsi"/>
          <w:sz w:val="24"/>
          <w:szCs w:val="24"/>
        </w:rPr>
        <w:t>consumers face</w:t>
      </w:r>
      <w:r w:rsidR="0034167E">
        <w:rPr>
          <w:rFonts w:eastAsia="Times New Roman" w:cstheme="minorHAnsi"/>
          <w:sz w:val="24"/>
          <w:szCs w:val="24"/>
        </w:rPr>
        <w:t xml:space="preserve"> regarding access to financial advice</w:t>
      </w:r>
      <w:r w:rsidR="00BD53A4" w:rsidRPr="00640529">
        <w:rPr>
          <w:rFonts w:eastAsia="Times New Roman" w:cstheme="minorHAnsi"/>
          <w:sz w:val="24"/>
          <w:szCs w:val="24"/>
        </w:rPr>
        <w:t>.</w:t>
      </w:r>
    </w:p>
    <w:p w14:paraId="0E723A64" w14:textId="20EC72B7" w:rsidR="00BD53A4" w:rsidRPr="00640529" w:rsidRDefault="00BD53A4" w:rsidP="00BD53A4">
      <w:pPr>
        <w:spacing w:after="120" w:line="480" w:lineRule="auto"/>
        <w:rPr>
          <w:rFonts w:eastAsia="Times New Roman" w:cstheme="minorHAnsi"/>
          <w:bCs/>
          <w:sz w:val="24"/>
          <w:szCs w:val="24"/>
          <w:lang w:val="en-US"/>
        </w:rPr>
      </w:pPr>
      <w:r w:rsidRPr="00640529">
        <w:rPr>
          <w:rFonts w:eastAsia="Times New Roman" w:cstheme="minorHAnsi"/>
          <w:sz w:val="24"/>
          <w:szCs w:val="24"/>
        </w:rPr>
        <w:t>This paper</w:t>
      </w:r>
      <w:r w:rsidR="0034167E">
        <w:rPr>
          <w:rFonts w:eastAsia="Times New Roman" w:cstheme="minorHAnsi"/>
          <w:sz w:val="24"/>
          <w:szCs w:val="24"/>
        </w:rPr>
        <w:t xml:space="preserve"> argues</w:t>
      </w:r>
      <w:r w:rsidR="00906049">
        <w:rPr>
          <w:rFonts w:eastAsia="Times New Roman" w:cstheme="minorHAnsi"/>
          <w:sz w:val="24"/>
          <w:szCs w:val="24"/>
        </w:rPr>
        <w:t xml:space="preserve"> </w:t>
      </w:r>
      <w:r>
        <w:rPr>
          <w:rFonts w:eastAsia="Times New Roman" w:cstheme="minorHAnsi"/>
          <w:sz w:val="24"/>
          <w:szCs w:val="24"/>
        </w:rPr>
        <w:t xml:space="preserve">that barriers </w:t>
      </w:r>
      <w:r w:rsidR="0034167E">
        <w:rPr>
          <w:rFonts w:eastAsia="Times New Roman" w:cstheme="minorHAnsi"/>
          <w:sz w:val="24"/>
          <w:szCs w:val="24"/>
        </w:rPr>
        <w:t xml:space="preserve">preventing access to financial advice </w:t>
      </w:r>
      <w:r>
        <w:rPr>
          <w:rFonts w:eastAsia="Times New Roman" w:cstheme="minorHAnsi"/>
          <w:sz w:val="24"/>
          <w:szCs w:val="24"/>
        </w:rPr>
        <w:t xml:space="preserve">are not yet adequately understood. </w:t>
      </w:r>
      <w:r w:rsidR="009F4A87">
        <w:rPr>
          <w:rFonts w:eastAsia="Times New Roman" w:cstheme="minorHAnsi"/>
          <w:sz w:val="24"/>
          <w:szCs w:val="24"/>
        </w:rPr>
        <w:t>T</w:t>
      </w:r>
      <w:r>
        <w:rPr>
          <w:rFonts w:eastAsia="Times New Roman" w:cstheme="minorHAnsi"/>
          <w:sz w:val="24"/>
          <w:szCs w:val="24"/>
        </w:rPr>
        <w:t xml:space="preserve">o </w:t>
      </w:r>
      <w:r w:rsidR="0034167E">
        <w:rPr>
          <w:rFonts w:eastAsia="Times New Roman" w:cstheme="minorHAnsi"/>
          <w:sz w:val="24"/>
          <w:szCs w:val="24"/>
        </w:rPr>
        <w:t xml:space="preserve">build understanding </w:t>
      </w:r>
      <w:r w:rsidRPr="00640529">
        <w:rPr>
          <w:rFonts w:eastAsia="Times New Roman" w:cstheme="minorHAnsi"/>
          <w:sz w:val="24"/>
          <w:szCs w:val="24"/>
        </w:rPr>
        <w:t>t</w:t>
      </w:r>
      <w:r w:rsidR="0034167E">
        <w:rPr>
          <w:rFonts w:eastAsia="Times New Roman" w:cstheme="minorHAnsi"/>
          <w:iCs/>
          <w:sz w:val="24"/>
          <w:szCs w:val="24"/>
        </w:rPr>
        <w:t xml:space="preserve">hree </w:t>
      </w:r>
      <w:r w:rsidRPr="00640529">
        <w:rPr>
          <w:rFonts w:eastAsia="Times New Roman" w:cstheme="minorHAnsi"/>
          <w:iCs/>
          <w:sz w:val="24"/>
          <w:szCs w:val="24"/>
        </w:rPr>
        <w:t xml:space="preserve">variables </w:t>
      </w:r>
      <w:r w:rsidR="0034167E">
        <w:rPr>
          <w:rFonts w:eastAsia="Times New Roman" w:cstheme="minorHAnsi"/>
          <w:iCs/>
          <w:sz w:val="24"/>
          <w:szCs w:val="24"/>
        </w:rPr>
        <w:t>are explored, namely,</w:t>
      </w:r>
      <w:r w:rsidRPr="00640529">
        <w:rPr>
          <w:rFonts w:eastAsia="Times New Roman" w:cstheme="minorHAnsi"/>
          <w:iCs/>
          <w:sz w:val="24"/>
          <w:szCs w:val="24"/>
        </w:rPr>
        <w:t xml:space="preserve"> </w:t>
      </w:r>
      <w:r w:rsidRPr="00640529">
        <w:rPr>
          <w:rFonts w:eastAsia="Times New Roman" w:cstheme="minorHAnsi"/>
          <w:bCs/>
          <w:sz w:val="24"/>
          <w:szCs w:val="24"/>
          <w:lang w:val="en-US"/>
        </w:rPr>
        <w:t>knowledge, trust and affordability</w:t>
      </w:r>
      <w:r>
        <w:rPr>
          <w:rFonts w:eastAsia="Times New Roman" w:cstheme="minorHAnsi"/>
          <w:bCs/>
          <w:sz w:val="24"/>
          <w:szCs w:val="24"/>
          <w:lang w:val="en-US"/>
        </w:rPr>
        <w:t>/</w:t>
      </w:r>
      <w:r w:rsidRPr="007D1869">
        <w:rPr>
          <w:rFonts w:eastAsia="Times New Roman" w:cstheme="minorHAnsi"/>
          <w:bCs/>
          <w:sz w:val="24"/>
          <w:szCs w:val="24"/>
          <w:lang w:val="en-US"/>
        </w:rPr>
        <w:t>cost</w:t>
      </w:r>
      <w:r w:rsidR="00430C3F">
        <w:rPr>
          <w:rFonts w:eastAsia="Times New Roman" w:cstheme="minorHAnsi"/>
          <w:bCs/>
          <w:sz w:val="24"/>
          <w:szCs w:val="24"/>
          <w:lang w:val="en-US"/>
        </w:rPr>
        <w:t xml:space="preserve">, </w:t>
      </w:r>
      <w:r w:rsidR="0034167E">
        <w:rPr>
          <w:rFonts w:eastAsia="Times New Roman" w:cstheme="minorHAnsi"/>
          <w:bCs/>
          <w:sz w:val="24"/>
          <w:szCs w:val="24"/>
          <w:lang w:val="en-US"/>
        </w:rPr>
        <w:t xml:space="preserve">that are shown to affect consumers’ ability to access regulated financial advice. </w:t>
      </w:r>
      <w:r w:rsidRPr="007D1869">
        <w:rPr>
          <w:rFonts w:eastAsia="Times New Roman" w:cstheme="minorHAnsi"/>
          <w:bCs/>
          <w:sz w:val="24"/>
          <w:szCs w:val="24"/>
          <w:lang w:val="en-US"/>
        </w:rPr>
        <w:t xml:space="preserve">From these variables emerged the ideas that </w:t>
      </w:r>
      <w:r w:rsidR="0034167E">
        <w:rPr>
          <w:rFonts w:eastAsia="Times New Roman" w:cstheme="minorHAnsi"/>
          <w:bCs/>
          <w:sz w:val="24"/>
          <w:szCs w:val="24"/>
          <w:lang w:val="en-US"/>
        </w:rPr>
        <w:t xml:space="preserve">financial </w:t>
      </w:r>
      <w:r w:rsidRPr="007D1869">
        <w:rPr>
          <w:rFonts w:eastAsia="Times New Roman" w:cstheme="minorHAnsi"/>
          <w:bCs/>
          <w:sz w:val="24"/>
          <w:szCs w:val="24"/>
          <w:lang w:val="en-US"/>
        </w:rPr>
        <w:t>advice needed to be considered the ‘</w:t>
      </w:r>
      <w:r w:rsidR="0034167E">
        <w:rPr>
          <w:rFonts w:eastAsia="Times New Roman" w:cstheme="minorHAnsi"/>
          <w:bCs/>
          <w:sz w:val="24"/>
          <w:szCs w:val="24"/>
          <w:lang w:val="en-US"/>
        </w:rPr>
        <w:t>subjective norm’ and that</w:t>
      </w:r>
      <w:r w:rsidRPr="007D1869">
        <w:rPr>
          <w:rFonts w:eastAsia="Times New Roman" w:cstheme="minorHAnsi"/>
          <w:bCs/>
          <w:sz w:val="24"/>
          <w:szCs w:val="24"/>
          <w:lang w:val="en-US"/>
        </w:rPr>
        <w:t xml:space="preserve"> ‘trust heuristics’</w:t>
      </w:r>
      <w:r w:rsidR="0034167E">
        <w:rPr>
          <w:rFonts w:eastAsia="Times New Roman" w:cstheme="minorHAnsi"/>
          <w:bCs/>
          <w:sz w:val="24"/>
          <w:szCs w:val="24"/>
          <w:lang w:val="en-US"/>
        </w:rPr>
        <w:t>,</w:t>
      </w:r>
      <w:r w:rsidRPr="007D1869">
        <w:rPr>
          <w:rFonts w:eastAsia="Times New Roman" w:cstheme="minorHAnsi"/>
          <w:bCs/>
          <w:sz w:val="24"/>
          <w:szCs w:val="24"/>
          <w:lang w:val="en-US"/>
        </w:rPr>
        <w:t xml:space="preserve"> as a route to advice had certain embedded risks.</w:t>
      </w:r>
    </w:p>
    <w:p w14:paraId="414BD7CA" w14:textId="787F65E6" w:rsidR="006600B5" w:rsidRDefault="00BD53A4" w:rsidP="00BD53A4">
      <w:pPr>
        <w:spacing w:after="120" w:line="480" w:lineRule="auto"/>
        <w:rPr>
          <w:rFonts w:eastAsia="Times New Roman" w:cstheme="minorHAnsi"/>
          <w:sz w:val="24"/>
          <w:szCs w:val="24"/>
        </w:rPr>
      </w:pPr>
      <w:r w:rsidRPr="00640529">
        <w:rPr>
          <w:rFonts w:eastAsia="Times New Roman" w:cstheme="minorHAnsi"/>
          <w:sz w:val="24"/>
          <w:szCs w:val="24"/>
        </w:rPr>
        <w:t xml:space="preserve">As part of the research process a ‘Financial Advice Belief Model’ was developed </w:t>
      </w:r>
      <w:r w:rsidR="0034167E">
        <w:rPr>
          <w:rFonts w:eastAsia="Times New Roman" w:cstheme="minorHAnsi"/>
          <w:sz w:val="24"/>
          <w:szCs w:val="24"/>
        </w:rPr>
        <w:t xml:space="preserve">as a tool </w:t>
      </w:r>
      <w:r>
        <w:rPr>
          <w:rFonts w:eastAsia="Times New Roman" w:cstheme="minorHAnsi"/>
          <w:sz w:val="24"/>
          <w:szCs w:val="24"/>
        </w:rPr>
        <w:t>to exp</w:t>
      </w:r>
      <w:r w:rsidR="0034167E">
        <w:rPr>
          <w:rFonts w:eastAsia="Times New Roman" w:cstheme="minorHAnsi"/>
          <w:sz w:val="24"/>
          <w:szCs w:val="24"/>
        </w:rPr>
        <w:t xml:space="preserve">lore these variables more deeply and </w:t>
      </w:r>
      <w:r w:rsidRPr="00640529">
        <w:rPr>
          <w:rFonts w:eastAsia="Times New Roman" w:cstheme="minorHAnsi"/>
          <w:sz w:val="24"/>
          <w:szCs w:val="24"/>
        </w:rPr>
        <w:t xml:space="preserve">help </w:t>
      </w:r>
      <w:r w:rsidR="009F4A87">
        <w:rPr>
          <w:rFonts w:eastAsia="Times New Roman" w:cstheme="minorHAnsi"/>
          <w:sz w:val="24"/>
          <w:szCs w:val="24"/>
        </w:rPr>
        <w:t>interested stakeholders</w:t>
      </w:r>
      <w:r>
        <w:rPr>
          <w:rFonts w:eastAsia="Times New Roman" w:cstheme="minorHAnsi"/>
          <w:sz w:val="24"/>
          <w:szCs w:val="24"/>
        </w:rPr>
        <w:t xml:space="preserve"> </w:t>
      </w:r>
      <w:r w:rsidRPr="00640529">
        <w:rPr>
          <w:rFonts w:eastAsia="Times New Roman" w:cstheme="minorHAnsi"/>
          <w:sz w:val="24"/>
          <w:szCs w:val="24"/>
        </w:rPr>
        <w:t>better understand</w:t>
      </w:r>
      <w:r>
        <w:rPr>
          <w:rFonts w:eastAsia="Times New Roman" w:cstheme="minorHAnsi"/>
          <w:sz w:val="24"/>
          <w:szCs w:val="24"/>
        </w:rPr>
        <w:t xml:space="preserve"> factors that </w:t>
      </w:r>
      <w:r w:rsidR="0034167E">
        <w:rPr>
          <w:rFonts w:eastAsia="Times New Roman" w:cstheme="minorHAnsi"/>
          <w:sz w:val="24"/>
          <w:szCs w:val="24"/>
        </w:rPr>
        <w:t xml:space="preserve">create barriers and </w:t>
      </w:r>
      <w:r w:rsidRPr="00640529">
        <w:rPr>
          <w:rFonts w:eastAsia="Times New Roman" w:cstheme="minorHAnsi"/>
          <w:sz w:val="24"/>
          <w:szCs w:val="24"/>
        </w:rPr>
        <w:t xml:space="preserve">may </w:t>
      </w:r>
      <w:r w:rsidR="0034167E">
        <w:rPr>
          <w:rFonts w:eastAsia="Times New Roman" w:cstheme="minorHAnsi"/>
          <w:sz w:val="24"/>
          <w:szCs w:val="24"/>
        </w:rPr>
        <w:t>prevent</w:t>
      </w:r>
      <w:r w:rsidRPr="00640529">
        <w:rPr>
          <w:rFonts w:eastAsia="Times New Roman" w:cstheme="minorHAnsi"/>
          <w:sz w:val="24"/>
          <w:szCs w:val="24"/>
        </w:rPr>
        <w:t xml:space="preserve"> consumer</w:t>
      </w:r>
      <w:r w:rsidR="00906049">
        <w:rPr>
          <w:rFonts w:eastAsia="Times New Roman" w:cstheme="minorHAnsi"/>
          <w:sz w:val="24"/>
          <w:szCs w:val="24"/>
        </w:rPr>
        <w:t>s</w:t>
      </w:r>
      <w:r w:rsidR="0034167E">
        <w:rPr>
          <w:rFonts w:eastAsia="Times New Roman" w:cstheme="minorHAnsi"/>
          <w:sz w:val="24"/>
          <w:szCs w:val="24"/>
        </w:rPr>
        <w:t xml:space="preserve"> from seeking</w:t>
      </w:r>
      <w:r w:rsidRPr="00640529">
        <w:rPr>
          <w:rFonts w:eastAsia="Times New Roman" w:cstheme="minorHAnsi"/>
          <w:sz w:val="24"/>
          <w:szCs w:val="24"/>
        </w:rPr>
        <w:t xml:space="preserve"> </w:t>
      </w:r>
      <w:r>
        <w:rPr>
          <w:rFonts w:eastAsia="Times New Roman" w:cstheme="minorHAnsi"/>
          <w:sz w:val="24"/>
          <w:szCs w:val="24"/>
        </w:rPr>
        <w:t xml:space="preserve">effective </w:t>
      </w:r>
      <w:r w:rsidR="0034167E">
        <w:rPr>
          <w:rFonts w:eastAsia="Times New Roman" w:cstheme="minorHAnsi"/>
          <w:sz w:val="24"/>
          <w:szCs w:val="24"/>
        </w:rPr>
        <w:t>financial</w:t>
      </w:r>
      <w:r w:rsidR="00E92A69">
        <w:rPr>
          <w:rFonts w:eastAsia="Times New Roman" w:cstheme="minorHAnsi"/>
          <w:sz w:val="24"/>
          <w:szCs w:val="24"/>
        </w:rPr>
        <w:t xml:space="preserve"> advice</w:t>
      </w:r>
      <w:r w:rsidRPr="00640529">
        <w:rPr>
          <w:rFonts w:eastAsia="Times New Roman" w:cstheme="minorHAnsi"/>
          <w:sz w:val="24"/>
          <w:szCs w:val="24"/>
        </w:rPr>
        <w:t xml:space="preserve">. </w:t>
      </w:r>
      <w:r>
        <w:rPr>
          <w:rFonts w:eastAsia="Times New Roman" w:cstheme="minorHAnsi"/>
          <w:sz w:val="24"/>
          <w:szCs w:val="24"/>
        </w:rPr>
        <w:t xml:space="preserve">Addressing these factors, </w:t>
      </w:r>
      <w:r w:rsidR="0034167E">
        <w:rPr>
          <w:rFonts w:eastAsia="Times New Roman" w:cstheme="minorHAnsi"/>
          <w:sz w:val="24"/>
          <w:szCs w:val="24"/>
        </w:rPr>
        <w:t>we</w:t>
      </w:r>
      <w:r w:rsidRPr="00640529">
        <w:rPr>
          <w:rFonts w:eastAsia="Times New Roman" w:cstheme="minorHAnsi"/>
          <w:sz w:val="24"/>
          <w:szCs w:val="24"/>
        </w:rPr>
        <w:t xml:space="preserve"> </w:t>
      </w:r>
      <w:r w:rsidR="00906049">
        <w:rPr>
          <w:rFonts w:eastAsia="Times New Roman" w:cstheme="minorHAnsi"/>
          <w:sz w:val="24"/>
          <w:szCs w:val="24"/>
        </w:rPr>
        <w:t>us</w:t>
      </w:r>
      <w:r w:rsidR="0034167E">
        <w:rPr>
          <w:rFonts w:eastAsia="Times New Roman" w:cstheme="minorHAnsi"/>
          <w:sz w:val="24"/>
          <w:szCs w:val="24"/>
        </w:rPr>
        <w:t>e</w:t>
      </w:r>
      <w:r w:rsidR="00906049">
        <w:rPr>
          <w:rFonts w:eastAsia="Times New Roman" w:cstheme="minorHAnsi"/>
          <w:sz w:val="24"/>
          <w:szCs w:val="24"/>
        </w:rPr>
        <w:t xml:space="preserve"> the case of the UK to illustrate possible ways forward </w:t>
      </w:r>
      <w:r w:rsidR="00ED1324">
        <w:rPr>
          <w:rFonts w:eastAsia="Times New Roman" w:cstheme="minorHAnsi"/>
          <w:sz w:val="24"/>
          <w:szCs w:val="24"/>
        </w:rPr>
        <w:t xml:space="preserve">and </w:t>
      </w:r>
      <w:r w:rsidR="008725D3">
        <w:rPr>
          <w:rFonts w:eastAsia="Times New Roman" w:cstheme="minorHAnsi"/>
          <w:sz w:val="24"/>
          <w:szCs w:val="24"/>
        </w:rPr>
        <w:t xml:space="preserve">argue </w:t>
      </w:r>
      <w:r w:rsidR="00ED1324">
        <w:rPr>
          <w:rFonts w:eastAsia="Times New Roman" w:cstheme="minorHAnsi"/>
          <w:sz w:val="24"/>
          <w:szCs w:val="24"/>
        </w:rPr>
        <w:t xml:space="preserve">that </w:t>
      </w:r>
      <w:r w:rsidR="008725D3">
        <w:rPr>
          <w:rFonts w:eastAsia="Times New Roman" w:cstheme="minorHAnsi"/>
          <w:sz w:val="24"/>
          <w:szCs w:val="24"/>
        </w:rPr>
        <w:t>the findings could</w:t>
      </w:r>
      <w:r w:rsidR="00906049">
        <w:rPr>
          <w:rFonts w:eastAsia="Times New Roman" w:cstheme="minorHAnsi"/>
          <w:sz w:val="24"/>
          <w:szCs w:val="24"/>
        </w:rPr>
        <w:t xml:space="preserve"> apply in othe</w:t>
      </w:r>
      <w:r w:rsidR="008725D3">
        <w:rPr>
          <w:rFonts w:eastAsia="Times New Roman" w:cstheme="minorHAnsi"/>
          <w:sz w:val="24"/>
          <w:szCs w:val="24"/>
        </w:rPr>
        <w:t xml:space="preserve">r developed country settings. Further, </w:t>
      </w:r>
      <w:r w:rsidR="00906049">
        <w:rPr>
          <w:rFonts w:eastAsia="Times New Roman" w:cstheme="minorHAnsi"/>
          <w:sz w:val="24"/>
          <w:szCs w:val="24"/>
        </w:rPr>
        <w:t xml:space="preserve">these three key variables affecting access to needed financial services </w:t>
      </w:r>
      <w:r w:rsidRPr="00640529">
        <w:rPr>
          <w:rFonts w:eastAsia="Times New Roman" w:cstheme="minorHAnsi"/>
          <w:sz w:val="24"/>
          <w:szCs w:val="24"/>
        </w:rPr>
        <w:t xml:space="preserve">should be </w:t>
      </w:r>
      <w:r w:rsidR="008725D3">
        <w:rPr>
          <w:rFonts w:eastAsia="Times New Roman" w:cstheme="minorHAnsi"/>
          <w:sz w:val="24"/>
          <w:szCs w:val="24"/>
        </w:rPr>
        <w:t xml:space="preserve">a </w:t>
      </w:r>
      <w:r w:rsidRPr="00640529">
        <w:rPr>
          <w:rFonts w:eastAsia="Times New Roman" w:cstheme="minorHAnsi"/>
          <w:sz w:val="24"/>
          <w:szCs w:val="24"/>
        </w:rPr>
        <w:t>key consideration for the</w:t>
      </w:r>
      <w:r w:rsidR="00906049">
        <w:rPr>
          <w:rFonts w:eastAsia="Times New Roman" w:cstheme="minorHAnsi"/>
          <w:sz w:val="24"/>
          <w:szCs w:val="24"/>
        </w:rPr>
        <w:t xml:space="preserve"> UK’s</w:t>
      </w:r>
      <w:r w:rsidRPr="00640529">
        <w:rPr>
          <w:rFonts w:eastAsia="Times New Roman" w:cstheme="minorHAnsi"/>
          <w:sz w:val="24"/>
          <w:szCs w:val="24"/>
        </w:rPr>
        <w:t xml:space="preserve"> </w:t>
      </w:r>
      <w:r w:rsidR="00906049">
        <w:rPr>
          <w:rFonts w:eastAsia="Times New Roman" w:cstheme="minorHAnsi"/>
          <w:sz w:val="24"/>
          <w:szCs w:val="24"/>
        </w:rPr>
        <w:t>recent</w:t>
      </w:r>
      <w:r w:rsidRPr="00640529">
        <w:rPr>
          <w:rFonts w:eastAsia="Times New Roman" w:cstheme="minorHAnsi"/>
          <w:sz w:val="24"/>
          <w:szCs w:val="24"/>
        </w:rPr>
        <w:t xml:space="preserve">ly created </w:t>
      </w:r>
      <w:r w:rsidR="008D605B">
        <w:rPr>
          <w:rFonts w:eastAsia="Times New Roman" w:cstheme="minorHAnsi"/>
          <w:sz w:val="24"/>
          <w:szCs w:val="24"/>
        </w:rPr>
        <w:t xml:space="preserve">the </w:t>
      </w:r>
      <w:r>
        <w:rPr>
          <w:rFonts w:eastAsia="Times New Roman" w:cstheme="minorHAnsi"/>
          <w:sz w:val="24"/>
          <w:szCs w:val="24"/>
        </w:rPr>
        <w:t>Money and Pensions Service</w:t>
      </w:r>
      <w:r w:rsidRPr="00640529">
        <w:rPr>
          <w:rFonts w:eastAsia="Times New Roman" w:cstheme="minorHAnsi"/>
          <w:sz w:val="24"/>
          <w:szCs w:val="24"/>
        </w:rPr>
        <w:t xml:space="preserve"> as it </w:t>
      </w:r>
      <w:r>
        <w:rPr>
          <w:rFonts w:eastAsia="Times New Roman" w:cstheme="minorHAnsi"/>
          <w:sz w:val="24"/>
          <w:szCs w:val="24"/>
        </w:rPr>
        <w:t xml:space="preserve">looks </w:t>
      </w:r>
      <w:r>
        <w:rPr>
          <w:rFonts w:eastAsia="Times New Roman" w:cstheme="minorHAnsi"/>
          <w:sz w:val="24"/>
          <w:szCs w:val="24"/>
        </w:rPr>
        <w:lastRenderedPageBreak/>
        <w:t xml:space="preserve">to develop a wider focus </w:t>
      </w:r>
      <w:r w:rsidRPr="004B1825">
        <w:rPr>
          <w:rFonts w:eastAsia="Times New Roman" w:cstheme="minorHAnsi"/>
          <w:sz w:val="24"/>
          <w:szCs w:val="24"/>
        </w:rPr>
        <w:t>on financial wellbeing</w:t>
      </w:r>
      <w:r w:rsidR="00906049" w:rsidRPr="004B1825">
        <w:rPr>
          <w:rFonts w:eastAsia="Times New Roman" w:cstheme="minorHAnsi"/>
          <w:sz w:val="24"/>
          <w:szCs w:val="24"/>
        </w:rPr>
        <w:t xml:space="preserve"> as the core of its</w:t>
      </w:r>
      <w:r w:rsidR="00ED6270" w:rsidRPr="004B1825">
        <w:rPr>
          <w:rFonts w:eastAsia="Times New Roman" w:cstheme="minorHAnsi"/>
          <w:sz w:val="24"/>
          <w:szCs w:val="24"/>
        </w:rPr>
        <w:t xml:space="preserve"> new strategy for UK citizens</w:t>
      </w:r>
      <w:r w:rsidR="004B1825" w:rsidRPr="004B1825">
        <w:rPr>
          <w:rFonts w:eastAsia="Times New Roman" w:cstheme="minorHAnsi"/>
          <w:sz w:val="24"/>
          <w:szCs w:val="24"/>
        </w:rPr>
        <w:t xml:space="preserve"> in need of financial guidance</w:t>
      </w:r>
      <w:r w:rsidRPr="004B1825">
        <w:rPr>
          <w:rFonts w:eastAsia="Times New Roman" w:cstheme="minorHAnsi"/>
          <w:sz w:val="24"/>
          <w:szCs w:val="24"/>
        </w:rPr>
        <w:t>.</w:t>
      </w:r>
    </w:p>
    <w:p w14:paraId="056A8E58" w14:textId="60ABFE68" w:rsidR="00BD53A4" w:rsidRPr="00640529" w:rsidRDefault="00BD53A4" w:rsidP="00BD53A4">
      <w:pPr>
        <w:spacing w:after="120" w:line="480" w:lineRule="auto"/>
        <w:rPr>
          <w:rFonts w:eastAsia="Times New Roman" w:cstheme="minorHAnsi"/>
          <w:sz w:val="24"/>
          <w:szCs w:val="24"/>
        </w:rPr>
      </w:pPr>
      <w:r w:rsidRPr="00E20922">
        <w:rPr>
          <w:rFonts w:eastAsia="Times New Roman" w:cstheme="minorHAnsi"/>
          <w:b/>
          <w:bCs/>
          <w:sz w:val="24"/>
          <w:szCs w:val="24"/>
        </w:rPr>
        <w:t>Keywords:</w:t>
      </w:r>
      <w:r w:rsidRPr="00640529">
        <w:rPr>
          <w:rFonts w:eastAsia="Times New Roman" w:cstheme="minorHAnsi"/>
          <w:sz w:val="24"/>
          <w:szCs w:val="24"/>
        </w:rPr>
        <w:t xml:space="preserve"> holistic financial advice, personal finance, trust, heuristic, welfare, financial advice belief model</w:t>
      </w:r>
      <w:r w:rsidR="000F55AC">
        <w:rPr>
          <w:rFonts w:eastAsia="Times New Roman" w:cstheme="minorHAnsi"/>
          <w:sz w:val="24"/>
          <w:szCs w:val="24"/>
        </w:rPr>
        <w:t>, bounded rationality</w:t>
      </w:r>
      <w:r w:rsidRPr="00640529">
        <w:rPr>
          <w:rFonts w:eastAsia="Times New Roman" w:cstheme="minorHAnsi"/>
          <w:sz w:val="24"/>
          <w:szCs w:val="24"/>
        </w:rPr>
        <w:t>.</w:t>
      </w:r>
    </w:p>
    <w:p w14:paraId="4221BA0B" w14:textId="0EAEB779" w:rsidR="009F4A87" w:rsidRDefault="009F4A87">
      <w:pPr>
        <w:rPr>
          <w:rFonts w:eastAsia="Times New Roman" w:cstheme="minorHAnsi"/>
          <w:color w:val="FF0000"/>
          <w:sz w:val="24"/>
          <w:szCs w:val="24"/>
        </w:rPr>
      </w:pPr>
      <w:r>
        <w:rPr>
          <w:rFonts w:eastAsia="Times New Roman" w:cstheme="minorHAnsi"/>
          <w:color w:val="FF0000"/>
          <w:sz w:val="24"/>
          <w:szCs w:val="24"/>
        </w:rPr>
        <w:br w:type="page"/>
      </w:r>
    </w:p>
    <w:p w14:paraId="354E49D4" w14:textId="61EBA710" w:rsidR="00992C10" w:rsidRPr="00640529" w:rsidRDefault="00992C10" w:rsidP="005F21D5">
      <w:pPr>
        <w:spacing w:after="120" w:line="480" w:lineRule="auto"/>
        <w:rPr>
          <w:rFonts w:eastAsia="Times New Roman" w:cstheme="minorHAnsi"/>
          <w:sz w:val="24"/>
          <w:szCs w:val="24"/>
        </w:rPr>
      </w:pPr>
      <w:r w:rsidRPr="00640529">
        <w:rPr>
          <w:rFonts w:eastAsia="Times New Roman" w:cstheme="minorHAnsi"/>
          <w:b/>
          <w:sz w:val="28"/>
          <w:szCs w:val="28"/>
          <w:u w:val="single"/>
        </w:rPr>
        <w:lastRenderedPageBreak/>
        <w:t>Introduction.</w:t>
      </w:r>
    </w:p>
    <w:p w14:paraId="2B31FAB5" w14:textId="08C4DF41" w:rsidR="00FA4F78" w:rsidRDefault="00602E0F" w:rsidP="005F21D5">
      <w:pPr>
        <w:spacing w:after="120" w:line="480" w:lineRule="auto"/>
        <w:rPr>
          <w:rFonts w:eastAsia="Times New Roman" w:cstheme="minorHAnsi"/>
          <w:sz w:val="24"/>
          <w:szCs w:val="24"/>
        </w:rPr>
      </w:pPr>
      <w:r w:rsidRPr="00640529">
        <w:rPr>
          <w:rFonts w:eastAsia="Times New Roman" w:cstheme="minorHAnsi"/>
          <w:sz w:val="24"/>
          <w:szCs w:val="24"/>
        </w:rPr>
        <w:t>F</w:t>
      </w:r>
      <w:r w:rsidR="003C3FB7" w:rsidRPr="00640529">
        <w:rPr>
          <w:rFonts w:eastAsia="Times New Roman" w:cstheme="minorHAnsi"/>
          <w:sz w:val="24"/>
          <w:szCs w:val="24"/>
        </w:rPr>
        <w:t>inancial a</w:t>
      </w:r>
      <w:r w:rsidR="00FF7496" w:rsidRPr="00640529">
        <w:rPr>
          <w:rFonts w:eastAsia="Times New Roman" w:cstheme="minorHAnsi"/>
          <w:sz w:val="24"/>
          <w:szCs w:val="24"/>
        </w:rPr>
        <w:t>dvice</w:t>
      </w:r>
      <w:r w:rsidR="003C3FB7" w:rsidRPr="00640529">
        <w:rPr>
          <w:rFonts w:eastAsia="Times New Roman" w:cstheme="minorHAnsi"/>
          <w:sz w:val="24"/>
          <w:szCs w:val="24"/>
        </w:rPr>
        <w:t>,</w:t>
      </w:r>
      <w:r w:rsidR="00FF7496" w:rsidRPr="00640529">
        <w:rPr>
          <w:rFonts w:eastAsia="Times New Roman" w:cstheme="minorHAnsi"/>
          <w:sz w:val="24"/>
          <w:szCs w:val="24"/>
        </w:rPr>
        <w:t xml:space="preserve"> and more particularly regulated financial advice</w:t>
      </w:r>
      <w:r w:rsidR="00052B4F">
        <w:rPr>
          <w:rFonts w:eastAsia="Times New Roman" w:cstheme="minorHAnsi"/>
          <w:sz w:val="24"/>
          <w:szCs w:val="24"/>
        </w:rPr>
        <w:t xml:space="preserve"> that seeks to ensure quality advice is offered</w:t>
      </w:r>
      <w:r w:rsidR="00AC7369">
        <w:rPr>
          <w:rFonts w:eastAsia="Times New Roman" w:cstheme="minorHAnsi"/>
          <w:sz w:val="24"/>
          <w:szCs w:val="24"/>
        </w:rPr>
        <w:t xml:space="preserve"> </w:t>
      </w:r>
      <w:r w:rsidR="00FB35B6">
        <w:rPr>
          <w:rFonts w:eastAsia="Times New Roman" w:cstheme="minorHAnsi"/>
          <w:sz w:val="24"/>
          <w:szCs w:val="24"/>
        </w:rPr>
        <w:t>which is suitable for client needs, h</w:t>
      </w:r>
      <w:r w:rsidR="00E54572" w:rsidRPr="00640529">
        <w:rPr>
          <w:rFonts w:eastAsia="Times New Roman" w:cstheme="minorHAnsi"/>
          <w:sz w:val="24"/>
          <w:szCs w:val="24"/>
        </w:rPr>
        <w:t xml:space="preserve">as for many years provided the consumer with a channel through </w:t>
      </w:r>
      <w:r w:rsidR="009D4962" w:rsidRPr="00640529">
        <w:rPr>
          <w:rFonts w:eastAsia="Times New Roman" w:cstheme="minorHAnsi"/>
          <w:sz w:val="24"/>
          <w:szCs w:val="24"/>
        </w:rPr>
        <w:t xml:space="preserve">which they can gain access to </w:t>
      </w:r>
      <w:r w:rsidR="00E54572" w:rsidRPr="00640529">
        <w:rPr>
          <w:rFonts w:eastAsia="Times New Roman" w:cstheme="minorHAnsi"/>
          <w:sz w:val="24"/>
          <w:szCs w:val="24"/>
        </w:rPr>
        <w:t xml:space="preserve">financial services. This has allowed the consumer to arrange mortgages, life assurance, income protection, investments and pensions along with </w:t>
      </w:r>
      <w:r w:rsidR="00782EE7" w:rsidRPr="00640529">
        <w:rPr>
          <w:rFonts w:eastAsia="Times New Roman" w:cstheme="minorHAnsi"/>
          <w:sz w:val="24"/>
          <w:szCs w:val="24"/>
        </w:rPr>
        <w:t>more specialist products including</w:t>
      </w:r>
      <w:r w:rsidR="00E54572" w:rsidRPr="00640529">
        <w:rPr>
          <w:rFonts w:eastAsia="Times New Roman" w:cstheme="minorHAnsi"/>
          <w:sz w:val="24"/>
          <w:szCs w:val="24"/>
        </w:rPr>
        <w:t xml:space="preserve"> equity release</w:t>
      </w:r>
      <w:r w:rsidR="00725E14" w:rsidRPr="00640529">
        <w:rPr>
          <w:rFonts w:eastAsia="Times New Roman" w:cstheme="minorHAnsi"/>
          <w:sz w:val="24"/>
          <w:szCs w:val="24"/>
        </w:rPr>
        <w:t>, long term care insurance and o</w:t>
      </w:r>
      <w:r w:rsidR="00E54572" w:rsidRPr="00640529">
        <w:rPr>
          <w:rFonts w:eastAsia="Times New Roman" w:cstheme="minorHAnsi"/>
          <w:sz w:val="24"/>
          <w:szCs w:val="24"/>
        </w:rPr>
        <w:t xml:space="preserve">n occasions more general insurance products such as home insurance. </w:t>
      </w:r>
      <w:r w:rsidR="009D4962" w:rsidRPr="00640529">
        <w:rPr>
          <w:rFonts w:eastAsia="Times New Roman" w:cstheme="minorHAnsi"/>
          <w:sz w:val="24"/>
          <w:szCs w:val="24"/>
        </w:rPr>
        <w:t>As well as offering consumers a way to arrange products it has</w:t>
      </w:r>
      <w:r w:rsidR="00F26F4F">
        <w:rPr>
          <w:rFonts w:eastAsia="Times New Roman" w:cstheme="minorHAnsi"/>
          <w:sz w:val="24"/>
          <w:szCs w:val="24"/>
        </w:rPr>
        <w:t>, perhaps more importantly</w:t>
      </w:r>
      <w:r w:rsidR="00362444">
        <w:rPr>
          <w:rFonts w:eastAsia="Times New Roman" w:cstheme="minorHAnsi"/>
          <w:sz w:val="24"/>
          <w:szCs w:val="24"/>
        </w:rPr>
        <w:t>,</w:t>
      </w:r>
      <w:r w:rsidR="009D4962" w:rsidRPr="00640529">
        <w:rPr>
          <w:rFonts w:eastAsia="Times New Roman" w:cstheme="minorHAnsi"/>
          <w:sz w:val="24"/>
          <w:szCs w:val="24"/>
        </w:rPr>
        <w:t xml:space="preserve"> offered consumers advice regarding planning for the future</w:t>
      </w:r>
      <w:r w:rsidR="0036325E" w:rsidRPr="00640529">
        <w:rPr>
          <w:rFonts w:eastAsia="Times New Roman" w:cstheme="minorHAnsi"/>
          <w:sz w:val="24"/>
          <w:szCs w:val="24"/>
        </w:rPr>
        <w:t xml:space="preserve"> and protecting against potential risks</w:t>
      </w:r>
      <w:r w:rsidR="009D4962" w:rsidRPr="00640529">
        <w:rPr>
          <w:rFonts w:eastAsia="Times New Roman" w:cstheme="minorHAnsi"/>
          <w:sz w:val="24"/>
          <w:szCs w:val="24"/>
        </w:rPr>
        <w:t xml:space="preserve">. </w:t>
      </w:r>
      <w:r w:rsidR="007C1DE3">
        <w:rPr>
          <w:rFonts w:eastAsia="Times New Roman" w:cstheme="minorHAnsi"/>
          <w:sz w:val="24"/>
          <w:szCs w:val="24"/>
        </w:rPr>
        <w:t xml:space="preserve">Megan Butler, </w:t>
      </w:r>
      <w:r w:rsidR="00906049">
        <w:rPr>
          <w:rFonts w:eastAsia="Times New Roman" w:cstheme="minorHAnsi"/>
          <w:sz w:val="24"/>
          <w:szCs w:val="24"/>
        </w:rPr>
        <w:t>the UK’s Financial Conduct Authority (</w:t>
      </w:r>
      <w:r w:rsidR="007C1DE3">
        <w:rPr>
          <w:rFonts w:eastAsia="Times New Roman" w:cstheme="minorHAnsi"/>
          <w:sz w:val="24"/>
          <w:szCs w:val="24"/>
        </w:rPr>
        <w:t>FCA</w:t>
      </w:r>
      <w:r w:rsidR="00906049">
        <w:rPr>
          <w:rFonts w:eastAsia="Times New Roman" w:cstheme="minorHAnsi"/>
          <w:sz w:val="24"/>
          <w:szCs w:val="24"/>
        </w:rPr>
        <w:t>)</w:t>
      </w:r>
      <w:r w:rsidR="007C1DE3">
        <w:rPr>
          <w:rFonts w:eastAsia="Times New Roman" w:cstheme="minorHAnsi"/>
          <w:sz w:val="24"/>
          <w:szCs w:val="24"/>
        </w:rPr>
        <w:t xml:space="preserve"> </w:t>
      </w:r>
      <w:r w:rsidR="009D1438" w:rsidRPr="009D1438">
        <w:rPr>
          <w:rFonts w:eastAsia="Times New Roman" w:cstheme="minorHAnsi"/>
          <w:sz w:val="24"/>
          <w:szCs w:val="24"/>
        </w:rPr>
        <w:t>Executive Director for Transformation</w:t>
      </w:r>
      <w:r w:rsidR="007C1DE3">
        <w:rPr>
          <w:rFonts w:eastAsia="Times New Roman" w:cstheme="minorHAnsi"/>
          <w:sz w:val="24"/>
          <w:szCs w:val="24"/>
        </w:rPr>
        <w:t xml:space="preserve"> said in 2017:</w:t>
      </w:r>
    </w:p>
    <w:p w14:paraId="7E4C08FE" w14:textId="155C8E6B" w:rsidR="007C1DE3" w:rsidRPr="007C1DE3" w:rsidRDefault="007C1DE3" w:rsidP="006505D7">
      <w:pPr>
        <w:spacing w:after="120" w:line="480" w:lineRule="auto"/>
        <w:ind w:left="720"/>
        <w:rPr>
          <w:rFonts w:eastAsia="Times New Roman" w:cstheme="minorHAnsi"/>
          <w:i/>
          <w:sz w:val="24"/>
          <w:szCs w:val="24"/>
        </w:rPr>
      </w:pPr>
      <w:r>
        <w:rPr>
          <w:rFonts w:eastAsia="Times New Roman" w:cstheme="minorHAnsi"/>
          <w:sz w:val="24"/>
          <w:szCs w:val="24"/>
        </w:rPr>
        <w:t>… “</w:t>
      </w:r>
      <w:r w:rsidRPr="007C1DE3">
        <w:rPr>
          <w:rFonts w:eastAsia="Times New Roman" w:cstheme="minorHAnsi"/>
          <w:i/>
          <w:sz w:val="24"/>
          <w:szCs w:val="24"/>
        </w:rPr>
        <w:t>Financial advice and investment management is of unprecedented importance to society, now more than ever</w:t>
      </w:r>
      <w:r>
        <w:rPr>
          <w:rFonts w:eastAsia="Times New Roman" w:cstheme="minorHAnsi"/>
          <w:i/>
          <w:sz w:val="24"/>
          <w:szCs w:val="24"/>
        </w:rPr>
        <w:t>”…</w:t>
      </w:r>
      <w:r w:rsidRPr="007C1DE3">
        <w:rPr>
          <w:rFonts w:eastAsia="Times New Roman" w:cstheme="minorHAnsi"/>
          <w:i/>
          <w:sz w:val="24"/>
          <w:szCs w:val="24"/>
        </w:rPr>
        <w:t>.</w:t>
      </w:r>
    </w:p>
    <w:p w14:paraId="5CA6AB3D" w14:textId="28A1CD2B" w:rsidR="00AC3C31" w:rsidRDefault="00AC3C31" w:rsidP="00221BFC">
      <w:pPr>
        <w:spacing w:after="120" w:line="480" w:lineRule="auto"/>
        <w:rPr>
          <w:rFonts w:eastAsia="Times New Roman" w:cstheme="minorHAnsi"/>
          <w:i/>
          <w:sz w:val="24"/>
          <w:szCs w:val="24"/>
        </w:rPr>
      </w:pPr>
      <w:r w:rsidRPr="00AC3C31">
        <w:rPr>
          <w:rFonts w:eastAsia="Times New Roman" w:cstheme="minorHAnsi"/>
          <w:sz w:val="24"/>
          <w:szCs w:val="24"/>
        </w:rPr>
        <w:t>Rabbani, Heo and Grable (2021) suggest</w:t>
      </w:r>
      <w:r>
        <w:rPr>
          <w:rFonts w:eastAsia="Times New Roman" w:cstheme="minorHAnsi"/>
          <w:sz w:val="24"/>
          <w:szCs w:val="24"/>
        </w:rPr>
        <w:t>:</w:t>
      </w:r>
    </w:p>
    <w:p w14:paraId="5879FC0D" w14:textId="4C1325F9" w:rsidR="00AA4D0A" w:rsidRDefault="00AC3C31" w:rsidP="00AC3C31">
      <w:pPr>
        <w:spacing w:after="120" w:line="480" w:lineRule="auto"/>
        <w:ind w:left="720"/>
        <w:rPr>
          <w:rFonts w:eastAsia="Times New Roman" w:cstheme="minorHAnsi"/>
          <w:sz w:val="24"/>
          <w:szCs w:val="24"/>
        </w:rPr>
      </w:pPr>
      <w:r>
        <w:rPr>
          <w:rFonts w:eastAsia="Times New Roman" w:cstheme="minorHAnsi"/>
          <w:i/>
          <w:sz w:val="24"/>
          <w:szCs w:val="24"/>
        </w:rPr>
        <w:t>…</w:t>
      </w:r>
      <w:r w:rsidRPr="00AC3C31">
        <w:rPr>
          <w:rFonts w:eastAsia="Times New Roman" w:cstheme="minorHAnsi"/>
          <w:i/>
          <w:sz w:val="24"/>
          <w:szCs w:val="24"/>
        </w:rPr>
        <w:t>”Those who use financial advisors are more likely to state that they feel prepared for their financial future, especially when faced with economic uncertainty, compared to others who do not rely on professional advice when making financial decisions.”</w:t>
      </w:r>
      <w:r>
        <w:rPr>
          <w:rFonts w:eastAsia="Times New Roman" w:cstheme="minorHAnsi"/>
          <w:i/>
          <w:sz w:val="24"/>
          <w:szCs w:val="24"/>
        </w:rPr>
        <w:t>…</w:t>
      </w:r>
    </w:p>
    <w:p w14:paraId="5C2DD3D7" w14:textId="5F32EB87" w:rsidR="00640529" w:rsidRDefault="00FA4F78" w:rsidP="00221BFC">
      <w:pPr>
        <w:spacing w:after="120" w:line="480" w:lineRule="auto"/>
        <w:rPr>
          <w:rFonts w:eastAsia="Times New Roman" w:cstheme="minorHAnsi"/>
          <w:sz w:val="24"/>
          <w:szCs w:val="24"/>
        </w:rPr>
      </w:pPr>
      <w:r w:rsidRPr="00640529">
        <w:rPr>
          <w:rFonts w:eastAsia="Times New Roman" w:cstheme="minorHAnsi"/>
          <w:sz w:val="24"/>
          <w:szCs w:val="24"/>
        </w:rPr>
        <w:t xml:space="preserve">Sandler’s review of the </w:t>
      </w:r>
      <w:r w:rsidR="009D1438">
        <w:rPr>
          <w:rFonts w:eastAsia="Times New Roman" w:cstheme="minorHAnsi"/>
          <w:sz w:val="24"/>
          <w:szCs w:val="24"/>
        </w:rPr>
        <w:t>UK r</w:t>
      </w:r>
      <w:r w:rsidRPr="00640529">
        <w:rPr>
          <w:rFonts w:eastAsia="Times New Roman" w:cstheme="minorHAnsi"/>
          <w:sz w:val="24"/>
          <w:szCs w:val="24"/>
        </w:rPr>
        <w:t xml:space="preserve">etail saving market </w:t>
      </w:r>
      <w:r w:rsidR="00881D0A" w:rsidRPr="00640529">
        <w:rPr>
          <w:rFonts w:eastAsia="Times New Roman" w:cstheme="minorHAnsi"/>
          <w:sz w:val="24"/>
          <w:szCs w:val="24"/>
        </w:rPr>
        <w:t xml:space="preserve">(2002) for HM Treasury highlighted the need for a properly functioning advice market and the need for low and middle income consumers to be able to more easily access retail products and </w:t>
      </w:r>
      <w:r w:rsidR="008725D3">
        <w:rPr>
          <w:rFonts w:eastAsia="Times New Roman" w:cstheme="minorHAnsi"/>
          <w:sz w:val="24"/>
          <w:szCs w:val="24"/>
        </w:rPr>
        <w:t xml:space="preserve">financial </w:t>
      </w:r>
      <w:r w:rsidR="00881D0A" w:rsidRPr="00640529">
        <w:rPr>
          <w:rFonts w:eastAsia="Times New Roman" w:cstheme="minorHAnsi"/>
          <w:sz w:val="24"/>
          <w:szCs w:val="24"/>
        </w:rPr>
        <w:t>advice. Further research by the regulator to better understand consumer financial capability (FSA, 2004; FSA,</w:t>
      </w:r>
      <w:r w:rsidR="00991AC9">
        <w:rPr>
          <w:rFonts w:eastAsia="Times New Roman" w:cstheme="minorHAnsi"/>
          <w:sz w:val="24"/>
          <w:szCs w:val="24"/>
        </w:rPr>
        <w:t xml:space="preserve"> </w:t>
      </w:r>
      <w:r w:rsidR="00881D0A" w:rsidRPr="00640529">
        <w:rPr>
          <w:rFonts w:eastAsia="Times New Roman" w:cstheme="minorHAnsi"/>
          <w:sz w:val="24"/>
          <w:szCs w:val="24"/>
        </w:rPr>
        <w:t>2005) resulted in the Baseline survey (FSA,</w:t>
      </w:r>
      <w:r w:rsidR="008725D3">
        <w:rPr>
          <w:rFonts w:eastAsia="Times New Roman" w:cstheme="minorHAnsi"/>
          <w:sz w:val="24"/>
          <w:szCs w:val="24"/>
        </w:rPr>
        <w:t xml:space="preserve"> 2006) that</w:t>
      </w:r>
      <w:r w:rsidR="00881D0A" w:rsidRPr="00640529">
        <w:rPr>
          <w:rFonts w:eastAsia="Times New Roman" w:cstheme="minorHAnsi"/>
          <w:sz w:val="24"/>
          <w:szCs w:val="24"/>
        </w:rPr>
        <w:t xml:space="preserve"> identified key financial capability domains with which </w:t>
      </w:r>
      <w:r w:rsidR="00221BFC" w:rsidRPr="00640529">
        <w:rPr>
          <w:rFonts w:eastAsia="Times New Roman" w:cstheme="minorHAnsi"/>
          <w:sz w:val="24"/>
          <w:szCs w:val="24"/>
        </w:rPr>
        <w:t xml:space="preserve">some consumers need help. </w:t>
      </w:r>
      <w:r w:rsidR="006505D7">
        <w:rPr>
          <w:rFonts w:eastAsia="Times New Roman" w:cstheme="minorHAnsi"/>
          <w:sz w:val="24"/>
          <w:szCs w:val="24"/>
        </w:rPr>
        <w:t xml:space="preserve">Two of these domains, </w:t>
      </w:r>
      <w:r w:rsidR="00640529" w:rsidRPr="00640529">
        <w:rPr>
          <w:rFonts w:eastAsia="Times New Roman" w:cstheme="minorHAnsi"/>
          <w:sz w:val="24"/>
          <w:szCs w:val="24"/>
        </w:rPr>
        <w:t xml:space="preserve">‘Planning Ahead’ </w:t>
      </w:r>
      <w:r w:rsidR="00640529" w:rsidRPr="00640529">
        <w:rPr>
          <w:rFonts w:eastAsia="Times New Roman" w:cstheme="minorHAnsi"/>
          <w:sz w:val="24"/>
          <w:szCs w:val="24"/>
        </w:rPr>
        <w:lastRenderedPageBreak/>
        <w:t>and ‘Choosing Financial Products’ are</w:t>
      </w:r>
      <w:r w:rsidR="006505D7">
        <w:rPr>
          <w:rFonts w:eastAsia="Times New Roman" w:cstheme="minorHAnsi"/>
          <w:sz w:val="24"/>
          <w:szCs w:val="24"/>
        </w:rPr>
        <w:t xml:space="preserve"> areas</w:t>
      </w:r>
      <w:r w:rsidR="00640529">
        <w:rPr>
          <w:rFonts w:eastAsia="Times New Roman" w:cstheme="minorHAnsi"/>
          <w:sz w:val="24"/>
          <w:szCs w:val="24"/>
        </w:rPr>
        <w:t xml:space="preserve"> where </w:t>
      </w:r>
      <w:r w:rsidR="006505D7">
        <w:rPr>
          <w:rFonts w:eastAsia="Times New Roman" w:cstheme="minorHAnsi"/>
          <w:sz w:val="24"/>
          <w:szCs w:val="24"/>
        </w:rPr>
        <w:t xml:space="preserve">use of </w:t>
      </w:r>
      <w:r w:rsidR="00640529">
        <w:rPr>
          <w:rFonts w:eastAsia="Times New Roman" w:cstheme="minorHAnsi"/>
          <w:sz w:val="24"/>
          <w:szCs w:val="24"/>
        </w:rPr>
        <w:t>advice could ease the consumers journey.</w:t>
      </w:r>
    </w:p>
    <w:p w14:paraId="35C49E9B" w14:textId="214E7989" w:rsidR="00221BFC" w:rsidRPr="00640529" w:rsidRDefault="00640529" w:rsidP="00221BFC">
      <w:pPr>
        <w:spacing w:after="120" w:line="480" w:lineRule="auto"/>
        <w:rPr>
          <w:rFonts w:eastAsia="Times New Roman" w:cstheme="minorHAnsi"/>
          <w:sz w:val="24"/>
          <w:szCs w:val="24"/>
        </w:rPr>
      </w:pPr>
      <w:r w:rsidRPr="00640529">
        <w:rPr>
          <w:rFonts w:eastAsia="Times New Roman" w:cstheme="minorHAnsi"/>
          <w:sz w:val="24"/>
          <w:szCs w:val="24"/>
        </w:rPr>
        <w:t xml:space="preserve"> </w:t>
      </w:r>
      <w:r w:rsidR="00221BFC" w:rsidRPr="00640529">
        <w:rPr>
          <w:rFonts w:eastAsia="Times New Roman" w:cstheme="minorHAnsi"/>
          <w:sz w:val="24"/>
          <w:szCs w:val="24"/>
        </w:rPr>
        <w:t>T</w:t>
      </w:r>
      <w:r w:rsidR="00881D0A" w:rsidRPr="00640529">
        <w:rPr>
          <w:rFonts w:eastAsia="Times New Roman" w:cstheme="minorHAnsi"/>
          <w:sz w:val="24"/>
          <w:szCs w:val="24"/>
        </w:rPr>
        <w:t xml:space="preserve">he idea of a generic advice service </w:t>
      </w:r>
      <w:r w:rsidR="00221BFC" w:rsidRPr="00640529">
        <w:rPr>
          <w:rFonts w:eastAsia="Times New Roman" w:cstheme="minorHAnsi"/>
          <w:sz w:val="24"/>
          <w:szCs w:val="24"/>
        </w:rPr>
        <w:t>had been suggested by various commentators and government commission</w:t>
      </w:r>
      <w:r w:rsidR="006505D7">
        <w:rPr>
          <w:rFonts w:eastAsia="Times New Roman" w:cstheme="minorHAnsi"/>
          <w:sz w:val="24"/>
          <w:szCs w:val="24"/>
        </w:rPr>
        <w:t>ed</w:t>
      </w:r>
      <w:r w:rsidR="00221BFC" w:rsidRPr="00640529">
        <w:rPr>
          <w:rFonts w:eastAsia="Times New Roman" w:cstheme="minorHAnsi"/>
          <w:sz w:val="24"/>
          <w:szCs w:val="24"/>
        </w:rPr>
        <w:t xml:space="preserve"> Otto Thoresen (2007; 2008) to conduct a review and pilot a service that would lower the barriers to </w:t>
      </w:r>
      <w:r w:rsidR="006505D7">
        <w:rPr>
          <w:rFonts w:eastAsia="Times New Roman" w:cstheme="minorHAnsi"/>
          <w:sz w:val="24"/>
          <w:szCs w:val="24"/>
        </w:rPr>
        <w:t xml:space="preserve">information and </w:t>
      </w:r>
      <w:r w:rsidR="00221BFC" w:rsidRPr="00640529">
        <w:rPr>
          <w:rFonts w:eastAsia="Times New Roman" w:cstheme="minorHAnsi"/>
          <w:sz w:val="24"/>
          <w:szCs w:val="24"/>
        </w:rPr>
        <w:t>advice</w:t>
      </w:r>
      <w:r w:rsidR="008725D3">
        <w:rPr>
          <w:rFonts w:eastAsia="Times New Roman" w:cstheme="minorHAnsi"/>
          <w:sz w:val="24"/>
          <w:szCs w:val="24"/>
        </w:rPr>
        <w:t>. T</w:t>
      </w:r>
      <w:r w:rsidR="00430C85">
        <w:rPr>
          <w:rFonts w:eastAsia="Times New Roman" w:cstheme="minorHAnsi"/>
          <w:sz w:val="24"/>
          <w:szCs w:val="24"/>
        </w:rPr>
        <w:t>hereby,</w:t>
      </w:r>
      <w:r w:rsidR="00221BFC" w:rsidRPr="00640529">
        <w:rPr>
          <w:rFonts w:eastAsia="Times New Roman" w:cstheme="minorHAnsi"/>
          <w:sz w:val="24"/>
          <w:szCs w:val="24"/>
        </w:rPr>
        <w:t xml:space="preserve"> act</w:t>
      </w:r>
      <w:r w:rsidR="006505D7">
        <w:rPr>
          <w:rFonts w:eastAsia="Times New Roman" w:cstheme="minorHAnsi"/>
          <w:sz w:val="24"/>
          <w:szCs w:val="24"/>
        </w:rPr>
        <w:t>ing</w:t>
      </w:r>
      <w:r w:rsidR="00221BFC" w:rsidRPr="00640529">
        <w:rPr>
          <w:rFonts w:eastAsia="Times New Roman" w:cstheme="minorHAnsi"/>
          <w:sz w:val="24"/>
          <w:szCs w:val="24"/>
        </w:rPr>
        <w:t xml:space="preserve"> as a ‘bridge’ for those consumers who need</w:t>
      </w:r>
      <w:r w:rsidR="006505D7">
        <w:rPr>
          <w:rFonts w:eastAsia="Times New Roman" w:cstheme="minorHAnsi"/>
          <w:sz w:val="24"/>
          <w:szCs w:val="24"/>
        </w:rPr>
        <w:t>ed</w:t>
      </w:r>
      <w:r w:rsidR="00221BFC" w:rsidRPr="00640529">
        <w:rPr>
          <w:rFonts w:eastAsia="Times New Roman" w:cstheme="minorHAnsi"/>
          <w:sz w:val="24"/>
          <w:szCs w:val="24"/>
        </w:rPr>
        <w:t xml:space="preserve"> regulated advice. Ultimately, this led to the formation of the</w:t>
      </w:r>
      <w:r w:rsidR="00FB35B6">
        <w:rPr>
          <w:rFonts w:eastAsia="Times New Roman" w:cstheme="minorHAnsi"/>
          <w:sz w:val="24"/>
          <w:szCs w:val="24"/>
        </w:rPr>
        <w:t xml:space="preserve"> C</w:t>
      </w:r>
      <w:r w:rsidR="00ED1324">
        <w:rPr>
          <w:rFonts w:eastAsia="Times New Roman" w:cstheme="minorHAnsi"/>
          <w:sz w:val="24"/>
          <w:szCs w:val="24"/>
        </w:rPr>
        <w:t>onsumer Finance Education Body (</w:t>
      </w:r>
      <w:r w:rsidR="00FB35B6">
        <w:rPr>
          <w:rFonts w:eastAsia="Times New Roman" w:cstheme="minorHAnsi"/>
          <w:sz w:val="24"/>
          <w:szCs w:val="24"/>
        </w:rPr>
        <w:t xml:space="preserve">which became known as the </w:t>
      </w:r>
      <w:r w:rsidR="00221BFC" w:rsidRPr="00640529">
        <w:rPr>
          <w:rFonts w:eastAsia="Times New Roman" w:cstheme="minorHAnsi"/>
          <w:sz w:val="24"/>
          <w:szCs w:val="24"/>
        </w:rPr>
        <w:t xml:space="preserve">Money Advice Service </w:t>
      </w:r>
      <w:r w:rsidR="00ED1324">
        <w:rPr>
          <w:rFonts w:eastAsia="Times New Roman" w:cstheme="minorHAnsi"/>
          <w:sz w:val="24"/>
          <w:szCs w:val="24"/>
        </w:rPr>
        <w:t>[</w:t>
      </w:r>
      <w:r w:rsidR="00221BFC" w:rsidRPr="00640529">
        <w:rPr>
          <w:rFonts w:eastAsia="Times New Roman" w:cstheme="minorHAnsi"/>
          <w:sz w:val="24"/>
          <w:szCs w:val="24"/>
        </w:rPr>
        <w:t>MAS</w:t>
      </w:r>
      <w:r w:rsidR="00ED1324">
        <w:rPr>
          <w:rFonts w:eastAsia="Times New Roman" w:cstheme="minorHAnsi"/>
          <w:sz w:val="24"/>
          <w:szCs w:val="24"/>
        </w:rPr>
        <w:t>]</w:t>
      </w:r>
      <w:r w:rsidR="00221BFC" w:rsidRPr="00640529">
        <w:rPr>
          <w:rFonts w:eastAsia="Times New Roman" w:cstheme="minorHAnsi"/>
          <w:sz w:val="24"/>
          <w:szCs w:val="24"/>
        </w:rPr>
        <w:t xml:space="preserve">) </w:t>
      </w:r>
      <w:r w:rsidR="00FB35B6">
        <w:rPr>
          <w:rFonts w:eastAsia="Times New Roman" w:cstheme="minorHAnsi"/>
          <w:sz w:val="24"/>
          <w:szCs w:val="24"/>
        </w:rPr>
        <w:t xml:space="preserve">by the UK Government </w:t>
      </w:r>
      <w:r w:rsidR="00221BFC" w:rsidRPr="00640529">
        <w:rPr>
          <w:rFonts w:eastAsia="Times New Roman" w:cstheme="minorHAnsi"/>
          <w:sz w:val="24"/>
          <w:szCs w:val="24"/>
        </w:rPr>
        <w:t>in April 2010</w:t>
      </w:r>
      <w:r w:rsidR="00FB35B6">
        <w:rPr>
          <w:rFonts w:eastAsia="Times New Roman" w:cstheme="minorHAnsi"/>
          <w:sz w:val="24"/>
          <w:szCs w:val="24"/>
        </w:rPr>
        <w:t xml:space="preserve"> and the creation of the National Financial Capability </w:t>
      </w:r>
      <w:r w:rsidR="00FB35B6" w:rsidRPr="001065C6">
        <w:rPr>
          <w:rFonts w:eastAsia="Times New Roman" w:cstheme="minorHAnsi"/>
          <w:sz w:val="24"/>
          <w:szCs w:val="24"/>
        </w:rPr>
        <w:t>Strategy</w:t>
      </w:r>
      <w:r w:rsidR="00FB35B6">
        <w:rPr>
          <w:rFonts w:eastAsia="Times New Roman" w:cstheme="minorHAnsi"/>
          <w:sz w:val="24"/>
          <w:szCs w:val="24"/>
        </w:rPr>
        <w:t xml:space="preserve"> shortly thereafter by this organisation given the remit to develop and operationalise this strategy on behalf of Government (</w:t>
      </w:r>
      <w:r w:rsidR="005E462B">
        <w:rPr>
          <w:rFonts w:eastAsia="Times New Roman" w:cstheme="minorHAnsi"/>
          <w:sz w:val="24"/>
          <w:szCs w:val="24"/>
        </w:rPr>
        <w:t>HMT</w:t>
      </w:r>
      <w:r w:rsidR="00EC371D">
        <w:rPr>
          <w:rFonts w:eastAsia="Times New Roman" w:cstheme="minorHAnsi"/>
          <w:sz w:val="24"/>
          <w:szCs w:val="24"/>
        </w:rPr>
        <w:t>, 2014)</w:t>
      </w:r>
      <w:r w:rsidR="00221BFC" w:rsidRPr="00640529">
        <w:rPr>
          <w:rFonts w:eastAsia="Times New Roman" w:cstheme="minorHAnsi"/>
          <w:sz w:val="24"/>
          <w:szCs w:val="24"/>
        </w:rPr>
        <w:t xml:space="preserve">. </w:t>
      </w:r>
    </w:p>
    <w:p w14:paraId="360A07E0" w14:textId="77777777" w:rsidR="00D71ED8" w:rsidRPr="00D71ED8" w:rsidRDefault="00221BFC" w:rsidP="00D71ED8">
      <w:pPr>
        <w:spacing w:after="120" w:line="480" w:lineRule="auto"/>
        <w:rPr>
          <w:rFonts w:cstheme="minorHAnsi"/>
          <w:sz w:val="24"/>
          <w:szCs w:val="24"/>
        </w:rPr>
      </w:pPr>
      <w:r w:rsidRPr="00640529">
        <w:rPr>
          <w:rFonts w:eastAsia="Times New Roman" w:cstheme="minorHAnsi"/>
          <w:sz w:val="24"/>
          <w:szCs w:val="24"/>
        </w:rPr>
        <w:t>However, low levels of advice seeking still occur in this sector. In 2011 the Chartered Insurance Institute reported</w:t>
      </w:r>
      <w:r w:rsidR="00DB4025" w:rsidRPr="00640529">
        <w:rPr>
          <w:rFonts w:cstheme="minorHAnsi"/>
          <w:sz w:val="24"/>
          <w:szCs w:val="24"/>
        </w:rPr>
        <w:t xml:space="preserve"> that 67% of the population had not received </w:t>
      </w:r>
      <w:r w:rsidR="00EC371D">
        <w:rPr>
          <w:rFonts w:cstheme="minorHAnsi"/>
          <w:sz w:val="24"/>
          <w:szCs w:val="24"/>
        </w:rPr>
        <w:t xml:space="preserve">regulated </w:t>
      </w:r>
      <w:r w:rsidR="00DB4025" w:rsidRPr="00640529">
        <w:rPr>
          <w:rFonts w:cstheme="minorHAnsi"/>
          <w:sz w:val="24"/>
          <w:szCs w:val="24"/>
        </w:rPr>
        <w:t xml:space="preserve">financial advice. </w:t>
      </w:r>
      <w:r w:rsidR="00DB4025" w:rsidRPr="00640529">
        <w:rPr>
          <w:rFonts w:cstheme="minorHAnsi"/>
          <w:bCs/>
          <w:iCs/>
          <w:sz w:val="24"/>
          <w:szCs w:val="24"/>
        </w:rPr>
        <w:t xml:space="preserve">The Baseline Survey (FSA, 2006) suggested that 70% of the population do not take advice when choosing a financial product. </w:t>
      </w:r>
      <w:r w:rsidR="00DB4025" w:rsidRPr="00640529">
        <w:rPr>
          <w:rFonts w:cstheme="minorHAnsi"/>
          <w:sz w:val="24"/>
          <w:szCs w:val="24"/>
        </w:rPr>
        <w:t xml:space="preserve"> </w:t>
      </w:r>
      <w:r w:rsidR="00D71ED8" w:rsidRPr="00D71ED8">
        <w:rPr>
          <w:rFonts w:cstheme="minorHAnsi"/>
          <w:sz w:val="24"/>
          <w:szCs w:val="24"/>
        </w:rPr>
        <w:t>Sandler (2002, p.177) suggested that:</w:t>
      </w:r>
    </w:p>
    <w:p w14:paraId="39DCDBB1" w14:textId="77777777" w:rsidR="00D71ED8" w:rsidRPr="00D71ED8" w:rsidRDefault="00D71ED8" w:rsidP="00D71ED8">
      <w:pPr>
        <w:spacing w:after="120" w:line="480" w:lineRule="auto"/>
        <w:ind w:left="720"/>
        <w:rPr>
          <w:rFonts w:cstheme="minorHAnsi"/>
          <w:sz w:val="24"/>
          <w:szCs w:val="24"/>
        </w:rPr>
      </w:pPr>
      <w:r w:rsidRPr="00D71ED8">
        <w:rPr>
          <w:rFonts w:cstheme="minorHAnsi"/>
          <w:sz w:val="24"/>
          <w:szCs w:val="24"/>
        </w:rPr>
        <w:t>… “</w:t>
      </w:r>
      <w:r w:rsidRPr="00D71ED8">
        <w:rPr>
          <w:rFonts w:cstheme="minorHAnsi"/>
          <w:i/>
          <w:sz w:val="24"/>
          <w:szCs w:val="24"/>
        </w:rPr>
        <w:t>a well-functioning market for retail sales</w:t>
      </w:r>
      <w:r w:rsidRPr="00D71ED8">
        <w:rPr>
          <w:rFonts w:cstheme="minorHAnsi"/>
          <w:sz w:val="24"/>
          <w:szCs w:val="24"/>
        </w:rPr>
        <w:t>” would include … “</w:t>
      </w:r>
      <w:r w:rsidRPr="00D71ED8">
        <w:rPr>
          <w:rFonts w:cstheme="minorHAnsi"/>
          <w:i/>
          <w:sz w:val="24"/>
          <w:szCs w:val="24"/>
        </w:rPr>
        <w:t>a properly functioning advice market, with clear pressures on price and quality”</w:t>
      </w:r>
      <w:r w:rsidRPr="00D71ED8">
        <w:rPr>
          <w:rFonts w:cstheme="minorHAnsi"/>
          <w:sz w:val="24"/>
          <w:szCs w:val="24"/>
        </w:rPr>
        <w:t xml:space="preserve">. </w:t>
      </w:r>
    </w:p>
    <w:p w14:paraId="7B1E1471" w14:textId="0339CEA3" w:rsidR="00D71ED8" w:rsidRDefault="00D71ED8" w:rsidP="00AC3C31">
      <w:pPr>
        <w:spacing w:after="120" w:line="480" w:lineRule="auto"/>
        <w:rPr>
          <w:rFonts w:cstheme="minorHAnsi"/>
          <w:sz w:val="24"/>
          <w:szCs w:val="24"/>
        </w:rPr>
      </w:pPr>
      <w:r w:rsidRPr="005573DF">
        <w:rPr>
          <w:rFonts w:cstheme="minorHAnsi"/>
          <w:sz w:val="24"/>
          <w:szCs w:val="24"/>
        </w:rPr>
        <w:t xml:space="preserve">The </w:t>
      </w:r>
      <w:r>
        <w:rPr>
          <w:rFonts w:cstheme="minorHAnsi"/>
          <w:sz w:val="24"/>
          <w:szCs w:val="24"/>
        </w:rPr>
        <w:t xml:space="preserve">FSA (2009) took steps towards a better functioning market via the Retail Distribution Review (RDR) which was </w:t>
      </w:r>
      <w:r w:rsidRPr="005573DF">
        <w:rPr>
          <w:rFonts w:cstheme="minorHAnsi"/>
          <w:sz w:val="24"/>
          <w:szCs w:val="24"/>
        </w:rPr>
        <w:t>implemented in 2012</w:t>
      </w:r>
      <w:r>
        <w:rPr>
          <w:rFonts w:cstheme="minorHAnsi"/>
          <w:sz w:val="24"/>
          <w:szCs w:val="24"/>
        </w:rPr>
        <w:t>. This resulted in r</w:t>
      </w:r>
      <w:r w:rsidRPr="005573DF">
        <w:rPr>
          <w:rFonts w:cstheme="minorHAnsi"/>
          <w:sz w:val="24"/>
          <w:szCs w:val="24"/>
        </w:rPr>
        <w:t>emoval of commission</w:t>
      </w:r>
      <w:r>
        <w:rPr>
          <w:rFonts w:cstheme="minorHAnsi"/>
          <w:sz w:val="24"/>
          <w:szCs w:val="24"/>
        </w:rPr>
        <w:t xml:space="preserve"> for investment/pension products, the raising of adviser qualification requirements and improved standards of advice (FCA, 2017b), yet the FCA today still express concerns that the market functions properly and barriers to access still exist. The Financial Advice Market Review (FCA, 2017a) which considered investment/pension advice, showed that there were 25% of UK adults who had not had advice who might have needed it and a further 50% who </w:t>
      </w:r>
      <w:r>
        <w:rPr>
          <w:rFonts w:cstheme="minorHAnsi"/>
          <w:sz w:val="24"/>
          <w:szCs w:val="24"/>
        </w:rPr>
        <w:lastRenderedPageBreak/>
        <w:t>had not had advice and are less likely to have needed it. Of those that had not taken advice but might have needed it, 63% said that either: …</w:t>
      </w:r>
      <w:r w:rsidRPr="008C662D">
        <w:rPr>
          <w:rFonts w:cstheme="minorHAnsi"/>
          <w:i/>
          <w:sz w:val="24"/>
          <w:szCs w:val="24"/>
        </w:rPr>
        <w:t>“they had no need to use an adviser”</w:t>
      </w:r>
      <w:r>
        <w:rPr>
          <w:rFonts w:cstheme="minorHAnsi"/>
          <w:sz w:val="24"/>
          <w:szCs w:val="24"/>
        </w:rPr>
        <w:t xml:space="preserve"> or </w:t>
      </w:r>
      <w:r w:rsidRPr="008C662D">
        <w:rPr>
          <w:rFonts w:cstheme="minorHAnsi"/>
          <w:i/>
          <w:sz w:val="24"/>
          <w:szCs w:val="24"/>
        </w:rPr>
        <w:t>“did not think of it”</w:t>
      </w:r>
      <w:r>
        <w:rPr>
          <w:rFonts w:cstheme="minorHAnsi"/>
          <w:i/>
          <w:sz w:val="24"/>
          <w:szCs w:val="24"/>
        </w:rPr>
        <w:t xml:space="preserve"> </w:t>
      </w:r>
      <w:r w:rsidRPr="00C00AD7">
        <w:rPr>
          <w:rFonts w:cstheme="minorHAnsi"/>
          <w:sz w:val="24"/>
          <w:szCs w:val="24"/>
        </w:rPr>
        <w:t>(FCA, 2017a, p.11).</w:t>
      </w:r>
    </w:p>
    <w:p w14:paraId="20FF5E86" w14:textId="5490DFC0" w:rsidR="00D71ED8" w:rsidRDefault="00DB4025" w:rsidP="00D61D1D">
      <w:pPr>
        <w:spacing w:after="120" w:line="480" w:lineRule="auto"/>
        <w:rPr>
          <w:rFonts w:cstheme="minorHAnsi"/>
          <w:sz w:val="24"/>
          <w:szCs w:val="24"/>
        </w:rPr>
      </w:pPr>
      <w:r w:rsidRPr="00640529">
        <w:rPr>
          <w:rFonts w:cstheme="minorHAnsi"/>
          <w:sz w:val="24"/>
          <w:szCs w:val="24"/>
        </w:rPr>
        <w:t>More recently, the Financial Lives Survey (</w:t>
      </w:r>
      <w:r w:rsidR="009B3AB2">
        <w:rPr>
          <w:rFonts w:cstheme="minorHAnsi"/>
          <w:sz w:val="24"/>
          <w:szCs w:val="24"/>
        </w:rPr>
        <w:t>Ripley and Weir, 2020</w:t>
      </w:r>
      <w:r w:rsidR="00B0651F">
        <w:rPr>
          <w:rFonts w:cstheme="minorHAnsi"/>
          <w:sz w:val="24"/>
          <w:szCs w:val="24"/>
        </w:rPr>
        <w:t>)</w:t>
      </w:r>
      <w:r w:rsidR="00640529" w:rsidRPr="00EC371D">
        <w:rPr>
          <w:rFonts w:cstheme="minorHAnsi"/>
          <w:color w:val="FF0000"/>
          <w:sz w:val="24"/>
          <w:szCs w:val="24"/>
        </w:rPr>
        <w:t xml:space="preserve"> </w:t>
      </w:r>
      <w:r w:rsidR="00640529" w:rsidRPr="00640529">
        <w:rPr>
          <w:rFonts w:cstheme="minorHAnsi"/>
          <w:sz w:val="24"/>
          <w:szCs w:val="24"/>
        </w:rPr>
        <w:t xml:space="preserve">suggested that </w:t>
      </w:r>
      <w:r w:rsidR="00EC371D">
        <w:rPr>
          <w:rFonts w:cstheme="minorHAnsi"/>
          <w:sz w:val="24"/>
          <w:szCs w:val="24"/>
        </w:rPr>
        <w:t xml:space="preserve">only </w:t>
      </w:r>
      <w:r w:rsidR="009B3AB2">
        <w:rPr>
          <w:rFonts w:cstheme="minorHAnsi"/>
          <w:sz w:val="24"/>
          <w:szCs w:val="24"/>
        </w:rPr>
        <w:t>8</w:t>
      </w:r>
      <w:r w:rsidR="00640529" w:rsidRPr="00640529">
        <w:rPr>
          <w:rFonts w:cstheme="minorHAnsi"/>
          <w:sz w:val="24"/>
          <w:szCs w:val="24"/>
        </w:rPr>
        <w:t>% of UK adults had accessed regulated advice in the last 12 months</w:t>
      </w:r>
      <w:r w:rsidR="00B0651F">
        <w:rPr>
          <w:rFonts w:cstheme="minorHAnsi"/>
          <w:sz w:val="24"/>
          <w:szCs w:val="24"/>
        </w:rPr>
        <w:t xml:space="preserve"> yet </w:t>
      </w:r>
      <w:r w:rsidR="00740D18">
        <w:rPr>
          <w:rFonts w:cstheme="minorHAnsi"/>
          <w:sz w:val="24"/>
          <w:szCs w:val="24"/>
        </w:rPr>
        <w:t>vulnerability had increased.</w:t>
      </w:r>
      <w:r w:rsidR="00D71ED8">
        <w:rPr>
          <w:rFonts w:cstheme="minorHAnsi"/>
          <w:sz w:val="24"/>
          <w:szCs w:val="24"/>
        </w:rPr>
        <w:t xml:space="preserve"> </w:t>
      </w:r>
      <w:r w:rsidR="008725D3">
        <w:rPr>
          <w:rFonts w:cstheme="minorHAnsi"/>
          <w:sz w:val="24"/>
          <w:szCs w:val="24"/>
        </w:rPr>
        <w:t xml:space="preserve">These figures indicate </w:t>
      </w:r>
      <w:r w:rsidR="00C547D4">
        <w:rPr>
          <w:rFonts w:cstheme="minorHAnsi"/>
          <w:sz w:val="24"/>
          <w:szCs w:val="24"/>
        </w:rPr>
        <w:t>that consumers still do not utilise advice as often as they might</w:t>
      </w:r>
      <w:r w:rsidR="00D71ED8">
        <w:rPr>
          <w:rFonts w:cstheme="minorHAnsi"/>
          <w:sz w:val="24"/>
          <w:szCs w:val="24"/>
        </w:rPr>
        <w:t xml:space="preserve"> although where they do, as Tjandra et (2020) suggest: </w:t>
      </w:r>
      <w:r w:rsidR="00C547D4">
        <w:rPr>
          <w:rFonts w:cstheme="minorHAnsi"/>
          <w:sz w:val="24"/>
          <w:szCs w:val="24"/>
        </w:rPr>
        <w:t xml:space="preserve"> </w:t>
      </w:r>
    </w:p>
    <w:p w14:paraId="1240BF08" w14:textId="77777777" w:rsidR="00D71ED8" w:rsidRDefault="00D71ED8" w:rsidP="00D71ED8">
      <w:pPr>
        <w:spacing w:after="120" w:line="480" w:lineRule="auto"/>
        <w:ind w:left="720"/>
        <w:rPr>
          <w:rFonts w:cstheme="minorHAnsi"/>
          <w:sz w:val="24"/>
          <w:szCs w:val="24"/>
        </w:rPr>
      </w:pPr>
      <w:r>
        <w:rPr>
          <w:rFonts w:cstheme="minorHAnsi"/>
          <w:i/>
          <w:iCs/>
          <w:sz w:val="24"/>
          <w:szCs w:val="24"/>
        </w:rPr>
        <w:t>…</w:t>
      </w:r>
      <w:r w:rsidRPr="00CC4A8B">
        <w:rPr>
          <w:rFonts w:cstheme="minorHAnsi"/>
          <w:i/>
          <w:iCs/>
          <w:sz w:val="24"/>
          <w:szCs w:val="24"/>
        </w:rPr>
        <w:t>“consumers</w:t>
      </w:r>
      <w:r>
        <w:rPr>
          <w:rFonts w:cstheme="minorHAnsi"/>
          <w:i/>
          <w:iCs/>
          <w:sz w:val="24"/>
          <w:szCs w:val="24"/>
        </w:rPr>
        <w:t>’</w:t>
      </w:r>
      <w:r w:rsidRPr="00CC4A8B">
        <w:rPr>
          <w:rFonts w:cstheme="minorHAnsi"/>
          <w:i/>
          <w:iCs/>
          <w:sz w:val="24"/>
          <w:szCs w:val="24"/>
        </w:rPr>
        <w:t xml:space="preserve"> expectations of financial services are vague”</w:t>
      </w:r>
      <w:r>
        <w:rPr>
          <w:rFonts w:cstheme="minorHAnsi"/>
          <w:sz w:val="24"/>
          <w:szCs w:val="24"/>
        </w:rPr>
        <w:t xml:space="preserve"> … they … “</w:t>
      </w:r>
      <w:r w:rsidRPr="00CC4A8B">
        <w:rPr>
          <w:rFonts w:cstheme="minorHAnsi"/>
          <w:i/>
          <w:iCs/>
          <w:sz w:val="24"/>
          <w:szCs w:val="24"/>
        </w:rPr>
        <w:t xml:space="preserve">rely on other </w:t>
      </w:r>
      <w:r>
        <w:rPr>
          <w:rFonts w:cstheme="minorHAnsi"/>
          <w:i/>
          <w:iCs/>
          <w:sz w:val="24"/>
          <w:szCs w:val="24"/>
        </w:rPr>
        <w:t>I</w:t>
      </w:r>
      <w:r w:rsidRPr="00CC4A8B">
        <w:rPr>
          <w:rFonts w:cstheme="minorHAnsi"/>
          <w:i/>
          <w:iCs/>
          <w:sz w:val="24"/>
          <w:szCs w:val="24"/>
        </w:rPr>
        <w:t>nformative cues or credible sources such as IFAs</w:t>
      </w:r>
      <w:r>
        <w:rPr>
          <w:rFonts w:cstheme="minorHAnsi"/>
          <w:sz w:val="24"/>
          <w:szCs w:val="24"/>
        </w:rPr>
        <w:t>” (IFA - Independent Financial Advisers).</w:t>
      </w:r>
    </w:p>
    <w:p w14:paraId="2745DBAC" w14:textId="7FD9F2DF" w:rsidR="003A365D" w:rsidRDefault="003A365D" w:rsidP="00D61D1D">
      <w:pPr>
        <w:spacing w:after="120" w:line="480" w:lineRule="auto"/>
        <w:rPr>
          <w:rFonts w:cstheme="minorHAnsi"/>
          <w:sz w:val="24"/>
          <w:szCs w:val="24"/>
        </w:rPr>
      </w:pPr>
      <w:r>
        <w:rPr>
          <w:rFonts w:cstheme="minorHAnsi"/>
          <w:sz w:val="24"/>
          <w:szCs w:val="24"/>
        </w:rPr>
        <w:t>So</w:t>
      </w:r>
      <w:r w:rsidR="00AD3A2D">
        <w:rPr>
          <w:rFonts w:cstheme="minorHAnsi"/>
          <w:sz w:val="24"/>
          <w:szCs w:val="24"/>
        </w:rPr>
        <w:t xml:space="preserve"> despite this two pronged approach b</w:t>
      </w:r>
      <w:r>
        <w:rPr>
          <w:rFonts w:cstheme="minorHAnsi"/>
          <w:sz w:val="24"/>
          <w:szCs w:val="24"/>
        </w:rPr>
        <w:t>y the regulator</w:t>
      </w:r>
      <w:r w:rsidR="00AD3A2D">
        <w:rPr>
          <w:rFonts w:cstheme="minorHAnsi"/>
          <w:sz w:val="24"/>
          <w:szCs w:val="24"/>
        </w:rPr>
        <w:t xml:space="preserve"> </w:t>
      </w:r>
      <w:r>
        <w:rPr>
          <w:rFonts w:cstheme="minorHAnsi"/>
          <w:sz w:val="24"/>
          <w:szCs w:val="24"/>
        </w:rPr>
        <w:t>of introducing a generic advice s</w:t>
      </w:r>
      <w:r w:rsidR="00AD3A2D">
        <w:rPr>
          <w:rFonts w:cstheme="minorHAnsi"/>
          <w:sz w:val="24"/>
          <w:szCs w:val="24"/>
        </w:rPr>
        <w:t>ervice</w:t>
      </w:r>
      <w:r>
        <w:rPr>
          <w:rFonts w:cstheme="minorHAnsi"/>
          <w:sz w:val="24"/>
          <w:szCs w:val="24"/>
        </w:rPr>
        <w:t xml:space="preserve"> and atte</w:t>
      </w:r>
      <w:r w:rsidR="00AD3A2D">
        <w:rPr>
          <w:rFonts w:cstheme="minorHAnsi"/>
          <w:sz w:val="24"/>
          <w:szCs w:val="24"/>
        </w:rPr>
        <w:t xml:space="preserve">mpting to raise the standard of regulated advice, </w:t>
      </w:r>
      <w:r w:rsidR="00FF7DA0">
        <w:rPr>
          <w:rFonts w:cstheme="minorHAnsi"/>
          <w:sz w:val="24"/>
          <w:szCs w:val="24"/>
        </w:rPr>
        <w:t xml:space="preserve">their research (FCA, 2017a) shows that </w:t>
      </w:r>
      <w:r w:rsidR="00AD3A2D">
        <w:rPr>
          <w:rFonts w:cstheme="minorHAnsi"/>
          <w:sz w:val="24"/>
          <w:szCs w:val="24"/>
        </w:rPr>
        <w:t>barriers to consumer access still exist.</w:t>
      </w:r>
    </w:p>
    <w:p w14:paraId="446AB7CD" w14:textId="3EC35F5A" w:rsidR="00570C20" w:rsidRDefault="00221BFC" w:rsidP="005F21D5">
      <w:pPr>
        <w:spacing w:after="120" w:line="480" w:lineRule="auto"/>
        <w:rPr>
          <w:rFonts w:eastAsia="Times New Roman" w:cstheme="minorHAnsi"/>
          <w:sz w:val="24"/>
          <w:szCs w:val="24"/>
        </w:rPr>
      </w:pPr>
      <w:r w:rsidRPr="00640529">
        <w:rPr>
          <w:rFonts w:eastAsia="Times New Roman" w:cstheme="minorHAnsi"/>
          <w:sz w:val="24"/>
          <w:szCs w:val="24"/>
        </w:rPr>
        <w:t xml:space="preserve">This </w:t>
      </w:r>
      <w:r w:rsidR="0021371F">
        <w:rPr>
          <w:rFonts w:eastAsia="Times New Roman" w:cstheme="minorHAnsi"/>
          <w:sz w:val="24"/>
          <w:szCs w:val="24"/>
        </w:rPr>
        <w:t>paper</w:t>
      </w:r>
      <w:r w:rsidR="00A17A77">
        <w:rPr>
          <w:rFonts w:eastAsia="Times New Roman" w:cstheme="minorHAnsi"/>
          <w:sz w:val="24"/>
          <w:szCs w:val="24"/>
        </w:rPr>
        <w:t xml:space="preserve"> presents concepts that act as barriers to accessing advice which have </w:t>
      </w:r>
      <w:r w:rsidR="00640529">
        <w:rPr>
          <w:rFonts w:eastAsia="Times New Roman" w:cstheme="minorHAnsi"/>
          <w:sz w:val="24"/>
          <w:szCs w:val="24"/>
        </w:rPr>
        <w:t>emerged from the associated research, such as ‘the need for advice to be perceived as the subjective norm’ and the Financial Advice Belief Model</w:t>
      </w:r>
      <w:r w:rsidR="005503C0">
        <w:rPr>
          <w:rFonts w:eastAsia="Times New Roman" w:cstheme="minorHAnsi"/>
          <w:sz w:val="24"/>
          <w:szCs w:val="24"/>
        </w:rPr>
        <w:t xml:space="preserve"> (FABM)</w:t>
      </w:r>
      <w:r w:rsidR="0021371F">
        <w:rPr>
          <w:rFonts w:eastAsia="Times New Roman" w:cstheme="minorHAnsi"/>
          <w:sz w:val="24"/>
          <w:szCs w:val="24"/>
        </w:rPr>
        <w:t>. It</w:t>
      </w:r>
      <w:r w:rsidR="00640529">
        <w:rPr>
          <w:rFonts w:eastAsia="Times New Roman" w:cstheme="minorHAnsi"/>
          <w:sz w:val="24"/>
          <w:szCs w:val="24"/>
        </w:rPr>
        <w:t xml:space="preserve"> </w:t>
      </w:r>
      <w:r w:rsidRPr="00640529">
        <w:rPr>
          <w:rFonts w:eastAsia="Times New Roman" w:cstheme="minorHAnsi"/>
          <w:sz w:val="24"/>
          <w:szCs w:val="24"/>
        </w:rPr>
        <w:t>seeks to develop understanding of why th</w:t>
      </w:r>
      <w:r w:rsidR="0048297E">
        <w:rPr>
          <w:rFonts w:eastAsia="Times New Roman" w:cstheme="minorHAnsi"/>
          <w:sz w:val="24"/>
          <w:szCs w:val="24"/>
        </w:rPr>
        <w:t>ese barriers to access remain</w:t>
      </w:r>
      <w:r w:rsidR="0021371F">
        <w:rPr>
          <w:rFonts w:eastAsia="Times New Roman" w:cstheme="minorHAnsi"/>
          <w:sz w:val="24"/>
          <w:szCs w:val="24"/>
        </w:rPr>
        <w:t xml:space="preserve"> the case despite the structural changes to the adviser market </w:t>
      </w:r>
      <w:r w:rsidR="00EC371D">
        <w:rPr>
          <w:rFonts w:eastAsia="Times New Roman" w:cstheme="minorHAnsi"/>
          <w:sz w:val="24"/>
          <w:szCs w:val="24"/>
        </w:rPr>
        <w:t xml:space="preserve">and </w:t>
      </w:r>
      <w:r w:rsidR="00E20A05">
        <w:rPr>
          <w:rFonts w:eastAsia="Times New Roman" w:cstheme="minorHAnsi"/>
          <w:sz w:val="24"/>
          <w:szCs w:val="24"/>
        </w:rPr>
        <w:t>more than</w:t>
      </w:r>
      <w:r w:rsidR="00EC371D">
        <w:rPr>
          <w:rFonts w:eastAsia="Times New Roman" w:cstheme="minorHAnsi"/>
          <w:sz w:val="24"/>
          <w:szCs w:val="24"/>
        </w:rPr>
        <w:t xml:space="preserve"> 10 years of operation of a national generic financial advice service</w:t>
      </w:r>
      <w:r w:rsidRPr="00640529">
        <w:rPr>
          <w:rFonts w:eastAsia="Times New Roman" w:cstheme="minorHAnsi"/>
          <w:sz w:val="24"/>
          <w:szCs w:val="24"/>
        </w:rPr>
        <w:t>.</w:t>
      </w:r>
      <w:r w:rsidR="00640529">
        <w:rPr>
          <w:rFonts w:eastAsia="Times New Roman" w:cstheme="minorHAnsi"/>
          <w:sz w:val="24"/>
          <w:szCs w:val="24"/>
        </w:rPr>
        <w:t xml:space="preserve"> The research</w:t>
      </w:r>
      <w:r w:rsidR="003C3FB7" w:rsidRPr="00640529">
        <w:rPr>
          <w:rFonts w:eastAsia="Times New Roman" w:cstheme="minorHAnsi"/>
          <w:sz w:val="24"/>
          <w:szCs w:val="24"/>
        </w:rPr>
        <w:t xml:space="preserve"> draws on 21 in</w:t>
      </w:r>
      <w:r w:rsidR="00712CAF" w:rsidRPr="00640529">
        <w:rPr>
          <w:rFonts w:eastAsia="Times New Roman" w:cstheme="minorHAnsi"/>
          <w:sz w:val="24"/>
          <w:szCs w:val="24"/>
        </w:rPr>
        <w:t>-</w:t>
      </w:r>
      <w:r w:rsidR="003C3FB7" w:rsidRPr="00640529">
        <w:rPr>
          <w:rFonts w:eastAsia="Times New Roman" w:cstheme="minorHAnsi"/>
          <w:sz w:val="24"/>
          <w:szCs w:val="24"/>
        </w:rPr>
        <w:t xml:space="preserve">depth interviews with middle-income employees </w:t>
      </w:r>
      <w:r w:rsidR="00E3705B" w:rsidRPr="00640529">
        <w:rPr>
          <w:rFonts w:eastAsia="Times New Roman" w:cstheme="minorHAnsi"/>
          <w:sz w:val="24"/>
          <w:szCs w:val="24"/>
        </w:rPr>
        <w:t xml:space="preserve">to better understand </w:t>
      </w:r>
      <w:r w:rsidR="005C0406" w:rsidRPr="00640529">
        <w:rPr>
          <w:rFonts w:eastAsia="Times New Roman" w:cstheme="minorHAnsi"/>
          <w:sz w:val="24"/>
          <w:szCs w:val="24"/>
        </w:rPr>
        <w:t>the barriers that face the consumer on their journey to a</w:t>
      </w:r>
      <w:r w:rsidR="00E3705B" w:rsidRPr="00640529">
        <w:rPr>
          <w:rFonts w:eastAsia="Times New Roman" w:cstheme="minorHAnsi"/>
          <w:sz w:val="24"/>
          <w:szCs w:val="24"/>
        </w:rPr>
        <w:t>ccess</w:t>
      </w:r>
      <w:r w:rsidR="005C0406" w:rsidRPr="00640529">
        <w:rPr>
          <w:rFonts w:eastAsia="Times New Roman" w:cstheme="minorHAnsi"/>
          <w:sz w:val="24"/>
          <w:szCs w:val="24"/>
        </w:rPr>
        <w:t xml:space="preserve"> </w:t>
      </w:r>
      <w:r w:rsidR="00E3705B" w:rsidRPr="00640529">
        <w:rPr>
          <w:rFonts w:eastAsia="Times New Roman" w:cstheme="minorHAnsi"/>
          <w:sz w:val="24"/>
          <w:szCs w:val="24"/>
        </w:rPr>
        <w:t>advice</w:t>
      </w:r>
      <w:r w:rsidR="005C0406" w:rsidRPr="00640529">
        <w:rPr>
          <w:rFonts w:eastAsia="Times New Roman" w:cstheme="minorHAnsi"/>
          <w:sz w:val="24"/>
          <w:szCs w:val="24"/>
        </w:rPr>
        <w:t xml:space="preserve"> and how they have then utilised advice services</w:t>
      </w:r>
      <w:r w:rsidR="00E3705B" w:rsidRPr="00640529">
        <w:rPr>
          <w:rFonts w:eastAsia="Times New Roman" w:cstheme="minorHAnsi"/>
          <w:sz w:val="24"/>
          <w:szCs w:val="24"/>
        </w:rPr>
        <w:t xml:space="preserve">. </w:t>
      </w:r>
      <w:r w:rsidR="005503C0">
        <w:rPr>
          <w:rFonts w:eastAsia="Times New Roman" w:cstheme="minorHAnsi"/>
          <w:sz w:val="24"/>
          <w:szCs w:val="24"/>
        </w:rPr>
        <w:t>Analysis of these interviews using the framework of the FABM highlighted where the barriers prevented consumers progressing to advice.</w:t>
      </w:r>
    </w:p>
    <w:p w14:paraId="64939ACC" w14:textId="22CBCC7B" w:rsidR="00E20A05" w:rsidRDefault="00E20A05" w:rsidP="005F21D5">
      <w:pPr>
        <w:spacing w:after="120" w:line="480" w:lineRule="auto"/>
        <w:rPr>
          <w:rFonts w:eastAsia="Times New Roman" w:cstheme="minorHAnsi"/>
          <w:sz w:val="24"/>
          <w:szCs w:val="24"/>
        </w:rPr>
      </w:pPr>
      <w:r>
        <w:rPr>
          <w:rFonts w:eastAsia="Times New Roman" w:cstheme="minorHAnsi"/>
          <w:sz w:val="24"/>
          <w:szCs w:val="24"/>
        </w:rPr>
        <w:lastRenderedPageBreak/>
        <w:t xml:space="preserve">In the </w:t>
      </w:r>
      <w:r w:rsidR="00DB5B30">
        <w:rPr>
          <w:rFonts w:eastAsia="Times New Roman" w:cstheme="minorHAnsi"/>
          <w:sz w:val="24"/>
          <w:szCs w:val="24"/>
        </w:rPr>
        <w:t>next section, an overview is provided of the advice landscape and the changes implemented throug</w:t>
      </w:r>
      <w:r w:rsidR="0021371F">
        <w:rPr>
          <w:rFonts w:eastAsia="Times New Roman" w:cstheme="minorHAnsi"/>
          <w:sz w:val="24"/>
          <w:szCs w:val="24"/>
        </w:rPr>
        <w:t>h</w:t>
      </w:r>
      <w:r>
        <w:rPr>
          <w:rFonts w:eastAsia="Times New Roman" w:cstheme="minorHAnsi"/>
          <w:sz w:val="24"/>
          <w:szCs w:val="24"/>
        </w:rPr>
        <w:t xml:space="preserve"> </w:t>
      </w:r>
      <w:r w:rsidR="0021371F">
        <w:rPr>
          <w:rFonts w:eastAsia="Times New Roman" w:cstheme="minorHAnsi"/>
          <w:sz w:val="24"/>
          <w:szCs w:val="24"/>
        </w:rPr>
        <w:t>RDR</w:t>
      </w:r>
      <w:r w:rsidR="00DB5B30">
        <w:rPr>
          <w:rFonts w:eastAsia="Times New Roman" w:cstheme="minorHAnsi"/>
          <w:sz w:val="24"/>
          <w:szCs w:val="24"/>
        </w:rPr>
        <w:t xml:space="preserve">. This leads onto discussion about the environment in which advice is provided and how behavioural biases can influence consumer decisions. </w:t>
      </w:r>
      <w:r w:rsidR="00DD4BCB">
        <w:rPr>
          <w:rFonts w:eastAsia="Times New Roman" w:cstheme="minorHAnsi"/>
          <w:sz w:val="24"/>
          <w:szCs w:val="24"/>
        </w:rPr>
        <w:t>A brief description of the</w:t>
      </w:r>
      <w:r w:rsidR="00C80EFB">
        <w:rPr>
          <w:rFonts w:eastAsia="Times New Roman" w:cstheme="minorHAnsi"/>
          <w:sz w:val="24"/>
          <w:szCs w:val="24"/>
        </w:rPr>
        <w:t xml:space="preserve"> evolution of the</w:t>
      </w:r>
      <w:r w:rsidR="00DD4BCB">
        <w:rPr>
          <w:rFonts w:eastAsia="Times New Roman" w:cstheme="minorHAnsi"/>
          <w:sz w:val="24"/>
          <w:szCs w:val="24"/>
        </w:rPr>
        <w:t xml:space="preserve"> Financial Advice Belief Model (FABM) is then provided which traces the development from its origins as the Theoretical Framework which guided the research. Then following a brief summary of the research process, the results of this research are presented which includes discussion of the key barriers and demonstration of how the FABM was tested.</w:t>
      </w:r>
      <w:r w:rsidR="008A3792">
        <w:rPr>
          <w:rFonts w:eastAsia="Times New Roman" w:cstheme="minorHAnsi"/>
          <w:sz w:val="24"/>
          <w:szCs w:val="24"/>
        </w:rPr>
        <w:t xml:space="preserve"> Finally, the conclusion frames the significance of these findings in the context of today’s financial advice market.</w:t>
      </w:r>
    </w:p>
    <w:p w14:paraId="1AC8CE0D" w14:textId="77777777" w:rsidR="00CC4A8B" w:rsidRDefault="00CC4A8B">
      <w:pPr>
        <w:rPr>
          <w:rFonts w:eastAsia="Times New Roman" w:cstheme="minorHAnsi"/>
          <w:b/>
          <w:bCs/>
          <w:sz w:val="28"/>
          <w:szCs w:val="28"/>
          <w:u w:val="single"/>
          <w:lang w:val="en-US"/>
        </w:rPr>
      </w:pPr>
      <w:r>
        <w:rPr>
          <w:rFonts w:eastAsia="Times New Roman" w:cstheme="minorHAnsi"/>
          <w:b/>
          <w:bCs/>
          <w:sz w:val="28"/>
          <w:szCs w:val="28"/>
          <w:u w:val="single"/>
          <w:lang w:val="en-US"/>
        </w:rPr>
        <w:br w:type="page"/>
      </w:r>
    </w:p>
    <w:p w14:paraId="3369E1ED" w14:textId="1883FE8B" w:rsidR="00267F4E" w:rsidRPr="00FD3884" w:rsidRDefault="00267F4E" w:rsidP="00267F4E">
      <w:pPr>
        <w:spacing w:after="120" w:line="480" w:lineRule="auto"/>
        <w:rPr>
          <w:rFonts w:eastAsia="Times New Roman" w:cstheme="minorHAnsi"/>
          <w:b/>
          <w:bCs/>
          <w:sz w:val="28"/>
          <w:szCs w:val="28"/>
          <w:u w:val="single"/>
          <w:lang w:val="en-US"/>
        </w:rPr>
      </w:pPr>
      <w:r w:rsidRPr="00FD3884">
        <w:rPr>
          <w:rFonts w:eastAsia="Times New Roman" w:cstheme="minorHAnsi"/>
          <w:b/>
          <w:bCs/>
          <w:sz w:val="28"/>
          <w:szCs w:val="28"/>
          <w:u w:val="single"/>
          <w:lang w:val="en-US"/>
        </w:rPr>
        <w:lastRenderedPageBreak/>
        <w:t xml:space="preserve">Advice landscape and </w:t>
      </w:r>
      <w:r w:rsidR="00E20A05">
        <w:rPr>
          <w:rFonts w:eastAsia="Times New Roman" w:cstheme="minorHAnsi"/>
          <w:b/>
          <w:bCs/>
          <w:sz w:val="28"/>
          <w:szCs w:val="28"/>
          <w:u w:val="single"/>
          <w:lang w:val="en-US"/>
        </w:rPr>
        <w:t>RD</w:t>
      </w:r>
      <w:r w:rsidR="00DD4BCB">
        <w:rPr>
          <w:rFonts w:eastAsia="Times New Roman" w:cstheme="minorHAnsi"/>
          <w:b/>
          <w:bCs/>
          <w:sz w:val="28"/>
          <w:szCs w:val="28"/>
          <w:u w:val="single"/>
          <w:lang w:val="en-US"/>
        </w:rPr>
        <w:t>R</w:t>
      </w:r>
      <w:r w:rsidRPr="00FD3884">
        <w:rPr>
          <w:rFonts w:eastAsia="Times New Roman" w:cstheme="minorHAnsi"/>
          <w:b/>
          <w:bCs/>
          <w:sz w:val="28"/>
          <w:szCs w:val="28"/>
          <w:u w:val="single"/>
          <w:lang w:val="en-US"/>
        </w:rPr>
        <w:t xml:space="preserve"> changes</w:t>
      </w:r>
    </w:p>
    <w:p w14:paraId="53D4102F" w14:textId="77777777" w:rsidR="001B32AD" w:rsidRDefault="00BD6BD7" w:rsidP="005F21D5">
      <w:pPr>
        <w:spacing w:after="120" w:line="480" w:lineRule="auto"/>
        <w:rPr>
          <w:rFonts w:eastAsia="Times New Roman" w:cstheme="minorHAnsi"/>
          <w:sz w:val="24"/>
          <w:szCs w:val="24"/>
          <w:lang w:val="en-US"/>
        </w:rPr>
      </w:pPr>
      <w:r>
        <w:rPr>
          <w:rFonts w:eastAsia="Times New Roman" w:cstheme="minorHAnsi"/>
          <w:sz w:val="24"/>
          <w:szCs w:val="24"/>
          <w:lang w:val="en-US"/>
        </w:rPr>
        <w:t xml:space="preserve">Prior to the introduction of the Money Advice Service in 2010, financial advice had been delivered from various sources via both commercial and third sector providers. </w:t>
      </w:r>
      <w:r w:rsidR="00057698">
        <w:rPr>
          <w:rFonts w:eastAsia="Times New Roman" w:cstheme="minorHAnsi"/>
          <w:sz w:val="24"/>
          <w:szCs w:val="24"/>
          <w:lang w:val="en-US"/>
        </w:rPr>
        <w:t xml:space="preserve">Until the formation of the Financial Services Authority (FSA) in 1986, the sale of financial products and the provision of financial advice was largely self-regulated by various professional bodies. </w:t>
      </w:r>
      <w:r w:rsidR="00C41AA3">
        <w:rPr>
          <w:rFonts w:eastAsia="Times New Roman" w:cstheme="minorHAnsi"/>
          <w:sz w:val="24"/>
          <w:szCs w:val="24"/>
          <w:lang w:val="en-US"/>
        </w:rPr>
        <w:t>As the FSA evolved</w:t>
      </w:r>
      <w:r w:rsidR="00991AC9">
        <w:rPr>
          <w:rFonts w:eastAsia="Times New Roman" w:cstheme="minorHAnsi"/>
          <w:sz w:val="24"/>
          <w:szCs w:val="24"/>
          <w:lang w:val="en-US"/>
        </w:rPr>
        <w:t>,</w:t>
      </w:r>
      <w:r w:rsidR="000F7D71">
        <w:rPr>
          <w:rFonts w:eastAsia="Times New Roman" w:cstheme="minorHAnsi"/>
          <w:sz w:val="24"/>
          <w:szCs w:val="24"/>
          <w:lang w:val="en-US"/>
        </w:rPr>
        <w:t xml:space="preserve"> clearer boundaries </w:t>
      </w:r>
      <w:r w:rsidR="000C5037">
        <w:rPr>
          <w:rFonts w:eastAsia="Times New Roman" w:cstheme="minorHAnsi"/>
          <w:sz w:val="24"/>
          <w:szCs w:val="24"/>
          <w:lang w:val="en-US"/>
        </w:rPr>
        <w:t xml:space="preserve">emerged </w:t>
      </w:r>
      <w:r w:rsidR="000F7D71">
        <w:rPr>
          <w:rFonts w:eastAsia="Times New Roman" w:cstheme="minorHAnsi"/>
          <w:sz w:val="24"/>
          <w:szCs w:val="24"/>
          <w:lang w:val="en-US"/>
        </w:rPr>
        <w:t>between what is now deemed regulated advice and more general advice that falls within the definition of generic advice. However, a number of mis-selling scandals resulted in consumer detriment and loss of consumer trust in the financial services</w:t>
      </w:r>
      <w:r w:rsidR="008F113B">
        <w:rPr>
          <w:rFonts w:eastAsia="Times New Roman" w:cstheme="minorHAnsi"/>
          <w:sz w:val="24"/>
          <w:szCs w:val="24"/>
          <w:lang w:val="en-US"/>
        </w:rPr>
        <w:t xml:space="preserve"> (</w:t>
      </w:r>
      <w:r w:rsidR="008F113B" w:rsidRPr="00AF6991">
        <w:rPr>
          <w:rFonts w:eastAsia="Times New Roman" w:cstheme="minorHAnsi"/>
          <w:sz w:val="24"/>
          <w:szCs w:val="24"/>
          <w:lang w:eastAsia="en-GB"/>
        </w:rPr>
        <w:t>Wells</w:t>
      </w:r>
      <w:r w:rsidR="008F113B">
        <w:rPr>
          <w:rFonts w:eastAsia="Times New Roman" w:cstheme="minorHAnsi"/>
          <w:sz w:val="24"/>
          <w:szCs w:val="24"/>
          <w:lang w:eastAsia="en-GB"/>
        </w:rPr>
        <w:t xml:space="preserve"> </w:t>
      </w:r>
      <w:r w:rsidR="008F113B" w:rsidRPr="00AF6991">
        <w:rPr>
          <w:rFonts w:eastAsia="Times New Roman" w:cstheme="minorHAnsi"/>
          <w:sz w:val="24"/>
          <w:szCs w:val="24"/>
          <w:lang w:eastAsia="en-GB"/>
        </w:rPr>
        <w:t>and Gostelow,</w:t>
      </w:r>
      <w:r w:rsidR="007E5A5C">
        <w:rPr>
          <w:rFonts w:eastAsia="Times New Roman" w:cstheme="minorHAnsi"/>
          <w:sz w:val="24"/>
          <w:szCs w:val="24"/>
          <w:lang w:eastAsia="en-GB"/>
        </w:rPr>
        <w:t xml:space="preserve"> 2009</w:t>
      </w:r>
      <w:r w:rsidR="008F113B">
        <w:rPr>
          <w:rFonts w:eastAsia="Times New Roman" w:cstheme="minorHAnsi"/>
          <w:sz w:val="24"/>
          <w:szCs w:val="24"/>
          <w:lang w:val="en-US"/>
        </w:rPr>
        <w:t>)</w:t>
      </w:r>
      <w:r w:rsidR="000F7D71">
        <w:rPr>
          <w:rFonts w:eastAsia="Times New Roman" w:cstheme="minorHAnsi"/>
          <w:sz w:val="24"/>
          <w:szCs w:val="24"/>
          <w:lang w:val="en-US"/>
        </w:rPr>
        <w:t xml:space="preserve"> and more particularly the regulated advice sector. A number of measures were introduce</w:t>
      </w:r>
      <w:r w:rsidR="00566289">
        <w:rPr>
          <w:rFonts w:eastAsia="Times New Roman" w:cstheme="minorHAnsi"/>
          <w:sz w:val="24"/>
          <w:szCs w:val="24"/>
          <w:lang w:val="en-US"/>
        </w:rPr>
        <w:t>d</w:t>
      </w:r>
      <w:r w:rsidR="00C41AA3">
        <w:rPr>
          <w:rFonts w:eastAsia="Times New Roman" w:cstheme="minorHAnsi"/>
          <w:sz w:val="24"/>
          <w:szCs w:val="24"/>
          <w:lang w:val="en-US"/>
        </w:rPr>
        <w:t xml:space="preserve"> by the FSA</w:t>
      </w:r>
      <w:r w:rsidR="000F7D71">
        <w:rPr>
          <w:rFonts w:eastAsia="Times New Roman" w:cstheme="minorHAnsi"/>
          <w:sz w:val="24"/>
          <w:szCs w:val="24"/>
          <w:lang w:val="en-US"/>
        </w:rPr>
        <w:t xml:space="preserve"> to try and improve the quality of advice and restore consumer trust including minimum qualification standards for advisers</w:t>
      </w:r>
      <w:r w:rsidR="002E38E8">
        <w:rPr>
          <w:rFonts w:eastAsia="Times New Roman" w:cstheme="minorHAnsi"/>
          <w:sz w:val="24"/>
          <w:szCs w:val="24"/>
          <w:lang w:val="en-US"/>
        </w:rPr>
        <w:t xml:space="preserve"> (FSA, 2009)</w:t>
      </w:r>
      <w:r w:rsidR="000F7D71">
        <w:rPr>
          <w:rFonts w:eastAsia="Times New Roman" w:cstheme="minorHAnsi"/>
          <w:sz w:val="24"/>
          <w:szCs w:val="24"/>
          <w:lang w:val="en-US"/>
        </w:rPr>
        <w:t xml:space="preserve">. </w:t>
      </w:r>
      <w:r w:rsidR="00566289">
        <w:rPr>
          <w:rFonts w:eastAsia="Times New Roman" w:cstheme="minorHAnsi"/>
          <w:sz w:val="24"/>
          <w:szCs w:val="24"/>
          <w:lang w:val="en-US"/>
        </w:rPr>
        <w:t>At the end of 2012 this culminated in the introduction</w:t>
      </w:r>
      <w:r w:rsidR="00C41AA3">
        <w:rPr>
          <w:rFonts w:eastAsia="Times New Roman" w:cstheme="minorHAnsi"/>
          <w:sz w:val="24"/>
          <w:szCs w:val="24"/>
          <w:lang w:val="en-US"/>
        </w:rPr>
        <w:t>, via the implementation of the outcomes of RDR,</w:t>
      </w:r>
      <w:r w:rsidR="00566289">
        <w:rPr>
          <w:rFonts w:eastAsia="Times New Roman" w:cstheme="minorHAnsi"/>
          <w:sz w:val="24"/>
          <w:szCs w:val="24"/>
          <w:lang w:val="en-US"/>
        </w:rPr>
        <w:t xml:space="preserve"> of the requirement for all regulated advisers to raise their qualification level to QCF4 </w:t>
      </w:r>
      <w:r w:rsidR="00DD4BCB" w:rsidRPr="00DD4BCB">
        <w:rPr>
          <w:rFonts w:eastAsia="Times New Roman" w:cstheme="minorHAnsi"/>
          <w:sz w:val="24"/>
          <w:szCs w:val="24"/>
          <w:lang w:val="en-US"/>
        </w:rPr>
        <w:t xml:space="preserve">(Qualification and Credit Framework – the national credit transfer system for educational qualifications in the UK until October 2015) </w:t>
      </w:r>
      <w:r w:rsidR="00566289">
        <w:rPr>
          <w:rFonts w:eastAsia="Times New Roman" w:cstheme="minorHAnsi"/>
          <w:sz w:val="24"/>
          <w:szCs w:val="24"/>
          <w:lang w:val="en-US"/>
        </w:rPr>
        <w:t>from the earlier requirement of QCF level 3. At the same time commission</w:t>
      </w:r>
      <w:r w:rsidR="006D45F0">
        <w:rPr>
          <w:rFonts w:eastAsia="Times New Roman" w:cstheme="minorHAnsi"/>
          <w:sz w:val="24"/>
          <w:szCs w:val="24"/>
          <w:lang w:val="en-US"/>
        </w:rPr>
        <w:t>-based payments to advisers</w:t>
      </w:r>
      <w:r w:rsidR="00566289">
        <w:rPr>
          <w:rFonts w:eastAsia="Times New Roman" w:cstheme="minorHAnsi"/>
          <w:sz w:val="24"/>
          <w:szCs w:val="24"/>
          <w:lang w:val="en-US"/>
        </w:rPr>
        <w:t xml:space="preserve"> w</w:t>
      </w:r>
      <w:r w:rsidR="006D45F0">
        <w:rPr>
          <w:rFonts w:eastAsia="Times New Roman" w:cstheme="minorHAnsi"/>
          <w:sz w:val="24"/>
          <w:szCs w:val="24"/>
          <w:lang w:val="en-US"/>
        </w:rPr>
        <w:t>ere</w:t>
      </w:r>
      <w:r w:rsidR="00566289">
        <w:rPr>
          <w:rFonts w:eastAsia="Times New Roman" w:cstheme="minorHAnsi"/>
          <w:sz w:val="24"/>
          <w:szCs w:val="24"/>
          <w:lang w:val="en-US"/>
        </w:rPr>
        <w:t xml:space="preserve"> banned for the advised sales of investment and pension products</w:t>
      </w:r>
      <w:r w:rsidR="001B32AD">
        <w:rPr>
          <w:rFonts w:eastAsia="Times New Roman" w:cstheme="minorHAnsi"/>
          <w:sz w:val="24"/>
          <w:szCs w:val="24"/>
          <w:lang w:val="en-US"/>
        </w:rPr>
        <w:t>.</w:t>
      </w:r>
    </w:p>
    <w:p w14:paraId="177E843B" w14:textId="097DB7C4" w:rsidR="001B27F6" w:rsidRPr="006D45F0" w:rsidRDefault="00566289" w:rsidP="005F21D5">
      <w:pPr>
        <w:spacing w:after="120" w:line="480" w:lineRule="auto"/>
        <w:rPr>
          <w:rFonts w:eastAsia="Times New Roman" w:cstheme="minorHAnsi"/>
          <w:color w:val="FF0000"/>
          <w:sz w:val="24"/>
          <w:szCs w:val="24"/>
          <w:lang w:val="en-US"/>
        </w:rPr>
      </w:pPr>
      <w:r>
        <w:rPr>
          <w:rFonts w:eastAsia="Times New Roman" w:cstheme="minorHAnsi"/>
          <w:sz w:val="24"/>
          <w:szCs w:val="24"/>
          <w:lang w:val="en-US"/>
        </w:rPr>
        <w:t>The regulator’s intention was to restore consumer trust and raise the standards of advice</w:t>
      </w:r>
      <w:r w:rsidR="008F7CF1">
        <w:rPr>
          <w:rFonts w:eastAsia="Times New Roman" w:cstheme="minorHAnsi"/>
          <w:sz w:val="24"/>
          <w:szCs w:val="24"/>
          <w:lang w:val="en-US"/>
        </w:rPr>
        <w:t xml:space="preserve"> </w:t>
      </w:r>
      <w:r w:rsidR="002C26FE">
        <w:rPr>
          <w:rFonts w:eastAsia="Times New Roman" w:cstheme="minorHAnsi"/>
          <w:sz w:val="24"/>
          <w:szCs w:val="24"/>
          <w:lang w:val="en-US"/>
        </w:rPr>
        <w:t>(FSA, 2009)</w:t>
      </w:r>
      <w:r>
        <w:rPr>
          <w:rFonts w:eastAsia="Times New Roman" w:cstheme="minorHAnsi"/>
          <w:sz w:val="24"/>
          <w:szCs w:val="24"/>
          <w:lang w:val="en-US"/>
        </w:rPr>
        <w:t xml:space="preserve">. Although, to some extent these outcomes have been achieved, a side effect has been to reduce adviser numbers from in excess of 200,000 in the 1990’s (Sandler, 2002) to today’s </w:t>
      </w:r>
      <w:r w:rsidR="009F4A87">
        <w:rPr>
          <w:rFonts w:eastAsia="Times New Roman" w:cstheme="minorHAnsi"/>
          <w:sz w:val="24"/>
          <w:szCs w:val="24"/>
          <w:lang w:val="en-US"/>
        </w:rPr>
        <w:t>numbers</w:t>
      </w:r>
      <w:r w:rsidR="00BD6BD7">
        <w:rPr>
          <w:rFonts w:eastAsia="Times New Roman" w:cstheme="minorHAnsi"/>
          <w:sz w:val="24"/>
          <w:szCs w:val="24"/>
          <w:lang w:val="en-US"/>
        </w:rPr>
        <w:t>, which t</w:t>
      </w:r>
      <w:r w:rsidR="00345253">
        <w:rPr>
          <w:rFonts w:eastAsia="Times New Roman" w:cstheme="minorHAnsi"/>
          <w:sz w:val="24"/>
          <w:szCs w:val="24"/>
          <w:lang w:val="en-US"/>
        </w:rPr>
        <w:t xml:space="preserve">he </w:t>
      </w:r>
      <w:r w:rsidR="007A784C" w:rsidRPr="00813A58">
        <w:rPr>
          <w:rFonts w:eastAsia="Times New Roman" w:cstheme="minorHAnsi"/>
          <w:sz w:val="24"/>
          <w:szCs w:val="24"/>
          <w:lang w:val="en-US"/>
        </w:rPr>
        <w:t>FCA (20</w:t>
      </w:r>
      <w:r w:rsidR="00345253">
        <w:rPr>
          <w:rFonts w:eastAsia="Times New Roman" w:cstheme="minorHAnsi"/>
          <w:sz w:val="24"/>
          <w:szCs w:val="24"/>
          <w:lang w:val="en-US"/>
        </w:rPr>
        <w:t>20</w:t>
      </w:r>
      <w:r w:rsidR="007A784C" w:rsidRPr="00813A58">
        <w:rPr>
          <w:rFonts w:eastAsia="Times New Roman" w:cstheme="minorHAnsi"/>
          <w:sz w:val="24"/>
          <w:szCs w:val="24"/>
          <w:lang w:val="en-US"/>
        </w:rPr>
        <w:t>)</w:t>
      </w:r>
      <w:r w:rsidR="007A784C" w:rsidRPr="00813A58">
        <w:t xml:space="preserve"> </w:t>
      </w:r>
      <w:r w:rsidR="007A784C" w:rsidRPr="00813A58">
        <w:rPr>
          <w:rFonts w:eastAsia="Times New Roman" w:cstheme="minorHAnsi"/>
          <w:sz w:val="24"/>
          <w:szCs w:val="24"/>
          <w:lang w:val="en-US"/>
        </w:rPr>
        <w:t xml:space="preserve">reported </w:t>
      </w:r>
      <w:r w:rsidR="00345253">
        <w:rPr>
          <w:rFonts w:eastAsia="Times New Roman" w:cstheme="minorHAnsi"/>
          <w:sz w:val="24"/>
          <w:szCs w:val="24"/>
        </w:rPr>
        <w:t>as</w:t>
      </w:r>
      <w:r w:rsidR="00345253" w:rsidRPr="00345253">
        <w:rPr>
          <w:rFonts w:eastAsia="Times New Roman" w:cstheme="minorHAnsi"/>
          <w:sz w:val="24"/>
          <w:szCs w:val="24"/>
        </w:rPr>
        <w:t xml:space="preserve"> 27,557</w:t>
      </w:r>
      <w:r w:rsidR="00345253">
        <w:rPr>
          <w:rFonts w:eastAsia="Times New Roman" w:cstheme="minorHAnsi"/>
          <w:sz w:val="24"/>
          <w:szCs w:val="24"/>
        </w:rPr>
        <w:t xml:space="preserve"> in 2019</w:t>
      </w:r>
      <w:r w:rsidR="00BD6BD7">
        <w:rPr>
          <w:rFonts w:eastAsia="Times New Roman" w:cstheme="minorHAnsi"/>
          <w:sz w:val="24"/>
          <w:szCs w:val="24"/>
        </w:rPr>
        <w:t>, although this was a 3% increase on the previous year</w:t>
      </w:r>
      <w:r w:rsidR="007A784C" w:rsidRPr="00813A58">
        <w:rPr>
          <w:rFonts w:eastAsia="Times New Roman" w:cstheme="minorHAnsi"/>
          <w:sz w:val="24"/>
          <w:szCs w:val="24"/>
          <w:lang w:val="en-US"/>
        </w:rPr>
        <w:t>.</w:t>
      </w:r>
      <w:r w:rsidR="007A784C">
        <w:rPr>
          <w:rFonts w:eastAsia="Times New Roman" w:cstheme="minorHAnsi"/>
          <w:sz w:val="24"/>
          <w:szCs w:val="24"/>
          <w:lang w:val="en-US"/>
        </w:rPr>
        <w:t xml:space="preserve"> </w:t>
      </w:r>
      <w:r w:rsidR="00BD6BD7">
        <w:rPr>
          <w:rFonts w:eastAsia="Times New Roman" w:cstheme="minorHAnsi"/>
          <w:sz w:val="24"/>
          <w:szCs w:val="24"/>
          <w:lang w:val="en-US"/>
        </w:rPr>
        <w:t>This longer term reduction in adviser numbers has</w:t>
      </w:r>
      <w:r w:rsidR="00BD6BD7" w:rsidRPr="00B70FB1">
        <w:rPr>
          <w:rFonts w:eastAsia="Times New Roman" w:cstheme="minorHAnsi"/>
          <w:sz w:val="24"/>
          <w:szCs w:val="24"/>
          <w:lang w:val="en-US"/>
        </w:rPr>
        <w:t xml:space="preserve"> resulted in</w:t>
      </w:r>
      <w:r w:rsidR="00BD6BD7">
        <w:rPr>
          <w:rFonts w:eastAsia="Times New Roman" w:cstheme="minorHAnsi"/>
          <w:sz w:val="24"/>
          <w:szCs w:val="24"/>
          <w:lang w:val="en-US"/>
        </w:rPr>
        <w:t xml:space="preserve"> advisers focusing on higher net worth clients. Furthermore</w:t>
      </w:r>
      <w:r w:rsidR="0074009E">
        <w:rPr>
          <w:rFonts w:eastAsia="Times New Roman" w:cstheme="minorHAnsi"/>
          <w:sz w:val="24"/>
          <w:szCs w:val="24"/>
          <w:lang w:val="en-US"/>
        </w:rPr>
        <w:t>,</w:t>
      </w:r>
      <w:r w:rsidR="00345253">
        <w:rPr>
          <w:rFonts w:eastAsia="Times New Roman" w:cstheme="minorHAnsi"/>
          <w:sz w:val="24"/>
          <w:szCs w:val="24"/>
          <w:lang w:val="en-US"/>
        </w:rPr>
        <w:t xml:space="preserve"> a recent article in</w:t>
      </w:r>
      <w:r w:rsidR="0074009E">
        <w:rPr>
          <w:rFonts w:eastAsia="Times New Roman" w:cstheme="minorHAnsi"/>
          <w:sz w:val="24"/>
          <w:szCs w:val="24"/>
          <w:lang w:val="en-US"/>
        </w:rPr>
        <w:t xml:space="preserve"> the</w:t>
      </w:r>
      <w:r w:rsidR="00345253">
        <w:rPr>
          <w:rFonts w:eastAsia="Times New Roman" w:cstheme="minorHAnsi"/>
          <w:sz w:val="24"/>
          <w:szCs w:val="24"/>
          <w:lang w:val="en-US"/>
        </w:rPr>
        <w:t xml:space="preserve"> </w:t>
      </w:r>
      <w:r w:rsidR="001E0283">
        <w:rPr>
          <w:rFonts w:eastAsia="Times New Roman" w:cstheme="minorHAnsi"/>
          <w:sz w:val="24"/>
          <w:szCs w:val="24"/>
          <w:lang w:val="en-US"/>
        </w:rPr>
        <w:t xml:space="preserve">trade </w:t>
      </w:r>
      <w:r w:rsidR="001E0283">
        <w:rPr>
          <w:rFonts w:eastAsia="Times New Roman" w:cstheme="minorHAnsi"/>
          <w:sz w:val="24"/>
          <w:szCs w:val="24"/>
          <w:lang w:val="en-US"/>
        </w:rPr>
        <w:lastRenderedPageBreak/>
        <w:t xml:space="preserve">journal, Financial Adviser, </w:t>
      </w:r>
      <w:r w:rsidR="00B22792">
        <w:rPr>
          <w:rFonts w:eastAsia="Times New Roman" w:cstheme="minorHAnsi"/>
          <w:sz w:val="24"/>
          <w:szCs w:val="24"/>
          <w:lang w:val="en-US"/>
        </w:rPr>
        <w:t>reports that 60% of financial planners are likely to sell their businesses within the next 3 to 5 years and two thirds of these cite retirement as the reason</w:t>
      </w:r>
      <w:r w:rsidR="001E0283">
        <w:rPr>
          <w:rFonts w:eastAsia="Times New Roman" w:cstheme="minorHAnsi"/>
          <w:sz w:val="24"/>
          <w:szCs w:val="24"/>
          <w:lang w:val="en-US"/>
        </w:rPr>
        <w:t xml:space="preserve"> (Cheung, 2021)</w:t>
      </w:r>
      <w:r w:rsidR="00B22792">
        <w:rPr>
          <w:rFonts w:eastAsia="Times New Roman" w:cstheme="minorHAnsi"/>
          <w:sz w:val="24"/>
          <w:szCs w:val="24"/>
          <w:lang w:val="en-US"/>
        </w:rPr>
        <w:t>. So</w:t>
      </w:r>
      <w:r w:rsidR="001E0283">
        <w:rPr>
          <w:rFonts w:eastAsia="Times New Roman" w:cstheme="minorHAnsi"/>
          <w:sz w:val="24"/>
          <w:szCs w:val="24"/>
          <w:lang w:val="en-US"/>
        </w:rPr>
        <w:t>,</w:t>
      </w:r>
      <w:r w:rsidR="00B22792">
        <w:rPr>
          <w:rFonts w:eastAsia="Times New Roman" w:cstheme="minorHAnsi"/>
          <w:sz w:val="24"/>
          <w:szCs w:val="24"/>
          <w:lang w:val="en-US"/>
        </w:rPr>
        <w:t xml:space="preserve"> the prospect o</w:t>
      </w:r>
      <w:r w:rsidR="00BD6BD7">
        <w:rPr>
          <w:rFonts w:eastAsia="Times New Roman" w:cstheme="minorHAnsi"/>
          <w:sz w:val="24"/>
          <w:szCs w:val="24"/>
          <w:lang w:val="en-US"/>
        </w:rPr>
        <w:t>f numbers continuing to increasing</w:t>
      </w:r>
      <w:r w:rsidR="00B22792">
        <w:rPr>
          <w:rFonts w:eastAsia="Times New Roman" w:cstheme="minorHAnsi"/>
          <w:sz w:val="24"/>
          <w:szCs w:val="24"/>
          <w:lang w:val="en-US"/>
        </w:rPr>
        <w:t xml:space="preserve"> is questionable</w:t>
      </w:r>
      <w:r w:rsidR="00BD6BD7">
        <w:rPr>
          <w:rFonts w:eastAsia="Times New Roman" w:cstheme="minorHAnsi"/>
          <w:sz w:val="24"/>
          <w:szCs w:val="24"/>
          <w:lang w:val="en-US"/>
        </w:rPr>
        <w:t xml:space="preserve"> and the shift to higher net worth clients leaves those with lower levels of wealth potentially facing a barrier to access</w:t>
      </w:r>
      <w:r w:rsidR="00B22792">
        <w:rPr>
          <w:rFonts w:eastAsia="Times New Roman" w:cstheme="minorHAnsi"/>
          <w:sz w:val="24"/>
          <w:szCs w:val="24"/>
          <w:lang w:val="en-US"/>
        </w:rPr>
        <w:t xml:space="preserve">. </w:t>
      </w:r>
    </w:p>
    <w:p w14:paraId="03221273" w14:textId="1AC666C7" w:rsidR="001B32AD" w:rsidRDefault="00B70FB1" w:rsidP="005F21D5">
      <w:pPr>
        <w:spacing w:after="120" w:line="480" w:lineRule="auto"/>
        <w:rPr>
          <w:rFonts w:eastAsia="Times New Roman" w:cstheme="minorHAnsi"/>
          <w:sz w:val="24"/>
          <w:szCs w:val="24"/>
          <w:lang w:val="en-US"/>
        </w:rPr>
      </w:pPr>
      <w:r>
        <w:rPr>
          <w:rFonts w:eastAsia="Times New Roman" w:cstheme="minorHAnsi"/>
          <w:sz w:val="24"/>
          <w:szCs w:val="24"/>
          <w:lang w:val="en-US"/>
        </w:rPr>
        <w:t>Research on behalf of the FSA (2004; 2005; 2006)</w:t>
      </w:r>
      <w:r w:rsidR="00990C15">
        <w:rPr>
          <w:rFonts w:eastAsia="Times New Roman" w:cstheme="minorHAnsi"/>
          <w:sz w:val="24"/>
          <w:szCs w:val="24"/>
          <w:lang w:val="en-US"/>
        </w:rPr>
        <w:t xml:space="preserve"> established a baseline of financial capability within the UK and </w:t>
      </w:r>
      <w:r>
        <w:rPr>
          <w:rFonts w:eastAsia="Times New Roman" w:cstheme="minorHAnsi"/>
          <w:sz w:val="24"/>
          <w:szCs w:val="24"/>
          <w:lang w:val="en-US"/>
        </w:rPr>
        <w:t xml:space="preserve">identified the need for some form of homogenized generic advice service that could </w:t>
      </w:r>
      <w:r w:rsidR="00990C15">
        <w:rPr>
          <w:rFonts w:eastAsia="Times New Roman" w:cstheme="minorHAnsi"/>
          <w:sz w:val="24"/>
          <w:szCs w:val="24"/>
          <w:lang w:val="en-US"/>
        </w:rPr>
        <w:t xml:space="preserve">improve consumers’ capability levels whilst </w:t>
      </w:r>
      <w:r>
        <w:rPr>
          <w:rFonts w:eastAsia="Times New Roman" w:cstheme="minorHAnsi"/>
          <w:sz w:val="24"/>
          <w:szCs w:val="24"/>
          <w:lang w:val="en-US"/>
        </w:rPr>
        <w:t>‘act</w:t>
      </w:r>
      <w:r w:rsidR="00990C15">
        <w:rPr>
          <w:rFonts w:eastAsia="Times New Roman" w:cstheme="minorHAnsi"/>
          <w:sz w:val="24"/>
          <w:szCs w:val="24"/>
          <w:lang w:val="en-US"/>
        </w:rPr>
        <w:t>ing</w:t>
      </w:r>
      <w:r>
        <w:rPr>
          <w:rFonts w:eastAsia="Times New Roman" w:cstheme="minorHAnsi"/>
          <w:sz w:val="24"/>
          <w:szCs w:val="24"/>
          <w:lang w:val="en-US"/>
        </w:rPr>
        <w:t xml:space="preserve"> as a bridge’ to regulated advice. This resulted in Otto Thoresen being commissioned to conduct a pilot study which resulted in the formation of the Money Advice Service in 2010.</w:t>
      </w:r>
      <w:r w:rsidR="00990C15">
        <w:rPr>
          <w:rFonts w:eastAsia="Times New Roman" w:cstheme="minorHAnsi"/>
          <w:sz w:val="24"/>
          <w:szCs w:val="24"/>
          <w:lang w:val="en-US"/>
        </w:rPr>
        <w:t xml:space="preserve"> Part of their remit was to establish a financial health-check</w:t>
      </w:r>
      <w:r w:rsidR="00F46FD5">
        <w:rPr>
          <w:rFonts w:eastAsia="Times New Roman" w:cstheme="minorHAnsi"/>
          <w:sz w:val="24"/>
          <w:szCs w:val="24"/>
          <w:lang w:val="en-US"/>
        </w:rPr>
        <w:t xml:space="preserve"> (Hoban, 2010)</w:t>
      </w:r>
      <w:r>
        <w:rPr>
          <w:rFonts w:eastAsia="Times New Roman" w:cstheme="minorHAnsi"/>
          <w:sz w:val="24"/>
          <w:szCs w:val="24"/>
          <w:lang w:val="en-US"/>
        </w:rPr>
        <w:t xml:space="preserve"> </w:t>
      </w:r>
      <w:r w:rsidR="00990C15">
        <w:rPr>
          <w:rFonts w:eastAsia="Times New Roman" w:cstheme="minorHAnsi"/>
          <w:sz w:val="24"/>
          <w:szCs w:val="24"/>
          <w:lang w:val="en-US"/>
        </w:rPr>
        <w:t>that would highlight to consumer’s the areas of their finances that needed attention. Unfortunately</w:t>
      </w:r>
      <w:r w:rsidR="00F46FD5">
        <w:rPr>
          <w:rFonts w:eastAsia="Times New Roman" w:cstheme="minorHAnsi"/>
          <w:sz w:val="24"/>
          <w:szCs w:val="24"/>
          <w:lang w:val="en-US"/>
        </w:rPr>
        <w:t>,</w:t>
      </w:r>
      <w:r w:rsidR="00990C15">
        <w:rPr>
          <w:rFonts w:eastAsia="Times New Roman" w:cstheme="minorHAnsi"/>
          <w:sz w:val="24"/>
          <w:szCs w:val="24"/>
          <w:lang w:val="en-US"/>
        </w:rPr>
        <w:t xml:space="preserve"> this failed to provide the triggers to advice</w:t>
      </w:r>
      <w:r w:rsidR="00F46FD5">
        <w:rPr>
          <w:rFonts w:eastAsia="Times New Roman" w:cstheme="minorHAnsi"/>
          <w:sz w:val="24"/>
          <w:szCs w:val="24"/>
          <w:lang w:val="en-US"/>
        </w:rPr>
        <w:t xml:space="preserve"> (IFF, 2012)</w:t>
      </w:r>
      <w:r w:rsidR="00990C15">
        <w:rPr>
          <w:rFonts w:eastAsia="Times New Roman" w:cstheme="minorHAnsi"/>
          <w:sz w:val="24"/>
          <w:szCs w:val="24"/>
          <w:lang w:val="en-US"/>
        </w:rPr>
        <w:t xml:space="preserve"> that were envisaged. More recently, we have seen the merger of MAS with Pension</w:t>
      </w:r>
      <w:r w:rsidR="00EC69B7">
        <w:rPr>
          <w:rFonts w:eastAsia="Times New Roman" w:cstheme="minorHAnsi"/>
          <w:sz w:val="24"/>
          <w:szCs w:val="24"/>
          <w:lang w:val="en-US"/>
        </w:rPr>
        <w:t xml:space="preserve"> Wise and </w:t>
      </w:r>
      <w:r w:rsidR="00ED1324">
        <w:rPr>
          <w:rFonts w:eastAsia="Times New Roman" w:cstheme="minorHAnsi"/>
          <w:sz w:val="24"/>
          <w:szCs w:val="24"/>
          <w:lang w:val="en-US"/>
        </w:rPr>
        <w:t>The Pension Advisory Service (</w:t>
      </w:r>
      <w:r w:rsidR="00EC69B7">
        <w:rPr>
          <w:rFonts w:eastAsia="Times New Roman" w:cstheme="minorHAnsi"/>
          <w:sz w:val="24"/>
          <w:szCs w:val="24"/>
          <w:lang w:val="en-US"/>
        </w:rPr>
        <w:t>TPAS</w:t>
      </w:r>
      <w:r w:rsidR="00ED1324">
        <w:rPr>
          <w:rFonts w:eastAsia="Times New Roman" w:cstheme="minorHAnsi"/>
          <w:sz w:val="24"/>
          <w:szCs w:val="24"/>
          <w:lang w:val="en-US"/>
        </w:rPr>
        <w:t>)</w:t>
      </w:r>
      <w:r w:rsidR="00EC69B7">
        <w:rPr>
          <w:rFonts w:eastAsia="Times New Roman" w:cstheme="minorHAnsi"/>
          <w:sz w:val="24"/>
          <w:szCs w:val="24"/>
          <w:lang w:val="en-US"/>
        </w:rPr>
        <w:t xml:space="preserve"> to form the new </w:t>
      </w:r>
      <w:r w:rsidR="00062EF0">
        <w:rPr>
          <w:rFonts w:eastAsia="Times New Roman" w:cstheme="minorHAnsi"/>
          <w:sz w:val="24"/>
          <w:szCs w:val="24"/>
          <w:lang w:val="en-US"/>
        </w:rPr>
        <w:t>Money and Pensions Service</w:t>
      </w:r>
      <w:r w:rsidR="009F4A87">
        <w:rPr>
          <w:rFonts w:eastAsia="Times New Roman" w:cstheme="minorHAnsi"/>
          <w:sz w:val="24"/>
          <w:szCs w:val="24"/>
          <w:lang w:val="en-US"/>
        </w:rPr>
        <w:t xml:space="preserve"> (M</w:t>
      </w:r>
      <w:r w:rsidR="00FE6FC7">
        <w:rPr>
          <w:rFonts w:eastAsia="Times New Roman" w:cstheme="minorHAnsi"/>
          <w:sz w:val="24"/>
          <w:szCs w:val="24"/>
          <w:lang w:val="en-US"/>
        </w:rPr>
        <w:t>a</w:t>
      </w:r>
      <w:r w:rsidR="009F4A87">
        <w:rPr>
          <w:rFonts w:eastAsia="Times New Roman" w:cstheme="minorHAnsi"/>
          <w:sz w:val="24"/>
          <w:szCs w:val="24"/>
          <w:lang w:val="en-US"/>
        </w:rPr>
        <w:t>PS)</w:t>
      </w:r>
      <w:r w:rsidR="00EC69B7">
        <w:rPr>
          <w:rFonts w:eastAsia="Times New Roman" w:cstheme="minorHAnsi"/>
          <w:sz w:val="24"/>
          <w:szCs w:val="24"/>
          <w:lang w:val="en-US"/>
        </w:rPr>
        <w:t xml:space="preserve"> which will</w:t>
      </w:r>
      <w:r w:rsidR="000C4F63">
        <w:rPr>
          <w:rFonts w:eastAsia="Times New Roman" w:cstheme="minorHAnsi"/>
          <w:sz w:val="24"/>
          <w:szCs w:val="24"/>
          <w:lang w:val="en-US"/>
        </w:rPr>
        <w:t>:</w:t>
      </w:r>
    </w:p>
    <w:p w14:paraId="1C8D3624" w14:textId="4D2A7BE0" w:rsidR="00B70FB1" w:rsidRDefault="00FB5371" w:rsidP="001B32AD">
      <w:pPr>
        <w:spacing w:after="120" w:line="480" w:lineRule="auto"/>
        <w:ind w:left="720"/>
        <w:rPr>
          <w:rFonts w:cstheme="minorHAnsi"/>
          <w:iCs/>
          <w:color w:val="444444"/>
          <w:sz w:val="24"/>
          <w:szCs w:val="24"/>
        </w:rPr>
      </w:pPr>
      <w:r>
        <w:rPr>
          <w:rFonts w:eastAsia="Times New Roman" w:cstheme="minorHAnsi"/>
          <w:sz w:val="24"/>
          <w:szCs w:val="24"/>
          <w:lang w:val="en-US"/>
        </w:rPr>
        <w:t>…</w:t>
      </w:r>
      <w:r w:rsidR="00EC69B7" w:rsidRPr="00EC69B7">
        <w:rPr>
          <w:rFonts w:ascii="Arial" w:hAnsi="Arial" w:cs="Arial"/>
          <w:i/>
          <w:iCs/>
          <w:color w:val="444444"/>
          <w:sz w:val="24"/>
          <w:szCs w:val="24"/>
        </w:rPr>
        <w:t xml:space="preserve"> </w:t>
      </w:r>
      <w:r w:rsidR="00EC69B7" w:rsidRPr="00EC69B7">
        <w:rPr>
          <w:rFonts w:cstheme="minorHAnsi"/>
          <w:i/>
          <w:iCs/>
          <w:color w:val="444444"/>
          <w:sz w:val="24"/>
          <w:szCs w:val="24"/>
        </w:rPr>
        <w:t>“deliver a more streamlined service to people, providing easier access to the information and guidance they need to help them make effective financial decisions throughout their lives”</w:t>
      </w:r>
      <w:r w:rsidR="00EC69B7" w:rsidRPr="00EC69B7">
        <w:rPr>
          <w:rFonts w:ascii="Arial" w:hAnsi="Arial" w:cs="Arial"/>
          <w:i/>
          <w:iCs/>
          <w:color w:val="444444"/>
          <w:sz w:val="24"/>
          <w:szCs w:val="24"/>
        </w:rPr>
        <w:t xml:space="preserve"> </w:t>
      </w:r>
      <w:r w:rsidR="00EC69B7" w:rsidRPr="00EC69B7">
        <w:rPr>
          <w:rFonts w:cstheme="minorHAnsi"/>
          <w:iCs/>
          <w:color w:val="444444"/>
          <w:sz w:val="24"/>
          <w:szCs w:val="24"/>
        </w:rPr>
        <w:t>(Govett, 2018).</w:t>
      </w:r>
    </w:p>
    <w:p w14:paraId="2DC2E961" w14:textId="17D24F17" w:rsidR="00AC3C31" w:rsidRPr="001B32AD" w:rsidRDefault="00AC3C31" w:rsidP="005F21D5">
      <w:pPr>
        <w:spacing w:after="120" w:line="480" w:lineRule="auto"/>
        <w:rPr>
          <w:rFonts w:eastAsia="Times New Roman" w:cstheme="minorHAnsi"/>
          <w:sz w:val="24"/>
          <w:szCs w:val="24"/>
        </w:rPr>
      </w:pPr>
      <w:r w:rsidRPr="00AC3C31">
        <w:rPr>
          <w:rFonts w:eastAsia="Times New Roman" w:cstheme="minorHAnsi"/>
          <w:sz w:val="24"/>
          <w:szCs w:val="24"/>
        </w:rPr>
        <w:t xml:space="preserve">There are various examples within the existing literature of how some of the techniques from Behavioural Science are being applied to try and remove barriers from the advice journey.  The UK Behavioural Insights team have done various work to try and improve consumer use of Pensionwise. For example, the research testing their ‘Pensions Passport’, where information in wake-up packs was summarised on a single sheet of A4, suggested </w:t>
      </w:r>
      <w:r w:rsidRPr="00AC3C31">
        <w:rPr>
          <w:rFonts w:eastAsia="Times New Roman" w:cstheme="minorHAnsi"/>
          <w:sz w:val="24"/>
          <w:szCs w:val="24"/>
        </w:rPr>
        <w:lastRenderedPageBreak/>
        <w:t>that people were 10 times more likely to take advice than those that received the usual wake up pack. They used the EAST choice architecture framework which utilised various behavioural biases including Loss Aversion and the Endowment Effect (Behavioural Insights, 2014). Similarly, their ‘Stronger Nudge’ research showed how take-up of Pensionwise appointments could be improved. In fact, from June 2022 pension providers will be obliged to utilise ‘The Stronger Nudge’ to encourage greater use of Pensionwise (FCA,</w:t>
      </w:r>
      <w:r w:rsidR="00AD2C0D">
        <w:rPr>
          <w:rFonts w:eastAsia="Times New Roman" w:cstheme="minorHAnsi"/>
          <w:sz w:val="24"/>
          <w:szCs w:val="24"/>
        </w:rPr>
        <w:t xml:space="preserve"> </w:t>
      </w:r>
      <w:r w:rsidRPr="00AC3C31">
        <w:rPr>
          <w:rFonts w:eastAsia="Times New Roman" w:cstheme="minorHAnsi"/>
          <w:sz w:val="24"/>
          <w:szCs w:val="24"/>
        </w:rPr>
        <w:t xml:space="preserve">2021). </w:t>
      </w:r>
      <w:r w:rsidR="000A29F1">
        <w:rPr>
          <w:rFonts w:eastAsia="Times New Roman" w:cstheme="minorHAnsi"/>
          <w:sz w:val="24"/>
          <w:szCs w:val="24"/>
        </w:rPr>
        <w:t>However, recent research by Overton and Cook (2022, p.7) found that even though efforts were being made to increase consumer use of Pensionwise, there was still a need for ‘</w:t>
      </w:r>
      <w:r w:rsidR="000A29F1">
        <w:rPr>
          <w:rFonts w:eastAsia="Times New Roman" w:cstheme="minorHAnsi"/>
          <w:i/>
          <w:sz w:val="24"/>
          <w:szCs w:val="24"/>
        </w:rPr>
        <w:t>a more seamless journey from guidance to regulated advice</w:t>
      </w:r>
      <w:r w:rsidR="001B32AD">
        <w:rPr>
          <w:rFonts w:eastAsia="Times New Roman" w:cstheme="minorHAnsi"/>
          <w:sz w:val="24"/>
          <w:szCs w:val="24"/>
        </w:rPr>
        <w:t xml:space="preserve">’. </w:t>
      </w:r>
    </w:p>
    <w:p w14:paraId="24A965FF" w14:textId="32ADB032" w:rsidR="00BE23E4" w:rsidRPr="00BE23E4" w:rsidRDefault="00BE23E4" w:rsidP="00BE23E4">
      <w:pPr>
        <w:spacing w:after="120" w:line="480" w:lineRule="auto"/>
        <w:rPr>
          <w:rFonts w:eastAsia="Times New Roman" w:cstheme="minorHAnsi"/>
          <w:b/>
          <w:sz w:val="28"/>
          <w:szCs w:val="28"/>
          <w:u w:val="single"/>
        </w:rPr>
      </w:pPr>
      <w:r w:rsidRPr="00BE23E4">
        <w:rPr>
          <w:rFonts w:eastAsia="Times New Roman" w:cstheme="minorHAnsi"/>
          <w:b/>
          <w:sz w:val="28"/>
          <w:szCs w:val="28"/>
          <w:u w:val="single"/>
        </w:rPr>
        <w:t xml:space="preserve">Barriers to Access and the </w:t>
      </w:r>
      <w:r w:rsidR="001B32AD">
        <w:rPr>
          <w:rFonts w:eastAsia="Times New Roman" w:cstheme="minorHAnsi"/>
          <w:b/>
          <w:sz w:val="28"/>
          <w:szCs w:val="28"/>
          <w:u w:val="single"/>
        </w:rPr>
        <w:t xml:space="preserve">Financial </w:t>
      </w:r>
      <w:r w:rsidRPr="00BE23E4">
        <w:rPr>
          <w:rFonts w:eastAsia="Times New Roman" w:cstheme="minorHAnsi"/>
          <w:b/>
          <w:sz w:val="28"/>
          <w:szCs w:val="28"/>
          <w:u w:val="single"/>
        </w:rPr>
        <w:t>Advice Belief Model</w:t>
      </w:r>
    </w:p>
    <w:p w14:paraId="4CCDBF87" w14:textId="32B51B01" w:rsidR="00E02911" w:rsidRPr="001B27F6" w:rsidRDefault="00BE23E4" w:rsidP="00E02911">
      <w:pPr>
        <w:spacing w:after="120" w:line="480" w:lineRule="auto"/>
        <w:rPr>
          <w:rFonts w:eastAsia="Times New Roman" w:cstheme="minorHAnsi"/>
          <w:sz w:val="24"/>
          <w:szCs w:val="24"/>
        </w:rPr>
      </w:pPr>
      <w:bookmarkStart w:id="0" w:name="_Hlk502913449"/>
      <w:r>
        <w:rPr>
          <w:rFonts w:eastAsia="Times New Roman" w:cstheme="minorHAnsi"/>
          <w:sz w:val="24"/>
          <w:szCs w:val="24"/>
        </w:rPr>
        <w:t>E</w:t>
      </w:r>
      <w:r w:rsidR="00E02911" w:rsidRPr="001B27F6">
        <w:rPr>
          <w:rFonts w:eastAsia="Times New Roman" w:cstheme="minorHAnsi"/>
          <w:sz w:val="24"/>
          <w:szCs w:val="24"/>
        </w:rPr>
        <w:t xml:space="preserve">xisting research has not focused on the barriers to financial advice but nevertheless points to </w:t>
      </w:r>
      <w:r w:rsidR="00E02911">
        <w:rPr>
          <w:rFonts w:eastAsia="Times New Roman" w:cstheme="minorHAnsi"/>
          <w:sz w:val="24"/>
          <w:szCs w:val="24"/>
        </w:rPr>
        <w:t xml:space="preserve">several </w:t>
      </w:r>
      <w:r w:rsidR="00E02911" w:rsidRPr="001B27F6">
        <w:rPr>
          <w:rFonts w:eastAsia="Times New Roman" w:cstheme="minorHAnsi"/>
          <w:sz w:val="24"/>
          <w:szCs w:val="24"/>
        </w:rPr>
        <w:t xml:space="preserve">important explanations for why some people do not access advice when it might benefit them. For example, Iannicola and Parker (2010) </w:t>
      </w:r>
      <w:bookmarkEnd w:id="0"/>
      <w:r w:rsidR="00E02911" w:rsidRPr="001B27F6">
        <w:rPr>
          <w:rFonts w:eastAsia="Times New Roman" w:cstheme="minorHAnsi"/>
          <w:sz w:val="24"/>
          <w:szCs w:val="24"/>
        </w:rPr>
        <w:t>found that non-affluent consumers in the USA did not generally understand the process or value of financial advice and that advisers do not often inhabit the social networks of this cohort. A report for The Australian Regulator (2010) cited a lack of understanding of the benefits of advice and an advice model that does not suit some consumer groups, as barriers to advice.</w:t>
      </w:r>
      <w:r w:rsidR="00E02911">
        <w:rPr>
          <w:rFonts w:eastAsia="Times New Roman" w:cstheme="minorHAnsi"/>
          <w:sz w:val="24"/>
          <w:szCs w:val="24"/>
        </w:rPr>
        <w:t xml:space="preserve"> This coupled with consumers’ tendency to prefer to stick with the status quo and fear of regret if action is taken (Ackert and Deaves, 2010) may account in part for consumers not taking advice when traditional economic theory would suggest it was the rational path to follow.</w:t>
      </w:r>
    </w:p>
    <w:p w14:paraId="0C4A43BD" w14:textId="77777777" w:rsidR="00E377EC" w:rsidRDefault="00BD53A4" w:rsidP="00BD53A4">
      <w:pPr>
        <w:spacing w:after="120" w:line="480" w:lineRule="auto"/>
        <w:rPr>
          <w:rFonts w:eastAsia="Times New Roman" w:cstheme="minorHAnsi"/>
          <w:sz w:val="24"/>
          <w:szCs w:val="24"/>
          <w:lang w:val="en-US"/>
        </w:rPr>
      </w:pPr>
      <w:r w:rsidRPr="0048297E">
        <w:rPr>
          <w:rFonts w:eastAsia="Times New Roman" w:cstheme="minorHAnsi"/>
          <w:sz w:val="24"/>
          <w:szCs w:val="24"/>
        </w:rPr>
        <w:t xml:space="preserve">Shifts in welfare policy have resulted in a need for citizens to </w:t>
      </w:r>
      <w:r w:rsidR="00961143">
        <w:rPr>
          <w:rFonts w:eastAsia="Times New Roman" w:cstheme="minorHAnsi"/>
          <w:sz w:val="24"/>
          <w:szCs w:val="24"/>
        </w:rPr>
        <w:t xml:space="preserve">take greater responsibility for </w:t>
      </w:r>
      <w:r w:rsidRPr="0048297E">
        <w:rPr>
          <w:rFonts w:eastAsia="Times New Roman" w:cstheme="minorHAnsi"/>
          <w:sz w:val="24"/>
          <w:szCs w:val="24"/>
        </w:rPr>
        <w:t>planning their own finances (Rowlingson, 2000</w:t>
      </w:r>
      <w:r w:rsidR="00B22792">
        <w:rPr>
          <w:rFonts w:eastAsia="Times New Roman" w:cstheme="minorHAnsi"/>
          <w:sz w:val="24"/>
          <w:szCs w:val="24"/>
        </w:rPr>
        <w:t>; Sherraden and Ansong, 2016</w:t>
      </w:r>
      <w:r w:rsidRPr="0048297E">
        <w:rPr>
          <w:rFonts w:eastAsia="Times New Roman" w:cstheme="minorHAnsi"/>
          <w:sz w:val="24"/>
          <w:szCs w:val="24"/>
        </w:rPr>
        <w:t>). With more</w:t>
      </w:r>
      <w:r w:rsidR="00961143">
        <w:rPr>
          <w:rFonts w:eastAsia="Times New Roman" w:cstheme="minorHAnsi"/>
          <w:sz w:val="24"/>
          <w:szCs w:val="24"/>
        </w:rPr>
        <w:t xml:space="preserve"> </w:t>
      </w:r>
      <w:r w:rsidRPr="0048297E">
        <w:rPr>
          <w:rFonts w:eastAsia="Times New Roman" w:cstheme="minorHAnsi"/>
          <w:sz w:val="24"/>
          <w:szCs w:val="24"/>
        </w:rPr>
        <w:t xml:space="preserve">responsibility being placed upon the individual to make financial provision for future events, </w:t>
      </w:r>
      <w:r w:rsidRPr="0048297E">
        <w:rPr>
          <w:rFonts w:eastAsia="Times New Roman" w:cstheme="minorHAnsi"/>
          <w:sz w:val="24"/>
          <w:szCs w:val="24"/>
        </w:rPr>
        <w:lastRenderedPageBreak/>
        <w:t>comes the need for individuals to be able to interact with financial services and make informed decisions regarding their financial choices. This shift towards an ‘ideology of individualism’ (Strauss, 2008) brings with it an increasing need for consumers to be able to access advice</w:t>
      </w:r>
      <w:r w:rsidRPr="0048297E">
        <w:rPr>
          <w:rFonts w:eastAsia="Times New Roman" w:cstheme="minorHAnsi"/>
          <w:sz w:val="24"/>
          <w:szCs w:val="24"/>
          <w:lang w:val="en-US"/>
        </w:rPr>
        <w:t>.</w:t>
      </w:r>
      <w:r>
        <w:rPr>
          <w:rFonts w:eastAsia="Times New Roman" w:cstheme="minorHAnsi"/>
          <w:sz w:val="24"/>
          <w:szCs w:val="24"/>
          <w:lang w:val="en-US"/>
        </w:rPr>
        <w:t xml:space="preserve"> However, the literature from academia</w:t>
      </w:r>
      <w:r w:rsidR="00B22792">
        <w:rPr>
          <w:rFonts w:eastAsia="Times New Roman" w:cstheme="minorHAnsi"/>
          <w:sz w:val="24"/>
          <w:szCs w:val="24"/>
          <w:lang w:val="en-US"/>
        </w:rPr>
        <w:t>, think tanks</w:t>
      </w:r>
      <w:r>
        <w:rPr>
          <w:rFonts w:eastAsia="Times New Roman" w:cstheme="minorHAnsi"/>
          <w:sz w:val="24"/>
          <w:szCs w:val="24"/>
          <w:lang w:val="en-US"/>
        </w:rPr>
        <w:t xml:space="preserve"> and the Financial Regulator</w:t>
      </w:r>
      <w:r w:rsidR="007A784C">
        <w:rPr>
          <w:rFonts w:eastAsia="Times New Roman" w:cstheme="minorHAnsi"/>
          <w:sz w:val="24"/>
          <w:szCs w:val="24"/>
          <w:lang w:val="en-US"/>
        </w:rPr>
        <w:t xml:space="preserve"> (FCA, 2019; FSA, 2009; Thoresen, 200</w:t>
      </w:r>
      <w:r w:rsidR="0093400F">
        <w:rPr>
          <w:rFonts w:eastAsia="Times New Roman" w:cstheme="minorHAnsi"/>
          <w:sz w:val="24"/>
          <w:szCs w:val="24"/>
          <w:lang w:val="en-US"/>
        </w:rPr>
        <w:t>8</w:t>
      </w:r>
      <w:r w:rsidR="00100A9A">
        <w:rPr>
          <w:rFonts w:eastAsia="Times New Roman" w:cstheme="minorHAnsi"/>
          <w:sz w:val="24"/>
          <w:szCs w:val="24"/>
          <w:lang w:val="en-US"/>
        </w:rPr>
        <w:t>; Resolution Foundation, 2007</w:t>
      </w:r>
      <w:r w:rsidR="0093400F">
        <w:rPr>
          <w:rFonts w:eastAsia="Times New Roman" w:cstheme="minorHAnsi"/>
          <w:sz w:val="24"/>
          <w:szCs w:val="24"/>
          <w:lang w:val="en-US"/>
        </w:rPr>
        <w:t>)</w:t>
      </w:r>
      <w:r>
        <w:rPr>
          <w:rFonts w:eastAsia="Times New Roman" w:cstheme="minorHAnsi"/>
          <w:sz w:val="24"/>
          <w:szCs w:val="24"/>
          <w:lang w:val="en-US"/>
        </w:rPr>
        <w:t xml:space="preserve"> shows that consumers do not fully understand the </w:t>
      </w:r>
      <w:r w:rsidR="002D10C9">
        <w:rPr>
          <w:rFonts w:eastAsia="Times New Roman" w:cstheme="minorHAnsi"/>
          <w:sz w:val="24"/>
          <w:szCs w:val="24"/>
          <w:lang w:val="en-US"/>
        </w:rPr>
        <w:t>role</w:t>
      </w:r>
      <w:r>
        <w:rPr>
          <w:rFonts w:eastAsia="Times New Roman" w:cstheme="minorHAnsi"/>
          <w:sz w:val="24"/>
          <w:szCs w:val="24"/>
          <w:lang w:val="en-US"/>
        </w:rPr>
        <w:t xml:space="preserve"> financial advice can play, when they should access it and how suitable advisers can be identified. So, decisions, when made, are often from a position of incomplete information rather than the rationality assumed by </w:t>
      </w:r>
      <w:r w:rsidR="002D10C9">
        <w:rPr>
          <w:rFonts w:eastAsia="Times New Roman" w:cstheme="minorHAnsi"/>
          <w:sz w:val="24"/>
          <w:szCs w:val="24"/>
          <w:lang w:val="en-US"/>
        </w:rPr>
        <w:t xml:space="preserve">some older </w:t>
      </w:r>
      <w:r>
        <w:rPr>
          <w:rFonts w:eastAsia="Times New Roman" w:cstheme="minorHAnsi"/>
          <w:sz w:val="24"/>
          <w:szCs w:val="24"/>
          <w:lang w:val="en-US"/>
        </w:rPr>
        <w:t xml:space="preserve">economic models which </w:t>
      </w:r>
      <w:r w:rsidR="002D10C9">
        <w:rPr>
          <w:rFonts w:eastAsia="Times New Roman" w:cstheme="minorHAnsi"/>
          <w:sz w:val="24"/>
          <w:szCs w:val="24"/>
          <w:lang w:val="en-US"/>
        </w:rPr>
        <w:t xml:space="preserve">have historically </w:t>
      </w:r>
      <w:r>
        <w:rPr>
          <w:rFonts w:eastAsia="Times New Roman" w:cstheme="minorHAnsi"/>
          <w:sz w:val="24"/>
          <w:szCs w:val="24"/>
          <w:lang w:val="en-US"/>
        </w:rPr>
        <w:t>drive</w:t>
      </w:r>
      <w:r w:rsidR="002D10C9">
        <w:rPr>
          <w:rFonts w:eastAsia="Times New Roman" w:cstheme="minorHAnsi"/>
          <w:sz w:val="24"/>
          <w:szCs w:val="24"/>
          <w:lang w:val="en-US"/>
        </w:rPr>
        <w:t>n</w:t>
      </w:r>
      <w:r>
        <w:rPr>
          <w:rFonts w:eastAsia="Times New Roman" w:cstheme="minorHAnsi"/>
          <w:sz w:val="24"/>
          <w:szCs w:val="24"/>
          <w:lang w:val="en-US"/>
        </w:rPr>
        <w:t xml:space="preserve"> the financial capability agenda. </w:t>
      </w:r>
      <w:r w:rsidR="007F5BEC">
        <w:rPr>
          <w:rFonts w:eastAsia="Times New Roman" w:cstheme="minorHAnsi"/>
          <w:sz w:val="24"/>
          <w:szCs w:val="24"/>
          <w:lang w:val="en-US"/>
        </w:rPr>
        <w:t xml:space="preserve">For example, </w:t>
      </w:r>
      <w:r w:rsidR="00CC4A8B">
        <w:rPr>
          <w:rFonts w:eastAsia="Times New Roman" w:cstheme="minorHAnsi"/>
          <w:sz w:val="24"/>
          <w:szCs w:val="24"/>
          <w:lang w:val="en-US"/>
        </w:rPr>
        <w:t>Florenda and Estelami (2019, p</w:t>
      </w:r>
      <w:r w:rsidR="007F5BEC">
        <w:rPr>
          <w:rFonts w:eastAsia="Times New Roman" w:cstheme="minorHAnsi"/>
          <w:sz w:val="24"/>
          <w:szCs w:val="24"/>
          <w:lang w:val="en-US"/>
        </w:rPr>
        <w:t>.1</w:t>
      </w:r>
      <w:r w:rsidR="00CC4A8B">
        <w:rPr>
          <w:rFonts w:eastAsia="Times New Roman" w:cstheme="minorHAnsi"/>
          <w:sz w:val="24"/>
          <w:szCs w:val="24"/>
          <w:lang w:val="en-US"/>
        </w:rPr>
        <w:t xml:space="preserve">) </w:t>
      </w:r>
      <w:r w:rsidR="007F5BEC">
        <w:rPr>
          <w:rFonts w:eastAsia="Times New Roman" w:cstheme="minorHAnsi"/>
          <w:sz w:val="24"/>
          <w:szCs w:val="24"/>
          <w:lang w:val="en-US"/>
        </w:rPr>
        <w:t>suggest</w:t>
      </w:r>
      <w:r w:rsidR="00E377EC">
        <w:rPr>
          <w:rFonts w:eastAsia="Times New Roman" w:cstheme="minorHAnsi"/>
          <w:sz w:val="24"/>
          <w:szCs w:val="24"/>
          <w:lang w:val="en-US"/>
        </w:rPr>
        <w:t>:</w:t>
      </w:r>
    </w:p>
    <w:p w14:paraId="048D45AD" w14:textId="05A8C4A4" w:rsidR="00BD53A4" w:rsidRPr="007F5BEC" w:rsidRDefault="007F5BEC" w:rsidP="00E377EC">
      <w:pPr>
        <w:spacing w:after="120" w:line="480" w:lineRule="auto"/>
        <w:ind w:left="780"/>
        <w:rPr>
          <w:rFonts w:eastAsia="Times New Roman" w:cstheme="minorHAnsi"/>
          <w:i/>
          <w:iCs/>
          <w:sz w:val="24"/>
          <w:szCs w:val="24"/>
          <w:lang w:val="en-US"/>
        </w:rPr>
      </w:pPr>
      <w:r>
        <w:rPr>
          <w:rFonts w:eastAsia="Times New Roman" w:cstheme="minorHAnsi"/>
          <w:sz w:val="24"/>
          <w:szCs w:val="24"/>
          <w:lang w:val="en-US"/>
        </w:rPr>
        <w:t xml:space="preserve">… </w:t>
      </w:r>
      <w:r w:rsidRPr="007F5BEC">
        <w:rPr>
          <w:rFonts w:eastAsia="Times New Roman" w:cstheme="minorHAnsi"/>
          <w:i/>
          <w:iCs/>
          <w:sz w:val="24"/>
          <w:szCs w:val="24"/>
          <w:lang w:val="en-US"/>
        </w:rPr>
        <w:t>“</w:t>
      </w:r>
      <w:r w:rsidR="00CC4A8B" w:rsidRPr="007F5BEC">
        <w:rPr>
          <w:rFonts w:eastAsia="Times New Roman" w:cstheme="minorHAnsi"/>
          <w:i/>
          <w:iCs/>
          <w:sz w:val="24"/>
          <w:szCs w:val="24"/>
          <w:lang w:val="en-US"/>
        </w:rPr>
        <w:t>consumer reliance o</w:t>
      </w:r>
      <w:r>
        <w:rPr>
          <w:rFonts w:eastAsia="Times New Roman" w:cstheme="minorHAnsi"/>
          <w:i/>
          <w:iCs/>
          <w:sz w:val="24"/>
          <w:szCs w:val="24"/>
          <w:lang w:val="en-US"/>
        </w:rPr>
        <w:t xml:space="preserve">n </w:t>
      </w:r>
      <w:r w:rsidR="00CC4A8B" w:rsidRPr="007F5BEC">
        <w:rPr>
          <w:rFonts w:eastAsia="Times New Roman" w:cstheme="minorHAnsi"/>
          <w:i/>
          <w:iCs/>
          <w:sz w:val="24"/>
          <w:szCs w:val="24"/>
          <w:lang w:val="en-US"/>
        </w:rPr>
        <w:t>social media can significantly increase the risk of making poor financial decisions”</w:t>
      </w:r>
      <w:r>
        <w:rPr>
          <w:rFonts w:eastAsia="Times New Roman" w:cstheme="minorHAnsi"/>
          <w:i/>
          <w:iCs/>
          <w:sz w:val="24"/>
          <w:szCs w:val="24"/>
          <w:lang w:val="en-US"/>
        </w:rPr>
        <w:t>.</w:t>
      </w:r>
    </w:p>
    <w:p w14:paraId="3AB6BE36" w14:textId="49E9B958" w:rsidR="00BD53A4" w:rsidRPr="00AD1EF7" w:rsidRDefault="00BD53A4" w:rsidP="00BD53A4">
      <w:pPr>
        <w:spacing w:after="120" w:line="480" w:lineRule="auto"/>
        <w:rPr>
          <w:rFonts w:eastAsia="Times New Roman" w:cstheme="minorHAnsi"/>
          <w:sz w:val="24"/>
          <w:szCs w:val="24"/>
          <w:lang w:val="en-US"/>
        </w:rPr>
      </w:pPr>
      <w:r w:rsidRPr="00AD1EF7">
        <w:rPr>
          <w:rFonts w:eastAsia="Times New Roman" w:cstheme="minorHAnsi"/>
          <w:sz w:val="24"/>
          <w:szCs w:val="24"/>
        </w:rPr>
        <w:t>If the consumer were to act in the way that traditional economic theory would assume, then they would pursue goals that they perceived as being in their self-interest and choose options that would provide the highest expected utility (Monroe and Maher, 1995).</w:t>
      </w:r>
      <w:r>
        <w:rPr>
          <w:rFonts w:eastAsia="Times New Roman" w:cstheme="minorHAnsi"/>
          <w:sz w:val="24"/>
          <w:szCs w:val="24"/>
          <w:lang w:val="en-US"/>
        </w:rPr>
        <w:t xml:space="preserve"> As far back as 1955, Simon highlighted the i</w:t>
      </w:r>
      <w:r w:rsidR="006C2000">
        <w:rPr>
          <w:rFonts w:eastAsia="Times New Roman" w:cstheme="minorHAnsi"/>
          <w:sz w:val="24"/>
          <w:szCs w:val="24"/>
          <w:lang w:val="en-US"/>
        </w:rPr>
        <w:t>mpact</w:t>
      </w:r>
      <w:r>
        <w:rPr>
          <w:rFonts w:eastAsia="Times New Roman" w:cstheme="minorHAnsi"/>
          <w:sz w:val="24"/>
          <w:szCs w:val="24"/>
          <w:lang w:val="en-US"/>
        </w:rPr>
        <w:t xml:space="preserve"> incomplete information could have upon the outcomes of consumer decisions</w:t>
      </w:r>
      <w:r w:rsidR="00B22792">
        <w:rPr>
          <w:rFonts w:eastAsia="Times New Roman" w:cstheme="minorHAnsi"/>
          <w:sz w:val="24"/>
          <w:szCs w:val="24"/>
          <w:lang w:val="en-US"/>
        </w:rPr>
        <w:t xml:space="preserve"> (</w:t>
      </w:r>
      <w:r w:rsidR="00B22792" w:rsidRPr="00AD1EF7">
        <w:rPr>
          <w:rFonts w:eastAsia="Times New Roman" w:cstheme="minorHAnsi"/>
          <w:sz w:val="24"/>
          <w:szCs w:val="24"/>
        </w:rPr>
        <w:t>Simon, 1955</w:t>
      </w:r>
      <w:r w:rsidR="00B22792">
        <w:rPr>
          <w:rFonts w:eastAsia="Times New Roman" w:cstheme="minorHAnsi"/>
          <w:sz w:val="24"/>
          <w:szCs w:val="24"/>
        </w:rPr>
        <w:t>)</w:t>
      </w:r>
      <w:r>
        <w:rPr>
          <w:rFonts w:eastAsia="Times New Roman" w:cstheme="minorHAnsi"/>
          <w:sz w:val="24"/>
          <w:szCs w:val="24"/>
          <w:lang w:val="en-US"/>
        </w:rPr>
        <w:t xml:space="preserve">. Kahneman mapped bounded rationality, suggesting that there were two elements within the </w:t>
      </w:r>
      <w:r w:rsidRPr="00EF4C6B">
        <w:rPr>
          <w:rFonts w:eastAsia="Times New Roman" w:cstheme="minorHAnsi"/>
          <w:i/>
          <w:sz w:val="24"/>
          <w:szCs w:val="24"/>
          <w:lang w:val="en-US"/>
        </w:rPr>
        <w:t>‘architecture of cognition’</w:t>
      </w:r>
      <w:r>
        <w:rPr>
          <w:rFonts w:eastAsia="Times New Roman" w:cstheme="minorHAnsi"/>
          <w:sz w:val="24"/>
          <w:szCs w:val="24"/>
          <w:lang w:val="en-US"/>
        </w:rPr>
        <w:t xml:space="preserve"> </w:t>
      </w:r>
      <w:r w:rsidRPr="00EF4C6B">
        <w:rPr>
          <w:rFonts w:eastAsia="Times New Roman" w:cstheme="minorHAnsi"/>
          <w:sz w:val="24"/>
          <w:szCs w:val="24"/>
          <w:lang w:val="en-US"/>
        </w:rPr>
        <w:t>(2003</w:t>
      </w:r>
      <w:r>
        <w:rPr>
          <w:rFonts w:eastAsia="Times New Roman" w:cstheme="minorHAnsi"/>
          <w:sz w:val="24"/>
          <w:szCs w:val="24"/>
          <w:lang w:val="en-US"/>
        </w:rPr>
        <w:t>, p.1450</w:t>
      </w:r>
      <w:r w:rsidRPr="00EF4C6B">
        <w:rPr>
          <w:rFonts w:eastAsia="Times New Roman" w:cstheme="minorHAnsi"/>
          <w:sz w:val="24"/>
          <w:szCs w:val="24"/>
          <w:lang w:val="en-US"/>
        </w:rPr>
        <w:t>)</w:t>
      </w:r>
      <w:r>
        <w:rPr>
          <w:rFonts w:eastAsia="Times New Roman" w:cstheme="minorHAnsi"/>
          <w:sz w:val="24"/>
          <w:szCs w:val="24"/>
          <w:lang w:val="en-US"/>
        </w:rPr>
        <w:t xml:space="preserve">, the reasoning of the rational actor model but also intuition that can lead to decision making </w:t>
      </w:r>
      <w:r w:rsidR="002668C8">
        <w:rPr>
          <w:rFonts w:eastAsia="Times New Roman" w:cstheme="minorHAnsi"/>
          <w:sz w:val="24"/>
          <w:szCs w:val="24"/>
          <w:lang w:val="en-US"/>
        </w:rPr>
        <w:t xml:space="preserve">that </w:t>
      </w:r>
      <w:r>
        <w:rPr>
          <w:rFonts w:eastAsia="Times New Roman" w:cstheme="minorHAnsi"/>
          <w:sz w:val="24"/>
          <w:szCs w:val="24"/>
          <w:lang w:val="en-US"/>
        </w:rPr>
        <w:t xml:space="preserve">utilises heuristics. </w:t>
      </w:r>
      <w:r w:rsidRPr="00EF4C6B">
        <w:rPr>
          <w:rFonts w:eastAsia="Times New Roman" w:cstheme="minorHAnsi"/>
          <w:sz w:val="24"/>
          <w:szCs w:val="24"/>
        </w:rPr>
        <w:t xml:space="preserve">These are </w:t>
      </w:r>
      <w:r>
        <w:rPr>
          <w:rFonts w:eastAsia="Times New Roman" w:cstheme="minorHAnsi"/>
          <w:sz w:val="24"/>
          <w:szCs w:val="24"/>
        </w:rPr>
        <w:t xml:space="preserve">the </w:t>
      </w:r>
      <w:r w:rsidRPr="00EF4C6B">
        <w:rPr>
          <w:rFonts w:eastAsia="Times New Roman" w:cstheme="minorHAnsi"/>
          <w:sz w:val="24"/>
          <w:szCs w:val="24"/>
        </w:rPr>
        <w:t xml:space="preserve">‘mental short-cuts’ people use when faced with an unfamiliar or complicated problem about which they have little knowledge. CFEB (2010) suggest these </w:t>
      </w:r>
      <w:r>
        <w:rPr>
          <w:rFonts w:eastAsia="Times New Roman" w:cstheme="minorHAnsi"/>
          <w:sz w:val="24"/>
          <w:szCs w:val="24"/>
        </w:rPr>
        <w:t xml:space="preserve">can </w:t>
      </w:r>
      <w:r w:rsidRPr="00EF4C6B">
        <w:rPr>
          <w:rFonts w:eastAsia="Times New Roman" w:cstheme="minorHAnsi"/>
          <w:sz w:val="24"/>
          <w:szCs w:val="24"/>
        </w:rPr>
        <w:t>lead to consumers making wrong decisions</w:t>
      </w:r>
      <w:r>
        <w:rPr>
          <w:rFonts w:eastAsia="Times New Roman" w:cstheme="minorHAnsi"/>
          <w:sz w:val="24"/>
          <w:szCs w:val="24"/>
        </w:rPr>
        <w:t xml:space="preserve">. </w:t>
      </w:r>
      <w:r>
        <w:rPr>
          <w:rFonts w:eastAsia="Times New Roman" w:cstheme="minorHAnsi"/>
          <w:sz w:val="24"/>
          <w:szCs w:val="24"/>
          <w:lang w:val="en-US"/>
        </w:rPr>
        <w:t xml:space="preserve"> </w:t>
      </w:r>
      <w:r w:rsidRPr="001B27F6">
        <w:rPr>
          <w:rFonts w:eastAsia="Times New Roman" w:cstheme="minorHAnsi"/>
          <w:sz w:val="24"/>
          <w:szCs w:val="24"/>
        </w:rPr>
        <w:t xml:space="preserve">However, their research found little evidence of </w:t>
      </w:r>
      <w:r w:rsidR="002D10C9">
        <w:rPr>
          <w:rFonts w:eastAsia="Times New Roman" w:cstheme="minorHAnsi"/>
          <w:sz w:val="24"/>
          <w:szCs w:val="24"/>
        </w:rPr>
        <w:t xml:space="preserve">consumers </w:t>
      </w:r>
      <w:r w:rsidRPr="001B27F6">
        <w:rPr>
          <w:rFonts w:eastAsia="Times New Roman" w:cstheme="minorHAnsi"/>
          <w:sz w:val="24"/>
          <w:szCs w:val="24"/>
        </w:rPr>
        <w:t>planning</w:t>
      </w:r>
      <w:r w:rsidR="002D10C9">
        <w:rPr>
          <w:rFonts w:eastAsia="Times New Roman" w:cstheme="minorHAnsi"/>
          <w:sz w:val="24"/>
          <w:szCs w:val="24"/>
        </w:rPr>
        <w:t xml:space="preserve"> strategically,</w:t>
      </w:r>
      <w:r w:rsidRPr="001B27F6">
        <w:rPr>
          <w:rFonts w:eastAsia="Times New Roman" w:cstheme="minorHAnsi"/>
          <w:sz w:val="24"/>
          <w:szCs w:val="24"/>
        </w:rPr>
        <w:t xml:space="preserve"> due largely to a lack of </w:t>
      </w:r>
      <w:r w:rsidRPr="001B27F6">
        <w:rPr>
          <w:rFonts w:eastAsia="Times New Roman" w:cstheme="minorHAnsi"/>
          <w:sz w:val="24"/>
          <w:szCs w:val="24"/>
        </w:rPr>
        <w:lastRenderedPageBreak/>
        <w:t xml:space="preserve">knowledge and understanding of risks faced and the benefits of planning. Tversky and Kahneman </w:t>
      </w:r>
      <w:r>
        <w:rPr>
          <w:rFonts w:eastAsia="Times New Roman" w:cstheme="minorHAnsi"/>
          <w:sz w:val="24"/>
          <w:szCs w:val="24"/>
        </w:rPr>
        <w:t xml:space="preserve">had earlier expressed concern that </w:t>
      </w:r>
      <w:r w:rsidRPr="001B27F6">
        <w:rPr>
          <w:rFonts w:eastAsia="Times New Roman" w:cstheme="minorHAnsi"/>
          <w:sz w:val="24"/>
          <w:szCs w:val="24"/>
        </w:rPr>
        <w:t xml:space="preserve">the use of heuristics to simplify complex decisions lead to </w:t>
      </w:r>
      <w:r w:rsidRPr="001B27F6">
        <w:rPr>
          <w:rFonts w:eastAsia="Times New Roman" w:cstheme="minorHAnsi"/>
          <w:i/>
          <w:sz w:val="24"/>
          <w:szCs w:val="24"/>
        </w:rPr>
        <w:t>‘systematic errors’</w:t>
      </w:r>
      <w:r w:rsidRPr="001B27F6">
        <w:rPr>
          <w:rFonts w:eastAsia="Times New Roman" w:cstheme="minorHAnsi"/>
          <w:sz w:val="24"/>
          <w:szCs w:val="24"/>
        </w:rPr>
        <w:t xml:space="preserve"> (</w:t>
      </w:r>
      <w:r>
        <w:rPr>
          <w:rFonts w:eastAsia="Times New Roman" w:cstheme="minorHAnsi"/>
          <w:sz w:val="24"/>
          <w:szCs w:val="24"/>
        </w:rPr>
        <w:t xml:space="preserve">1974, </w:t>
      </w:r>
      <w:r w:rsidRPr="001B27F6">
        <w:rPr>
          <w:rFonts w:eastAsia="Times New Roman" w:cstheme="minorHAnsi"/>
          <w:sz w:val="24"/>
          <w:szCs w:val="24"/>
        </w:rPr>
        <w:t>p.1124).</w:t>
      </w:r>
    </w:p>
    <w:p w14:paraId="536C333C" w14:textId="25368AE9" w:rsidR="00BD53A4" w:rsidRPr="001B27F6" w:rsidRDefault="00BD53A4" w:rsidP="00BD53A4">
      <w:pPr>
        <w:spacing w:after="120" w:line="480" w:lineRule="auto"/>
        <w:rPr>
          <w:rFonts w:eastAsia="Times New Roman" w:cstheme="minorHAnsi"/>
          <w:sz w:val="24"/>
          <w:szCs w:val="24"/>
        </w:rPr>
      </w:pPr>
      <w:r w:rsidRPr="001B27F6">
        <w:rPr>
          <w:rFonts w:eastAsia="Times New Roman" w:cstheme="minorHAnsi"/>
          <w:sz w:val="24"/>
          <w:szCs w:val="24"/>
        </w:rPr>
        <w:t xml:space="preserve">Kempson and Collard (2005) suggest that consumers’ realisation of inadequate pension provision (and therefore the need for advice) is often triggered by external influences such as friends and colleagues or press coverage. Research by the Henley Centre (FSA, 2005a) identified a variety of triggers prompted by circumstances. They categorised different types of consumer ‘need’ as reactive needs, underlying needs and psychological needs. Reactive needs are where the requirement for advice may be prompted by some external influence – perhaps the decision to enter the housing market which prompts the need for mortgage advice. Underlying needs are where the action is prompted by the consumer simply feeling it is the right thing to do. </w:t>
      </w:r>
      <w:r w:rsidR="008B5F76">
        <w:rPr>
          <w:rFonts w:eastAsia="Times New Roman" w:cstheme="minorHAnsi"/>
          <w:sz w:val="24"/>
          <w:szCs w:val="24"/>
        </w:rPr>
        <w:t>T</w:t>
      </w:r>
      <w:r w:rsidRPr="001B27F6">
        <w:rPr>
          <w:rFonts w:eastAsia="Times New Roman" w:cstheme="minorHAnsi"/>
          <w:sz w:val="24"/>
          <w:szCs w:val="24"/>
        </w:rPr>
        <w:t xml:space="preserve">his might </w:t>
      </w:r>
      <w:r w:rsidR="008B5F76">
        <w:rPr>
          <w:rFonts w:eastAsia="Times New Roman" w:cstheme="minorHAnsi"/>
          <w:sz w:val="24"/>
          <w:szCs w:val="24"/>
        </w:rPr>
        <w:t xml:space="preserve">perhaps </w:t>
      </w:r>
      <w:r w:rsidRPr="001B27F6">
        <w:rPr>
          <w:rFonts w:eastAsia="Times New Roman" w:cstheme="minorHAnsi"/>
          <w:sz w:val="24"/>
          <w:szCs w:val="24"/>
        </w:rPr>
        <w:t xml:space="preserve">be prompted by the external influences Kempson and Collard (2005) </w:t>
      </w:r>
      <w:r w:rsidR="008B5F76">
        <w:rPr>
          <w:rFonts w:eastAsia="Times New Roman" w:cstheme="minorHAnsi"/>
          <w:sz w:val="24"/>
          <w:szCs w:val="24"/>
        </w:rPr>
        <w:t>highlight</w:t>
      </w:r>
      <w:r w:rsidRPr="001B27F6">
        <w:rPr>
          <w:rFonts w:eastAsia="Times New Roman" w:cstheme="minorHAnsi"/>
          <w:sz w:val="24"/>
          <w:szCs w:val="24"/>
        </w:rPr>
        <w:t>. Psychological needs (or traits) may also affect access to advice with some consumers being planners and some being non-planners, with the former more likely to seek and take advice (Lusardi and Mitchell, 2006).</w:t>
      </w:r>
    </w:p>
    <w:p w14:paraId="78F66D18" w14:textId="64EF8F18" w:rsidR="00BD53A4" w:rsidRDefault="00BD53A4" w:rsidP="00BD53A4">
      <w:pPr>
        <w:spacing w:after="120" w:line="480" w:lineRule="auto"/>
        <w:rPr>
          <w:rFonts w:eastAsia="Times New Roman" w:cstheme="minorHAnsi"/>
          <w:sz w:val="24"/>
          <w:szCs w:val="24"/>
          <w:lang w:val="en-US"/>
        </w:rPr>
      </w:pPr>
      <w:r w:rsidRPr="001B27F6">
        <w:rPr>
          <w:rFonts w:eastAsia="Times New Roman" w:cstheme="minorHAnsi"/>
          <w:sz w:val="24"/>
          <w:szCs w:val="24"/>
        </w:rPr>
        <w:t>T</w:t>
      </w:r>
      <w:r w:rsidRPr="001B27F6">
        <w:rPr>
          <w:rFonts w:eastAsia="Times New Roman" w:cstheme="minorHAnsi"/>
          <w:sz w:val="24"/>
          <w:szCs w:val="24"/>
          <w:lang w:val="en-US"/>
        </w:rPr>
        <w:t>o try and address these barriers to consumers acting strategically, the former UK regulator (the FSA) focused on financial education and capability development to improve consumer knowledge and willingness to shop around. Consumer education was one of the FSA’s four key regulatory objectives and has been spearheaded in recent years by MAS</w:t>
      </w:r>
      <w:r w:rsidR="008B5F76">
        <w:rPr>
          <w:rFonts w:eastAsia="Times New Roman" w:cstheme="minorHAnsi"/>
          <w:sz w:val="24"/>
          <w:szCs w:val="24"/>
          <w:lang w:val="en-US"/>
        </w:rPr>
        <w:t xml:space="preserve"> (and now its successor – </w:t>
      </w:r>
      <w:r w:rsidR="009F4A87">
        <w:rPr>
          <w:rFonts w:eastAsia="Times New Roman" w:cstheme="minorHAnsi"/>
          <w:sz w:val="24"/>
          <w:szCs w:val="24"/>
          <w:lang w:val="en-US"/>
        </w:rPr>
        <w:t>M</w:t>
      </w:r>
      <w:r w:rsidR="00FE6FC7">
        <w:rPr>
          <w:rFonts w:eastAsia="Times New Roman" w:cstheme="minorHAnsi"/>
          <w:sz w:val="24"/>
          <w:szCs w:val="24"/>
          <w:lang w:val="en-US"/>
        </w:rPr>
        <w:t>a</w:t>
      </w:r>
      <w:r w:rsidR="009F4A87">
        <w:rPr>
          <w:rFonts w:eastAsia="Times New Roman" w:cstheme="minorHAnsi"/>
          <w:sz w:val="24"/>
          <w:szCs w:val="24"/>
          <w:lang w:val="en-US"/>
        </w:rPr>
        <w:t>PS</w:t>
      </w:r>
      <w:r w:rsidR="008B5F76">
        <w:rPr>
          <w:rFonts w:eastAsia="Times New Roman" w:cstheme="minorHAnsi"/>
          <w:sz w:val="24"/>
          <w:szCs w:val="24"/>
          <w:lang w:val="en-US"/>
        </w:rPr>
        <w:t>)</w:t>
      </w:r>
      <w:r w:rsidRPr="001B27F6">
        <w:rPr>
          <w:rFonts w:eastAsia="Times New Roman" w:cstheme="minorHAnsi"/>
          <w:sz w:val="24"/>
          <w:szCs w:val="24"/>
          <w:lang w:val="en-US"/>
        </w:rPr>
        <w:t xml:space="preserve">. </w:t>
      </w:r>
      <w:r w:rsidR="00BC799C">
        <w:rPr>
          <w:rFonts w:eastAsia="Times New Roman" w:cstheme="minorHAnsi"/>
          <w:sz w:val="24"/>
          <w:szCs w:val="24"/>
          <w:lang w:val="en-US"/>
        </w:rPr>
        <w:t xml:space="preserve"> </w:t>
      </w:r>
    </w:p>
    <w:p w14:paraId="1CF967FB" w14:textId="61A7F70C" w:rsidR="001975BE" w:rsidRDefault="001975BE" w:rsidP="00BD53A4">
      <w:pPr>
        <w:spacing w:after="120" w:line="480" w:lineRule="auto"/>
        <w:rPr>
          <w:rFonts w:eastAsia="Times New Roman" w:cstheme="minorHAnsi"/>
          <w:sz w:val="24"/>
          <w:szCs w:val="24"/>
          <w:lang w:val="en-US"/>
        </w:rPr>
      </w:pPr>
      <w:r w:rsidRPr="009E613E">
        <w:rPr>
          <w:rFonts w:eastAsia="Times New Roman" w:cstheme="minorHAnsi"/>
          <w:sz w:val="24"/>
          <w:szCs w:val="24"/>
          <w:lang w:val="en"/>
        </w:rPr>
        <w:t>There is a significant volume of literature on consumer decision making</w:t>
      </w:r>
      <w:r w:rsidR="00D439C0">
        <w:rPr>
          <w:rFonts w:eastAsia="Times New Roman" w:cstheme="minorHAnsi"/>
          <w:sz w:val="24"/>
          <w:szCs w:val="24"/>
          <w:lang w:val="en"/>
        </w:rPr>
        <w:t>. Common themes show barriers with similarities to</w:t>
      </w:r>
      <w:r>
        <w:rPr>
          <w:rFonts w:eastAsia="Times New Roman" w:cstheme="minorHAnsi"/>
          <w:sz w:val="24"/>
          <w:szCs w:val="24"/>
          <w:lang w:val="en"/>
        </w:rPr>
        <w:t xml:space="preserve"> the</w:t>
      </w:r>
      <w:r w:rsidRPr="009E613E">
        <w:rPr>
          <w:rFonts w:eastAsia="Times New Roman" w:cstheme="minorHAnsi"/>
          <w:sz w:val="24"/>
          <w:szCs w:val="24"/>
          <w:lang w:val="en"/>
        </w:rPr>
        <w:t xml:space="preserve"> barriers citizens </w:t>
      </w:r>
      <w:r>
        <w:rPr>
          <w:rFonts w:eastAsia="Times New Roman" w:cstheme="minorHAnsi"/>
          <w:sz w:val="24"/>
          <w:szCs w:val="24"/>
          <w:lang w:val="en"/>
        </w:rPr>
        <w:t xml:space="preserve">may </w:t>
      </w:r>
      <w:r w:rsidRPr="009E613E">
        <w:rPr>
          <w:rFonts w:eastAsia="Times New Roman" w:cstheme="minorHAnsi"/>
          <w:sz w:val="24"/>
          <w:szCs w:val="24"/>
          <w:lang w:val="en"/>
        </w:rPr>
        <w:t xml:space="preserve">encounter when interacting with </w:t>
      </w:r>
      <w:r>
        <w:rPr>
          <w:rFonts w:eastAsia="Times New Roman" w:cstheme="minorHAnsi"/>
          <w:sz w:val="24"/>
          <w:szCs w:val="24"/>
          <w:lang w:val="en"/>
        </w:rPr>
        <w:t xml:space="preserve">financial services </w:t>
      </w:r>
      <w:r w:rsidRPr="009E613E">
        <w:rPr>
          <w:rFonts w:eastAsia="Times New Roman" w:cstheme="minorHAnsi"/>
          <w:sz w:val="24"/>
          <w:szCs w:val="24"/>
          <w:lang w:val="en"/>
        </w:rPr>
        <w:t>and more specifically regulated financial advice.</w:t>
      </w:r>
      <w:r>
        <w:rPr>
          <w:rFonts w:eastAsia="Times New Roman" w:cstheme="minorHAnsi"/>
          <w:sz w:val="24"/>
          <w:szCs w:val="24"/>
          <w:lang w:val="en"/>
        </w:rPr>
        <w:t xml:space="preserve"> This helped in the </w:t>
      </w:r>
      <w:r>
        <w:rPr>
          <w:rFonts w:eastAsia="Times New Roman" w:cstheme="minorHAnsi"/>
          <w:sz w:val="24"/>
          <w:szCs w:val="24"/>
          <w:lang w:val="en"/>
        </w:rPr>
        <w:lastRenderedPageBreak/>
        <w:t xml:space="preserve">development of a theoretical framework and ultimately resulted in our Financial Advice </w:t>
      </w:r>
      <w:r w:rsidR="008A3792">
        <w:rPr>
          <w:rFonts w:eastAsia="Times New Roman" w:cstheme="minorHAnsi"/>
          <w:sz w:val="24"/>
          <w:szCs w:val="24"/>
          <w:lang w:val="en"/>
        </w:rPr>
        <w:t>Belief</w:t>
      </w:r>
      <w:r>
        <w:rPr>
          <w:rFonts w:eastAsia="Times New Roman" w:cstheme="minorHAnsi"/>
          <w:sz w:val="24"/>
          <w:szCs w:val="24"/>
          <w:lang w:val="en"/>
        </w:rPr>
        <w:t xml:space="preserve"> Model (FABM).</w:t>
      </w:r>
    </w:p>
    <w:p w14:paraId="141E9A6C" w14:textId="5BB4431A" w:rsidR="005860F6" w:rsidRDefault="007E3D00" w:rsidP="00BD53A4">
      <w:pPr>
        <w:spacing w:after="120" w:line="480" w:lineRule="auto"/>
        <w:rPr>
          <w:rFonts w:eastAsia="Times New Roman" w:cs="Times New Roman"/>
          <w:kern w:val="28"/>
          <w:sz w:val="24"/>
          <w:szCs w:val="24"/>
        </w:rPr>
      </w:pPr>
      <w:r w:rsidRPr="002049CE">
        <w:rPr>
          <w:rFonts w:eastAsia="Times New Roman" w:cs="Times New Roman"/>
          <w:kern w:val="28"/>
          <w:sz w:val="24"/>
          <w:szCs w:val="24"/>
        </w:rPr>
        <w:t xml:space="preserve">This model formed the basis of the theoretical framework which guided the research process, informing the protocols for interviews and the subsequent analysis. The design and development of the model is described </w:t>
      </w:r>
      <w:r w:rsidR="002049CE" w:rsidRPr="002049CE">
        <w:rPr>
          <w:rFonts w:eastAsia="Times New Roman" w:cs="Times New Roman"/>
          <w:kern w:val="28"/>
          <w:sz w:val="24"/>
          <w:szCs w:val="24"/>
        </w:rPr>
        <w:t xml:space="preserve">in </w:t>
      </w:r>
      <w:r w:rsidR="005860F6">
        <w:rPr>
          <w:rFonts w:eastAsia="Times New Roman" w:cs="Times New Roman"/>
          <w:kern w:val="28"/>
          <w:sz w:val="24"/>
          <w:szCs w:val="24"/>
        </w:rPr>
        <w:t xml:space="preserve">more detail in </w:t>
      </w:r>
      <w:r w:rsidR="002049CE" w:rsidRPr="002049CE">
        <w:rPr>
          <w:rFonts w:eastAsia="Times New Roman" w:cs="Times New Roman"/>
          <w:kern w:val="28"/>
          <w:sz w:val="24"/>
          <w:szCs w:val="24"/>
        </w:rPr>
        <w:t>Table 1</w:t>
      </w:r>
      <w:r w:rsidR="002049CE">
        <w:rPr>
          <w:rFonts w:eastAsia="Times New Roman" w:cs="Times New Roman"/>
          <w:kern w:val="28"/>
          <w:sz w:val="24"/>
          <w:szCs w:val="24"/>
        </w:rPr>
        <w:t xml:space="preserve"> </w:t>
      </w:r>
      <w:r w:rsidR="00C80EFB">
        <w:rPr>
          <w:rFonts w:eastAsia="Times New Roman" w:cs="Times New Roman"/>
          <w:kern w:val="28"/>
          <w:sz w:val="24"/>
          <w:szCs w:val="24"/>
        </w:rPr>
        <w:t xml:space="preserve">(parts a &amp; b) </w:t>
      </w:r>
      <w:r w:rsidRPr="002049CE">
        <w:rPr>
          <w:rFonts w:eastAsia="Times New Roman" w:cs="Times New Roman"/>
          <w:kern w:val="28"/>
          <w:sz w:val="24"/>
          <w:szCs w:val="24"/>
        </w:rPr>
        <w:t>below</w:t>
      </w:r>
      <w:r w:rsidR="002049CE" w:rsidRPr="002049CE">
        <w:rPr>
          <w:rFonts w:eastAsia="Times New Roman" w:cs="Times New Roman"/>
          <w:kern w:val="28"/>
          <w:sz w:val="24"/>
          <w:szCs w:val="24"/>
        </w:rPr>
        <w:t>.</w:t>
      </w:r>
      <w:r w:rsidRPr="002049CE">
        <w:rPr>
          <w:rFonts w:eastAsia="Times New Roman" w:cs="Times New Roman"/>
          <w:kern w:val="28"/>
          <w:sz w:val="24"/>
          <w:szCs w:val="24"/>
        </w:rPr>
        <w:t xml:space="preserve"> </w:t>
      </w:r>
    </w:p>
    <w:p w14:paraId="6646B80C" w14:textId="369163FB" w:rsidR="00E643E1" w:rsidRDefault="002049CE" w:rsidP="00BD53A4">
      <w:pPr>
        <w:spacing w:after="120" w:line="480" w:lineRule="auto"/>
        <w:rPr>
          <w:rFonts w:eastAsia="Times New Roman" w:cs="Times New Roman"/>
          <w:kern w:val="28"/>
          <w:sz w:val="24"/>
          <w:szCs w:val="24"/>
        </w:rPr>
      </w:pPr>
      <w:r>
        <w:rPr>
          <w:rFonts w:eastAsia="Times New Roman" w:cs="Times New Roman"/>
          <w:kern w:val="28"/>
          <w:sz w:val="24"/>
          <w:szCs w:val="24"/>
        </w:rPr>
        <w:t xml:space="preserve">It </w:t>
      </w:r>
      <w:r w:rsidR="007E3D00">
        <w:rPr>
          <w:rFonts w:eastAsia="Times New Roman" w:cs="Times New Roman"/>
          <w:kern w:val="28"/>
          <w:sz w:val="24"/>
          <w:szCs w:val="24"/>
        </w:rPr>
        <w:t>evolved from existing knowledge</w:t>
      </w:r>
      <w:r w:rsidR="00240161">
        <w:rPr>
          <w:rFonts w:eastAsia="Times New Roman" w:cs="Times New Roman"/>
          <w:kern w:val="28"/>
          <w:sz w:val="24"/>
          <w:szCs w:val="24"/>
        </w:rPr>
        <w:t>, relevant</w:t>
      </w:r>
      <w:r w:rsidR="007E3D00">
        <w:rPr>
          <w:rFonts w:eastAsia="Times New Roman" w:cs="Times New Roman"/>
          <w:kern w:val="28"/>
          <w:sz w:val="24"/>
          <w:szCs w:val="24"/>
        </w:rPr>
        <w:t xml:space="preserve"> literature and the researchers’ desire to better understand the consumer journey to advice. The starting point was literature </w:t>
      </w:r>
      <w:r w:rsidR="00334FE8">
        <w:rPr>
          <w:rFonts w:eastAsia="Times New Roman" w:cs="Times New Roman"/>
          <w:kern w:val="28"/>
          <w:sz w:val="24"/>
          <w:szCs w:val="24"/>
        </w:rPr>
        <w:t>from</w:t>
      </w:r>
      <w:r w:rsidR="00026826">
        <w:rPr>
          <w:rFonts w:eastAsia="Times New Roman" w:cs="Times New Roman"/>
          <w:kern w:val="28"/>
          <w:sz w:val="24"/>
          <w:szCs w:val="24"/>
        </w:rPr>
        <w:t xml:space="preserve"> </w:t>
      </w:r>
      <w:r w:rsidR="00334FE8">
        <w:rPr>
          <w:rFonts w:eastAsia="Times New Roman" w:cs="Times New Roman"/>
          <w:kern w:val="28"/>
          <w:sz w:val="24"/>
          <w:szCs w:val="24"/>
        </w:rPr>
        <w:t xml:space="preserve">Marketing </w:t>
      </w:r>
      <w:r w:rsidR="00026826">
        <w:rPr>
          <w:rFonts w:eastAsia="Times New Roman" w:cs="Times New Roman"/>
          <w:kern w:val="28"/>
          <w:sz w:val="24"/>
          <w:szCs w:val="24"/>
        </w:rPr>
        <w:t xml:space="preserve">theory </w:t>
      </w:r>
      <w:r w:rsidR="001975BE">
        <w:rPr>
          <w:rFonts w:eastAsia="Times New Roman" w:cs="Times New Roman"/>
          <w:kern w:val="28"/>
          <w:sz w:val="24"/>
          <w:szCs w:val="24"/>
        </w:rPr>
        <w:t>which</w:t>
      </w:r>
      <w:r w:rsidR="007E3D00">
        <w:rPr>
          <w:rFonts w:eastAsia="Times New Roman" w:cs="Times New Roman"/>
          <w:kern w:val="28"/>
          <w:sz w:val="24"/>
          <w:szCs w:val="24"/>
        </w:rPr>
        <w:t xml:space="preserve"> explained the process consumers follow when buying</w:t>
      </w:r>
      <w:r w:rsidR="0034327F">
        <w:rPr>
          <w:rFonts w:eastAsia="Times New Roman" w:cs="Times New Roman"/>
          <w:kern w:val="28"/>
          <w:sz w:val="24"/>
          <w:szCs w:val="24"/>
        </w:rPr>
        <w:t xml:space="preserve"> intangible</w:t>
      </w:r>
      <w:r w:rsidR="007E3D00">
        <w:rPr>
          <w:rFonts w:eastAsia="Times New Roman" w:cs="Times New Roman"/>
          <w:kern w:val="28"/>
          <w:sz w:val="24"/>
          <w:szCs w:val="24"/>
        </w:rPr>
        <w:t xml:space="preserve"> services</w:t>
      </w:r>
      <w:r w:rsidR="00C80EFB">
        <w:rPr>
          <w:rFonts w:eastAsia="Times New Roman" w:cs="Times New Roman"/>
          <w:kern w:val="28"/>
          <w:sz w:val="24"/>
          <w:szCs w:val="24"/>
        </w:rPr>
        <w:t>, of which</w:t>
      </w:r>
      <w:r w:rsidR="00026826">
        <w:rPr>
          <w:rFonts w:eastAsia="Times New Roman" w:cs="Times New Roman"/>
          <w:kern w:val="28"/>
          <w:sz w:val="24"/>
          <w:szCs w:val="24"/>
        </w:rPr>
        <w:t xml:space="preserve"> financial advice</w:t>
      </w:r>
      <w:r w:rsidR="00C80EFB">
        <w:rPr>
          <w:rFonts w:eastAsia="Times New Roman" w:cs="Times New Roman"/>
          <w:kern w:val="28"/>
          <w:sz w:val="24"/>
          <w:szCs w:val="24"/>
        </w:rPr>
        <w:t xml:space="preserve"> is an example</w:t>
      </w:r>
      <w:r w:rsidR="0034327F">
        <w:rPr>
          <w:rFonts w:eastAsia="Times New Roman" w:cs="Times New Roman"/>
          <w:kern w:val="28"/>
          <w:sz w:val="24"/>
          <w:szCs w:val="24"/>
        </w:rPr>
        <w:t xml:space="preserve">. Palmer (2001) suggests that services can be mentally intangible as well as physically intangible, that is, consumers do not always recognise the need for these services, which would appear to be the case </w:t>
      </w:r>
      <w:r w:rsidR="00BE5BD7">
        <w:rPr>
          <w:rFonts w:eastAsia="Times New Roman" w:cs="Times New Roman"/>
          <w:kern w:val="28"/>
          <w:sz w:val="24"/>
          <w:szCs w:val="24"/>
        </w:rPr>
        <w:t>for</w:t>
      </w:r>
      <w:r w:rsidR="0034327F">
        <w:rPr>
          <w:rFonts w:eastAsia="Times New Roman" w:cs="Times New Roman"/>
          <w:kern w:val="28"/>
          <w:sz w:val="24"/>
          <w:szCs w:val="24"/>
        </w:rPr>
        <w:t xml:space="preserve"> financial advice. Engel et al (19</w:t>
      </w:r>
      <w:r w:rsidR="00297DD8">
        <w:rPr>
          <w:rFonts w:eastAsia="Times New Roman" w:cs="Times New Roman"/>
          <w:kern w:val="28"/>
          <w:sz w:val="24"/>
          <w:szCs w:val="24"/>
        </w:rPr>
        <w:t>95</w:t>
      </w:r>
      <w:r w:rsidR="0034327F">
        <w:rPr>
          <w:rFonts w:eastAsia="Times New Roman" w:cs="Times New Roman"/>
          <w:kern w:val="28"/>
          <w:sz w:val="24"/>
          <w:szCs w:val="24"/>
        </w:rPr>
        <w:t>)</w:t>
      </w:r>
      <w:r w:rsidR="00134528">
        <w:rPr>
          <w:rFonts w:eastAsia="Times New Roman" w:cs="Times New Roman"/>
          <w:kern w:val="28"/>
          <w:sz w:val="24"/>
          <w:szCs w:val="24"/>
        </w:rPr>
        <w:t xml:space="preserve"> outline the consumer decision process as being one </w:t>
      </w:r>
      <w:r w:rsidR="00334FE8">
        <w:rPr>
          <w:rFonts w:eastAsia="Times New Roman" w:cs="Times New Roman"/>
          <w:kern w:val="28"/>
          <w:sz w:val="24"/>
          <w:szCs w:val="24"/>
        </w:rPr>
        <w:t>which</w:t>
      </w:r>
      <w:r w:rsidR="00134528">
        <w:rPr>
          <w:rFonts w:eastAsia="Times New Roman" w:cs="Times New Roman"/>
          <w:kern w:val="28"/>
          <w:sz w:val="24"/>
          <w:szCs w:val="24"/>
        </w:rPr>
        <w:t xml:space="preserve"> starts with ‘needs recognition’ and following </w:t>
      </w:r>
      <w:r w:rsidR="00334FE8">
        <w:rPr>
          <w:rFonts w:eastAsia="Times New Roman" w:cs="Times New Roman"/>
          <w:kern w:val="28"/>
          <w:sz w:val="24"/>
          <w:szCs w:val="24"/>
        </w:rPr>
        <w:t xml:space="preserve">the </w:t>
      </w:r>
      <w:r w:rsidR="00134528">
        <w:rPr>
          <w:rFonts w:eastAsia="Times New Roman" w:cs="Times New Roman"/>
          <w:kern w:val="28"/>
          <w:sz w:val="24"/>
          <w:szCs w:val="24"/>
        </w:rPr>
        <w:t>search and evaluation stages</w:t>
      </w:r>
      <w:r w:rsidR="00334FE8">
        <w:rPr>
          <w:rFonts w:eastAsia="Times New Roman" w:cs="Times New Roman"/>
          <w:kern w:val="28"/>
          <w:sz w:val="24"/>
          <w:szCs w:val="24"/>
        </w:rPr>
        <w:t>,</w:t>
      </w:r>
      <w:r w:rsidR="00134528">
        <w:rPr>
          <w:rFonts w:eastAsia="Times New Roman" w:cs="Times New Roman"/>
          <w:kern w:val="28"/>
          <w:sz w:val="24"/>
          <w:szCs w:val="24"/>
        </w:rPr>
        <w:t xml:space="preserve"> results in </w:t>
      </w:r>
      <w:r w:rsidR="00334FE8">
        <w:rPr>
          <w:rFonts w:eastAsia="Times New Roman" w:cs="Times New Roman"/>
          <w:kern w:val="28"/>
          <w:sz w:val="24"/>
          <w:szCs w:val="24"/>
        </w:rPr>
        <w:t xml:space="preserve">a </w:t>
      </w:r>
      <w:r w:rsidR="00134528">
        <w:rPr>
          <w:rFonts w:eastAsia="Times New Roman" w:cs="Times New Roman"/>
          <w:kern w:val="28"/>
          <w:sz w:val="24"/>
          <w:szCs w:val="24"/>
        </w:rPr>
        <w:t>purchase. However, for the consumer</w:t>
      </w:r>
      <w:r w:rsidR="00334FE8">
        <w:rPr>
          <w:rFonts w:eastAsia="Times New Roman" w:cs="Times New Roman"/>
          <w:kern w:val="28"/>
          <w:sz w:val="24"/>
          <w:szCs w:val="24"/>
        </w:rPr>
        <w:t>’s</w:t>
      </w:r>
      <w:r w:rsidR="00134528">
        <w:rPr>
          <w:rFonts w:eastAsia="Times New Roman" w:cs="Times New Roman"/>
          <w:kern w:val="28"/>
          <w:sz w:val="24"/>
          <w:szCs w:val="24"/>
        </w:rPr>
        <w:t xml:space="preserve"> decision to use financial advice, this is too simplistic because it fails to account for the mental intangibility which the financial capability literature tells us prevails</w:t>
      </w:r>
      <w:r w:rsidR="00134528" w:rsidRPr="001975BE">
        <w:rPr>
          <w:rFonts w:eastAsia="Times New Roman" w:cs="Times New Roman"/>
          <w:kern w:val="28"/>
          <w:sz w:val="24"/>
          <w:szCs w:val="24"/>
        </w:rPr>
        <w:t>.</w:t>
      </w:r>
      <w:r w:rsidR="00BE5BD7" w:rsidRPr="001975BE">
        <w:rPr>
          <w:rFonts w:eastAsia="Times New Roman" w:cs="Times New Roman"/>
          <w:kern w:val="28"/>
          <w:sz w:val="24"/>
          <w:szCs w:val="24"/>
        </w:rPr>
        <w:t xml:space="preserve"> </w:t>
      </w:r>
      <w:r w:rsidR="00E643E1" w:rsidRPr="001975BE">
        <w:rPr>
          <w:rFonts w:eastAsia="Times New Roman" w:cs="Times New Roman"/>
          <w:kern w:val="28"/>
          <w:sz w:val="24"/>
          <w:szCs w:val="24"/>
        </w:rPr>
        <w:t>Palmer (2001, p.98) suggests that individuals act in particular ways towards the purchase decision, b</w:t>
      </w:r>
      <w:r w:rsidR="005860F6" w:rsidRPr="001975BE">
        <w:rPr>
          <w:rFonts w:eastAsia="Times New Roman" w:cs="Times New Roman"/>
          <w:kern w:val="28"/>
          <w:sz w:val="24"/>
          <w:szCs w:val="24"/>
        </w:rPr>
        <w:t>e</w:t>
      </w:r>
      <w:r w:rsidR="00E643E1" w:rsidRPr="001975BE">
        <w:rPr>
          <w:rFonts w:eastAsia="Times New Roman" w:cs="Times New Roman"/>
          <w:kern w:val="28"/>
          <w:sz w:val="24"/>
          <w:szCs w:val="24"/>
        </w:rPr>
        <w:t>ing influenced by …</w:t>
      </w:r>
      <w:r w:rsidR="00E643E1" w:rsidRPr="001975BE">
        <w:rPr>
          <w:rFonts w:eastAsia="Times New Roman" w:cs="Times New Roman"/>
          <w:i/>
          <w:iCs/>
          <w:kern w:val="28"/>
          <w:sz w:val="24"/>
          <w:szCs w:val="24"/>
        </w:rPr>
        <w:t xml:space="preserve"> “the culture they live in, family and personality factors amongst others”</w:t>
      </w:r>
      <w:r w:rsidR="005860F6" w:rsidRPr="001975BE">
        <w:rPr>
          <w:rFonts w:eastAsia="Times New Roman" w:cs="Times New Roman"/>
          <w:i/>
          <w:iCs/>
          <w:kern w:val="28"/>
          <w:sz w:val="24"/>
          <w:szCs w:val="24"/>
        </w:rPr>
        <w:t xml:space="preserve">. </w:t>
      </w:r>
      <w:r w:rsidR="005860F6" w:rsidRPr="001975BE">
        <w:rPr>
          <w:rFonts w:eastAsia="Times New Roman" w:cs="Times New Roman"/>
          <w:kern w:val="28"/>
          <w:sz w:val="24"/>
          <w:szCs w:val="24"/>
        </w:rPr>
        <w:t xml:space="preserve"> So</w:t>
      </w:r>
      <w:r w:rsidR="001975BE" w:rsidRPr="001975BE">
        <w:rPr>
          <w:rFonts w:eastAsia="Times New Roman" w:cs="Times New Roman"/>
          <w:kern w:val="28"/>
          <w:sz w:val="24"/>
          <w:szCs w:val="24"/>
        </w:rPr>
        <w:t>, the</w:t>
      </w:r>
      <w:r w:rsidR="005860F6" w:rsidRPr="001975BE">
        <w:rPr>
          <w:rFonts w:eastAsia="Times New Roman" w:cs="Times New Roman"/>
          <w:kern w:val="28"/>
          <w:sz w:val="24"/>
          <w:szCs w:val="24"/>
        </w:rPr>
        <w:t xml:space="preserve"> environment must</w:t>
      </w:r>
      <w:r w:rsidR="001975BE" w:rsidRPr="001975BE">
        <w:rPr>
          <w:rFonts w:eastAsia="Times New Roman" w:cs="Times New Roman"/>
          <w:kern w:val="28"/>
          <w:sz w:val="24"/>
          <w:szCs w:val="24"/>
        </w:rPr>
        <w:t xml:space="preserve"> also</w:t>
      </w:r>
      <w:r w:rsidR="005860F6" w:rsidRPr="001975BE">
        <w:rPr>
          <w:rFonts w:eastAsia="Times New Roman" w:cs="Times New Roman"/>
          <w:kern w:val="28"/>
          <w:sz w:val="24"/>
          <w:szCs w:val="24"/>
        </w:rPr>
        <w:t xml:space="preserve"> play a part, which means different drivers will be </w:t>
      </w:r>
      <w:r w:rsidR="001975BE" w:rsidRPr="001975BE">
        <w:rPr>
          <w:rFonts w:eastAsia="Times New Roman" w:cs="Times New Roman"/>
          <w:kern w:val="28"/>
          <w:sz w:val="24"/>
          <w:szCs w:val="24"/>
        </w:rPr>
        <w:t>more significant</w:t>
      </w:r>
      <w:r w:rsidR="005860F6" w:rsidRPr="001975BE">
        <w:rPr>
          <w:rFonts w:eastAsia="Times New Roman" w:cs="Times New Roman"/>
          <w:kern w:val="28"/>
          <w:sz w:val="24"/>
          <w:szCs w:val="24"/>
        </w:rPr>
        <w:t xml:space="preserve"> for different consumer cohorts.</w:t>
      </w:r>
    </w:p>
    <w:p w14:paraId="387513CE" w14:textId="7F25C014" w:rsidR="007E3D00" w:rsidRDefault="00BE5BD7" w:rsidP="00BD53A4">
      <w:pPr>
        <w:spacing w:after="120" w:line="480" w:lineRule="auto"/>
        <w:rPr>
          <w:rFonts w:eastAsia="Times New Roman" w:cs="Times New Roman"/>
          <w:kern w:val="28"/>
          <w:sz w:val="24"/>
          <w:szCs w:val="24"/>
        </w:rPr>
      </w:pPr>
      <w:r>
        <w:rPr>
          <w:rFonts w:eastAsia="Times New Roman" w:cs="Times New Roman"/>
          <w:kern w:val="28"/>
          <w:sz w:val="24"/>
          <w:szCs w:val="24"/>
        </w:rPr>
        <w:t xml:space="preserve">The literature review was </w:t>
      </w:r>
      <w:r w:rsidR="00334FE8">
        <w:rPr>
          <w:rFonts w:eastAsia="Times New Roman" w:cs="Times New Roman"/>
          <w:kern w:val="28"/>
          <w:sz w:val="24"/>
          <w:szCs w:val="24"/>
        </w:rPr>
        <w:t xml:space="preserve">then </w:t>
      </w:r>
      <w:r>
        <w:rPr>
          <w:rFonts w:eastAsia="Times New Roman" w:cs="Times New Roman"/>
          <w:kern w:val="28"/>
          <w:sz w:val="24"/>
          <w:szCs w:val="24"/>
        </w:rPr>
        <w:t xml:space="preserve">expanded to consider the areas of health decision making and social science models more generally </w:t>
      </w:r>
      <w:r w:rsidR="00444AD7">
        <w:rPr>
          <w:rFonts w:eastAsia="Times New Roman" w:cs="Times New Roman"/>
          <w:kern w:val="28"/>
          <w:sz w:val="24"/>
          <w:szCs w:val="24"/>
        </w:rPr>
        <w:t xml:space="preserve">as there were obvious synergies with the financial advice arena </w:t>
      </w:r>
      <w:r>
        <w:rPr>
          <w:rFonts w:eastAsia="Times New Roman" w:cs="Times New Roman"/>
          <w:kern w:val="28"/>
          <w:sz w:val="24"/>
          <w:szCs w:val="24"/>
        </w:rPr>
        <w:t xml:space="preserve">where consumer behaviour is </w:t>
      </w:r>
      <w:r w:rsidR="00444AD7">
        <w:rPr>
          <w:rFonts w:eastAsia="Times New Roman" w:cs="Times New Roman"/>
          <w:kern w:val="28"/>
          <w:sz w:val="24"/>
          <w:szCs w:val="24"/>
        </w:rPr>
        <w:t xml:space="preserve">also </w:t>
      </w:r>
      <w:r>
        <w:rPr>
          <w:rFonts w:eastAsia="Times New Roman" w:cs="Times New Roman"/>
          <w:kern w:val="28"/>
          <w:sz w:val="24"/>
          <w:szCs w:val="24"/>
        </w:rPr>
        <w:t xml:space="preserve">often considered as irrational. </w:t>
      </w:r>
    </w:p>
    <w:p w14:paraId="6F2F2C9D" w14:textId="690AAB32" w:rsidR="009369E3" w:rsidRDefault="00B8199F" w:rsidP="00EA3B97">
      <w:pPr>
        <w:spacing w:after="120" w:line="480" w:lineRule="auto"/>
        <w:rPr>
          <w:rFonts w:eastAsia="Times New Roman" w:cs="Times New Roman"/>
          <w:kern w:val="28"/>
          <w:sz w:val="24"/>
          <w:szCs w:val="24"/>
        </w:rPr>
      </w:pPr>
      <w:r w:rsidRPr="00334FE8">
        <w:rPr>
          <w:rFonts w:eastAsia="Times New Roman" w:cs="Times New Roman"/>
          <w:kern w:val="28"/>
          <w:sz w:val="24"/>
          <w:szCs w:val="24"/>
          <w:lang w:val="en-US"/>
        </w:rPr>
        <w:lastRenderedPageBreak/>
        <w:t xml:space="preserve">The Health Belief Model (HBM) was developed to explain the lack of participation in health screening and prevention programs (Rosenstock et al, 1988). It attempts to predict the behaviour of individuals by focusing on their attitudes and beliefs. The model identified a number of key variables that are considered to influence an individual’s behaviour. </w:t>
      </w:r>
      <w:r w:rsidR="00EA3B97" w:rsidRPr="00334FE8">
        <w:rPr>
          <w:rFonts w:eastAsia="Times New Roman" w:cs="Times New Roman"/>
          <w:kern w:val="28"/>
          <w:sz w:val="24"/>
          <w:szCs w:val="24"/>
          <w:lang w:val="en-US"/>
        </w:rPr>
        <w:t xml:space="preserve">This along with </w:t>
      </w:r>
      <w:r w:rsidR="005860F6">
        <w:rPr>
          <w:rFonts w:eastAsia="Times New Roman" w:cs="Times New Roman"/>
          <w:kern w:val="28"/>
          <w:sz w:val="24"/>
          <w:szCs w:val="24"/>
          <w:lang w:val="en-US"/>
        </w:rPr>
        <w:t xml:space="preserve">the contribution from marketing theory and </w:t>
      </w:r>
      <w:r w:rsidR="00EA3B97" w:rsidRPr="00334FE8">
        <w:rPr>
          <w:rFonts w:eastAsia="Times New Roman" w:cs="Times New Roman"/>
          <w:kern w:val="28"/>
          <w:sz w:val="24"/>
          <w:szCs w:val="24"/>
          <w:lang w:val="en-US"/>
        </w:rPr>
        <w:t>other models from social sciences</w:t>
      </w:r>
      <w:r w:rsidR="003337E3">
        <w:rPr>
          <w:rFonts w:eastAsia="Times New Roman" w:cs="Times New Roman"/>
          <w:kern w:val="28"/>
          <w:sz w:val="24"/>
          <w:szCs w:val="24"/>
          <w:lang w:val="en-US"/>
        </w:rPr>
        <w:t>, in particular benefits take-up,</w:t>
      </w:r>
      <w:r w:rsidR="00EA3B97" w:rsidRPr="00334FE8">
        <w:rPr>
          <w:rFonts w:ascii="Times New Roman" w:eastAsia="Times New Roman" w:hAnsi="Times New Roman" w:cs="Times New Roman"/>
          <w:kern w:val="28"/>
          <w:sz w:val="24"/>
          <w:szCs w:val="24"/>
          <w:lang w:val="en-US"/>
        </w:rPr>
        <w:t xml:space="preserve"> (</w:t>
      </w:r>
      <w:r w:rsidR="00EA3B97" w:rsidRPr="00334FE8">
        <w:rPr>
          <w:rFonts w:eastAsia="Times New Roman" w:cs="Times New Roman"/>
          <w:kern w:val="28"/>
          <w:sz w:val="24"/>
          <w:szCs w:val="24"/>
          <w:lang w:val="en-US"/>
        </w:rPr>
        <w:t>Luszczynska and Schwarzer, 2008; Conner and Norman, 2008;</w:t>
      </w:r>
      <w:r w:rsidR="00EA3B97" w:rsidRPr="00334FE8">
        <w:rPr>
          <w:rFonts w:eastAsia="Times New Roman" w:cs="Times New Roman"/>
          <w:kern w:val="28"/>
          <w:sz w:val="24"/>
          <w:szCs w:val="24"/>
        </w:rPr>
        <w:t xml:space="preserve"> Bandura, 1977</w:t>
      </w:r>
      <w:r w:rsidR="003337E3">
        <w:rPr>
          <w:rFonts w:eastAsia="Times New Roman" w:cs="Times New Roman"/>
          <w:kern w:val="28"/>
          <w:sz w:val="24"/>
          <w:szCs w:val="24"/>
        </w:rPr>
        <w:t>;</w:t>
      </w:r>
      <w:r w:rsidR="00AD6FD0" w:rsidRPr="00AD6FD0">
        <w:rPr>
          <w:sz w:val="24"/>
          <w:szCs w:val="24"/>
        </w:rPr>
        <w:t xml:space="preserve"> </w:t>
      </w:r>
      <w:r w:rsidR="00AD6FD0">
        <w:rPr>
          <w:sz w:val="24"/>
          <w:szCs w:val="24"/>
        </w:rPr>
        <w:t>Wim Van Oorschot, 1991</w:t>
      </w:r>
      <w:r w:rsidR="00EA3B97" w:rsidRPr="00334FE8">
        <w:rPr>
          <w:rFonts w:eastAsia="Times New Roman" w:cs="Times New Roman"/>
          <w:kern w:val="28"/>
          <w:sz w:val="24"/>
          <w:szCs w:val="24"/>
        </w:rPr>
        <w:t>)</w:t>
      </w:r>
      <w:r w:rsidR="00EA3B97" w:rsidRPr="00334FE8">
        <w:rPr>
          <w:rFonts w:eastAsia="Times New Roman" w:cs="Times New Roman"/>
          <w:kern w:val="28"/>
          <w:sz w:val="24"/>
          <w:szCs w:val="24"/>
          <w:lang w:val="en-US"/>
        </w:rPr>
        <w:t xml:space="preserve"> were </w:t>
      </w:r>
      <w:r w:rsidR="00EA3B97" w:rsidRPr="00334FE8">
        <w:rPr>
          <w:rFonts w:eastAsia="Times New Roman" w:cs="Times New Roman"/>
          <w:kern w:val="28"/>
          <w:sz w:val="24"/>
          <w:szCs w:val="24"/>
        </w:rPr>
        <w:t>adapted to model the particular issues relating to financial advice</w:t>
      </w:r>
      <w:r w:rsidR="009369E3" w:rsidRPr="00334FE8">
        <w:rPr>
          <w:rFonts w:eastAsia="Times New Roman" w:cs="Times New Roman"/>
          <w:kern w:val="28"/>
          <w:sz w:val="24"/>
          <w:szCs w:val="24"/>
        </w:rPr>
        <w:t xml:space="preserve">. </w:t>
      </w:r>
    </w:p>
    <w:p w14:paraId="286EAD86" w14:textId="3903C1D3" w:rsidR="009150CC" w:rsidRDefault="009150CC" w:rsidP="00EA3B97">
      <w:pPr>
        <w:spacing w:after="120" w:line="480" w:lineRule="auto"/>
        <w:rPr>
          <w:rFonts w:eastAsia="Times New Roman" w:cs="Times New Roman"/>
          <w:kern w:val="28"/>
          <w:sz w:val="24"/>
          <w:szCs w:val="24"/>
        </w:rPr>
      </w:pPr>
      <w:r w:rsidRPr="00026826">
        <w:rPr>
          <w:rFonts w:eastAsia="Times New Roman" w:cs="Times New Roman"/>
          <w:kern w:val="28"/>
          <w:sz w:val="24"/>
          <w:szCs w:val="24"/>
        </w:rPr>
        <w:t>The first two stages of the model are about the recognition of need for advice</w:t>
      </w:r>
      <w:r>
        <w:rPr>
          <w:rFonts w:eastAsia="Times New Roman" w:cs="Times New Roman"/>
          <w:kern w:val="28"/>
          <w:sz w:val="24"/>
          <w:szCs w:val="24"/>
        </w:rPr>
        <w:t xml:space="preserve"> (as shown in Table 1a)</w:t>
      </w:r>
      <w:r w:rsidRPr="00026826">
        <w:rPr>
          <w:rFonts w:eastAsia="Times New Roman" w:cs="Times New Roman"/>
          <w:kern w:val="28"/>
          <w:sz w:val="24"/>
          <w:szCs w:val="24"/>
        </w:rPr>
        <w:t xml:space="preserve">. Failure </w:t>
      </w:r>
      <w:r>
        <w:rPr>
          <w:rFonts w:eastAsia="Times New Roman" w:cs="Times New Roman"/>
          <w:kern w:val="28"/>
          <w:sz w:val="24"/>
          <w:szCs w:val="24"/>
        </w:rPr>
        <w:t>of</w:t>
      </w:r>
      <w:r w:rsidRPr="00026826">
        <w:rPr>
          <w:rFonts w:eastAsia="Times New Roman" w:cs="Times New Roman"/>
          <w:kern w:val="28"/>
          <w:sz w:val="24"/>
          <w:szCs w:val="24"/>
        </w:rPr>
        <w:t xml:space="preserve"> </w:t>
      </w:r>
      <w:r>
        <w:rPr>
          <w:rFonts w:eastAsia="Times New Roman" w:cs="Times New Roman"/>
          <w:kern w:val="28"/>
          <w:sz w:val="24"/>
          <w:szCs w:val="24"/>
        </w:rPr>
        <w:t>this ‘</w:t>
      </w:r>
      <w:r w:rsidRPr="00026826">
        <w:rPr>
          <w:rFonts w:eastAsia="Times New Roman" w:cs="Times New Roman"/>
          <w:kern w:val="28"/>
          <w:sz w:val="24"/>
          <w:szCs w:val="24"/>
        </w:rPr>
        <w:t>recognition of need</w:t>
      </w:r>
      <w:r>
        <w:rPr>
          <w:rFonts w:eastAsia="Times New Roman" w:cs="Times New Roman"/>
          <w:kern w:val="28"/>
          <w:sz w:val="24"/>
          <w:szCs w:val="24"/>
        </w:rPr>
        <w:t>’</w:t>
      </w:r>
      <w:r w:rsidRPr="00026826">
        <w:rPr>
          <w:rFonts w:eastAsia="Times New Roman" w:cs="Times New Roman"/>
          <w:kern w:val="28"/>
          <w:sz w:val="24"/>
          <w:szCs w:val="24"/>
        </w:rPr>
        <w:t xml:space="preserve"> to be triggered by either an internal or external source result in a barrier to advice.</w:t>
      </w:r>
    </w:p>
    <w:p w14:paraId="73E810CF" w14:textId="77777777" w:rsidR="00D439C0" w:rsidRDefault="00D439C0" w:rsidP="00D439C0">
      <w:pPr>
        <w:spacing w:after="120" w:line="480" w:lineRule="auto"/>
        <w:rPr>
          <w:rFonts w:eastAsia="Times New Roman" w:cs="Times New Roman"/>
          <w:b/>
          <w:bCs/>
          <w:kern w:val="28"/>
          <w:sz w:val="24"/>
          <w:szCs w:val="24"/>
        </w:rPr>
      </w:pPr>
      <w:r w:rsidRPr="002049CE">
        <w:rPr>
          <w:rFonts w:eastAsia="Times New Roman" w:cs="Times New Roman"/>
          <w:b/>
          <w:bCs/>
          <w:kern w:val="28"/>
          <w:sz w:val="24"/>
          <w:szCs w:val="24"/>
        </w:rPr>
        <w:t>Table 1</w:t>
      </w:r>
      <w:r>
        <w:rPr>
          <w:rFonts w:eastAsia="Times New Roman" w:cs="Times New Roman"/>
          <w:b/>
          <w:bCs/>
          <w:kern w:val="28"/>
          <w:sz w:val="24"/>
          <w:szCs w:val="24"/>
        </w:rPr>
        <w:t>a</w:t>
      </w:r>
      <w:r w:rsidRPr="002049CE">
        <w:rPr>
          <w:rFonts w:eastAsia="Times New Roman" w:cs="Times New Roman"/>
          <w:b/>
          <w:bCs/>
          <w:kern w:val="28"/>
          <w:sz w:val="24"/>
          <w:szCs w:val="24"/>
        </w:rPr>
        <w:t xml:space="preserve"> </w:t>
      </w:r>
      <w:r>
        <w:rPr>
          <w:rFonts w:eastAsia="Times New Roman" w:cs="Times New Roman"/>
          <w:b/>
          <w:bCs/>
          <w:kern w:val="28"/>
          <w:sz w:val="24"/>
          <w:szCs w:val="24"/>
        </w:rPr>
        <w:t>–</w:t>
      </w:r>
      <w:r w:rsidRPr="002049CE">
        <w:rPr>
          <w:rFonts w:eastAsia="Times New Roman" w:cs="Times New Roman"/>
          <w:b/>
          <w:bCs/>
          <w:kern w:val="28"/>
          <w:sz w:val="24"/>
          <w:szCs w:val="24"/>
        </w:rPr>
        <w:t xml:space="preserve"> </w:t>
      </w:r>
      <w:r>
        <w:rPr>
          <w:rFonts w:eastAsia="Times New Roman" w:cs="Times New Roman"/>
          <w:b/>
          <w:bCs/>
          <w:kern w:val="28"/>
          <w:sz w:val="24"/>
          <w:szCs w:val="24"/>
        </w:rPr>
        <w:t>Evolution of the Financial Advice Belief Model</w:t>
      </w:r>
    </w:p>
    <w:tbl>
      <w:tblPr>
        <w:tblStyle w:val="TableGrid"/>
        <w:tblW w:w="0" w:type="auto"/>
        <w:tblLook w:val="04A0" w:firstRow="1" w:lastRow="0" w:firstColumn="1" w:lastColumn="0" w:noHBand="0" w:noVBand="1"/>
      </w:tblPr>
      <w:tblGrid>
        <w:gridCol w:w="1980"/>
        <w:gridCol w:w="7036"/>
      </w:tblGrid>
      <w:tr w:rsidR="003A1471" w14:paraId="28AAF76C" w14:textId="77777777" w:rsidTr="00987543">
        <w:tc>
          <w:tcPr>
            <w:tcW w:w="1980" w:type="dxa"/>
          </w:tcPr>
          <w:p w14:paraId="2D097E2A" w14:textId="77777777" w:rsidR="003A1471" w:rsidRPr="009428E8" w:rsidRDefault="003A1471" w:rsidP="00987543">
            <w:pPr>
              <w:rPr>
                <w:rFonts w:eastAsia="Times New Roman" w:cs="Times New Roman"/>
                <w:b/>
                <w:bCs/>
                <w:kern w:val="28"/>
                <w:sz w:val="20"/>
                <w:szCs w:val="20"/>
              </w:rPr>
            </w:pPr>
            <w:r w:rsidRPr="009428E8">
              <w:rPr>
                <w:rFonts w:eastAsia="Times New Roman" w:cs="Times New Roman"/>
                <w:b/>
                <w:bCs/>
                <w:kern w:val="28"/>
                <w:sz w:val="20"/>
                <w:szCs w:val="20"/>
              </w:rPr>
              <w:t>Triggers</w:t>
            </w:r>
          </w:p>
        </w:tc>
        <w:tc>
          <w:tcPr>
            <w:tcW w:w="7036" w:type="dxa"/>
          </w:tcPr>
          <w:p w14:paraId="6039E3D4" w14:textId="77777777" w:rsidR="003A1471" w:rsidRDefault="003A1471" w:rsidP="003A1471">
            <w:pPr>
              <w:pStyle w:val="ListParagraph"/>
              <w:numPr>
                <w:ilvl w:val="0"/>
                <w:numId w:val="11"/>
              </w:numPr>
              <w:spacing w:after="200" w:line="276" w:lineRule="auto"/>
              <w:rPr>
                <w:rFonts w:eastAsia="Times New Roman" w:cs="Times New Roman"/>
                <w:kern w:val="28"/>
                <w:sz w:val="20"/>
                <w:szCs w:val="20"/>
              </w:rPr>
            </w:pPr>
            <w:r w:rsidRPr="00923866">
              <w:rPr>
                <w:rFonts w:eastAsia="Times New Roman" w:cs="Times New Roman"/>
                <w:kern w:val="28"/>
                <w:sz w:val="20"/>
                <w:szCs w:val="20"/>
              </w:rPr>
              <w:t xml:space="preserve">Needs recognition will be triggered by either an internal or external influence (Engel et al, 1995). </w:t>
            </w:r>
          </w:p>
          <w:p w14:paraId="27E61C4D" w14:textId="637129A5" w:rsidR="003A1471" w:rsidRDefault="003A1471" w:rsidP="003A1471">
            <w:pPr>
              <w:pStyle w:val="ListParagraph"/>
              <w:numPr>
                <w:ilvl w:val="0"/>
                <w:numId w:val="11"/>
              </w:numPr>
              <w:spacing w:after="200" w:line="276" w:lineRule="auto"/>
              <w:rPr>
                <w:rFonts w:eastAsia="Times New Roman" w:cs="Times New Roman"/>
                <w:kern w:val="28"/>
                <w:sz w:val="20"/>
                <w:szCs w:val="20"/>
              </w:rPr>
            </w:pPr>
            <w:r w:rsidRPr="00923866">
              <w:rPr>
                <w:rFonts w:eastAsia="Times New Roman" w:cs="Times New Roman"/>
                <w:kern w:val="28"/>
                <w:sz w:val="20"/>
                <w:szCs w:val="20"/>
              </w:rPr>
              <w:t>Internal triggers may be from existing knowledge which may include the perception that to take advice is the</w:t>
            </w:r>
            <w:r>
              <w:rPr>
                <w:rFonts w:eastAsia="Times New Roman" w:cs="Times New Roman"/>
                <w:kern w:val="28"/>
                <w:sz w:val="20"/>
                <w:szCs w:val="20"/>
              </w:rPr>
              <w:t xml:space="preserve"> [subjective] norm</w:t>
            </w:r>
            <w:r w:rsidR="00796C69">
              <w:rPr>
                <w:rFonts w:eastAsia="Times New Roman" w:cs="Times New Roman"/>
                <w:kern w:val="28"/>
                <w:sz w:val="20"/>
                <w:szCs w:val="20"/>
              </w:rPr>
              <w:t xml:space="preserve"> </w:t>
            </w:r>
            <w:r>
              <w:rPr>
                <w:rFonts w:eastAsia="Times New Roman" w:cs="Times New Roman"/>
                <w:kern w:val="28"/>
                <w:sz w:val="20"/>
                <w:szCs w:val="20"/>
              </w:rPr>
              <w:t>(</w:t>
            </w:r>
            <w:r w:rsidRPr="00923866">
              <w:rPr>
                <w:rFonts w:eastAsia="Times New Roman" w:cs="Times New Roman"/>
                <w:kern w:val="28"/>
                <w:sz w:val="20"/>
                <w:szCs w:val="20"/>
              </w:rPr>
              <w:t>Ajzen</w:t>
            </w:r>
            <w:r>
              <w:rPr>
                <w:rFonts w:eastAsia="Times New Roman" w:cs="Times New Roman"/>
                <w:kern w:val="28"/>
                <w:sz w:val="20"/>
                <w:szCs w:val="20"/>
              </w:rPr>
              <w:t xml:space="preserve">, </w:t>
            </w:r>
            <w:r w:rsidRPr="00923866">
              <w:rPr>
                <w:rFonts w:eastAsia="Times New Roman" w:cs="Times New Roman"/>
                <w:kern w:val="28"/>
                <w:sz w:val="20"/>
                <w:szCs w:val="20"/>
              </w:rPr>
              <w:t xml:space="preserve">1985). </w:t>
            </w:r>
          </w:p>
          <w:p w14:paraId="41D8791C" w14:textId="77777777" w:rsidR="003A1471" w:rsidRPr="00923866" w:rsidRDefault="003A1471" w:rsidP="003A1471">
            <w:pPr>
              <w:pStyle w:val="ListParagraph"/>
              <w:numPr>
                <w:ilvl w:val="0"/>
                <w:numId w:val="11"/>
              </w:numPr>
              <w:spacing w:after="200" w:line="276" w:lineRule="auto"/>
              <w:rPr>
                <w:rFonts w:eastAsia="Times New Roman" w:cs="Times New Roman"/>
                <w:kern w:val="28"/>
                <w:sz w:val="20"/>
                <w:szCs w:val="20"/>
              </w:rPr>
            </w:pPr>
            <w:r w:rsidRPr="00923866">
              <w:rPr>
                <w:rFonts w:eastAsia="Times New Roman" w:cs="Times New Roman"/>
                <w:kern w:val="28"/>
                <w:sz w:val="20"/>
                <w:szCs w:val="20"/>
              </w:rPr>
              <w:t>Ex</w:t>
            </w:r>
            <w:r>
              <w:rPr>
                <w:rFonts w:eastAsia="Times New Roman" w:cs="Times New Roman"/>
                <w:kern w:val="28"/>
                <w:sz w:val="20"/>
                <w:szCs w:val="20"/>
              </w:rPr>
              <w:t>ternal triggers -</w:t>
            </w:r>
            <w:r w:rsidRPr="00923866">
              <w:rPr>
                <w:rFonts w:eastAsia="Times New Roman" w:cs="Times New Roman"/>
                <w:kern w:val="28"/>
                <w:sz w:val="20"/>
                <w:szCs w:val="20"/>
              </w:rPr>
              <w:t xml:space="preserve"> financial health-check, advice from family/friends or knowledge o</w:t>
            </w:r>
            <w:r>
              <w:rPr>
                <w:rFonts w:eastAsia="Times New Roman" w:cs="Times New Roman"/>
                <w:kern w:val="28"/>
                <w:sz w:val="20"/>
                <w:szCs w:val="20"/>
              </w:rPr>
              <w:t>f others’ negative experiences (Palmer, 2001; FSA, 2005)</w:t>
            </w:r>
          </w:p>
        </w:tc>
      </w:tr>
      <w:tr w:rsidR="003A1471" w14:paraId="75877DC4" w14:textId="77777777" w:rsidTr="00987543">
        <w:tc>
          <w:tcPr>
            <w:tcW w:w="1980" w:type="dxa"/>
          </w:tcPr>
          <w:p w14:paraId="41E2B251" w14:textId="77777777" w:rsidR="003A1471" w:rsidRPr="009428E8" w:rsidRDefault="003A1471" w:rsidP="00987543">
            <w:pPr>
              <w:rPr>
                <w:rFonts w:eastAsia="Times New Roman" w:cs="Times New Roman"/>
                <w:b/>
                <w:bCs/>
                <w:kern w:val="28"/>
                <w:sz w:val="20"/>
                <w:szCs w:val="20"/>
              </w:rPr>
            </w:pPr>
            <w:r w:rsidRPr="009428E8">
              <w:rPr>
                <w:rFonts w:eastAsia="Times New Roman" w:cs="Times New Roman"/>
                <w:b/>
                <w:bCs/>
                <w:kern w:val="28"/>
                <w:sz w:val="20"/>
                <w:szCs w:val="20"/>
              </w:rPr>
              <w:t>Goals &amp; Threats</w:t>
            </w:r>
          </w:p>
        </w:tc>
        <w:tc>
          <w:tcPr>
            <w:tcW w:w="7036" w:type="dxa"/>
          </w:tcPr>
          <w:p w14:paraId="30DF9D3A" w14:textId="77777777" w:rsidR="003A1471" w:rsidRDefault="003A1471" w:rsidP="003A1471">
            <w:pPr>
              <w:pStyle w:val="ListParagraph"/>
              <w:numPr>
                <w:ilvl w:val="0"/>
                <w:numId w:val="12"/>
              </w:numPr>
              <w:spacing w:after="200" w:line="276" w:lineRule="auto"/>
              <w:rPr>
                <w:rFonts w:eastAsia="Times New Roman" w:cs="Times New Roman"/>
                <w:kern w:val="28"/>
                <w:sz w:val="20"/>
                <w:szCs w:val="20"/>
              </w:rPr>
            </w:pPr>
            <w:r w:rsidRPr="00923866">
              <w:rPr>
                <w:rFonts w:eastAsia="Times New Roman" w:cs="Times New Roman"/>
                <w:kern w:val="28"/>
                <w:sz w:val="20"/>
                <w:szCs w:val="20"/>
              </w:rPr>
              <w:t>Literature from both the FSA, FCA and various professional bodies identify the reasons consumers may utilise financial advice</w:t>
            </w:r>
          </w:p>
          <w:p w14:paraId="0D9F7EB5" w14:textId="77777777" w:rsidR="003A1471" w:rsidRDefault="003A1471" w:rsidP="003A1471">
            <w:pPr>
              <w:pStyle w:val="ListParagraph"/>
              <w:numPr>
                <w:ilvl w:val="0"/>
                <w:numId w:val="12"/>
              </w:numPr>
              <w:spacing w:after="200" w:line="276" w:lineRule="auto"/>
              <w:rPr>
                <w:rFonts w:eastAsia="Times New Roman" w:cs="Times New Roman"/>
                <w:kern w:val="28"/>
                <w:sz w:val="20"/>
                <w:szCs w:val="20"/>
              </w:rPr>
            </w:pPr>
            <w:r>
              <w:rPr>
                <w:rFonts w:eastAsia="Times New Roman" w:cs="Times New Roman"/>
                <w:kern w:val="28"/>
                <w:sz w:val="20"/>
                <w:szCs w:val="20"/>
              </w:rPr>
              <w:t xml:space="preserve"> Goals could be - </w:t>
            </w:r>
            <w:r w:rsidRPr="00923866">
              <w:rPr>
                <w:rFonts w:eastAsia="Times New Roman" w:cs="Times New Roman"/>
                <w:kern w:val="28"/>
                <w:sz w:val="20"/>
                <w:szCs w:val="20"/>
              </w:rPr>
              <w:t xml:space="preserve"> mortgage to</w:t>
            </w:r>
            <w:r>
              <w:rPr>
                <w:rFonts w:eastAsia="Times New Roman" w:cs="Times New Roman"/>
                <w:kern w:val="28"/>
                <w:sz w:val="20"/>
                <w:szCs w:val="20"/>
              </w:rPr>
              <w:t xml:space="preserve"> help with their house purchase, savings for emergencies or a future event</w:t>
            </w:r>
          </w:p>
          <w:p w14:paraId="3ACCA7EB" w14:textId="2A57C485" w:rsidR="003A1471" w:rsidRDefault="003A1471" w:rsidP="003A1471">
            <w:pPr>
              <w:pStyle w:val="ListParagraph"/>
              <w:numPr>
                <w:ilvl w:val="0"/>
                <w:numId w:val="12"/>
              </w:numPr>
              <w:spacing w:after="200" w:line="276" w:lineRule="auto"/>
              <w:rPr>
                <w:rFonts w:eastAsia="Times New Roman" w:cs="Times New Roman"/>
                <w:kern w:val="28"/>
                <w:sz w:val="20"/>
                <w:szCs w:val="20"/>
              </w:rPr>
            </w:pPr>
            <w:r>
              <w:rPr>
                <w:rFonts w:eastAsia="Times New Roman" w:cs="Times New Roman"/>
                <w:kern w:val="28"/>
                <w:sz w:val="20"/>
                <w:szCs w:val="20"/>
              </w:rPr>
              <w:t>Th</w:t>
            </w:r>
            <w:r w:rsidRPr="00923866">
              <w:rPr>
                <w:rFonts w:eastAsia="Times New Roman" w:cs="Times New Roman"/>
                <w:kern w:val="28"/>
                <w:sz w:val="20"/>
                <w:szCs w:val="20"/>
              </w:rPr>
              <w:t xml:space="preserve">reat </w:t>
            </w:r>
            <w:r w:rsidR="00F9676C">
              <w:rPr>
                <w:rFonts w:eastAsia="Times New Roman" w:cs="Times New Roman"/>
                <w:kern w:val="28"/>
                <w:sz w:val="20"/>
                <w:szCs w:val="20"/>
              </w:rPr>
              <w:t xml:space="preserve">may be </w:t>
            </w:r>
            <w:r>
              <w:rPr>
                <w:rFonts w:eastAsia="Times New Roman" w:cs="Times New Roman"/>
                <w:kern w:val="28"/>
                <w:sz w:val="20"/>
                <w:szCs w:val="20"/>
              </w:rPr>
              <w:t xml:space="preserve">fear </w:t>
            </w:r>
            <w:r w:rsidR="00F9676C">
              <w:rPr>
                <w:rFonts w:eastAsia="Times New Roman" w:cs="Times New Roman"/>
                <w:kern w:val="28"/>
                <w:sz w:val="20"/>
                <w:szCs w:val="20"/>
              </w:rPr>
              <w:t xml:space="preserve">- </w:t>
            </w:r>
            <w:r>
              <w:rPr>
                <w:rFonts w:eastAsia="Times New Roman" w:cs="Times New Roman"/>
                <w:kern w:val="28"/>
                <w:sz w:val="20"/>
                <w:szCs w:val="20"/>
              </w:rPr>
              <w:t>being poor in retirement or family security</w:t>
            </w:r>
          </w:p>
          <w:p w14:paraId="5852A4C2" w14:textId="4EBC421C" w:rsidR="003A1471" w:rsidRPr="00923866" w:rsidRDefault="003A1471" w:rsidP="003A1471">
            <w:pPr>
              <w:pStyle w:val="ListParagraph"/>
              <w:numPr>
                <w:ilvl w:val="0"/>
                <w:numId w:val="12"/>
              </w:numPr>
              <w:spacing w:after="200" w:line="276" w:lineRule="auto"/>
              <w:rPr>
                <w:rFonts w:eastAsia="Times New Roman" w:cs="Times New Roman"/>
                <w:kern w:val="28"/>
                <w:sz w:val="20"/>
                <w:szCs w:val="20"/>
              </w:rPr>
            </w:pPr>
            <w:r>
              <w:rPr>
                <w:rFonts w:eastAsia="Times New Roman" w:cs="Times New Roman"/>
                <w:kern w:val="28"/>
                <w:sz w:val="20"/>
                <w:szCs w:val="20"/>
              </w:rPr>
              <w:t xml:space="preserve">This section draws on ideas from </w:t>
            </w:r>
            <w:r w:rsidRPr="00923866">
              <w:rPr>
                <w:rFonts w:eastAsia="Times New Roman" w:cs="Times New Roman"/>
                <w:kern w:val="28"/>
                <w:sz w:val="20"/>
                <w:szCs w:val="20"/>
              </w:rPr>
              <w:t xml:space="preserve">the Health Belief Model </w:t>
            </w:r>
            <w:r>
              <w:rPr>
                <w:rFonts w:eastAsia="Times New Roman" w:cs="Times New Roman"/>
                <w:kern w:val="28"/>
                <w:sz w:val="20"/>
                <w:szCs w:val="20"/>
              </w:rPr>
              <w:t xml:space="preserve">(Rosenstock et al, </w:t>
            </w:r>
            <w:r w:rsidRPr="00923866">
              <w:rPr>
                <w:rFonts w:eastAsia="Times New Roman" w:cs="Times New Roman"/>
                <w:kern w:val="28"/>
                <w:sz w:val="20"/>
                <w:szCs w:val="20"/>
              </w:rPr>
              <w:t>1988</w:t>
            </w:r>
            <w:r w:rsidR="00D274AC">
              <w:rPr>
                <w:rFonts w:eastAsia="Times New Roman" w:cs="Times New Roman"/>
                <w:kern w:val="28"/>
                <w:sz w:val="20"/>
                <w:szCs w:val="20"/>
              </w:rPr>
              <w:t>)</w:t>
            </w:r>
          </w:p>
        </w:tc>
      </w:tr>
    </w:tbl>
    <w:p w14:paraId="4C8F35A3" w14:textId="77777777" w:rsidR="003A1471" w:rsidRPr="002049CE" w:rsidRDefault="003A1471" w:rsidP="00D439C0">
      <w:pPr>
        <w:spacing w:after="120" w:line="480" w:lineRule="auto"/>
        <w:rPr>
          <w:rFonts w:eastAsia="Times New Roman" w:cs="Times New Roman"/>
          <w:b/>
          <w:bCs/>
          <w:kern w:val="28"/>
          <w:sz w:val="24"/>
          <w:szCs w:val="24"/>
        </w:rPr>
      </w:pPr>
    </w:p>
    <w:p w14:paraId="602F94D1" w14:textId="465F9390" w:rsidR="009150CC" w:rsidRDefault="001870CA" w:rsidP="00EC1F72">
      <w:pPr>
        <w:spacing w:after="120" w:line="480" w:lineRule="auto"/>
        <w:rPr>
          <w:rFonts w:eastAsia="Times New Roman" w:cs="Times New Roman"/>
          <w:kern w:val="28"/>
          <w:sz w:val="24"/>
          <w:szCs w:val="24"/>
        </w:rPr>
      </w:pPr>
      <w:r>
        <w:rPr>
          <w:rFonts w:eastAsia="Times New Roman" w:cs="Times New Roman"/>
          <w:kern w:val="28"/>
          <w:sz w:val="24"/>
          <w:szCs w:val="24"/>
        </w:rPr>
        <w:t>As discussed earlier, s</w:t>
      </w:r>
      <w:r w:rsidR="00026826" w:rsidRPr="00026826">
        <w:rPr>
          <w:rFonts w:eastAsia="Times New Roman" w:cs="Times New Roman"/>
          <w:kern w:val="28"/>
          <w:sz w:val="24"/>
          <w:szCs w:val="24"/>
        </w:rPr>
        <w:t xml:space="preserve">uccessive regulators have tried to overcome these barriers by </w:t>
      </w:r>
      <w:r w:rsidR="00BA5C99">
        <w:rPr>
          <w:rFonts w:eastAsia="Times New Roman" w:cs="Times New Roman"/>
          <w:kern w:val="28"/>
          <w:sz w:val="24"/>
          <w:szCs w:val="24"/>
        </w:rPr>
        <w:t xml:space="preserve">providing potential </w:t>
      </w:r>
      <w:r w:rsidR="009150CC">
        <w:rPr>
          <w:rFonts w:eastAsia="Times New Roman" w:cs="Times New Roman"/>
          <w:kern w:val="28"/>
          <w:sz w:val="24"/>
          <w:szCs w:val="24"/>
        </w:rPr>
        <w:t xml:space="preserve">triggers through </w:t>
      </w:r>
      <w:r w:rsidR="00026826" w:rsidRPr="00026826">
        <w:rPr>
          <w:rFonts w:eastAsia="Times New Roman" w:cs="Times New Roman"/>
          <w:kern w:val="28"/>
          <w:sz w:val="24"/>
          <w:szCs w:val="24"/>
        </w:rPr>
        <w:t>improving levels of financial capability, introducing a financial health-check and a variety of publicity campaigns</w:t>
      </w:r>
      <w:r w:rsidR="003A1471">
        <w:rPr>
          <w:rFonts w:eastAsia="Times New Roman" w:cs="Times New Roman"/>
          <w:kern w:val="28"/>
          <w:sz w:val="24"/>
          <w:szCs w:val="24"/>
        </w:rPr>
        <w:t xml:space="preserve"> to raise awareness of potential </w:t>
      </w:r>
      <w:r w:rsidR="003A1471">
        <w:rPr>
          <w:rFonts w:eastAsia="Times New Roman" w:cs="Times New Roman"/>
          <w:kern w:val="28"/>
          <w:sz w:val="24"/>
          <w:szCs w:val="24"/>
        </w:rPr>
        <w:lastRenderedPageBreak/>
        <w:t>risks</w:t>
      </w:r>
      <w:r w:rsidR="00796C69">
        <w:rPr>
          <w:rFonts w:eastAsia="Times New Roman" w:cs="Times New Roman"/>
          <w:kern w:val="28"/>
          <w:sz w:val="24"/>
          <w:szCs w:val="24"/>
        </w:rPr>
        <w:t>. G</w:t>
      </w:r>
      <w:r w:rsidR="00026826" w:rsidRPr="00026826">
        <w:rPr>
          <w:rFonts w:eastAsia="Times New Roman" w:cs="Times New Roman"/>
          <w:kern w:val="28"/>
          <w:sz w:val="24"/>
          <w:szCs w:val="24"/>
        </w:rPr>
        <w:t>eneric advice services such as the Money Advice Service and Pensionwise have been introduced to try and overcome these barriers.</w:t>
      </w:r>
      <w:r w:rsidR="009150CC">
        <w:rPr>
          <w:rFonts w:eastAsia="Times New Roman" w:cs="Times New Roman"/>
          <w:kern w:val="28"/>
          <w:sz w:val="24"/>
          <w:szCs w:val="24"/>
        </w:rPr>
        <w:t xml:space="preserve"> </w:t>
      </w:r>
    </w:p>
    <w:p w14:paraId="23DE3700" w14:textId="112E2FF5" w:rsidR="00EC1F72" w:rsidRDefault="00026826" w:rsidP="00EC1F72">
      <w:pPr>
        <w:spacing w:after="120" w:line="480" w:lineRule="auto"/>
        <w:rPr>
          <w:rFonts w:eastAsia="Times New Roman" w:cs="Times New Roman"/>
          <w:kern w:val="28"/>
          <w:sz w:val="24"/>
          <w:szCs w:val="24"/>
        </w:rPr>
      </w:pPr>
      <w:r w:rsidRPr="00026826">
        <w:rPr>
          <w:rFonts w:eastAsia="Times New Roman" w:cs="Times New Roman"/>
          <w:kern w:val="28"/>
          <w:sz w:val="24"/>
          <w:szCs w:val="24"/>
        </w:rPr>
        <w:t>However, there are still other barriers within the consumers journey that can prevent them progressing</w:t>
      </w:r>
      <w:r w:rsidR="00796C69">
        <w:rPr>
          <w:rFonts w:eastAsia="Times New Roman" w:cs="Times New Roman"/>
          <w:kern w:val="28"/>
          <w:sz w:val="24"/>
          <w:szCs w:val="24"/>
        </w:rPr>
        <w:t xml:space="preserve"> along their advice journey</w:t>
      </w:r>
      <w:r w:rsidRPr="00026826">
        <w:rPr>
          <w:rFonts w:eastAsia="Times New Roman" w:cs="Times New Roman"/>
          <w:kern w:val="28"/>
          <w:sz w:val="24"/>
          <w:szCs w:val="24"/>
        </w:rPr>
        <w:t>. T</w:t>
      </w:r>
      <w:r w:rsidR="009150CC">
        <w:rPr>
          <w:rFonts w:eastAsia="Times New Roman" w:cs="Times New Roman"/>
          <w:kern w:val="28"/>
          <w:sz w:val="24"/>
          <w:szCs w:val="24"/>
        </w:rPr>
        <w:t>able 1b highlights these, which</w:t>
      </w:r>
      <w:r w:rsidRPr="00026826">
        <w:rPr>
          <w:rFonts w:eastAsia="Times New Roman" w:cs="Times New Roman"/>
          <w:kern w:val="28"/>
          <w:sz w:val="24"/>
          <w:szCs w:val="24"/>
        </w:rPr>
        <w:t xml:space="preserve"> include the structure of the regulatory advice regime and consumers</w:t>
      </w:r>
      <w:r w:rsidR="00BA5C99">
        <w:rPr>
          <w:rFonts w:eastAsia="Times New Roman" w:cs="Times New Roman"/>
          <w:kern w:val="28"/>
          <w:sz w:val="24"/>
          <w:szCs w:val="24"/>
        </w:rPr>
        <w:t>’</w:t>
      </w:r>
      <w:r w:rsidRPr="00026826">
        <w:rPr>
          <w:rFonts w:eastAsia="Times New Roman" w:cs="Times New Roman"/>
          <w:kern w:val="28"/>
          <w:sz w:val="24"/>
          <w:szCs w:val="24"/>
        </w:rPr>
        <w:t xml:space="preserve"> perceptions and beliefs about the </w:t>
      </w:r>
      <w:r w:rsidR="00EC1F72" w:rsidRPr="00026826">
        <w:rPr>
          <w:rFonts w:eastAsia="Times New Roman" w:cs="Times New Roman"/>
          <w:kern w:val="28"/>
          <w:sz w:val="24"/>
          <w:szCs w:val="24"/>
        </w:rPr>
        <w:t>service proposition and the industry more generally.</w:t>
      </w:r>
    </w:p>
    <w:p w14:paraId="7BB26774" w14:textId="22A2DF30" w:rsidR="00EC1F72" w:rsidRPr="00EC1F72" w:rsidRDefault="00EC1F72" w:rsidP="00EC1F72">
      <w:pPr>
        <w:spacing w:after="120" w:line="480" w:lineRule="auto"/>
        <w:rPr>
          <w:rFonts w:eastAsia="Times New Roman" w:cs="Times New Roman"/>
          <w:b/>
          <w:bCs/>
          <w:kern w:val="28"/>
          <w:sz w:val="24"/>
          <w:szCs w:val="24"/>
        </w:rPr>
      </w:pPr>
      <w:r w:rsidRPr="002049CE">
        <w:rPr>
          <w:rFonts w:eastAsia="Times New Roman" w:cs="Times New Roman"/>
          <w:b/>
          <w:bCs/>
          <w:kern w:val="28"/>
          <w:sz w:val="24"/>
          <w:szCs w:val="24"/>
        </w:rPr>
        <w:t>Table 1</w:t>
      </w:r>
      <w:r>
        <w:rPr>
          <w:rFonts w:eastAsia="Times New Roman" w:cs="Times New Roman"/>
          <w:b/>
          <w:bCs/>
          <w:kern w:val="28"/>
          <w:sz w:val="24"/>
          <w:szCs w:val="24"/>
        </w:rPr>
        <w:t>b</w:t>
      </w:r>
      <w:r w:rsidRPr="002049CE">
        <w:rPr>
          <w:rFonts w:eastAsia="Times New Roman" w:cs="Times New Roman"/>
          <w:b/>
          <w:bCs/>
          <w:kern w:val="28"/>
          <w:sz w:val="24"/>
          <w:szCs w:val="24"/>
        </w:rPr>
        <w:t xml:space="preserve"> </w:t>
      </w:r>
      <w:r>
        <w:rPr>
          <w:rFonts w:eastAsia="Times New Roman" w:cs="Times New Roman"/>
          <w:b/>
          <w:bCs/>
          <w:kern w:val="28"/>
          <w:sz w:val="24"/>
          <w:szCs w:val="24"/>
        </w:rPr>
        <w:t>–</w:t>
      </w:r>
      <w:r w:rsidRPr="002049CE">
        <w:rPr>
          <w:rFonts w:eastAsia="Times New Roman" w:cs="Times New Roman"/>
          <w:b/>
          <w:bCs/>
          <w:kern w:val="28"/>
          <w:sz w:val="24"/>
          <w:szCs w:val="24"/>
        </w:rPr>
        <w:t xml:space="preserve"> </w:t>
      </w:r>
      <w:r>
        <w:rPr>
          <w:rFonts w:eastAsia="Times New Roman" w:cs="Times New Roman"/>
          <w:b/>
          <w:bCs/>
          <w:kern w:val="28"/>
          <w:sz w:val="24"/>
          <w:szCs w:val="24"/>
        </w:rPr>
        <w:t>Evolution of the Financial Advice Belief Model</w:t>
      </w:r>
    </w:p>
    <w:tbl>
      <w:tblPr>
        <w:tblStyle w:val="TableGrid"/>
        <w:tblW w:w="0" w:type="auto"/>
        <w:tblLook w:val="04A0" w:firstRow="1" w:lastRow="0" w:firstColumn="1" w:lastColumn="0" w:noHBand="0" w:noVBand="1"/>
      </w:tblPr>
      <w:tblGrid>
        <w:gridCol w:w="1980"/>
        <w:gridCol w:w="7036"/>
      </w:tblGrid>
      <w:tr w:rsidR="00EC1F72" w14:paraId="3E36635F" w14:textId="77777777" w:rsidTr="00987543">
        <w:tc>
          <w:tcPr>
            <w:tcW w:w="1980" w:type="dxa"/>
          </w:tcPr>
          <w:p w14:paraId="1EF0D36B" w14:textId="77777777" w:rsidR="00EC1F72" w:rsidRPr="009428E8" w:rsidRDefault="00EC1F72" w:rsidP="00987543">
            <w:pPr>
              <w:rPr>
                <w:rFonts w:eastAsia="Times New Roman" w:cs="Times New Roman"/>
                <w:b/>
                <w:bCs/>
                <w:kern w:val="28"/>
                <w:sz w:val="20"/>
                <w:szCs w:val="20"/>
              </w:rPr>
            </w:pPr>
            <w:r w:rsidRPr="009428E8">
              <w:rPr>
                <w:rFonts w:eastAsia="Times New Roman" w:cs="Times New Roman"/>
                <w:b/>
                <w:bCs/>
                <w:kern w:val="28"/>
                <w:sz w:val="20"/>
                <w:szCs w:val="20"/>
              </w:rPr>
              <w:t>Consumer Intention Influencers</w:t>
            </w:r>
          </w:p>
        </w:tc>
        <w:tc>
          <w:tcPr>
            <w:tcW w:w="7036" w:type="dxa"/>
          </w:tcPr>
          <w:p w14:paraId="17EB703D" w14:textId="77777777" w:rsidR="00EC1F72" w:rsidRDefault="00EC1F72" w:rsidP="00987543">
            <w:pPr>
              <w:rPr>
                <w:rFonts w:eastAsia="Times New Roman" w:cs="Times New Roman"/>
                <w:kern w:val="28"/>
                <w:sz w:val="20"/>
                <w:szCs w:val="20"/>
              </w:rPr>
            </w:pPr>
            <w:r>
              <w:rPr>
                <w:rFonts w:eastAsia="Times New Roman" w:cs="Times New Roman"/>
                <w:kern w:val="28"/>
                <w:sz w:val="20"/>
                <w:szCs w:val="20"/>
              </w:rPr>
              <w:t>These factors may promote or inhibit the consumers’ journey once the need has been recognised.</w:t>
            </w:r>
          </w:p>
          <w:p w14:paraId="3E3D88C3" w14:textId="77777777" w:rsidR="00EC1F72" w:rsidRPr="00A01528" w:rsidRDefault="00EC1F72" w:rsidP="00EC1F72">
            <w:pPr>
              <w:pStyle w:val="ListParagraph"/>
              <w:numPr>
                <w:ilvl w:val="0"/>
                <w:numId w:val="13"/>
              </w:numPr>
              <w:spacing w:after="200" w:line="276" w:lineRule="auto"/>
              <w:rPr>
                <w:rFonts w:eastAsia="Times New Roman" w:cs="Times New Roman"/>
                <w:kern w:val="28"/>
                <w:sz w:val="20"/>
                <w:szCs w:val="20"/>
                <w:u w:val="single"/>
              </w:rPr>
            </w:pPr>
            <w:r>
              <w:rPr>
                <w:rFonts w:eastAsia="Times New Roman" w:cs="Times New Roman"/>
                <w:kern w:val="28"/>
                <w:sz w:val="20"/>
                <w:szCs w:val="20"/>
              </w:rPr>
              <w:t>Concern c</w:t>
            </w:r>
            <w:r w:rsidRPr="00A01528">
              <w:rPr>
                <w:rFonts w:eastAsia="Times New Roman" w:cs="Times New Roman"/>
                <w:kern w:val="28"/>
                <w:sz w:val="20"/>
                <w:szCs w:val="20"/>
              </w:rPr>
              <w:t xml:space="preserve">onsumers underlying beliefs about advice services and the value of the outcomes that are the resulting solutions of advice. </w:t>
            </w:r>
          </w:p>
          <w:p w14:paraId="59B467F2" w14:textId="77777777" w:rsidR="00EC1F72" w:rsidRPr="00D20E53" w:rsidRDefault="00EC1F72" w:rsidP="00EC1F72">
            <w:pPr>
              <w:pStyle w:val="ListParagraph"/>
              <w:numPr>
                <w:ilvl w:val="0"/>
                <w:numId w:val="13"/>
              </w:numPr>
              <w:spacing w:after="200" w:line="276" w:lineRule="auto"/>
              <w:rPr>
                <w:rFonts w:eastAsia="Times New Roman" w:cs="Times New Roman"/>
                <w:kern w:val="28"/>
                <w:sz w:val="20"/>
                <w:szCs w:val="20"/>
                <w:u w:val="single"/>
              </w:rPr>
            </w:pPr>
            <w:r>
              <w:rPr>
                <w:rFonts w:eastAsia="Times New Roman" w:cs="Times New Roman"/>
                <w:kern w:val="28"/>
                <w:sz w:val="20"/>
                <w:szCs w:val="20"/>
              </w:rPr>
              <w:t>Low levels of t</w:t>
            </w:r>
            <w:r w:rsidRPr="00A01528">
              <w:rPr>
                <w:rFonts w:eastAsia="Times New Roman" w:cs="Times New Roman"/>
                <w:kern w:val="28"/>
                <w:sz w:val="20"/>
                <w:szCs w:val="20"/>
              </w:rPr>
              <w:t xml:space="preserve">rust in financial advice and financial services </w:t>
            </w:r>
            <w:r>
              <w:rPr>
                <w:rFonts w:eastAsia="Times New Roman" w:cs="Times New Roman"/>
                <w:kern w:val="28"/>
                <w:sz w:val="20"/>
                <w:szCs w:val="20"/>
              </w:rPr>
              <w:t>acts as a barrier.</w:t>
            </w:r>
          </w:p>
          <w:p w14:paraId="79049736" w14:textId="77777777" w:rsidR="00EC1F72" w:rsidRPr="00A01528" w:rsidRDefault="00EC1F72" w:rsidP="00EC1F72">
            <w:pPr>
              <w:pStyle w:val="ListParagraph"/>
              <w:numPr>
                <w:ilvl w:val="0"/>
                <w:numId w:val="13"/>
              </w:numPr>
              <w:spacing w:after="200" w:line="276" w:lineRule="auto"/>
              <w:rPr>
                <w:rFonts w:eastAsia="Times New Roman" w:cs="Times New Roman"/>
                <w:kern w:val="28"/>
                <w:sz w:val="20"/>
                <w:szCs w:val="20"/>
                <w:u w:val="single"/>
              </w:rPr>
            </w:pPr>
            <w:r>
              <w:rPr>
                <w:rFonts w:eastAsia="Times New Roman" w:cs="Times New Roman"/>
                <w:kern w:val="28"/>
                <w:sz w:val="20"/>
                <w:szCs w:val="20"/>
              </w:rPr>
              <w:t>Significance of the messenger (Dolan et al, 2010)</w:t>
            </w:r>
            <w:r w:rsidRPr="00A01528">
              <w:rPr>
                <w:rFonts w:eastAsia="Times New Roman" w:cs="Times New Roman"/>
                <w:kern w:val="28"/>
                <w:sz w:val="20"/>
                <w:szCs w:val="20"/>
              </w:rPr>
              <w:t>. CFEB (2010) suggest that lower socio-economic groups more comfortable with someone ‘like them’.</w:t>
            </w:r>
          </w:p>
          <w:p w14:paraId="4029ECD3" w14:textId="77777777" w:rsidR="00EC1F72" w:rsidRPr="00D20E53" w:rsidRDefault="00EC1F72" w:rsidP="00EC1F72">
            <w:pPr>
              <w:pStyle w:val="ListParagraph"/>
              <w:numPr>
                <w:ilvl w:val="0"/>
                <w:numId w:val="13"/>
              </w:numPr>
              <w:spacing w:after="200" w:line="276" w:lineRule="auto"/>
              <w:rPr>
                <w:rFonts w:eastAsia="Times New Roman" w:cs="Times New Roman"/>
                <w:kern w:val="28"/>
                <w:sz w:val="20"/>
                <w:szCs w:val="20"/>
                <w:u w:val="single"/>
              </w:rPr>
            </w:pPr>
            <w:r w:rsidRPr="00A01528">
              <w:rPr>
                <w:rFonts w:eastAsia="Times New Roman" w:cs="Times New Roman"/>
                <w:kern w:val="28"/>
                <w:sz w:val="20"/>
                <w:szCs w:val="20"/>
              </w:rPr>
              <w:t>Rogers (1975) Protection Motivation Theory includes the co</w:t>
            </w:r>
            <w:r>
              <w:rPr>
                <w:rFonts w:eastAsia="Times New Roman" w:cs="Times New Roman"/>
                <w:kern w:val="28"/>
                <w:sz w:val="20"/>
                <w:szCs w:val="20"/>
              </w:rPr>
              <w:t>ncept of ‘</w:t>
            </w:r>
            <w:r w:rsidRPr="00A01528">
              <w:rPr>
                <w:rFonts w:eastAsia="Times New Roman" w:cs="Times New Roman"/>
                <w:kern w:val="28"/>
                <w:sz w:val="20"/>
                <w:szCs w:val="20"/>
              </w:rPr>
              <w:t>coping strategy’ where individuals assess their ability to cope in alternative scenarios</w:t>
            </w:r>
            <w:r>
              <w:rPr>
                <w:rFonts w:eastAsia="Times New Roman" w:cs="Times New Roman"/>
                <w:kern w:val="28"/>
                <w:sz w:val="20"/>
                <w:szCs w:val="20"/>
              </w:rPr>
              <w:t>. Low financial capability may result in consumers not appreciating</w:t>
            </w:r>
            <w:r w:rsidRPr="00A01528">
              <w:rPr>
                <w:rFonts w:eastAsia="Times New Roman" w:cs="Times New Roman"/>
                <w:kern w:val="28"/>
                <w:sz w:val="20"/>
                <w:szCs w:val="20"/>
              </w:rPr>
              <w:t xml:space="preserve"> the level of potential threat to which they are exposed</w:t>
            </w:r>
          </w:p>
          <w:p w14:paraId="236F3E62" w14:textId="3AB4D73E" w:rsidR="00EC1F72" w:rsidRPr="00C21A40" w:rsidRDefault="00EC1F72" w:rsidP="00EC1F72">
            <w:pPr>
              <w:pStyle w:val="ListParagraph"/>
              <w:numPr>
                <w:ilvl w:val="0"/>
                <w:numId w:val="13"/>
              </w:numPr>
              <w:spacing w:after="200" w:line="276" w:lineRule="auto"/>
              <w:rPr>
                <w:rFonts w:eastAsia="Times New Roman" w:cs="Times New Roman"/>
                <w:kern w:val="28"/>
                <w:sz w:val="20"/>
                <w:szCs w:val="20"/>
              </w:rPr>
            </w:pPr>
            <w:r>
              <w:rPr>
                <w:rFonts w:eastAsia="Times New Roman" w:cs="Times New Roman"/>
                <w:kern w:val="28"/>
                <w:sz w:val="20"/>
                <w:szCs w:val="20"/>
                <w:lang w:val="en-US"/>
              </w:rPr>
              <w:t xml:space="preserve">Consumers’ expectation of the perceived outcome and value of advice. The Health Belief Model </w:t>
            </w:r>
            <w:r w:rsidRPr="00C56133">
              <w:rPr>
                <w:rFonts w:eastAsia="Times New Roman" w:cs="Times New Roman"/>
                <w:kern w:val="28"/>
                <w:sz w:val="20"/>
                <w:szCs w:val="20"/>
                <w:lang w:val="en-US"/>
              </w:rPr>
              <w:t>(Rosenstock et al, 1988)</w:t>
            </w:r>
            <w:r>
              <w:rPr>
                <w:rFonts w:eastAsia="Times New Roman" w:cs="Times New Roman"/>
                <w:kern w:val="28"/>
                <w:sz w:val="20"/>
                <w:szCs w:val="20"/>
                <w:lang w:val="en-US"/>
              </w:rPr>
              <w:t xml:space="preserve"> provided the inspiration to include variables which meas</w:t>
            </w:r>
            <w:r w:rsidR="00666E48">
              <w:rPr>
                <w:rFonts w:eastAsia="Times New Roman" w:cs="Times New Roman"/>
                <w:kern w:val="28"/>
                <w:sz w:val="20"/>
                <w:szCs w:val="20"/>
                <w:lang w:val="en-US"/>
              </w:rPr>
              <w:t>ure the</w:t>
            </w:r>
            <w:r>
              <w:rPr>
                <w:rFonts w:eastAsia="Times New Roman" w:cs="Times New Roman"/>
                <w:kern w:val="28"/>
                <w:sz w:val="20"/>
                <w:szCs w:val="20"/>
                <w:lang w:val="en-US"/>
              </w:rPr>
              <w:t xml:space="preserve"> perceived value of that outcome and therefore their perception of whether the advice affords a value. </w:t>
            </w:r>
          </w:p>
          <w:p w14:paraId="7DB9065F" w14:textId="77777777" w:rsidR="00EC1F72" w:rsidRPr="00142568" w:rsidRDefault="00EC1F72" w:rsidP="00EC1F72">
            <w:pPr>
              <w:pStyle w:val="ListParagraph"/>
              <w:numPr>
                <w:ilvl w:val="0"/>
                <w:numId w:val="13"/>
              </w:numPr>
              <w:spacing w:after="200" w:line="276" w:lineRule="auto"/>
              <w:rPr>
                <w:rFonts w:eastAsia="Times New Roman" w:cs="Times New Roman"/>
                <w:kern w:val="28"/>
                <w:sz w:val="20"/>
                <w:szCs w:val="20"/>
              </w:rPr>
            </w:pPr>
            <w:r>
              <w:rPr>
                <w:rFonts w:eastAsia="Times New Roman" w:cs="Times New Roman"/>
                <w:kern w:val="28"/>
                <w:sz w:val="20"/>
                <w:szCs w:val="20"/>
                <w:lang w:val="en-US"/>
              </w:rPr>
              <w:t>Timescale until the perceived outcome might be enjoyed. There is substantial literature that sets out how mental accounting and hyperbolic discounting can account for consumers placing greater value on immediate gratification than future value event when the future outcomes maybe considerably more valuable.</w:t>
            </w:r>
          </w:p>
        </w:tc>
      </w:tr>
      <w:tr w:rsidR="00EC1F72" w14:paraId="28E9F51C" w14:textId="77777777" w:rsidTr="00987543">
        <w:tc>
          <w:tcPr>
            <w:tcW w:w="1980" w:type="dxa"/>
          </w:tcPr>
          <w:p w14:paraId="478F0CE7" w14:textId="77777777" w:rsidR="00EC1F72" w:rsidRPr="001870CA" w:rsidRDefault="00EC1F72" w:rsidP="00987543">
            <w:pPr>
              <w:rPr>
                <w:rFonts w:eastAsia="Times New Roman" w:cs="Times New Roman"/>
                <w:b/>
                <w:bCs/>
                <w:kern w:val="28"/>
                <w:sz w:val="20"/>
                <w:szCs w:val="20"/>
              </w:rPr>
            </w:pPr>
            <w:r w:rsidRPr="001870CA">
              <w:rPr>
                <w:rFonts w:eastAsia="Times New Roman" w:cs="Times New Roman"/>
                <w:b/>
                <w:bCs/>
                <w:kern w:val="28"/>
                <w:sz w:val="20"/>
                <w:szCs w:val="20"/>
              </w:rPr>
              <w:t>Structure of the Service</w:t>
            </w:r>
          </w:p>
        </w:tc>
        <w:tc>
          <w:tcPr>
            <w:tcW w:w="7036" w:type="dxa"/>
          </w:tcPr>
          <w:p w14:paraId="55EEC824" w14:textId="77777777" w:rsidR="00EC1F72" w:rsidRDefault="00EC1F72" w:rsidP="00987543">
            <w:pPr>
              <w:rPr>
                <w:rFonts w:eastAsia="Times New Roman" w:cs="Times New Roman"/>
                <w:kern w:val="28"/>
                <w:sz w:val="20"/>
                <w:szCs w:val="20"/>
              </w:rPr>
            </w:pPr>
            <w:r>
              <w:rPr>
                <w:rFonts w:eastAsia="Times New Roman" w:cs="Times New Roman"/>
                <w:kern w:val="28"/>
                <w:sz w:val="20"/>
                <w:szCs w:val="20"/>
              </w:rPr>
              <w:t>This section of the model involves the environment in which the regulated advice regime operates</w:t>
            </w:r>
          </w:p>
          <w:p w14:paraId="4480FF32" w14:textId="77777777" w:rsidR="00EC1F72" w:rsidRDefault="00EC1F72" w:rsidP="00EC1F72">
            <w:pPr>
              <w:pStyle w:val="ListParagraph"/>
              <w:numPr>
                <w:ilvl w:val="0"/>
                <w:numId w:val="14"/>
              </w:numPr>
              <w:spacing w:after="200" w:line="276" w:lineRule="auto"/>
              <w:rPr>
                <w:rFonts w:eastAsia="Times New Roman" w:cs="Times New Roman"/>
                <w:kern w:val="28"/>
                <w:sz w:val="20"/>
                <w:szCs w:val="20"/>
              </w:rPr>
            </w:pPr>
            <w:r>
              <w:rPr>
                <w:rFonts w:eastAsia="Times New Roman" w:cs="Times New Roman"/>
                <w:kern w:val="28"/>
                <w:sz w:val="20"/>
                <w:szCs w:val="20"/>
              </w:rPr>
              <w:t>C</w:t>
            </w:r>
            <w:r w:rsidRPr="00C21A40">
              <w:rPr>
                <w:rFonts w:eastAsia="Times New Roman" w:cs="Times New Roman"/>
                <w:kern w:val="28"/>
                <w:sz w:val="20"/>
                <w:szCs w:val="20"/>
              </w:rPr>
              <w:t xml:space="preserve">onsumer perceptions as to whether they believe it is a service accessible </w:t>
            </w:r>
          </w:p>
          <w:p w14:paraId="23CAED25" w14:textId="77777777" w:rsidR="00EC1F72" w:rsidRDefault="00EC1F72" w:rsidP="00EC1F72">
            <w:pPr>
              <w:pStyle w:val="ListParagraph"/>
              <w:numPr>
                <w:ilvl w:val="0"/>
                <w:numId w:val="14"/>
              </w:numPr>
              <w:spacing w:after="200" w:line="276" w:lineRule="auto"/>
              <w:rPr>
                <w:rFonts w:eastAsia="Times New Roman" w:cs="Times New Roman"/>
                <w:kern w:val="28"/>
                <w:sz w:val="20"/>
                <w:szCs w:val="20"/>
              </w:rPr>
            </w:pPr>
            <w:r>
              <w:rPr>
                <w:rFonts w:eastAsia="Times New Roman" w:cs="Times New Roman"/>
                <w:kern w:val="28"/>
                <w:sz w:val="20"/>
                <w:szCs w:val="20"/>
              </w:rPr>
              <w:t>I</w:t>
            </w:r>
            <w:r w:rsidRPr="00C21A40">
              <w:rPr>
                <w:rFonts w:eastAsia="Times New Roman" w:cs="Times New Roman"/>
                <w:kern w:val="28"/>
                <w:sz w:val="20"/>
                <w:szCs w:val="20"/>
              </w:rPr>
              <w:t xml:space="preserve">s affordable </w:t>
            </w:r>
          </w:p>
          <w:p w14:paraId="3AF85EF6" w14:textId="77777777" w:rsidR="00EC1F72" w:rsidRDefault="00EC1F72" w:rsidP="00EC1F72">
            <w:pPr>
              <w:pStyle w:val="ListParagraph"/>
              <w:numPr>
                <w:ilvl w:val="0"/>
                <w:numId w:val="14"/>
              </w:numPr>
              <w:spacing w:after="200" w:line="276" w:lineRule="auto"/>
              <w:rPr>
                <w:rFonts w:eastAsia="Times New Roman" w:cs="Times New Roman"/>
                <w:kern w:val="28"/>
                <w:sz w:val="20"/>
                <w:szCs w:val="20"/>
              </w:rPr>
            </w:pPr>
            <w:r>
              <w:rPr>
                <w:rFonts w:eastAsia="Times New Roman" w:cs="Times New Roman"/>
                <w:kern w:val="28"/>
                <w:sz w:val="20"/>
                <w:szCs w:val="20"/>
              </w:rPr>
              <w:t>H</w:t>
            </w:r>
            <w:r w:rsidRPr="00C21A40">
              <w:rPr>
                <w:rFonts w:eastAsia="Times New Roman" w:cs="Times New Roman"/>
                <w:kern w:val="28"/>
                <w:sz w:val="20"/>
                <w:szCs w:val="20"/>
              </w:rPr>
              <w:t xml:space="preserve">as their interests at heart. </w:t>
            </w:r>
          </w:p>
          <w:p w14:paraId="655FD7E2" w14:textId="77777777" w:rsidR="00EC1F72" w:rsidRPr="00C21A40" w:rsidRDefault="00EC1F72" w:rsidP="00EC1F72">
            <w:pPr>
              <w:pStyle w:val="ListParagraph"/>
              <w:numPr>
                <w:ilvl w:val="0"/>
                <w:numId w:val="14"/>
              </w:numPr>
              <w:spacing w:after="200" w:line="276" w:lineRule="auto"/>
              <w:rPr>
                <w:rFonts w:eastAsia="Times New Roman" w:cs="Times New Roman"/>
                <w:kern w:val="28"/>
                <w:sz w:val="20"/>
                <w:szCs w:val="20"/>
              </w:rPr>
            </w:pPr>
            <w:r>
              <w:rPr>
                <w:rFonts w:eastAsia="Times New Roman" w:cs="Times New Roman"/>
                <w:kern w:val="28"/>
                <w:sz w:val="20"/>
                <w:szCs w:val="20"/>
              </w:rPr>
              <w:t>Advice Gap - Availability of advisers to low net worth individuals.</w:t>
            </w:r>
            <w:r w:rsidRPr="00C21A40">
              <w:rPr>
                <w:rFonts w:eastAsia="Times New Roman" w:cs="Times New Roman"/>
                <w:kern w:val="28"/>
                <w:sz w:val="20"/>
                <w:szCs w:val="20"/>
              </w:rPr>
              <w:t xml:space="preserve"> </w:t>
            </w:r>
          </w:p>
        </w:tc>
      </w:tr>
      <w:tr w:rsidR="00EC1F72" w14:paraId="581C7EC4" w14:textId="77777777" w:rsidTr="00987543">
        <w:tc>
          <w:tcPr>
            <w:tcW w:w="1980" w:type="dxa"/>
          </w:tcPr>
          <w:p w14:paraId="326CFE40" w14:textId="77777777" w:rsidR="00EC1F72" w:rsidRPr="001870CA" w:rsidRDefault="00EC1F72" w:rsidP="00987543">
            <w:pPr>
              <w:rPr>
                <w:rFonts w:eastAsia="Times New Roman" w:cs="Times New Roman"/>
                <w:b/>
                <w:bCs/>
                <w:kern w:val="28"/>
                <w:sz w:val="20"/>
                <w:szCs w:val="20"/>
              </w:rPr>
            </w:pPr>
            <w:r w:rsidRPr="001870CA">
              <w:rPr>
                <w:rFonts w:eastAsia="Times New Roman" w:cs="Times New Roman"/>
                <w:b/>
                <w:bCs/>
                <w:kern w:val="28"/>
                <w:sz w:val="20"/>
                <w:szCs w:val="20"/>
              </w:rPr>
              <w:t>Self-Efficacy</w:t>
            </w:r>
          </w:p>
        </w:tc>
        <w:tc>
          <w:tcPr>
            <w:tcW w:w="7036" w:type="dxa"/>
          </w:tcPr>
          <w:p w14:paraId="1A62B73E" w14:textId="77777777" w:rsidR="00EC1F72" w:rsidRPr="00C21A40" w:rsidRDefault="00EC1F72" w:rsidP="00EC1F72">
            <w:pPr>
              <w:pStyle w:val="ListParagraph"/>
              <w:numPr>
                <w:ilvl w:val="0"/>
                <w:numId w:val="15"/>
              </w:numPr>
              <w:spacing w:after="200" w:line="276" w:lineRule="auto"/>
              <w:rPr>
                <w:rFonts w:eastAsia="Times New Roman" w:cs="Times New Roman"/>
                <w:kern w:val="28"/>
                <w:sz w:val="20"/>
                <w:szCs w:val="20"/>
              </w:rPr>
            </w:pPr>
            <w:r w:rsidRPr="00C21A40">
              <w:rPr>
                <w:rFonts w:eastAsia="Times New Roman" w:cs="Times New Roman"/>
                <w:kern w:val="28"/>
                <w:sz w:val="20"/>
                <w:szCs w:val="20"/>
              </w:rPr>
              <w:t>Belief that from a practical perspective they can achieve their objective and actually take the required advice.</w:t>
            </w:r>
          </w:p>
        </w:tc>
      </w:tr>
    </w:tbl>
    <w:p w14:paraId="5D58F9AB" w14:textId="77777777" w:rsidR="00EC1F72" w:rsidRDefault="00EC1F72" w:rsidP="009369E3">
      <w:pPr>
        <w:spacing w:after="120" w:line="480" w:lineRule="auto"/>
        <w:rPr>
          <w:rFonts w:eastAsia="Times New Roman" w:cs="Times New Roman"/>
          <w:kern w:val="28"/>
          <w:sz w:val="24"/>
          <w:szCs w:val="24"/>
        </w:rPr>
      </w:pPr>
    </w:p>
    <w:p w14:paraId="159ADA1F" w14:textId="3C86A35E" w:rsidR="00E377EC" w:rsidRDefault="00431BD5" w:rsidP="00666E48">
      <w:pPr>
        <w:spacing w:after="120" w:line="480" w:lineRule="auto"/>
        <w:rPr>
          <w:rFonts w:ascii="Calibri" w:eastAsia="Times New Roman" w:hAnsi="Calibri" w:cs="Times New Roman"/>
          <w:b/>
          <w:kern w:val="28"/>
          <w:sz w:val="24"/>
          <w:szCs w:val="24"/>
        </w:rPr>
      </w:pPr>
      <w:r w:rsidRPr="00334FE8">
        <w:rPr>
          <w:rFonts w:eastAsia="Times New Roman" w:cs="Times New Roman"/>
          <w:kern w:val="28"/>
          <w:sz w:val="24"/>
          <w:szCs w:val="24"/>
        </w:rPr>
        <w:lastRenderedPageBreak/>
        <w:t xml:space="preserve">Later following testing to provide </w:t>
      </w:r>
      <w:r w:rsidR="001870CA">
        <w:rPr>
          <w:rFonts w:eastAsia="Times New Roman" w:cs="Times New Roman"/>
          <w:kern w:val="28"/>
          <w:sz w:val="24"/>
          <w:szCs w:val="24"/>
        </w:rPr>
        <w:t xml:space="preserve">some </w:t>
      </w:r>
      <w:r w:rsidRPr="00334FE8">
        <w:rPr>
          <w:rFonts w:eastAsia="Times New Roman" w:cs="Times New Roman"/>
          <w:kern w:val="28"/>
          <w:sz w:val="24"/>
          <w:szCs w:val="24"/>
        </w:rPr>
        <w:t>validation</w:t>
      </w:r>
      <w:r w:rsidR="001870CA">
        <w:rPr>
          <w:rFonts w:eastAsia="Times New Roman" w:cs="Times New Roman"/>
          <w:kern w:val="28"/>
          <w:sz w:val="24"/>
          <w:szCs w:val="24"/>
        </w:rPr>
        <w:t xml:space="preserve"> of the model built from the literature and the prior Health Belief Model</w:t>
      </w:r>
      <w:r w:rsidRPr="00334FE8">
        <w:rPr>
          <w:rFonts w:eastAsia="Times New Roman" w:cs="Times New Roman"/>
          <w:kern w:val="28"/>
          <w:sz w:val="24"/>
          <w:szCs w:val="24"/>
        </w:rPr>
        <w:t xml:space="preserve">, it emerged as the model shown in </w:t>
      </w:r>
      <w:r w:rsidR="001870CA">
        <w:rPr>
          <w:rFonts w:eastAsia="Times New Roman" w:cs="Times New Roman"/>
          <w:kern w:val="28"/>
          <w:sz w:val="24"/>
          <w:szCs w:val="24"/>
        </w:rPr>
        <w:t>figure 1</w:t>
      </w:r>
      <w:r w:rsidR="00985A93">
        <w:rPr>
          <w:rFonts w:eastAsia="Times New Roman" w:cs="Times New Roman"/>
          <w:kern w:val="28"/>
          <w:sz w:val="24"/>
          <w:szCs w:val="24"/>
        </w:rPr>
        <w:t>.</w:t>
      </w:r>
    </w:p>
    <w:p w14:paraId="1F753C2C" w14:textId="067D925D" w:rsidR="00E377EC" w:rsidRDefault="00E377EC" w:rsidP="009369E3">
      <w:pPr>
        <w:spacing w:after="120" w:line="480" w:lineRule="auto"/>
        <w:rPr>
          <w:rFonts w:eastAsia="Times New Roman" w:cs="Times New Roman"/>
          <w:kern w:val="28"/>
          <w:sz w:val="24"/>
          <w:szCs w:val="24"/>
        </w:rPr>
      </w:pPr>
      <w:r w:rsidRPr="00DA6B45">
        <w:rPr>
          <w:rFonts w:ascii="Calibri" w:eastAsia="Times New Roman" w:hAnsi="Calibri" w:cs="Times New Roman"/>
          <w:b/>
          <w:kern w:val="28"/>
          <w:sz w:val="24"/>
          <w:szCs w:val="24"/>
        </w:rPr>
        <w:t>Figure 1 - The Financial Advice Belief Model</w:t>
      </w:r>
      <w:r w:rsidR="00237611">
        <w:rPr>
          <w:rFonts w:ascii="Calibri" w:eastAsia="Times New Roman" w:hAnsi="Calibri" w:cs="Times New Roman"/>
          <w:b/>
          <w:kern w:val="28"/>
          <w:sz w:val="24"/>
          <w:szCs w:val="24"/>
        </w:rPr>
        <w:t xml:space="preserve"> (Moss, 2015)</w:t>
      </w:r>
      <w:r w:rsidRPr="00DA6B45">
        <w:rPr>
          <w:rFonts w:ascii="Calibri" w:eastAsia="Times New Roman" w:hAnsi="Calibri" w:cs="Times New Roman"/>
          <w:b/>
          <w:kern w:val="28"/>
          <w:sz w:val="24"/>
          <w:szCs w:val="24"/>
        </w:rPr>
        <w:t>.</w:t>
      </w:r>
      <w:r w:rsidR="00EB6411">
        <w:rPr>
          <w:rFonts w:ascii="Calibri" w:eastAsia="Times New Roman" w:hAnsi="Calibri" w:cs="Times New Roman"/>
          <w:b/>
          <w:kern w:val="28"/>
          <w:sz w:val="24"/>
          <w:szCs w:val="24"/>
        </w:rPr>
        <w:t xml:space="preserve"> </w:t>
      </w:r>
    </w:p>
    <w:p w14:paraId="536C821B" w14:textId="77777777" w:rsidR="00DA6B45" w:rsidRPr="00DA6B45" w:rsidRDefault="00DA6B45" w:rsidP="00DA6B45">
      <w:pPr>
        <w:rPr>
          <w:rFonts w:ascii="Calibri" w:eastAsia="Calibri" w:hAnsi="Calibri" w:cs="Times New Roman"/>
        </w:rPr>
      </w:pPr>
      <w:r w:rsidRPr="00DA6B45">
        <w:rPr>
          <w:rFonts w:ascii="Calibri" w:eastAsia="Calibri" w:hAnsi="Calibri" w:cs="Times New Roman"/>
          <w:noProof/>
          <w:lang w:eastAsia="en-GB"/>
        </w:rPr>
        <mc:AlternateContent>
          <mc:Choice Requires="wps">
            <w:drawing>
              <wp:anchor distT="0" distB="0" distL="114300" distR="114300" simplePos="0" relativeHeight="251673600" behindDoc="0" locked="0" layoutInCell="1" allowOverlap="1" wp14:anchorId="0DD1A534" wp14:editId="3EBB6ADF">
                <wp:simplePos x="0" y="0"/>
                <wp:positionH relativeFrom="column">
                  <wp:posOffset>2286000</wp:posOffset>
                </wp:positionH>
                <wp:positionV relativeFrom="paragraph">
                  <wp:posOffset>2257425</wp:posOffset>
                </wp:positionV>
                <wp:extent cx="1371600" cy="930386"/>
                <wp:effectExtent l="19050" t="19050" r="38100" b="41275"/>
                <wp:wrapNone/>
                <wp:docPr id="5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71600" cy="930386"/>
                        </a:xfrm>
                        <a:custGeom>
                          <a:avLst/>
                          <a:gdLst>
                            <a:gd name="G0" fmla="+- 6480 0 0"/>
                            <a:gd name="G1" fmla="+- 8640 0 0"/>
                            <a:gd name="G2" fmla="+- 6171 0 0"/>
                            <a:gd name="G3" fmla="+- 21600 0 6480"/>
                            <a:gd name="G4" fmla="+- 21600 0 8640"/>
                            <a:gd name="G5" fmla="*/ G0 21600 G3"/>
                            <a:gd name="G6" fmla="*/ G1 21600 G3"/>
                            <a:gd name="G7" fmla="*/ G2 G3 21600"/>
                            <a:gd name="G8" fmla="*/ 10800 21600 G3"/>
                            <a:gd name="G9" fmla="*/ G4 21600 G3"/>
                            <a:gd name="G10" fmla="+- 21600 0 G7"/>
                            <a:gd name="G11" fmla="+- G5 0 G8"/>
                            <a:gd name="G12" fmla="+- G6 0 G8"/>
                            <a:gd name="G13" fmla="*/ G12 G7 G11"/>
                            <a:gd name="G14" fmla="+- 21600 0 G13"/>
                            <a:gd name="G15" fmla="+- G0 0 10800"/>
                            <a:gd name="G16" fmla="+- G1 0 10800"/>
                            <a:gd name="G17" fmla="*/ G2 G16 G15"/>
                            <a:gd name="T0" fmla="*/ 10800 w 21600"/>
                            <a:gd name="T1" fmla="*/ 0 h 21600"/>
                            <a:gd name="T2" fmla="*/ 0 w 21600"/>
                            <a:gd name="T3" fmla="*/ 15429 h 21600"/>
                            <a:gd name="T4" fmla="*/ 10800 w 21600"/>
                            <a:gd name="T5" fmla="*/ 18514 h 21600"/>
                            <a:gd name="T6" fmla="*/ 21600 w 21600"/>
                            <a:gd name="T7" fmla="*/ 15429 h 21600"/>
                            <a:gd name="T8" fmla="*/ 17694720 60000 65536"/>
                            <a:gd name="T9" fmla="*/ 11796480 60000 65536"/>
                            <a:gd name="T10" fmla="*/ 5898240 60000 65536"/>
                            <a:gd name="T11" fmla="*/ 0 60000 65536"/>
                            <a:gd name="T12" fmla="*/ G13 w 21600"/>
                            <a:gd name="T13" fmla="*/ G6 h 21600"/>
                            <a:gd name="T14" fmla="*/ G14 w 21600"/>
                            <a:gd name="T15" fmla="*/ G9 h 21600"/>
                          </a:gdLst>
                          <a:ahLst/>
                          <a:cxnLst>
                            <a:cxn ang="T8">
                              <a:pos x="T0" y="T1"/>
                            </a:cxn>
                            <a:cxn ang="T9">
                              <a:pos x="T2" y="T3"/>
                            </a:cxn>
                            <a:cxn ang="T10">
                              <a:pos x="T4" y="T5"/>
                            </a:cxn>
                            <a:cxn ang="T11">
                              <a:pos x="T6" y="T7"/>
                            </a:cxn>
                          </a:cxnLst>
                          <a:rect l="T12" t="T13" r="T14" b="T15"/>
                          <a:pathLst>
                            <a:path w="21600" h="21600">
                              <a:moveTo>
                                <a:pt x="10800" y="0"/>
                              </a:moveTo>
                              <a:lnTo>
                                <a:pt x="6480" y="6171"/>
                              </a:lnTo>
                              <a:lnTo>
                                <a:pt x="8640" y="6171"/>
                              </a:lnTo>
                              <a:lnTo>
                                <a:pt x="8640" y="12343"/>
                              </a:lnTo>
                              <a:lnTo>
                                <a:pt x="4320" y="12343"/>
                              </a:lnTo>
                              <a:lnTo>
                                <a:pt x="4320" y="9257"/>
                              </a:lnTo>
                              <a:lnTo>
                                <a:pt x="0" y="15429"/>
                              </a:lnTo>
                              <a:lnTo>
                                <a:pt x="4320" y="21600"/>
                              </a:lnTo>
                              <a:lnTo>
                                <a:pt x="4320" y="18514"/>
                              </a:lnTo>
                              <a:lnTo>
                                <a:pt x="17280" y="18514"/>
                              </a:lnTo>
                              <a:lnTo>
                                <a:pt x="17280" y="21600"/>
                              </a:lnTo>
                              <a:lnTo>
                                <a:pt x="21600" y="15429"/>
                              </a:lnTo>
                              <a:lnTo>
                                <a:pt x="17280" y="9257"/>
                              </a:lnTo>
                              <a:lnTo>
                                <a:pt x="17280" y="12343"/>
                              </a:lnTo>
                              <a:lnTo>
                                <a:pt x="12960" y="12343"/>
                              </a:lnTo>
                              <a:lnTo>
                                <a:pt x="12960" y="6171"/>
                              </a:lnTo>
                              <a:lnTo>
                                <a:pt x="15120" y="6171"/>
                              </a:lnTo>
                              <a:close/>
                            </a:path>
                          </a:pathLst>
                        </a:custGeom>
                        <a:solidFill>
                          <a:srgbClr val="B2B2B2"/>
                        </a:solidFill>
                        <a:ln w="9525">
                          <a:solidFill>
                            <a:srgbClr val="000000"/>
                          </a:solidFill>
                          <a:miter lim="800000"/>
                          <a:headEnd/>
                          <a:tailEnd/>
                        </a:ln>
                      </wps:spPr>
                      <wps:txbx>
                        <w:txbxContent>
                          <w:p w14:paraId="6E89E3B4" w14:textId="77777777" w:rsidR="00CE3079" w:rsidRPr="005A2A5A" w:rsidRDefault="00CE3079" w:rsidP="00DA6B45">
                            <w:pPr>
                              <w:rPr>
                                <w:sz w:val="24"/>
                                <w:szCs w:val="24"/>
                              </w:rPr>
                            </w:pPr>
                            <w:r w:rsidRPr="005A2A5A">
                              <w:rPr>
                                <w:sz w:val="24"/>
                                <w:szCs w:val="24"/>
                              </w:rPr>
                              <w:t>Rational Actor</w:t>
                            </w:r>
                          </w:p>
                          <w:p w14:paraId="3AF15146" w14:textId="77777777" w:rsidR="00CE3079" w:rsidRDefault="00CE3079" w:rsidP="00DA6B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1A534" id="Freeform 15" o:spid="_x0000_s1026" style="position:absolute;margin-left:180pt;margin-top:177.75pt;width:108pt;height:73.2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" adj="-11796480,,5400" path="m10800,l6480,6171r2160,l8640,12343r-4320,l4320,9257,,15429r4320,6171l4320,18514r12960,l17280,21600r4320,-6171l17280,9257r,3086l12960,12343r,-6172l15120,6171,10800,xe" fillcolor="#b2b2b2">
                <v:stroke joinstyle="miter"/>
                <v:formulas/>
                <v:path o:connecttype="custom" o:connectlocs="685800,0;0,664580;685800,797461;1371600,664580" o:connectangles="270,180,90,0" textboxrect="2160,12343,19440,18514"/>
                <v:textbox>
                  <w:txbxContent>
                    <w:p w14:paraId="6E89E3B4" w14:textId="77777777" w:rsidR="00CE3079" w:rsidRPr="005A2A5A" w:rsidRDefault="00CE3079" w:rsidP="00DA6B45">
                      <w:pPr>
                        <w:rPr>
                          <w:sz w:val="24"/>
                          <w:szCs w:val="24"/>
                        </w:rPr>
                      </w:pPr>
                      <w:r w:rsidRPr="005A2A5A">
                        <w:rPr>
                          <w:sz w:val="24"/>
                          <w:szCs w:val="24"/>
                        </w:rPr>
                        <w:t>Rational Actor</w:t>
                      </w:r>
                    </w:p>
                    <w:p w14:paraId="3AF15146" w14:textId="77777777" w:rsidR="00CE3079" w:rsidRDefault="00CE3079" w:rsidP="00DA6B45"/>
                  </w:txbxContent>
                </v:textbox>
              </v:shape>
            </w:pict>
          </mc:Fallback>
        </mc:AlternateContent>
      </w:r>
      <w:r w:rsidRPr="00DA6B45">
        <w:rPr>
          <w:rFonts w:ascii="Calibri" w:eastAsia="Calibri" w:hAnsi="Calibri" w:cs="Times New Roman"/>
          <w:noProof/>
          <w:lang w:eastAsia="en-GB"/>
        </w:rPr>
        <mc:AlternateContent>
          <mc:Choice Requires="wps">
            <w:drawing>
              <wp:anchor distT="0" distB="0" distL="114300" distR="114300" simplePos="0" relativeHeight="251677696" behindDoc="0" locked="0" layoutInCell="1" allowOverlap="1" wp14:anchorId="36FFC295" wp14:editId="0CD8923E">
                <wp:simplePos x="0" y="0"/>
                <wp:positionH relativeFrom="column">
                  <wp:posOffset>2743200</wp:posOffset>
                </wp:positionH>
                <wp:positionV relativeFrom="paragraph">
                  <wp:posOffset>1783080</wp:posOffset>
                </wp:positionV>
                <wp:extent cx="457200" cy="457200"/>
                <wp:effectExtent l="0" t="0" r="0" b="0"/>
                <wp:wrapNone/>
                <wp:docPr id="5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5062">
                          <a:off x="0" y="0"/>
                          <a:ext cx="457200" cy="457200"/>
                        </a:xfrm>
                        <a:custGeom>
                          <a:avLst/>
                          <a:gdLst>
                            <a:gd name="G0" fmla="+- 6480 0 0"/>
                            <a:gd name="G1" fmla="+- 8640 0 0"/>
                            <a:gd name="G2" fmla="+- 4320 0 0"/>
                            <a:gd name="G3" fmla="+- 21600 0 6480"/>
                            <a:gd name="G4" fmla="+- 21600 0 8640"/>
                            <a:gd name="G5" fmla="+- 21600 0 4320"/>
                            <a:gd name="G6" fmla="+- 6480 0 10800"/>
                            <a:gd name="G7" fmla="+- 8640 0 10800"/>
                            <a:gd name="G8" fmla="*/ G7 4320 G6"/>
                            <a:gd name="G9" fmla="+- 21600 0 G8"/>
                            <a:gd name="T0" fmla="*/ G8 w 21600"/>
                            <a:gd name="T1" fmla="*/ G1 h 21600"/>
                            <a:gd name="T2" fmla="*/ G9 w 21600"/>
                            <a:gd name="T3" fmla="*/ G4 h 21600"/>
                          </a:gdLst>
                          <a:ahLst/>
                          <a:cxnLst>
                            <a:cxn ang="0">
                              <a:pos x="r" y="vc"/>
                            </a:cxn>
                            <a:cxn ang="5400000">
                              <a:pos x="hc" y="b"/>
                            </a:cxn>
                            <a:cxn ang="10800000">
                              <a:pos x="l" y="vc"/>
                            </a:cxn>
                            <a:cxn ang="16200000">
                              <a:pos x="hc" y="t"/>
                            </a:cxn>
                          </a:cxnLst>
                          <a:rect l="T0" t="T1" r="T2" b="T3"/>
                          <a:pathLst>
                            <a:path w="21600" h="21600">
                              <a:moveTo>
                                <a:pt x="10800" y="0"/>
                              </a:moveTo>
                              <a:lnTo>
                                <a:pt x="6480" y="4320"/>
                              </a:lnTo>
                              <a:lnTo>
                                <a:pt x="8640" y="4320"/>
                              </a:lnTo>
                              <a:lnTo>
                                <a:pt x="8640" y="8640"/>
                              </a:lnTo>
                              <a:lnTo>
                                <a:pt x="4320" y="8640"/>
                              </a:lnTo>
                              <a:lnTo>
                                <a:pt x="4320" y="6480"/>
                              </a:lnTo>
                              <a:lnTo>
                                <a:pt x="0" y="10800"/>
                              </a:lnTo>
                              <a:lnTo>
                                <a:pt x="4320" y="15120"/>
                              </a:lnTo>
                              <a:lnTo>
                                <a:pt x="4320" y="12960"/>
                              </a:lnTo>
                              <a:lnTo>
                                <a:pt x="8640" y="12960"/>
                              </a:lnTo>
                              <a:lnTo>
                                <a:pt x="8640" y="17280"/>
                              </a:lnTo>
                              <a:lnTo>
                                <a:pt x="6480" y="17280"/>
                              </a:lnTo>
                              <a:lnTo>
                                <a:pt x="10800" y="21600"/>
                              </a:lnTo>
                              <a:lnTo>
                                <a:pt x="15120" y="17280"/>
                              </a:lnTo>
                              <a:lnTo>
                                <a:pt x="12960" y="17280"/>
                              </a:lnTo>
                              <a:lnTo>
                                <a:pt x="12960" y="12960"/>
                              </a:lnTo>
                              <a:lnTo>
                                <a:pt x="17280" y="12960"/>
                              </a:lnTo>
                              <a:lnTo>
                                <a:pt x="17280" y="15120"/>
                              </a:lnTo>
                              <a:lnTo>
                                <a:pt x="21600" y="10800"/>
                              </a:lnTo>
                              <a:lnTo>
                                <a:pt x="17280" y="6480"/>
                              </a:lnTo>
                              <a:lnTo>
                                <a:pt x="17280" y="8640"/>
                              </a:lnTo>
                              <a:lnTo>
                                <a:pt x="12960" y="8640"/>
                              </a:lnTo>
                              <a:lnTo>
                                <a:pt x="12960" y="4320"/>
                              </a:lnTo>
                              <a:lnTo>
                                <a:pt x="15120" y="4320"/>
                              </a:lnTo>
                              <a:close/>
                            </a:path>
                          </a:pathLst>
                        </a:custGeom>
                        <a:solidFill>
                          <a:srgbClr val="DDDDDD"/>
                        </a:solidFill>
                        <a:ln w="9525">
                          <a:solidFill>
                            <a:srgbClr val="000000"/>
                          </a:solidFill>
                          <a:miter lim="800000"/>
                          <a:headEnd/>
                          <a:tailEnd/>
                        </a:ln>
                      </wps:spPr>
                      <wps:txbx>
                        <w:txbxContent>
                          <w:p w14:paraId="56C7BF06" w14:textId="77777777" w:rsidR="00CE3079" w:rsidRDefault="00CE3079" w:rsidP="00DA6B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FC295" id="Freeform 14" o:spid="_x0000_s1027" style="position:absolute;margin-left:3in;margin-top:140.4pt;width:36pt;height:36pt;rotation:299834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" adj="-11796480,,5400" path="m10800,l6480,4320r2160,l8640,8640r-4320,l4320,6480,,10800r4320,4320l4320,12960r4320,l8640,17280r-2160,l10800,21600r4320,-4320l12960,17280r,-4320l17280,12960r,2160l21600,10800,17280,6480r,2160l12960,8640r,-4320l15120,4320,10800,xe" fillcolor="#ddd">
                <v:stroke joinstyle="miter"/>
                <v:formulas/>
                <v:path o:connecttype="custom" o:connectlocs="457200,228600;228600,457200;0,228600;228600,0" o:connectangles="0,90,180,270" textboxrect="2160,8640,19440,12960"/>
                <v:textbox>
                  <w:txbxContent>
                    <w:p w14:paraId="56C7BF06" w14:textId="77777777" w:rsidR="00CE3079" w:rsidRDefault="00CE3079" w:rsidP="00DA6B45">
                      <w:pPr>
                        <w:jc w:val="center"/>
                      </w:pPr>
                    </w:p>
                  </w:txbxContent>
                </v:textbox>
              </v:shape>
            </w:pict>
          </mc:Fallback>
        </mc:AlternateContent>
      </w:r>
      <w:r w:rsidRPr="00DA6B45">
        <w:rPr>
          <w:rFonts w:ascii="Calibri" w:eastAsia="Calibri" w:hAnsi="Calibri" w:cs="Times New Roman"/>
          <w:noProof/>
          <w:lang w:eastAsia="en-GB"/>
        </w:rPr>
        <mc:AlternateContent>
          <mc:Choice Requires="wps">
            <w:drawing>
              <wp:anchor distT="0" distB="0" distL="114300" distR="114300" simplePos="0" relativeHeight="251678720" behindDoc="0" locked="0" layoutInCell="1" allowOverlap="1" wp14:anchorId="6B6F0C45" wp14:editId="1E36924D">
                <wp:simplePos x="0" y="0"/>
                <wp:positionH relativeFrom="column">
                  <wp:posOffset>685800</wp:posOffset>
                </wp:positionH>
                <wp:positionV relativeFrom="paragraph">
                  <wp:posOffset>1760855</wp:posOffset>
                </wp:positionV>
                <wp:extent cx="1485900" cy="1028700"/>
                <wp:effectExtent l="0" t="0" r="19050" b="19050"/>
                <wp:wrapNone/>
                <wp:docPr id="58" name="Flowchart: Proces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028700"/>
                        </a:xfrm>
                        <a:prstGeom prst="flowChartProcess">
                          <a:avLst/>
                        </a:prstGeom>
                        <a:solidFill>
                          <a:srgbClr val="DDDDDD"/>
                        </a:solidFill>
                        <a:ln w="9525">
                          <a:solidFill>
                            <a:srgbClr val="000000"/>
                          </a:solidFill>
                          <a:miter lim="800000"/>
                          <a:headEnd/>
                          <a:tailEnd/>
                        </a:ln>
                      </wps:spPr>
                      <wps:txbx>
                        <w:txbxContent>
                          <w:p w14:paraId="47F825CA" w14:textId="77777777" w:rsidR="00CE3079" w:rsidRPr="00A21847" w:rsidRDefault="00CE3079" w:rsidP="00DA6B45">
                            <w:pPr>
                              <w:spacing w:after="0" w:line="240" w:lineRule="auto"/>
                              <w:jc w:val="center"/>
                              <w:rPr>
                                <w:u w:val="single"/>
                              </w:rPr>
                            </w:pPr>
                            <w:r w:rsidRPr="00A21847">
                              <w:rPr>
                                <w:u w:val="single"/>
                              </w:rPr>
                              <w:t>Threats &amp; Fear</w:t>
                            </w:r>
                          </w:p>
                          <w:p w14:paraId="15CEA3B5" w14:textId="77777777" w:rsidR="00CE3079" w:rsidRPr="00A21847" w:rsidRDefault="00CE3079" w:rsidP="00DA6B45">
                            <w:pPr>
                              <w:spacing w:after="0" w:line="240" w:lineRule="auto"/>
                            </w:pPr>
                            <w:r w:rsidRPr="00A21847">
                              <w:t>Family security</w:t>
                            </w:r>
                          </w:p>
                          <w:p w14:paraId="336B0AC1" w14:textId="77777777" w:rsidR="00CE3079" w:rsidRPr="00A21847" w:rsidRDefault="00CE3079" w:rsidP="00DA6B45">
                            <w:pPr>
                              <w:spacing w:after="0" w:line="240" w:lineRule="auto"/>
                            </w:pPr>
                            <w:r w:rsidRPr="00A21847">
                              <w:t>Poor in retirement</w:t>
                            </w:r>
                          </w:p>
                          <w:p w14:paraId="2C886A34" w14:textId="77777777" w:rsidR="00CE3079" w:rsidRPr="00A21847" w:rsidRDefault="00CE3079" w:rsidP="00DA6B45">
                            <w:pPr>
                              <w:spacing w:after="0" w:line="240" w:lineRule="auto"/>
                            </w:pPr>
                            <w:r w:rsidRPr="00A21847">
                              <w:t>Paying too much</w:t>
                            </w:r>
                          </w:p>
                          <w:p w14:paraId="085F0970" w14:textId="77777777" w:rsidR="00CE3079" w:rsidRPr="00A21847" w:rsidRDefault="00CE3079" w:rsidP="00DA6B45">
                            <w:pPr>
                              <w:spacing w:after="0" w:line="240" w:lineRule="auto"/>
                            </w:pPr>
                            <w:r w:rsidRPr="00A21847">
                              <w:t>Situation outcome</w:t>
                            </w:r>
                          </w:p>
                          <w:p w14:paraId="40F9B82C" w14:textId="77777777" w:rsidR="00CE3079" w:rsidRPr="00C9612E" w:rsidRDefault="00CE3079" w:rsidP="00DA6B45">
                            <w:pPr>
                              <w:rPr>
                                <w:sz w:val="24"/>
                              </w:rPr>
                            </w:pPr>
                          </w:p>
                          <w:p w14:paraId="471B4973" w14:textId="77777777" w:rsidR="00CE3079" w:rsidRPr="0077365D" w:rsidRDefault="00CE3079" w:rsidP="00DA6B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F0C45" id="_x0000_t109" coordsize="21600,21600" o:spt="109" path="m,l,21600r21600,l21600,xe">
                <v:stroke joinstyle="miter"/>
                <v:path gradientshapeok="t" o:connecttype="rect"/>
              </v:shapetype>
              <v:shape id="Flowchart: Process 58" o:spid="_x0000_s1028" type="#_x0000_t109" style="position:absolute;margin-left:54pt;margin-top:138.65pt;width:117pt;height: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" fillcolor="#ddd">
                <v:textbox>
                  <w:txbxContent>
                    <w:p w14:paraId="47F825CA" w14:textId="77777777" w:rsidR="00CE3079" w:rsidRPr="00A21847" w:rsidRDefault="00CE3079" w:rsidP="00DA6B45">
                      <w:pPr>
                        <w:spacing w:after="0" w:line="240" w:lineRule="auto"/>
                        <w:jc w:val="center"/>
                        <w:rPr>
                          <w:u w:val="single"/>
                        </w:rPr>
                      </w:pPr>
                      <w:r w:rsidRPr="00A21847">
                        <w:rPr>
                          <w:u w:val="single"/>
                        </w:rPr>
                        <w:t>Threats &amp; Fear</w:t>
                      </w:r>
                    </w:p>
                    <w:p w14:paraId="15CEA3B5" w14:textId="77777777" w:rsidR="00CE3079" w:rsidRPr="00A21847" w:rsidRDefault="00CE3079" w:rsidP="00DA6B45">
                      <w:pPr>
                        <w:spacing w:after="0" w:line="240" w:lineRule="auto"/>
                      </w:pPr>
                      <w:r w:rsidRPr="00A21847">
                        <w:t>Family security</w:t>
                      </w:r>
                    </w:p>
                    <w:p w14:paraId="336B0AC1" w14:textId="77777777" w:rsidR="00CE3079" w:rsidRPr="00A21847" w:rsidRDefault="00CE3079" w:rsidP="00DA6B45">
                      <w:pPr>
                        <w:spacing w:after="0" w:line="240" w:lineRule="auto"/>
                      </w:pPr>
                      <w:r w:rsidRPr="00A21847">
                        <w:t>Poor in retirement</w:t>
                      </w:r>
                    </w:p>
                    <w:p w14:paraId="2C886A34" w14:textId="77777777" w:rsidR="00CE3079" w:rsidRPr="00A21847" w:rsidRDefault="00CE3079" w:rsidP="00DA6B45">
                      <w:pPr>
                        <w:spacing w:after="0" w:line="240" w:lineRule="auto"/>
                      </w:pPr>
                      <w:r w:rsidRPr="00A21847">
                        <w:t>Paying too much</w:t>
                      </w:r>
                    </w:p>
                    <w:p w14:paraId="085F0970" w14:textId="77777777" w:rsidR="00CE3079" w:rsidRPr="00A21847" w:rsidRDefault="00CE3079" w:rsidP="00DA6B45">
                      <w:pPr>
                        <w:spacing w:after="0" w:line="240" w:lineRule="auto"/>
                      </w:pPr>
                      <w:r w:rsidRPr="00A21847">
                        <w:t>Situation outcome</w:t>
                      </w:r>
                    </w:p>
                    <w:p w14:paraId="40F9B82C" w14:textId="77777777" w:rsidR="00CE3079" w:rsidRPr="00C9612E" w:rsidRDefault="00CE3079" w:rsidP="00DA6B45">
                      <w:pPr>
                        <w:rPr>
                          <w:sz w:val="24"/>
                        </w:rPr>
                      </w:pPr>
                    </w:p>
                    <w:p w14:paraId="471B4973" w14:textId="77777777" w:rsidR="00CE3079" w:rsidRPr="0077365D" w:rsidRDefault="00CE3079" w:rsidP="00DA6B45"/>
                  </w:txbxContent>
                </v:textbox>
              </v:shape>
            </w:pict>
          </mc:Fallback>
        </mc:AlternateContent>
      </w:r>
      <w:r w:rsidRPr="00DA6B45">
        <w:rPr>
          <w:rFonts w:ascii="Calibri" w:eastAsia="Calibri" w:hAnsi="Calibri" w:cs="Times New Roman"/>
          <w:noProof/>
          <w:lang w:eastAsia="en-GB"/>
        </w:rPr>
        <mc:AlternateContent>
          <mc:Choice Requires="wps">
            <w:drawing>
              <wp:anchor distT="0" distB="0" distL="114300" distR="114300" simplePos="0" relativeHeight="251675648" behindDoc="0" locked="0" layoutInCell="1" allowOverlap="1" wp14:anchorId="2E9768B8" wp14:editId="01991F08">
                <wp:simplePos x="0" y="0"/>
                <wp:positionH relativeFrom="column">
                  <wp:posOffset>0</wp:posOffset>
                </wp:positionH>
                <wp:positionV relativeFrom="paragraph">
                  <wp:posOffset>342900</wp:posOffset>
                </wp:positionV>
                <wp:extent cx="2971800" cy="1123950"/>
                <wp:effectExtent l="0" t="0" r="19050" b="19050"/>
                <wp:wrapNone/>
                <wp:docPr id="59" name="Flowchart: Proces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123950"/>
                        </a:xfrm>
                        <a:prstGeom prst="flowChartProcess">
                          <a:avLst/>
                        </a:prstGeom>
                        <a:solidFill>
                          <a:srgbClr val="DDDDDD"/>
                        </a:solidFill>
                        <a:ln w="9525">
                          <a:solidFill>
                            <a:srgbClr val="000000"/>
                          </a:solidFill>
                          <a:miter lim="800000"/>
                          <a:headEnd/>
                          <a:tailEnd/>
                        </a:ln>
                      </wps:spPr>
                      <wps:txbx>
                        <w:txbxContent>
                          <w:p w14:paraId="7CDD95F8" w14:textId="77777777" w:rsidR="00CE3079" w:rsidRPr="0077365D" w:rsidRDefault="00CE3079" w:rsidP="00DA6B45">
                            <w:pPr>
                              <w:spacing w:after="0" w:line="240" w:lineRule="auto"/>
                              <w:jc w:val="center"/>
                              <w:rPr>
                                <w:b/>
                              </w:rPr>
                            </w:pPr>
                            <w:r w:rsidRPr="0077365D">
                              <w:rPr>
                                <w:b/>
                              </w:rPr>
                              <w:t>Internal</w:t>
                            </w:r>
                          </w:p>
                          <w:p w14:paraId="5BCF3916" w14:textId="77777777" w:rsidR="00CE3079" w:rsidRDefault="00CE3079" w:rsidP="00DA6B45">
                            <w:pPr>
                              <w:spacing w:after="0" w:line="240" w:lineRule="auto"/>
                            </w:pPr>
                            <w:r>
                              <w:t>Memory</w:t>
                            </w:r>
                          </w:p>
                          <w:p w14:paraId="37CDF3B5" w14:textId="77777777" w:rsidR="00CE3079" w:rsidRPr="000017FD" w:rsidRDefault="00CE3079" w:rsidP="00DA6B45">
                            <w:pPr>
                              <w:spacing w:after="0" w:line="240" w:lineRule="auto"/>
                              <w:rPr>
                                <w:sz w:val="20"/>
                                <w:szCs w:val="20"/>
                              </w:rPr>
                            </w:pPr>
                            <w:r>
                              <w:t>Knowledge of Need</w:t>
                            </w:r>
                          </w:p>
                          <w:p w14:paraId="730B441D" w14:textId="77777777" w:rsidR="00CE3079" w:rsidRDefault="00CE3079" w:rsidP="00DA6B45">
                            <w:pPr>
                              <w:spacing w:after="0" w:line="240" w:lineRule="auto"/>
                            </w:pPr>
                            <w:r>
                              <w:t>Life-course Event</w:t>
                            </w:r>
                          </w:p>
                          <w:p w14:paraId="1240F2D1" w14:textId="77777777" w:rsidR="00CE3079" w:rsidRPr="0077365D" w:rsidRDefault="00CE3079" w:rsidP="00DA6B45">
                            <w:pPr>
                              <w:spacing w:after="0" w:line="240" w:lineRule="auto"/>
                            </w:pPr>
                            <w:r>
                              <w:t>Advice as Subjective Norm</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768B8" id="Flowchart: Process 59" o:spid="_x0000_s1029" type="#_x0000_t109" style="position:absolute;margin-left:0;margin-top:27pt;width:234pt;height: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" fillcolor="#ddd">
                <v:textbox>
                  <w:txbxContent>
                    <w:p w14:paraId="7CDD95F8" w14:textId="77777777" w:rsidR="00CE3079" w:rsidRPr="0077365D" w:rsidRDefault="00CE3079" w:rsidP="00DA6B45">
                      <w:pPr>
                        <w:spacing w:after="0" w:line="240" w:lineRule="auto"/>
                        <w:jc w:val="center"/>
                        <w:rPr>
                          <w:b/>
                        </w:rPr>
                      </w:pPr>
                      <w:r w:rsidRPr="0077365D">
                        <w:rPr>
                          <w:b/>
                        </w:rPr>
                        <w:t>Internal</w:t>
                      </w:r>
                    </w:p>
                    <w:p w14:paraId="5BCF3916" w14:textId="77777777" w:rsidR="00CE3079" w:rsidRDefault="00CE3079" w:rsidP="00DA6B45">
                      <w:pPr>
                        <w:spacing w:after="0" w:line="240" w:lineRule="auto"/>
                      </w:pPr>
                      <w:r>
                        <w:t>Memory</w:t>
                      </w:r>
                    </w:p>
                    <w:p w14:paraId="37CDF3B5" w14:textId="77777777" w:rsidR="00CE3079" w:rsidRPr="000017FD" w:rsidRDefault="00CE3079" w:rsidP="00DA6B45">
                      <w:pPr>
                        <w:spacing w:after="0" w:line="240" w:lineRule="auto"/>
                        <w:rPr>
                          <w:sz w:val="20"/>
                          <w:szCs w:val="20"/>
                        </w:rPr>
                      </w:pPr>
                      <w:r>
                        <w:t>Knowledge of Need</w:t>
                      </w:r>
                    </w:p>
                    <w:p w14:paraId="730B441D" w14:textId="77777777" w:rsidR="00CE3079" w:rsidRDefault="00CE3079" w:rsidP="00DA6B45">
                      <w:pPr>
                        <w:spacing w:after="0" w:line="240" w:lineRule="auto"/>
                      </w:pPr>
                      <w:r>
                        <w:t>Life-course Event</w:t>
                      </w:r>
                    </w:p>
                    <w:p w14:paraId="1240F2D1" w14:textId="77777777" w:rsidR="00CE3079" w:rsidRPr="0077365D" w:rsidRDefault="00CE3079" w:rsidP="00DA6B45">
                      <w:pPr>
                        <w:spacing w:after="0" w:line="240" w:lineRule="auto"/>
                      </w:pPr>
                      <w:r>
                        <w:t>Advice as Subjective Norm</w:t>
                      </w:r>
                      <w:r>
                        <w:tab/>
                      </w:r>
                    </w:p>
                  </w:txbxContent>
                </v:textbox>
              </v:shape>
            </w:pict>
          </mc:Fallback>
        </mc:AlternateContent>
      </w:r>
      <w:r w:rsidRPr="00DA6B45">
        <w:rPr>
          <w:rFonts w:ascii="Calibri" w:eastAsia="Calibri" w:hAnsi="Calibri" w:cs="Times New Roman"/>
          <w:noProof/>
          <w:lang w:eastAsia="en-GB"/>
        </w:rPr>
        <mc:AlternateContent>
          <mc:Choice Requires="wps">
            <w:drawing>
              <wp:anchor distT="0" distB="0" distL="114300" distR="114300" simplePos="0" relativeHeight="251676672" behindDoc="0" locked="0" layoutInCell="1" allowOverlap="1" wp14:anchorId="6A48349E" wp14:editId="6F1792E0">
                <wp:simplePos x="0" y="0"/>
                <wp:positionH relativeFrom="column">
                  <wp:posOffset>2981325</wp:posOffset>
                </wp:positionH>
                <wp:positionV relativeFrom="paragraph">
                  <wp:posOffset>342901</wp:posOffset>
                </wp:positionV>
                <wp:extent cx="2743200" cy="1123950"/>
                <wp:effectExtent l="0" t="0" r="19050" b="19050"/>
                <wp:wrapNone/>
                <wp:docPr id="60" name="Flowchart: Process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23950"/>
                        </a:xfrm>
                        <a:prstGeom prst="flowChartProcess">
                          <a:avLst/>
                        </a:prstGeom>
                        <a:solidFill>
                          <a:srgbClr val="DDDDDD"/>
                        </a:solidFill>
                        <a:ln w="9525">
                          <a:solidFill>
                            <a:srgbClr val="000000"/>
                          </a:solidFill>
                          <a:miter lim="800000"/>
                          <a:headEnd/>
                          <a:tailEnd/>
                        </a:ln>
                      </wps:spPr>
                      <wps:txbx>
                        <w:txbxContent>
                          <w:p w14:paraId="60AFED27" w14:textId="77777777" w:rsidR="00CE3079" w:rsidRPr="0077365D" w:rsidRDefault="00CE3079" w:rsidP="00DA6B45">
                            <w:pPr>
                              <w:spacing w:after="0" w:line="240" w:lineRule="auto"/>
                              <w:jc w:val="center"/>
                              <w:rPr>
                                <w:b/>
                              </w:rPr>
                            </w:pPr>
                            <w:r w:rsidRPr="0077365D">
                              <w:rPr>
                                <w:b/>
                              </w:rPr>
                              <w:t>External</w:t>
                            </w:r>
                          </w:p>
                          <w:p w14:paraId="5829D7F8" w14:textId="26783EBC" w:rsidR="00CE3079" w:rsidRDefault="00CE3079" w:rsidP="00DA6B45">
                            <w:pPr>
                              <w:spacing w:after="0" w:line="240" w:lineRule="auto"/>
                            </w:pPr>
                            <w:r w:rsidRPr="008A646F">
                              <w:t xml:space="preserve">Advice </w:t>
                            </w:r>
                            <w:r>
                              <w:t xml:space="preserve">or referral from trusted source </w:t>
                            </w:r>
                            <w:r w:rsidRPr="008A646F">
                              <w:t>Family/Friend</w:t>
                            </w:r>
                            <w:r>
                              <w:t>/</w:t>
                            </w:r>
                            <w:r w:rsidRPr="008A646F">
                              <w:t>Employer</w:t>
                            </w:r>
                            <w:r>
                              <w:t>/</w:t>
                            </w:r>
                            <w:r w:rsidRPr="008A646F">
                              <w:t>Other prof</w:t>
                            </w:r>
                            <w:r>
                              <w:t>essional</w:t>
                            </w:r>
                          </w:p>
                          <w:p w14:paraId="584F2706" w14:textId="77777777" w:rsidR="00CE3079" w:rsidRDefault="00CE3079" w:rsidP="00DA6B45">
                            <w:pPr>
                              <w:spacing w:after="0" w:line="240" w:lineRule="auto"/>
                            </w:pPr>
                            <w:r>
                              <w:t xml:space="preserve">Financial Health-Check, </w:t>
                            </w:r>
                            <w:r w:rsidRPr="008A646F">
                              <w:t>Publicity campaigns</w:t>
                            </w:r>
                          </w:p>
                          <w:p w14:paraId="6F98FA87" w14:textId="77777777" w:rsidR="00CE3079" w:rsidRDefault="00CE3079" w:rsidP="00DA6B45">
                            <w:pPr>
                              <w:spacing w:after="0" w:line="240" w:lineRule="auto"/>
                            </w:pPr>
                            <w:r>
                              <w:t>O</w:t>
                            </w:r>
                            <w:r w:rsidRPr="008A646F">
                              <w:t>thers’ negative experience</w:t>
                            </w:r>
                            <w:r>
                              <w:t>s</w:t>
                            </w:r>
                          </w:p>
                          <w:p w14:paraId="5ACFF5B7" w14:textId="77777777" w:rsidR="00CE3079" w:rsidRPr="00DA6B45" w:rsidRDefault="00CE3079" w:rsidP="00DA6B45">
                            <w:pPr>
                              <w:rPr>
                                <w:color w:val="DDDDDD"/>
                              </w:rPr>
                            </w:pPr>
                            <w:r>
                              <w:t>Social Norm</w:t>
                            </w:r>
                          </w:p>
                          <w:p w14:paraId="7712643D" w14:textId="77777777" w:rsidR="00CE3079" w:rsidRDefault="00CE3079" w:rsidP="00DA6B45"/>
                          <w:p w14:paraId="179C748B" w14:textId="77777777" w:rsidR="00CE3079" w:rsidRPr="0077365D" w:rsidRDefault="00CE3079" w:rsidP="00DA6B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8349E" id="Flowchart: Process 60" o:spid="_x0000_s1030" type="#_x0000_t109" style="position:absolute;margin-left:234.75pt;margin-top:27pt;width:3in;height: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" fillcolor="#ddd">
                <v:textbox>
                  <w:txbxContent>
                    <w:p w14:paraId="60AFED27" w14:textId="77777777" w:rsidR="00CE3079" w:rsidRPr="0077365D" w:rsidRDefault="00CE3079" w:rsidP="00DA6B45">
                      <w:pPr>
                        <w:spacing w:after="0" w:line="240" w:lineRule="auto"/>
                        <w:jc w:val="center"/>
                        <w:rPr>
                          <w:b/>
                        </w:rPr>
                      </w:pPr>
                      <w:r w:rsidRPr="0077365D">
                        <w:rPr>
                          <w:b/>
                        </w:rPr>
                        <w:t>External</w:t>
                      </w:r>
                    </w:p>
                    <w:p w14:paraId="5829D7F8" w14:textId="26783EBC" w:rsidR="00CE3079" w:rsidRDefault="00CE3079" w:rsidP="00DA6B45">
                      <w:pPr>
                        <w:spacing w:after="0" w:line="240" w:lineRule="auto"/>
                      </w:pPr>
                      <w:r w:rsidRPr="008A646F">
                        <w:t xml:space="preserve">Advice </w:t>
                      </w:r>
                      <w:r>
                        <w:t xml:space="preserve">or referral from trusted source </w:t>
                      </w:r>
                      <w:r w:rsidRPr="008A646F">
                        <w:t>Family/Friend</w:t>
                      </w:r>
                      <w:r>
                        <w:t>/</w:t>
                      </w:r>
                      <w:r w:rsidRPr="008A646F">
                        <w:t>Employer</w:t>
                      </w:r>
                      <w:r>
                        <w:t>/</w:t>
                      </w:r>
                      <w:r w:rsidRPr="008A646F">
                        <w:t>Other prof</w:t>
                      </w:r>
                      <w:r>
                        <w:t>essional</w:t>
                      </w:r>
                    </w:p>
                    <w:p w14:paraId="584F2706" w14:textId="77777777" w:rsidR="00CE3079" w:rsidRDefault="00CE3079" w:rsidP="00DA6B45">
                      <w:pPr>
                        <w:spacing w:after="0" w:line="240" w:lineRule="auto"/>
                      </w:pPr>
                      <w:r>
                        <w:t xml:space="preserve">Financial Health-Check, </w:t>
                      </w:r>
                      <w:r w:rsidRPr="008A646F">
                        <w:t>Publicity campaigns</w:t>
                      </w:r>
                    </w:p>
                    <w:p w14:paraId="6F98FA87" w14:textId="77777777" w:rsidR="00CE3079" w:rsidRDefault="00CE3079" w:rsidP="00DA6B45">
                      <w:pPr>
                        <w:spacing w:after="0" w:line="240" w:lineRule="auto"/>
                      </w:pPr>
                      <w:r>
                        <w:t>O</w:t>
                      </w:r>
                      <w:r w:rsidRPr="008A646F">
                        <w:t>thers’ negative experience</w:t>
                      </w:r>
                      <w:r>
                        <w:t>s</w:t>
                      </w:r>
                    </w:p>
                    <w:p w14:paraId="5ACFF5B7" w14:textId="77777777" w:rsidR="00CE3079" w:rsidRPr="00DA6B45" w:rsidRDefault="00CE3079" w:rsidP="00DA6B45">
                      <w:pPr>
                        <w:rPr>
                          <w:color w:val="DDDDDD"/>
                        </w:rPr>
                      </w:pPr>
                      <w:r>
                        <w:t>Social Norm</w:t>
                      </w:r>
                    </w:p>
                    <w:p w14:paraId="7712643D" w14:textId="77777777" w:rsidR="00CE3079" w:rsidRDefault="00CE3079" w:rsidP="00DA6B45"/>
                    <w:p w14:paraId="179C748B" w14:textId="77777777" w:rsidR="00CE3079" w:rsidRPr="0077365D" w:rsidRDefault="00CE3079" w:rsidP="00DA6B45"/>
                  </w:txbxContent>
                </v:textbox>
              </v:shape>
            </w:pict>
          </mc:Fallback>
        </mc:AlternateContent>
      </w:r>
      <w:r w:rsidRPr="00DA6B45">
        <w:rPr>
          <w:rFonts w:ascii="Calibri" w:eastAsia="Calibri" w:hAnsi="Calibri" w:cs="Times New Roman"/>
          <w:noProof/>
          <w:lang w:eastAsia="en-GB"/>
        </w:rPr>
        <mc:AlternateContent>
          <mc:Choice Requires="wps">
            <w:drawing>
              <wp:anchor distT="0" distB="0" distL="114300" distR="114300" simplePos="0" relativeHeight="251674624" behindDoc="0" locked="0" layoutInCell="1" allowOverlap="1" wp14:anchorId="766A7BE1" wp14:editId="6E1F6524">
                <wp:simplePos x="0" y="0"/>
                <wp:positionH relativeFrom="column">
                  <wp:posOffset>0</wp:posOffset>
                </wp:positionH>
                <wp:positionV relativeFrom="paragraph">
                  <wp:posOffset>28575</wp:posOffset>
                </wp:positionV>
                <wp:extent cx="5715000" cy="314325"/>
                <wp:effectExtent l="0" t="0" r="19050" b="2857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14325"/>
                        </a:xfrm>
                        <a:prstGeom prst="rect">
                          <a:avLst/>
                        </a:prstGeom>
                        <a:solidFill>
                          <a:srgbClr val="DDDDDD"/>
                        </a:solidFill>
                        <a:ln w="9525">
                          <a:solidFill>
                            <a:srgbClr val="000000"/>
                          </a:solidFill>
                          <a:miter lim="800000"/>
                          <a:headEnd/>
                          <a:tailEnd/>
                        </a:ln>
                      </wps:spPr>
                      <wps:txbx>
                        <w:txbxContent>
                          <w:p w14:paraId="682FC00D" w14:textId="77777777" w:rsidR="00CE3079" w:rsidRPr="008A646F" w:rsidRDefault="00CE3079" w:rsidP="00DA6B45">
                            <w:pPr>
                              <w:spacing w:after="0" w:line="240" w:lineRule="auto"/>
                              <w:jc w:val="center"/>
                              <w:rPr>
                                <w:b/>
                                <w:u w:val="single"/>
                              </w:rPr>
                            </w:pPr>
                            <w:r w:rsidRPr="008A646F">
                              <w:rPr>
                                <w:b/>
                                <w:u w:val="single"/>
                              </w:rPr>
                              <w:t>Trigger Events</w:t>
                            </w:r>
                          </w:p>
                          <w:p w14:paraId="0AE79E79" w14:textId="77777777" w:rsidR="00CE3079" w:rsidRDefault="00CE3079" w:rsidP="00DA6B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A7BE1" id="Rectangle 61" o:spid="_x0000_s1031" style="position:absolute;margin-left:0;margin-top:2.25pt;width:450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" fillcolor="#ddd">
                <v:textbox>
                  <w:txbxContent>
                    <w:p w14:paraId="682FC00D" w14:textId="77777777" w:rsidR="00CE3079" w:rsidRPr="008A646F" w:rsidRDefault="00CE3079" w:rsidP="00DA6B45">
                      <w:pPr>
                        <w:spacing w:after="0" w:line="240" w:lineRule="auto"/>
                        <w:jc w:val="center"/>
                        <w:rPr>
                          <w:b/>
                          <w:u w:val="single"/>
                        </w:rPr>
                      </w:pPr>
                      <w:r w:rsidRPr="008A646F">
                        <w:rPr>
                          <w:b/>
                          <w:u w:val="single"/>
                        </w:rPr>
                        <w:t>Trigger Events</w:t>
                      </w:r>
                    </w:p>
                    <w:p w14:paraId="0AE79E79" w14:textId="77777777" w:rsidR="00CE3079" w:rsidRDefault="00CE3079" w:rsidP="00DA6B45"/>
                  </w:txbxContent>
                </v:textbox>
              </v:rect>
            </w:pict>
          </mc:Fallback>
        </mc:AlternateContent>
      </w:r>
      <w:r w:rsidRPr="00DA6B45">
        <w:rPr>
          <w:rFonts w:ascii="Calibri" w:eastAsia="Calibri" w:hAnsi="Calibri" w:cs="Times New Roman"/>
          <w:noProof/>
          <w:lang w:eastAsia="en-GB"/>
        </w:rPr>
        <mc:AlternateContent>
          <mc:Choice Requires="wpc">
            <w:drawing>
              <wp:inline distT="0" distB="0" distL="0" distR="0" wp14:anchorId="45780067" wp14:editId="27B43FAB">
                <wp:extent cx="5752465" cy="7540625"/>
                <wp:effectExtent l="0" t="0" r="0" b="3175"/>
                <wp:docPr id="71" name="Canvas 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2" name="AutoShape 4"/>
                        <wps:cNvSpPr>
                          <a:spLocks noChangeArrowheads="1"/>
                        </wps:cNvSpPr>
                        <wps:spPr bwMode="auto">
                          <a:xfrm>
                            <a:off x="571436" y="3287659"/>
                            <a:ext cx="4800600" cy="3025677"/>
                          </a:xfrm>
                          <a:prstGeom prst="flowChartProcess">
                            <a:avLst/>
                          </a:prstGeom>
                          <a:solidFill>
                            <a:srgbClr val="DDDDDD"/>
                          </a:solidFill>
                          <a:ln w="9525">
                            <a:solidFill>
                              <a:srgbClr val="000000"/>
                            </a:solidFill>
                            <a:miter lim="800000"/>
                            <a:headEnd/>
                            <a:tailEnd/>
                          </a:ln>
                        </wps:spPr>
                        <wps:txbx>
                          <w:txbxContent>
                            <w:p w14:paraId="72B74313" w14:textId="77777777" w:rsidR="00CE3079" w:rsidRDefault="00CE3079" w:rsidP="00DA6B45">
                              <w:pPr>
                                <w:spacing w:after="0" w:line="240" w:lineRule="auto"/>
                              </w:pPr>
                              <w:r w:rsidRPr="00432D7C">
                                <w:rPr>
                                  <w:u w:val="single"/>
                                </w:rPr>
                                <w:t xml:space="preserve">Promoter </w:t>
                              </w:r>
                              <w:r>
                                <w:t xml:space="preserve">                        </w:t>
                              </w:r>
                              <w:r w:rsidRPr="006F4999">
                                <w:rPr>
                                  <w:u w:val="single"/>
                                </w:rPr>
                                <w:t>Consumer Intention Influencers</w:t>
                              </w:r>
                              <w:r>
                                <w:t xml:space="preserve">                              </w:t>
                              </w:r>
                              <w:r w:rsidRPr="00432D7C">
                                <w:rPr>
                                  <w:u w:val="single"/>
                                </w:rPr>
                                <w:t>Inhibitor</w:t>
                              </w:r>
                            </w:p>
                            <w:p w14:paraId="7B9515CD" w14:textId="77777777" w:rsidR="00CE3079" w:rsidRDefault="00CE3079" w:rsidP="00DA6B45">
                              <w:pPr>
                                <w:spacing w:after="0" w:line="240" w:lineRule="auto"/>
                              </w:pPr>
                              <w:r>
                                <w:t xml:space="preserve">  High …………………………………..… Trust………….……………………  Low</w:t>
                              </w:r>
                            </w:p>
                            <w:p w14:paraId="21725AE0" w14:textId="4AA6657C" w:rsidR="00CE3079" w:rsidRDefault="00CE3079" w:rsidP="00DA6B45">
                              <w:pPr>
                                <w:spacing w:after="0" w:line="240" w:lineRule="auto"/>
                              </w:pPr>
                              <w:r>
                                <w:t xml:space="preserve">  High …………….………..perceived value of outcome……………………….Low</w:t>
                              </w:r>
                            </w:p>
                            <w:p w14:paraId="3B151187" w14:textId="77777777" w:rsidR="00CE3079" w:rsidRDefault="00CE3079" w:rsidP="00DA6B45">
                              <w:pPr>
                                <w:spacing w:after="0" w:line="240" w:lineRule="auto"/>
                              </w:pPr>
                              <w:r>
                                <w:t xml:space="preserve">  High…………….…………perceived outcome expectancy…………….………Low</w:t>
                              </w:r>
                            </w:p>
                            <w:p w14:paraId="324E2CD4" w14:textId="77777777" w:rsidR="00CE3079" w:rsidRDefault="00CE3079" w:rsidP="00DA6B45">
                              <w:pPr>
                                <w:spacing w:after="0" w:line="240" w:lineRule="auto"/>
                              </w:pPr>
                              <w:r>
                                <w:t xml:space="preserve">  Short ………………..….. Timescale until outcome enjoyed……………….…...Long</w:t>
                              </w:r>
                            </w:p>
                            <w:p w14:paraId="7C1A911C" w14:textId="77777777" w:rsidR="00CE3079" w:rsidRDefault="00CE3079" w:rsidP="00DA6B45">
                              <w:pPr>
                                <w:spacing w:after="0" w:line="240" w:lineRule="auto"/>
                              </w:pPr>
                              <w:r>
                                <w:t xml:space="preserve">  Difficult …………………………..Coping strategy………………………..…...Easy </w:t>
                              </w:r>
                            </w:p>
                            <w:p w14:paraId="223DE60C" w14:textId="77777777" w:rsidR="00CE3079" w:rsidRDefault="00CE3079" w:rsidP="00DA6B45">
                              <w:pPr>
                                <w:spacing w:after="0" w:line="240" w:lineRule="auto"/>
                              </w:pPr>
                              <w:r>
                                <w:t xml:space="preserve">  High …………………..…….perceived value of advice………………………..Low</w:t>
                              </w:r>
                            </w:p>
                            <w:p w14:paraId="3BAF0C0A" w14:textId="77777777" w:rsidR="00CE3079" w:rsidRDefault="00CE3079" w:rsidP="00DA6B45">
                              <w:pPr>
                                <w:spacing w:after="0" w:line="240" w:lineRule="auto"/>
                              </w:pPr>
                              <w:r>
                                <w:t xml:space="preserve">  High …………………perception that it is accepted behaviour……………....…Low</w:t>
                              </w:r>
                            </w:p>
                            <w:p w14:paraId="456D9F85" w14:textId="77777777" w:rsidR="00CE3079" w:rsidRDefault="00CE3079" w:rsidP="00DA6B45">
                              <w:pPr>
                                <w:spacing w:after="0" w:line="240" w:lineRule="auto"/>
                              </w:pPr>
                              <w:r>
                                <w:t xml:space="preserve">  Like me…………………..……………..Messenger…………….…………..Unlike me</w:t>
                              </w:r>
                            </w:p>
                            <w:p w14:paraId="198D7A86" w14:textId="77777777" w:rsidR="00CE3079" w:rsidRPr="000C1335" w:rsidRDefault="00CE3079" w:rsidP="00DA6B45">
                              <w:pPr>
                                <w:spacing w:after="0" w:line="240" w:lineRule="auto"/>
                                <w:rPr>
                                  <w:u w:val="single"/>
                                </w:rPr>
                              </w:pPr>
                              <w:r>
                                <w:t xml:space="preserve">                                                        </w:t>
                              </w:r>
                              <w:r w:rsidRPr="000C1335">
                                <w:rPr>
                                  <w:u w:val="single"/>
                                </w:rPr>
                                <w:t>Structure of Service</w:t>
                              </w:r>
                            </w:p>
                            <w:p w14:paraId="63A22BE9" w14:textId="77777777" w:rsidR="00CE3079" w:rsidRDefault="00CE3079" w:rsidP="00DA6B45">
                              <w:pPr>
                                <w:spacing w:after="0" w:line="240" w:lineRule="auto"/>
                              </w:pPr>
                              <w:r>
                                <w:t xml:space="preserve">  High……………………..…………Industry Ethics……………….…………….Low</w:t>
                              </w:r>
                            </w:p>
                            <w:p w14:paraId="5F7B838D" w14:textId="77777777" w:rsidR="00CE3079" w:rsidRDefault="00CE3079" w:rsidP="00DA6B45">
                              <w:pPr>
                                <w:spacing w:after="0" w:line="240" w:lineRule="auto"/>
                              </w:pPr>
                              <w:r>
                                <w:t xml:space="preserve">  For all ……………… ………..……perception that……………………..…..for the Rich</w:t>
                              </w:r>
                            </w:p>
                            <w:p w14:paraId="2072A65F" w14:textId="6E35AF61" w:rsidR="00CE3079" w:rsidRDefault="00CE3079" w:rsidP="00DA6B45">
                              <w:pPr>
                                <w:spacing w:after="0" w:line="240" w:lineRule="auto"/>
                              </w:pPr>
                              <w:r>
                                <w:t xml:space="preserve">  Consumers’ interest at heart…..Industry Culture…………………Self-interest/Profit</w:t>
                              </w:r>
                            </w:p>
                            <w:p w14:paraId="69653E6F" w14:textId="42C00FF9" w:rsidR="00CE3079" w:rsidRDefault="00CE3079" w:rsidP="00DA6B45">
                              <w:pPr>
                                <w:spacing w:after="0" w:line="240" w:lineRule="auto"/>
                              </w:pPr>
                              <w:r>
                                <w:t xml:space="preserve">  Perceived as value………………………..Cost…………..………Perceived as Expensive</w:t>
                              </w:r>
                            </w:p>
                            <w:p w14:paraId="6C1923CE" w14:textId="77777777" w:rsidR="00CE3079" w:rsidRDefault="00CE3079" w:rsidP="00DA6B45">
                              <w:pPr>
                                <w:spacing w:after="0" w:line="240" w:lineRule="auto"/>
                              </w:pPr>
                              <w:r>
                                <w:t xml:space="preserve">  Easy…………..…………………….Administration………………..…………Difficult</w:t>
                              </w:r>
                            </w:p>
                            <w:p w14:paraId="1B7F7CDD" w14:textId="77777777" w:rsidR="00CE3079" w:rsidRDefault="00CE3079" w:rsidP="00DA6B45">
                              <w:pPr>
                                <w:spacing w:after="0" w:line="240" w:lineRule="auto"/>
                              </w:pPr>
                              <w:r>
                                <w:t xml:space="preserve">  Easy…………..……….Accessibility of information or adviser…………….…Difficult</w:t>
                              </w:r>
                            </w:p>
                            <w:p w14:paraId="04E5FAD6" w14:textId="77777777" w:rsidR="00CE3079" w:rsidRPr="00432D7C" w:rsidRDefault="00CE3079" w:rsidP="00DA6B45">
                              <w:pPr>
                                <w:spacing w:after="0" w:line="240" w:lineRule="auto"/>
                              </w:pPr>
                              <w:r>
                                <w:t xml:space="preserve">  Promotes ease of access…………..Regulatory Policy……………..…..Complex access</w:t>
                              </w:r>
                            </w:p>
                          </w:txbxContent>
                        </wps:txbx>
                        <wps:bodyPr rot="0" vert="horz" wrap="square" lIns="91440" tIns="45720" rIns="91440" bIns="45720" anchor="t" anchorCtr="0" upright="1">
                          <a:noAutofit/>
                        </wps:bodyPr>
                      </wps:wsp>
                      <wps:wsp>
                        <wps:cNvPr id="63" name="Rectangle 5"/>
                        <wps:cNvSpPr>
                          <a:spLocks noChangeArrowheads="1"/>
                        </wps:cNvSpPr>
                        <wps:spPr bwMode="auto">
                          <a:xfrm>
                            <a:off x="406505" y="6536455"/>
                            <a:ext cx="1485900" cy="969245"/>
                          </a:xfrm>
                          <a:prstGeom prst="rect">
                            <a:avLst/>
                          </a:prstGeom>
                          <a:solidFill>
                            <a:srgbClr val="DDDDDD"/>
                          </a:solidFill>
                          <a:ln w="9525">
                            <a:solidFill>
                              <a:srgbClr val="000000"/>
                            </a:solidFill>
                            <a:miter lim="800000"/>
                            <a:headEnd/>
                            <a:tailEnd/>
                          </a:ln>
                        </wps:spPr>
                        <wps:txbx>
                          <w:txbxContent>
                            <w:p w14:paraId="05D4A156" w14:textId="77777777" w:rsidR="00CE3079" w:rsidRPr="008A646F" w:rsidRDefault="00CE3079" w:rsidP="00DA6B45">
                              <w:pPr>
                                <w:jc w:val="center"/>
                                <w:rPr>
                                  <w:b/>
                                  <w:sz w:val="28"/>
                                  <w:szCs w:val="28"/>
                                </w:rPr>
                              </w:pPr>
                              <w:r>
                                <w:rPr>
                                  <w:b/>
                                  <w:sz w:val="28"/>
                                  <w:szCs w:val="28"/>
                                </w:rPr>
                                <w:t xml:space="preserve">Search for </w:t>
                              </w:r>
                              <w:r w:rsidRPr="00DC63FA">
                                <w:rPr>
                                  <w:b/>
                                  <w:sz w:val="28"/>
                                  <w:szCs w:val="28"/>
                                </w:rPr>
                                <w:t>information</w:t>
                              </w:r>
                              <w:r>
                                <w:rPr>
                                  <w:b/>
                                  <w:sz w:val="28"/>
                                  <w:szCs w:val="28"/>
                                </w:rPr>
                                <w:t xml:space="preserve"> or take Advice</w:t>
                              </w:r>
                            </w:p>
                            <w:p w14:paraId="493E1F8E" w14:textId="77777777" w:rsidR="00CE3079" w:rsidRPr="008A646F" w:rsidRDefault="00CE3079" w:rsidP="00DA6B45">
                              <w:pPr>
                                <w:jc w:val="center"/>
                                <w:rPr>
                                  <w:b/>
                                  <w:sz w:val="28"/>
                                  <w:szCs w:val="28"/>
                                </w:rPr>
                              </w:pPr>
                            </w:p>
                          </w:txbxContent>
                        </wps:txbx>
                        <wps:bodyPr rot="0" vert="horz" wrap="square" lIns="91440" tIns="45720" rIns="91440" bIns="45720" anchor="t" anchorCtr="0" upright="1">
                          <a:noAutofit/>
                        </wps:bodyPr>
                      </wps:wsp>
                      <wps:wsp>
                        <wps:cNvPr id="64" name="AutoShape 6"/>
                        <wps:cNvSpPr>
                          <a:spLocks noChangeArrowheads="1"/>
                        </wps:cNvSpPr>
                        <wps:spPr bwMode="auto">
                          <a:xfrm>
                            <a:off x="2703443" y="6609275"/>
                            <a:ext cx="2857500" cy="685271"/>
                          </a:xfrm>
                          <a:prstGeom prst="flowChartAlternateProcess">
                            <a:avLst/>
                          </a:prstGeom>
                          <a:solidFill>
                            <a:srgbClr val="DDDDDD"/>
                          </a:solidFill>
                          <a:ln w="9525">
                            <a:solidFill>
                              <a:srgbClr val="000000"/>
                            </a:solidFill>
                            <a:miter lim="800000"/>
                            <a:headEnd/>
                            <a:tailEnd/>
                          </a:ln>
                        </wps:spPr>
                        <wps:txbx>
                          <w:txbxContent>
                            <w:p w14:paraId="6F4D7714" w14:textId="77777777" w:rsidR="00CE3079" w:rsidRDefault="00CE3079" w:rsidP="00DA6B45">
                              <w:r>
                                <w:t>Confidence or Self-Efficacy – Belief the outcome is achievable – ‘I can do it’</w:t>
                              </w:r>
                            </w:p>
                            <w:p w14:paraId="09DE3B12" w14:textId="77777777" w:rsidR="00CE3079" w:rsidRPr="00432D7C" w:rsidRDefault="00CE3079" w:rsidP="00DA6B45">
                              <w:r>
                                <w:t>Perception that Advice lowers barriers</w:t>
                              </w:r>
                            </w:p>
                          </w:txbxContent>
                        </wps:txbx>
                        <wps:bodyPr rot="0" vert="horz" wrap="square" lIns="91440" tIns="45720" rIns="91440" bIns="45720" anchor="t" anchorCtr="0" upright="1">
                          <a:noAutofit/>
                        </wps:bodyPr>
                      </wps:wsp>
                      <wps:wsp>
                        <wps:cNvPr id="65" name="AutoShape 7"/>
                        <wps:cNvSpPr>
                          <a:spLocks noChangeArrowheads="1"/>
                        </wps:cNvSpPr>
                        <wps:spPr bwMode="auto">
                          <a:xfrm>
                            <a:off x="1714500" y="2983934"/>
                            <a:ext cx="342900" cy="113348"/>
                          </a:xfrm>
                          <a:prstGeom prst="downArrow">
                            <a:avLst>
                              <a:gd name="adj1" fmla="val 50000"/>
                              <a:gd name="adj2" fmla="val 25000"/>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wps:wsp>
                        <wps:cNvPr id="66" name="AutoShape 8"/>
                        <wps:cNvSpPr>
                          <a:spLocks noChangeArrowheads="1"/>
                        </wps:cNvSpPr>
                        <wps:spPr bwMode="auto">
                          <a:xfrm>
                            <a:off x="3771735" y="3073119"/>
                            <a:ext cx="342900" cy="114829"/>
                          </a:xfrm>
                          <a:prstGeom prst="downArrow">
                            <a:avLst>
                              <a:gd name="adj1" fmla="val 50000"/>
                              <a:gd name="adj2" fmla="val 25000"/>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wps:wsp>
                        <wps:cNvPr id="67" name="AutoShape 9"/>
                        <wps:cNvSpPr>
                          <a:spLocks noChangeArrowheads="1"/>
                        </wps:cNvSpPr>
                        <wps:spPr bwMode="auto">
                          <a:xfrm rot="5400000">
                            <a:off x="2050885" y="6619272"/>
                            <a:ext cx="343006" cy="457200"/>
                          </a:xfrm>
                          <a:prstGeom prst="downArrow">
                            <a:avLst>
                              <a:gd name="adj1" fmla="val 50000"/>
                              <a:gd name="adj2" fmla="val 32397"/>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wps:wsp>
                        <wps:cNvPr id="68" name="AutoShape 10"/>
                        <wps:cNvSpPr>
                          <a:spLocks noChangeArrowheads="1"/>
                        </wps:cNvSpPr>
                        <wps:spPr bwMode="auto">
                          <a:xfrm>
                            <a:off x="3771900" y="6421912"/>
                            <a:ext cx="342900" cy="114829"/>
                          </a:xfrm>
                          <a:prstGeom prst="downArrow">
                            <a:avLst>
                              <a:gd name="adj1" fmla="val 50000"/>
                              <a:gd name="adj2" fmla="val 25000"/>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wps:wsp>
                        <wps:cNvPr id="69" name="AutoShape 11"/>
                        <wps:cNvSpPr>
                          <a:spLocks noChangeArrowheads="1"/>
                        </wps:cNvSpPr>
                        <wps:spPr bwMode="auto">
                          <a:xfrm>
                            <a:off x="3771735" y="1786601"/>
                            <a:ext cx="1714500" cy="1156624"/>
                          </a:xfrm>
                          <a:prstGeom prst="flowChartProcess">
                            <a:avLst/>
                          </a:prstGeom>
                          <a:solidFill>
                            <a:srgbClr val="DDDDDD"/>
                          </a:solidFill>
                          <a:ln w="9525">
                            <a:solidFill>
                              <a:srgbClr val="000000"/>
                            </a:solidFill>
                            <a:miter lim="800000"/>
                            <a:headEnd/>
                            <a:tailEnd/>
                          </a:ln>
                        </wps:spPr>
                        <wps:txbx>
                          <w:txbxContent>
                            <w:p w14:paraId="2D8CDE4F" w14:textId="77777777" w:rsidR="00CE3079" w:rsidRPr="00705AB5" w:rsidRDefault="00CE3079" w:rsidP="00DA6B45">
                              <w:pPr>
                                <w:spacing w:after="0" w:line="240" w:lineRule="auto"/>
                                <w:jc w:val="center"/>
                                <w:rPr>
                                  <w:u w:val="single"/>
                                </w:rPr>
                              </w:pPr>
                              <w:r w:rsidRPr="00705AB5">
                                <w:rPr>
                                  <w:u w:val="single"/>
                                </w:rPr>
                                <w:t>Goals.</w:t>
                              </w:r>
                            </w:p>
                            <w:p w14:paraId="10393C18" w14:textId="77777777" w:rsidR="00CE3079" w:rsidRDefault="00CE3079" w:rsidP="00DA6B45">
                              <w:pPr>
                                <w:spacing w:after="0" w:line="240" w:lineRule="auto"/>
                              </w:pPr>
                              <w:r>
                                <w:t>New house</w:t>
                              </w:r>
                            </w:p>
                            <w:p w14:paraId="7EC30B74" w14:textId="77777777" w:rsidR="00CE3079" w:rsidRDefault="00CE3079" w:rsidP="00DA6B45">
                              <w:pPr>
                                <w:spacing w:after="0" w:line="240" w:lineRule="auto"/>
                              </w:pPr>
                              <w:r>
                                <w:t>Financial security</w:t>
                              </w:r>
                            </w:p>
                            <w:p w14:paraId="1B9B5DD3" w14:textId="77777777" w:rsidR="00CE3079" w:rsidRDefault="00CE3079" w:rsidP="00DA6B45">
                              <w:pPr>
                                <w:spacing w:after="0" w:line="240" w:lineRule="auto"/>
                              </w:pPr>
                              <w:r>
                                <w:t>Secure retirement</w:t>
                              </w:r>
                            </w:p>
                            <w:p w14:paraId="326B24B8" w14:textId="77777777" w:rsidR="00CE3079" w:rsidRPr="004674DE" w:rsidRDefault="00CE3079" w:rsidP="00DA6B45">
                              <w:pPr>
                                <w:spacing w:after="0" w:line="240" w:lineRule="auto"/>
                              </w:pPr>
                              <w:r>
                                <w:t>Financial/Psychological well-being</w:t>
                              </w:r>
                            </w:p>
                          </w:txbxContent>
                        </wps:txbx>
                        <wps:bodyPr rot="0" vert="horz" wrap="square" lIns="91440" tIns="45720" rIns="91440" bIns="45720" anchor="t" anchorCtr="0" upright="1">
                          <a:noAutofit/>
                        </wps:bodyPr>
                      </wps:wsp>
                      <pic:pic xmlns:pic="http://schemas.openxmlformats.org/drawingml/2006/picture">
                        <pic:nvPicPr>
                          <pic:cNvPr id="70" name="Picture 9"/>
                          <pic:cNvPicPr>
                            <a:picLocks noChangeAspect="1"/>
                          </pic:cNvPicPr>
                        </pic:nvPicPr>
                        <pic:blipFill>
                          <a:blip r:embed="rId8"/>
                          <a:stretch>
                            <a:fillRect/>
                          </a:stretch>
                        </pic:blipFill>
                        <pic:spPr>
                          <a:xfrm>
                            <a:off x="0" y="0"/>
                            <a:ext cx="5716988" cy="204937"/>
                          </a:xfrm>
                          <a:prstGeom prst="rect">
                            <a:avLst/>
                          </a:prstGeom>
                        </pic:spPr>
                      </pic:pic>
                    </wpc:wpc>
                  </a:graphicData>
                </a:graphic>
              </wp:inline>
            </w:drawing>
          </mc:Choice>
          <mc:Fallback>
            <w:pict>
              <v:group w14:anchorId="45780067" id="Canvas 71" o:spid="_x0000_s1032" editas="canvas" style="width:452.95pt;height:593.75pt;mso-position-horizontal-relative:char;mso-position-vertical-relative:line" coordsize="57524,754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57524;height:75406;visibility:visible;mso-wrap-style:square">
                  <v:fill o:detectmouseclick="t"/>
                  <v:path o:connecttype="none"/>
                </v:shape>
                <v:shape id="AutoShape 4" o:spid="_x0000_s1034" type="#_x0000_t109" style="position:absolute;left:5714;top:32876;width:48006;height:30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p7EMMA&#10;AADbAAAADwAAAGRycy9kb3ducmV2LnhtbESPQWvCQBSE7wX/w/KEXkQ3DSVozEZKaaUHL416f2Sf&#10;2WD2bZrdxvTfd4VCj8PMfMMUu8l2YqTBt44VPK0SEMS10y03Ck7H9+UahA/IGjvHpOCHPOzK2UOB&#10;uXY3/qSxCo2IEPY5KjAh9LmUvjZk0a9cTxy9ixsshiiHRuoBbxFuO5kmSSYtthwXDPb0aqi+Vt9W&#10;gfSnN9fuF+dgxgM+bxZf6b7KlHqcTy9bEIGm8B/+a39oBVkK9y/xB8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p7EMMAAADbAAAADwAAAAAAAAAAAAAAAACYAgAAZHJzL2Rv&#10;d25yZXYueG1sUEsFBgAAAAAEAAQA9QAAAIgDAAAAAA==&#10;" fillcolor="#ddd">
                  <v:textbox>
                    <w:txbxContent>
                      <w:p w14:paraId="72B74313" w14:textId="77777777" w:rsidR="00CE3079" w:rsidRDefault="00CE3079" w:rsidP="00DA6B45">
                        <w:pPr>
                          <w:spacing w:after="0" w:line="240" w:lineRule="auto"/>
                        </w:pPr>
                        <w:r w:rsidRPr="00432D7C">
                          <w:rPr>
                            <w:u w:val="single"/>
                          </w:rPr>
                          <w:t xml:space="preserve">Promoter </w:t>
                        </w:r>
                        <w:r>
                          <w:t xml:space="preserve">                        </w:t>
                        </w:r>
                        <w:r w:rsidRPr="006F4999">
                          <w:rPr>
                            <w:u w:val="single"/>
                          </w:rPr>
                          <w:t>Consumer Intention Influencers</w:t>
                        </w:r>
                        <w:r>
                          <w:t xml:space="preserve">                              </w:t>
                        </w:r>
                        <w:r w:rsidRPr="00432D7C">
                          <w:rPr>
                            <w:u w:val="single"/>
                          </w:rPr>
                          <w:t>Inhibitor</w:t>
                        </w:r>
                      </w:p>
                      <w:p w14:paraId="7B9515CD" w14:textId="77777777" w:rsidR="00CE3079" w:rsidRDefault="00CE3079" w:rsidP="00DA6B45">
                        <w:pPr>
                          <w:spacing w:after="0" w:line="240" w:lineRule="auto"/>
                        </w:pPr>
                        <w:r>
                          <w:t xml:space="preserve">  High …………………………………..… Trust………….……………………  Low</w:t>
                        </w:r>
                      </w:p>
                      <w:p w14:paraId="21725AE0" w14:textId="4AA6657C" w:rsidR="00CE3079" w:rsidRDefault="00CE3079" w:rsidP="00DA6B45">
                        <w:pPr>
                          <w:spacing w:after="0" w:line="240" w:lineRule="auto"/>
                        </w:pPr>
                        <w:r>
                          <w:t xml:space="preserve">  High …………….………..perceived value of outcome……………………….Low</w:t>
                        </w:r>
                      </w:p>
                      <w:p w14:paraId="3B151187" w14:textId="77777777" w:rsidR="00CE3079" w:rsidRDefault="00CE3079" w:rsidP="00DA6B45">
                        <w:pPr>
                          <w:spacing w:after="0" w:line="240" w:lineRule="auto"/>
                        </w:pPr>
                        <w:r>
                          <w:t xml:space="preserve">  High…………….…………perceived outcome expectancy…………….………Low</w:t>
                        </w:r>
                      </w:p>
                      <w:p w14:paraId="324E2CD4" w14:textId="77777777" w:rsidR="00CE3079" w:rsidRDefault="00CE3079" w:rsidP="00DA6B45">
                        <w:pPr>
                          <w:spacing w:after="0" w:line="240" w:lineRule="auto"/>
                        </w:pPr>
                        <w:r>
                          <w:t xml:space="preserve">  Short ………………..….. Timescale until outcome enjoyed……………….…...Long</w:t>
                        </w:r>
                      </w:p>
                      <w:p w14:paraId="7C1A911C" w14:textId="77777777" w:rsidR="00CE3079" w:rsidRDefault="00CE3079" w:rsidP="00DA6B45">
                        <w:pPr>
                          <w:spacing w:after="0" w:line="240" w:lineRule="auto"/>
                        </w:pPr>
                        <w:r>
                          <w:t xml:space="preserve">  Difficult …………………………..Coping strategy………………………..…...Easy </w:t>
                        </w:r>
                      </w:p>
                      <w:p w14:paraId="223DE60C" w14:textId="77777777" w:rsidR="00CE3079" w:rsidRDefault="00CE3079" w:rsidP="00DA6B45">
                        <w:pPr>
                          <w:spacing w:after="0" w:line="240" w:lineRule="auto"/>
                        </w:pPr>
                        <w:r>
                          <w:t xml:space="preserve">  High …………………..…….perceived value of advice………………………..Low</w:t>
                        </w:r>
                      </w:p>
                      <w:p w14:paraId="3BAF0C0A" w14:textId="77777777" w:rsidR="00CE3079" w:rsidRDefault="00CE3079" w:rsidP="00DA6B45">
                        <w:pPr>
                          <w:spacing w:after="0" w:line="240" w:lineRule="auto"/>
                        </w:pPr>
                        <w:r>
                          <w:t xml:space="preserve">  High …………………perception that it is accepted behaviour……………....…Low</w:t>
                        </w:r>
                      </w:p>
                      <w:p w14:paraId="456D9F85" w14:textId="77777777" w:rsidR="00CE3079" w:rsidRDefault="00CE3079" w:rsidP="00DA6B45">
                        <w:pPr>
                          <w:spacing w:after="0" w:line="240" w:lineRule="auto"/>
                        </w:pPr>
                        <w:r>
                          <w:t xml:space="preserve">  Like me…………………..……………..Messenger…………….…………..Unlike me</w:t>
                        </w:r>
                      </w:p>
                      <w:p w14:paraId="198D7A86" w14:textId="77777777" w:rsidR="00CE3079" w:rsidRPr="000C1335" w:rsidRDefault="00CE3079" w:rsidP="00DA6B45">
                        <w:pPr>
                          <w:spacing w:after="0" w:line="240" w:lineRule="auto"/>
                          <w:rPr>
                            <w:u w:val="single"/>
                          </w:rPr>
                        </w:pPr>
                        <w:r>
                          <w:t xml:space="preserve">                                                        </w:t>
                        </w:r>
                        <w:r w:rsidRPr="000C1335">
                          <w:rPr>
                            <w:u w:val="single"/>
                          </w:rPr>
                          <w:t>Structure of Service</w:t>
                        </w:r>
                      </w:p>
                      <w:p w14:paraId="63A22BE9" w14:textId="77777777" w:rsidR="00CE3079" w:rsidRDefault="00CE3079" w:rsidP="00DA6B45">
                        <w:pPr>
                          <w:spacing w:after="0" w:line="240" w:lineRule="auto"/>
                        </w:pPr>
                        <w:r>
                          <w:t xml:space="preserve">  High……………………..…………Industry Ethics……………….…………….Low</w:t>
                        </w:r>
                      </w:p>
                      <w:p w14:paraId="5F7B838D" w14:textId="77777777" w:rsidR="00CE3079" w:rsidRDefault="00CE3079" w:rsidP="00DA6B45">
                        <w:pPr>
                          <w:spacing w:after="0" w:line="240" w:lineRule="auto"/>
                        </w:pPr>
                        <w:r>
                          <w:t xml:space="preserve">  For all ……………… ………..……perception that</w:t>
                        </w:r>
                        <w:proofErr w:type="gramStart"/>
                        <w:r>
                          <w:t>……………………..…</w:t>
                        </w:r>
                        <w:proofErr w:type="gramEnd"/>
                        <w:r>
                          <w:t>..for the Rich</w:t>
                        </w:r>
                      </w:p>
                      <w:p w14:paraId="2072A65F" w14:textId="6E35AF61" w:rsidR="00CE3079" w:rsidRDefault="00CE3079" w:rsidP="00DA6B45">
                        <w:pPr>
                          <w:spacing w:after="0" w:line="240" w:lineRule="auto"/>
                        </w:pPr>
                        <w:r>
                          <w:t xml:space="preserve">  Consumers’ interest at heart…..Industry Culture…………………Self-interest/Profit</w:t>
                        </w:r>
                      </w:p>
                      <w:p w14:paraId="69653E6F" w14:textId="42C00FF9" w:rsidR="00CE3079" w:rsidRDefault="00CE3079" w:rsidP="00DA6B45">
                        <w:pPr>
                          <w:spacing w:after="0" w:line="240" w:lineRule="auto"/>
                        </w:pPr>
                        <w:r>
                          <w:t xml:space="preserve">  Perceived as value………………………..Cost…………..………Perceived as Expensive</w:t>
                        </w:r>
                      </w:p>
                      <w:p w14:paraId="6C1923CE" w14:textId="77777777" w:rsidR="00CE3079" w:rsidRDefault="00CE3079" w:rsidP="00DA6B45">
                        <w:pPr>
                          <w:spacing w:after="0" w:line="240" w:lineRule="auto"/>
                        </w:pPr>
                        <w:r>
                          <w:t xml:space="preserve">  Easy…………..…………………….Administration………………..…………Difficult</w:t>
                        </w:r>
                      </w:p>
                      <w:p w14:paraId="1B7F7CDD" w14:textId="77777777" w:rsidR="00CE3079" w:rsidRDefault="00CE3079" w:rsidP="00DA6B45">
                        <w:pPr>
                          <w:spacing w:after="0" w:line="240" w:lineRule="auto"/>
                        </w:pPr>
                        <w:r>
                          <w:t xml:space="preserve">  Easy…………..……….Accessibility of information or adviser…………….…Difficult</w:t>
                        </w:r>
                      </w:p>
                      <w:p w14:paraId="04E5FAD6" w14:textId="77777777" w:rsidR="00CE3079" w:rsidRPr="00432D7C" w:rsidRDefault="00CE3079" w:rsidP="00DA6B45">
                        <w:pPr>
                          <w:spacing w:after="0" w:line="240" w:lineRule="auto"/>
                        </w:pPr>
                        <w:r>
                          <w:t xml:space="preserve">  Promotes ease of access…………..Regulatory Policy</w:t>
                        </w:r>
                        <w:proofErr w:type="gramStart"/>
                        <w:r>
                          <w:t>……………..…</w:t>
                        </w:r>
                        <w:proofErr w:type="gramEnd"/>
                        <w:r>
                          <w:t>..Complex access</w:t>
                        </w:r>
                      </w:p>
                    </w:txbxContent>
                  </v:textbox>
                </v:shape>
                <v:rect id="Rectangle 5" o:spid="_x0000_s1035" style="position:absolute;left:4065;top:65364;width:14859;height:9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U/8YA&#10;AADbAAAADwAAAGRycy9kb3ducmV2LnhtbESPQWvCQBSE74X+h+UVehHdtAUrMRsplYJ0UTD14u2R&#10;fSah2bcxu9X4792C4HGYmW+YbDHYVpyo941jBS+TBARx6UzDlYLdz9d4BsIHZIOtY1JwIQ+L/PEh&#10;w9S4M2/pVIRKRAj7FBXUIXSplL6syaKfuI44egfXWwxR9pU0PZ4j3LbyNUmm0mLDcaHGjj5rKn+L&#10;P6tAd81I6/Vy5Nb6e3V8v2yk3m+Uen4aPuYgAg3hHr61V0bB9A3+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U/8YAAADbAAAADwAAAAAAAAAAAAAAAACYAgAAZHJz&#10;L2Rvd25yZXYueG1sUEsFBgAAAAAEAAQA9QAAAIsDAAAAAA==&#10;" fillcolor="#ddd">
                  <v:textbox>
                    <w:txbxContent>
                      <w:p w14:paraId="05D4A156" w14:textId="77777777" w:rsidR="00CE3079" w:rsidRPr="008A646F" w:rsidRDefault="00CE3079" w:rsidP="00DA6B45">
                        <w:pPr>
                          <w:jc w:val="center"/>
                          <w:rPr>
                            <w:b/>
                            <w:sz w:val="28"/>
                            <w:szCs w:val="28"/>
                          </w:rPr>
                        </w:pPr>
                        <w:r>
                          <w:rPr>
                            <w:b/>
                            <w:sz w:val="28"/>
                            <w:szCs w:val="28"/>
                          </w:rPr>
                          <w:t xml:space="preserve">Search for </w:t>
                        </w:r>
                        <w:r w:rsidRPr="00DC63FA">
                          <w:rPr>
                            <w:b/>
                            <w:sz w:val="28"/>
                            <w:szCs w:val="28"/>
                          </w:rPr>
                          <w:t>information</w:t>
                        </w:r>
                        <w:r>
                          <w:rPr>
                            <w:b/>
                            <w:sz w:val="28"/>
                            <w:szCs w:val="28"/>
                          </w:rPr>
                          <w:t xml:space="preserve"> or take Advice</w:t>
                        </w:r>
                      </w:p>
                      <w:p w14:paraId="493E1F8E" w14:textId="77777777" w:rsidR="00CE3079" w:rsidRPr="008A646F" w:rsidRDefault="00CE3079" w:rsidP="00DA6B45">
                        <w:pPr>
                          <w:jc w:val="center"/>
                          <w:rPr>
                            <w:b/>
                            <w:sz w:val="28"/>
                            <w:szCs w:val="28"/>
                          </w:rPr>
                        </w:pP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 o:spid="_x0000_s1036" type="#_x0000_t176" style="position:absolute;left:27034;top:66092;width:28575;height:6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4EqMMA&#10;AADbAAAADwAAAGRycy9kb3ducmV2LnhtbESPS4vCMBSF9wP+h3AFN4OmyvigGkUGBnQx4PhaX5pr&#10;G21uShNt599PBGGWh/P4OItVa0vxoNobxwqGgwQEcea04VzB8fDVn4HwAVlj6ZgU/JKH1bLztsBU&#10;u4Z/6LEPuYgj7FNUUIRQpVL6rCCLfuAq4uhdXG0xRFnnUtfYxHFbylGSTKRFw5FQYEWfBWW3/d1G&#10;7jT/rt5PI0PXW7k9z3A3NqdGqV63Xc9BBGrDf/jV3mgFkw94fo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44EqMMAAADbAAAADwAAAAAAAAAAAAAAAACYAgAAZHJzL2Rv&#10;d25yZXYueG1sUEsFBgAAAAAEAAQA9QAAAIgDAAAAAA==&#10;" fillcolor="#ddd">
                  <v:textbox>
                    <w:txbxContent>
                      <w:p w14:paraId="6F4D7714" w14:textId="77777777" w:rsidR="00CE3079" w:rsidRDefault="00CE3079" w:rsidP="00DA6B45">
                        <w:r>
                          <w:t>Confidence or Self-Efficacy – Belief the outcome is achievable – ‘I can do it’</w:t>
                        </w:r>
                      </w:p>
                      <w:p w14:paraId="09DE3B12" w14:textId="77777777" w:rsidR="00CE3079" w:rsidRPr="00432D7C" w:rsidRDefault="00CE3079" w:rsidP="00DA6B45">
                        <w:r>
                          <w:t>Perception that Advice lowers barriers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7" type="#_x0000_t67" style="position:absolute;left:17145;top:29839;width:3429;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K+dMQA&#10;AADbAAAADwAAAGRycy9kb3ducmV2LnhtbESPzWrDMBCE74G+g9hCL6aRE5o0OFFCCC30VMjvebE2&#10;lom1MpZquX36qlDIcZiZb5jVZrCN6KnztWMFk3EOgrh0uuZKwen4/rwA4QOyxsYxKfgmD5v1w2iF&#10;hXaR99QfQiUShH2BCkwIbSGlLw1Z9GPXEifv6jqLIcmukrrDmOC2kdM8n0uLNacFgy3tDJW3w5dV&#10;cIsvl+3bZ9z3mRmm/c850/E1U+rpcdguQQQawj383/7QCuYz+Pu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yvnTEAAAA2wAAAA8AAAAAAAAAAAAAAAAAmAIAAGRycy9k&#10;b3ducmV2LnhtbFBLBQYAAAAABAAEAPUAAACJAwAAAAA=&#10;" fillcolor="#ddd"/>
                <v:shape id="AutoShape 8" o:spid="_x0000_s1038" type="#_x0000_t67" style="position:absolute;left:37717;top:30731;width:3429;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A8QA&#10;AADbAAAADwAAAGRycy9kb3ducmV2LnhtbESPzWrDMBCE74G+g9hCLiaRG4IT3CghlAZ6CuSnPS/W&#10;1jKxVsZSLbdPXxUKOQ4z8w2z2Y22FQP1vnGs4GmegyCunG64VnC9HGZrED4ga2wdk4Jv8rDbPkw2&#10;WGoX+UTDOdQiQdiXqMCE0JVS+sqQRT93HXHyPl1vMSTZ11L3GBPctnKR54W02HBaMNjRi6Hqdv6y&#10;Cm5x+bF/PcbTkJlxMfy8ZzquMqWmj+P+GUSgMdzD/+03raAo4O9L+g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IAPEAAAA2wAAAA8AAAAAAAAAAAAAAAAAmAIAAGRycy9k&#10;b3ducmV2LnhtbFBLBQYAAAAABAAEAPUAAACJAwAAAAA=&#10;" fillcolor="#ddd"/>
                <v:shape id="AutoShape 9" o:spid="_x0000_s1039" type="#_x0000_t67" style="position:absolute;left:20508;top:66192;width:3430;height:45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RDUsEA&#10;AADbAAAADwAAAGRycy9kb3ducmV2LnhtbESPUWvCMBSF3wf+h3AHvs1kIplUo4hQ2OPs9gMuzbWp&#10;NjelSbX794sg7PFwzvkOZ7uffCduNMQ2sIH3hQJBXAfbcmPg57t8W4OICdliF5gM/FKE/W72ssXC&#10;hjuf6FalRmQIxwINuJT6QspYO/IYF6Enzt45DB5TlkMj7YD3DPedXCqlpceW84LDno6O6ms1egPj&#10;+qJLNa7aszt9lUpfllWlvTHz1+mwAZFoSv/hZ/vTGtAf8PiSf4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kQ1LBAAAA2wAAAA8AAAAAAAAAAAAAAAAAmAIAAGRycy9kb3du&#10;cmV2LnhtbFBLBQYAAAAABAAEAPUAAACGAwAAAAA=&#10;" adj="16350" fillcolor="#ddd"/>
                <v:shape id="AutoShape 10" o:spid="_x0000_s1040" type="#_x0000_t67" style="position:absolute;left:37719;top:64219;width:3429;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R6sAA&#10;AADbAAAADwAAAGRycy9kb3ducmV2LnhtbERPy4rCMBTdC/MP4Q64KZqOiDNUo8ig4ErQeawvzZ2m&#10;2NyUJtNUv94sBJeH815tBtuInjpfO1bwNs1BEJdO11wp+P7aTz5A+ICssXFMCq7kYbN+Ga2w0C7y&#10;ifpzqEQKYV+gAhNCW0jpS0MW/dS1xIn7c53FkGBXSd1hTOG2kbM8X0iLNacGgy19Giov53+r4BLn&#10;v9vdMZ76zAyz/vaT6fieKTV+HbZLEIGG8BQ/3AetYJH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MR6sAAAADbAAAADwAAAAAAAAAAAAAAAACYAgAAZHJzL2Rvd25y&#10;ZXYueG1sUEsFBgAAAAAEAAQA9QAAAIUDAAAAAA==&#10;" fillcolor="#ddd"/>
                <v:shape id="AutoShape 11" o:spid="_x0000_s1041" type="#_x0000_t109" style="position:absolute;left:37717;top:17866;width:17145;height:11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7pYcMA&#10;AADbAAAADwAAAGRycy9kb3ducmV2LnhtbESPQWvCQBSE7wX/w/KEXqRulBI0zUZErPTQS6PeH9nX&#10;bGj2bcyuMf333YLgcZiZb5h8M9pWDNT7xrGCxTwBQVw53XCt4HR8f1mB8AFZY+uYFPySh00xecox&#10;0+7GXzSUoRYRwj5DBSaELpPSV4Ys+rnriKP37XqLIcq+lrrHW4TbVi6TJJUWG44LBjvaGap+yqtV&#10;IP1p75rD7BzM8Imv69lleShTpZ6n4/YNRKAxPML39odWkK7h/0v8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7pYcMAAADbAAAADwAAAAAAAAAAAAAAAACYAgAAZHJzL2Rv&#10;d25yZXYueG1sUEsFBgAAAAAEAAQA9QAAAIgDAAAAAA==&#10;" fillcolor="#ddd">
                  <v:textbox>
                    <w:txbxContent>
                      <w:p w14:paraId="2D8CDE4F" w14:textId="77777777" w:rsidR="00CE3079" w:rsidRPr="00705AB5" w:rsidRDefault="00CE3079" w:rsidP="00DA6B45">
                        <w:pPr>
                          <w:spacing w:after="0" w:line="240" w:lineRule="auto"/>
                          <w:jc w:val="center"/>
                          <w:rPr>
                            <w:u w:val="single"/>
                          </w:rPr>
                        </w:pPr>
                        <w:r w:rsidRPr="00705AB5">
                          <w:rPr>
                            <w:u w:val="single"/>
                          </w:rPr>
                          <w:t>Goals.</w:t>
                        </w:r>
                      </w:p>
                      <w:p w14:paraId="10393C18" w14:textId="77777777" w:rsidR="00CE3079" w:rsidRDefault="00CE3079" w:rsidP="00DA6B45">
                        <w:pPr>
                          <w:spacing w:after="0" w:line="240" w:lineRule="auto"/>
                        </w:pPr>
                        <w:r>
                          <w:t>New house</w:t>
                        </w:r>
                      </w:p>
                      <w:p w14:paraId="7EC30B74" w14:textId="77777777" w:rsidR="00CE3079" w:rsidRDefault="00CE3079" w:rsidP="00DA6B45">
                        <w:pPr>
                          <w:spacing w:after="0" w:line="240" w:lineRule="auto"/>
                        </w:pPr>
                        <w:r>
                          <w:t>Financial security</w:t>
                        </w:r>
                      </w:p>
                      <w:p w14:paraId="1B9B5DD3" w14:textId="77777777" w:rsidR="00CE3079" w:rsidRDefault="00CE3079" w:rsidP="00DA6B45">
                        <w:pPr>
                          <w:spacing w:after="0" w:line="240" w:lineRule="auto"/>
                        </w:pPr>
                        <w:r>
                          <w:t>Secure retirement</w:t>
                        </w:r>
                      </w:p>
                      <w:p w14:paraId="326B24B8" w14:textId="77777777" w:rsidR="00CE3079" w:rsidRPr="004674DE" w:rsidRDefault="00CE3079" w:rsidP="00DA6B45">
                        <w:pPr>
                          <w:spacing w:after="0" w:line="240" w:lineRule="auto"/>
                        </w:pPr>
                        <w:r>
                          <w:t>Financial/Psychological well-being</w:t>
                        </w:r>
                      </w:p>
                    </w:txbxContent>
                  </v:textbox>
                </v:shape>
                <v:shape id="Picture 9" o:spid="_x0000_s1042" type="#_x0000_t75" style="position:absolute;width:57169;height:2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F8ay+AAAA2wAAAA8AAABkcnMvZG93bnJldi54bWxETz1vwjAQ3ZH4D9YhdQOHDgUFDEIgRMsG&#10;hP0UH3FEfE5j16T/Hg9IjE/ve7nubSMidb52rGA6yUAQl07XXCkoLvvxHIQPyBobx6TgnzysV8PB&#10;EnPtHnyieA6VSCHsc1RgQmhzKX1pyKKfuJY4cTfXWQwJdpXUHT5SuG3kZ5Z9SYs1pwaDLW0Nlffz&#10;n1Wwv/3i6VCbjOKh2O2OP/G6pajUx6jfLEAE6sNb/HJ/awWztD59ST9Arp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XF8ay+AAAA2wAAAA8AAAAAAAAAAAAAAAAAnwIAAGRy&#10;cy9kb3ducmV2LnhtbFBLBQYAAAAABAAEAPcAAACKAwAAAAA=&#10;">
                  <v:imagedata r:id="rId9" o:title=""/>
                  <v:path arrowok="t"/>
                </v:shape>
                <w10:anchorlock/>
              </v:group>
            </w:pict>
          </mc:Fallback>
        </mc:AlternateContent>
      </w:r>
    </w:p>
    <w:p w14:paraId="6B2AA5BE" w14:textId="6CCFE365" w:rsidR="00CB0A56" w:rsidRPr="00EA3B97" w:rsidRDefault="001870CA" w:rsidP="00CB0A56">
      <w:pPr>
        <w:spacing w:after="120" w:line="480" w:lineRule="auto"/>
        <w:rPr>
          <w:rFonts w:eastAsia="Times New Roman" w:cs="Times New Roman"/>
          <w:kern w:val="28"/>
          <w:sz w:val="24"/>
          <w:szCs w:val="24"/>
        </w:rPr>
      </w:pPr>
      <w:r>
        <w:rPr>
          <w:rFonts w:eastAsia="Times New Roman" w:cs="Times New Roman"/>
          <w:kern w:val="28"/>
          <w:sz w:val="24"/>
          <w:szCs w:val="24"/>
        </w:rPr>
        <w:lastRenderedPageBreak/>
        <w:t xml:space="preserve">This </w:t>
      </w:r>
      <w:r w:rsidR="00CB0A56" w:rsidRPr="00334FE8">
        <w:rPr>
          <w:rFonts w:eastAsia="Times New Roman" w:cs="Times New Roman"/>
          <w:kern w:val="28"/>
          <w:sz w:val="24"/>
          <w:szCs w:val="24"/>
        </w:rPr>
        <w:t>‘financial advice belief model’ (FABM) considers the consumer’s journey to advice which usually starts with some form of trigger</w:t>
      </w:r>
      <w:r w:rsidR="00D274AC">
        <w:rPr>
          <w:rFonts w:eastAsia="Times New Roman" w:cs="Times New Roman"/>
          <w:kern w:val="28"/>
          <w:sz w:val="24"/>
          <w:szCs w:val="24"/>
        </w:rPr>
        <w:t>, either an external or an internal trigger.</w:t>
      </w:r>
      <w:r w:rsidR="009150CC">
        <w:rPr>
          <w:rFonts w:eastAsia="Times New Roman" w:cs="Times New Roman"/>
          <w:kern w:val="28"/>
          <w:sz w:val="24"/>
          <w:szCs w:val="24"/>
        </w:rPr>
        <w:t xml:space="preserve"> Without a trigger the journey will not begin</w:t>
      </w:r>
      <w:r w:rsidR="00190486">
        <w:rPr>
          <w:rFonts w:eastAsia="Times New Roman" w:cs="Times New Roman"/>
          <w:kern w:val="28"/>
          <w:sz w:val="24"/>
          <w:szCs w:val="24"/>
        </w:rPr>
        <w:t xml:space="preserve"> unless there is an identified goal </w:t>
      </w:r>
      <w:r w:rsidR="00E57CB9">
        <w:rPr>
          <w:rFonts w:eastAsia="Times New Roman" w:cs="Times New Roman"/>
          <w:kern w:val="28"/>
          <w:sz w:val="24"/>
          <w:szCs w:val="24"/>
        </w:rPr>
        <w:t xml:space="preserve">the pathway to which </w:t>
      </w:r>
      <w:r w:rsidR="00190486">
        <w:rPr>
          <w:rFonts w:eastAsia="Times New Roman" w:cs="Times New Roman"/>
          <w:kern w:val="28"/>
          <w:sz w:val="24"/>
          <w:szCs w:val="24"/>
        </w:rPr>
        <w:t>triggers the need for advice.</w:t>
      </w:r>
    </w:p>
    <w:p w14:paraId="49DFCF00" w14:textId="7D489AA4" w:rsidR="008443AC" w:rsidRPr="00EC69B7" w:rsidRDefault="008443AC" w:rsidP="005F21D5">
      <w:pPr>
        <w:spacing w:after="120" w:line="480" w:lineRule="auto"/>
        <w:rPr>
          <w:rFonts w:cstheme="minorHAnsi"/>
          <w:b/>
          <w:sz w:val="28"/>
          <w:szCs w:val="28"/>
          <w:u w:val="single"/>
        </w:rPr>
      </w:pPr>
      <w:r w:rsidRPr="00EC69B7">
        <w:rPr>
          <w:rFonts w:cstheme="minorHAnsi"/>
          <w:b/>
          <w:sz w:val="28"/>
          <w:szCs w:val="28"/>
          <w:u w:val="single"/>
        </w:rPr>
        <w:t>Research method and analytical framework</w:t>
      </w:r>
      <w:r w:rsidR="00215180" w:rsidRPr="00EC69B7">
        <w:rPr>
          <w:rFonts w:cstheme="minorHAnsi"/>
          <w:b/>
          <w:sz w:val="28"/>
          <w:szCs w:val="28"/>
          <w:u w:val="single"/>
        </w:rPr>
        <w:t>.</w:t>
      </w:r>
    </w:p>
    <w:p w14:paraId="232857E8" w14:textId="79C32429" w:rsidR="009C338C" w:rsidRPr="00EC69B7" w:rsidRDefault="005241E6" w:rsidP="005F21D5">
      <w:pPr>
        <w:spacing w:after="120" w:line="480" w:lineRule="auto"/>
        <w:rPr>
          <w:rFonts w:cstheme="minorHAnsi"/>
          <w:sz w:val="24"/>
          <w:szCs w:val="24"/>
        </w:rPr>
      </w:pPr>
      <w:r w:rsidRPr="00EC69B7">
        <w:rPr>
          <w:rFonts w:cstheme="minorHAnsi"/>
          <w:sz w:val="24"/>
          <w:szCs w:val="24"/>
        </w:rPr>
        <w:t>This research draw</w:t>
      </w:r>
      <w:r w:rsidR="00C81B92" w:rsidRPr="00EC69B7">
        <w:rPr>
          <w:rFonts w:cstheme="minorHAnsi"/>
          <w:sz w:val="24"/>
          <w:szCs w:val="24"/>
        </w:rPr>
        <w:t>s</w:t>
      </w:r>
      <w:r w:rsidRPr="00EC69B7">
        <w:rPr>
          <w:rFonts w:cstheme="minorHAnsi"/>
          <w:sz w:val="24"/>
          <w:szCs w:val="24"/>
        </w:rPr>
        <w:t xml:space="preserve"> on</w:t>
      </w:r>
      <w:r w:rsidR="00C81B92" w:rsidRPr="00EC69B7">
        <w:rPr>
          <w:rFonts w:cstheme="minorHAnsi"/>
          <w:sz w:val="24"/>
          <w:szCs w:val="24"/>
        </w:rPr>
        <w:t xml:space="preserve"> </w:t>
      </w:r>
      <w:r w:rsidRPr="00EC69B7">
        <w:rPr>
          <w:rFonts w:cstheme="minorHAnsi"/>
          <w:sz w:val="24"/>
          <w:szCs w:val="24"/>
        </w:rPr>
        <w:t>consumers</w:t>
      </w:r>
      <w:r w:rsidR="00C81B92" w:rsidRPr="00EC69B7">
        <w:rPr>
          <w:rFonts w:cstheme="minorHAnsi"/>
          <w:sz w:val="24"/>
          <w:szCs w:val="24"/>
        </w:rPr>
        <w:t>’ experiences of their different journeys</w:t>
      </w:r>
      <w:r w:rsidRPr="00EC69B7">
        <w:rPr>
          <w:rFonts w:cstheme="minorHAnsi"/>
          <w:sz w:val="24"/>
          <w:szCs w:val="24"/>
        </w:rPr>
        <w:t xml:space="preserve"> to </w:t>
      </w:r>
      <w:r w:rsidR="00C81B92" w:rsidRPr="00EC69B7">
        <w:rPr>
          <w:rFonts w:cstheme="minorHAnsi"/>
          <w:sz w:val="24"/>
          <w:szCs w:val="24"/>
        </w:rPr>
        <w:t xml:space="preserve">financial advice </w:t>
      </w:r>
      <w:r w:rsidR="00721C0C" w:rsidRPr="00EC69B7">
        <w:rPr>
          <w:rFonts w:cstheme="minorHAnsi"/>
          <w:sz w:val="24"/>
          <w:szCs w:val="24"/>
        </w:rPr>
        <w:t xml:space="preserve">to </w:t>
      </w:r>
      <w:r w:rsidRPr="00EC69B7">
        <w:rPr>
          <w:rFonts w:cstheme="minorHAnsi"/>
          <w:sz w:val="24"/>
          <w:szCs w:val="24"/>
        </w:rPr>
        <w:t xml:space="preserve">better understand </w:t>
      </w:r>
      <w:r w:rsidR="00C81B92" w:rsidRPr="00EC69B7">
        <w:rPr>
          <w:rFonts w:cstheme="minorHAnsi"/>
          <w:sz w:val="24"/>
          <w:szCs w:val="24"/>
        </w:rPr>
        <w:t>the interaction of the different barriers</w:t>
      </w:r>
      <w:r w:rsidR="002669BB" w:rsidRPr="00EC69B7">
        <w:rPr>
          <w:rFonts w:cstheme="minorHAnsi"/>
          <w:sz w:val="24"/>
          <w:szCs w:val="24"/>
        </w:rPr>
        <w:t xml:space="preserve"> highlighted in previous literature</w:t>
      </w:r>
      <w:r w:rsidR="00C81B92" w:rsidRPr="00EC69B7">
        <w:rPr>
          <w:rFonts w:cstheme="minorHAnsi"/>
          <w:sz w:val="24"/>
          <w:szCs w:val="24"/>
        </w:rPr>
        <w:t>.</w:t>
      </w:r>
      <w:r w:rsidR="009C338C" w:rsidRPr="00EC69B7">
        <w:rPr>
          <w:rFonts w:cstheme="minorHAnsi"/>
          <w:sz w:val="24"/>
          <w:szCs w:val="24"/>
        </w:rPr>
        <w:t xml:space="preserve"> This includes consideration of what they perceive as advice, why they have [or have not] accessed advice along with the triggers that prompted them and the barriers that impeded them. It is the interaction of these different dimensions that can lead to poor consumer outcomes</w:t>
      </w:r>
      <w:r w:rsidR="00401A85">
        <w:rPr>
          <w:rFonts w:cstheme="minorHAnsi"/>
          <w:sz w:val="24"/>
          <w:szCs w:val="24"/>
        </w:rPr>
        <w:t>. Therefore</w:t>
      </w:r>
      <w:r w:rsidR="009C338C" w:rsidRPr="00EC69B7">
        <w:rPr>
          <w:rFonts w:cstheme="minorHAnsi"/>
          <w:sz w:val="24"/>
          <w:szCs w:val="24"/>
        </w:rPr>
        <w:t xml:space="preserve"> by better understanding the implications of these interactions, interventions can be shaped to help consumers more easily tread the path to an appropriate advice solution.</w:t>
      </w:r>
    </w:p>
    <w:p w14:paraId="3BCACED6" w14:textId="7A913FF4" w:rsidR="003726FC" w:rsidRDefault="00513963" w:rsidP="005F21D5">
      <w:pPr>
        <w:spacing w:after="120" w:line="480" w:lineRule="auto"/>
        <w:rPr>
          <w:rFonts w:ascii="Calibri" w:eastAsia="SimSun" w:hAnsi="Calibri" w:cs="Arial"/>
          <w:sz w:val="24"/>
          <w:szCs w:val="24"/>
          <w:lang w:val="en-US" w:eastAsia="zh-CN"/>
        </w:rPr>
      </w:pPr>
      <w:r w:rsidRPr="00513963">
        <w:rPr>
          <w:rFonts w:cstheme="minorHAnsi"/>
          <w:sz w:val="24"/>
          <w:szCs w:val="24"/>
        </w:rPr>
        <w:t>A</w:t>
      </w:r>
      <w:r w:rsidR="005910BB" w:rsidRPr="00513963">
        <w:rPr>
          <w:rFonts w:cstheme="minorHAnsi"/>
          <w:sz w:val="24"/>
          <w:szCs w:val="24"/>
        </w:rPr>
        <w:t xml:space="preserve">nalysis of </w:t>
      </w:r>
      <w:r w:rsidRPr="00513963">
        <w:rPr>
          <w:rFonts w:cstheme="minorHAnsi"/>
          <w:sz w:val="24"/>
          <w:szCs w:val="24"/>
        </w:rPr>
        <w:t xml:space="preserve">the </w:t>
      </w:r>
      <w:r w:rsidR="00CB0A56">
        <w:rPr>
          <w:rFonts w:cstheme="minorHAnsi"/>
          <w:sz w:val="24"/>
          <w:szCs w:val="24"/>
        </w:rPr>
        <w:t xml:space="preserve">consumer decision-making </w:t>
      </w:r>
      <w:r w:rsidR="005910BB" w:rsidRPr="00513963">
        <w:rPr>
          <w:rFonts w:cstheme="minorHAnsi"/>
          <w:sz w:val="24"/>
          <w:szCs w:val="24"/>
        </w:rPr>
        <w:t>literature</w:t>
      </w:r>
      <w:r w:rsidRPr="00513963">
        <w:rPr>
          <w:rFonts w:cstheme="minorHAnsi"/>
          <w:sz w:val="24"/>
          <w:szCs w:val="24"/>
        </w:rPr>
        <w:t xml:space="preserve"> relating to financial capability, </w:t>
      </w:r>
      <w:r w:rsidR="00CB0A56">
        <w:rPr>
          <w:rFonts w:cstheme="minorHAnsi"/>
          <w:sz w:val="24"/>
          <w:szCs w:val="24"/>
        </w:rPr>
        <w:t xml:space="preserve">behavioural finance, </w:t>
      </w:r>
      <w:r w:rsidR="00666E48">
        <w:rPr>
          <w:rFonts w:cstheme="minorHAnsi"/>
          <w:sz w:val="24"/>
          <w:szCs w:val="24"/>
        </w:rPr>
        <w:t>marketing, health-</w:t>
      </w:r>
      <w:r w:rsidRPr="00513963">
        <w:rPr>
          <w:rFonts w:cstheme="minorHAnsi"/>
          <w:sz w:val="24"/>
          <w:szCs w:val="24"/>
        </w:rPr>
        <w:t xml:space="preserve">sciences and benefits take-up </w:t>
      </w:r>
      <w:r w:rsidR="005910BB" w:rsidRPr="00513963">
        <w:rPr>
          <w:rFonts w:cstheme="minorHAnsi"/>
          <w:sz w:val="24"/>
          <w:szCs w:val="24"/>
        </w:rPr>
        <w:t>provide</w:t>
      </w:r>
      <w:r w:rsidRPr="00513963">
        <w:rPr>
          <w:rFonts w:cstheme="minorHAnsi"/>
          <w:sz w:val="24"/>
          <w:szCs w:val="24"/>
        </w:rPr>
        <w:t>d</w:t>
      </w:r>
      <w:r w:rsidR="005910BB" w:rsidRPr="00513963">
        <w:rPr>
          <w:rFonts w:cstheme="minorHAnsi"/>
          <w:sz w:val="24"/>
          <w:szCs w:val="24"/>
        </w:rPr>
        <w:t xml:space="preserve"> a</w:t>
      </w:r>
      <w:r w:rsidRPr="00513963">
        <w:rPr>
          <w:rFonts w:cstheme="minorHAnsi"/>
          <w:sz w:val="24"/>
          <w:szCs w:val="24"/>
        </w:rPr>
        <w:t>n array of variables</w:t>
      </w:r>
      <w:r w:rsidR="00CB0A56">
        <w:rPr>
          <w:rFonts w:cstheme="minorHAnsi"/>
          <w:sz w:val="24"/>
          <w:szCs w:val="24"/>
        </w:rPr>
        <w:t xml:space="preserve"> </w:t>
      </w:r>
      <w:r w:rsidRPr="00513963">
        <w:rPr>
          <w:rFonts w:cstheme="minorHAnsi"/>
          <w:sz w:val="24"/>
          <w:szCs w:val="24"/>
        </w:rPr>
        <w:t>relevant to the advice journey</w:t>
      </w:r>
      <w:r w:rsidR="00401A85">
        <w:rPr>
          <w:rFonts w:cstheme="minorHAnsi"/>
          <w:sz w:val="24"/>
          <w:szCs w:val="24"/>
        </w:rPr>
        <w:t>. These</w:t>
      </w:r>
      <w:r w:rsidRPr="00513963">
        <w:rPr>
          <w:rFonts w:cstheme="minorHAnsi"/>
          <w:sz w:val="24"/>
          <w:szCs w:val="24"/>
        </w:rPr>
        <w:t xml:space="preserve"> were initially shaped into a</w:t>
      </w:r>
      <w:r w:rsidR="005910BB" w:rsidRPr="00513963">
        <w:rPr>
          <w:rFonts w:cstheme="minorHAnsi"/>
          <w:sz w:val="24"/>
          <w:szCs w:val="24"/>
        </w:rPr>
        <w:t xml:space="preserve"> theoretical framework to guide the research and ultimately developed into the Financial Advice Belief Model (FABM).</w:t>
      </w:r>
      <w:r w:rsidR="005910BB">
        <w:rPr>
          <w:rFonts w:cstheme="minorHAnsi"/>
          <w:sz w:val="24"/>
          <w:szCs w:val="24"/>
        </w:rPr>
        <w:t xml:space="preserve"> </w:t>
      </w:r>
      <w:r w:rsidR="00CB0A56" w:rsidRPr="00CB0A56">
        <w:rPr>
          <w:rFonts w:cstheme="minorHAnsi"/>
          <w:bCs/>
          <w:iCs/>
          <w:sz w:val="24"/>
          <w:szCs w:val="24"/>
        </w:rPr>
        <w:t>T</w:t>
      </w:r>
      <w:r w:rsidR="00517A3C" w:rsidRPr="00CB0A56">
        <w:rPr>
          <w:rFonts w:cstheme="minorHAnsi"/>
          <w:bCs/>
          <w:iCs/>
          <w:sz w:val="24"/>
          <w:szCs w:val="24"/>
        </w:rPr>
        <w:t xml:space="preserve">he explanatory power of this </w:t>
      </w:r>
      <w:r w:rsidR="006060F3" w:rsidRPr="00CB0A56">
        <w:rPr>
          <w:rFonts w:cstheme="minorHAnsi"/>
          <w:bCs/>
          <w:iCs/>
          <w:sz w:val="24"/>
          <w:szCs w:val="24"/>
        </w:rPr>
        <w:t>model</w:t>
      </w:r>
      <w:r w:rsidR="00CB0A56" w:rsidRPr="00CB0A56">
        <w:rPr>
          <w:rFonts w:cstheme="minorHAnsi"/>
          <w:bCs/>
          <w:iCs/>
          <w:sz w:val="24"/>
          <w:szCs w:val="24"/>
        </w:rPr>
        <w:t xml:space="preserve"> was tested</w:t>
      </w:r>
      <w:r w:rsidR="006060F3" w:rsidRPr="00CB0A56">
        <w:rPr>
          <w:rFonts w:cstheme="minorHAnsi"/>
          <w:bCs/>
          <w:iCs/>
          <w:sz w:val="24"/>
          <w:szCs w:val="24"/>
        </w:rPr>
        <w:t xml:space="preserve"> </w:t>
      </w:r>
      <w:r w:rsidR="00CB0A56" w:rsidRPr="00CB0A56">
        <w:rPr>
          <w:rFonts w:cstheme="minorHAnsi"/>
          <w:bCs/>
          <w:iCs/>
          <w:sz w:val="24"/>
          <w:szCs w:val="24"/>
        </w:rPr>
        <w:t xml:space="preserve">and shown to </w:t>
      </w:r>
      <w:r w:rsidR="006060F3" w:rsidRPr="00CB0A56">
        <w:rPr>
          <w:rFonts w:cstheme="minorHAnsi"/>
          <w:bCs/>
          <w:iCs/>
          <w:sz w:val="24"/>
          <w:szCs w:val="24"/>
        </w:rPr>
        <w:t>expl</w:t>
      </w:r>
      <w:r w:rsidR="00517A3C" w:rsidRPr="00CB0A56">
        <w:rPr>
          <w:rFonts w:cstheme="minorHAnsi"/>
          <w:bCs/>
          <w:iCs/>
          <w:sz w:val="24"/>
          <w:szCs w:val="24"/>
        </w:rPr>
        <w:t>ain</w:t>
      </w:r>
      <w:r w:rsidR="006060F3" w:rsidRPr="00CB0A56">
        <w:rPr>
          <w:rFonts w:cstheme="minorHAnsi"/>
          <w:bCs/>
          <w:iCs/>
          <w:sz w:val="24"/>
          <w:szCs w:val="24"/>
        </w:rPr>
        <w:t xml:space="preserve"> </w:t>
      </w:r>
      <w:r w:rsidR="00CB0A56" w:rsidRPr="00CB0A56">
        <w:rPr>
          <w:rFonts w:cstheme="minorHAnsi"/>
          <w:bCs/>
          <w:iCs/>
          <w:sz w:val="24"/>
          <w:szCs w:val="24"/>
        </w:rPr>
        <w:t xml:space="preserve">the </w:t>
      </w:r>
      <w:r w:rsidR="006060F3" w:rsidRPr="00CB0A56">
        <w:rPr>
          <w:rFonts w:cstheme="minorHAnsi"/>
          <w:bCs/>
          <w:iCs/>
          <w:sz w:val="24"/>
          <w:szCs w:val="24"/>
        </w:rPr>
        <w:t>barriers to financial advice</w:t>
      </w:r>
      <w:r w:rsidR="00CB0A56">
        <w:rPr>
          <w:rFonts w:cstheme="minorHAnsi"/>
          <w:bCs/>
          <w:iCs/>
          <w:sz w:val="24"/>
          <w:szCs w:val="24"/>
        </w:rPr>
        <w:t>. This was done during the qualitative stage of the wider project</w:t>
      </w:r>
      <w:r w:rsidR="006060F3" w:rsidRPr="00EC69B7">
        <w:rPr>
          <w:rFonts w:cstheme="minorHAnsi"/>
          <w:bCs/>
          <w:iCs/>
          <w:sz w:val="24"/>
          <w:szCs w:val="24"/>
        </w:rPr>
        <w:t>,</w:t>
      </w:r>
      <w:r w:rsidR="00CB0A56">
        <w:rPr>
          <w:rFonts w:cstheme="minorHAnsi"/>
          <w:bCs/>
          <w:iCs/>
          <w:sz w:val="24"/>
          <w:szCs w:val="24"/>
        </w:rPr>
        <w:t xml:space="preserve"> where</w:t>
      </w:r>
      <w:r w:rsidR="006060F3" w:rsidRPr="00EC69B7">
        <w:rPr>
          <w:rFonts w:cstheme="minorHAnsi"/>
          <w:bCs/>
          <w:iCs/>
          <w:sz w:val="24"/>
          <w:szCs w:val="24"/>
        </w:rPr>
        <w:t xml:space="preserve"> we interviewed 21 middle income </w:t>
      </w:r>
      <w:r w:rsidR="00F815CE">
        <w:rPr>
          <w:rFonts w:cstheme="minorHAnsi"/>
          <w:bCs/>
          <w:iCs/>
          <w:sz w:val="24"/>
          <w:szCs w:val="24"/>
        </w:rPr>
        <w:t xml:space="preserve">employees </w:t>
      </w:r>
      <w:r w:rsidR="006060F3" w:rsidRPr="00EC69B7">
        <w:rPr>
          <w:rFonts w:cstheme="minorHAnsi"/>
          <w:bCs/>
          <w:iCs/>
          <w:sz w:val="24"/>
          <w:szCs w:val="24"/>
        </w:rPr>
        <w:t>(income quartile 2 and 3</w:t>
      </w:r>
      <w:r w:rsidR="00F815CE">
        <w:rPr>
          <w:rFonts w:cstheme="minorHAnsi"/>
          <w:bCs/>
          <w:iCs/>
          <w:sz w:val="24"/>
          <w:szCs w:val="24"/>
        </w:rPr>
        <w:t xml:space="preserve"> – those with incomes between £15,001 and £43,999</w:t>
      </w:r>
      <w:r w:rsidR="006060F3" w:rsidRPr="00EC69B7">
        <w:rPr>
          <w:rFonts w:cstheme="minorHAnsi"/>
          <w:bCs/>
          <w:iCs/>
          <w:sz w:val="24"/>
          <w:szCs w:val="24"/>
        </w:rPr>
        <w:t>)</w:t>
      </w:r>
      <w:r w:rsidR="00F815CE">
        <w:rPr>
          <w:rFonts w:cstheme="minorHAnsi"/>
          <w:bCs/>
          <w:iCs/>
          <w:sz w:val="24"/>
          <w:szCs w:val="24"/>
        </w:rPr>
        <w:t xml:space="preserve">. </w:t>
      </w:r>
      <w:r w:rsidR="006060F3" w:rsidRPr="00EC69B7">
        <w:rPr>
          <w:rFonts w:cstheme="minorHAnsi"/>
          <w:bCs/>
          <w:iCs/>
          <w:sz w:val="24"/>
          <w:szCs w:val="24"/>
        </w:rPr>
        <w:t xml:space="preserve"> The interviewees were </w:t>
      </w:r>
      <w:r w:rsidR="005910BB">
        <w:rPr>
          <w:rFonts w:cstheme="minorHAnsi"/>
          <w:bCs/>
          <w:iCs/>
          <w:sz w:val="24"/>
          <w:szCs w:val="24"/>
        </w:rPr>
        <w:t xml:space="preserve">recruited from participants of </w:t>
      </w:r>
      <w:r w:rsidR="006060F3" w:rsidRPr="00EC69B7">
        <w:rPr>
          <w:rFonts w:cstheme="minorHAnsi"/>
          <w:bCs/>
          <w:iCs/>
          <w:sz w:val="24"/>
          <w:szCs w:val="24"/>
        </w:rPr>
        <w:t>12</w:t>
      </w:r>
      <w:r w:rsidR="00F5710F" w:rsidRPr="00EC69B7">
        <w:rPr>
          <w:rFonts w:cstheme="minorHAnsi"/>
          <w:bCs/>
          <w:iCs/>
          <w:sz w:val="24"/>
          <w:szCs w:val="24"/>
        </w:rPr>
        <w:t xml:space="preserve"> MAS</w:t>
      </w:r>
      <w:r w:rsidR="006060F3" w:rsidRPr="00EC69B7">
        <w:rPr>
          <w:rFonts w:cstheme="minorHAnsi"/>
          <w:bCs/>
          <w:iCs/>
          <w:sz w:val="24"/>
          <w:szCs w:val="24"/>
        </w:rPr>
        <w:t xml:space="preserve"> Workplace Seminars</w:t>
      </w:r>
      <w:r w:rsidR="006060F3" w:rsidRPr="00EC69B7">
        <w:rPr>
          <w:rFonts w:cstheme="minorHAnsi"/>
          <w:sz w:val="24"/>
          <w:szCs w:val="24"/>
          <w:lang w:val="en-US"/>
        </w:rPr>
        <w:t xml:space="preserve"> that were led by one of the authors.  At the </w:t>
      </w:r>
      <w:r w:rsidR="00517A3C" w:rsidRPr="00EC69B7">
        <w:rPr>
          <w:rFonts w:cstheme="minorHAnsi"/>
          <w:sz w:val="24"/>
          <w:szCs w:val="24"/>
          <w:lang w:val="en-US"/>
        </w:rPr>
        <w:t>beginning</w:t>
      </w:r>
      <w:r w:rsidR="006060F3" w:rsidRPr="00EC69B7">
        <w:rPr>
          <w:rFonts w:cstheme="minorHAnsi"/>
          <w:sz w:val="24"/>
          <w:szCs w:val="24"/>
          <w:lang w:val="en-US"/>
        </w:rPr>
        <w:t xml:space="preserve"> of the seminars, screening </w:t>
      </w:r>
      <w:r w:rsidR="009A0D4A" w:rsidRPr="00EC69B7">
        <w:rPr>
          <w:rFonts w:cstheme="minorHAnsi"/>
          <w:sz w:val="24"/>
          <w:szCs w:val="24"/>
          <w:lang w:val="en-US"/>
        </w:rPr>
        <w:t xml:space="preserve">questionnaires were issued </w:t>
      </w:r>
      <w:r w:rsidR="006060F3" w:rsidRPr="00EC69B7">
        <w:rPr>
          <w:rFonts w:cstheme="minorHAnsi"/>
          <w:sz w:val="24"/>
          <w:szCs w:val="24"/>
          <w:lang w:val="en-US"/>
        </w:rPr>
        <w:t xml:space="preserve">and a total of </w:t>
      </w:r>
      <w:r w:rsidR="003726FC" w:rsidRPr="00EC69B7">
        <w:rPr>
          <w:rFonts w:cstheme="minorHAnsi"/>
          <w:sz w:val="24"/>
          <w:szCs w:val="24"/>
          <w:lang w:val="en-US"/>
        </w:rPr>
        <w:t xml:space="preserve">201 seminar attendees </w:t>
      </w:r>
      <w:r w:rsidR="003726FC" w:rsidRPr="00EC69B7">
        <w:rPr>
          <w:rFonts w:cstheme="minorHAnsi"/>
          <w:sz w:val="24"/>
          <w:szCs w:val="24"/>
          <w:lang w:val="en-US"/>
        </w:rPr>
        <w:lastRenderedPageBreak/>
        <w:t>completed questionnaires</w:t>
      </w:r>
      <w:r w:rsidR="006060F3" w:rsidRPr="00EC69B7">
        <w:rPr>
          <w:rFonts w:cstheme="minorHAnsi"/>
          <w:sz w:val="24"/>
          <w:szCs w:val="24"/>
          <w:lang w:val="en-US"/>
        </w:rPr>
        <w:t>.  From these questionnaires,</w:t>
      </w:r>
      <w:r w:rsidR="009A0D4A" w:rsidRPr="00EC69B7">
        <w:rPr>
          <w:rFonts w:cstheme="minorHAnsi"/>
          <w:sz w:val="24"/>
          <w:szCs w:val="24"/>
          <w:lang w:val="en-US"/>
        </w:rPr>
        <w:t xml:space="preserve"> </w:t>
      </w:r>
      <w:r w:rsidR="003726FC" w:rsidRPr="00EC69B7">
        <w:rPr>
          <w:rFonts w:cstheme="minorHAnsi"/>
          <w:sz w:val="24"/>
          <w:szCs w:val="24"/>
          <w:lang w:val="en-US"/>
        </w:rPr>
        <w:t xml:space="preserve">21 </w:t>
      </w:r>
      <w:r w:rsidR="006060F3" w:rsidRPr="00EC69B7">
        <w:rPr>
          <w:rFonts w:cstheme="minorHAnsi"/>
          <w:sz w:val="24"/>
          <w:szCs w:val="24"/>
          <w:lang w:val="en-US"/>
        </w:rPr>
        <w:t xml:space="preserve">interviewees </w:t>
      </w:r>
      <w:r w:rsidR="003726FC" w:rsidRPr="00EC69B7">
        <w:rPr>
          <w:rFonts w:cstheme="minorHAnsi"/>
          <w:sz w:val="24"/>
          <w:szCs w:val="24"/>
          <w:lang w:val="en-US"/>
        </w:rPr>
        <w:t>from income quartiles 2 or 3</w:t>
      </w:r>
      <w:r w:rsidR="009A0D4A" w:rsidRPr="00EC69B7">
        <w:rPr>
          <w:rFonts w:cstheme="minorHAnsi"/>
          <w:sz w:val="24"/>
          <w:szCs w:val="24"/>
          <w:lang w:val="en-US"/>
        </w:rPr>
        <w:t xml:space="preserve"> were </w:t>
      </w:r>
      <w:r w:rsidR="006060F3" w:rsidRPr="00EC69B7">
        <w:rPr>
          <w:rFonts w:cstheme="minorHAnsi"/>
          <w:sz w:val="24"/>
          <w:szCs w:val="24"/>
          <w:lang w:val="en-US"/>
        </w:rPr>
        <w:t xml:space="preserve">selected and then </w:t>
      </w:r>
      <w:r w:rsidR="009A0D4A" w:rsidRPr="00EC69B7">
        <w:rPr>
          <w:rFonts w:cstheme="minorHAnsi"/>
          <w:sz w:val="24"/>
          <w:szCs w:val="24"/>
          <w:lang w:val="en-US"/>
        </w:rPr>
        <w:t>interviewed</w:t>
      </w:r>
      <w:r w:rsidR="00F815CE">
        <w:rPr>
          <w:rFonts w:cstheme="minorHAnsi"/>
          <w:sz w:val="24"/>
          <w:szCs w:val="24"/>
          <w:lang w:val="en-US"/>
        </w:rPr>
        <w:t xml:space="preserve"> (see Table</w:t>
      </w:r>
      <w:r w:rsidR="00A610F4">
        <w:rPr>
          <w:rFonts w:cstheme="minorHAnsi"/>
          <w:sz w:val="24"/>
          <w:szCs w:val="24"/>
          <w:lang w:val="en-US"/>
        </w:rPr>
        <w:t xml:space="preserve">s </w:t>
      </w:r>
      <w:r w:rsidR="00F815CE">
        <w:rPr>
          <w:rFonts w:cstheme="minorHAnsi"/>
          <w:sz w:val="24"/>
          <w:szCs w:val="24"/>
          <w:lang w:val="en-US"/>
        </w:rPr>
        <w:t xml:space="preserve">2 </w:t>
      </w:r>
      <w:r w:rsidR="00A610F4">
        <w:rPr>
          <w:rFonts w:cstheme="minorHAnsi"/>
          <w:sz w:val="24"/>
          <w:szCs w:val="24"/>
          <w:lang w:val="en-US"/>
        </w:rPr>
        <w:t xml:space="preserve">and </w:t>
      </w:r>
      <w:r w:rsidR="007F4692">
        <w:rPr>
          <w:rFonts w:cstheme="minorHAnsi"/>
          <w:sz w:val="24"/>
          <w:szCs w:val="24"/>
          <w:lang w:val="en-US"/>
        </w:rPr>
        <w:t>6</w:t>
      </w:r>
      <w:r w:rsidR="00A610F4">
        <w:rPr>
          <w:rFonts w:cstheme="minorHAnsi"/>
          <w:sz w:val="24"/>
          <w:szCs w:val="24"/>
          <w:lang w:val="en-US"/>
        </w:rPr>
        <w:t xml:space="preserve"> </w:t>
      </w:r>
      <w:r w:rsidR="00F815CE">
        <w:rPr>
          <w:rFonts w:cstheme="minorHAnsi"/>
          <w:sz w:val="24"/>
          <w:szCs w:val="24"/>
          <w:lang w:val="en-US"/>
        </w:rPr>
        <w:t>for further details on the</w:t>
      </w:r>
      <w:r w:rsidR="002668C8">
        <w:rPr>
          <w:rFonts w:cstheme="minorHAnsi"/>
          <w:sz w:val="24"/>
          <w:szCs w:val="24"/>
          <w:lang w:val="en-US"/>
        </w:rPr>
        <w:t>se</w:t>
      </w:r>
      <w:r w:rsidR="00F815CE">
        <w:rPr>
          <w:rFonts w:cstheme="minorHAnsi"/>
          <w:sz w:val="24"/>
          <w:szCs w:val="24"/>
          <w:lang w:val="en-US"/>
        </w:rPr>
        <w:t xml:space="preserve"> interviewees)</w:t>
      </w:r>
      <w:r w:rsidR="003726FC" w:rsidRPr="00EC69B7">
        <w:rPr>
          <w:rFonts w:cstheme="minorHAnsi"/>
          <w:sz w:val="24"/>
          <w:szCs w:val="24"/>
          <w:lang w:val="en-US"/>
        </w:rPr>
        <w:t xml:space="preserve">. </w:t>
      </w:r>
    </w:p>
    <w:p w14:paraId="3E5B37D3" w14:textId="2645F342" w:rsidR="00BE42FB" w:rsidRPr="00EC69B7" w:rsidRDefault="00BE42FB" w:rsidP="00BE42FB">
      <w:pPr>
        <w:rPr>
          <w:rFonts w:cstheme="minorHAnsi"/>
          <w:b/>
          <w:sz w:val="24"/>
          <w:szCs w:val="24"/>
        </w:rPr>
      </w:pPr>
      <w:r w:rsidRPr="00EC69B7">
        <w:rPr>
          <w:rFonts w:cstheme="minorHAnsi"/>
          <w:b/>
          <w:sz w:val="24"/>
          <w:szCs w:val="24"/>
        </w:rPr>
        <w:t>Table 2 - Characteristics of the interviewees</w:t>
      </w:r>
      <w:r w:rsidR="00237611">
        <w:rPr>
          <w:rFonts w:cstheme="minorHAnsi"/>
          <w:b/>
          <w:sz w:val="24"/>
          <w:szCs w:val="24"/>
        </w:rPr>
        <w:t xml:space="preserve"> (Moss, 2015)</w:t>
      </w:r>
    </w:p>
    <w:tbl>
      <w:tblPr>
        <w:tblStyle w:val="TableGrid1"/>
        <w:tblW w:w="0" w:type="auto"/>
        <w:tblLook w:val="04A0" w:firstRow="1" w:lastRow="0" w:firstColumn="1" w:lastColumn="0" w:noHBand="0" w:noVBand="1"/>
      </w:tblPr>
      <w:tblGrid>
        <w:gridCol w:w="1292"/>
        <w:gridCol w:w="779"/>
        <w:gridCol w:w="1013"/>
        <w:gridCol w:w="939"/>
        <w:gridCol w:w="1064"/>
        <w:gridCol w:w="868"/>
        <w:gridCol w:w="1381"/>
      </w:tblGrid>
      <w:tr w:rsidR="00BE42FB" w:rsidRPr="00E30FC1" w14:paraId="188F0DD7" w14:textId="77777777" w:rsidTr="00987543">
        <w:tc>
          <w:tcPr>
            <w:tcW w:w="1292" w:type="dxa"/>
            <w:shd w:val="clear" w:color="auto" w:fill="BFBFBF" w:themeFill="background1" w:themeFillShade="BF"/>
          </w:tcPr>
          <w:p w14:paraId="4C795FEF" w14:textId="77777777" w:rsidR="00BE42FB" w:rsidRPr="00E30FC1" w:rsidRDefault="00BE42FB" w:rsidP="00987543">
            <w:pPr>
              <w:jc w:val="center"/>
              <w:rPr>
                <w:rFonts w:cstheme="minorHAnsi"/>
                <w:b/>
                <w:sz w:val="20"/>
                <w:szCs w:val="20"/>
              </w:rPr>
            </w:pPr>
            <w:r w:rsidRPr="00E30FC1">
              <w:rPr>
                <w:rFonts w:cstheme="minorHAnsi"/>
                <w:b/>
                <w:sz w:val="20"/>
                <w:szCs w:val="20"/>
              </w:rPr>
              <w:t>Pseudonym</w:t>
            </w:r>
          </w:p>
        </w:tc>
        <w:tc>
          <w:tcPr>
            <w:tcW w:w="779" w:type="dxa"/>
            <w:shd w:val="clear" w:color="auto" w:fill="BFBFBF" w:themeFill="background1" w:themeFillShade="BF"/>
          </w:tcPr>
          <w:p w14:paraId="67623C32" w14:textId="77777777" w:rsidR="00BE42FB" w:rsidRPr="00E30FC1" w:rsidRDefault="00BE42FB" w:rsidP="00987543">
            <w:pPr>
              <w:jc w:val="center"/>
              <w:rPr>
                <w:rFonts w:cstheme="minorHAnsi"/>
                <w:b/>
                <w:sz w:val="20"/>
                <w:szCs w:val="20"/>
              </w:rPr>
            </w:pPr>
            <w:r w:rsidRPr="00E30FC1">
              <w:rPr>
                <w:rFonts w:cstheme="minorHAnsi"/>
                <w:b/>
                <w:sz w:val="20"/>
                <w:szCs w:val="20"/>
              </w:rPr>
              <w:t>Age</w:t>
            </w:r>
          </w:p>
        </w:tc>
        <w:tc>
          <w:tcPr>
            <w:tcW w:w="1013" w:type="dxa"/>
            <w:shd w:val="clear" w:color="auto" w:fill="BFBFBF" w:themeFill="background1" w:themeFillShade="BF"/>
          </w:tcPr>
          <w:p w14:paraId="3EAC4B57" w14:textId="77777777" w:rsidR="00BE42FB" w:rsidRPr="00E30FC1" w:rsidRDefault="00BE42FB" w:rsidP="00987543">
            <w:pPr>
              <w:jc w:val="center"/>
              <w:rPr>
                <w:rFonts w:cstheme="minorHAnsi"/>
                <w:b/>
                <w:sz w:val="20"/>
                <w:szCs w:val="20"/>
              </w:rPr>
            </w:pPr>
            <w:r w:rsidRPr="00E30FC1">
              <w:rPr>
                <w:rFonts w:cstheme="minorHAnsi"/>
                <w:b/>
                <w:sz w:val="20"/>
                <w:szCs w:val="20"/>
              </w:rPr>
              <w:t>Gender</w:t>
            </w:r>
          </w:p>
        </w:tc>
        <w:tc>
          <w:tcPr>
            <w:tcW w:w="939" w:type="dxa"/>
            <w:shd w:val="clear" w:color="auto" w:fill="BFBFBF" w:themeFill="background1" w:themeFillShade="BF"/>
          </w:tcPr>
          <w:p w14:paraId="72D32823" w14:textId="77777777" w:rsidR="00BE42FB" w:rsidRPr="00E30FC1" w:rsidRDefault="00BE42FB" w:rsidP="00987543">
            <w:pPr>
              <w:jc w:val="center"/>
              <w:rPr>
                <w:rFonts w:cstheme="minorHAnsi"/>
                <w:b/>
                <w:sz w:val="20"/>
                <w:szCs w:val="20"/>
              </w:rPr>
            </w:pPr>
            <w:r w:rsidRPr="00E30FC1">
              <w:rPr>
                <w:rFonts w:cstheme="minorHAnsi"/>
                <w:b/>
                <w:sz w:val="20"/>
                <w:szCs w:val="20"/>
              </w:rPr>
              <w:t>Marital status</w:t>
            </w:r>
          </w:p>
        </w:tc>
        <w:tc>
          <w:tcPr>
            <w:tcW w:w="1064" w:type="dxa"/>
            <w:shd w:val="clear" w:color="auto" w:fill="BFBFBF" w:themeFill="background1" w:themeFillShade="BF"/>
          </w:tcPr>
          <w:p w14:paraId="29B7B742" w14:textId="77777777" w:rsidR="00BE42FB" w:rsidRPr="00E30FC1" w:rsidRDefault="00BE42FB" w:rsidP="00987543">
            <w:pPr>
              <w:jc w:val="center"/>
              <w:rPr>
                <w:rFonts w:cstheme="minorHAnsi"/>
                <w:b/>
                <w:sz w:val="20"/>
                <w:szCs w:val="20"/>
              </w:rPr>
            </w:pPr>
            <w:r w:rsidRPr="00E30FC1">
              <w:rPr>
                <w:rFonts w:cstheme="minorHAnsi"/>
                <w:b/>
                <w:sz w:val="20"/>
                <w:szCs w:val="20"/>
              </w:rPr>
              <w:t>Income Quartile</w:t>
            </w:r>
          </w:p>
        </w:tc>
        <w:tc>
          <w:tcPr>
            <w:tcW w:w="868" w:type="dxa"/>
            <w:shd w:val="clear" w:color="auto" w:fill="BFBFBF" w:themeFill="background1" w:themeFillShade="BF"/>
          </w:tcPr>
          <w:p w14:paraId="07FE323A" w14:textId="77777777" w:rsidR="00BE42FB" w:rsidRPr="00E30FC1" w:rsidRDefault="00BE42FB" w:rsidP="00987543">
            <w:pPr>
              <w:jc w:val="center"/>
              <w:rPr>
                <w:rFonts w:cstheme="minorHAnsi"/>
                <w:b/>
                <w:sz w:val="20"/>
                <w:szCs w:val="20"/>
              </w:rPr>
            </w:pPr>
            <w:r w:rsidRPr="00E30FC1">
              <w:rPr>
                <w:rFonts w:cstheme="minorHAnsi"/>
                <w:b/>
                <w:sz w:val="20"/>
                <w:szCs w:val="20"/>
              </w:rPr>
              <w:t>QCF Level</w:t>
            </w:r>
          </w:p>
        </w:tc>
        <w:tc>
          <w:tcPr>
            <w:tcW w:w="1381" w:type="dxa"/>
            <w:shd w:val="clear" w:color="auto" w:fill="BFBFBF" w:themeFill="background1" w:themeFillShade="BF"/>
          </w:tcPr>
          <w:p w14:paraId="3DD986FB" w14:textId="77777777" w:rsidR="00BE42FB" w:rsidRPr="00E30FC1" w:rsidRDefault="00BE42FB" w:rsidP="00987543">
            <w:pPr>
              <w:jc w:val="center"/>
              <w:rPr>
                <w:rFonts w:cstheme="minorHAnsi"/>
                <w:b/>
                <w:sz w:val="20"/>
                <w:szCs w:val="20"/>
              </w:rPr>
            </w:pPr>
            <w:r w:rsidRPr="00E30FC1">
              <w:rPr>
                <w:rFonts w:cstheme="minorHAnsi"/>
                <w:b/>
                <w:sz w:val="20"/>
                <w:szCs w:val="20"/>
              </w:rPr>
              <w:t xml:space="preserve">Employment </w:t>
            </w:r>
          </w:p>
          <w:p w14:paraId="5D1C0F97" w14:textId="77777777" w:rsidR="00BE42FB" w:rsidRPr="00E30FC1" w:rsidRDefault="00BE42FB" w:rsidP="00987543">
            <w:pPr>
              <w:jc w:val="center"/>
              <w:rPr>
                <w:rFonts w:cstheme="minorHAnsi"/>
                <w:b/>
                <w:sz w:val="20"/>
                <w:szCs w:val="20"/>
              </w:rPr>
            </w:pPr>
            <w:r w:rsidRPr="00E30FC1">
              <w:rPr>
                <w:rFonts w:cstheme="minorHAnsi"/>
                <w:b/>
                <w:sz w:val="20"/>
                <w:szCs w:val="20"/>
              </w:rPr>
              <w:t>Sector</w:t>
            </w:r>
          </w:p>
        </w:tc>
      </w:tr>
      <w:tr w:rsidR="00BE42FB" w:rsidRPr="00E30FC1" w14:paraId="7D0B88A2" w14:textId="77777777" w:rsidTr="00987543">
        <w:tc>
          <w:tcPr>
            <w:tcW w:w="1292" w:type="dxa"/>
          </w:tcPr>
          <w:p w14:paraId="4312BFDB" w14:textId="77777777" w:rsidR="00BE42FB" w:rsidRPr="00E30FC1" w:rsidRDefault="00BE42FB" w:rsidP="00987543">
            <w:pPr>
              <w:rPr>
                <w:rFonts w:cstheme="minorHAnsi"/>
                <w:sz w:val="20"/>
                <w:szCs w:val="20"/>
              </w:rPr>
            </w:pPr>
            <w:r w:rsidRPr="00E30FC1">
              <w:rPr>
                <w:rFonts w:cstheme="minorHAnsi"/>
                <w:sz w:val="20"/>
                <w:szCs w:val="20"/>
              </w:rPr>
              <w:t>Mavis</w:t>
            </w:r>
          </w:p>
        </w:tc>
        <w:tc>
          <w:tcPr>
            <w:tcW w:w="779" w:type="dxa"/>
          </w:tcPr>
          <w:p w14:paraId="41570ABA" w14:textId="77777777" w:rsidR="00BE42FB" w:rsidRPr="00E30FC1" w:rsidRDefault="00BE42FB" w:rsidP="00987543">
            <w:pPr>
              <w:jc w:val="center"/>
              <w:rPr>
                <w:rFonts w:cstheme="minorHAnsi"/>
                <w:sz w:val="20"/>
                <w:szCs w:val="20"/>
              </w:rPr>
            </w:pPr>
            <w:r w:rsidRPr="00E30FC1">
              <w:rPr>
                <w:rFonts w:cstheme="minorHAnsi"/>
                <w:sz w:val="20"/>
                <w:szCs w:val="20"/>
              </w:rPr>
              <w:t>50’s</w:t>
            </w:r>
          </w:p>
        </w:tc>
        <w:tc>
          <w:tcPr>
            <w:tcW w:w="1013" w:type="dxa"/>
          </w:tcPr>
          <w:p w14:paraId="43435710" w14:textId="77777777" w:rsidR="00BE42FB" w:rsidRPr="00E30FC1" w:rsidRDefault="00BE42FB" w:rsidP="00987543">
            <w:pPr>
              <w:rPr>
                <w:rFonts w:cstheme="minorHAnsi"/>
                <w:sz w:val="20"/>
                <w:szCs w:val="20"/>
              </w:rPr>
            </w:pPr>
            <w:r w:rsidRPr="00E30FC1">
              <w:rPr>
                <w:rFonts w:cstheme="minorHAnsi"/>
                <w:sz w:val="20"/>
                <w:szCs w:val="20"/>
              </w:rPr>
              <w:t>Female</w:t>
            </w:r>
          </w:p>
        </w:tc>
        <w:tc>
          <w:tcPr>
            <w:tcW w:w="939" w:type="dxa"/>
          </w:tcPr>
          <w:p w14:paraId="096FE452" w14:textId="77777777" w:rsidR="00BE42FB" w:rsidRPr="00E30FC1" w:rsidRDefault="00BE42FB" w:rsidP="00987543">
            <w:pPr>
              <w:rPr>
                <w:rFonts w:cstheme="minorHAnsi"/>
                <w:sz w:val="20"/>
                <w:szCs w:val="20"/>
              </w:rPr>
            </w:pPr>
            <w:r w:rsidRPr="00E30FC1">
              <w:rPr>
                <w:rFonts w:cstheme="minorHAnsi"/>
                <w:sz w:val="20"/>
                <w:szCs w:val="20"/>
              </w:rPr>
              <w:t>Single</w:t>
            </w:r>
          </w:p>
        </w:tc>
        <w:tc>
          <w:tcPr>
            <w:tcW w:w="1064" w:type="dxa"/>
          </w:tcPr>
          <w:p w14:paraId="2496D9A9"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868" w:type="dxa"/>
          </w:tcPr>
          <w:p w14:paraId="4A28E0E4" w14:textId="77777777" w:rsidR="00BE42FB" w:rsidRPr="00E30FC1" w:rsidRDefault="00BE42FB" w:rsidP="00987543">
            <w:pPr>
              <w:jc w:val="center"/>
              <w:rPr>
                <w:rFonts w:cstheme="minorHAnsi"/>
                <w:sz w:val="20"/>
                <w:szCs w:val="20"/>
              </w:rPr>
            </w:pPr>
            <w:r w:rsidRPr="00E30FC1">
              <w:rPr>
                <w:rFonts w:cstheme="minorHAnsi"/>
                <w:sz w:val="20"/>
                <w:szCs w:val="20"/>
              </w:rPr>
              <w:t>4</w:t>
            </w:r>
          </w:p>
        </w:tc>
        <w:tc>
          <w:tcPr>
            <w:tcW w:w="1381" w:type="dxa"/>
          </w:tcPr>
          <w:p w14:paraId="1D486305" w14:textId="77777777" w:rsidR="00BE42FB" w:rsidRPr="00E30FC1" w:rsidRDefault="00BE42FB" w:rsidP="00987543">
            <w:pPr>
              <w:rPr>
                <w:rFonts w:cstheme="minorHAnsi"/>
                <w:sz w:val="20"/>
                <w:szCs w:val="20"/>
              </w:rPr>
            </w:pPr>
            <w:r w:rsidRPr="00E30FC1">
              <w:rPr>
                <w:rFonts w:cstheme="minorHAnsi"/>
                <w:sz w:val="20"/>
                <w:szCs w:val="20"/>
              </w:rPr>
              <w:t>Public</w:t>
            </w:r>
          </w:p>
        </w:tc>
      </w:tr>
      <w:tr w:rsidR="00BE42FB" w:rsidRPr="00E30FC1" w14:paraId="430731DE" w14:textId="77777777" w:rsidTr="00987543">
        <w:tc>
          <w:tcPr>
            <w:tcW w:w="1292" w:type="dxa"/>
          </w:tcPr>
          <w:p w14:paraId="3E85BC8B" w14:textId="77777777" w:rsidR="00BE42FB" w:rsidRPr="00E30FC1" w:rsidRDefault="00BE42FB" w:rsidP="00987543">
            <w:pPr>
              <w:rPr>
                <w:rFonts w:cstheme="minorHAnsi"/>
                <w:sz w:val="20"/>
                <w:szCs w:val="20"/>
              </w:rPr>
            </w:pPr>
            <w:r w:rsidRPr="00E30FC1">
              <w:rPr>
                <w:rFonts w:cstheme="minorHAnsi"/>
                <w:sz w:val="20"/>
                <w:szCs w:val="20"/>
              </w:rPr>
              <w:t>Heather</w:t>
            </w:r>
          </w:p>
        </w:tc>
        <w:tc>
          <w:tcPr>
            <w:tcW w:w="779" w:type="dxa"/>
          </w:tcPr>
          <w:p w14:paraId="2B9EE68E" w14:textId="77777777" w:rsidR="00BE42FB" w:rsidRPr="00E30FC1" w:rsidRDefault="00BE42FB" w:rsidP="00987543">
            <w:pPr>
              <w:jc w:val="center"/>
              <w:rPr>
                <w:rFonts w:cstheme="minorHAnsi"/>
                <w:sz w:val="20"/>
                <w:szCs w:val="20"/>
              </w:rPr>
            </w:pPr>
            <w:r w:rsidRPr="00E30FC1">
              <w:rPr>
                <w:rFonts w:cstheme="minorHAnsi"/>
                <w:sz w:val="20"/>
                <w:szCs w:val="20"/>
              </w:rPr>
              <w:t>50’s</w:t>
            </w:r>
          </w:p>
        </w:tc>
        <w:tc>
          <w:tcPr>
            <w:tcW w:w="1013" w:type="dxa"/>
          </w:tcPr>
          <w:p w14:paraId="09FFA90F" w14:textId="77777777" w:rsidR="00BE42FB" w:rsidRPr="00E30FC1" w:rsidRDefault="00BE42FB" w:rsidP="00987543">
            <w:pPr>
              <w:rPr>
                <w:rFonts w:cstheme="minorHAnsi"/>
                <w:sz w:val="20"/>
                <w:szCs w:val="20"/>
              </w:rPr>
            </w:pPr>
            <w:r w:rsidRPr="00E30FC1">
              <w:rPr>
                <w:rFonts w:cstheme="minorHAnsi"/>
                <w:sz w:val="20"/>
                <w:szCs w:val="20"/>
              </w:rPr>
              <w:t>Female</w:t>
            </w:r>
          </w:p>
        </w:tc>
        <w:tc>
          <w:tcPr>
            <w:tcW w:w="939" w:type="dxa"/>
          </w:tcPr>
          <w:p w14:paraId="30056543" w14:textId="77777777" w:rsidR="00BE42FB" w:rsidRPr="00E30FC1" w:rsidRDefault="00BE42FB" w:rsidP="00987543">
            <w:pPr>
              <w:rPr>
                <w:rFonts w:cstheme="minorHAnsi"/>
                <w:sz w:val="20"/>
                <w:szCs w:val="20"/>
              </w:rPr>
            </w:pPr>
            <w:r w:rsidRPr="00E30FC1">
              <w:rPr>
                <w:rFonts w:cstheme="minorHAnsi"/>
                <w:sz w:val="20"/>
                <w:szCs w:val="20"/>
              </w:rPr>
              <w:t>Single</w:t>
            </w:r>
          </w:p>
        </w:tc>
        <w:tc>
          <w:tcPr>
            <w:tcW w:w="1064" w:type="dxa"/>
          </w:tcPr>
          <w:p w14:paraId="5A0A99C0"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868" w:type="dxa"/>
          </w:tcPr>
          <w:p w14:paraId="63B92F7E" w14:textId="77777777" w:rsidR="00BE42FB" w:rsidRPr="00E30FC1" w:rsidRDefault="00BE42FB" w:rsidP="00987543">
            <w:pPr>
              <w:jc w:val="center"/>
              <w:rPr>
                <w:rFonts w:cstheme="minorHAnsi"/>
                <w:sz w:val="20"/>
                <w:szCs w:val="20"/>
              </w:rPr>
            </w:pPr>
            <w:r w:rsidRPr="00E30FC1">
              <w:rPr>
                <w:rFonts w:cstheme="minorHAnsi"/>
                <w:sz w:val="20"/>
                <w:szCs w:val="20"/>
              </w:rPr>
              <w:t>3</w:t>
            </w:r>
          </w:p>
        </w:tc>
        <w:tc>
          <w:tcPr>
            <w:tcW w:w="1381" w:type="dxa"/>
          </w:tcPr>
          <w:p w14:paraId="525FDF52" w14:textId="77777777" w:rsidR="00BE42FB" w:rsidRPr="00E30FC1" w:rsidRDefault="00BE42FB" w:rsidP="00987543">
            <w:pPr>
              <w:rPr>
                <w:rFonts w:cstheme="minorHAnsi"/>
                <w:sz w:val="20"/>
                <w:szCs w:val="20"/>
              </w:rPr>
            </w:pPr>
            <w:r w:rsidRPr="00E30FC1">
              <w:rPr>
                <w:rFonts w:cstheme="minorHAnsi"/>
                <w:sz w:val="20"/>
                <w:szCs w:val="20"/>
              </w:rPr>
              <w:t>Public</w:t>
            </w:r>
          </w:p>
        </w:tc>
      </w:tr>
      <w:tr w:rsidR="00BE42FB" w:rsidRPr="00E30FC1" w14:paraId="51898D5B" w14:textId="77777777" w:rsidTr="00987543">
        <w:tc>
          <w:tcPr>
            <w:tcW w:w="1292" w:type="dxa"/>
          </w:tcPr>
          <w:p w14:paraId="0610ECC4" w14:textId="77777777" w:rsidR="00BE42FB" w:rsidRPr="00E30FC1" w:rsidRDefault="00BE42FB" w:rsidP="00987543">
            <w:pPr>
              <w:rPr>
                <w:rFonts w:cstheme="minorHAnsi"/>
                <w:sz w:val="20"/>
                <w:szCs w:val="20"/>
              </w:rPr>
            </w:pPr>
            <w:r w:rsidRPr="00E30FC1">
              <w:rPr>
                <w:rFonts w:cstheme="minorHAnsi"/>
                <w:sz w:val="20"/>
                <w:szCs w:val="20"/>
              </w:rPr>
              <w:t>June</w:t>
            </w:r>
          </w:p>
        </w:tc>
        <w:tc>
          <w:tcPr>
            <w:tcW w:w="779" w:type="dxa"/>
          </w:tcPr>
          <w:p w14:paraId="5257C9E2" w14:textId="77777777" w:rsidR="00BE42FB" w:rsidRPr="00E30FC1" w:rsidRDefault="00BE42FB" w:rsidP="00987543">
            <w:pPr>
              <w:jc w:val="center"/>
              <w:rPr>
                <w:rFonts w:cstheme="minorHAnsi"/>
                <w:sz w:val="20"/>
                <w:szCs w:val="20"/>
              </w:rPr>
            </w:pPr>
            <w:r w:rsidRPr="00E30FC1">
              <w:rPr>
                <w:rFonts w:cstheme="minorHAnsi"/>
                <w:sz w:val="20"/>
                <w:szCs w:val="20"/>
              </w:rPr>
              <w:t>40’s</w:t>
            </w:r>
          </w:p>
        </w:tc>
        <w:tc>
          <w:tcPr>
            <w:tcW w:w="1013" w:type="dxa"/>
          </w:tcPr>
          <w:p w14:paraId="0CE8C32A" w14:textId="77777777" w:rsidR="00BE42FB" w:rsidRPr="00E30FC1" w:rsidRDefault="00BE42FB" w:rsidP="00987543">
            <w:pPr>
              <w:rPr>
                <w:rFonts w:cstheme="minorHAnsi"/>
                <w:sz w:val="20"/>
                <w:szCs w:val="20"/>
              </w:rPr>
            </w:pPr>
            <w:r w:rsidRPr="00E30FC1">
              <w:rPr>
                <w:rFonts w:cstheme="minorHAnsi"/>
                <w:sz w:val="20"/>
                <w:szCs w:val="20"/>
              </w:rPr>
              <w:t>Female</w:t>
            </w:r>
          </w:p>
        </w:tc>
        <w:tc>
          <w:tcPr>
            <w:tcW w:w="939" w:type="dxa"/>
          </w:tcPr>
          <w:p w14:paraId="5893D07D" w14:textId="77777777" w:rsidR="00BE42FB" w:rsidRPr="00E30FC1" w:rsidRDefault="00BE42FB" w:rsidP="00987543">
            <w:pPr>
              <w:rPr>
                <w:rFonts w:cstheme="minorHAnsi"/>
                <w:sz w:val="20"/>
                <w:szCs w:val="20"/>
              </w:rPr>
            </w:pPr>
            <w:r w:rsidRPr="00E30FC1">
              <w:rPr>
                <w:rFonts w:cstheme="minorHAnsi"/>
                <w:sz w:val="20"/>
                <w:szCs w:val="20"/>
              </w:rPr>
              <w:t>Single</w:t>
            </w:r>
          </w:p>
        </w:tc>
        <w:tc>
          <w:tcPr>
            <w:tcW w:w="1064" w:type="dxa"/>
          </w:tcPr>
          <w:p w14:paraId="39B22806"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868" w:type="dxa"/>
          </w:tcPr>
          <w:p w14:paraId="02B63524"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1381" w:type="dxa"/>
          </w:tcPr>
          <w:p w14:paraId="23215A15" w14:textId="77777777" w:rsidR="00BE42FB" w:rsidRPr="00E30FC1" w:rsidRDefault="00BE42FB" w:rsidP="00987543">
            <w:pPr>
              <w:rPr>
                <w:rFonts w:cstheme="minorHAnsi"/>
                <w:sz w:val="20"/>
                <w:szCs w:val="20"/>
              </w:rPr>
            </w:pPr>
            <w:r w:rsidRPr="00E30FC1">
              <w:rPr>
                <w:rFonts w:cstheme="minorHAnsi"/>
                <w:sz w:val="20"/>
                <w:szCs w:val="20"/>
              </w:rPr>
              <w:t>Public</w:t>
            </w:r>
          </w:p>
        </w:tc>
      </w:tr>
      <w:tr w:rsidR="00BE42FB" w:rsidRPr="00E30FC1" w14:paraId="42FC55CF" w14:textId="77777777" w:rsidTr="00987543">
        <w:tc>
          <w:tcPr>
            <w:tcW w:w="1292" w:type="dxa"/>
          </w:tcPr>
          <w:p w14:paraId="2500AF9B" w14:textId="77777777" w:rsidR="00BE42FB" w:rsidRPr="00E30FC1" w:rsidRDefault="00BE42FB" w:rsidP="00987543">
            <w:pPr>
              <w:rPr>
                <w:rFonts w:cstheme="minorHAnsi"/>
                <w:sz w:val="20"/>
                <w:szCs w:val="20"/>
              </w:rPr>
            </w:pPr>
            <w:r w:rsidRPr="00E30FC1">
              <w:rPr>
                <w:rFonts w:cstheme="minorHAnsi"/>
                <w:sz w:val="20"/>
                <w:szCs w:val="20"/>
              </w:rPr>
              <w:t>Eric</w:t>
            </w:r>
          </w:p>
        </w:tc>
        <w:tc>
          <w:tcPr>
            <w:tcW w:w="779" w:type="dxa"/>
          </w:tcPr>
          <w:p w14:paraId="265D9517" w14:textId="77777777" w:rsidR="00BE42FB" w:rsidRPr="00E30FC1" w:rsidRDefault="00BE42FB" w:rsidP="00987543">
            <w:pPr>
              <w:jc w:val="center"/>
              <w:rPr>
                <w:rFonts w:cstheme="minorHAnsi"/>
                <w:sz w:val="20"/>
                <w:szCs w:val="20"/>
              </w:rPr>
            </w:pPr>
            <w:r w:rsidRPr="00E30FC1">
              <w:rPr>
                <w:rFonts w:cstheme="minorHAnsi"/>
                <w:sz w:val="20"/>
                <w:szCs w:val="20"/>
              </w:rPr>
              <w:t>40’s</w:t>
            </w:r>
          </w:p>
        </w:tc>
        <w:tc>
          <w:tcPr>
            <w:tcW w:w="1013" w:type="dxa"/>
          </w:tcPr>
          <w:p w14:paraId="6F2D6DA4" w14:textId="77777777" w:rsidR="00BE42FB" w:rsidRPr="00E30FC1" w:rsidRDefault="00BE42FB" w:rsidP="00987543">
            <w:pPr>
              <w:rPr>
                <w:rFonts w:cstheme="minorHAnsi"/>
                <w:sz w:val="20"/>
                <w:szCs w:val="20"/>
              </w:rPr>
            </w:pPr>
            <w:r w:rsidRPr="00E30FC1">
              <w:rPr>
                <w:rFonts w:cstheme="minorHAnsi"/>
                <w:sz w:val="20"/>
                <w:szCs w:val="20"/>
              </w:rPr>
              <w:t>Male</w:t>
            </w:r>
          </w:p>
        </w:tc>
        <w:tc>
          <w:tcPr>
            <w:tcW w:w="939" w:type="dxa"/>
          </w:tcPr>
          <w:p w14:paraId="3CD4280F" w14:textId="77777777" w:rsidR="00BE42FB" w:rsidRPr="00E30FC1" w:rsidRDefault="00BE42FB" w:rsidP="00987543">
            <w:pPr>
              <w:rPr>
                <w:rFonts w:cstheme="minorHAnsi"/>
                <w:sz w:val="20"/>
                <w:szCs w:val="20"/>
              </w:rPr>
            </w:pPr>
            <w:r w:rsidRPr="00E30FC1">
              <w:rPr>
                <w:rFonts w:cstheme="minorHAnsi"/>
                <w:sz w:val="20"/>
                <w:szCs w:val="20"/>
              </w:rPr>
              <w:t>Single</w:t>
            </w:r>
          </w:p>
        </w:tc>
        <w:tc>
          <w:tcPr>
            <w:tcW w:w="1064" w:type="dxa"/>
          </w:tcPr>
          <w:p w14:paraId="3211AE7A"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868" w:type="dxa"/>
          </w:tcPr>
          <w:p w14:paraId="6B5F4ECA" w14:textId="77777777" w:rsidR="00BE42FB" w:rsidRPr="00E30FC1" w:rsidRDefault="00BE42FB" w:rsidP="00987543">
            <w:pPr>
              <w:jc w:val="center"/>
              <w:rPr>
                <w:rFonts w:cstheme="minorHAnsi"/>
                <w:sz w:val="20"/>
                <w:szCs w:val="20"/>
              </w:rPr>
            </w:pPr>
            <w:r w:rsidRPr="00E30FC1">
              <w:rPr>
                <w:rFonts w:cstheme="minorHAnsi"/>
                <w:sz w:val="20"/>
                <w:szCs w:val="20"/>
              </w:rPr>
              <w:t>5</w:t>
            </w:r>
          </w:p>
        </w:tc>
        <w:tc>
          <w:tcPr>
            <w:tcW w:w="1381" w:type="dxa"/>
          </w:tcPr>
          <w:p w14:paraId="425E9EBB" w14:textId="77777777" w:rsidR="00BE42FB" w:rsidRPr="00E30FC1" w:rsidRDefault="00BE42FB" w:rsidP="00987543">
            <w:pPr>
              <w:rPr>
                <w:rFonts w:cstheme="minorHAnsi"/>
                <w:sz w:val="20"/>
                <w:szCs w:val="20"/>
              </w:rPr>
            </w:pPr>
            <w:r w:rsidRPr="00E30FC1">
              <w:rPr>
                <w:rFonts w:cstheme="minorHAnsi"/>
                <w:sz w:val="20"/>
                <w:szCs w:val="20"/>
              </w:rPr>
              <w:t>Public</w:t>
            </w:r>
          </w:p>
        </w:tc>
      </w:tr>
      <w:tr w:rsidR="00BE42FB" w:rsidRPr="00E30FC1" w14:paraId="030FCEB0" w14:textId="77777777" w:rsidTr="00987543">
        <w:tc>
          <w:tcPr>
            <w:tcW w:w="1292" w:type="dxa"/>
          </w:tcPr>
          <w:p w14:paraId="6574B2ED" w14:textId="77777777" w:rsidR="00BE42FB" w:rsidRPr="00E30FC1" w:rsidRDefault="00BE42FB" w:rsidP="00987543">
            <w:pPr>
              <w:rPr>
                <w:rFonts w:cstheme="minorHAnsi"/>
                <w:sz w:val="20"/>
                <w:szCs w:val="20"/>
              </w:rPr>
            </w:pPr>
            <w:r w:rsidRPr="00E30FC1">
              <w:rPr>
                <w:rFonts w:cstheme="minorHAnsi"/>
                <w:sz w:val="20"/>
                <w:szCs w:val="20"/>
              </w:rPr>
              <w:t>Kazim</w:t>
            </w:r>
          </w:p>
        </w:tc>
        <w:tc>
          <w:tcPr>
            <w:tcW w:w="779" w:type="dxa"/>
          </w:tcPr>
          <w:p w14:paraId="490107F0" w14:textId="77777777" w:rsidR="00BE42FB" w:rsidRPr="00E30FC1" w:rsidRDefault="00BE42FB" w:rsidP="00987543">
            <w:pPr>
              <w:jc w:val="center"/>
              <w:rPr>
                <w:rFonts w:cstheme="minorHAnsi"/>
                <w:sz w:val="20"/>
                <w:szCs w:val="20"/>
              </w:rPr>
            </w:pPr>
            <w:r w:rsidRPr="00E30FC1">
              <w:rPr>
                <w:rFonts w:cstheme="minorHAnsi"/>
                <w:sz w:val="20"/>
                <w:szCs w:val="20"/>
              </w:rPr>
              <w:t>30’s</w:t>
            </w:r>
          </w:p>
        </w:tc>
        <w:tc>
          <w:tcPr>
            <w:tcW w:w="1013" w:type="dxa"/>
          </w:tcPr>
          <w:p w14:paraId="479A53DC" w14:textId="77777777" w:rsidR="00BE42FB" w:rsidRPr="00E30FC1" w:rsidRDefault="00BE42FB" w:rsidP="00987543">
            <w:pPr>
              <w:rPr>
                <w:rFonts w:cstheme="minorHAnsi"/>
                <w:sz w:val="20"/>
                <w:szCs w:val="20"/>
              </w:rPr>
            </w:pPr>
            <w:r w:rsidRPr="00E30FC1">
              <w:rPr>
                <w:rFonts w:cstheme="minorHAnsi"/>
                <w:sz w:val="20"/>
                <w:szCs w:val="20"/>
              </w:rPr>
              <w:t>Male</w:t>
            </w:r>
          </w:p>
        </w:tc>
        <w:tc>
          <w:tcPr>
            <w:tcW w:w="939" w:type="dxa"/>
          </w:tcPr>
          <w:p w14:paraId="068FF851" w14:textId="77777777" w:rsidR="00BE42FB" w:rsidRPr="00E30FC1" w:rsidRDefault="00BE42FB" w:rsidP="00987543">
            <w:pPr>
              <w:rPr>
                <w:rFonts w:cstheme="minorHAnsi"/>
                <w:sz w:val="20"/>
                <w:szCs w:val="20"/>
              </w:rPr>
            </w:pPr>
            <w:r w:rsidRPr="00E30FC1">
              <w:rPr>
                <w:rFonts w:cstheme="minorHAnsi"/>
                <w:sz w:val="20"/>
                <w:szCs w:val="20"/>
              </w:rPr>
              <w:t>Married</w:t>
            </w:r>
          </w:p>
        </w:tc>
        <w:tc>
          <w:tcPr>
            <w:tcW w:w="1064" w:type="dxa"/>
          </w:tcPr>
          <w:p w14:paraId="5C35E349"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868" w:type="dxa"/>
          </w:tcPr>
          <w:p w14:paraId="1A5D59A3" w14:textId="77777777" w:rsidR="00BE42FB" w:rsidRPr="00E30FC1" w:rsidRDefault="00BE42FB" w:rsidP="00987543">
            <w:pPr>
              <w:jc w:val="center"/>
              <w:rPr>
                <w:rFonts w:cstheme="minorHAnsi"/>
                <w:sz w:val="20"/>
                <w:szCs w:val="20"/>
              </w:rPr>
            </w:pPr>
            <w:r w:rsidRPr="00E30FC1">
              <w:rPr>
                <w:rFonts w:cstheme="minorHAnsi"/>
                <w:sz w:val="20"/>
                <w:szCs w:val="20"/>
              </w:rPr>
              <w:t>3</w:t>
            </w:r>
          </w:p>
        </w:tc>
        <w:tc>
          <w:tcPr>
            <w:tcW w:w="1381" w:type="dxa"/>
          </w:tcPr>
          <w:p w14:paraId="0A448E32" w14:textId="77777777" w:rsidR="00BE42FB" w:rsidRPr="00E30FC1" w:rsidRDefault="00BE42FB" w:rsidP="00987543">
            <w:pPr>
              <w:rPr>
                <w:rFonts w:cstheme="minorHAnsi"/>
                <w:sz w:val="20"/>
                <w:szCs w:val="20"/>
              </w:rPr>
            </w:pPr>
            <w:r w:rsidRPr="00E30FC1">
              <w:rPr>
                <w:rFonts w:cstheme="minorHAnsi"/>
                <w:sz w:val="20"/>
                <w:szCs w:val="20"/>
              </w:rPr>
              <w:t>Public</w:t>
            </w:r>
          </w:p>
        </w:tc>
      </w:tr>
      <w:tr w:rsidR="00BE42FB" w:rsidRPr="00E30FC1" w14:paraId="34320F95" w14:textId="77777777" w:rsidTr="00987543">
        <w:tc>
          <w:tcPr>
            <w:tcW w:w="1292" w:type="dxa"/>
          </w:tcPr>
          <w:p w14:paraId="1078E419" w14:textId="77777777" w:rsidR="00BE42FB" w:rsidRPr="00E30FC1" w:rsidRDefault="00BE42FB" w:rsidP="00987543">
            <w:pPr>
              <w:rPr>
                <w:rFonts w:cstheme="minorHAnsi"/>
                <w:sz w:val="20"/>
                <w:szCs w:val="20"/>
              </w:rPr>
            </w:pPr>
            <w:r w:rsidRPr="00E30FC1">
              <w:rPr>
                <w:rFonts w:cstheme="minorHAnsi"/>
                <w:sz w:val="20"/>
                <w:szCs w:val="20"/>
              </w:rPr>
              <w:t>Marta</w:t>
            </w:r>
          </w:p>
        </w:tc>
        <w:tc>
          <w:tcPr>
            <w:tcW w:w="779" w:type="dxa"/>
          </w:tcPr>
          <w:p w14:paraId="08D3425E" w14:textId="77777777" w:rsidR="00BE42FB" w:rsidRPr="00E30FC1" w:rsidRDefault="00BE42FB" w:rsidP="00987543">
            <w:pPr>
              <w:jc w:val="center"/>
              <w:rPr>
                <w:rFonts w:cstheme="minorHAnsi"/>
                <w:sz w:val="20"/>
                <w:szCs w:val="20"/>
              </w:rPr>
            </w:pPr>
            <w:r w:rsidRPr="00E30FC1">
              <w:rPr>
                <w:rFonts w:cstheme="minorHAnsi"/>
                <w:sz w:val="20"/>
                <w:szCs w:val="20"/>
              </w:rPr>
              <w:t>40’s</w:t>
            </w:r>
          </w:p>
        </w:tc>
        <w:tc>
          <w:tcPr>
            <w:tcW w:w="1013" w:type="dxa"/>
          </w:tcPr>
          <w:p w14:paraId="2BA5CBDE" w14:textId="77777777" w:rsidR="00BE42FB" w:rsidRPr="00E30FC1" w:rsidRDefault="00BE42FB" w:rsidP="00987543">
            <w:pPr>
              <w:rPr>
                <w:rFonts w:cstheme="minorHAnsi"/>
                <w:sz w:val="20"/>
                <w:szCs w:val="20"/>
              </w:rPr>
            </w:pPr>
            <w:r w:rsidRPr="00E30FC1">
              <w:rPr>
                <w:rFonts w:cstheme="minorHAnsi"/>
                <w:sz w:val="20"/>
                <w:szCs w:val="20"/>
              </w:rPr>
              <w:t>Female</w:t>
            </w:r>
          </w:p>
        </w:tc>
        <w:tc>
          <w:tcPr>
            <w:tcW w:w="939" w:type="dxa"/>
          </w:tcPr>
          <w:p w14:paraId="128AD493" w14:textId="77777777" w:rsidR="00BE42FB" w:rsidRPr="00E30FC1" w:rsidRDefault="00BE42FB" w:rsidP="00987543">
            <w:pPr>
              <w:rPr>
                <w:rFonts w:cstheme="minorHAnsi"/>
                <w:sz w:val="20"/>
                <w:szCs w:val="20"/>
              </w:rPr>
            </w:pPr>
            <w:r w:rsidRPr="00E30FC1">
              <w:rPr>
                <w:rFonts w:cstheme="minorHAnsi"/>
                <w:sz w:val="20"/>
                <w:szCs w:val="20"/>
              </w:rPr>
              <w:t>Married</w:t>
            </w:r>
          </w:p>
        </w:tc>
        <w:tc>
          <w:tcPr>
            <w:tcW w:w="1064" w:type="dxa"/>
          </w:tcPr>
          <w:p w14:paraId="7309C578" w14:textId="77777777" w:rsidR="00BE42FB" w:rsidRPr="00E30FC1" w:rsidRDefault="00BE42FB" w:rsidP="00987543">
            <w:pPr>
              <w:jc w:val="center"/>
              <w:rPr>
                <w:rFonts w:cstheme="minorHAnsi"/>
                <w:sz w:val="20"/>
                <w:szCs w:val="20"/>
              </w:rPr>
            </w:pPr>
            <w:r w:rsidRPr="00E30FC1">
              <w:rPr>
                <w:rFonts w:cstheme="minorHAnsi"/>
                <w:sz w:val="20"/>
                <w:szCs w:val="20"/>
              </w:rPr>
              <w:t>3</w:t>
            </w:r>
          </w:p>
        </w:tc>
        <w:tc>
          <w:tcPr>
            <w:tcW w:w="868" w:type="dxa"/>
          </w:tcPr>
          <w:p w14:paraId="58E98407" w14:textId="77777777" w:rsidR="00BE42FB" w:rsidRPr="00E30FC1" w:rsidRDefault="00BE42FB" w:rsidP="00987543">
            <w:pPr>
              <w:jc w:val="center"/>
              <w:rPr>
                <w:rFonts w:cstheme="minorHAnsi"/>
                <w:sz w:val="20"/>
                <w:szCs w:val="20"/>
              </w:rPr>
            </w:pPr>
            <w:r w:rsidRPr="00E30FC1">
              <w:rPr>
                <w:rFonts w:cstheme="minorHAnsi"/>
                <w:sz w:val="20"/>
                <w:szCs w:val="20"/>
              </w:rPr>
              <w:t>3</w:t>
            </w:r>
          </w:p>
        </w:tc>
        <w:tc>
          <w:tcPr>
            <w:tcW w:w="1381" w:type="dxa"/>
          </w:tcPr>
          <w:p w14:paraId="117AEF11" w14:textId="77777777" w:rsidR="00BE42FB" w:rsidRPr="00E30FC1" w:rsidRDefault="00BE42FB" w:rsidP="00987543">
            <w:pPr>
              <w:rPr>
                <w:rFonts w:cstheme="minorHAnsi"/>
                <w:sz w:val="20"/>
                <w:szCs w:val="20"/>
              </w:rPr>
            </w:pPr>
            <w:r w:rsidRPr="00E30FC1">
              <w:rPr>
                <w:rFonts w:cstheme="minorHAnsi"/>
                <w:sz w:val="20"/>
                <w:szCs w:val="20"/>
              </w:rPr>
              <w:t>Public</w:t>
            </w:r>
          </w:p>
        </w:tc>
      </w:tr>
      <w:tr w:rsidR="00BE42FB" w:rsidRPr="00E30FC1" w14:paraId="4F7399BE" w14:textId="77777777" w:rsidTr="00987543">
        <w:tc>
          <w:tcPr>
            <w:tcW w:w="1292" w:type="dxa"/>
          </w:tcPr>
          <w:p w14:paraId="7F8C87A3" w14:textId="77777777" w:rsidR="00BE42FB" w:rsidRPr="00E30FC1" w:rsidRDefault="00BE42FB" w:rsidP="00987543">
            <w:pPr>
              <w:rPr>
                <w:rFonts w:cstheme="minorHAnsi"/>
                <w:sz w:val="20"/>
                <w:szCs w:val="20"/>
              </w:rPr>
            </w:pPr>
            <w:r w:rsidRPr="00E30FC1">
              <w:rPr>
                <w:rFonts w:cstheme="minorHAnsi"/>
                <w:sz w:val="20"/>
                <w:szCs w:val="20"/>
              </w:rPr>
              <w:t>Ronnie</w:t>
            </w:r>
          </w:p>
        </w:tc>
        <w:tc>
          <w:tcPr>
            <w:tcW w:w="779" w:type="dxa"/>
          </w:tcPr>
          <w:p w14:paraId="4D3C877A" w14:textId="77777777" w:rsidR="00BE42FB" w:rsidRPr="00E30FC1" w:rsidRDefault="00BE42FB" w:rsidP="00987543">
            <w:pPr>
              <w:jc w:val="center"/>
              <w:rPr>
                <w:rFonts w:cstheme="minorHAnsi"/>
                <w:sz w:val="20"/>
                <w:szCs w:val="20"/>
              </w:rPr>
            </w:pPr>
            <w:r w:rsidRPr="00E30FC1">
              <w:rPr>
                <w:rFonts w:cstheme="minorHAnsi"/>
                <w:sz w:val="20"/>
                <w:szCs w:val="20"/>
              </w:rPr>
              <w:t>50’s</w:t>
            </w:r>
          </w:p>
        </w:tc>
        <w:tc>
          <w:tcPr>
            <w:tcW w:w="1013" w:type="dxa"/>
          </w:tcPr>
          <w:p w14:paraId="2626388D" w14:textId="77777777" w:rsidR="00BE42FB" w:rsidRPr="00E30FC1" w:rsidRDefault="00BE42FB" w:rsidP="00987543">
            <w:pPr>
              <w:rPr>
                <w:rFonts w:cstheme="minorHAnsi"/>
                <w:sz w:val="20"/>
                <w:szCs w:val="20"/>
              </w:rPr>
            </w:pPr>
            <w:r w:rsidRPr="00E30FC1">
              <w:rPr>
                <w:rFonts w:cstheme="minorHAnsi"/>
                <w:sz w:val="20"/>
                <w:szCs w:val="20"/>
              </w:rPr>
              <w:t>Male</w:t>
            </w:r>
          </w:p>
        </w:tc>
        <w:tc>
          <w:tcPr>
            <w:tcW w:w="939" w:type="dxa"/>
          </w:tcPr>
          <w:p w14:paraId="23543BE9" w14:textId="77777777" w:rsidR="00BE42FB" w:rsidRPr="00E30FC1" w:rsidRDefault="00BE42FB" w:rsidP="00987543">
            <w:pPr>
              <w:rPr>
                <w:rFonts w:cstheme="minorHAnsi"/>
                <w:sz w:val="20"/>
                <w:szCs w:val="20"/>
              </w:rPr>
            </w:pPr>
            <w:r w:rsidRPr="00E30FC1">
              <w:rPr>
                <w:rFonts w:cstheme="minorHAnsi"/>
                <w:sz w:val="20"/>
                <w:szCs w:val="20"/>
              </w:rPr>
              <w:t>Married</w:t>
            </w:r>
          </w:p>
        </w:tc>
        <w:tc>
          <w:tcPr>
            <w:tcW w:w="1064" w:type="dxa"/>
          </w:tcPr>
          <w:p w14:paraId="718B2671" w14:textId="77777777" w:rsidR="00BE42FB" w:rsidRPr="00E30FC1" w:rsidRDefault="00BE42FB" w:rsidP="00987543">
            <w:pPr>
              <w:jc w:val="center"/>
              <w:rPr>
                <w:rFonts w:cstheme="minorHAnsi"/>
                <w:sz w:val="20"/>
                <w:szCs w:val="20"/>
              </w:rPr>
            </w:pPr>
            <w:r w:rsidRPr="00E30FC1">
              <w:rPr>
                <w:rFonts w:cstheme="minorHAnsi"/>
                <w:sz w:val="20"/>
                <w:szCs w:val="20"/>
              </w:rPr>
              <w:t>3</w:t>
            </w:r>
          </w:p>
        </w:tc>
        <w:tc>
          <w:tcPr>
            <w:tcW w:w="868" w:type="dxa"/>
          </w:tcPr>
          <w:p w14:paraId="024EC43A"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1381" w:type="dxa"/>
          </w:tcPr>
          <w:p w14:paraId="22CA8C43" w14:textId="77777777" w:rsidR="00BE42FB" w:rsidRPr="00E30FC1" w:rsidRDefault="00BE42FB" w:rsidP="00987543">
            <w:pPr>
              <w:rPr>
                <w:rFonts w:cstheme="minorHAnsi"/>
                <w:sz w:val="20"/>
                <w:szCs w:val="20"/>
              </w:rPr>
            </w:pPr>
            <w:r w:rsidRPr="00E30FC1">
              <w:rPr>
                <w:rFonts w:cstheme="minorHAnsi"/>
                <w:sz w:val="20"/>
                <w:szCs w:val="20"/>
              </w:rPr>
              <w:t>Private</w:t>
            </w:r>
          </w:p>
        </w:tc>
      </w:tr>
      <w:tr w:rsidR="00BE42FB" w:rsidRPr="00E30FC1" w14:paraId="6F51FDA1" w14:textId="77777777" w:rsidTr="00987543">
        <w:tc>
          <w:tcPr>
            <w:tcW w:w="1292" w:type="dxa"/>
          </w:tcPr>
          <w:p w14:paraId="20DDEFBB" w14:textId="77777777" w:rsidR="00BE42FB" w:rsidRPr="00E30FC1" w:rsidRDefault="00BE42FB" w:rsidP="00987543">
            <w:pPr>
              <w:rPr>
                <w:rFonts w:cstheme="minorHAnsi"/>
                <w:sz w:val="20"/>
                <w:szCs w:val="20"/>
              </w:rPr>
            </w:pPr>
            <w:r w:rsidRPr="00E30FC1">
              <w:rPr>
                <w:rFonts w:cstheme="minorHAnsi"/>
                <w:sz w:val="20"/>
                <w:szCs w:val="20"/>
              </w:rPr>
              <w:t>Alan</w:t>
            </w:r>
          </w:p>
        </w:tc>
        <w:tc>
          <w:tcPr>
            <w:tcW w:w="779" w:type="dxa"/>
          </w:tcPr>
          <w:p w14:paraId="7D42AD60" w14:textId="77777777" w:rsidR="00BE42FB" w:rsidRPr="00E30FC1" w:rsidRDefault="00BE42FB" w:rsidP="00987543">
            <w:pPr>
              <w:jc w:val="center"/>
              <w:rPr>
                <w:rFonts w:cstheme="minorHAnsi"/>
                <w:sz w:val="20"/>
                <w:szCs w:val="20"/>
              </w:rPr>
            </w:pPr>
            <w:r w:rsidRPr="00E30FC1">
              <w:rPr>
                <w:rFonts w:cstheme="minorHAnsi"/>
                <w:sz w:val="20"/>
                <w:szCs w:val="20"/>
              </w:rPr>
              <w:t>50’s</w:t>
            </w:r>
          </w:p>
        </w:tc>
        <w:tc>
          <w:tcPr>
            <w:tcW w:w="1013" w:type="dxa"/>
          </w:tcPr>
          <w:p w14:paraId="020230EB" w14:textId="77777777" w:rsidR="00BE42FB" w:rsidRPr="00E30FC1" w:rsidRDefault="00BE42FB" w:rsidP="00987543">
            <w:pPr>
              <w:rPr>
                <w:rFonts w:cstheme="minorHAnsi"/>
                <w:sz w:val="20"/>
                <w:szCs w:val="20"/>
              </w:rPr>
            </w:pPr>
            <w:r w:rsidRPr="00E30FC1">
              <w:rPr>
                <w:rFonts w:cstheme="minorHAnsi"/>
                <w:sz w:val="20"/>
                <w:szCs w:val="20"/>
              </w:rPr>
              <w:t>Male</w:t>
            </w:r>
          </w:p>
        </w:tc>
        <w:tc>
          <w:tcPr>
            <w:tcW w:w="939" w:type="dxa"/>
          </w:tcPr>
          <w:p w14:paraId="291B505C" w14:textId="77777777" w:rsidR="00BE42FB" w:rsidRPr="00E30FC1" w:rsidRDefault="00BE42FB" w:rsidP="00987543">
            <w:pPr>
              <w:rPr>
                <w:rFonts w:cstheme="minorHAnsi"/>
                <w:sz w:val="20"/>
                <w:szCs w:val="20"/>
              </w:rPr>
            </w:pPr>
            <w:r w:rsidRPr="00E30FC1">
              <w:rPr>
                <w:rFonts w:cstheme="minorHAnsi"/>
                <w:sz w:val="20"/>
                <w:szCs w:val="20"/>
              </w:rPr>
              <w:t>Single</w:t>
            </w:r>
          </w:p>
        </w:tc>
        <w:tc>
          <w:tcPr>
            <w:tcW w:w="1064" w:type="dxa"/>
          </w:tcPr>
          <w:p w14:paraId="17E69A9D" w14:textId="77777777" w:rsidR="00BE42FB" w:rsidRPr="00E30FC1" w:rsidRDefault="00BE42FB" w:rsidP="00987543">
            <w:pPr>
              <w:jc w:val="center"/>
              <w:rPr>
                <w:rFonts w:cstheme="minorHAnsi"/>
                <w:sz w:val="20"/>
                <w:szCs w:val="20"/>
              </w:rPr>
            </w:pPr>
            <w:r w:rsidRPr="00E30FC1">
              <w:rPr>
                <w:rFonts w:cstheme="minorHAnsi"/>
                <w:sz w:val="20"/>
                <w:szCs w:val="20"/>
              </w:rPr>
              <w:t>3</w:t>
            </w:r>
          </w:p>
        </w:tc>
        <w:tc>
          <w:tcPr>
            <w:tcW w:w="868" w:type="dxa"/>
          </w:tcPr>
          <w:p w14:paraId="04C64491" w14:textId="77777777" w:rsidR="00BE42FB" w:rsidRPr="00E30FC1" w:rsidRDefault="00BE42FB" w:rsidP="00987543">
            <w:pPr>
              <w:jc w:val="center"/>
              <w:rPr>
                <w:rFonts w:cstheme="minorHAnsi"/>
                <w:sz w:val="20"/>
                <w:szCs w:val="20"/>
              </w:rPr>
            </w:pPr>
            <w:r w:rsidRPr="00E30FC1">
              <w:rPr>
                <w:rFonts w:cstheme="minorHAnsi"/>
                <w:sz w:val="20"/>
                <w:szCs w:val="20"/>
              </w:rPr>
              <w:t>4</w:t>
            </w:r>
          </w:p>
        </w:tc>
        <w:tc>
          <w:tcPr>
            <w:tcW w:w="1381" w:type="dxa"/>
          </w:tcPr>
          <w:p w14:paraId="454125C0" w14:textId="77777777" w:rsidR="00BE42FB" w:rsidRPr="00E30FC1" w:rsidRDefault="00BE42FB" w:rsidP="00987543">
            <w:pPr>
              <w:rPr>
                <w:rFonts w:cstheme="minorHAnsi"/>
                <w:sz w:val="20"/>
                <w:szCs w:val="20"/>
              </w:rPr>
            </w:pPr>
            <w:r w:rsidRPr="00E30FC1">
              <w:rPr>
                <w:rFonts w:cstheme="minorHAnsi"/>
                <w:sz w:val="20"/>
                <w:szCs w:val="20"/>
              </w:rPr>
              <w:t>Private</w:t>
            </w:r>
          </w:p>
        </w:tc>
      </w:tr>
      <w:tr w:rsidR="00BE42FB" w:rsidRPr="00E30FC1" w14:paraId="7FF81478" w14:textId="77777777" w:rsidTr="00987543">
        <w:tc>
          <w:tcPr>
            <w:tcW w:w="1292" w:type="dxa"/>
          </w:tcPr>
          <w:p w14:paraId="377C033F" w14:textId="77777777" w:rsidR="00BE42FB" w:rsidRPr="00E30FC1" w:rsidRDefault="00BE42FB" w:rsidP="00987543">
            <w:pPr>
              <w:rPr>
                <w:rFonts w:cstheme="minorHAnsi"/>
                <w:sz w:val="20"/>
                <w:szCs w:val="20"/>
              </w:rPr>
            </w:pPr>
            <w:r w:rsidRPr="00E30FC1">
              <w:rPr>
                <w:rFonts w:cstheme="minorHAnsi"/>
                <w:sz w:val="20"/>
                <w:szCs w:val="20"/>
              </w:rPr>
              <w:t>Jim</w:t>
            </w:r>
          </w:p>
        </w:tc>
        <w:tc>
          <w:tcPr>
            <w:tcW w:w="779" w:type="dxa"/>
          </w:tcPr>
          <w:p w14:paraId="2B95682C" w14:textId="77777777" w:rsidR="00BE42FB" w:rsidRPr="00E30FC1" w:rsidRDefault="00BE42FB" w:rsidP="00987543">
            <w:pPr>
              <w:jc w:val="center"/>
              <w:rPr>
                <w:rFonts w:cstheme="minorHAnsi"/>
                <w:sz w:val="20"/>
                <w:szCs w:val="20"/>
              </w:rPr>
            </w:pPr>
            <w:r w:rsidRPr="00E30FC1">
              <w:rPr>
                <w:rFonts w:cstheme="minorHAnsi"/>
                <w:sz w:val="20"/>
                <w:szCs w:val="20"/>
              </w:rPr>
              <w:t>30’s</w:t>
            </w:r>
          </w:p>
        </w:tc>
        <w:tc>
          <w:tcPr>
            <w:tcW w:w="1013" w:type="dxa"/>
          </w:tcPr>
          <w:p w14:paraId="1DCA231F" w14:textId="77777777" w:rsidR="00BE42FB" w:rsidRPr="00E30FC1" w:rsidRDefault="00BE42FB" w:rsidP="00987543">
            <w:pPr>
              <w:rPr>
                <w:rFonts w:cstheme="minorHAnsi"/>
                <w:sz w:val="20"/>
                <w:szCs w:val="20"/>
              </w:rPr>
            </w:pPr>
            <w:r w:rsidRPr="00E30FC1">
              <w:rPr>
                <w:rFonts w:cstheme="minorHAnsi"/>
                <w:sz w:val="20"/>
                <w:szCs w:val="20"/>
              </w:rPr>
              <w:t>Male</w:t>
            </w:r>
          </w:p>
        </w:tc>
        <w:tc>
          <w:tcPr>
            <w:tcW w:w="939" w:type="dxa"/>
          </w:tcPr>
          <w:p w14:paraId="6EB22C82" w14:textId="77777777" w:rsidR="00BE42FB" w:rsidRPr="00E30FC1" w:rsidRDefault="00BE42FB" w:rsidP="00987543">
            <w:pPr>
              <w:rPr>
                <w:rFonts w:cstheme="minorHAnsi"/>
                <w:sz w:val="20"/>
                <w:szCs w:val="20"/>
              </w:rPr>
            </w:pPr>
            <w:r w:rsidRPr="00E30FC1">
              <w:rPr>
                <w:rFonts w:cstheme="minorHAnsi"/>
                <w:sz w:val="20"/>
                <w:szCs w:val="20"/>
              </w:rPr>
              <w:t>Married</w:t>
            </w:r>
          </w:p>
        </w:tc>
        <w:tc>
          <w:tcPr>
            <w:tcW w:w="1064" w:type="dxa"/>
          </w:tcPr>
          <w:p w14:paraId="446265AC"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868" w:type="dxa"/>
          </w:tcPr>
          <w:p w14:paraId="0DE34770"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1381" w:type="dxa"/>
          </w:tcPr>
          <w:p w14:paraId="63383FE5" w14:textId="77777777" w:rsidR="00BE42FB" w:rsidRPr="00E30FC1" w:rsidRDefault="00BE42FB" w:rsidP="00987543">
            <w:pPr>
              <w:rPr>
                <w:rFonts w:cstheme="minorHAnsi"/>
                <w:sz w:val="20"/>
                <w:szCs w:val="20"/>
              </w:rPr>
            </w:pPr>
            <w:r w:rsidRPr="00E30FC1">
              <w:rPr>
                <w:rFonts w:cstheme="minorHAnsi"/>
                <w:sz w:val="20"/>
                <w:szCs w:val="20"/>
              </w:rPr>
              <w:t>Private</w:t>
            </w:r>
          </w:p>
        </w:tc>
      </w:tr>
      <w:tr w:rsidR="00BE42FB" w:rsidRPr="00E30FC1" w14:paraId="0545CCFB" w14:textId="77777777" w:rsidTr="00987543">
        <w:tc>
          <w:tcPr>
            <w:tcW w:w="1292" w:type="dxa"/>
          </w:tcPr>
          <w:p w14:paraId="6B364F74" w14:textId="77777777" w:rsidR="00BE42FB" w:rsidRPr="00E30FC1" w:rsidRDefault="00BE42FB" w:rsidP="00987543">
            <w:pPr>
              <w:rPr>
                <w:rFonts w:cstheme="minorHAnsi"/>
                <w:sz w:val="20"/>
                <w:szCs w:val="20"/>
              </w:rPr>
            </w:pPr>
            <w:r w:rsidRPr="00E30FC1">
              <w:rPr>
                <w:rFonts w:cstheme="minorHAnsi"/>
                <w:sz w:val="20"/>
                <w:szCs w:val="20"/>
              </w:rPr>
              <w:t>Bryan</w:t>
            </w:r>
          </w:p>
        </w:tc>
        <w:tc>
          <w:tcPr>
            <w:tcW w:w="779" w:type="dxa"/>
          </w:tcPr>
          <w:p w14:paraId="1D930BC1" w14:textId="77777777" w:rsidR="00BE42FB" w:rsidRPr="00E30FC1" w:rsidRDefault="00BE42FB" w:rsidP="00987543">
            <w:pPr>
              <w:jc w:val="center"/>
              <w:rPr>
                <w:rFonts w:cstheme="minorHAnsi"/>
                <w:sz w:val="20"/>
                <w:szCs w:val="20"/>
              </w:rPr>
            </w:pPr>
            <w:r w:rsidRPr="00E30FC1">
              <w:rPr>
                <w:rFonts w:cstheme="minorHAnsi"/>
                <w:sz w:val="20"/>
                <w:szCs w:val="20"/>
              </w:rPr>
              <w:t>40’s</w:t>
            </w:r>
          </w:p>
        </w:tc>
        <w:tc>
          <w:tcPr>
            <w:tcW w:w="1013" w:type="dxa"/>
          </w:tcPr>
          <w:p w14:paraId="2D36B345" w14:textId="77777777" w:rsidR="00BE42FB" w:rsidRPr="00E30FC1" w:rsidRDefault="00BE42FB" w:rsidP="00987543">
            <w:pPr>
              <w:rPr>
                <w:rFonts w:cstheme="minorHAnsi"/>
                <w:sz w:val="20"/>
                <w:szCs w:val="20"/>
              </w:rPr>
            </w:pPr>
            <w:r w:rsidRPr="00E30FC1">
              <w:rPr>
                <w:rFonts w:cstheme="minorHAnsi"/>
                <w:sz w:val="20"/>
                <w:szCs w:val="20"/>
              </w:rPr>
              <w:t>Male</w:t>
            </w:r>
          </w:p>
        </w:tc>
        <w:tc>
          <w:tcPr>
            <w:tcW w:w="939" w:type="dxa"/>
          </w:tcPr>
          <w:p w14:paraId="268834D6" w14:textId="77777777" w:rsidR="00BE42FB" w:rsidRPr="00E30FC1" w:rsidRDefault="00BE42FB" w:rsidP="00987543">
            <w:pPr>
              <w:rPr>
                <w:rFonts w:cstheme="minorHAnsi"/>
                <w:sz w:val="20"/>
                <w:szCs w:val="20"/>
              </w:rPr>
            </w:pPr>
            <w:r w:rsidRPr="00E30FC1">
              <w:rPr>
                <w:rFonts w:cstheme="minorHAnsi"/>
                <w:sz w:val="20"/>
                <w:szCs w:val="20"/>
              </w:rPr>
              <w:t>Married</w:t>
            </w:r>
          </w:p>
        </w:tc>
        <w:tc>
          <w:tcPr>
            <w:tcW w:w="1064" w:type="dxa"/>
          </w:tcPr>
          <w:p w14:paraId="525FB641" w14:textId="77777777" w:rsidR="00BE42FB" w:rsidRPr="00E30FC1" w:rsidRDefault="00BE42FB" w:rsidP="00987543">
            <w:pPr>
              <w:jc w:val="center"/>
              <w:rPr>
                <w:rFonts w:cstheme="minorHAnsi"/>
                <w:sz w:val="20"/>
                <w:szCs w:val="20"/>
              </w:rPr>
            </w:pPr>
            <w:r w:rsidRPr="00E30FC1">
              <w:rPr>
                <w:rFonts w:cstheme="minorHAnsi"/>
                <w:sz w:val="20"/>
                <w:szCs w:val="20"/>
              </w:rPr>
              <w:t>3</w:t>
            </w:r>
          </w:p>
        </w:tc>
        <w:tc>
          <w:tcPr>
            <w:tcW w:w="868" w:type="dxa"/>
          </w:tcPr>
          <w:p w14:paraId="3CDFC483" w14:textId="77777777" w:rsidR="00BE42FB" w:rsidRPr="00E30FC1" w:rsidRDefault="00BE42FB" w:rsidP="00987543">
            <w:pPr>
              <w:jc w:val="center"/>
              <w:rPr>
                <w:rFonts w:cstheme="minorHAnsi"/>
                <w:sz w:val="20"/>
                <w:szCs w:val="20"/>
              </w:rPr>
            </w:pPr>
            <w:r w:rsidRPr="00E30FC1">
              <w:rPr>
                <w:rFonts w:cstheme="minorHAnsi"/>
                <w:sz w:val="20"/>
                <w:szCs w:val="20"/>
              </w:rPr>
              <w:t>4</w:t>
            </w:r>
          </w:p>
        </w:tc>
        <w:tc>
          <w:tcPr>
            <w:tcW w:w="1381" w:type="dxa"/>
          </w:tcPr>
          <w:p w14:paraId="6F82BAD1" w14:textId="77777777" w:rsidR="00BE42FB" w:rsidRPr="00E30FC1" w:rsidRDefault="00BE42FB" w:rsidP="00987543">
            <w:pPr>
              <w:rPr>
                <w:rFonts w:cstheme="minorHAnsi"/>
                <w:sz w:val="20"/>
                <w:szCs w:val="20"/>
              </w:rPr>
            </w:pPr>
            <w:r w:rsidRPr="00E30FC1">
              <w:rPr>
                <w:rFonts w:cstheme="minorHAnsi"/>
                <w:sz w:val="20"/>
                <w:szCs w:val="20"/>
              </w:rPr>
              <w:t>Private</w:t>
            </w:r>
          </w:p>
        </w:tc>
      </w:tr>
      <w:tr w:rsidR="00BE42FB" w:rsidRPr="00E30FC1" w14:paraId="33F20F7F" w14:textId="77777777" w:rsidTr="00987543">
        <w:tc>
          <w:tcPr>
            <w:tcW w:w="1292" w:type="dxa"/>
          </w:tcPr>
          <w:p w14:paraId="61D55FC5" w14:textId="77777777" w:rsidR="00BE42FB" w:rsidRPr="00E30FC1" w:rsidRDefault="00BE42FB" w:rsidP="00987543">
            <w:pPr>
              <w:rPr>
                <w:rFonts w:cstheme="minorHAnsi"/>
                <w:sz w:val="20"/>
                <w:szCs w:val="20"/>
              </w:rPr>
            </w:pPr>
            <w:r w:rsidRPr="00E30FC1">
              <w:rPr>
                <w:rFonts w:cstheme="minorHAnsi"/>
                <w:sz w:val="20"/>
                <w:szCs w:val="20"/>
              </w:rPr>
              <w:t>George</w:t>
            </w:r>
          </w:p>
        </w:tc>
        <w:tc>
          <w:tcPr>
            <w:tcW w:w="779" w:type="dxa"/>
          </w:tcPr>
          <w:p w14:paraId="51C7F74F" w14:textId="77777777" w:rsidR="00BE42FB" w:rsidRPr="00E30FC1" w:rsidRDefault="00BE42FB" w:rsidP="00987543">
            <w:pPr>
              <w:jc w:val="center"/>
              <w:rPr>
                <w:rFonts w:cstheme="minorHAnsi"/>
                <w:sz w:val="20"/>
                <w:szCs w:val="20"/>
              </w:rPr>
            </w:pPr>
            <w:r w:rsidRPr="00E30FC1">
              <w:rPr>
                <w:rFonts w:cstheme="minorHAnsi"/>
                <w:sz w:val="20"/>
                <w:szCs w:val="20"/>
              </w:rPr>
              <w:t>40’s</w:t>
            </w:r>
          </w:p>
        </w:tc>
        <w:tc>
          <w:tcPr>
            <w:tcW w:w="1013" w:type="dxa"/>
          </w:tcPr>
          <w:p w14:paraId="7F677D5E" w14:textId="77777777" w:rsidR="00BE42FB" w:rsidRPr="00E30FC1" w:rsidRDefault="00BE42FB" w:rsidP="00987543">
            <w:pPr>
              <w:rPr>
                <w:rFonts w:cstheme="minorHAnsi"/>
                <w:sz w:val="20"/>
                <w:szCs w:val="20"/>
              </w:rPr>
            </w:pPr>
            <w:r w:rsidRPr="00E30FC1">
              <w:rPr>
                <w:rFonts w:cstheme="minorHAnsi"/>
                <w:sz w:val="20"/>
                <w:szCs w:val="20"/>
              </w:rPr>
              <w:t>Male</w:t>
            </w:r>
          </w:p>
        </w:tc>
        <w:tc>
          <w:tcPr>
            <w:tcW w:w="939" w:type="dxa"/>
          </w:tcPr>
          <w:p w14:paraId="40418007" w14:textId="77777777" w:rsidR="00BE42FB" w:rsidRPr="00E30FC1" w:rsidRDefault="00BE42FB" w:rsidP="00987543">
            <w:pPr>
              <w:rPr>
                <w:rFonts w:cstheme="minorHAnsi"/>
                <w:sz w:val="20"/>
                <w:szCs w:val="20"/>
              </w:rPr>
            </w:pPr>
            <w:r w:rsidRPr="00E30FC1">
              <w:rPr>
                <w:rFonts w:cstheme="minorHAnsi"/>
                <w:sz w:val="20"/>
                <w:szCs w:val="20"/>
              </w:rPr>
              <w:t>Married</w:t>
            </w:r>
          </w:p>
        </w:tc>
        <w:tc>
          <w:tcPr>
            <w:tcW w:w="1064" w:type="dxa"/>
          </w:tcPr>
          <w:p w14:paraId="2BD95034" w14:textId="77777777" w:rsidR="00BE42FB" w:rsidRPr="00E30FC1" w:rsidRDefault="00BE42FB" w:rsidP="00987543">
            <w:pPr>
              <w:jc w:val="center"/>
              <w:rPr>
                <w:rFonts w:cstheme="minorHAnsi"/>
                <w:sz w:val="20"/>
                <w:szCs w:val="20"/>
              </w:rPr>
            </w:pPr>
            <w:r w:rsidRPr="00E30FC1">
              <w:rPr>
                <w:rFonts w:cstheme="minorHAnsi"/>
                <w:sz w:val="20"/>
                <w:szCs w:val="20"/>
              </w:rPr>
              <w:t>3</w:t>
            </w:r>
          </w:p>
        </w:tc>
        <w:tc>
          <w:tcPr>
            <w:tcW w:w="868" w:type="dxa"/>
          </w:tcPr>
          <w:p w14:paraId="4AE6B58E" w14:textId="77777777" w:rsidR="00BE42FB" w:rsidRPr="00E30FC1" w:rsidRDefault="00BE42FB" w:rsidP="00987543">
            <w:pPr>
              <w:jc w:val="center"/>
              <w:rPr>
                <w:rFonts w:cstheme="minorHAnsi"/>
                <w:sz w:val="20"/>
                <w:szCs w:val="20"/>
              </w:rPr>
            </w:pPr>
            <w:r w:rsidRPr="00E30FC1">
              <w:rPr>
                <w:rFonts w:cstheme="minorHAnsi"/>
                <w:sz w:val="20"/>
                <w:szCs w:val="20"/>
              </w:rPr>
              <w:t>3</w:t>
            </w:r>
          </w:p>
        </w:tc>
        <w:tc>
          <w:tcPr>
            <w:tcW w:w="1381" w:type="dxa"/>
          </w:tcPr>
          <w:p w14:paraId="0FCFDA30" w14:textId="77777777" w:rsidR="00BE42FB" w:rsidRPr="00E30FC1" w:rsidRDefault="00BE42FB" w:rsidP="00987543">
            <w:pPr>
              <w:rPr>
                <w:rFonts w:cstheme="minorHAnsi"/>
                <w:sz w:val="20"/>
                <w:szCs w:val="20"/>
              </w:rPr>
            </w:pPr>
            <w:r w:rsidRPr="00E30FC1">
              <w:rPr>
                <w:rFonts w:cstheme="minorHAnsi"/>
                <w:sz w:val="20"/>
                <w:szCs w:val="20"/>
              </w:rPr>
              <w:t>Private</w:t>
            </w:r>
          </w:p>
        </w:tc>
      </w:tr>
      <w:tr w:rsidR="00BE42FB" w:rsidRPr="00E30FC1" w14:paraId="3E0DBF9B" w14:textId="77777777" w:rsidTr="00987543">
        <w:tc>
          <w:tcPr>
            <w:tcW w:w="1292" w:type="dxa"/>
          </w:tcPr>
          <w:p w14:paraId="68494D7B" w14:textId="77777777" w:rsidR="00BE42FB" w:rsidRPr="00E30FC1" w:rsidRDefault="00BE42FB" w:rsidP="00987543">
            <w:pPr>
              <w:rPr>
                <w:rFonts w:cstheme="minorHAnsi"/>
                <w:sz w:val="20"/>
                <w:szCs w:val="20"/>
              </w:rPr>
            </w:pPr>
            <w:r w:rsidRPr="00E30FC1">
              <w:rPr>
                <w:rFonts w:cstheme="minorHAnsi"/>
                <w:sz w:val="20"/>
                <w:szCs w:val="20"/>
              </w:rPr>
              <w:t>Tom</w:t>
            </w:r>
          </w:p>
        </w:tc>
        <w:tc>
          <w:tcPr>
            <w:tcW w:w="779" w:type="dxa"/>
          </w:tcPr>
          <w:p w14:paraId="5F2E596C" w14:textId="77777777" w:rsidR="00BE42FB" w:rsidRPr="00E30FC1" w:rsidRDefault="00BE42FB" w:rsidP="00987543">
            <w:pPr>
              <w:jc w:val="center"/>
              <w:rPr>
                <w:rFonts w:cstheme="minorHAnsi"/>
                <w:sz w:val="20"/>
                <w:szCs w:val="20"/>
              </w:rPr>
            </w:pPr>
            <w:r w:rsidRPr="00E30FC1">
              <w:rPr>
                <w:rFonts w:cstheme="minorHAnsi"/>
                <w:sz w:val="20"/>
                <w:szCs w:val="20"/>
              </w:rPr>
              <w:t>60’s</w:t>
            </w:r>
          </w:p>
        </w:tc>
        <w:tc>
          <w:tcPr>
            <w:tcW w:w="1013" w:type="dxa"/>
          </w:tcPr>
          <w:p w14:paraId="10297A1A" w14:textId="77777777" w:rsidR="00BE42FB" w:rsidRPr="00E30FC1" w:rsidRDefault="00BE42FB" w:rsidP="00987543">
            <w:pPr>
              <w:rPr>
                <w:rFonts w:cstheme="minorHAnsi"/>
                <w:sz w:val="20"/>
                <w:szCs w:val="20"/>
              </w:rPr>
            </w:pPr>
            <w:r w:rsidRPr="00E30FC1">
              <w:rPr>
                <w:rFonts w:cstheme="minorHAnsi"/>
                <w:sz w:val="20"/>
                <w:szCs w:val="20"/>
              </w:rPr>
              <w:t>Male</w:t>
            </w:r>
          </w:p>
        </w:tc>
        <w:tc>
          <w:tcPr>
            <w:tcW w:w="939" w:type="dxa"/>
          </w:tcPr>
          <w:p w14:paraId="223DE035" w14:textId="77777777" w:rsidR="00BE42FB" w:rsidRPr="00E30FC1" w:rsidRDefault="00BE42FB" w:rsidP="00987543">
            <w:pPr>
              <w:rPr>
                <w:rFonts w:cstheme="minorHAnsi"/>
                <w:sz w:val="20"/>
                <w:szCs w:val="20"/>
              </w:rPr>
            </w:pPr>
            <w:r w:rsidRPr="00E30FC1">
              <w:rPr>
                <w:rFonts w:cstheme="minorHAnsi"/>
                <w:sz w:val="20"/>
                <w:szCs w:val="20"/>
              </w:rPr>
              <w:t>Married</w:t>
            </w:r>
          </w:p>
        </w:tc>
        <w:tc>
          <w:tcPr>
            <w:tcW w:w="1064" w:type="dxa"/>
          </w:tcPr>
          <w:p w14:paraId="3ACF23E7"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868" w:type="dxa"/>
          </w:tcPr>
          <w:p w14:paraId="37A115CF"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1381" w:type="dxa"/>
          </w:tcPr>
          <w:p w14:paraId="39CE6537" w14:textId="77777777" w:rsidR="00BE42FB" w:rsidRPr="00E30FC1" w:rsidRDefault="00BE42FB" w:rsidP="00987543">
            <w:pPr>
              <w:rPr>
                <w:rFonts w:cstheme="minorHAnsi"/>
                <w:sz w:val="20"/>
                <w:szCs w:val="20"/>
              </w:rPr>
            </w:pPr>
            <w:r w:rsidRPr="00E30FC1">
              <w:rPr>
                <w:rFonts w:cstheme="minorHAnsi"/>
                <w:sz w:val="20"/>
                <w:szCs w:val="20"/>
              </w:rPr>
              <w:t>Private</w:t>
            </w:r>
          </w:p>
        </w:tc>
      </w:tr>
      <w:tr w:rsidR="00BE42FB" w:rsidRPr="00E30FC1" w14:paraId="208C972E" w14:textId="77777777" w:rsidTr="00987543">
        <w:tc>
          <w:tcPr>
            <w:tcW w:w="1292" w:type="dxa"/>
          </w:tcPr>
          <w:p w14:paraId="307C61DF" w14:textId="77777777" w:rsidR="00BE42FB" w:rsidRPr="00E30FC1" w:rsidRDefault="00BE42FB" w:rsidP="00987543">
            <w:pPr>
              <w:rPr>
                <w:rFonts w:cstheme="minorHAnsi"/>
                <w:sz w:val="20"/>
                <w:szCs w:val="20"/>
              </w:rPr>
            </w:pPr>
            <w:r w:rsidRPr="00E30FC1">
              <w:rPr>
                <w:rFonts w:cstheme="minorHAnsi"/>
                <w:sz w:val="20"/>
                <w:szCs w:val="20"/>
              </w:rPr>
              <w:t>Elaina</w:t>
            </w:r>
          </w:p>
        </w:tc>
        <w:tc>
          <w:tcPr>
            <w:tcW w:w="779" w:type="dxa"/>
          </w:tcPr>
          <w:p w14:paraId="2EC36335" w14:textId="77777777" w:rsidR="00BE42FB" w:rsidRPr="00E30FC1" w:rsidRDefault="00BE42FB" w:rsidP="00987543">
            <w:pPr>
              <w:jc w:val="center"/>
              <w:rPr>
                <w:rFonts w:cstheme="minorHAnsi"/>
                <w:sz w:val="20"/>
                <w:szCs w:val="20"/>
              </w:rPr>
            </w:pPr>
            <w:r w:rsidRPr="00E30FC1">
              <w:rPr>
                <w:rFonts w:cstheme="minorHAnsi"/>
                <w:sz w:val="20"/>
                <w:szCs w:val="20"/>
              </w:rPr>
              <w:t>50’s</w:t>
            </w:r>
          </w:p>
        </w:tc>
        <w:tc>
          <w:tcPr>
            <w:tcW w:w="1013" w:type="dxa"/>
          </w:tcPr>
          <w:p w14:paraId="18C1AEC4" w14:textId="77777777" w:rsidR="00BE42FB" w:rsidRPr="00E30FC1" w:rsidRDefault="00BE42FB" w:rsidP="00987543">
            <w:pPr>
              <w:rPr>
                <w:rFonts w:cstheme="minorHAnsi"/>
                <w:sz w:val="20"/>
                <w:szCs w:val="20"/>
              </w:rPr>
            </w:pPr>
            <w:r w:rsidRPr="00E30FC1">
              <w:rPr>
                <w:rFonts w:cstheme="minorHAnsi"/>
                <w:sz w:val="20"/>
                <w:szCs w:val="20"/>
              </w:rPr>
              <w:t>Female</w:t>
            </w:r>
          </w:p>
        </w:tc>
        <w:tc>
          <w:tcPr>
            <w:tcW w:w="939" w:type="dxa"/>
          </w:tcPr>
          <w:p w14:paraId="595A45C1" w14:textId="77777777" w:rsidR="00BE42FB" w:rsidRPr="00E30FC1" w:rsidRDefault="00BE42FB" w:rsidP="00987543">
            <w:pPr>
              <w:rPr>
                <w:rFonts w:cstheme="minorHAnsi"/>
                <w:sz w:val="20"/>
                <w:szCs w:val="20"/>
              </w:rPr>
            </w:pPr>
            <w:r w:rsidRPr="00E30FC1">
              <w:rPr>
                <w:rFonts w:cstheme="minorHAnsi"/>
                <w:sz w:val="20"/>
                <w:szCs w:val="20"/>
              </w:rPr>
              <w:t>Single</w:t>
            </w:r>
          </w:p>
        </w:tc>
        <w:tc>
          <w:tcPr>
            <w:tcW w:w="1064" w:type="dxa"/>
          </w:tcPr>
          <w:p w14:paraId="7732F1EC"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868" w:type="dxa"/>
          </w:tcPr>
          <w:p w14:paraId="7877F1C1" w14:textId="77777777" w:rsidR="00BE42FB" w:rsidRPr="00E30FC1" w:rsidRDefault="00BE42FB" w:rsidP="00987543">
            <w:pPr>
              <w:jc w:val="center"/>
              <w:rPr>
                <w:rFonts w:cstheme="minorHAnsi"/>
                <w:sz w:val="20"/>
                <w:szCs w:val="20"/>
              </w:rPr>
            </w:pPr>
            <w:r w:rsidRPr="00E30FC1">
              <w:rPr>
                <w:rFonts w:cstheme="minorHAnsi"/>
                <w:sz w:val="20"/>
                <w:szCs w:val="20"/>
              </w:rPr>
              <w:t>5</w:t>
            </w:r>
          </w:p>
        </w:tc>
        <w:tc>
          <w:tcPr>
            <w:tcW w:w="1381" w:type="dxa"/>
          </w:tcPr>
          <w:p w14:paraId="2C825F3E" w14:textId="77777777" w:rsidR="00BE42FB" w:rsidRPr="00E30FC1" w:rsidRDefault="00BE42FB" w:rsidP="00987543">
            <w:pPr>
              <w:rPr>
                <w:rFonts w:cstheme="minorHAnsi"/>
                <w:sz w:val="20"/>
                <w:szCs w:val="20"/>
              </w:rPr>
            </w:pPr>
            <w:r w:rsidRPr="00E30FC1">
              <w:rPr>
                <w:rFonts w:cstheme="minorHAnsi"/>
                <w:sz w:val="20"/>
                <w:szCs w:val="20"/>
              </w:rPr>
              <w:t>Public</w:t>
            </w:r>
          </w:p>
        </w:tc>
      </w:tr>
      <w:tr w:rsidR="00BE42FB" w:rsidRPr="00E30FC1" w14:paraId="77A99994" w14:textId="77777777" w:rsidTr="00987543">
        <w:tc>
          <w:tcPr>
            <w:tcW w:w="1292" w:type="dxa"/>
          </w:tcPr>
          <w:p w14:paraId="4C908864" w14:textId="77777777" w:rsidR="00BE42FB" w:rsidRPr="00E30FC1" w:rsidRDefault="00BE42FB" w:rsidP="00987543">
            <w:pPr>
              <w:rPr>
                <w:rFonts w:cstheme="minorHAnsi"/>
                <w:sz w:val="20"/>
                <w:szCs w:val="20"/>
              </w:rPr>
            </w:pPr>
            <w:r w:rsidRPr="00E30FC1">
              <w:rPr>
                <w:rFonts w:cstheme="minorHAnsi"/>
                <w:sz w:val="20"/>
                <w:szCs w:val="20"/>
              </w:rPr>
              <w:t>Frank</w:t>
            </w:r>
          </w:p>
        </w:tc>
        <w:tc>
          <w:tcPr>
            <w:tcW w:w="779" w:type="dxa"/>
          </w:tcPr>
          <w:p w14:paraId="5FCD4582" w14:textId="77777777" w:rsidR="00BE42FB" w:rsidRPr="00E30FC1" w:rsidRDefault="00BE42FB" w:rsidP="00987543">
            <w:pPr>
              <w:jc w:val="center"/>
              <w:rPr>
                <w:rFonts w:cstheme="minorHAnsi"/>
                <w:sz w:val="20"/>
                <w:szCs w:val="20"/>
              </w:rPr>
            </w:pPr>
            <w:r w:rsidRPr="00E30FC1">
              <w:rPr>
                <w:rFonts w:cstheme="minorHAnsi"/>
                <w:sz w:val="20"/>
                <w:szCs w:val="20"/>
              </w:rPr>
              <w:t>40’s</w:t>
            </w:r>
          </w:p>
        </w:tc>
        <w:tc>
          <w:tcPr>
            <w:tcW w:w="1013" w:type="dxa"/>
          </w:tcPr>
          <w:p w14:paraId="60F07C9E" w14:textId="77777777" w:rsidR="00BE42FB" w:rsidRPr="00E30FC1" w:rsidRDefault="00BE42FB" w:rsidP="00987543">
            <w:pPr>
              <w:rPr>
                <w:rFonts w:cstheme="minorHAnsi"/>
                <w:sz w:val="20"/>
                <w:szCs w:val="20"/>
              </w:rPr>
            </w:pPr>
            <w:r w:rsidRPr="00E30FC1">
              <w:rPr>
                <w:rFonts w:cstheme="minorHAnsi"/>
                <w:sz w:val="20"/>
                <w:szCs w:val="20"/>
              </w:rPr>
              <w:t>Male</w:t>
            </w:r>
          </w:p>
        </w:tc>
        <w:tc>
          <w:tcPr>
            <w:tcW w:w="939" w:type="dxa"/>
          </w:tcPr>
          <w:p w14:paraId="04E9A4ED" w14:textId="77777777" w:rsidR="00BE42FB" w:rsidRPr="00E30FC1" w:rsidRDefault="00BE42FB" w:rsidP="00987543">
            <w:pPr>
              <w:rPr>
                <w:rFonts w:cstheme="minorHAnsi"/>
                <w:sz w:val="20"/>
                <w:szCs w:val="20"/>
              </w:rPr>
            </w:pPr>
            <w:r w:rsidRPr="00E30FC1">
              <w:rPr>
                <w:rFonts w:cstheme="minorHAnsi"/>
                <w:sz w:val="20"/>
                <w:szCs w:val="20"/>
              </w:rPr>
              <w:t>Married</w:t>
            </w:r>
          </w:p>
        </w:tc>
        <w:tc>
          <w:tcPr>
            <w:tcW w:w="1064" w:type="dxa"/>
          </w:tcPr>
          <w:p w14:paraId="1268BE50"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868" w:type="dxa"/>
          </w:tcPr>
          <w:p w14:paraId="5759CEF7"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1381" w:type="dxa"/>
          </w:tcPr>
          <w:p w14:paraId="2B65B3A5" w14:textId="77777777" w:rsidR="00BE42FB" w:rsidRPr="00E30FC1" w:rsidRDefault="00BE42FB" w:rsidP="00987543">
            <w:pPr>
              <w:rPr>
                <w:rFonts w:cstheme="minorHAnsi"/>
                <w:sz w:val="20"/>
                <w:szCs w:val="20"/>
              </w:rPr>
            </w:pPr>
            <w:r w:rsidRPr="00E30FC1">
              <w:rPr>
                <w:rFonts w:cstheme="minorHAnsi"/>
                <w:sz w:val="20"/>
                <w:szCs w:val="20"/>
              </w:rPr>
              <w:t>Public</w:t>
            </w:r>
          </w:p>
        </w:tc>
      </w:tr>
      <w:tr w:rsidR="00BE42FB" w:rsidRPr="00E30FC1" w14:paraId="0C04BEC0" w14:textId="77777777" w:rsidTr="00987543">
        <w:tc>
          <w:tcPr>
            <w:tcW w:w="1292" w:type="dxa"/>
          </w:tcPr>
          <w:p w14:paraId="4075BE66" w14:textId="77777777" w:rsidR="00BE42FB" w:rsidRPr="00E30FC1" w:rsidRDefault="00BE42FB" w:rsidP="00987543">
            <w:pPr>
              <w:rPr>
                <w:rFonts w:cstheme="minorHAnsi"/>
                <w:sz w:val="20"/>
                <w:szCs w:val="20"/>
              </w:rPr>
            </w:pPr>
            <w:r w:rsidRPr="00E30FC1">
              <w:rPr>
                <w:rFonts w:cstheme="minorHAnsi"/>
                <w:sz w:val="20"/>
                <w:szCs w:val="20"/>
              </w:rPr>
              <w:t>Ernie</w:t>
            </w:r>
          </w:p>
        </w:tc>
        <w:tc>
          <w:tcPr>
            <w:tcW w:w="779" w:type="dxa"/>
          </w:tcPr>
          <w:p w14:paraId="00161DCF" w14:textId="77777777" w:rsidR="00BE42FB" w:rsidRPr="00E30FC1" w:rsidRDefault="00BE42FB" w:rsidP="00987543">
            <w:pPr>
              <w:jc w:val="center"/>
              <w:rPr>
                <w:rFonts w:cstheme="minorHAnsi"/>
                <w:sz w:val="20"/>
                <w:szCs w:val="20"/>
              </w:rPr>
            </w:pPr>
            <w:r w:rsidRPr="00E30FC1">
              <w:rPr>
                <w:rFonts w:cstheme="minorHAnsi"/>
                <w:sz w:val="20"/>
                <w:szCs w:val="20"/>
              </w:rPr>
              <w:t>50’s</w:t>
            </w:r>
          </w:p>
        </w:tc>
        <w:tc>
          <w:tcPr>
            <w:tcW w:w="1013" w:type="dxa"/>
          </w:tcPr>
          <w:p w14:paraId="6B823E00" w14:textId="77777777" w:rsidR="00BE42FB" w:rsidRPr="00E30FC1" w:rsidRDefault="00BE42FB" w:rsidP="00987543">
            <w:pPr>
              <w:rPr>
                <w:rFonts w:cstheme="minorHAnsi"/>
                <w:sz w:val="20"/>
                <w:szCs w:val="20"/>
              </w:rPr>
            </w:pPr>
            <w:r w:rsidRPr="00E30FC1">
              <w:rPr>
                <w:rFonts w:cstheme="minorHAnsi"/>
                <w:sz w:val="20"/>
                <w:szCs w:val="20"/>
              </w:rPr>
              <w:t>Male</w:t>
            </w:r>
          </w:p>
        </w:tc>
        <w:tc>
          <w:tcPr>
            <w:tcW w:w="939" w:type="dxa"/>
          </w:tcPr>
          <w:p w14:paraId="7E9181DB" w14:textId="77777777" w:rsidR="00BE42FB" w:rsidRPr="00E30FC1" w:rsidRDefault="00BE42FB" w:rsidP="00987543">
            <w:pPr>
              <w:rPr>
                <w:rFonts w:cstheme="minorHAnsi"/>
                <w:sz w:val="20"/>
                <w:szCs w:val="20"/>
              </w:rPr>
            </w:pPr>
            <w:r w:rsidRPr="00E30FC1">
              <w:rPr>
                <w:rFonts w:cstheme="minorHAnsi"/>
                <w:sz w:val="20"/>
                <w:szCs w:val="20"/>
              </w:rPr>
              <w:t>Married</w:t>
            </w:r>
          </w:p>
        </w:tc>
        <w:tc>
          <w:tcPr>
            <w:tcW w:w="1064" w:type="dxa"/>
          </w:tcPr>
          <w:p w14:paraId="2F2F9FC7" w14:textId="77777777" w:rsidR="00BE42FB" w:rsidRPr="00E30FC1" w:rsidRDefault="00BE42FB" w:rsidP="00987543">
            <w:pPr>
              <w:jc w:val="center"/>
              <w:rPr>
                <w:rFonts w:cstheme="minorHAnsi"/>
                <w:sz w:val="20"/>
                <w:szCs w:val="20"/>
              </w:rPr>
            </w:pPr>
            <w:r w:rsidRPr="00E30FC1">
              <w:rPr>
                <w:rFonts w:cstheme="minorHAnsi"/>
                <w:sz w:val="20"/>
                <w:szCs w:val="20"/>
              </w:rPr>
              <w:t>3</w:t>
            </w:r>
          </w:p>
        </w:tc>
        <w:tc>
          <w:tcPr>
            <w:tcW w:w="868" w:type="dxa"/>
          </w:tcPr>
          <w:p w14:paraId="51115A73"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1381" w:type="dxa"/>
          </w:tcPr>
          <w:p w14:paraId="21C7E0B8" w14:textId="77777777" w:rsidR="00BE42FB" w:rsidRPr="00E30FC1" w:rsidRDefault="00BE42FB" w:rsidP="00987543">
            <w:pPr>
              <w:rPr>
                <w:rFonts w:cstheme="minorHAnsi"/>
                <w:sz w:val="20"/>
                <w:szCs w:val="20"/>
              </w:rPr>
            </w:pPr>
            <w:r w:rsidRPr="00E30FC1">
              <w:rPr>
                <w:rFonts w:cstheme="minorHAnsi"/>
                <w:sz w:val="20"/>
                <w:szCs w:val="20"/>
              </w:rPr>
              <w:t>Public</w:t>
            </w:r>
          </w:p>
        </w:tc>
      </w:tr>
      <w:tr w:rsidR="00BE42FB" w:rsidRPr="00E30FC1" w14:paraId="301E0FF5" w14:textId="77777777" w:rsidTr="00987543">
        <w:tc>
          <w:tcPr>
            <w:tcW w:w="1292" w:type="dxa"/>
          </w:tcPr>
          <w:p w14:paraId="2D167F4D" w14:textId="77777777" w:rsidR="00BE42FB" w:rsidRPr="00E30FC1" w:rsidRDefault="00BE42FB" w:rsidP="00987543">
            <w:pPr>
              <w:rPr>
                <w:rFonts w:cstheme="minorHAnsi"/>
                <w:sz w:val="20"/>
                <w:szCs w:val="20"/>
              </w:rPr>
            </w:pPr>
            <w:r w:rsidRPr="00E30FC1">
              <w:rPr>
                <w:rFonts w:cstheme="minorHAnsi"/>
                <w:sz w:val="20"/>
                <w:szCs w:val="20"/>
              </w:rPr>
              <w:t>Peter</w:t>
            </w:r>
          </w:p>
        </w:tc>
        <w:tc>
          <w:tcPr>
            <w:tcW w:w="779" w:type="dxa"/>
          </w:tcPr>
          <w:p w14:paraId="531E859D" w14:textId="77777777" w:rsidR="00BE42FB" w:rsidRPr="00E30FC1" w:rsidRDefault="00BE42FB" w:rsidP="00987543">
            <w:pPr>
              <w:jc w:val="center"/>
              <w:rPr>
                <w:rFonts w:cstheme="minorHAnsi"/>
                <w:sz w:val="20"/>
                <w:szCs w:val="20"/>
              </w:rPr>
            </w:pPr>
            <w:r w:rsidRPr="00E30FC1">
              <w:rPr>
                <w:rFonts w:cstheme="minorHAnsi"/>
                <w:sz w:val="20"/>
                <w:szCs w:val="20"/>
              </w:rPr>
              <w:t>30’s</w:t>
            </w:r>
          </w:p>
        </w:tc>
        <w:tc>
          <w:tcPr>
            <w:tcW w:w="1013" w:type="dxa"/>
          </w:tcPr>
          <w:p w14:paraId="54F8AD4D" w14:textId="77777777" w:rsidR="00BE42FB" w:rsidRPr="00E30FC1" w:rsidRDefault="00BE42FB" w:rsidP="00987543">
            <w:pPr>
              <w:rPr>
                <w:rFonts w:cstheme="minorHAnsi"/>
                <w:sz w:val="20"/>
                <w:szCs w:val="20"/>
              </w:rPr>
            </w:pPr>
            <w:r w:rsidRPr="00E30FC1">
              <w:rPr>
                <w:rFonts w:cstheme="minorHAnsi"/>
                <w:sz w:val="20"/>
                <w:szCs w:val="20"/>
              </w:rPr>
              <w:t>Male</w:t>
            </w:r>
          </w:p>
        </w:tc>
        <w:tc>
          <w:tcPr>
            <w:tcW w:w="939" w:type="dxa"/>
          </w:tcPr>
          <w:p w14:paraId="631D57EF" w14:textId="77777777" w:rsidR="00BE42FB" w:rsidRPr="00E30FC1" w:rsidRDefault="00BE42FB" w:rsidP="00987543">
            <w:pPr>
              <w:rPr>
                <w:rFonts w:cstheme="minorHAnsi"/>
                <w:sz w:val="20"/>
                <w:szCs w:val="20"/>
              </w:rPr>
            </w:pPr>
            <w:r w:rsidRPr="00E30FC1">
              <w:rPr>
                <w:rFonts w:cstheme="minorHAnsi"/>
                <w:sz w:val="20"/>
                <w:szCs w:val="20"/>
              </w:rPr>
              <w:t>Married</w:t>
            </w:r>
          </w:p>
        </w:tc>
        <w:tc>
          <w:tcPr>
            <w:tcW w:w="1064" w:type="dxa"/>
          </w:tcPr>
          <w:p w14:paraId="77C35A6A" w14:textId="77777777" w:rsidR="00BE42FB" w:rsidRPr="00E30FC1" w:rsidRDefault="00BE42FB" w:rsidP="00987543">
            <w:pPr>
              <w:jc w:val="center"/>
              <w:rPr>
                <w:rFonts w:cstheme="minorHAnsi"/>
                <w:sz w:val="20"/>
                <w:szCs w:val="20"/>
              </w:rPr>
            </w:pPr>
            <w:r w:rsidRPr="00E30FC1">
              <w:rPr>
                <w:rFonts w:cstheme="minorHAnsi"/>
                <w:sz w:val="20"/>
                <w:szCs w:val="20"/>
              </w:rPr>
              <w:t>3</w:t>
            </w:r>
          </w:p>
        </w:tc>
        <w:tc>
          <w:tcPr>
            <w:tcW w:w="868" w:type="dxa"/>
          </w:tcPr>
          <w:p w14:paraId="1C70989C" w14:textId="77777777" w:rsidR="00BE42FB" w:rsidRPr="00E30FC1" w:rsidRDefault="00BE42FB" w:rsidP="00987543">
            <w:pPr>
              <w:jc w:val="center"/>
              <w:rPr>
                <w:rFonts w:cstheme="minorHAnsi"/>
                <w:sz w:val="20"/>
                <w:szCs w:val="20"/>
              </w:rPr>
            </w:pPr>
            <w:r w:rsidRPr="00E30FC1">
              <w:rPr>
                <w:rFonts w:cstheme="minorHAnsi"/>
                <w:sz w:val="20"/>
                <w:szCs w:val="20"/>
              </w:rPr>
              <w:t>3</w:t>
            </w:r>
          </w:p>
        </w:tc>
        <w:tc>
          <w:tcPr>
            <w:tcW w:w="1381" w:type="dxa"/>
          </w:tcPr>
          <w:p w14:paraId="269B5524" w14:textId="77777777" w:rsidR="00BE42FB" w:rsidRPr="00E30FC1" w:rsidRDefault="00BE42FB" w:rsidP="00987543">
            <w:pPr>
              <w:rPr>
                <w:rFonts w:cstheme="minorHAnsi"/>
                <w:sz w:val="20"/>
                <w:szCs w:val="20"/>
              </w:rPr>
            </w:pPr>
            <w:r w:rsidRPr="00E30FC1">
              <w:rPr>
                <w:rFonts w:cstheme="minorHAnsi"/>
                <w:sz w:val="20"/>
                <w:szCs w:val="20"/>
              </w:rPr>
              <w:t>Public</w:t>
            </w:r>
          </w:p>
        </w:tc>
      </w:tr>
      <w:tr w:rsidR="00BE42FB" w:rsidRPr="00E30FC1" w14:paraId="58D71A87" w14:textId="77777777" w:rsidTr="00987543">
        <w:tc>
          <w:tcPr>
            <w:tcW w:w="1292" w:type="dxa"/>
          </w:tcPr>
          <w:p w14:paraId="0C570798" w14:textId="77777777" w:rsidR="00BE42FB" w:rsidRPr="00E30FC1" w:rsidRDefault="00BE42FB" w:rsidP="00987543">
            <w:pPr>
              <w:rPr>
                <w:rFonts w:cstheme="minorHAnsi"/>
                <w:sz w:val="20"/>
                <w:szCs w:val="20"/>
              </w:rPr>
            </w:pPr>
            <w:r w:rsidRPr="00E30FC1">
              <w:rPr>
                <w:rFonts w:cstheme="minorHAnsi"/>
                <w:sz w:val="20"/>
                <w:szCs w:val="20"/>
              </w:rPr>
              <w:t>David</w:t>
            </w:r>
          </w:p>
        </w:tc>
        <w:tc>
          <w:tcPr>
            <w:tcW w:w="779" w:type="dxa"/>
          </w:tcPr>
          <w:p w14:paraId="01CB00AE" w14:textId="77777777" w:rsidR="00BE42FB" w:rsidRPr="00E30FC1" w:rsidRDefault="00BE42FB" w:rsidP="00987543">
            <w:pPr>
              <w:jc w:val="center"/>
              <w:rPr>
                <w:rFonts w:cstheme="minorHAnsi"/>
                <w:sz w:val="20"/>
                <w:szCs w:val="20"/>
              </w:rPr>
            </w:pPr>
            <w:r w:rsidRPr="00E30FC1">
              <w:rPr>
                <w:rFonts w:cstheme="minorHAnsi"/>
                <w:sz w:val="20"/>
                <w:szCs w:val="20"/>
              </w:rPr>
              <w:t>40’s</w:t>
            </w:r>
          </w:p>
        </w:tc>
        <w:tc>
          <w:tcPr>
            <w:tcW w:w="1013" w:type="dxa"/>
          </w:tcPr>
          <w:p w14:paraId="63E5B800" w14:textId="77777777" w:rsidR="00BE42FB" w:rsidRPr="00E30FC1" w:rsidRDefault="00BE42FB" w:rsidP="00987543">
            <w:pPr>
              <w:rPr>
                <w:rFonts w:cstheme="minorHAnsi"/>
                <w:sz w:val="20"/>
                <w:szCs w:val="20"/>
              </w:rPr>
            </w:pPr>
            <w:r w:rsidRPr="00E30FC1">
              <w:rPr>
                <w:rFonts w:cstheme="minorHAnsi"/>
                <w:sz w:val="20"/>
                <w:szCs w:val="20"/>
              </w:rPr>
              <w:t>Male</w:t>
            </w:r>
          </w:p>
        </w:tc>
        <w:tc>
          <w:tcPr>
            <w:tcW w:w="939" w:type="dxa"/>
          </w:tcPr>
          <w:p w14:paraId="7ED0B8F5" w14:textId="77777777" w:rsidR="00BE42FB" w:rsidRPr="00E30FC1" w:rsidRDefault="00BE42FB" w:rsidP="00987543">
            <w:pPr>
              <w:rPr>
                <w:rFonts w:cstheme="minorHAnsi"/>
                <w:sz w:val="20"/>
                <w:szCs w:val="20"/>
              </w:rPr>
            </w:pPr>
            <w:r w:rsidRPr="00E30FC1">
              <w:rPr>
                <w:rFonts w:cstheme="minorHAnsi"/>
                <w:sz w:val="20"/>
                <w:szCs w:val="20"/>
              </w:rPr>
              <w:t>Married</w:t>
            </w:r>
          </w:p>
        </w:tc>
        <w:tc>
          <w:tcPr>
            <w:tcW w:w="1064" w:type="dxa"/>
          </w:tcPr>
          <w:p w14:paraId="2854817F" w14:textId="77777777" w:rsidR="00BE42FB" w:rsidRPr="00E30FC1" w:rsidRDefault="00BE42FB" w:rsidP="00987543">
            <w:pPr>
              <w:jc w:val="center"/>
              <w:rPr>
                <w:rFonts w:cstheme="minorHAnsi"/>
                <w:sz w:val="20"/>
                <w:szCs w:val="20"/>
              </w:rPr>
            </w:pPr>
            <w:r w:rsidRPr="00E30FC1">
              <w:rPr>
                <w:rFonts w:cstheme="minorHAnsi"/>
                <w:sz w:val="20"/>
                <w:szCs w:val="20"/>
              </w:rPr>
              <w:t>3</w:t>
            </w:r>
          </w:p>
        </w:tc>
        <w:tc>
          <w:tcPr>
            <w:tcW w:w="868" w:type="dxa"/>
          </w:tcPr>
          <w:p w14:paraId="4CF8AD98" w14:textId="77777777" w:rsidR="00BE42FB" w:rsidRPr="00E30FC1" w:rsidRDefault="00BE42FB" w:rsidP="00987543">
            <w:pPr>
              <w:jc w:val="center"/>
              <w:rPr>
                <w:rFonts w:cstheme="minorHAnsi"/>
                <w:sz w:val="20"/>
                <w:szCs w:val="20"/>
              </w:rPr>
            </w:pPr>
            <w:r w:rsidRPr="00E30FC1">
              <w:rPr>
                <w:rFonts w:cstheme="minorHAnsi"/>
                <w:sz w:val="20"/>
                <w:szCs w:val="20"/>
              </w:rPr>
              <w:t>5</w:t>
            </w:r>
          </w:p>
        </w:tc>
        <w:tc>
          <w:tcPr>
            <w:tcW w:w="1381" w:type="dxa"/>
          </w:tcPr>
          <w:p w14:paraId="7B286C7E" w14:textId="77777777" w:rsidR="00BE42FB" w:rsidRPr="00E30FC1" w:rsidRDefault="00BE42FB" w:rsidP="00987543">
            <w:pPr>
              <w:rPr>
                <w:rFonts w:cstheme="minorHAnsi"/>
                <w:sz w:val="20"/>
                <w:szCs w:val="20"/>
              </w:rPr>
            </w:pPr>
            <w:r w:rsidRPr="00E30FC1">
              <w:rPr>
                <w:rFonts w:cstheme="minorHAnsi"/>
                <w:sz w:val="20"/>
                <w:szCs w:val="20"/>
              </w:rPr>
              <w:t>Public</w:t>
            </w:r>
          </w:p>
        </w:tc>
      </w:tr>
      <w:tr w:rsidR="00BE42FB" w:rsidRPr="00E30FC1" w14:paraId="6AE7F0DF" w14:textId="77777777" w:rsidTr="00987543">
        <w:tc>
          <w:tcPr>
            <w:tcW w:w="1292" w:type="dxa"/>
          </w:tcPr>
          <w:p w14:paraId="4F219784" w14:textId="77777777" w:rsidR="00BE42FB" w:rsidRPr="00E30FC1" w:rsidRDefault="00BE42FB" w:rsidP="00987543">
            <w:pPr>
              <w:rPr>
                <w:rFonts w:cstheme="minorHAnsi"/>
                <w:sz w:val="20"/>
                <w:szCs w:val="20"/>
              </w:rPr>
            </w:pPr>
            <w:r w:rsidRPr="00E30FC1">
              <w:rPr>
                <w:rFonts w:cstheme="minorHAnsi"/>
                <w:sz w:val="20"/>
                <w:szCs w:val="20"/>
              </w:rPr>
              <w:t>Suzie</w:t>
            </w:r>
          </w:p>
        </w:tc>
        <w:tc>
          <w:tcPr>
            <w:tcW w:w="779" w:type="dxa"/>
          </w:tcPr>
          <w:p w14:paraId="56BE8110" w14:textId="77777777" w:rsidR="00BE42FB" w:rsidRPr="00E30FC1" w:rsidRDefault="00BE42FB" w:rsidP="00987543">
            <w:pPr>
              <w:jc w:val="center"/>
              <w:rPr>
                <w:rFonts w:cstheme="minorHAnsi"/>
                <w:sz w:val="20"/>
                <w:szCs w:val="20"/>
              </w:rPr>
            </w:pPr>
            <w:r w:rsidRPr="00E30FC1">
              <w:rPr>
                <w:rFonts w:cstheme="minorHAnsi"/>
                <w:sz w:val="20"/>
                <w:szCs w:val="20"/>
              </w:rPr>
              <w:t>20’s</w:t>
            </w:r>
          </w:p>
        </w:tc>
        <w:tc>
          <w:tcPr>
            <w:tcW w:w="1013" w:type="dxa"/>
          </w:tcPr>
          <w:p w14:paraId="656A220B" w14:textId="77777777" w:rsidR="00BE42FB" w:rsidRPr="00E30FC1" w:rsidRDefault="00BE42FB" w:rsidP="00987543">
            <w:pPr>
              <w:rPr>
                <w:rFonts w:cstheme="minorHAnsi"/>
                <w:sz w:val="20"/>
                <w:szCs w:val="20"/>
              </w:rPr>
            </w:pPr>
            <w:r w:rsidRPr="00E30FC1">
              <w:rPr>
                <w:rFonts w:cstheme="minorHAnsi"/>
                <w:sz w:val="20"/>
                <w:szCs w:val="20"/>
              </w:rPr>
              <w:t>Female</w:t>
            </w:r>
          </w:p>
        </w:tc>
        <w:tc>
          <w:tcPr>
            <w:tcW w:w="939" w:type="dxa"/>
          </w:tcPr>
          <w:p w14:paraId="33A8FB08" w14:textId="77777777" w:rsidR="00BE42FB" w:rsidRPr="00E30FC1" w:rsidRDefault="00BE42FB" w:rsidP="00987543">
            <w:pPr>
              <w:rPr>
                <w:rFonts w:cstheme="minorHAnsi"/>
                <w:sz w:val="20"/>
                <w:szCs w:val="20"/>
              </w:rPr>
            </w:pPr>
            <w:r w:rsidRPr="00E30FC1">
              <w:rPr>
                <w:rFonts w:cstheme="minorHAnsi"/>
                <w:sz w:val="20"/>
                <w:szCs w:val="20"/>
              </w:rPr>
              <w:t>Single</w:t>
            </w:r>
          </w:p>
        </w:tc>
        <w:tc>
          <w:tcPr>
            <w:tcW w:w="1064" w:type="dxa"/>
          </w:tcPr>
          <w:p w14:paraId="74B31F1F"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868" w:type="dxa"/>
          </w:tcPr>
          <w:p w14:paraId="16BDD177" w14:textId="77777777" w:rsidR="00BE42FB" w:rsidRPr="00E30FC1" w:rsidRDefault="00BE42FB" w:rsidP="00987543">
            <w:pPr>
              <w:jc w:val="center"/>
              <w:rPr>
                <w:rFonts w:cstheme="minorHAnsi"/>
                <w:sz w:val="20"/>
                <w:szCs w:val="20"/>
              </w:rPr>
            </w:pPr>
            <w:r w:rsidRPr="00E30FC1">
              <w:rPr>
                <w:rFonts w:cstheme="minorHAnsi"/>
                <w:sz w:val="20"/>
                <w:szCs w:val="20"/>
              </w:rPr>
              <w:t>5</w:t>
            </w:r>
          </w:p>
        </w:tc>
        <w:tc>
          <w:tcPr>
            <w:tcW w:w="1381" w:type="dxa"/>
          </w:tcPr>
          <w:p w14:paraId="0B19769C" w14:textId="77777777" w:rsidR="00BE42FB" w:rsidRPr="00E30FC1" w:rsidRDefault="00BE42FB" w:rsidP="00987543">
            <w:pPr>
              <w:rPr>
                <w:rFonts w:cstheme="minorHAnsi"/>
                <w:sz w:val="20"/>
                <w:szCs w:val="20"/>
              </w:rPr>
            </w:pPr>
            <w:r w:rsidRPr="00E30FC1">
              <w:rPr>
                <w:rFonts w:cstheme="minorHAnsi"/>
                <w:sz w:val="20"/>
                <w:szCs w:val="20"/>
              </w:rPr>
              <w:t>Public</w:t>
            </w:r>
          </w:p>
        </w:tc>
      </w:tr>
      <w:tr w:rsidR="00BE42FB" w:rsidRPr="00E30FC1" w14:paraId="04599BEB" w14:textId="77777777" w:rsidTr="00987543">
        <w:tc>
          <w:tcPr>
            <w:tcW w:w="1292" w:type="dxa"/>
          </w:tcPr>
          <w:p w14:paraId="5F108FAC" w14:textId="77777777" w:rsidR="00BE42FB" w:rsidRPr="00E30FC1" w:rsidRDefault="00BE42FB" w:rsidP="00987543">
            <w:pPr>
              <w:rPr>
                <w:rFonts w:cstheme="minorHAnsi"/>
                <w:sz w:val="20"/>
                <w:szCs w:val="20"/>
              </w:rPr>
            </w:pPr>
            <w:r w:rsidRPr="00E30FC1">
              <w:rPr>
                <w:rFonts w:cstheme="minorHAnsi"/>
                <w:sz w:val="20"/>
                <w:szCs w:val="20"/>
              </w:rPr>
              <w:t>Kathy</w:t>
            </w:r>
          </w:p>
        </w:tc>
        <w:tc>
          <w:tcPr>
            <w:tcW w:w="779" w:type="dxa"/>
          </w:tcPr>
          <w:p w14:paraId="1964B2A5" w14:textId="77777777" w:rsidR="00BE42FB" w:rsidRPr="00E30FC1" w:rsidRDefault="00BE42FB" w:rsidP="00987543">
            <w:pPr>
              <w:jc w:val="center"/>
              <w:rPr>
                <w:rFonts w:cstheme="minorHAnsi"/>
                <w:sz w:val="20"/>
                <w:szCs w:val="20"/>
              </w:rPr>
            </w:pPr>
            <w:r w:rsidRPr="00E30FC1">
              <w:rPr>
                <w:rFonts w:cstheme="minorHAnsi"/>
                <w:sz w:val="20"/>
                <w:szCs w:val="20"/>
              </w:rPr>
              <w:t>50’s</w:t>
            </w:r>
          </w:p>
        </w:tc>
        <w:tc>
          <w:tcPr>
            <w:tcW w:w="1013" w:type="dxa"/>
          </w:tcPr>
          <w:p w14:paraId="472632C4" w14:textId="77777777" w:rsidR="00BE42FB" w:rsidRPr="00E30FC1" w:rsidRDefault="00BE42FB" w:rsidP="00987543">
            <w:pPr>
              <w:rPr>
                <w:rFonts w:cstheme="minorHAnsi"/>
                <w:sz w:val="20"/>
                <w:szCs w:val="20"/>
              </w:rPr>
            </w:pPr>
            <w:r w:rsidRPr="00E30FC1">
              <w:rPr>
                <w:rFonts w:cstheme="minorHAnsi"/>
                <w:sz w:val="20"/>
                <w:szCs w:val="20"/>
              </w:rPr>
              <w:t>Female</w:t>
            </w:r>
          </w:p>
        </w:tc>
        <w:tc>
          <w:tcPr>
            <w:tcW w:w="939" w:type="dxa"/>
          </w:tcPr>
          <w:p w14:paraId="1F766657" w14:textId="77777777" w:rsidR="00BE42FB" w:rsidRPr="00E30FC1" w:rsidRDefault="00BE42FB" w:rsidP="00987543">
            <w:pPr>
              <w:rPr>
                <w:rFonts w:cstheme="minorHAnsi"/>
                <w:sz w:val="20"/>
                <w:szCs w:val="20"/>
              </w:rPr>
            </w:pPr>
            <w:r w:rsidRPr="00E30FC1">
              <w:rPr>
                <w:rFonts w:cstheme="minorHAnsi"/>
                <w:sz w:val="20"/>
                <w:szCs w:val="20"/>
              </w:rPr>
              <w:t>Married</w:t>
            </w:r>
          </w:p>
        </w:tc>
        <w:tc>
          <w:tcPr>
            <w:tcW w:w="1064" w:type="dxa"/>
          </w:tcPr>
          <w:p w14:paraId="1C40E8FB"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868" w:type="dxa"/>
          </w:tcPr>
          <w:p w14:paraId="0136A2B4" w14:textId="77777777" w:rsidR="00BE42FB" w:rsidRPr="00E30FC1" w:rsidRDefault="00BE42FB" w:rsidP="00987543">
            <w:pPr>
              <w:jc w:val="center"/>
              <w:rPr>
                <w:rFonts w:cstheme="minorHAnsi"/>
                <w:sz w:val="20"/>
                <w:szCs w:val="20"/>
              </w:rPr>
            </w:pPr>
            <w:r w:rsidRPr="00E30FC1">
              <w:rPr>
                <w:rFonts w:cstheme="minorHAnsi"/>
                <w:sz w:val="20"/>
                <w:szCs w:val="20"/>
              </w:rPr>
              <w:t>5</w:t>
            </w:r>
          </w:p>
        </w:tc>
        <w:tc>
          <w:tcPr>
            <w:tcW w:w="1381" w:type="dxa"/>
          </w:tcPr>
          <w:p w14:paraId="280C8BBD" w14:textId="77777777" w:rsidR="00BE42FB" w:rsidRPr="00E30FC1" w:rsidRDefault="00BE42FB" w:rsidP="00987543">
            <w:pPr>
              <w:rPr>
                <w:rFonts w:cstheme="minorHAnsi"/>
                <w:sz w:val="20"/>
                <w:szCs w:val="20"/>
              </w:rPr>
            </w:pPr>
            <w:r w:rsidRPr="00E30FC1">
              <w:rPr>
                <w:rFonts w:cstheme="minorHAnsi"/>
                <w:sz w:val="20"/>
                <w:szCs w:val="20"/>
              </w:rPr>
              <w:t>Public</w:t>
            </w:r>
          </w:p>
        </w:tc>
      </w:tr>
      <w:tr w:rsidR="00BE42FB" w:rsidRPr="00E30FC1" w14:paraId="55A87E08" w14:textId="77777777" w:rsidTr="00987543">
        <w:tc>
          <w:tcPr>
            <w:tcW w:w="1292" w:type="dxa"/>
          </w:tcPr>
          <w:p w14:paraId="7CBF4592" w14:textId="77777777" w:rsidR="00BE42FB" w:rsidRPr="00E30FC1" w:rsidRDefault="00BE42FB" w:rsidP="00987543">
            <w:pPr>
              <w:rPr>
                <w:rFonts w:cstheme="minorHAnsi"/>
                <w:sz w:val="20"/>
                <w:szCs w:val="20"/>
              </w:rPr>
            </w:pPr>
            <w:r w:rsidRPr="00E30FC1">
              <w:rPr>
                <w:rFonts w:cstheme="minorHAnsi"/>
                <w:sz w:val="20"/>
                <w:szCs w:val="20"/>
              </w:rPr>
              <w:t>Sarah</w:t>
            </w:r>
          </w:p>
        </w:tc>
        <w:tc>
          <w:tcPr>
            <w:tcW w:w="779" w:type="dxa"/>
          </w:tcPr>
          <w:p w14:paraId="50DCE744" w14:textId="77777777" w:rsidR="00BE42FB" w:rsidRPr="00E30FC1" w:rsidRDefault="00BE42FB" w:rsidP="00987543">
            <w:pPr>
              <w:jc w:val="center"/>
              <w:rPr>
                <w:rFonts w:cstheme="minorHAnsi"/>
                <w:sz w:val="20"/>
                <w:szCs w:val="20"/>
              </w:rPr>
            </w:pPr>
            <w:r w:rsidRPr="00E30FC1">
              <w:rPr>
                <w:rFonts w:cstheme="minorHAnsi"/>
                <w:sz w:val="20"/>
                <w:szCs w:val="20"/>
              </w:rPr>
              <w:t>40’s</w:t>
            </w:r>
          </w:p>
        </w:tc>
        <w:tc>
          <w:tcPr>
            <w:tcW w:w="1013" w:type="dxa"/>
          </w:tcPr>
          <w:p w14:paraId="45A0E941" w14:textId="77777777" w:rsidR="00BE42FB" w:rsidRPr="00E30FC1" w:rsidRDefault="00BE42FB" w:rsidP="00987543">
            <w:pPr>
              <w:rPr>
                <w:rFonts w:cstheme="minorHAnsi"/>
                <w:sz w:val="20"/>
                <w:szCs w:val="20"/>
              </w:rPr>
            </w:pPr>
            <w:r w:rsidRPr="00E30FC1">
              <w:rPr>
                <w:rFonts w:cstheme="minorHAnsi"/>
                <w:sz w:val="20"/>
                <w:szCs w:val="20"/>
              </w:rPr>
              <w:t>Female</w:t>
            </w:r>
          </w:p>
        </w:tc>
        <w:tc>
          <w:tcPr>
            <w:tcW w:w="939" w:type="dxa"/>
          </w:tcPr>
          <w:p w14:paraId="49213C61" w14:textId="77777777" w:rsidR="00BE42FB" w:rsidRPr="00E30FC1" w:rsidRDefault="00BE42FB" w:rsidP="00987543">
            <w:pPr>
              <w:rPr>
                <w:rFonts w:cstheme="minorHAnsi"/>
                <w:sz w:val="20"/>
                <w:szCs w:val="20"/>
              </w:rPr>
            </w:pPr>
            <w:r w:rsidRPr="00E30FC1">
              <w:rPr>
                <w:rFonts w:cstheme="minorHAnsi"/>
                <w:sz w:val="20"/>
                <w:szCs w:val="20"/>
              </w:rPr>
              <w:t>Single</w:t>
            </w:r>
          </w:p>
        </w:tc>
        <w:tc>
          <w:tcPr>
            <w:tcW w:w="1064" w:type="dxa"/>
          </w:tcPr>
          <w:p w14:paraId="1B161FF2" w14:textId="77777777" w:rsidR="00BE42FB" w:rsidRPr="00E30FC1" w:rsidRDefault="00BE42FB" w:rsidP="00987543">
            <w:pPr>
              <w:jc w:val="center"/>
              <w:rPr>
                <w:rFonts w:cstheme="minorHAnsi"/>
                <w:sz w:val="20"/>
                <w:szCs w:val="20"/>
              </w:rPr>
            </w:pPr>
            <w:r w:rsidRPr="00E30FC1">
              <w:rPr>
                <w:rFonts w:cstheme="minorHAnsi"/>
                <w:sz w:val="20"/>
                <w:szCs w:val="20"/>
              </w:rPr>
              <w:t>3</w:t>
            </w:r>
          </w:p>
        </w:tc>
        <w:tc>
          <w:tcPr>
            <w:tcW w:w="868" w:type="dxa"/>
          </w:tcPr>
          <w:p w14:paraId="3AD43E10" w14:textId="77777777" w:rsidR="00BE42FB" w:rsidRPr="00E30FC1" w:rsidRDefault="00BE42FB" w:rsidP="00987543">
            <w:pPr>
              <w:jc w:val="center"/>
              <w:rPr>
                <w:rFonts w:cstheme="minorHAnsi"/>
                <w:sz w:val="20"/>
                <w:szCs w:val="20"/>
              </w:rPr>
            </w:pPr>
            <w:r w:rsidRPr="00E30FC1">
              <w:rPr>
                <w:rFonts w:cstheme="minorHAnsi"/>
                <w:sz w:val="20"/>
                <w:szCs w:val="20"/>
              </w:rPr>
              <w:t>5</w:t>
            </w:r>
          </w:p>
        </w:tc>
        <w:tc>
          <w:tcPr>
            <w:tcW w:w="1381" w:type="dxa"/>
          </w:tcPr>
          <w:p w14:paraId="7B5DB9A9" w14:textId="77777777" w:rsidR="00BE42FB" w:rsidRPr="00E30FC1" w:rsidRDefault="00BE42FB" w:rsidP="00987543">
            <w:pPr>
              <w:rPr>
                <w:rFonts w:cstheme="minorHAnsi"/>
                <w:sz w:val="20"/>
                <w:szCs w:val="20"/>
              </w:rPr>
            </w:pPr>
            <w:r w:rsidRPr="00E30FC1">
              <w:rPr>
                <w:rFonts w:cstheme="minorHAnsi"/>
                <w:sz w:val="20"/>
                <w:szCs w:val="20"/>
              </w:rPr>
              <w:t>Public</w:t>
            </w:r>
          </w:p>
        </w:tc>
      </w:tr>
      <w:tr w:rsidR="00BE42FB" w:rsidRPr="00E30FC1" w14:paraId="1DB5F6E4" w14:textId="77777777" w:rsidTr="00987543">
        <w:tc>
          <w:tcPr>
            <w:tcW w:w="1292" w:type="dxa"/>
          </w:tcPr>
          <w:p w14:paraId="3BF7D9A4" w14:textId="77777777" w:rsidR="00BE42FB" w:rsidRPr="00E30FC1" w:rsidRDefault="00BE42FB" w:rsidP="00987543">
            <w:pPr>
              <w:rPr>
                <w:rFonts w:cstheme="minorHAnsi"/>
                <w:sz w:val="20"/>
                <w:szCs w:val="20"/>
              </w:rPr>
            </w:pPr>
            <w:r w:rsidRPr="00E30FC1">
              <w:rPr>
                <w:rFonts w:cstheme="minorHAnsi"/>
                <w:sz w:val="20"/>
                <w:szCs w:val="20"/>
              </w:rPr>
              <w:t>Emily</w:t>
            </w:r>
          </w:p>
        </w:tc>
        <w:tc>
          <w:tcPr>
            <w:tcW w:w="779" w:type="dxa"/>
          </w:tcPr>
          <w:p w14:paraId="2E652F29" w14:textId="77777777" w:rsidR="00BE42FB" w:rsidRPr="00E30FC1" w:rsidRDefault="00BE42FB" w:rsidP="00987543">
            <w:pPr>
              <w:jc w:val="center"/>
              <w:rPr>
                <w:rFonts w:cstheme="minorHAnsi"/>
                <w:sz w:val="20"/>
                <w:szCs w:val="20"/>
              </w:rPr>
            </w:pPr>
            <w:r w:rsidRPr="00E30FC1">
              <w:rPr>
                <w:rFonts w:cstheme="minorHAnsi"/>
                <w:sz w:val="20"/>
                <w:szCs w:val="20"/>
              </w:rPr>
              <w:t>20’s</w:t>
            </w:r>
          </w:p>
        </w:tc>
        <w:tc>
          <w:tcPr>
            <w:tcW w:w="1013" w:type="dxa"/>
          </w:tcPr>
          <w:p w14:paraId="7ACF15C7" w14:textId="77777777" w:rsidR="00BE42FB" w:rsidRPr="00E30FC1" w:rsidRDefault="00BE42FB" w:rsidP="00987543">
            <w:pPr>
              <w:rPr>
                <w:rFonts w:cstheme="minorHAnsi"/>
                <w:sz w:val="20"/>
                <w:szCs w:val="20"/>
              </w:rPr>
            </w:pPr>
            <w:r w:rsidRPr="00E30FC1">
              <w:rPr>
                <w:rFonts w:cstheme="minorHAnsi"/>
                <w:sz w:val="20"/>
                <w:szCs w:val="20"/>
              </w:rPr>
              <w:t>Female</w:t>
            </w:r>
          </w:p>
        </w:tc>
        <w:tc>
          <w:tcPr>
            <w:tcW w:w="939" w:type="dxa"/>
          </w:tcPr>
          <w:p w14:paraId="758363FB" w14:textId="77777777" w:rsidR="00BE42FB" w:rsidRPr="00E30FC1" w:rsidRDefault="00BE42FB" w:rsidP="00987543">
            <w:pPr>
              <w:rPr>
                <w:rFonts w:cstheme="minorHAnsi"/>
                <w:sz w:val="20"/>
                <w:szCs w:val="20"/>
              </w:rPr>
            </w:pPr>
            <w:r w:rsidRPr="00E30FC1">
              <w:rPr>
                <w:rFonts w:cstheme="minorHAnsi"/>
                <w:sz w:val="20"/>
                <w:szCs w:val="20"/>
              </w:rPr>
              <w:t>Single</w:t>
            </w:r>
          </w:p>
        </w:tc>
        <w:tc>
          <w:tcPr>
            <w:tcW w:w="1064" w:type="dxa"/>
          </w:tcPr>
          <w:p w14:paraId="4C9F9B94" w14:textId="77777777" w:rsidR="00BE42FB" w:rsidRPr="00E30FC1" w:rsidRDefault="00BE42FB" w:rsidP="00987543">
            <w:pPr>
              <w:jc w:val="center"/>
              <w:rPr>
                <w:rFonts w:cstheme="minorHAnsi"/>
                <w:sz w:val="20"/>
                <w:szCs w:val="20"/>
              </w:rPr>
            </w:pPr>
            <w:r w:rsidRPr="00E30FC1">
              <w:rPr>
                <w:rFonts w:cstheme="minorHAnsi"/>
                <w:sz w:val="20"/>
                <w:szCs w:val="20"/>
              </w:rPr>
              <w:t>2</w:t>
            </w:r>
          </w:p>
        </w:tc>
        <w:tc>
          <w:tcPr>
            <w:tcW w:w="868" w:type="dxa"/>
          </w:tcPr>
          <w:p w14:paraId="22205F4C" w14:textId="77777777" w:rsidR="00BE42FB" w:rsidRPr="00E30FC1" w:rsidRDefault="00BE42FB" w:rsidP="00987543">
            <w:pPr>
              <w:jc w:val="center"/>
              <w:rPr>
                <w:rFonts w:cstheme="minorHAnsi"/>
                <w:sz w:val="20"/>
                <w:szCs w:val="20"/>
              </w:rPr>
            </w:pPr>
            <w:r w:rsidRPr="00E30FC1">
              <w:rPr>
                <w:rFonts w:cstheme="minorHAnsi"/>
                <w:sz w:val="20"/>
                <w:szCs w:val="20"/>
              </w:rPr>
              <w:t>3</w:t>
            </w:r>
          </w:p>
        </w:tc>
        <w:tc>
          <w:tcPr>
            <w:tcW w:w="1381" w:type="dxa"/>
          </w:tcPr>
          <w:p w14:paraId="4EF4BAFA" w14:textId="77777777" w:rsidR="00BE42FB" w:rsidRPr="00E30FC1" w:rsidRDefault="00BE42FB" w:rsidP="00987543">
            <w:pPr>
              <w:rPr>
                <w:rFonts w:cstheme="minorHAnsi"/>
                <w:sz w:val="20"/>
                <w:szCs w:val="20"/>
              </w:rPr>
            </w:pPr>
            <w:r w:rsidRPr="00E30FC1">
              <w:rPr>
                <w:rFonts w:cstheme="minorHAnsi"/>
                <w:sz w:val="20"/>
                <w:szCs w:val="20"/>
              </w:rPr>
              <w:t>Public</w:t>
            </w:r>
          </w:p>
        </w:tc>
      </w:tr>
    </w:tbl>
    <w:p w14:paraId="68CD5C25" w14:textId="77777777" w:rsidR="00BE42FB" w:rsidRDefault="00BE42FB" w:rsidP="00BA6CEF">
      <w:pPr>
        <w:spacing w:after="120" w:line="480" w:lineRule="auto"/>
        <w:rPr>
          <w:rFonts w:cstheme="minorHAnsi"/>
          <w:sz w:val="24"/>
          <w:szCs w:val="24"/>
        </w:rPr>
      </w:pPr>
    </w:p>
    <w:p w14:paraId="5925BCB5" w14:textId="4BBA0263" w:rsidR="005241E6" w:rsidRPr="00EC69B7" w:rsidRDefault="00BE42FB" w:rsidP="00BA6CEF">
      <w:pPr>
        <w:spacing w:after="120" w:line="480" w:lineRule="auto"/>
        <w:rPr>
          <w:rFonts w:cstheme="minorHAnsi"/>
          <w:sz w:val="24"/>
          <w:szCs w:val="24"/>
        </w:rPr>
      </w:pPr>
      <w:r>
        <w:rPr>
          <w:rFonts w:cstheme="minorHAnsi"/>
          <w:sz w:val="24"/>
          <w:szCs w:val="24"/>
          <w:lang w:val="en-US"/>
        </w:rPr>
        <w:t xml:space="preserve">A semi-structured interview approach was adopted in conjunction with a topic guide </w:t>
      </w:r>
      <w:r w:rsidRPr="00DA7609">
        <w:rPr>
          <w:rFonts w:ascii="Calibri" w:eastAsia="SimSun" w:hAnsi="Calibri" w:cs="Arial"/>
          <w:sz w:val="24"/>
          <w:szCs w:val="24"/>
          <w:lang w:val="en-US" w:eastAsia="zh-CN"/>
        </w:rPr>
        <w:t>to ensur</w:t>
      </w:r>
      <w:r>
        <w:rPr>
          <w:rFonts w:ascii="Calibri" w:eastAsia="SimSun" w:hAnsi="Calibri" w:cs="Arial"/>
          <w:sz w:val="24"/>
          <w:szCs w:val="24"/>
          <w:lang w:val="en-US" w:eastAsia="zh-CN"/>
        </w:rPr>
        <w:t>e</w:t>
      </w:r>
      <w:r w:rsidRPr="00DA7609">
        <w:rPr>
          <w:rFonts w:ascii="Calibri" w:eastAsia="SimSun" w:hAnsi="Calibri" w:cs="Arial"/>
          <w:sz w:val="24"/>
          <w:szCs w:val="24"/>
          <w:lang w:val="en-US" w:eastAsia="zh-CN"/>
        </w:rPr>
        <w:t xml:space="preserve"> all the questions that are initially considered relevant </w:t>
      </w:r>
      <w:r>
        <w:rPr>
          <w:rFonts w:ascii="Calibri" w:eastAsia="SimSun" w:hAnsi="Calibri" w:cs="Arial"/>
          <w:sz w:val="24"/>
          <w:szCs w:val="24"/>
          <w:lang w:val="en-US" w:eastAsia="zh-CN"/>
        </w:rPr>
        <w:t xml:space="preserve">were asked </w:t>
      </w:r>
      <w:r w:rsidRPr="00DA7609">
        <w:rPr>
          <w:rFonts w:ascii="Calibri" w:eastAsia="SimSun" w:hAnsi="Calibri" w:cs="Arial"/>
          <w:sz w:val="24"/>
          <w:szCs w:val="24"/>
          <w:lang w:val="en-US" w:eastAsia="zh-CN"/>
        </w:rPr>
        <w:t>whilst allowing the flexibility to develop areas of</w:t>
      </w:r>
      <w:r>
        <w:rPr>
          <w:rFonts w:ascii="Calibri" w:eastAsia="SimSun" w:hAnsi="Calibri" w:cs="Arial"/>
          <w:sz w:val="24"/>
          <w:szCs w:val="24"/>
          <w:lang w:val="en-US" w:eastAsia="zh-CN"/>
        </w:rPr>
        <w:t xml:space="preserve"> discussion that became pertinent</w:t>
      </w:r>
      <w:r w:rsidRPr="00DA7609">
        <w:rPr>
          <w:rFonts w:ascii="Calibri" w:eastAsia="SimSun" w:hAnsi="Calibri" w:cs="Arial"/>
          <w:sz w:val="24"/>
          <w:szCs w:val="24"/>
          <w:lang w:val="en-US" w:eastAsia="zh-CN"/>
        </w:rPr>
        <w:t xml:space="preserve"> as the conve</w:t>
      </w:r>
      <w:r>
        <w:rPr>
          <w:rFonts w:ascii="Calibri" w:eastAsia="SimSun" w:hAnsi="Calibri" w:cs="Arial"/>
          <w:sz w:val="24"/>
          <w:szCs w:val="24"/>
          <w:lang w:val="en-US" w:eastAsia="zh-CN"/>
        </w:rPr>
        <w:t xml:space="preserve">rsation proceeded. </w:t>
      </w:r>
      <w:r w:rsidR="005910BB">
        <w:rPr>
          <w:rFonts w:cstheme="minorHAnsi"/>
          <w:sz w:val="24"/>
          <w:szCs w:val="24"/>
        </w:rPr>
        <w:t>I</w:t>
      </w:r>
      <w:r w:rsidR="00DF78C6" w:rsidRPr="00EC69B7">
        <w:rPr>
          <w:rFonts w:cstheme="minorHAnsi"/>
          <w:sz w:val="24"/>
          <w:szCs w:val="24"/>
        </w:rPr>
        <w:t xml:space="preserve">nterviewees </w:t>
      </w:r>
      <w:r w:rsidR="005910BB">
        <w:rPr>
          <w:rFonts w:cstheme="minorHAnsi"/>
          <w:sz w:val="24"/>
          <w:szCs w:val="24"/>
        </w:rPr>
        <w:t>d</w:t>
      </w:r>
      <w:r w:rsidR="00DF78C6" w:rsidRPr="00EC69B7">
        <w:rPr>
          <w:rFonts w:cstheme="minorHAnsi"/>
          <w:sz w:val="24"/>
          <w:szCs w:val="24"/>
        </w:rPr>
        <w:t>i</w:t>
      </w:r>
      <w:r w:rsidR="00401A85">
        <w:rPr>
          <w:rFonts w:cstheme="minorHAnsi"/>
          <w:sz w:val="24"/>
          <w:szCs w:val="24"/>
        </w:rPr>
        <w:t xml:space="preserve">vided broadly in to two groups. The first group included </w:t>
      </w:r>
      <w:r w:rsidR="00DF78C6" w:rsidRPr="00EC69B7">
        <w:rPr>
          <w:rFonts w:cstheme="minorHAnsi"/>
          <w:sz w:val="24"/>
          <w:szCs w:val="24"/>
        </w:rPr>
        <w:t xml:space="preserve">those that had either taken no advice or only mortgage </w:t>
      </w:r>
      <w:r w:rsidR="005C4BF3" w:rsidRPr="00EC69B7">
        <w:rPr>
          <w:rFonts w:cstheme="minorHAnsi"/>
          <w:sz w:val="24"/>
          <w:szCs w:val="24"/>
        </w:rPr>
        <w:t xml:space="preserve">related </w:t>
      </w:r>
      <w:r w:rsidR="00DF78C6" w:rsidRPr="00EC69B7">
        <w:rPr>
          <w:rFonts w:cstheme="minorHAnsi"/>
          <w:sz w:val="24"/>
          <w:szCs w:val="24"/>
        </w:rPr>
        <w:t>advice (</w:t>
      </w:r>
      <w:r w:rsidR="00F815CE">
        <w:rPr>
          <w:rFonts w:cstheme="minorHAnsi"/>
          <w:sz w:val="24"/>
          <w:szCs w:val="24"/>
        </w:rPr>
        <w:t xml:space="preserve">numbering </w:t>
      </w:r>
      <w:r w:rsidR="00DF78C6" w:rsidRPr="00EC69B7">
        <w:rPr>
          <w:rFonts w:cstheme="minorHAnsi"/>
          <w:sz w:val="24"/>
          <w:szCs w:val="24"/>
        </w:rPr>
        <w:t>9</w:t>
      </w:r>
      <w:r w:rsidR="00F815CE">
        <w:rPr>
          <w:rFonts w:cstheme="minorHAnsi"/>
          <w:sz w:val="24"/>
          <w:szCs w:val="24"/>
        </w:rPr>
        <w:t xml:space="preserve"> people in total</w:t>
      </w:r>
      <w:r w:rsidR="00A610F4">
        <w:rPr>
          <w:rFonts w:cstheme="minorHAnsi"/>
          <w:sz w:val="24"/>
          <w:szCs w:val="24"/>
        </w:rPr>
        <w:t>, 2 of which had never taken any form of financial or mortgage related advice</w:t>
      </w:r>
      <w:r w:rsidR="00DF78C6" w:rsidRPr="00EC69B7">
        <w:rPr>
          <w:rFonts w:cstheme="minorHAnsi"/>
          <w:sz w:val="24"/>
          <w:szCs w:val="24"/>
        </w:rPr>
        <w:t xml:space="preserve">) and those that had taken advice regarding </w:t>
      </w:r>
      <w:r w:rsidR="005910BB">
        <w:rPr>
          <w:rFonts w:cstheme="minorHAnsi"/>
          <w:sz w:val="24"/>
          <w:szCs w:val="24"/>
        </w:rPr>
        <w:t xml:space="preserve">mortgages, </w:t>
      </w:r>
      <w:r w:rsidR="00DF78C6" w:rsidRPr="00EC69B7">
        <w:rPr>
          <w:rFonts w:cstheme="minorHAnsi"/>
          <w:sz w:val="24"/>
          <w:szCs w:val="24"/>
        </w:rPr>
        <w:t>protection, investment</w:t>
      </w:r>
      <w:r w:rsidR="005910BB">
        <w:rPr>
          <w:rFonts w:cstheme="minorHAnsi"/>
          <w:sz w:val="24"/>
          <w:szCs w:val="24"/>
        </w:rPr>
        <w:t>/</w:t>
      </w:r>
      <w:r w:rsidR="00DF78C6" w:rsidRPr="00EC69B7">
        <w:rPr>
          <w:rFonts w:cstheme="minorHAnsi"/>
          <w:sz w:val="24"/>
          <w:szCs w:val="24"/>
        </w:rPr>
        <w:t>savings</w:t>
      </w:r>
      <w:r w:rsidR="005910BB">
        <w:rPr>
          <w:rFonts w:cstheme="minorHAnsi"/>
          <w:sz w:val="24"/>
          <w:szCs w:val="24"/>
        </w:rPr>
        <w:t xml:space="preserve"> and/or</w:t>
      </w:r>
      <w:r w:rsidR="008D7CBD">
        <w:rPr>
          <w:rFonts w:cstheme="minorHAnsi"/>
          <w:sz w:val="24"/>
          <w:szCs w:val="24"/>
        </w:rPr>
        <w:t xml:space="preserve"> </w:t>
      </w:r>
      <w:r w:rsidR="00DF78C6" w:rsidRPr="00EC69B7">
        <w:rPr>
          <w:rFonts w:cstheme="minorHAnsi"/>
          <w:sz w:val="24"/>
          <w:szCs w:val="24"/>
        </w:rPr>
        <w:t>retirement planning (12</w:t>
      </w:r>
      <w:r w:rsidR="00F815CE">
        <w:rPr>
          <w:rFonts w:cstheme="minorHAnsi"/>
          <w:sz w:val="24"/>
          <w:szCs w:val="24"/>
        </w:rPr>
        <w:t xml:space="preserve"> people</w:t>
      </w:r>
      <w:r w:rsidR="00DF78C6" w:rsidRPr="00EC69B7">
        <w:rPr>
          <w:rFonts w:cstheme="minorHAnsi"/>
          <w:sz w:val="24"/>
          <w:szCs w:val="24"/>
        </w:rPr>
        <w:t xml:space="preserve">). </w:t>
      </w:r>
      <w:r w:rsidR="00DF78C6" w:rsidRPr="00A610F4">
        <w:rPr>
          <w:rFonts w:cstheme="minorHAnsi"/>
          <w:sz w:val="24"/>
          <w:szCs w:val="24"/>
        </w:rPr>
        <w:t>Of the 19 that had taken some form of advice</w:t>
      </w:r>
      <w:r w:rsidR="00A610F4">
        <w:rPr>
          <w:rFonts w:cstheme="minorHAnsi"/>
          <w:sz w:val="24"/>
          <w:szCs w:val="24"/>
        </w:rPr>
        <w:t>,</w:t>
      </w:r>
      <w:r w:rsidR="00DF78C6" w:rsidRPr="00A610F4">
        <w:rPr>
          <w:rFonts w:cstheme="minorHAnsi"/>
          <w:sz w:val="24"/>
          <w:szCs w:val="24"/>
        </w:rPr>
        <w:t xml:space="preserve"> 14 of these were clearly motivated to do so by the requirement to arrange a </w:t>
      </w:r>
      <w:r w:rsidR="005910BB" w:rsidRPr="00A610F4">
        <w:rPr>
          <w:rFonts w:cstheme="minorHAnsi"/>
          <w:sz w:val="24"/>
          <w:szCs w:val="24"/>
        </w:rPr>
        <w:t xml:space="preserve">specific </w:t>
      </w:r>
      <w:r w:rsidR="00DF78C6" w:rsidRPr="00A610F4">
        <w:rPr>
          <w:rFonts w:cstheme="minorHAnsi"/>
          <w:sz w:val="24"/>
          <w:szCs w:val="24"/>
        </w:rPr>
        <w:t>product.</w:t>
      </w:r>
    </w:p>
    <w:p w14:paraId="17C56032" w14:textId="2DB76409" w:rsidR="005241E6" w:rsidRDefault="003D19EA" w:rsidP="005F21D5">
      <w:pPr>
        <w:spacing w:after="120" w:line="480" w:lineRule="auto"/>
        <w:rPr>
          <w:rFonts w:cstheme="minorHAnsi"/>
          <w:sz w:val="24"/>
          <w:szCs w:val="24"/>
          <w:lang w:val="en"/>
        </w:rPr>
      </w:pPr>
      <w:r w:rsidRPr="00EC69B7">
        <w:rPr>
          <w:rFonts w:cstheme="minorHAnsi"/>
          <w:sz w:val="24"/>
          <w:szCs w:val="24"/>
        </w:rPr>
        <w:lastRenderedPageBreak/>
        <w:t>The transcripts were then loaded in to NVIVO an</w:t>
      </w:r>
      <w:r w:rsidR="00C21EAA" w:rsidRPr="00EC69B7">
        <w:rPr>
          <w:rFonts w:cstheme="minorHAnsi"/>
          <w:sz w:val="24"/>
          <w:szCs w:val="24"/>
        </w:rPr>
        <w:t>d</w:t>
      </w:r>
      <w:r w:rsidRPr="00EC69B7">
        <w:rPr>
          <w:rFonts w:cstheme="minorHAnsi"/>
          <w:sz w:val="24"/>
          <w:szCs w:val="24"/>
        </w:rPr>
        <w:t xml:space="preserve"> analysed using a template initially derived from the </w:t>
      </w:r>
      <w:r w:rsidR="00657B6B" w:rsidRPr="00EC69B7">
        <w:rPr>
          <w:rFonts w:cstheme="minorHAnsi"/>
          <w:sz w:val="24"/>
          <w:szCs w:val="24"/>
        </w:rPr>
        <w:t xml:space="preserve">Financial </w:t>
      </w:r>
      <w:r w:rsidRPr="00EC69B7">
        <w:rPr>
          <w:rFonts w:cstheme="minorHAnsi"/>
          <w:sz w:val="24"/>
          <w:szCs w:val="24"/>
        </w:rPr>
        <w:t>Advice Belief Model</w:t>
      </w:r>
      <w:r w:rsidR="00896DE4" w:rsidRPr="00EC69B7">
        <w:rPr>
          <w:rFonts w:cstheme="minorHAnsi"/>
          <w:sz w:val="24"/>
          <w:szCs w:val="24"/>
        </w:rPr>
        <w:t xml:space="preserve"> and based on </w:t>
      </w:r>
      <w:r w:rsidR="00896DE4" w:rsidRPr="00EC69B7">
        <w:rPr>
          <w:rFonts w:cstheme="minorHAnsi"/>
          <w:sz w:val="24"/>
          <w:szCs w:val="24"/>
          <w:lang w:val="en"/>
        </w:rPr>
        <w:t xml:space="preserve">Spencer, Ritchie and O’Connor’s </w:t>
      </w:r>
      <w:r w:rsidR="00224029" w:rsidRPr="00EC69B7">
        <w:rPr>
          <w:rFonts w:cstheme="minorHAnsi"/>
          <w:sz w:val="24"/>
          <w:szCs w:val="24"/>
          <w:lang w:val="en"/>
        </w:rPr>
        <w:t xml:space="preserve">thematic </w:t>
      </w:r>
      <w:r w:rsidR="00896DE4" w:rsidRPr="00EC69B7">
        <w:rPr>
          <w:rFonts w:cstheme="minorHAnsi"/>
          <w:sz w:val="24"/>
          <w:szCs w:val="24"/>
          <w:lang w:val="en"/>
        </w:rPr>
        <w:t>framework approach (2</w:t>
      </w:r>
      <w:r w:rsidR="00224029" w:rsidRPr="00EC69B7">
        <w:rPr>
          <w:rFonts w:cstheme="minorHAnsi"/>
          <w:sz w:val="24"/>
          <w:szCs w:val="24"/>
          <w:lang w:val="en"/>
        </w:rPr>
        <w:t>0</w:t>
      </w:r>
      <w:r w:rsidR="00896DE4" w:rsidRPr="00EC69B7">
        <w:rPr>
          <w:rFonts w:cstheme="minorHAnsi"/>
          <w:sz w:val="24"/>
          <w:szCs w:val="24"/>
          <w:lang w:val="en"/>
        </w:rPr>
        <w:t>0</w:t>
      </w:r>
      <w:r w:rsidR="00224029" w:rsidRPr="00EC69B7">
        <w:rPr>
          <w:rFonts w:cstheme="minorHAnsi"/>
          <w:sz w:val="24"/>
          <w:szCs w:val="24"/>
          <w:lang w:val="en"/>
        </w:rPr>
        <w:t>6).</w:t>
      </w:r>
    </w:p>
    <w:p w14:paraId="2021224E" w14:textId="6F858B87" w:rsidR="00C3274C" w:rsidRPr="00EC69B7" w:rsidRDefault="00C3274C" w:rsidP="005F21D5">
      <w:pPr>
        <w:spacing w:after="120" w:line="480" w:lineRule="auto"/>
        <w:rPr>
          <w:rFonts w:cstheme="minorHAnsi"/>
          <w:b/>
          <w:sz w:val="28"/>
          <w:szCs w:val="28"/>
          <w:u w:val="single"/>
        </w:rPr>
      </w:pPr>
      <w:r w:rsidRPr="00EC69B7">
        <w:rPr>
          <w:rFonts w:cstheme="minorHAnsi"/>
          <w:b/>
          <w:sz w:val="28"/>
          <w:szCs w:val="28"/>
          <w:u w:val="single"/>
        </w:rPr>
        <w:t>Results and Discussion.</w:t>
      </w:r>
    </w:p>
    <w:p w14:paraId="0A081BFC" w14:textId="4AEBF291" w:rsidR="00803E7A" w:rsidRPr="00EC69B7" w:rsidRDefault="00803E7A" w:rsidP="005F21D5">
      <w:pPr>
        <w:spacing w:after="120" w:line="480" w:lineRule="auto"/>
        <w:rPr>
          <w:rFonts w:cstheme="minorHAnsi"/>
          <w:sz w:val="24"/>
          <w:szCs w:val="24"/>
        </w:rPr>
      </w:pPr>
      <w:r w:rsidRPr="00EC69B7">
        <w:rPr>
          <w:rFonts w:cstheme="minorHAnsi"/>
          <w:sz w:val="24"/>
          <w:szCs w:val="24"/>
        </w:rPr>
        <w:t xml:space="preserve">There </w:t>
      </w:r>
      <w:r w:rsidR="005C4BF3" w:rsidRPr="00EC69B7">
        <w:rPr>
          <w:rFonts w:cstheme="minorHAnsi"/>
          <w:sz w:val="24"/>
          <w:szCs w:val="24"/>
        </w:rPr>
        <w:t>are</w:t>
      </w:r>
      <w:r w:rsidRPr="00EC69B7">
        <w:rPr>
          <w:rFonts w:cstheme="minorHAnsi"/>
          <w:sz w:val="24"/>
          <w:szCs w:val="24"/>
        </w:rPr>
        <w:t xml:space="preserve"> three clear themes that appeared from </w:t>
      </w:r>
      <w:r w:rsidR="00A610F4">
        <w:rPr>
          <w:rFonts w:cstheme="minorHAnsi"/>
          <w:sz w:val="24"/>
          <w:szCs w:val="24"/>
        </w:rPr>
        <w:t xml:space="preserve">the analysis of </w:t>
      </w:r>
      <w:r w:rsidRPr="00EC69B7">
        <w:rPr>
          <w:rFonts w:cstheme="minorHAnsi"/>
          <w:sz w:val="24"/>
          <w:szCs w:val="24"/>
        </w:rPr>
        <w:t xml:space="preserve">the </w:t>
      </w:r>
      <w:r w:rsidR="009F1166" w:rsidRPr="00EC69B7">
        <w:rPr>
          <w:rFonts w:cstheme="minorHAnsi"/>
          <w:sz w:val="24"/>
          <w:szCs w:val="24"/>
        </w:rPr>
        <w:t>interview data</w:t>
      </w:r>
      <w:r w:rsidRPr="00EC69B7">
        <w:rPr>
          <w:rFonts w:cstheme="minorHAnsi"/>
          <w:sz w:val="24"/>
          <w:szCs w:val="24"/>
        </w:rPr>
        <w:t>;</w:t>
      </w:r>
    </w:p>
    <w:p w14:paraId="74264066" w14:textId="77777777" w:rsidR="00803E7A" w:rsidRPr="00EC69B7" w:rsidRDefault="00803E7A" w:rsidP="005F21D5">
      <w:pPr>
        <w:pStyle w:val="ListParagraph"/>
        <w:numPr>
          <w:ilvl w:val="0"/>
          <w:numId w:val="1"/>
        </w:numPr>
        <w:spacing w:after="120" w:line="480" w:lineRule="auto"/>
        <w:rPr>
          <w:rFonts w:cstheme="minorHAnsi"/>
          <w:sz w:val="24"/>
          <w:szCs w:val="24"/>
        </w:rPr>
      </w:pPr>
      <w:r w:rsidRPr="00EC69B7">
        <w:rPr>
          <w:rFonts w:cstheme="minorHAnsi"/>
          <w:sz w:val="24"/>
          <w:szCs w:val="24"/>
        </w:rPr>
        <w:t>Knowledge</w:t>
      </w:r>
    </w:p>
    <w:p w14:paraId="7A818F8C" w14:textId="77777777" w:rsidR="00803E7A" w:rsidRPr="00EC69B7" w:rsidRDefault="00803E7A" w:rsidP="005F21D5">
      <w:pPr>
        <w:pStyle w:val="ListParagraph"/>
        <w:numPr>
          <w:ilvl w:val="0"/>
          <w:numId w:val="1"/>
        </w:numPr>
        <w:spacing w:after="120" w:line="480" w:lineRule="auto"/>
        <w:rPr>
          <w:rFonts w:cstheme="minorHAnsi"/>
          <w:sz w:val="24"/>
          <w:szCs w:val="24"/>
        </w:rPr>
      </w:pPr>
      <w:r w:rsidRPr="00EC69B7">
        <w:rPr>
          <w:rFonts w:cstheme="minorHAnsi"/>
          <w:sz w:val="24"/>
          <w:szCs w:val="24"/>
        </w:rPr>
        <w:t>Trust</w:t>
      </w:r>
    </w:p>
    <w:p w14:paraId="576CEFDC" w14:textId="37C7FFA4" w:rsidR="00803E7A" w:rsidRPr="00EC69B7" w:rsidRDefault="00803E7A" w:rsidP="005F21D5">
      <w:pPr>
        <w:pStyle w:val="ListParagraph"/>
        <w:numPr>
          <w:ilvl w:val="0"/>
          <w:numId w:val="1"/>
        </w:numPr>
        <w:spacing w:after="120" w:line="480" w:lineRule="auto"/>
        <w:rPr>
          <w:rFonts w:cstheme="minorHAnsi"/>
          <w:sz w:val="24"/>
          <w:szCs w:val="24"/>
        </w:rPr>
      </w:pPr>
      <w:r w:rsidRPr="00EC69B7">
        <w:rPr>
          <w:rFonts w:cstheme="minorHAnsi"/>
          <w:sz w:val="24"/>
          <w:szCs w:val="24"/>
        </w:rPr>
        <w:t>Cost</w:t>
      </w:r>
      <w:r w:rsidR="005C4BF3" w:rsidRPr="00EC69B7">
        <w:rPr>
          <w:rFonts w:cstheme="minorHAnsi"/>
          <w:sz w:val="24"/>
          <w:szCs w:val="24"/>
        </w:rPr>
        <w:t>/</w:t>
      </w:r>
      <w:r w:rsidRPr="00EC69B7">
        <w:rPr>
          <w:rFonts w:cstheme="minorHAnsi"/>
          <w:sz w:val="24"/>
          <w:szCs w:val="24"/>
        </w:rPr>
        <w:t>Affordability</w:t>
      </w:r>
    </w:p>
    <w:p w14:paraId="093AAA76" w14:textId="3AC20E51" w:rsidR="002D3828" w:rsidRPr="00EC69B7" w:rsidRDefault="005C4BF3" w:rsidP="005F21D5">
      <w:pPr>
        <w:spacing w:after="120" w:line="480" w:lineRule="auto"/>
        <w:rPr>
          <w:rFonts w:cstheme="minorHAnsi"/>
          <w:sz w:val="24"/>
          <w:szCs w:val="24"/>
        </w:rPr>
      </w:pPr>
      <w:r w:rsidRPr="00EC69B7">
        <w:rPr>
          <w:rFonts w:cstheme="minorHAnsi"/>
          <w:sz w:val="24"/>
          <w:szCs w:val="24"/>
        </w:rPr>
        <w:t xml:space="preserve">In this section each of </w:t>
      </w:r>
      <w:r w:rsidR="009551A4" w:rsidRPr="00EC69B7">
        <w:rPr>
          <w:rFonts w:cstheme="minorHAnsi"/>
          <w:sz w:val="24"/>
          <w:szCs w:val="24"/>
        </w:rPr>
        <w:t xml:space="preserve">these will be </w:t>
      </w:r>
      <w:r w:rsidR="006E6AA5" w:rsidRPr="00EC69B7">
        <w:rPr>
          <w:rFonts w:cstheme="minorHAnsi"/>
          <w:sz w:val="24"/>
          <w:szCs w:val="24"/>
        </w:rPr>
        <w:t>considered separately</w:t>
      </w:r>
      <w:r w:rsidR="009F1166" w:rsidRPr="00EC69B7">
        <w:rPr>
          <w:rFonts w:cstheme="minorHAnsi"/>
          <w:sz w:val="24"/>
          <w:szCs w:val="24"/>
        </w:rPr>
        <w:t xml:space="preserve"> drawing on the interviews undertaken</w:t>
      </w:r>
      <w:r w:rsidR="006E6AA5" w:rsidRPr="00EC69B7">
        <w:rPr>
          <w:rFonts w:cstheme="minorHAnsi"/>
          <w:sz w:val="24"/>
          <w:szCs w:val="24"/>
        </w:rPr>
        <w:t>.</w:t>
      </w:r>
    </w:p>
    <w:p w14:paraId="2B42EF01" w14:textId="2E03738A" w:rsidR="005C4BF3" w:rsidRPr="00EC69B7" w:rsidRDefault="00FB1918" w:rsidP="005F21D5">
      <w:pPr>
        <w:spacing w:after="120" w:line="480" w:lineRule="auto"/>
        <w:rPr>
          <w:rFonts w:cstheme="minorHAnsi"/>
          <w:b/>
          <w:sz w:val="24"/>
          <w:szCs w:val="24"/>
          <w:u w:val="single"/>
        </w:rPr>
      </w:pPr>
      <w:r w:rsidRPr="00EC69B7">
        <w:rPr>
          <w:rFonts w:cstheme="minorHAnsi"/>
          <w:b/>
          <w:sz w:val="24"/>
          <w:szCs w:val="24"/>
          <w:u w:val="single"/>
        </w:rPr>
        <w:t>Knowledge</w:t>
      </w:r>
      <w:r w:rsidR="00985672">
        <w:rPr>
          <w:rFonts w:cstheme="minorHAnsi"/>
          <w:b/>
          <w:sz w:val="24"/>
          <w:szCs w:val="24"/>
          <w:u w:val="single"/>
        </w:rPr>
        <w:t xml:space="preserve"> as a barrier to advice</w:t>
      </w:r>
      <w:r w:rsidRPr="00EC69B7">
        <w:rPr>
          <w:rFonts w:cstheme="minorHAnsi"/>
          <w:b/>
          <w:sz w:val="24"/>
          <w:szCs w:val="24"/>
          <w:u w:val="single"/>
        </w:rPr>
        <w:t>.</w:t>
      </w:r>
    </w:p>
    <w:p w14:paraId="583E6207" w14:textId="52523E75" w:rsidR="005C4BF3" w:rsidRPr="00EC69B7" w:rsidRDefault="00E12FFE" w:rsidP="005F21D5">
      <w:pPr>
        <w:spacing w:after="120" w:line="480" w:lineRule="auto"/>
        <w:rPr>
          <w:rFonts w:cstheme="minorHAnsi"/>
          <w:sz w:val="24"/>
          <w:szCs w:val="24"/>
        </w:rPr>
      </w:pPr>
      <w:r w:rsidRPr="00EC69B7">
        <w:rPr>
          <w:rFonts w:cstheme="minorHAnsi"/>
          <w:sz w:val="24"/>
          <w:szCs w:val="24"/>
        </w:rPr>
        <w:t xml:space="preserve">Within this dimension there were three sub-themes that </w:t>
      </w:r>
      <w:r w:rsidR="005C4BF3" w:rsidRPr="00EC69B7">
        <w:rPr>
          <w:rFonts w:cstheme="minorHAnsi"/>
          <w:sz w:val="24"/>
          <w:szCs w:val="24"/>
        </w:rPr>
        <w:t>emerged</w:t>
      </w:r>
      <w:r w:rsidRPr="00EC69B7">
        <w:rPr>
          <w:rFonts w:cstheme="minorHAnsi"/>
          <w:sz w:val="24"/>
          <w:szCs w:val="24"/>
        </w:rPr>
        <w:t xml:space="preserve">. </w:t>
      </w:r>
    </w:p>
    <w:p w14:paraId="14CD7E2E" w14:textId="18D5F139" w:rsidR="005C4BF3" w:rsidRPr="00EC69B7" w:rsidRDefault="005C4BF3" w:rsidP="005F21D5">
      <w:pPr>
        <w:pStyle w:val="ListParagraph"/>
        <w:numPr>
          <w:ilvl w:val="0"/>
          <w:numId w:val="9"/>
        </w:numPr>
        <w:spacing w:after="120" w:line="480" w:lineRule="auto"/>
        <w:rPr>
          <w:rFonts w:cstheme="minorHAnsi"/>
          <w:sz w:val="24"/>
          <w:szCs w:val="24"/>
        </w:rPr>
      </w:pPr>
      <w:r w:rsidRPr="00EC69B7">
        <w:rPr>
          <w:rFonts w:cstheme="minorHAnsi"/>
          <w:sz w:val="24"/>
          <w:szCs w:val="24"/>
        </w:rPr>
        <w:t>K</w:t>
      </w:r>
      <w:r w:rsidR="00E12FFE" w:rsidRPr="00EC69B7">
        <w:rPr>
          <w:rFonts w:cstheme="minorHAnsi"/>
          <w:sz w:val="24"/>
          <w:szCs w:val="24"/>
        </w:rPr>
        <w:t xml:space="preserve">nowledge of </w:t>
      </w:r>
      <w:r w:rsidR="001E6334">
        <w:rPr>
          <w:rFonts w:cstheme="minorHAnsi"/>
          <w:sz w:val="24"/>
          <w:szCs w:val="24"/>
        </w:rPr>
        <w:t>N</w:t>
      </w:r>
      <w:r w:rsidR="00E12FFE" w:rsidRPr="00EC69B7">
        <w:rPr>
          <w:rFonts w:cstheme="minorHAnsi"/>
          <w:sz w:val="24"/>
          <w:szCs w:val="24"/>
        </w:rPr>
        <w:t xml:space="preserve">eed </w:t>
      </w:r>
    </w:p>
    <w:p w14:paraId="6D592278" w14:textId="69A492D6" w:rsidR="005C4BF3" w:rsidRPr="00BE42FB" w:rsidRDefault="00BE42FB" w:rsidP="005F21D5">
      <w:pPr>
        <w:pStyle w:val="ListParagraph"/>
        <w:numPr>
          <w:ilvl w:val="0"/>
          <w:numId w:val="9"/>
        </w:numPr>
        <w:spacing w:after="120" w:line="480" w:lineRule="auto"/>
        <w:rPr>
          <w:rFonts w:cstheme="minorHAnsi"/>
          <w:sz w:val="24"/>
          <w:szCs w:val="24"/>
        </w:rPr>
      </w:pPr>
      <w:r w:rsidRPr="00BE42FB">
        <w:rPr>
          <w:rFonts w:cstheme="minorHAnsi"/>
          <w:sz w:val="24"/>
          <w:szCs w:val="24"/>
        </w:rPr>
        <w:t>Knowledge of Adviser Services and Value of Advice</w:t>
      </w:r>
    </w:p>
    <w:p w14:paraId="59E850AB" w14:textId="5A42C31E" w:rsidR="00BC36F2" w:rsidRPr="00EC69B7" w:rsidRDefault="005C4BF3" w:rsidP="005F21D5">
      <w:pPr>
        <w:pStyle w:val="ListParagraph"/>
        <w:numPr>
          <w:ilvl w:val="0"/>
          <w:numId w:val="9"/>
        </w:numPr>
        <w:spacing w:after="120" w:line="480" w:lineRule="auto"/>
        <w:rPr>
          <w:rFonts w:cstheme="minorHAnsi"/>
          <w:sz w:val="24"/>
          <w:szCs w:val="24"/>
        </w:rPr>
      </w:pPr>
      <w:r w:rsidRPr="00EC69B7">
        <w:rPr>
          <w:rFonts w:cstheme="minorHAnsi"/>
          <w:sz w:val="24"/>
          <w:szCs w:val="24"/>
        </w:rPr>
        <w:t>F</w:t>
      </w:r>
      <w:r w:rsidR="00BE42FB">
        <w:rPr>
          <w:rFonts w:cstheme="minorHAnsi"/>
          <w:sz w:val="24"/>
          <w:szCs w:val="24"/>
        </w:rPr>
        <w:t>inding an</w:t>
      </w:r>
      <w:r w:rsidR="00E12FFE" w:rsidRPr="00EC69B7">
        <w:rPr>
          <w:rFonts w:cstheme="minorHAnsi"/>
          <w:sz w:val="24"/>
          <w:szCs w:val="24"/>
        </w:rPr>
        <w:t xml:space="preserve"> </w:t>
      </w:r>
      <w:r w:rsidR="001E6334">
        <w:rPr>
          <w:rFonts w:cstheme="minorHAnsi"/>
          <w:sz w:val="24"/>
          <w:szCs w:val="24"/>
        </w:rPr>
        <w:t>A</w:t>
      </w:r>
      <w:r w:rsidR="00E12FFE" w:rsidRPr="00EC69B7">
        <w:rPr>
          <w:rFonts w:cstheme="minorHAnsi"/>
          <w:sz w:val="24"/>
          <w:szCs w:val="24"/>
        </w:rPr>
        <w:t xml:space="preserve">dviser. </w:t>
      </w:r>
    </w:p>
    <w:p w14:paraId="406B9AD2" w14:textId="1AE68244" w:rsidR="00BC36F2" w:rsidRPr="00EC69B7" w:rsidRDefault="00BC36F2" w:rsidP="005F21D5">
      <w:pPr>
        <w:spacing w:after="120" w:line="480" w:lineRule="auto"/>
        <w:rPr>
          <w:rFonts w:cstheme="minorHAnsi"/>
          <w:sz w:val="24"/>
          <w:szCs w:val="24"/>
          <w:u w:val="single"/>
        </w:rPr>
      </w:pPr>
      <w:r w:rsidRPr="00EC69B7">
        <w:rPr>
          <w:rFonts w:cstheme="minorHAnsi"/>
          <w:sz w:val="24"/>
          <w:szCs w:val="24"/>
          <w:u w:val="single"/>
        </w:rPr>
        <w:t>Knowledge of Need</w:t>
      </w:r>
      <w:r w:rsidR="0066217E" w:rsidRPr="00EC69B7">
        <w:rPr>
          <w:rFonts w:cstheme="minorHAnsi"/>
          <w:sz w:val="24"/>
          <w:szCs w:val="24"/>
          <w:u w:val="single"/>
        </w:rPr>
        <w:t>.</w:t>
      </w:r>
    </w:p>
    <w:p w14:paraId="71C93C94" w14:textId="46C33A5B" w:rsidR="00AF6991" w:rsidRPr="00AF6991" w:rsidRDefault="00AF6991" w:rsidP="00AF6991">
      <w:pPr>
        <w:spacing w:after="120" w:line="480" w:lineRule="auto"/>
        <w:rPr>
          <w:rFonts w:cstheme="minorHAnsi"/>
          <w:sz w:val="24"/>
          <w:szCs w:val="24"/>
        </w:rPr>
      </w:pPr>
      <w:r w:rsidRPr="00AF6991">
        <w:rPr>
          <w:rFonts w:cstheme="minorHAnsi"/>
          <w:sz w:val="24"/>
          <w:szCs w:val="24"/>
        </w:rPr>
        <w:t xml:space="preserve">It may appear that this sub-theme is a pre-requisite for advice as without </w:t>
      </w:r>
      <w:r w:rsidR="00095220">
        <w:rPr>
          <w:rFonts w:cstheme="minorHAnsi"/>
          <w:sz w:val="24"/>
          <w:szCs w:val="24"/>
        </w:rPr>
        <w:t>knowledge</w:t>
      </w:r>
      <w:r w:rsidRPr="00AF6991">
        <w:rPr>
          <w:rFonts w:cstheme="minorHAnsi"/>
          <w:sz w:val="24"/>
          <w:szCs w:val="24"/>
        </w:rPr>
        <w:t xml:space="preserve"> consumers are unlikely to seek advice to resolve an unknown need. However, this is not always the case. Potentially, recognition of this need may be triggered by some form of external influence such as a health-check. In fact, this has been key to a major strand of the strategy MAS</w:t>
      </w:r>
      <w:r w:rsidR="00F312C6">
        <w:rPr>
          <w:rFonts w:cstheme="minorHAnsi"/>
          <w:sz w:val="24"/>
          <w:szCs w:val="24"/>
        </w:rPr>
        <w:t xml:space="preserve"> (2012)</w:t>
      </w:r>
      <w:r w:rsidRPr="00AF6991">
        <w:rPr>
          <w:rFonts w:cstheme="minorHAnsi"/>
          <w:sz w:val="24"/>
          <w:szCs w:val="24"/>
        </w:rPr>
        <w:t xml:space="preserve"> has adopted.</w:t>
      </w:r>
    </w:p>
    <w:p w14:paraId="5025DB19" w14:textId="60C47E79" w:rsidR="00AF6991" w:rsidRDefault="00AF6991" w:rsidP="00AF6991">
      <w:pPr>
        <w:spacing w:after="120" w:line="480" w:lineRule="auto"/>
        <w:rPr>
          <w:rFonts w:cstheme="minorHAnsi"/>
          <w:bCs/>
          <w:iCs/>
          <w:sz w:val="24"/>
          <w:szCs w:val="24"/>
        </w:rPr>
      </w:pPr>
      <w:r w:rsidRPr="00AF6991">
        <w:rPr>
          <w:rFonts w:cstheme="minorHAnsi"/>
          <w:sz w:val="24"/>
          <w:szCs w:val="24"/>
        </w:rPr>
        <w:lastRenderedPageBreak/>
        <w:t xml:space="preserve">Generally, interviewees’ experiences of knowledge of need differed depending on the area of their financial planning under discussion. Where the need was reactive, for example, they wanted to buy a house using a mortgage, then they knew it was necessary to approach a lender. Industry structure and regulatory regime generally make advice an integral part of this process. Most interviewees perceived financial advice as a route to a financial product. Although, there were interviewees who specifically took advice to try and understand the financial risks to which they were exposed (underlying or psychological need). However, this was the exception rather than the rule. </w:t>
      </w:r>
      <w:r w:rsidR="00C73F6D">
        <w:rPr>
          <w:rFonts w:cstheme="minorHAnsi"/>
          <w:sz w:val="24"/>
          <w:szCs w:val="24"/>
        </w:rPr>
        <w:t xml:space="preserve">Many of the interviewees had never really thought how they would cope in different scenarios that could significantly damage their present financial position. </w:t>
      </w:r>
      <w:r w:rsidR="00834849">
        <w:rPr>
          <w:rFonts w:cstheme="minorHAnsi"/>
          <w:sz w:val="24"/>
          <w:szCs w:val="24"/>
        </w:rPr>
        <w:t>Table 3 shows</w:t>
      </w:r>
      <w:r w:rsidRPr="00AF6991">
        <w:rPr>
          <w:rFonts w:cstheme="minorHAnsi"/>
          <w:bCs/>
          <w:iCs/>
          <w:sz w:val="24"/>
          <w:szCs w:val="24"/>
        </w:rPr>
        <w:t xml:space="preserve"> some of the reasons given for not seeking advice</w:t>
      </w:r>
      <w:r w:rsidR="00C73F6D">
        <w:rPr>
          <w:rFonts w:cstheme="minorHAnsi"/>
          <w:bCs/>
          <w:iCs/>
          <w:sz w:val="24"/>
          <w:szCs w:val="24"/>
        </w:rPr>
        <w:t xml:space="preserve"> across different areas of financial planning</w:t>
      </w:r>
      <w:r w:rsidRPr="00AF6991">
        <w:rPr>
          <w:rFonts w:cstheme="minorHAnsi"/>
          <w:bCs/>
          <w:iCs/>
          <w:sz w:val="24"/>
          <w:szCs w:val="24"/>
        </w:rPr>
        <w:t>.</w:t>
      </w:r>
    </w:p>
    <w:p w14:paraId="531941D0" w14:textId="77777777" w:rsidR="00162930" w:rsidRPr="00AF6991" w:rsidRDefault="00162930" w:rsidP="00162930">
      <w:pPr>
        <w:spacing w:after="120" w:line="360" w:lineRule="auto"/>
        <w:rPr>
          <w:rFonts w:cstheme="minorHAnsi"/>
          <w:b/>
          <w:sz w:val="24"/>
          <w:szCs w:val="24"/>
        </w:rPr>
      </w:pPr>
      <w:r w:rsidRPr="00AF6991">
        <w:rPr>
          <w:rFonts w:cstheme="minorHAnsi"/>
          <w:b/>
          <w:sz w:val="24"/>
          <w:szCs w:val="24"/>
        </w:rPr>
        <w:t>Table 3 – Reasons for not seeking advice.</w:t>
      </w:r>
    </w:p>
    <w:tbl>
      <w:tblPr>
        <w:tblStyle w:val="TableGrid"/>
        <w:tblW w:w="0" w:type="auto"/>
        <w:tblLook w:val="04A0" w:firstRow="1" w:lastRow="0" w:firstColumn="1" w:lastColumn="0" w:noHBand="0" w:noVBand="1"/>
      </w:tblPr>
      <w:tblGrid>
        <w:gridCol w:w="4508"/>
        <w:gridCol w:w="4508"/>
      </w:tblGrid>
      <w:tr w:rsidR="00AF6991" w:rsidRPr="00AF6991" w14:paraId="591233CB" w14:textId="77777777" w:rsidTr="00AF6991">
        <w:tc>
          <w:tcPr>
            <w:tcW w:w="4508" w:type="dxa"/>
          </w:tcPr>
          <w:p w14:paraId="5753261F" w14:textId="77777777" w:rsidR="00AF6991" w:rsidRPr="00AF6991" w:rsidRDefault="00AF6991" w:rsidP="00AF6991">
            <w:pPr>
              <w:rPr>
                <w:rFonts w:cstheme="minorHAnsi"/>
                <w:b/>
                <w:sz w:val="20"/>
                <w:szCs w:val="20"/>
              </w:rPr>
            </w:pPr>
            <w:r w:rsidRPr="00AF6991">
              <w:rPr>
                <w:rFonts w:cstheme="minorHAnsi"/>
                <w:b/>
                <w:sz w:val="20"/>
                <w:szCs w:val="20"/>
              </w:rPr>
              <w:t>Potential Risks Interviewees were exposed to.</w:t>
            </w:r>
          </w:p>
        </w:tc>
        <w:tc>
          <w:tcPr>
            <w:tcW w:w="4508" w:type="dxa"/>
          </w:tcPr>
          <w:p w14:paraId="2BEA5D83" w14:textId="77777777" w:rsidR="00AF6991" w:rsidRPr="00AF6991" w:rsidRDefault="00AF6991" w:rsidP="00AF6991">
            <w:pPr>
              <w:rPr>
                <w:rFonts w:cstheme="minorHAnsi"/>
                <w:b/>
                <w:sz w:val="20"/>
                <w:szCs w:val="20"/>
              </w:rPr>
            </w:pPr>
            <w:r w:rsidRPr="00AF6991">
              <w:rPr>
                <w:rFonts w:cstheme="minorHAnsi"/>
                <w:b/>
                <w:sz w:val="20"/>
                <w:szCs w:val="20"/>
              </w:rPr>
              <w:t>Typical justifications for not considering or addressing potential needs/risks</w:t>
            </w:r>
          </w:p>
        </w:tc>
      </w:tr>
      <w:tr w:rsidR="00AF6991" w:rsidRPr="00AF6991" w14:paraId="2F5C74B3" w14:textId="77777777" w:rsidTr="00AF6991">
        <w:tc>
          <w:tcPr>
            <w:tcW w:w="4508" w:type="dxa"/>
          </w:tcPr>
          <w:p w14:paraId="2A59DE58" w14:textId="77777777" w:rsidR="00AF6991" w:rsidRPr="00AF6991" w:rsidRDefault="00AF6991" w:rsidP="00AF6991">
            <w:pPr>
              <w:rPr>
                <w:rFonts w:cstheme="minorHAnsi"/>
                <w:sz w:val="20"/>
                <w:szCs w:val="20"/>
              </w:rPr>
            </w:pPr>
            <w:r w:rsidRPr="00AF6991">
              <w:rPr>
                <w:rFonts w:cstheme="minorHAnsi"/>
                <w:sz w:val="20"/>
                <w:szCs w:val="20"/>
              </w:rPr>
              <w:t>How their family would cope in the event of their premature death.</w:t>
            </w:r>
          </w:p>
        </w:tc>
        <w:tc>
          <w:tcPr>
            <w:tcW w:w="4508" w:type="dxa"/>
          </w:tcPr>
          <w:p w14:paraId="54B3A983" w14:textId="77777777" w:rsidR="00AF6991" w:rsidRPr="00AF6991" w:rsidRDefault="00AF6991" w:rsidP="00AF6991">
            <w:pPr>
              <w:rPr>
                <w:rFonts w:cstheme="minorHAnsi"/>
                <w:sz w:val="20"/>
                <w:szCs w:val="20"/>
              </w:rPr>
            </w:pPr>
            <w:r w:rsidRPr="00AF6991">
              <w:rPr>
                <w:rFonts w:cstheme="minorHAnsi"/>
                <w:sz w:val="20"/>
                <w:szCs w:val="20"/>
              </w:rPr>
              <w:t>Never really thought about it</w:t>
            </w:r>
          </w:p>
          <w:p w14:paraId="0B7AF4BD" w14:textId="77777777" w:rsidR="00AF6991" w:rsidRPr="00AF6991" w:rsidRDefault="00AF6991" w:rsidP="00AF6991">
            <w:pPr>
              <w:rPr>
                <w:rFonts w:cstheme="minorHAnsi"/>
                <w:sz w:val="20"/>
                <w:szCs w:val="20"/>
              </w:rPr>
            </w:pPr>
            <w:r w:rsidRPr="00AF6991">
              <w:rPr>
                <w:rFonts w:cstheme="minorHAnsi"/>
                <w:sz w:val="20"/>
                <w:szCs w:val="20"/>
              </w:rPr>
              <w:t>Lifestyle would have to change</w:t>
            </w:r>
          </w:p>
          <w:p w14:paraId="070BAA97" w14:textId="77777777" w:rsidR="00AF6991" w:rsidRPr="00AF6991" w:rsidRDefault="00AF6991" w:rsidP="00AF6991">
            <w:pPr>
              <w:rPr>
                <w:rFonts w:cstheme="minorHAnsi"/>
                <w:sz w:val="20"/>
                <w:szCs w:val="20"/>
              </w:rPr>
            </w:pPr>
            <w:r w:rsidRPr="00AF6991">
              <w:rPr>
                <w:rFonts w:cstheme="minorHAnsi"/>
                <w:sz w:val="20"/>
                <w:szCs w:val="20"/>
              </w:rPr>
              <w:t>The state would help</w:t>
            </w:r>
          </w:p>
          <w:p w14:paraId="659C119C" w14:textId="77777777" w:rsidR="00AF6991" w:rsidRPr="00AF6991" w:rsidRDefault="00AF6991" w:rsidP="00AF6991">
            <w:pPr>
              <w:rPr>
                <w:rFonts w:cstheme="minorHAnsi"/>
                <w:sz w:val="20"/>
                <w:szCs w:val="20"/>
              </w:rPr>
            </w:pPr>
            <w:r w:rsidRPr="00AF6991">
              <w:rPr>
                <w:rFonts w:cstheme="minorHAnsi"/>
                <w:sz w:val="20"/>
                <w:szCs w:val="20"/>
              </w:rPr>
              <w:t>Family and friends would help</w:t>
            </w:r>
          </w:p>
        </w:tc>
      </w:tr>
      <w:tr w:rsidR="00AF6991" w:rsidRPr="00AF6991" w14:paraId="7643FCD0" w14:textId="77777777" w:rsidTr="00AF6991">
        <w:tc>
          <w:tcPr>
            <w:tcW w:w="4508" w:type="dxa"/>
          </w:tcPr>
          <w:p w14:paraId="08F5C781" w14:textId="77777777" w:rsidR="00AF6991" w:rsidRPr="00AF6991" w:rsidRDefault="00AF6991" w:rsidP="00AF6991">
            <w:pPr>
              <w:rPr>
                <w:rFonts w:cstheme="minorHAnsi"/>
                <w:sz w:val="20"/>
                <w:szCs w:val="20"/>
              </w:rPr>
            </w:pPr>
            <w:r w:rsidRPr="00AF6991">
              <w:rPr>
                <w:rFonts w:cstheme="minorHAnsi"/>
                <w:sz w:val="20"/>
                <w:szCs w:val="20"/>
              </w:rPr>
              <w:t>How they or their family would cope in the event of long term illness/disability.</w:t>
            </w:r>
          </w:p>
        </w:tc>
        <w:tc>
          <w:tcPr>
            <w:tcW w:w="4508" w:type="dxa"/>
          </w:tcPr>
          <w:p w14:paraId="57F3567C" w14:textId="77777777" w:rsidR="00AF6991" w:rsidRPr="00AF6991" w:rsidRDefault="00AF6991" w:rsidP="00AF6991">
            <w:pPr>
              <w:rPr>
                <w:rFonts w:cstheme="minorHAnsi"/>
                <w:sz w:val="20"/>
                <w:szCs w:val="20"/>
              </w:rPr>
            </w:pPr>
            <w:r w:rsidRPr="00AF6991">
              <w:rPr>
                <w:rFonts w:cstheme="minorHAnsi"/>
                <w:sz w:val="20"/>
                <w:szCs w:val="20"/>
              </w:rPr>
              <w:t>Never thought about it</w:t>
            </w:r>
          </w:p>
          <w:p w14:paraId="2D49BCD9" w14:textId="77777777" w:rsidR="00AF6991" w:rsidRPr="00AF6991" w:rsidRDefault="00AF6991" w:rsidP="00AF6991">
            <w:pPr>
              <w:rPr>
                <w:rFonts w:cstheme="minorHAnsi"/>
                <w:sz w:val="20"/>
                <w:szCs w:val="20"/>
              </w:rPr>
            </w:pPr>
            <w:r w:rsidRPr="00AF6991">
              <w:rPr>
                <w:rFonts w:cstheme="minorHAnsi"/>
                <w:sz w:val="20"/>
                <w:szCs w:val="20"/>
              </w:rPr>
              <w:t>I am not a sickly person</w:t>
            </w:r>
          </w:p>
          <w:p w14:paraId="00DE9698" w14:textId="77777777" w:rsidR="00AF6991" w:rsidRPr="00AF6991" w:rsidRDefault="00AF6991" w:rsidP="00AF6991">
            <w:pPr>
              <w:rPr>
                <w:rFonts w:cstheme="minorHAnsi"/>
                <w:sz w:val="20"/>
                <w:szCs w:val="20"/>
              </w:rPr>
            </w:pPr>
            <w:r w:rsidRPr="00AF6991">
              <w:rPr>
                <w:rFonts w:cstheme="minorHAnsi"/>
                <w:sz w:val="20"/>
                <w:szCs w:val="20"/>
              </w:rPr>
              <w:t>Too young to be long term sick</w:t>
            </w:r>
          </w:p>
        </w:tc>
      </w:tr>
      <w:tr w:rsidR="00AF6991" w:rsidRPr="00AF6991" w14:paraId="73D8A051" w14:textId="77777777" w:rsidTr="00AF6991">
        <w:tc>
          <w:tcPr>
            <w:tcW w:w="4508" w:type="dxa"/>
          </w:tcPr>
          <w:p w14:paraId="2946AF3A" w14:textId="77777777" w:rsidR="00AF6991" w:rsidRPr="00AF6991" w:rsidRDefault="00AF6991" w:rsidP="00AF6991">
            <w:pPr>
              <w:rPr>
                <w:rFonts w:cstheme="minorHAnsi"/>
                <w:sz w:val="20"/>
                <w:szCs w:val="20"/>
              </w:rPr>
            </w:pPr>
            <w:r w:rsidRPr="00AF6991">
              <w:rPr>
                <w:rFonts w:cstheme="minorHAnsi"/>
                <w:sz w:val="20"/>
                <w:szCs w:val="20"/>
              </w:rPr>
              <w:t>How they would cope in retirement.</w:t>
            </w:r>
          </w:p>
        </w:tc>
        <w:tc>
          <w:tcPr>
            <w:tcW w:w="4508" w:type="dxa"/>
          </w:tcPr>
          <w:p w14:paraId="17BD063C" w14:textId="77777777" w:rsidR="00AF6991" w:rsidRPr="00AF6991" w:rsidRDefault="00AF6991" w:rsidP="00AF6991">
            <w:pPr>
              <w:rPr>
                <w:rFonts w:cstheme="minorHAnsi"/>
                <w:sz w:val="20"/>
                <w:szCs w:val="20"/>
              </w:rPr>
            </w:pPr>
            <w:r w:rsidRPr="00AF6991">
              <w:rPr>
                <w:rFonts w:cstheme="minorHAnsi"/>
                <w:sz w:val="20"/>
                <w:szCs w:val="20"/>
              </w:rPr>
              <w:t>I’ve already got a pension - (although did not always know whether it would meet their needs)</w:t>
            </w:r>
          </w:p>
          <w:p w14:paraId="49A4EE2F" w14:textId="77777777" w:rsidR="00AF6991" w:rsidRPr="00AF6991" w:rsidRDefault="00AF6991" w:rsidP="00AF6991">
            <w:pPr>
              <w:rPr>
                <w:rFonts w:cstheme="minorHAnsi"/>
                <w:sz w:val="20"/>
                <w:szCs w:val="20"/>
              </w:rPr>
            </w:pPr>
            <w:r w:rsidRPr="00AF6991">
              <w:rPr>
                <w:rFonts w:cstheme="minorHAnsi"/>
                <w:sz w:val="20"/>
                <w:szCs w:val="20"/>
              </w:rPr>
              <w:t>I will probably get an inheritance</w:t>
            </w:r>
          </w:p>
          <w:p w14:paraId="5752585D" w14:textId="77777777" w:rsidR="00AF6991" w:rsidRPr="00AF6991" w:rsidRDefault="00AF6991" w:rsidP="00AF6991">
            <w:pPr>
              <w:rPr>
                <w:rFonts w:cstheme="minorHAnsi"/>
                <w:sz w:val="20"/>
                <w:szCs w:val="20"/>
              </w:rPr>
            </w:pPr>
            <w:r w:rsidRPr="00AF6991">
              <w:rPr>
                <w:rFonts w:cstheme="minorHAnsi"/>
                <w:sz w:val="20"/>
                <w:szCs w:val="20"/>
              </w:rPr>
              <w:t>I probably won’t live that long</w:t>
            </w:r>
          </w:p>
          <w:p w14:paraId="0D14D915" w14:textId="77777777" w:rsidR="00AF6991" w:rsidRPr="00AF6991" w:rsidRDefault="00AF6991" w:rsidP="00AF6991">
            <w:pPr>
              <w:rPr>
                <w:rFonts w:cstheme="minorHAnsi"/>
                <w:sz w:val="20"/>
                <w:szCs w:val="20"/>
              </w:rPr>
            </w:pPr>
          </w:p>
        </w:tc>
      </w:tr>
    </w:tbl>
    <w:p w14:paraId="6D34D74C" w14:textId="77777777" w:rsidR="00C73F6D" w:rsidRDefault="00C73F6D" w:rsidP="00AF6991">
      <w:pPr>
        <w:spacing w:after="120" w:line="480" w:lineRule="auto"/>
        <w:rPr>
          <w:rFonts w:cstheme="minorHAnsi"/>
          <w:sz w:val="24"/>
          <w:szCs w:val="24"/>
        </w:rPr>
      </w:pPr>
    </w:p>
    <w:p w14:paraId="6E081357" w14:textId="7E4C44A6" w:rsidR="00AF6991" w:rsidRPr="00AF6991" w:rsidRDefault="00D55F70" w:rsidP="00AF6991">
      <w:pPr>
        <w:spacing w:after="120" w:line="480" w:lineRule="auto"/>
        <w:rPr>
          <w:rFonts w:cstheme="minorHAnsi"/>
          <w:sz w:val="24"/>
          <w:szCs w:val="24"/>
        </w:rPr>
      </w:pPr>
      <w:r>
        <w:rPr>
          <w:rFonts w:cstheme="minorHAnsi"/>
          <w:sz w:val="24"/>
          <w:szCs w:val="24"/>
        </w:rPr>
        <w:t>Interviewees that had taken advice explained their route to an adviser. Kazim had</w:t>
      </w:r>
      <w:r w:rsidR="00AF6991" w:rsidRPr="00AF6991">
        <w:rPr>
          <w:rFonts w:cstheme="minorHAnsi"/>
          <w:sz w:val="24"/>
          <w:szCs w:val="24"/>
        </w:rPr>
        <w:t xml:space="preserve"> never really thought about it as advice when the estate a</w:t>
      </w:r>
      <w:r>
        <w:rPr>
          <w:rFonts w:cstheme="minorHAnsi"/>
          <w:sz w:val="24"/>
          <w:szCs w:val="24"/>
        </w:rPr>
        <w:t>gent arranged his mortgage, he thought</w:t>
      </w:r>
      <w:r w:rsidR="00AF6991" w:rsidRPr="00AF6991">
        <w:rPr>
          <w:rFonts w:cstheme="minorHAnsi"/>
          <w:sz w:val="24"/>
          <w:szCs w:val="24"/>
        </w:rPr>
        <w:t xml:space="preserve"> it was just a way of getting the mortgage. He went on to say:</w:t>
      </w:r>
    </w:p>
    <w:p w14:paraId="46DAD48F" w14:textId="251449D0" w:rsidR="00AF6991" w:rsidRPr="00AF6991" w:rsidRDefault="00AF6991" w:rsidP="00AF6991">
      <w:pPr>
        <w:spacing w:after="120" w:line="480" w:lineRule="auto"/>
        <w:ind w:left="720"/>
        <w:rPr>
          <w:rFonts w:cstheme="minorHAnsi"/>
          <w:bCs/>
          <w:iCs/>
          <w:sz w:val="24"/>
          <w:szCs w:val="24"/>
        </w:rPr>
      </w:pPr>
      <w:r w:rsidRPr="00AF6991">
        <w:rPr>
          <w:rFonts w:cstheme="minorHAnsi"/>
          <w:sz w:val="24"/>
          <w:szCs w:val="24"/>
        </w:rPr>
        <w:lastRenderedPageBreak/>
        <w:t>“…</w:t>
      </w:r>
      <w:r w:rsidRPr="00AF6991">
        <w:rPr>
          <w:rFonts w:cstheme="minorHAnsi"/>
          <w:b/>
          <w:bCs/>
          <w:i/>
          <w:iCs/>
          <w:sz w:val="24"/>
          <w:szCs w:val="24"/>
        </w:rPr>
        <w:t xml:space="preserve"> </w:t>
      </w:r>
      <w:r w:rsidRPr="00AF6991">
        <w:rPr>
          <w:rFonts w:cstheme="minorHAnsi"/>
          <w:bCs/>
          <w:i/>
          <w:iCs/>
          <w:sz w:val="24"/>
          <w:szCs w:val="24"/>
        </w:rPr>
        <w:t>I knew there was so many mortgage products out there</w:t>
      </w:r>
      <w:r w:rsidR="009F4A87">
        <w:rPr>
          <w:rFonts w:cstheme="minorHAnsi"/>
          <w:bCs/>
          <w:i/>
          <w:iCs/>
          <w:sz w:val="24"/>
          <w:szCs w:val="24"/>
        </w:rPr>
        <w:t>,</w:t>
      </w:r>
      <w:r w:rsidRPr="00AF6991">
        <w:rPr>
          <w:rFonts w:cstheme="minorHAnsi"/>
          <w:bCs/>
          <w:i/>
          <w:iCs/>
          <w:sz w:val="24"/>
          <w:szCs w:val="24"/>
        </w:rPr>
        <w:t xml:space="preserve"> but it was too confusing I’ll just arrange my mortgage, so I don’t miss out on the house. It was more I don’t want to lose the house so just do whatever it takes.”</w:t>
      </w:r>
    </w:p>
    <w:p w14:paraId="541957C7" w14:textId="77777777" w:rsidR="00AF6991" w:rsidRPr="00AF6991" w:rsidRDefault="00AF6991" w:rsidP="00AF6991">
      <w:pPr>
        <w:spacing w:after="120" w:line="480" w:lineRule="auto"/>
        <w:rPr>
          <w:rFonts w:cstheme="minorHAnsi"/>
          <w:sz w:val="24"/>
          <w:szCs w:val="24"/>
        </w:rPr>
      </w:pPr>
      <w:r w:rsidRPr="00AF6991">
        <w:rPr>
          <w:rFonts w:cstheme="minorHAnsi"/>
          <w:sz w:val="24"/>
          <w:szCs w:val="24"/>
        </w:rPr>
        <w:t xml:space="preserve">Other interviews provided different explanations, some seeing advice as the only way of arranging a mortgage, whilst others saw it as a sales channel. </w:t>
      </w:r>
      <w:r w:rsidRPr="00AF6991">
        <w:rPr>
          <w:rFonts w:cstheme="minorHAnsi"/>
          <w:bCs/>
          <w:sz w:val="24"/>
          <w:szCs w:val="24"/>
          <w:lang w:val="en-US"/>
        </w:rPr>
        <w:t xml:space="preserve">Peter </w:t>
      </w:r>
      <w:r w:rsidRPr="00AF6991">
        <w:rPr>
          <w:rFonts w:cstheme="minorHAnsi"/>
          <w:sz w:val="24"/>
          <w:szCs w:val="24"/>
        </w:rPr>
        <w:t>said:</w:t>
      </w:r>
    </w:p>
    <w:p w14:paraId="6B49415C" w14:textId="77777777" w:rsidR="00AF6991" w:rsidRPr="00AF6991" w:rsidRDefault="00AF6991" w:rsidP="00AF6991">
      <w:pPr>
        <w:spacing w:after="120" w:line="480" w:lineRule="auto"/>
        <w:ind w:left="720"/>
        <w:rPr>
          <w:rFonts w:cstheme="minorHAnsi"/>
          <w:bCs/>
          <w:i/>
          <w:sz w:val="24"/>
          <w:szCs w:val="24"/>
          <w:lang w:val="en-US"/>
        </w:rPr>
      </w:pPr>
      <w:r w:rsidRPr="00AF6991">
        <w:rPr>
          <w:rFonts w:cstheme="minorHAnsi"/>
          <w:sz w:val="24"/>
          <w:szCs w:val="24"/>
        </w:rPr>
        <w:t xml:space="preserve"> “…</w:t>
      </w:r>
      <w:r w:rsidRPr="00AF6991">
        <w:rPr>
          <w:rFonts w:cstheme="minorHAnsi"/>
          <w:bCs/>
          <w:i/>
          <w:sz w:val="24"/>
          <w:szCs w:val="24"/>
          <w:lang w:val="en-US"/>
        </w:rPr>
        <w:t>Yeah, because it was all new to me.  It was the first house I’d bought so I didn’t have a clue. It was just that the woman at the bank who helped me out was really, really helpful.”</w:t>
      </w:r>
    </w:p>
    <w:p w14:paraId="745D5EFB" w14:textId="21876F96" w:rsidR="00AF6991" w:rsidRPr="00AF6991" w:rsidRDefault="00AF6991" w:rsidP="00AF6991">
      <w:pPr>
        <w:spacing w:after="120" w:line="480" w:lineRule="auto"/>
        <w:rPr>
          <w:rFonts w:cstheme="minorHAnsi"/>
          <w:bCs/>
          <w:i/>
          <w:iCs/>
          <w:sz w:val="24"/>
          <w:szCs w:val="24"/>
        </w:rPr>
      </w:pPr>
      <w:r w:rsidRPr="00AF6991">
        <w:rPr>
          <w:rFonts w:cstheme="minorHAnsi"/>
          <w:bCs/>
          <w:iCs/>
          <w:sz w:val="24"/>
          <w:szCs w:val="24"/>
          <w:lang w:val="en-US"/>
        </w:rPr>
        <w:t>Clearly without the help of an adviser, both Peter and others felt they would not have managed to arrange a mortgage. In contrast to this, ot</w:t>
      </w:r>
      <w:r w:rsidR="00921AF4">
        <w:rPr>
          <w:rFonts w:cstheme="minorHAnsi"/>
          <w:bCs/>
          <w:iCs/>
          <w:sz w:val="24"/>
          <w:szCs w:val="24"/>
          <w:lang w:val="en-US"/>
        </w:rPr>
        <w:t>her interviewees simply used advice as</w:t>
      </w:r>
      <w:r w:rsidR="00921AF4" w:rsidRPr="00AF6991">
        <w:rPr>
          <w:rFonts w:cstheme="minorHAnsi"/>
          <w:bCs/>
          <w:iCs/>
          <w:sz w:val="24"/>
          <w:szCs w:val="24"/>
          <w:lang w:val="en-US"/>
        </w:rPr>
        <w:t xml:space="preserve"> a </w:t>
      </w:r>
      <w:r w:rsidR="00921AF4">
        <w:rPr>
          <w:rFonts w:cstheme="minorHAnsi"/>
          <w:bCs/>
          <w:iCs/>
          <w:sz w:val="24"/>
          <w:szCs w:val="24"/>
          <w:lang w:val="en-US"/>
        </w:rPr>
        <w:t>c</w:t>
      </w:r>
      <w:r w:rsidR="00921AF4" w:rsidRPr="00AF6991">
        <w:rPr>
          <w:rFonts w:cstheme="minorHAnsi"/>
          <w:bCs/>
          <w:iCs/>
          <w:sz w:val="24"/>
          <w:szCs w:val="24"/>
          <w:lang w:val="en-US"/>
        </w:rPr>
        <w:t>hannel to arrange the mortgage</w:t>
      </w:r>
      <w:r w:rsidR="00921AF4">
        <w:rPr>
          <w:rFonts w:cstheme="minorHAnsi"/>
          <w:bCs/>
          <w:iCs/>
          <w:sz w:val="24"/>
          <w:szCs w:val="24"/>
          <w:lang w:val="en-US"/>
        </w:rPr>
        <w:t xml:space="preserve"> so it would also be</w:t>
      </w:r>
      <w:r w:rsidR="00921AF4" w:rsidRPr="00AF6991">
        <w:rPr>
          <w:rFonts w:cstheme="minorHAnsi"/>
          <w:bCs/>
          <w:iCs/>
          <w:sz w:val="24"/>
          <w:szCs w:val="24"/>
          <w:lang w:val="en-US"/>
        </w:rPr>
        <w:t xml:space="preserve"> </w:t>
      </w:r>
      <w:r w:rsidRPr="00AF6991">
        <w:rPr>
          <w:rFonts w:cstheme="minorHAnsi"/>
          <w:bCs/>
          <w:iCs/>
          <w:sz w:val="24"/>
          <w:szCs w:val="24"/>
          <w:lang w:val="en-US"/>
        </w:rPr>
        <w:t>a means of confirming that the</w:t>
      </w:r>
      <w:r w:rsidR="001D6D37">
        <w:rPr>
          <w:rFonts w:cstheme="minorHAnsi"/>
          <w:bCs/>
          <w:iCs/>
          <w:sz w:val="24"/>
          <w:szCs w:val="24"/>
          <w:lang w:val="en-US"/>
        </w:rPr>
        <w:t>i</w:t>
      </w:r>
      <w:r w:rsidRPr="00AF6991">
        <w:rPr>
          <w:rFonts w:cstheme="minorHAnsi"/>
          <w:bCs/>
          <w:iCs/>
          <w:sz w:val="24"/>
          <w:szCs w:val="24"/>
          <w:lang w:val="en-US"/>
        </w:rPr>
        <w:t xml:space="preserve">r </w:t>
      </w:r>
      <w:r w:rsidR="00921AF4">
        <w:rPr>
          <w:rFonts w:cstheme="minorHAnsi"/>
          <w:bCs/>
          <w:iCs/>
          <w:sz w:val="24"/>
          <w:szCs w:val="24"/>
          <w:lang w:val="en-US"/>
        </w:rPr>
        <w:t>proposed action was suitable</w:t>
      </w:r>
      <w:r w:rsidR="00F331EF">
        <w:rPr>
          <w:rFonts w:cstheme="minorHAnsi"/>
          <w:bCs/>
          <w:iCs/>
          <w:sz w:val="24"/>
          <w:szCs w:val="24"/>
          <w:lang w:val="en-US"/>
        </w:rPr>
        <w:t xml:space="preserve">. Craig (2017, p.17) highlights </w:t>
      </w:r>
      <w:r w:rsidR="00F331EF" w:rsidRPr="00F331EF">
        <w:rPr>
          <w:rFonts w:cstheme="minorHAnsi"/>
          <w:bCs/>
          <w:i/>
          <w:sz w:val="24"/>
          <w:szCs w:val="24"/>
          <w:lang w:val="en-US"/>
        </w:rPr>
        <w:t>‘peace of mind’</w:t>
      </w:r>
      <w:r w:rsidR="00F331EF">
        <w:rPr>
          <w:rFonts w:cstheme="minorHAnsi"/>
          <w:bCs/>
          <w:i/>
          <w:sz w:val="24"/>
          <w:szCs w:val="24"/>
          <w:lang w:val="en-US"/>
        </w:rPr>
        <w:t xml:space="preserve"> </w:t>
      </w:r>
      <w:r w:rsidR="00F331EF">
        <w:rPr>
          <w:rFonts w:cstheme="minorHAnsi"/>
          <w:bCs/>
          <w:iCs/>
          <w:sz w:val="24"/>
          <w:szCs w:val="24"/>
          <w:lang w:val="en-US"/>
        </w:rPr>
        <w:t>as an emotional benefit of taking financial advice</w:t>
      </w:r>
      <w:r w:rsidRPr="00AF6991">
        <w:rPr>
          <w:rFonts w:cstheme="minorHAnsi"/>
          <w:bCs/>
          <w:iCs/>
          <w:sz w:val="24"/>
          <w:szCs w:val="24"/>
          <w:lang w:val="en-US"/>
        </w:rPr>
        <w:t xml:space="preserve">.  </w:t>
      </w:r>
      <w:r w:rsidR="00160B18">
        <w:rPr>
          <w:rFonts w:cstheme="minorHAnsi"/>
          <w:bCs/>
          <w:iCs/>
          <w:sz w:val="24"/>
          <w:szCs w:val="24"/>
          <w:lang w:val="en-US"/>
        </w:rPr>
        <w:t>Financial Lives Survey (20</w:t>
      </w:r>
      <w:r w:rsidR="007F4692">
        <w:rPr>
          <w:rFonts w:cstheme="minorHAnsi"/>
          <w:bCs/>
          <w:iCs/>
          <w:sz w:val="24"/>
          <w:szCs w:val="24"/>
          <w:lang w:val="en-US"/>
        </w:rPr>
        <w:t>20a</w:t>
      </w:r>
      <w:r w:rsidR="00160B18">
        <w:rPr>
          <w:rFonts w:cstheme="minorHAnsi"/>
          <w:bCs/>
          <w:iCs/>
          <w:sz w:val="24"/>
          <w:szCs w:val="24"/>
          <w:lang w:val="en-US"/>
        </w:rPr>
        <w:t xml:space="preserve">) suggests that </w:t>
      </w:r>
      <w:r w:rsidR="007F4692">
        <w:rPr>
          <w:rFonts w:cstheme="minorHAnsi"/>
          <w:bCs/>
          <w:iCs/>
          <w:sz w:val="24"/>
          <w:szCs w:val="24"/>
          <w:lang w:val="en-US"/>
        </w:rPr>
        <w:t xml:space="preserve">nearly 50% of </w:t>
      </w:r>
      <w:r w:rsidR="00160B18">
        <w:rPr>
          <w:rFonts w:cstheme="minorHAnsi"/>
          <w:bCs/>
          <w:iCs/>
          <w:sz w:val="24"/>
          <w:szCs w:val="24"/>
          <w:lang w:val="en-US"/>
        </w:rPr>
        <w:t>mortgage holders were recommended a particular lender by a broker or financial adviser.</w:t>
      </w:r>
      <w:r w:rsidR="00BA5838">
        <w:rPr>
          <w:rFonts w:cstheme="minorHAnsi"/>
          <w:bCs/>
          <w:iCs/>
          <w:sz w:val="24"/>
          <w:szCs w:val="24"/>
          <w:lang w:val="en-US"/>
        </w:rPr>
        <w:t xml:space="preserve"> Of those using a broker 52% were either recommended by family/friends/colleague or via the estat</w:t>
      </w:r>
      <w:r w:rsidR="00EF02FE">
        <w:rPr>
          <w:rFonts w:cstheme="minorHAnsi"/>
          <w:bCs/>
          <w:iCs/>
          <w:sz w:val="24"/>
          <w:szCs w:val="24"/>
          <w:lang w:val="en-US"/>
        </w:rPr>
        <w:t xml:space="preserve">e agent and a further </w:t>
      </w:r>
      <w:r w:rsidR="007F4692">
        <w:rPr>
          <w:rFonts w:cstheme="minorHAnsi"/>
          <w:bCs/>
          <w:iCs/>
          <w:sz w:val="24"/>
          <w:szCs w:val="24"/>
          <w:lang w:val="en-US"/>
        </w:rPr>
        <w:t>34</w:t>
      </w:r>
      <w:r w:rsidR="00EF02FE">
        <w:rPr>
          <w:rFonts w:cstheme="minorHAnsi"/>
          <w:bCs/>
          <w:iCs/>
          <w:sz w:val="24"/>
          <w:szCs w:val="24"/>
          <w:lang w:val="en-US"/>
        </w:rPr>
        <w:t>%</w:t>
      </w:r>
      <w:r w:rsidR="00BA5838">
        <w:rPr>
          <w:rFonts w:cstheme="minorHAnsi"/>
          <w:bCs/>
          <w:iCs/>
          <w:sz w:val="24"/>
          <w:szCs w:val="24"/>
          <w:lang w:val="en-US"/>
        </w:rPr>
        <w:t xml:space="preserve"> had previously used a broker. This suggests that a relatively low proportion made a conscious decision to </w:t>
      </w:r>
      <w:r w:rsidR="00EF02FE">
        <w:rPr>
          <w:rFonts w:cstheme="minorHAnsi"/>
          <w:bCs/>
          <w:iCs/>
          <w:sz w:val="24"/>
          <w:szCs w:val="24"/>
          <w:lang w:val="en-US"/>
        </w:rPr>
        <w:t xml:space="preserve">pro-actively </w:t>
      </w:r>
      <w:r w:rsidR="00BA5838">
        <w:rPr>
          <w:rFonts w:cstheme="minorHAnsi"/>
          <w:bCs/>
          <w:iCs/>
          <w:sz w:val="24"/>
          <w:szCs w:val="24"/>
          <w:lang w:val="en-US"/>
        </w:rPr>
        <w:t xml:space="preserve">seek out a mortgage adviser to </w:t>
      </w:r>
      <w:r w:rsidR="00EF02FE">
        <w:rPr>
          <w:rFonts w:cstheme="minorHAnsi"/>
          <w:bCs/>
          <w:iCs/>
          <w:sz w:val="24"/>
          <w:szCs w:val="24"/>
          <w:lang w:val="en-US"/>
        </w:rPr>
        <w:t>research the market without utilizing a referral route.</w:t>
      </w:r>
    </w:p>
    <w:p w14:paraId="2401163F" w14:textId="60EFDED9" w:rsidR="00BA5838" w:rsidRDefault="00AF6991" w:rsidP="00AF6991">
      <w:pPr>
        <w:spacing w:after="120" w:line="480" w:lineRule="auto"/>
        <w:rPr>
          <w:rFonts w:cstheme="minorHAnsi"/>
          <w:sz w:val="24"/>
          <w:szCs w:val="24"/>
        </w:rPr>
      </w:pPr>
      <w:r w:rsidRPr="00AF6991">
        <w:rPr>
          <w:rFonts w:cstheme="minorHAnsi"/>
          <w:sz w:val="24"/>
          <w:szCs w:val="24"/>
        </w:rPr>
        <w:t xml:space="preserve">It appeared that mortgage advice triggered protection advice. </w:t>
      </w:r>
      <w:r w:rsidR="004D78F9">
        <w:rPr>
          <w:rFonts w:cstheme="minorHAnsi"/>
          <w:sz w:val="24"/>
          <w:szCs w:val="24"/>
        </w:rPr>
        <w:t>The Financial Lives Survey (20</w:t>
      </w:r>
      <w:r w:rsidR="008D2FF3">
        <w:rPr>
          <w:rFonts w:cstheme="minorHAnsi"/>
          <w:sz w:val="24"/>
          <w:szCs w:val="24"/>
        </w:rPr>
        <w:t>20a</w:t>
      </w:r>
      <w:r w:rsidR="004D78F9">
        <w:rPr>
          <w:rFonts w:cstheme="minorHAnsi"/>
          <w:sz w:val="24"/>
          <w:szCs w:val="24"/>
        </w:rPr>
        <w:t xml:space="preserve">) supports this contention, suggesting that </w:t>
      </w:r>
      <w:r w:rsidR="008D2FF3">
        <w:rPr>
          <w:rFonts w:cstheme="minorHAnsi"/>
          <w:sz w:val="24"/>
          <w:szCs w:val="24"/>
        </w:rPr>
        <w:t>60</w:t>
      </w:r>
      <w:r w:rsidR="004D78F9">
        <w:rPr>
          <w:rFonts w:cstheme="minorHAnsi"/>
          <w:sz w:val="24"/>
          <w:szCs w:val="24"/>
        </w:rPr>
        <w:t>% of those using a mortgage broker to arrange their mortgage were offered protection advice</w:t>
      </w:r>
      <w:r w:rsidR="00BA5838">
        <w:rPr>
          <w:rFonts w:cstheme="minorHAnsi"/>
          <w:sz w:val="24"/>
          <w:szCs w:val="24"/>
        </w:rPr>
        <w:t xml:space="preserve"> and 4</w:t>
      </w:r>
      <w:r w:rsidR="008D2FF3">
        <w:rPr>
          <w:rFonts w:cstheme="minorHAnsi"/>
          <w:sz w:val="24"/>
          <w:szCs w:val="24"/>
        </w:rPr>
        <w:t>4</w:t>
      </w:r>
      <w:r w:rsidR="00BA5838">
        <w:rPr>
          <w:rFonts w:cstheme="minorHAnsi"/>
          <w:sz w:val="24"/>
          <w:szCs w:val="24"/>
        </w:rPr>
        <w:t>% of those offered protection advice arranged a product</w:t>
      </w:r>
      <w:r w:rsidR="004D78F9">
        <w:rPr>
          <w:rFonts w:cstheme="minorHAnsi"/>
          <w:sz w:val="24"/>
          <w:szCs w:val="24"/>
        </w:rPr>
        <w:t xml:space="preserve">. </w:t>
      </w:r>
    </w:p>
    <w:p w14:paraId="0B8534D1" w14:textId="77777777" w:rsidR="004E4BBC" w:rsidRDefault="00AF6991" w:rsidP="004E4BBC">
      <w:pPr>
        <w:spacing w:after="120" w:line="480" w:lineRule="auto"/>
        <w:rPr>
          <w:rFonts w:cstheme="minorHAnsi"/>
          <w:bCs/>
          <w:sz w:val="24"/>
          <w:szCs w:val="24"/>
          <w:lang w:val="en-US"/>
        </w:rPr>
      </w:pPr>
      <w:r w:rsidRPr="00AF6991">
        <w:rPr>
          <w:rFonts w:cstheme="minorHAnsi"/>
          <w:bCs/>
          <w:sz w:val="24"/>
          <w:szCs w:val="24"/>
          <w:lang w:val="en-US"/>
        </w:rPr>
        <w:lastRenderedPageBreak/>
        <w:t>Fifteen out of seventeen interviewees that were current or previous mortgagors had arranged mortgage related life assurance, thirteen of which arranged it via their mortgage adviser. Kazim was prompted by the mortgage adviser but arranged it himself. A general attitude seemed to prevail, where interviewees considered that if the mortgage was repaid on their death then those left would cope. This is illustrated by the comments of Marta, who said:</w:t>
      </w:r>
    </w:p>
    <w:p w14:paraId="6942EF98" w14:textId="216DC758" w:rsidR="00AF6991" w:rsidRPr="00AF6991" w:rsidRDefault="00AF6991" w:rsidP="004E4BBC">
      <w:pPr>
        <w:spacing w:after="120" w:line="480" w:lineRule="auto"/>
        <w:ind w:left="720"/>
        <w:rPr>
          <w:rFonts w:cstheme="minorHAnsi"/>
          <w:bCs/>
          <w:sz w:val="24"/>
          <w:szCs w:val="24"/>
          <w:lang w:val="en-US"/>
        </w:rPr>
      </w:pPr>
      <w:r w:rsidRPr="00AF6991">
        <w:rPr>
          <w:rFonts w:cstheme="minorHAnsi"/>
          <w:bCs/>
          <w:i/>
          <w:sz w:val="24"/>
          <w:szCs w:val="24"/>
          <w:lang w:val="en-US"/>
        </w:rPr>
        <w:t>“…</w:t>
      </w:r>
      <w:r w:rsidRPr="00AF6991">
        <w:rPr>
          <w:rFonts w:cstheme="minorHAnsi"/>
          <w:bCs/>
          <w:i/>
          <w:iCs/>
          <w:sz w:val="24"/>
          <w:szCs w:val="24"/>
        </w:rPr>
        <w:t>We took out a mortgage protection policy, as long as the mortgage was paid they’d find the money to feed themselves</w:t>
      </w:r>
      <w:r w:rsidRPr="00AF6991">
        <w:rPr>
          <w:rFonts w:cstheme="minorHAnsi"/>
          <w:bCs/>
          <w:iCs/>
          <w:sz w:val="24"/>
          <w:szCs w:val="24"/>
        </w:rPr>
        <w:t>”</w:t>
      </w:r>
    </w:p>
    <w:p w14:paraId="47EE91CE" w14:textId="77777777" w:rsidR="00AF6991" w:rsidRPr="00AF6991" w:rsidRDefault="00AF6991" w:rsidP="00AF6991">
      <w:pPr>
        <w:spacing w:after="120" w:line="480" w:lineRule="auto"/>
        <w:rPr>
          <w:rFonts w:cstheme="minorHAnsi"/>
          <w:bCs/>
          <w:sz w:val="24"/>
          <w:szCs w:val="24"/>
          <w:lang w:val="en-US"/>
        </w:rPr>
      </w:pPr>
      <w:r w:rsidRPr="00AF6991">
        <w:rPr>
          <w:rFonts w:cstheme="minorHAnsi"/>
          <w:bCs/>
          <w:sz w:val="24"/>
          <w:szCs w:val="24"/>
          <w:lang w:val="en-US"/>
        </w:rPr>
        <w:t>There was a theme from the interviewees suggesting that repayment of the mortgage in the event of death is more important than more general protection in this eventuality.</w:t>
      </w:r>
    </w:p>
    <w:p w14:paraId="265C61C8" w14:textId="77777777" w:rsidR="00AF6991" w:rsidRPr="00AF6991" w:rsidRDefault="00AF6991" w:rsidP="00AF6991">
      <w:pPr>
        <w:spacing w:after="120" w:line="480" w:lineRule="auto"/>
        <w:rPr>
          <w:rFonts w:cstheme="minorHAnsi"/>
          <w:bCs/>
          <w:sz w:val="24"/>
          <w:szCs w:val="24"/>
          <w:lang w:val="en-US"/>
        </w:rPr>
      </w:pPr>
      <w:r w:rsidRPr="00AF6991">
        <w:rPr>
          <w:rFonts w:cstheme="minorHAnsi"/>
          <w:bCs/>
          <w:sz w:val="24"/>
          <w:szCs w:val="24"/>
          <w:lang w:val="en-US"/>
        </w:rPr>
        <w:t xml:space="preserve">Regarding protection of household income in the event of the breadwinner’s long-term illness or premature death, few examples existed of interviewees taking advice regarding insurance. </w:t>
      </w:r>
      <w:r w:rsidRPr="00AF6991">
        <w:rPr>
          <w:rFonts w:cstheme="minorHAnsi"/>
          <w:bCs/>
          <w:iCs/>
          <w:sz w:val="24"/>
          <w:szCs w:val="24"/>
        </w:rPr>
        <w:t xml:space="preserve">Heather, </w:t>
      </w:r>
      <w:r w:rsidRPr="00AF6991">
        <w:rPr>
          <w:rFonts w:cstheme="minorHAnsi"/>
          <w:bCs/>
          <w:iCs/>
          <w:sz w:val="24"/>
          <w:szCs w:val="24"/>
          <w:lang w:val="en-US"/>
        </w:rPr>
        <w:t>who had a dependent son,</w:t>
      </w:r>
      <w:r w:rsidRPr="00AF6991">
        <w:rPr>
          <w:rFonts w:cstheme="minorHAnsi"/>
          <w:bCs/>
          <w:iCs/>
          <w:sz w:val="24"/>
          <w:szCs w:val="24"/>
        </w:rPr>
        <w:t xml:space="preserve"> said:</w:t>
      </w:r>
    </w:p>
    <w:p w14:paraId="411FF63F" w14:textId="77777777" w:rsidR="00AF6991" w:rsidRPr="00AF6991" w:rsidRDefault="00AF6991" w:rsidP="00AF6991">
      <w:pPr>
        <w:spacing w:after="120" w:line="480" w:lineRule="auto"/>
        <w:ind w:firstLine="720"/>
        <w:rPr>
          <w:rFonts w:cstheme="minorHAnsi"/>
          <w:bCs/>
          <w:iCs/>
          <w:sz w:val="24"/>
          <w:szCs w:val="24"/>
        </w:rPr>
      </w:pPr>
      <w:r w:rsidRPr="00AF6991">
        <w:rPr>
          <w:rFonts w:cstheme="minorHAnsi"/>
          <w:bCs/>
          <w:iCs/>
          <w:sz w:val="24"/>
          <w:szCs w:val="24"/>
        </w:rPr>
        <w:t>“…</w:t>
      </w:r>
      <w:r w:rsidRPr="00AF6991">
        <w:rPr>
          <w:rFonts w:cstheme="minorHAnsi"/>
          <w:bCs/>
          <w:i/>
          <w:iCs/>
          <w:sz w:val="24"/>
          <w:szCs w:val="24"/>
        </w:rPr>
        <w:t>I’ve never really thought about it”</w:t>
      </w:r>
    </w:p>
    <w:p w14:paraId="02369865" w14:textId="77777777" w:rsidR="00AF6991" w:rsidRPr="00AF6991" w:rsidRDefault="00AF6991" w:rsidP="00AF6991">
      <w:pPr>
        <w:spacing w:after="120" w:line="480" w:lineRule="auto"/>
        <w:rPr>
          <w:rFonts w:cstheme="minorHAnsi"/>
          <w:bCs/>
          <w:iCs/>
          <w:sz w:val="24"/>
          <w:szCs w:val="24"/>
        </w:rPr>
      </w:pPr>
      <w:r w:rsidRPr="00AF6991">
        <w:rPr>
          <w:rFonts w:cstheme="minorHAnsi"/>
          <w:bCs/>
          <w:iCs/>
          <w:sz w:val="24"/>
          <w:szCs w:val="24"/>
        </w:rPr>
        <w:t>Others felt that the risks were low, Frank said:</w:t>
      </w:r>
    </w:p>
    <w:p w14:paraId="03811570" w14:textId="5D129DC6" w:rsidR="00AF6991" w:rsidRDefault="00AF6991" w:rsidP="00AF6991">
      <w:pPr>
        <w:spacing w:after="120" w:line="480" w:lineRule="auto"/>
        <w:ind w:firstLine="720"/>
        <w:rPr>
          <w:rFonts w:cstheme="minorHAnsi"/>
          <w:bCs/>
          <w:i/>
          <w:iCs/>
          <w:sz w:val="24"/>
          <w:szCs w:val="24"/>
        </w:rPr>
      </w:pPr>
      <w:r w:rsidRPr="00AF6991">
        <w:rPr>
          <w:rFonts w:cstheme="minorHAnsi"/>
          <w:bCs/>
          <w:iCs/>
          <w:sz w:val="24"/>
          <w:szCs w:val="24"/>
        </w:rPr>
        <w:t>“…</w:t>
      </w:r>
      <w:r w:rsidRPr="00AF6991">
        <w:rPr>
          <w:rFonts w:cstheme="minorHAnsi"/>
          <w:bCs/>
          <w:i/>
          <w:iCs/>
          <w:sz w:val="24"/>
          <w:szCs w:val="24"/>
        </w:rPr>
        <w:t>I’m not a sickly person”</w:t>
      </w:r>
    </w:p>
    <w:p w14:paraId="2E3BA313" w14:textId="741B9E28" w:rsidR="004D78F9" w:rsidRPr="004D78F9" w:rsidRDefault="004D78F9" w:rsidP="004D78F9">
      <w:pPr>
        <w:spacing w:after="120" w:line="480" w:lineRule="auto"/>
        <w:rPr>
          <w:rFonts w:cstheme="minorHAnsi"/>
          <w:sz w:val="24"/>
          <w:szCs w:val="24"/>
        </w:rPr>
      </w:pPr>
      <w:r>
        <w:rPr>
          <w:rFonts w:cstheme="minorHAnsi"/>
          <w:bCs/>
          <w:sz w:val="24"/>
          <w:szCs w:val="24"/>
        </w:rPr>
        <w:t>The Behavioural Finance literature suggests that overconfidence can result is consumers taking larger</w:t>
      </w:r>
      <w:r w:rsidR="008A6FCF">
        <w:rPr>
          <w:rFonts w:cstheme="minorHAnsi"/>
          <w:bCs/>
          <w:sz w:val="24"/>
          <w:szCs w:val="24"/>
        </w:rPr>
        <w:t xml:space="preserve"> </w:t>
      </w:r>
      <w:r>
        <w:rPr>
          <w:rFonts w:cstheme="minorHAnsi"/>
          <w:bCs/>
          <w:sz w:val="24"/>
          <w:szCs w:val="24"/>
        </w:rPr>
        <w:t>risks than is prudent (</w:t>
      </w:r>
      <w:r w:rsidR="008D2FF3">
        <w:rPr>
          <w:rFonts w:cstheme="minorHAnsi"/>
          <w:bCs/>
          <w:sz w:val="24"/>
          <w:szCs w:val="24"/>
        </w:rPr>
        <w:t xml:space="preserve">eg. </w:t>
      </w:r>
      <w:r>
        <w:rPr>
          <w:rFonts w:cstheme="minorHAnsi"/>
          <w:bCs/>
          <w:sz w:val="24"/>
          <w:szCs w:val="24"/>
        </w:rPr>
        <w:t>Shefrin, 2002).</w:t>
      </w:r>
      <w:r w:rsidR="00976A76">
        <w:rPr>
          <w:rFonts w:cstheme="minorHAnsi"/>
          <w:bCs/>
          <w:sz w:val="24"/>
          <w:szCs w:val="24"/>
        </w:rPr>
        <w:t xml:space="preserve"> </w:t>
      </w:r>
      <w:r w:rsidR="008A6FCF">
        <w:rPr>
          <w:rFonts w:cstheme="minorHAnsi"/>
          <w:bCs/>
          <w:sz w:val="24"/>
          <w:szCs w:val="24"/>
        </w:rPr>
        <w:t xml:space="preserve">This ‘Illusion of Control’ and </w:t>
      </w:r>
      <w:r w:rsidR="008D2FF3">
        <w:rPr>
          <w:rFonts w:cstheme="minorHAnsi"/>
          <w:bCs/>
          <w:sz w:val="24"/>
          <w:szCs w:val="24"/>
        </w:rPr>
        <w:t>‘</w:t>
      </w:r>
      <w:r w:rsidR="008A6FCF">
        <w:rPr>
          <w:rFonts w:cstheme="minorHAnsi"/>
          <w:bCs/>
          <w:sz w:val="24"/>
          <w:szCs w:val="24"/>
        </w:rPr>
        <w:t>excessive optimism</w:t>
      </w:r>
      <w:r w:rsidR="008D2FF3">
        <w:rPr>
          <w:rFonts w:cstheme="minorHAnsi"/>
          <w:bCs/>
          <w:sz w:val="24"/>
          <w:szCs w:val="24"/>
        </w:rPr>
        <w:t>’</w:t>
      </w:r>
      <w:r w:rsidR="008A6FCF">
        <w:rPr>
          <w:rFonts w:cstheme="minorHAnsi"/>
          <w:bCs/>
          <w:sz w:val="24"/>
          <w:szCs w:val="24"/>
        </w:rPr>
        <w:t xml:space="preserve"> exhibited b</w:t>
      </w:r>
      <w:r w:rsidR="00B76D27">
        <w:rPr>
          <w:rFonts w:cstheme="minorHAnsi"/>
          <w:bCs/>
          <w:sz w:val="24"/>
          <w:szCs w:val="24"/>
        </w:rPr>
        <w:t>y</w:t>
      </w:r>
      <w:r w:rsidR="008A6FCF">
        <w:rPr>
          <w:rFonts w:cstheme="minorHAnsi"/>
          <w:bCs/>
          <w:sz w:val="24"/>
          <w:szCs w:val="24"/>
        </w:rPr>
        <w:t xml:space="preserve"> Frank are forms of ove</w:t>
      </w:r>
      <w:r w:rsidR="003C0C04">
        <w:rPr>
          <w:rFonts w:cstheme="minorHAnsi"/>
          <w:bCs/>
          <w:sz w:val="24"/>
          <w:szCs w:val="24"/>
        </w:rPr>
        <w:t>rconfidence which result in a lack of appreciation of the extent of the risk (Ackert and Deaves, 2010).</w:t>
      </w:r>
    </w:p>
    <w:p w14:paraId="11F02014" w14:textId="77777777" w:rsidR="00257EB1" w:rsidRPr="00257EB1" w:rsidRDefault="00AF6991" w:rsidP="00257EB1">
      <w:pPr>
        <w:spacing w:after="120" w:line="480" w:lineRule="auto"/>
        <w:rPr>
          <w:rFonts w:cstheme="minorHAnsi"/>
          <w:bCs/>
          <w:sz w:val="24"/>
          <w:szCs w:val="24"/>
        </w:rPr>
      </w:pPr>
      <w:r w:rsidRPr="00AF6991">
        <w:rPr>
          <w:rFonts w:cstheme="minorHAnsi"/>
          <w:sz w:val="24"/>
          <w:szCs w:val="24"/>
        </w:rPr>
        <w:t xml:space="preserve">For savings, most interviewees felt able to manage without advice. They were aware that benefit could be gained by shopping around but </w:t>
      </w:r>
      <w:r w:rsidR="008D2FF3">
        <w:rPr>
          <w:rFonts w:cstheme="minorHAnsi"/>
          <w:sz w:val="24"/>
          <w:szCs w:val="24"/>
        </w:rPr>
        <w:t xml:space="preserve">report that they </w:t>
      </w:r>
      <w:r w:rsidRPr="00AF6991">
        <w:rPr>
          <w:rFonts w:cstheme="minorHAnsi"/>
          <w:sz w:val="24"/>
          <w:szCs w:val="24"/>
        </w:rPr>
        <w:t xml:space="preserve">could not always </w:t>
      </w:r>
      <w:r w:rsidR="008D2FF3">
        <w:rPr>
          <w:rFonts w:cstheme="minorHAnsi"/>
          <w:sz w:val="24"/>
          <w:szCs w:val="24"/>
        </w:rPr>
        <w:t>‘</w:t>
      </w:r>
      <w:r w:rsidRPr="00AF6991">
        <w:rPr>
          <w:rFonts w:cstheme="minorHAnsi"/>
          <w:sz w:val="24"/>
          <w:szCs w:val="24"/>
        </w:rPr>
        <w:t xml:space="preserve">be </w:t>
      </w:r>
      <w:r w:rsidRPr="00AF6991">
        <w:rPr>
          <w:rFonts w:cstheme="minorHAnsi"/>
          <w:sz w:val="24"/>
          <w:szCs w:val="24"/>
        </w:rPr>
        <w:lastRenderedPageBreak/>
        <w:t>bothered</w:t>
      </w:r>
      <w:r w:rsidR="008D2FF3">
        <w:rPr>
          <w:rFonts w:cstheme="minorHAnsi"/>
          <w:sz w:val="24"/>
          <w:szCs w:val="24"/>
        </w:rPr>
        <w:t>’</w:t>
      </w:r>
      <w:r w:rsidRPr="00AF6991">
        <w:rPr>
          <w:rFonts w:cstheme="minorHAnsi"/>
          <w:sz w:val="24"/>
          <w:szCs w:val="24"/>
        </w:rPr>
        <w:t xml:space="preserve"> to do so. </w:t>
      </w:r>
      <w:r w:rsidR="00B758F9">
        <w:rPr>
          <w:rFonts w:cstheme="minorHAnsi"/>
          <w:sz w:val="24"/>
          <w:szCs w:val="24"/>
        </w:rPr>
        <w:t xml:space="preserve">The Financial Lives Survey (2020) suggests that </w:t>
      </w:r>
      <w:r w:rsidR="00257EB1">
        <w:rPr>
          <w:rFonts w:cstheme="minorHAnsi"/>
          <w:sz w:val="24"/>
          <w:szCs w:val="24"/>
        </w:rPr>
        <w:t>i</w:t>
      </w:r>
      <w:r w:rsidRPr="00AF6991">
        <w:rPr>
          <w:rFonts w:cstheme="minorHAnsi"/>
          <w:sz w:val="24"/>
          <w:szCs w:val="24"/>
        </w:rPr>
        <w:t xml:space="preserve">nertia is </w:t>
      </w:r>
      <w:r w:rsidR="00257EB1">
        <w:rPr>
          <w:rFonts w:cstheme="minorHAnsi"/>
          <w:sz w:val="24"/>
          <w:szCs w:val="24"/>
        </w:rPr>
        <w:t>common across financial services, for example, only 9% switched a cash ISA in the last three years</w:t>
      </w:r>
      <w:r w:rsidRPr="00AF6991">
        <w:rPr>
          <w:rFonts w:cstheme="minorHAnsi"/>
          <w:sz w:val="24"/>
          <w:szCs w:val="24"/>
        </w:rPr>
        <w:t xml:space="preserve">. There seemed to be an expectation that advice would need to deliver a return that justified its </w:t>
      </w:r>
      <w:r w:rsidR="00152728">
        <w:rPr>
          <w:rFonts w:cstheme="minorHAnsi"/>
          <w:sz w:val="24"/>
          <w:szCs w:val="24"/>
        </w:rPr>
        <w:t xml:space="preserve">immediate </w:t>
      </w:r>
      <w:r w:rsidRPr="00AF6991">
        <w:rPr>
          <w:rFonts w:cstheme="minorHAnsi"/>
          <w:sz w:val="24"/>
          <w:szCs w:val="24"/>
        </w:rPr>
        <w:t xml:space="preserve">cost for it to be worthwhile. </w:t>
      </w:r>
      <w:r w:rsidR="00257EB1">
        <w:rPr>
          <w:rFonts w:cstheme="minorHAnsi"/>
          <w:sz w:val="24"/>
          <w:szCs w:val="24"/>
        </w:rPr>
        <w:t xml:space="preserve">However, </w:t>
      </w:r>
      <w:r w:rsidR="00257EB1" w:rsidRPr="00257EB1">
        <w:rPr>
          <w:rFonts w:cstheme="minorHAnsi"/>
          <w:bCs/>
          <w:sz w:val="24"/>
          <w:szCs w:val="24"/>
        </w:rPr>
        <w:t>Ignition House research on behalf of the FCA found:</w:t>
      </w:r>
    </w:p>
    <w:p w14:paraId="0F61A207" w14:textId="445EE56C" w:rsidR="00AF6991" w:rsidRPr="0067510E" w:rsidRDefault="00257EB1" w:rsidP="0067510E">
      <w:pPr>
        <w:spacing w:after="120" w:line="480" w:lineRule="auto"/>
        <w:ind w:left="720"/>
        <w:rPr>
          <w:rFonts w:cstheme="minorHAnsi"/>
          <w:bCs/>
          <w:sz w:val="24"/>
          <w:szCs w:val="24"/>
        </w:rPr>
      </w:pPr>
      <w:r w:rsidRPr="00257EB1">
        <w:rPr>
          <w:rFonts w:cstheme="minorHAnsi"/>
          <w:bCs/>
          <w:sz w:val="24"/>
          <w:szCs w:val="24"/>
        </w:rPr>
        <w:t>… “</w:t>
      </w:r>
      <w:r w:rsidRPr="00257EB1">
        <w:rPr>
          <w:rFonts w:cstheme="minorHAnsi"/>
          <w:bCs/>
          <w:i/>
          <w:iCs/>
          <w:sz w:val="24"/>
          <w:szCs w:val="24"/>
        </w:rPr>
        <w:t>consumers who get support, and particularly those who take regulated financial advice, have very different outcomes in terms of cash holdings compared to those who do not”…</w:t>
      </w:r>
      <w:r w:rsidR="0067510E">
        <w:rPr>
          <w:rFonts w:cstheme="minorHAnsi"/>
          <w:bCs/>
          <w:sz w:val="24"/>
          <w:szCs w:val="24"/>
        </w:rPr>
        <w:t xml:space="preserve"> (Ripley and Weir, 2020, p.60).</w:t>
      </w:r>
    </w:p>
    <w:p w14:paraId="2F919A6C" w14:textId="6B051554" w:rsidR="00AF6991" w:rsidRPr="00AF6991" w:rsidRDefault="00AF6991" w:rsidP="00AF6991">
      <w:pPr>
        <w:spacing w:after="120" w:line="480" w:lineRule="auto"/>
        <w:rPr>
          <w:rFonts w:cstheme="minorHAnsi"/>
          <w:bCs/>
          <w:sz w:val="24"/>
          <w:szCs w:val="24"/>
          <w:lang w:val="en-US"/>
        </w:rPr>
      </w:pPr>
      <w:r w:rsidRPr="00AF6991">
        <w:rPr>
          <w:rFonts w:cstheme="minorHAnsi"/>
          <w:sz w:val="24"/>
          <w:szCs w:val="24"/>
        </w:rPr>
        <w:t xml:space="preserve">For pension advice, most had joined their occupational schemes, feeling this </w:t>
      </w:r>
      <w:r w:rsidRPr="00AF6991">
        <w:rPr>
          <w:rFonts w:cstheme="minorHAnsi"/>
          <w:bCs/>
          <w:sz w:val="24"/>
          <w:szCs w:val="24"/>
          <w:lang w:val="en-US"/>
        </w:rPr>
        <w:t>was sufficient provision and therefore saw no reason for advice. Seven of the interviewees had simply never really thought about</w:t>
      </w:r>
      <w:r w:rsidR="0067510E">
        <w:rPr>
          <w:rFonts w:cstheme="minorHAnsi"/>
          <w:bCs/>
          <w:sz w:val="24"/>
          <w:szCs w:val="24"/>
          <w:lang w:val="en-US"/>
        </w:rPr>
        <w:t xml:space="preserve"> what they might need at</w:t>
      </w:r>
      <w:r w:rsidRPr="00AF6991">
        <w:rPr>
          <w:rFonts w:cstheme="minorHAnsi"/>
          <w:bCs/>
          <w:sz w:val="24"/>
          <w:szCs w:val="24"/>
          <w:lang w:val="en-US"/>
        </w:rPr>
        <w:t xml:space="preserve"> retirement. </w:t>
      </w:r>
      <w:r w:rsidR="00772097">
        <w:rPr>
          <w:rFonts w:cstheme="minorHAnsi"/>
          <w:bCs/>
          <w:sz w:val="24"/>
          <w:szCs w:val="24"/>
          <w:lang w:val="en-US"/>
        </w:rPr>
        <w:t>The Pensions Policy Institute (</w:t>
      </w:r>
      <w:r w:rsidR="00E77AB3">
        <w:rPr>
          <w:rFonts w:cstheme="minorHAnsi"/>
          <w:bCs/>
          <w:sz w:val="24"/>
          <w:szCs w:val="24"/>
          <w:lang w:val="en-US"/>
        </w:rPr>
        <w:t>Redwood et al</w:t>
      </w:r>
      <w:r w:rsidR="007903D6">
        <w:rPr>
          <w:rFonts w:cstheme="minorHAnsi"/>
          <w:bCs/>
          <w:sz w:val="24"/>
          <w:szCs w:val="24"/>
          <w:lang w:val="en-US"/>
        </w:rPr>
        <w:t xml:space="preserve">, </w:t>
      </w:r>
      <w:r w:rsidR="00772097">
        <w:rPr>
          <w:rFonts w:cstheme="minorHAnsi"/>
          <w:bCs/>
          <w:sz w:val="24"/>
          <w:szCs w:val="24"/>
          <w:lang w:val="en-US"/>
        </w:rPr>
        <w:t>2013) suggest that only 49% of median earners will achieve an ‘adequate retirement income’ if they start saving at age 22 and contribute 8% of band earnings (which is the</w:t>
      </w:r>
      <w:r w:rsidR="00257EB1">
        <w:rPr>
          <w:rFonts w:cstheme="minorHAnsi"/>
          <w:bCs/>
          <w:sz w:val="24"/>
          <w:szCs w:val="24"/>
          <w:lang w:val="en-US"/>
        </w:rPr>
        <w:t xml:space="preserve"> current UK a</w:t>
      </w:r>
      <w:r w:rsidR="00772097">
        <w:rPr>
          <w:rFonts w:cstheme="minorHAnsi"/>
          <w:bCs/>
          <w:sz w:val="24"/>
          <w:szCs w:val="24"/>
          <w:lang w:val="en-US"/>
        </w:rPr>
        <w:t>uto-enrolment default amount).</w:t>
      </w:r>
      <w:r w:rsidR="007903D6">
        <w:rPr>
          <w:rFonts w:cstheme="minorHAnsi"/>
          <w:bCs/>
          <w:sz w:val="24"/>
          <w:szCs w:val="24"/>
          <w:lang w:val="en-US"/>
        </w:rPr>
        <w:t xml:space="preserve"> This suggests a gap between perception and the reality.</w:t>
      </w:r>
    </w:p>
    <w:p w14:paraId="7FDDF6CD" w14:textId="77777777" w:rsidR="00AF6991" w:rsidRPr="00AF6991" w:rsidRDefault="00AF6991" w:rsidP="00AF6991">
      <w:pPr>
        <w:spacing w:after="120" w:line="480" w:lineRule="auto"/>
        <w:rPr>
          <w:rFonts w:cstheme="minorHAnsi"/>
          <w:bCs/>
          <w:sz w:val="24"/>
          <w:szCs w:val="24"/>
          <w:lang w:val="en-US"/>
        </w:rPr>
      </w:pPr>
      <w:r w:rsidRPr="00AF6991">
        <w:rPr>
          <w:rFonts w:cstheme="minorHAnsi"/>
          <w:bCs/>
          <w:sz w:val="24"/>
          <w:szCs w:val="24"/>
          <w:lang w:val="en-US"/>
        </w:rPr>
        <w:t>Some interviewees were concerned about retirement and had sought advice. Eric explained why he sought advice:</w:t>
      </w:r>
    </w:p>
    <w:p w14:paraId="015200F3" w14:textId="46019E4C" w:rsidR="00AF6991" w:rsidRDefault="00AF6991" w:rsidP="00AF6991">
      <w:pPr>
        <w:spacing w:after="120" w:line="480" w:lineRule="auto"/>
        <w:ind w:left="720" w:firstLine="60"/>
        <w:rPr>
          <w:rFonts w:cstheme="minorHAnsi"/>
          <w:bCs/>
          <w:sz w:val="24"/>
          <w:szCs w:val="24"/>
          <w:lang w:val="en-US"/>
        </w:rPr>
      </w:pPr>
      <w:r w:rsidRPr="00AF6991">
        <w:rPr>
          <w:rFonts w:cstheme="minorHAnsi"/>
          <w:bCs/>
          <w:sz w:val="24"/>
          <w:szCs w:val="24"/>
        </w:rPr>
        <w:t xml:space="preserve">“… </w:t>
      </w:r>
      <w:r w:rsidRPr="00AF6991">
        <w:rPr>
          <w:rFonts w:cstheme="minorHAnsi"/>
          <w:bCs/>
          <w:i/>
          <w:sz w:val="24"/>
          <w:szCs w:val="24"/>
          <w:lang w:val="en-US"/>
        </w:rPr>
        <w:t>I suppose I just wanted to boost my pension really. You get to 40 and you become very aware that it’s only like 20 years to go…</w:t>
      </w:r>
      <w:r w:rsidRPr="00AF6991">
        <w:rPr>
          <w:rFonts w:cstheme="minorHAnsi"/>
          <w:bCs/>
          <w:sz w:val="24"/>
          <w:szCs w:val="24"/>
          <w:lang w:val="en-US"/>
        </w:rPr>
        <w:t>”</w:t>
      </w:r>
    </w:p>
    <w:p w14:paraId="47229D28" w14:textId="2D9BCBF3" w:rsidR="00F072C5" w:rsidRPr="00AF6991" w:rsidRDefault="00F072C5" w:rsidP="00F072C5">
      <w:pPr>
        <w:spacing w:after="120" w:line="480" w:lineRule="auto"/>
        <w:rPr>
          <w:rFonts w:cstheme="minorHAnsi"/>
          <w:bCs/>
          <w:sz w:val="24"/>
          <w:szCs w:val="24"/>
          <w:lang w:val="en-US"/>
        </w:rPr>
      </w:pPr>
      <w:r>
        <w:rPr>
          <w:rFonts w:cstheme="minorHAnsi"/>
          <w:bCs/>
          <w:sz w:val="24"/>
          <w:szCs w:val="24"/>
          <w:lang w:val="en-US"/>
        </w:rPr>
        <w:t xml:space="preserve">It seems that failure to appreciate a variety of risks results in </w:t>
      </w:r>
      <w:r w:rsidR="00786992">
        <w:rPr>
          <w:rFonts w:cstheme="minorHAnsi"/>
          <w:bCs/>
          <w:sz w:val="24"/>
          <w:szCs w:val="24"/>
          <w:lang w:val="en-US"/>
        </w:rPr>
        <w:t xml:space="preserve">either </w:t>
      </w:r>
      <w:r>
        <w:rPr>
          <w:rFonts w:cstheme="minorHAnsi"/>
          <w:bCs/>
          <w:sz w:val="24"/>
          <w:szCs w:val="24"/>
          <w:lang w:val="en-US"/>
        </w:rPr>
        <w:t xml:space="preserve">making decisions based on limited information, </w:t>
      </w:r>
      <w:r w:rsidR="00786992">
        <w:rPr>
          <w:rFonts w:cstheme="minorHAnsi"/>
          <w:bCs/>
          <w:sz w:val="24"/>
          <w:szCs w:val="24"/>
          <w:lang w:val="en-US"/>
        </w:rPr>
        <w:t xml:space="preserve">that is a </w:t>
      </w:r>
      <w:r>
        <w:rPr>
          <w:rFonts w:cstheme="minorHAnsi"/>
          <w:bCs/>
          <w:sz w:val="24"/>
          <w:szCs w:val="24"/>
          <w:lang w:val="en-US"/>
        </w:rPr>
        <w:t>bounded rationality</w:t>
      </w:r>
      <w:r w:rsidR="00786992">
        <w:rPr>
          <w:rFonts w:cstheme="minorHAnsi"/>
          <w:bCs/>
          <w:sz w:val="24"/>
          <w:szCs w:val="24"/>
          <w:lang w:val="en-US"/>
        </w:rPr>
        <w:t xml:space="preserve"> perspective</w:t>
      </w:r>
      <w:r w:rsidR="00183244">
        <w:rPr>
          <w:rFonts w:cstheme="minorHAnsi"/>
          <w:bCs/>
          <w:sz w:val="24"/>
          <w:szCs w:val="24"/>
          <w:lang w:val="en-US"/>
        </w:rPr>
        <w:t xml:space="preserve">, which </w:t>
      </w:r>
      <w:r>
        <w:rPr>
          <w:rFonts w:cstheme="minorHAnsi"/>
          <w:bCs/>
          <w:sz w:val="24"/>
          <w:szCs w:val="24"/>
          <w:lang w:val="en-US"/>
        </w:rPr>
        <w:t>lead</w:t>
      </w:r>
      <w:r w:rsidR="00183244">
        <w:rPr>
          <w:rFonts w:cstheme="minorHAnsi"/>
          <w:bCs/>
          <w:sz w:val="24"/>
          <w:szCs w:val="24"/>
          <w:lang w:val="en-US"/>
        </w:rPr>
        <w:t>s</w:t>
      </w:r>
      <w:r>
        <w:rPr>
          <w:rFonts w:cstheme="minorHAnsi"/>
          <w:bCs/>
          <w:sz w:val="24"/>
          <w:szCs w:val="24"/>
          <w:lang w:val="en-US"/>
        </w:rPr>
        <w:t xml:space="preserve"> to errors and overconfidence or simply not appreciating that a risk and therefore a planning need existed</w:t>
      </w:r>
      <w:r w:rsidR="00786992">
        <w:rPr>
          <w:rFonts w:cstheme="minorHAnsi"/>
          <w:bCs/>
          <w:sz w:val="24"/>
          <w:szCs w:val="24"/>
          <w:lang w:val="en-US"/>
        </w:rPr>
        <w:t xml:space="preserve"> (Simon, 1955; Mehta, 2013 ; Shefrin, 2002)</w:t>
      </w:r>
      <w:r>
        <w:rPr>
          <w:rFonts w:cstheme="minorHAnsi"/>
          <w:bCs/>
          <w:sz w:val="24"/>
          <w:szCs w:val="24"/>
          <w:lang w:val="en-US"/>
        </w:rPr>
        <w:t>.</w:t>
      </w:r>
    </w:p>
    <w:p w14:paraId="41FB2219" w14:textId="77777777" w:rsidR="00AF6991" w:rsidRPr="00AF6991" w:rsidRDefault="00AF6991" w:rsidP="00AF6991">
      <w:pPr>
        <w:spacing w:after="120" w:line="480" w:lineRule="auto"/>
        <w:rPr>
          <w:rFonts w:cstheme="minorHAnsi"/>
          <w:b/>
          <w:sz w:val="24"/>
          <w:szCs w:val="24"/>
          <w:u w:val="single"/>
        </w:rPr>
      </w:pPr>
      <w:r w:rsidRPr="00AF6991">
        <w:rPr>
          <w:rFonts w:cstheme="minorHAnsi"/>
          <w:sz w:val="24"/>
          <w:szCs w:val="24"/>
          <w:u w:val="single"/>
        </w:rPr>
        <w:lastRenderedPageBreak/>
        <w:t>Knowledge of Adviser Services and Value of Advice.</w:t>
      </w:r>
    </w:p>
    <w:p w14:paraId="5A57FF49" w14:textId="4E25D09C" w:rsidR="00AF6991" w:rsidRPr="00AF6991" w:rsidRDefault="00AF6991" w:rsidP="00AF6991">
      <w:pPr>
        <w:spacing w:after="120" w:line="480" w:lineRule="auto"/>
        <w:rPr>
          <w:rFonts w:cstheme="minorHAnsi"/>
          <w:sz w:val="24"/>
          <w:szCs w:val="24"/>
        </w:rPr>
      </w:pPr>
      <w:r w:rsidRPr="00AF6991">
        <w:rPr>
          <w:rFonts w:cstheme="minorHAnsi"/>
          <w:sz w:val="24"/>
          <w:szCs w:val="24"/>
        </w:rPr>
        <w:t xml:space="preserve">This dimension considers interviewees’ knowledge of adviser services and </w:t>
      </w:r>
      <w:r w:rsidR="0067510E">
        <w:rPr>
          <w:rFonts w:cstheme="minorHAnsi"/>
          <w:sz w:val="24"/>
          <w:szCs w:val="24"/>
        </w:rPr>
        <w:t>how these may help to identify and quantify the implications of potential risks, thereby</w:t>
      </w:r>
      <w:r w:rsidRPr="00AF6991">
        <w:rPr>
          <w:rFonts w:cstheme="minorHAnsi"/>
          <w:sz w:val="24"/>
          <w:szCs w:val="24"/>
        </w:rPr>
        <w:t xml:space="preserve"> provid</w:t>
      </w:r>
      <w:r w:rsidR="0067510E">
        <w:rPr>
          <w:rFonts w:cstheme="minorHAnsi"/>
          <w:sz w:val="24"/>
          <w:szCs w:val="24"/>
        </w:rPr>
        <w:t>ing</w:t>
      </w:r>
      <w:r w:rsidRPr="00AF6991">
        <w:rPr>
          <w:rFonts w:cstheme="minorHAnsi"/>
          <w:sz w:val="24"/>
          <w:szCs w:val="24"/>
        </w:rPr>
        <w:t xml:space="preserve"> the interviewees (and more generally consumers) with solutions to address these risks. Value of advice is an aspect of this because unless there is an understanding of the extent of adviser services it is difficult to see how advice will be fully valued. Clearly</w:t>
      </w:r>
      <w:r w:rsidR="0067510E">
        <w:rPr>
          <w:rFonts w:cstheme="minorHAnsi"/>
          <w:sz w:val="24"/>
          <w:szCs w:val="24"/>
        </w:rPr>
        <w:t>, the lack of</w:t>
      </w:r>
      <w:r w:rsidRPr="00AF6991">
        <w:rPr>
          <w:rFonts w:cstheme="minorHAnsi"/>
          <w:sz w:val="24"/>
          <w:szCs w:val="24"/>
        </w:rPr>
        <w:t xml:space="preserve"> knowledge of adviser services is a </w:t>
      </w:r>
      <w:r w:rsidR="00E77AB3">
        <w:rPr>
          <w:rFonts w:cstheme="minorHAnsi"/>
          <w:sz w:val="24"/>
          <w:szCs w:val="24"/>
        </w:rPr>
        <w:t xml:space="preserve">potential </w:t>
      </w:r>
      <w:r w:rsidRPr="00AF6991">
        <w:rPr>
          <w:rFonts w:cstheme="minorHAnsi"/>
          <w:sz w:val="24"/>
          <w:szCs w:val="24"/>
        </w:rPr>
        <w:t>barrier to access</w:t>
      </w:r>
      <w:r w:rsidR="00B76D27">
        <w:rPr>
          <w:rFonts w:cstheme="minorHAnsi"/>
          <w:sz w:val="24"/>
          <w:szCs w:val="24"/>
        </w:rPr>
        <w:t xml:space="preserve"> (this is discussed further in the conclusion)</w:t>
      </w:r>
      <w:r w:rsidRPr="00AF6991">
        <w:rPr>
          <w:rFonts w:cstheme="minorHAnsi"/>
          <w:sz w:val="24"/>
          <w:szCs w:val="24"/>
        </w:rPr>
        <w:t>.</w:t>
      </w:r>
    </w:p>
    <w:p w14:paraId="7CE96F87" w14:textId="77777777" w:rsidR="00AF6991" w:rsidRPr="00AF6991" w:rsidRDefault="00AF6991" w:rsidP="00AF6991">
      <w:pPr>
        <w:spacing w:after="120" w:line="480" w:lineRule="auto"/>
        <w:rPr>
          <w:rFonts w:cstheme="minorHAnsi"/>
          <w:bCs/>
          <w:sz w:val="24"/>
          <w:szCs w:val="24"/>
          <w:lang w:val="en-US"/>
        </w:rPr>
      </w:pPr>
      <w:r w:rsidRPr="00AF6991">
        <w:rPr>
          <w:rFonts w:cstheme="minorHAnsi"/>
          <w:bCs/>
          <w:sz w:val="24"/>
          <w:szCs w:val="24"/>
          <w:lang w:val="en-US"/>
        </w:rPr>
        <w:t>A fair proportion of the interviewees understood that independent advisers could offer products from the ‘whole of market’, Heather explained independence as:</w:t>
      </w:r>
    </w:p>
    <w:p w14:paraId="22689058" w14:textId="77777777" w:rsidR="00AF6991" w:rsidRPr="00AF6991" w:rsidRDefault="00AF6991" w:rsidP="00AF6991">
      <w:pPr>
        <w:spacing w:after="120" w:line="480" w:lineRule="auto"/>
        <w:ind w:firstLine="720"/>
        <w:rPr>
          <w:rFonts w:cstheme="minorHAnsi"/>
          <w:bCs/>
          <w:sz w:val="24"/>
          <w:szCs w:val="24"/>
          <w:lang w:val="en-US"/>
        </w:rPr>
      </w:pPr>
      <w:r w:rsidRPr="00AF6991">
        <w:rPr>
          <w:rFonts w:cstheme="minorHAnsi"/>
          <w:bCs/>
          <w:sz w:val="24"/>
          <w:szCs w:val="24"/>
          <w:lang w:val="en-US"/>
        </w:rPr>
        <w:t xml:space="preserve">“… </w:t>
      </w:r>
      <w:r w:rsidRPr="00AF6991">
        <w:rPr>
          <w:rFonts w:cstheme="minorHAnsi"/>
          <w:bCs/>
          <w:i/>
          <w:sz w:val="24"/>
          <w:szCs w:val="24"/>
          <w:lang w:val="en-US"/>
        </w:rPr>
        <w:t>that means he’s not allied to one particular finance house”</w:t>
      </w:r>
    </w:p>
    <w:p w14:paraId="20765504" w14:textId="77777777" w:rsidR="00AF6991" w:rsidRPr="00AF6991" w:rsidRDefault="00AF6991" w:rsidP="00AF6991">
      <w:pPr>
        <w:spacing w:after="120" w:line="480" w:lineRule="auto"/>
        <w:rPr>
          <w:rFonts w:cstheme="minorHAnsi"/>
          <w:bCs/>
          <w:sz w:val="24"/>
          <w:szCs w:val="24"/>
          <w:lang w:val="en-US"/>
        </w:rPr>
      </w:pPr>
      <w:r w:rsidRPr="00AF6991">
        <w:rPr>
          <w:rFonts w:cstheme="minorHAnsi"/>
          <w:bCs/>
          <w:sz w:val="24"/>
          <w:szCs w:val="24"/>
          <w:lang w:val="en-US"/>
        </w:rPr>
        <w:t xml:space="preserve">Many interviewees failed to appreciate that restricted advice could have cost implications and may not always provide access to the best products. There seemed to be a mis-conception that bank/tied advice was free whereas independent advice would incur a fee. </w:t>
      </w:r>
    </w:p>
    <w:p w14:paraId="76A83425" w14:textId="1354DDB0" w:rsidR="00AF6991" w:rsidRPr="00AF6991" w:rsidRDefault="00AF6991" w:rsidP="00AF6991">
      <w:pPr>
        <w:spacing w:after="120" w:line="480" w:lineRule="auto"/>
        <w:rPr>
          <w:rFonts w:cstheme="minorHAnsi"/>
          <w:bCs/>
          <w:sz w:val="24"/>
          <w:szCs w:val="24"/>
          <w:lang w:val="en-US"/>
        </w:rPr>
      </w:pPr>
      <w:r w:rsidRPr="00AF6991">
        <w:rPr>
          <w:rFonts w:cstheme="minorHAnsi"/>
          <w:bCs/>
          <w:sz w:val="24"/>
          <w:szCs w:val="24"/>
          <w:lang w:val="en-US"/>
        </w:rPr>
        <w:t>Knowledge regarding the scope of services advisers offered was limited and there was little appreciation that one adviser (depending on particular F</w:t>
      </w:r>
      <w:r w:rsidR="00183244">
        <w:rPr>
          <w:rFonts w:cstheme="minorHAnsi"/>
          <w:bCs/>
          <w:sz w:val="24"/>
          <w:szCs w:val="24"/>
          <w:lang w:val="en-US"/>
        </w:rPr>
        <w:t>C</w:t>
      </w:r>
      <w:r w:rsidRPr="00AF6991">
        <w:rPr>
          <w:rFonts w:cstheme="minorHAnsi"/>
          <w:bCs/>
          <w:sz w:val="24"/>
          <w:szCs w:val="24"/>
          <w:lang w:val="en-US"/>
        </w:rPr>
        <w:t xml:space="preserve">A permissions granted) could potentially deal with all aspects of their financial planning. </w:t>
      </w:r>
    </w:p>
    <w:p w14:paraId="2DE56A66" w14:textId="51D62772" w:rsidR="0067510E" w:rsidRDefault="00AF6991" w:rsidP="00AF6991">
      <w:pPr>
        <w:spacing w:after="120" w:line="480" w:lineRule="auto"/>
        <w:rPr>
          <w:rFonts w:cstheme="minorHAnsi"/>
          <w:sz w:val="24"/>
          <w:szCs w:val="24"/>
        </w:rPr>
      </w:pPr>
      <w:r w:rsidRPr="00AF6991">
        <w:rPr>
          <w:rFonts w:cstheme="minorHAnsi"/>
          <w:bCs/>
          <w:iCs/>
          <w:sz w:val="24"/>
          <w:szCs w:val="24"/>
        </w:rPr>
        <w:t xml:space="preserve">The FABM was then tested to highlight where issues arose on an interviewee’s journey to financial advice. The comparison of Frank and David </w:t>
      </w:r>
      <w:r w:rsidR="007F4692">
        <w:rPr>
          <w:rFonts w:cstheme="minorHAnsi"/>
          <w:bCs/>
          <w:iCs/>
          <w:sz w:val="24"/>
          <w:szCs w:val="24"/>
        </w:rPr>
        <w:t xml:space="preserve">shown in table 4 </w:t>
      </w:r>
      <w:r w:rsidRPr="00AF6991">
        <w:rPr>
          <w:rFonts w:cstheme="minorHAnsi"/>
          <w:bCs/>
          <w:iCs/>
          <w:sz w:val="24"/>
          <w:szCs w:val="24"/>
        </w:rPr>
        <w:t xml:space="preserve">illustrates how different perceptions of the advice channel can </w:t>
      </w:r>
      <w:r w:rsidRPr="00AF6991">
        <w:rPr>
          <w:rFonts w:cstheme="minorHAnsi"/>
          <w:sz w:val="24"/>
          <w:szCs w:val="24"/>
        </w:rPr>
        <w:t xml:space="preserve">result in different outcomes. David’s journey to advice resulted in him being able to </w:t>
      </w:r>
      <w:r w:rsidR="0067510E">
        <w:rPr>
          <w:rFonts w:cstheme="minorHAnsi"/>
          <w:sz w:val="24"/>
          <w:szCs w:val="24"/>
        </w:rPr>
        <w:t>make an informed decision while</w:t>
      </w:r>
      <w:r w:rsidRPr="00AF6991">
        <w:rPr>
          <w:rFonts w:cstheme="minorHAnsi"/>
          <w:sz w:val="24"/>
          <w:szCs w:val="24"/>
        </w:rPr>
        <w:t xml:space="preserve"> Frank’s perception of advice acted as a barrier.</w:t>
      </w:r>
    </w:p>
    <w:p w14:paraId="1FB4300F" w14:textId="77777777" w:rsidR="0067510E" w:rsidRDefault="0067510E">
      <w:pPr>
        <w:rPr>
          <w:rFonts w:cstheme="minorHAnsi"/>
          <w:sz w:val="24"/>
          <w:szCs w:val="24"/>
        </w:rPr>
      </w:pPr>
      <w:r>
        <w:rPr>
          <w:rFonts w:cstheme="minorHAnsi"/>
          <w:sz w:val="24"/>
          <w:szCs w:val="24"/>
        </w:rPr>
        <w:br w:type="page"/>
      </w:r>
    </w:p>
    <w:p w14:paraId="1E6989BF" w14:textId="7E6388E7" w:rsidR="00AF6991" w:rsidRPr="0067510E" w:rsidRDefault="0067510E" w:rsidP="0067510E">
      <w:pPr>
        <w:spacing w:after="120" w:line="360" w:lineRule="auto"/>
        <w:rPr>
          <w:rFonts w:cstheme="minorHAnsi"/>
          <w:b/>
          <w:bCs/>
          <w:iCs/>
          <w:sz w:val="24"/>
          <w:szCs w:val="24"/>
        </w:rPr>
      </w:pPr>
      <w:r>
        <w:rPr>
          <w:rFonts w:cstheme="minorHAnsi"/>
          <w:b/>
          <w:bCs/>
          <w:iCs/>
          <w:sz w:val="24"/>
          <w:szCs w:val="24"/>
        </w:rPr>
        <w:lastRenderedPageBreak/>
        <w:t>Table 4</w:t>
      </w:r>
      <w:r w:rsidRPr="00AF6991">
        <w:rPr>
          <w:rFonts w:cstheme="minorHAnsi"/>
          <w:b/>
          <w:bCs/>
          <w:iCs/>
          <w:sz w:val="24"/>
          <w:szCs w:val="24"/>
        </w:rPr>
        <w:t xml:space="preserve"> – Consumer per</w:t>
      </w:r>
      <w:r w:rsidR="000B555C">
        <w:rPr>
          <w:rFonts w:cstheme="minorHAnsi"/>
          <w:b/>
          <w:bCs/>
          <w:iCs/>
          <w:sz w:val="24"/>
          <w:szCs w:val="24"/>
        </w:rPr>
        <w:t>ception of advice as a barrier (Moss, 2015)</w:t>
      </w:r>
    </w:p>
    <w:tbl>
      <w:tblPr>
        <w:tblStyle w:val="TableGrid"/>
        <w:tblW w:w="0" w:type="auto"/>
        <w:tblLook w:val="04A0" w:firstRow="1" w:lastRow="0" w:firstColumn="1" w:lastColumn="0" w:noHBand="0" w:noVBand="1"/>
      </w:tblPr>
      <w:tblGrid>
        <w:gridCol w:w="1555"/>
        <w:gridCol w:w="3812"/>
        <w:gridCol w:w="3649"/>
      </w:tblGrid>
      <w:tr w:rsidR="00AF6991" w:rsidRPr="00AF6991" w14:paraId="5B0143C7" w14:textId="77777777" w:rsidTr="00B76D27">
        <w:tc>
          <w:tcPr>
            <w:tcW w:w="1555" w:type="dxa"/>
          </w:tcPr>
          <w:p w14:paraId="552FA7BD" w14:textId="77777777" w:rsidR="00AF6991" w:rsidRPr="00AF6991" w:rsidRDefault="00AF6991" w:rsidP="00AF6991">
            <w:pPr>
              <w:rPr>
                <w:rFonts w:cstheme="minorHAnsi"/>
                <w:b/>
              </w:rPr>
            </w:pPr>
            <w:r w:rsidRPr="00AF6991">
              <w:rPr>
                <w:rFonts w:cstheme="minorHAnsi"/>
                <w:b/>
              </w:rPr>
              <w:t>Section of Model</w:t>
            </w:r>
          </w:p>
        </w:tc>
        <w:tc>
          <w:tcPr>
            <w:tcW w:w="3812" w:type="dxa"/>
          </w:tcPr>
          <w:p w14:paraId="2042F1F3" w14:textId="77777777" w:rsidR="00AF6991" w:rsidRPr="00AF6991" w:rsidRDefault="00AF6991" w:rsidP="00AF6991">
            <w:pPr>
              <w:jc w:val="center"/>
              <w:rPr>
                <w:rFonts w:cstheme="minorHAnsi"/>
                <w:b/>
              </w:rPr>
            </w:pPr>
            <w:r w:rsidRPr="00AF6991">
              <w:rPr>
                <w:rFonts w:cstheme="minorHAnsi"/>
                <w:b/>
              </w:rPr>
              <w:t>Frank</w:t>
            </w:r>
          </w:p>
        </w:tc>
        <w:tc>
          <w:tcPr>
            <w:tcW w:w="3649" w:type="dxa"/>
          </w:tcPr>
          <w:p w14:paraId="4348CD85" w14:textId="77777777" w:rsidR="00AF6991" w:rsidRPr="00AF6991" w:rsidRDefault="00AF6991" w:rsidP="00AF6991">
            <w:pPr>
              <w:jc w:val="center"/>
              <w:rPr>
                <w:rFonts w:cstheme="minorHAnsi"/>
                <w:b/>
              </w:rPr>
            </w:pPr>
            <w:r w:rsidRPr="00AF6991">
              <w:rPr>
                <w:rFonts w:cstheme="minorHAnsi"/>
                <w:b/>
              </w:rPr>
              <w:t>David</w:t>
            </w:r>
          </w:p>
        </w:tc>
      </w:tr>
      <w:tr w:rsidR="00AF6991" w:rsidRPr="00AF6991" w14:paraId="4E8F0A45" w14:textId="77777777" w:rsidTr="00B76D27">
        <w:tc>
          <w:tcPr>
            <w:tcW w:w="1555" w:type="dxa"/>
          </w:tcPr>
          <w:p w14:paraId="5A9208AD" w14:textId="77777777" w:rsidR="00AF6991" w:rsidRPr="00AF6991" w:rsidRDefault="00AF6991" w:rsidP="00AF6991">
            <w:pPr>
              <w:rPr>
                <w:rFonts w:cstheme="minorHAnsi"/>
              </w:rPr>
            </w:pPr>
            <w:r w:rsidRPr="00AF6991">
              <w:rPr>
                <w:rFonts w:cstheme="minorHAnsi"/>
              </w:rPr>
              <w:t>Trigger Events</w:t>
            </w:r>
          </w:p>
        </w:tc>
        <w:tc>
          <w:tcPr>
            <w:tcW w:w="3812" w:type="dxa"/>
          </w:tcPr>
          <w:p w14:paraId="2F63B774" w14:textId="77777777" w:rsidR="00AF6991" w:rsidRPr="00AF6991" w:rsidRDefault="00AF6991" w:rsidP="00AF6991">
            <w:pPr>
              <w:rPr>
                <w:rFonts w:cstheme="minorHAnsi"/>
              </w:rPr>
            </w:pPr>
            <w:r w:rsidRPr="00AF6991">
              <w:rPr>
                <w:rFonts w:cstheme="minorHAnsi"/>
              </w:rPr>
              <w:t>Advice not perceived as subjective norm so there is no internal trigger. Similarly, there have been no external triggers to advice.</w:t>
            </w:r>
          </w:p>
        </w:tc>
        <w:tc>
          <w:tcPr>
            <w:tcW w:w="3649" w:type="dxa"/>
          </w:tcPr>
          <w:p w14:paraId="1F81B87B" w14:textId="77777777" w:rsidR="00AF6991" w:rsidRPr="00AF6991" w:rsidRDefault="00AF6991" w:rsidP="00AF6991">
            <w:pPr>
              <w:rPr>
                <w:rFonts w:cstheme="minorHAnsi"/>
              </w:rPr>
            </w:pPr>
            <w:r w:rsidRPr="00AF6991">
              <w:rPr>
                <w:rFonts w:cstheme="minorHAnsi"/>
              </w:rPr>
              <w:t>Internal trigger prompts action</w:t>
            </w:r>
          </w:p>
        </w:tc>
      </w:tr>
      <w:tr w:rsidR="00AF6991" w:rsidRPr="00AF6991" w14:paraId="0C69E982" w14:textId="77777777" w:rsidTr="00B76D27">
        <w:tc>
          <w:tcPr>
            <w:tcW w:w="1555" w:type="dxa"/>
          </w:tcPr>
          <w:p w14:paraId="6089CCC2" w14:textId="77777777" w:rsidR="00AF6991" w:rsidRPr="00AF6991" w:rsidRDefault="00AF6991" w:rsidP="00AF6991">
            <w:pPr>
              <w:rPr>
                <w:rFonts w:cstheme="minorHAnsi"/>
              </w:rPr>
            </w:pPr>
            <w:r w:rsidRPr="00AF6991">
              <w:rPr>
                <w:rFonts w:cstheme="minorHAnsi"/>
              </w:rPr>
              <w:t xml:space="preserve">Motivators </w:t>
            </w:r>
          </w:p>
        </w:tc>
        <w:tc>
          <w:tcPr>
            <w:tcW w:w="3812" w:type="dxa"/>
          </w:tcPr>
          <w:p w14:paraId="21812A8F" w14:textId="77777777" w:rsidR="00AF6991" w:rsidRPr="00AF6991" w:rsidRDefault="00AF6991" w:rsidP="00AF6991">
            <w:pPr>
              <w:rPr>
                <w:rFonts w:cstheme="minorHAnsi"/>
              </w:rPr>
            </w:pPr>
            <w:r w:rsidRPr="00AF6991">
              <w:rPr>
                <w:rFonts w:cstheme="minorHAnsi"/>
              </w:rPr>
              <w:t>Not applicable</w:t>
            </w:r>
          </w:p>
        </w:tc>
        <w:tc>
          <w:tcPr>
            <w:tcW w:w="3649" w:type="dxa"/>
          </w:tcPr>
          <w:p w14:paraId="734A81FE" w14:textId="77777777" w:rsidR="00AF6991" w:rsidRPr="00AF6991" w:rsidRDefault="00AF6991" w:rsidP="00AF6991">
            <w:pPr>
              <w:rPr>
                <w:rFonts w:cstheme="minorHAnsi"/>
              </w:rPr>
            </w:pPr>
            <w:r w:rsidRPr="00AF6991">
              <w:rPr>
                <w:rFonts w:cstheme="minorHAnsi"/>
              </w:rPr>
              <w:t>Desire to have sufficient income in retirement acts as motivation</w:t>
            </w:r>
          </w:p>
        </w:tc>
      </w:tr>
      <w:tr w:rsidR="00AF6991" w:rsidRPr="00AF6991" w14:paraId="64E74F25" w14:textId="77777777" w:rsidTr="00B76D27">
        <w:tc>
          <w:tcPr>
            <w:tcW w:w="1555" w:type="dxa"/>
          </w:tcPr>
          <w:p w14:paraId="562FD9FF" w14:textId="77777777" w:rsidR="00AF6991" w:rsidRPr="00AF6991" w:rsidRDefault="00AF6991" w:rsidP="00AF6991">
            <w:pPr>
              <w:rPr>
                <w:rFonts w:cstheme="minorHAnsi"/>
              </w:rPr>
            </w:pPr>
            <w:r w:rsidRPr="00AF6991">
              <w:rPr>
                <w:rFonts w:cstheme="minorHAnsi"/>
              </w:rPr>
              <w:t>Intention Influencers</w:t>
            </w:r>
          </w:p>
        </w:tc>
        <w:tc>
          <w:tcPr>
            <w:tcW w:w="3812" w:type="dxa"/>
          </w:tcPr>
          <w:p w14:paraId="04CAE734" w14:textId="77777777" w:rsidR="00AF6991" w:rsidRPr="00AF6991" w:rsidRDefault="00AF6991" w:rsidP="00AF6991">
            <w:pPr>
              <w:rPr>
                <w:rFonts w:cstheme="minorHAnsi"/>
              </w:rPr>
            </w:pPr>
            <w:r w:rsidRPr="00AF6991">
              <w:rPr>
                <w:rFonts w:cstheme="minorHAnsi"/>
              </w:rPr>
              <w:t>Not applicable</w:t>
            </w:r>
          </w:p>
        </w:tc>
        <w:tc>
          <w:tcPr>
            <w:tcW w:w="3649" w:type="dxa"/>
          </w:tcPr>
          <w:p w14:paraId="77146804" w14:textId="77777777" w:rsidR="00AF6991" w:rsidRPr="00AF6991" w:rsidRDefault="00AF6991" w:rsidP="00AF6991">
            <w:pPr>
              <w:rPr>
                <w:rFonts w:cstheme="minorHAnsi"/>
              </w:rPr>
            </w:pPr>
            <w:r w:rsidRPr="00AF6991">
              <w:rPr>
                <w:rFonts w:cstheme="minorHAnsi"/>
              </w:rPr>
              <w:t>David perceives the outcome of advice as something that will help him establish the likely value of his pension at retirement. So, outcome expectancy is a driver of advice</w:t>
            </w:r>
          </w:p>
        </w:tc>
      </w:tr>
      <w:tr w:rsidR="00AF6991" w:rsidRPr="00AF6991" w14:paraId="60CE2FA5" w14:textId="77777777" w:rsidTr="00B76D27">
        <w:tc>
          <w:tcPr>
            <w:tcW w:w="1555" w:type="dxa"/>
          </w:tcPr>
          <w:p w14:paraId="18D43BA6" w14:textId="77777777" w:rsidR="00AF6991" w:rsidRPr="00AF6991" w:rsidRDefault="00AF6991" w:rsidP="00AF6991">
            <w:pPr>
              <w:rPr>
                <w:rFonts w:cstheme="minorHAnsi"/>
              </w:rPr>
            </w:pPr>
            <w:r w:rsidRPr="00AF6991">
              <w:rPr>
                <w:rFonts w:cstheme="minorHAnsi"/>
              </w:rPr>
              <w:t>Self-Efficacy</w:t>
            </w:r>
          </w:p>
        </w:tc>
        <w:tc>
          <w:tcPr>
            <w:tcW w:w="3812" w:type="dxa"/>
          </w:tcPr>
          <w:p w14:paraId="210116CA" w14:textId="77777777" w:rsidR="00AF6991" w:rsidRPr="00AF6991" w:rsidRDefault="00AF6991" w:rsidP="00AF6991">
            <w:pPr>
              <w:rPr>
                <w:rFonts w:cstheme="minorHAnsi"/>
              </w:rPr>
            </w:pPr>
            <w:r w:rsidRPr="00AF6991">
              <w:rPr>
                <w:rFonts w:cstheme="minorHAnsi"/>
              </w:rPr>
              <w:t xml:space="preserve">Not applicable </w:t>
            </w:r>
          </w:p>
        </w:tc>
        <w:tc>
          <w:tcPr>
            <w:tcW w:w="3649" w:type="dxa"/>
          </w:tcPr>
          <w:p w14:paraId="41D401CC" w14:textId="77777777" w:rsidR="00AF6991" w:rsidRPr="00AF6991" w:rsidRDefault="00AF6991" w:rsidP="00AF6991">
            <w:pPr>
              <w:rPr>
                <w:rFonts w:cstheme="minorHAnsi"/>
              </w:rPr>
            </w:pPr>
            <w:r w:rsidRPr="00AF6991">
              <w:rPr>
                <w:rFonts w:cstheme="minorHAnsi"/>
              </w:rPr>
              <w:t>David found difficulty finding an adviser that would provide this service. He eventually found a suitable adviser via an employer seminar.</w:t>
            </w:r>
          </w:p>
          <w:p w14:paraId="7D55D4B5" w14:textId="77777777" w:rsidR="00AF6991" w:rsidRPr="00AF6991" w:rsidRDefault="00AF6991" w:rsidP="00AF6991">
            <w:pPr>
              <w:rPr>
                <w:rFonts w:cstheme="minorHAnsi"/>
              </w:rPr>
            </w:pPr>
            <w:r w:rsidRPr="00AF6991">
              <w:rPr>
                <w:rFonts w:cstheme="minorHAnsi"/>
              </w:rPr>
              <w:t xml:space="preserve">Advisers he had spoken to earlier did not seem interested in assisting him with this. </w:t>
            </w:r>
          </w:p>
        </w:tc>
      </w:tr>
      <w:tr w:rsidR="00AF6991" w:rsidRPr="00AF6991" w14:paraId="1786CA7C" w14:textId="77777777" w:rsidTr="00B76D27">
        <w:tc>
          <w:tcPr>
            <w:tcW w:w="1555" w:type="dxa"/>
          </w:tcPr>
          <w:p w14:paraId="6106AB93" w14:textId="77777777" w:rsidR="00AF6991" w:rsidRPr="00AF6991" w:rsidRDefault="00AF6991" w:rsidP="00AF6991">
            <w:pPr>
              <w:rPr>
                <w:rFonts w:cstheme="minorHAnsi"/>
              </w:rPr>
            </w:pPr>
            <w:r w:rsidRPr="00AF6991">
              <w:rPr>
                <w:rFonts w:cstheme="minorHAnsi"/>
              </w:rPr>
              <w:t xml:space="preserve">Comments </w:t>
            </w:r>
          </w:p>
        </w:tc>
        <w:tc>
          <w:tcPr>
            <w:tcW w:w="3812" w:type="dxa"/>
          </w:tcPr>
          <w:p w14:paraId="57F1100D" w14:textId="77777777" w:rsidR="00AF6991" w:rsidRPr="00AF6991" w:rsidRDefault="00AF6991" w:rsidP="00AF6991">
            <w:pPr>
              <w:rPr>
                <w:rFonts w:cstheme="minorHAnsi"/>
              </w:rPr>
            </w:pPr>
            <w:r w:rsidRPr="00AF6991">
              <w:rPr>
                <w:rFonts w:cstheme="minorHAnsi"/>
              </w:rPr>
              <w:t>The barrier in this case is knowledge of adviser services and in particular Frank’s perception of advice as a route to a product rather than a means of helping him make an informed decision</w:t>
            </w:r>
          </w:p>
        </w:tc>
        <w:tc>
          <w:tcPr>
            <w:tcW w:w="3649" w:type="dxa"/>
          </w:tcPr>
          <w:p w14:paraId="5601A0E8" w14:textId="77777777" w:rsidR="00AF6991" w:rsidRPr="00AF6991" w:rsidRDefault="00AF6991" w:rsidP="00AF6991">
            <w:pPr>
              <w:rPr>
                <w:rFonts w:cstheme="minorHAnsi"/>
              </w:rPr>
            </w:pPr>
            <w:r w:rsidRPr="00AF6991">
              <w:rPr>
                <w:rFonts w:cstheme="minorHAnsi"/>
              </w:rPr>
              <w:t>David encountered some barriers on his journey to advice but eventually overcame these. Clearly the fact that he perceived advice as something that would help him establish his current position rather than just sales channel is an important aspect of his journey.</w:t>
            </w:r>
          </w:p>
        </w:tc>
      </w:tr>
    </w:tbl>
    <w:p w14:paraId="7219D58A" w14:textId="77777777" w:rsidR="0067510E" w:rsidRDefault="0067510E" w:rsidP="00740D18">
      <w:pPr>
        <w:spacing w:after="120" w:line="480" w:lineRule="auto"/>
        <w:rPr>
          <w:rFonts w:cstheme="minorHAnsi"/>
          <w:bCs/>
          <w:iCs/>
          <w:sz w:val="24"/>
          <w:szCs w:val="24"/>
        </w:rPr>
      </w:pPr>
    </w:p>
    <w:p w14:paraId="4074F151" w14:textId="77777777" w:rsidR="0067510E" w:rsidRDefault="00AF6991" w:rsidP="00740D18">
      <w:pPr>
        <w:spacing w:after="120" w:line="480" w:lineRule="auto"/>
        <w:rPr>
          <w:rFonts w:cstheme="minorHAnsi"/>
          <w:bCs/>
          <w:iCs/>
          <w:sz w:val="24"/>
          <w:szCs w:val="24"/>
        </w:rPr>
      </w:pPr>
      <w:r w:rsidRPr="00AF6991">
        <w:rPr>
          <w:rFonts w:cstheme="minorHAnsi"/>
          <w:bCs/>
          <w:iCs/>
          <w:sz w:val="24"/>
          <w:szCs w:val="24"/>
        </w:rPr>
        <w:t xml:space="preserve">These different perspectives can result in some consumers not considering advice unless they have a need for a </w:t>
      </w:r>
      <w:r w:rsidR="0067510E">
        <w:rPr>
          <w:rFonts w:cstheme="minorHAnsi"/>
          <w:bCs/>
          <w:iCs/>
          <w:sz w:val="24"/>
          <w:szCs w:val="24"/>
        </w:rPr>
        <w:t>product. This in turn means</w:t>
      </w:r>
      <w:r w:rsidRPr="00AF6991">
        <w:rPr>
          <w:rFonts w:cstheme="minorHAnsi"/>
          <w:bCs/>
          <w:iCs/>
          <w:sz w:val="24"/>
          <w:szCs w:val="24"/>
        </w:rPr>
        <w:t xml:space="preserve"> they are less likely to understand the full value advice can add </w:t>
      </w:r>
      <w:r w:rsidR="0067510E">
        <w:rPr>
          <w:rFonts w:cstheme="minorHAnsi"/>
          <w:bCs/>
          <w:iCs/>
          <w:sz w:val="24"/>
          <w:szCs w:val="24"/>
        </w:rPr>
        <w:t xml:space="preserve">to their financial position, </w:t>
      </w:r>
      <w:r w:rsidRPr="00AF6991">
        <w:rPr>
          <w:rFonts w:cstheme="minorHAnsi"/>
          <w:bCs/>
          <w:iCs/>
          <w:sz w:val="24"/>
          <w:szCs w:val="24"/>
        </w:rPr>
        <w:t>and this in itself acts as a barrier.</w:t>
      </w:r>
      <w:r w:rsidR="0069443B">
        <w:rPr>
          <w:rFonts w:cstheme="minorHAnsi"/>
          <w:bCs/>
          <w:iCs/>
          <w:sz w:val="24"/>
          <w:szCs w:val="24"/>
        </w:rPr>
        <w:t xml:space="preserve"> The </w:t>
      </w:r>
      <w:r w:rsidR="0072096B">
        <w:rPr>
          <w:rFonts w:cstheme="minorHAnsi"/>
          <w:bCs/>
          <w:iCs/>
          <w:sz w:val="24"/>
          <w:szCs w:val="24"/>
        </w:rPr>
        <w:t>FAMR Baseline Survey (FCA, 2017a) tells us that 50% of those that had not taken advice suggested they did not need it and a further 28% decided to make their own decisions. Yet the Financial Lives survey suggests that</w:t>
      </w:r>
      <w:r w:rsidR="00516B92">
        <w:rPr>
          <w:rFonts w:cstheme="minorHAnsi"/>
          <w:bCs/>
          <w:iCs/>
          <w:sz w:val="24"/>
          <w:szCs w:val="24"/>
        </w:rPr>
        <w:t>:</w:t>
      </w:r>
      <w:r w:rsidR="0072096B">
        <w:rPr>
          <w:rFonts w:cstheme="minorHAnsi"/>
          <w:bCs/>
          <w:iCs/>
          <w:sz w:val="24"/>
          <w:szCs w:val="24"/>
        </w:rPr>
        <w:t xml:space="preserve"> </w:t>
      </w:r>
    </w:p>
    <w:p w14:paraId="733C1CFA" w14:textId="66B12451" w:rsidR="00740D18" w:rsidRDefault="00740D18" w:rsidP="0067510E">
      <w:pPr>
        <w:spacing w:after="120" w:line="480" w:lineRule="auto"/>
        <w:ind w:left="720" w:firstLine="60"/>
        <w:rPr>
          <w:rFonts w:cstheme="minorHAnsi"/>
          <w:sz w:val="24"/>
          <w:szCs w:val="24"/>
        </w:rPr>
      </w:pPr>
      <w:r>
        <w:rPr>
          <w:rFonts w:cstheme="minorHAnsi"/>
          <w:sz w:val="24"/>
          <w:szCs w:val="24"/>
        </w:rPr>
        <w:t>… “</w:t>
      </w:r>
      <w:r w:rsidRPr="009B3AB2">
        <w:rPr>
          <w:rFonts w:cstheme="minorHAnsi"/>
          <w:i/>
          <w:iCs/>
          <w:sz w:val="24"/>
          <w:szCs w:val="24"/>
        </w:rPr>
        <w:t>The proportion of UK adults with characteristics of vulnerability increases significantly over the period to 53%</w:t>
      </w:r>
      <w:r>
        <w:rPr>
          <w:rFonts w:cstheme="minorHAnsi"/>
          <w:sz w:val="24"/>
          <w:szCs w:val="24"/>
        </w:rPr>
        <w:t>”</w:t>
      </w:r>
      <w:r w:rsidRPr="009B3AB2">
        <w:rPr>
          <w:rFonts w:cstheme="minorHAnsi"/>
          <w:i/>
          <w:iCs/>
          <w:sz w:val="24"/>
          <w:szCs w:val="24"/>
        </w:rPr>
        <w:t xml:space="preserve"> </w:t>
      </w:r>
      <w:r>
        <w:rPr>
          <w:rFonts w:cstheme="minorHAnsi"/>
          <w:sz w:val="24"/>
          <w:szCs w:val="24"/>
        </w:rPr>
        <w:t>… (FCA, 2020a).</w:t>
      </w:r>
    </w:p>
    <w:p w14:paraId="1E7A8178" w14:textId="0D7CB787" w:rsidR="00AF6991" w:rsidRPr="0072096B" w:rsidRDefault="00A911E2" w:rsidP="00AF6991">
      <w:pPr>
        <w:spacing w:after="120" w:line="480" w:lineRule="auto"/>
        <w:rPr>
          <w:rFonts w:cstheme="minorHAnsi"/>
          <w:sz w:val="24"/>
          <w:szCs w:val="24"/>
        </w:rPr>
      </w:pPr>
      <w:r>
        <w:rPr>
          <w:rFonts w:cstheme="minorHAnsi"/>
          <w:bCs/>
          <w:iCs/>
          <w:sz w:val="24"/>
          <w:szCs w:val="24"/>
        </w:rPr>
        <w:lastRenderedPageBreak/>
        <w:t xml:space="preserve">The findings from these two significant surveys, support our contention </w:t>
      </w:r>
      <w:r w:rsidR="00740D18">
        <w:rPr>
          <w:rFonts w:cstheme="minorHAnsi"/>
          <w:bCs/>
          <w:iCs/>
          <w:sz w:val="24"/>
          <w:szCs w:val="24"/>
        </w:rPr>
        <w:t xml:space="preserve">based on our interviews; </w:t>
      </w:r>
      <w:r>
        <w:rPr>
          <w:rFonts w:cstheme="minorHAnsi"/>
          <w:bCs/>
          <w:iCs/>
          <w:sz w:val="24"/>
          <w:szCs w:val="24"/>
        </w:rPr>
        <w:t>that consumers</w:t>
      </w:r>
      <w:r w:rsidR="00152728">
        <w:rPr>
          <w:rFonts w:cstheme="minorHAnsi"/>
          <w:bCs/>
          <w:iCs/>
          <w:sz w:val="24"/>
          <w:szCs w:val="24"/>
        </w:rPr>
        <w:t>’</w:t>
      </w:r>
      <w:r>
        <w:rPr>
          <w:rFonts w:cstheme="minorHAnsi"/>
          <w:bCs/>
          <w:iCs/>
          <w:sz w:val="24"/>
          <w:szCs w:val="24"/>
        </w:rPr>
        <w:t xml:space="preserve"> lack</w:t>
      </w:r>
      <w:r w:rsidR="00152728">
        <w:rPr>
          <w:rFonts w:cstheme="minorHAnsi"/>
          <w:bCs/>
          <w:iCs/>
          <w:sz w:val="24"/>
          <w:szCs w:val="24"/>
        </w:rPr>
        <w:t xml:space="preserve"> of</w:t>
      </w:r>
      <w:r>
        <w:rPr>
          <w:rFonts w:cstheme="minorHAnsi"/>
          <w:bCs/>
          <w:iCs/>
          <w:sz w:val="24"/>
          <w:szCs w:val="24"/>
        </w:rPr>
        <w:t xml:space="preserve"> understanding of advice services leads to what must be a false impression that they have no need for advice, as is the case for Frank.</w:t>
      </w:r>
    </w:p>
    <w:p w14:paraId="5813DBA9" w14:textId="0F477F4D" w:rsidR="00AF6991" w:rsidRPr="00AF6991" w:rsidRDefault="00BE42FB" w:rsidP="00AF6991">
      <w:pPr>
        <w:spacing w:after="120" w:line="480" w:lineRule="auto"/>
        <w:rPr>
          <w:rFonts w:cstheme="minorHAnsi"/>
          <w:sz w:val="24"/>
          <w:szCs w:val="24"/>
        </w:rPr>
      </w:pPr>
      <w:r>
        <w:rPr>
          <w:rFonts w:cstheme="minorHAnsi"/>
          <w:sz w:val="24"/>
          <w:szCs w:val="24"/>
          <w:u w:val="single"/>
        </w:rPr>
        <w:t>Finding an</w:t>
      </w:r>
      <w:r w:rsidR="00AF6991" w:rsidRPr="00AF6991">
        <w:rPr>
          <w:rFonts w:cstheme="minorHAnsi"/>
          <w:sz w:val="24"/>
          <w:szCs w:val="24"/>
          <w:u w:val="single"/>
        </w:rPr>
        <w:t xml:space="preserve"> Adviser.</w:t>
      </w:r>
    </w:p>
    <w:p w14:paraId="1BE7F9B8" w14:textId="5DADCE1F" w:rsidR="00A873EF" w:rsidRDefault="00AF6991" w:rsidP="00AF6991">
      <w:pPr>
        <w:spacing w:after="120" w:line="480" w:lineRule="auto"/>
        <w:rPr>
          <w:rFonts w:cstheme="minorHAnsi"/>
          <w:bCs/>
          <w:sz w:val="24"/>
          <w:szCs w:val="24"/>
        </w:rPr>
      </w:pPr>
      <w:r w:rsidRPr="00AF6991">
        <w:rPr>
          <w:rFonts w:cstheme="minorHAnsi"/>
          <w:bCs/>
          <w:sz w:val="24"/>
          <w:szCs w:val="24"/>
        </w:rPr>
        <w:t xml:space="preserve">The knowledge barrier related to finding a suitable adviser is a confidence or self-efficacy issue. </w:t>
      </w:r>
      <w:r w:rsidR="00202F12">
        <w:rPr>
          <w:rFonts w:cstheme="minorHAnsi"/>
          <w:bCs/>
          <w:sz w:val="24"/>
          <w:szCs w:val="24"/>
        </w:rPr>
        <w:t>Bandura (1977) defines self-efficacy</w:t>
      </w:r>
      <w:r w:rsidR="00202F12" w:rsidRPr="00202F12">
        <w:rPr>
          <w:rFonts w:eastAsia="Times New Roman" w:cs="Times New Roman"/>
          <w:kern w:val="28"/>
          <w:sz w:val="24"/>
          <w:szCs w:val="24"/>
        </w:rPr>
        <w:t xml:space="preserve"> </w:t>
      </w:r>
      <w:r w:rsidR="00202F12">
        <w:rPr>
          <w:rFonts w:eastAsia="Times New Roman" w:cs="Times New Roman"/>
          <w:kern w:val="28"/>
          <w:sz w:val="24"/>
          <w:szCs w:val="24"/>
        </w:rPr>
        <w:t xml:space="preserve">as the belief </w:t>
      </w:r>
      <w:r w:rsidR="00202F12" w:rsidRPr="00DE7C8B">
        <w:rPr>
          <w:rFonts w:eastAsia="Times New Roman" w:cs="Times New Roman"/>
          <w:kern w:val="28"/>
          <w:sz w:val="24"/>
          <w:szCs w:val="24"/>
        </w:rPr>
        <w:t>by a person that they are capable of performing</w:t>
      </w:r>
      <w:r w:rsidR="00202F12">
        <w:rPr>
          <w:rFonts w:eastAsia="Times New Roman" w:cs="Times New Roman"/>
          <w:kern w:val="28"/>
          <w:sz w:val="24"/>
          <w:szCs w:val="24"/>
        </w:rPr>
        <w:t xml:space="preserve"> a particular behaviour </w:t>
      </w:r>
      <w:r w:rsidR="00202F12" w:rsidRPr="00DE7C8B">
        <w:rPr>
          <w:rFonts w:eastAsia="Times New Roman" w:cs="Times New Roman"/>
          <w:kern w:val="28"/>
          <w:sz w:val="24"/>
          <w:szCs w:val="24"/>
        </w:rPr>
        <w:t xml:space="preserve">required to achieve the </w:t>
      </w:r>
      <w:r w:rsidR="00202F12">
        <w:rPr>
          <w:rFonts w:eastAsia="Times New Roman" w:cs="Times New Roman"/>
          <w:kern w:val="28"/>
          <w:sz w:val="24"/>
          <w:szCs w:val="24"/>
        </w:rPr>
        <w:t xml:space="preserve">desired </w:t>
      </w:r>
      <w:r w:rsidR="00202F12" w:rsidRPr="00DE7C8B">
        <w:rPr>
          <w:rFonts w:eastAsia="Times New Roman" w:cs="Times New Roman"/>
          <w:kern w:val="28"/>
          <w:sz w:val="24"/>
          <w:szCs w:val="24"/>
        </w:rPr>
        <w:t>outcome.</w:t>
      </w:r>
      <w:r w:rsidR="00202F12">
        <w:rPr>
          <w:rFonts w:cstheme="minorHAnsi"/>
          <w:bCs/>
          <w:sz w:val="24"/>
          <w:szCs w:val="24"/>
        </w:rPr>
        <w:t xml:space="preserve"> So if they do not have the skills or resources (Connor and Norman, 2008) or believe the </w:t>
      </w:r>
      <w:r w:rsidR="00A873EF">
        <w:rPr>
          <w:rFonts w:cstheme="minorHAnsi"/>
          <w:bCs/>
          <w:sz w:val="24"/>
          <w:szCs w:val="24"/>
        </w:rPr>
        <w:t>outcome of inaction is less of a concern than the complexity of taking action (Rogers, 1975)</w:t>
      </w:r>
      <w:r w:rsidR="00202F12">
        <w:rPr>
          <w:rFonts w:cstheme="minorHAnsi"/>
          <w:bCs/>
          <w:sz w:val="24"/>
          <w:szCs w:val="24"/>
        </w:rPr>
        <w:t xml:space="preserve"> </w:t>
      </w:r>
      <w:r w:rsidR="00A873EF">
        <w:rPr>
          <w:rFonts w:cstheme="minorHAnsi"/>
          <w:bCs/>
          <w:sz w:val="24"/>
          <w:szCs w:val="24"/>
        </w:rPr>
        <w:t>then th</w:t>
      </w:r>
      <w:r w:rsidR="001A4635">
        <w:rPr>
          <w:rFonts w:cstheme="minorHAnsi"/>
          <w:bCs/>
          <w:sz w:val="24"/>
          <w:szCs w:val="24"/>
        </w:rPr>
        <w:t>e</w:t>
      </w:r>
      <w:r w:rsidR="00A873EF">
        <w:rPr>
          <w:rFonts w:cstheme="minorHAnsi"/>
          <w:bCs/>
          <w:sz w:val="24"/>
          <w:szCs w:val="24"/>
        </w:rPr>
        <w:t xml:space="preserve">y will </w:t>
      </w:r>
      <w:r w:rsidR="001A4635">
        <w:rPr>
          <w:rFonts w:cstheme="minorHAnsi"/>
          <w:bCs/>
          <w:sz w:val="24"/>
          <w:szCs w:val="24"/>
        </w:rPr>
        <w:t xml:space="preserve">not </w:t>
      </w:r>
      <w:r w:rsidR="00A873EF">
        <w:rPr>
          <w:rFonts w:cstheme="minorHAnsi"/>
          <w:bCs/>
          <w:sz w:val="24"/>
          <w:szCs w:val="24"/>
        </w:rPr>
        <w:t>be able to find a suitable adviser.</w:t>
      </w:r>
    </w:p>
    <w:p w14:paraId="0CDECEE5" w14:textId="2D63C74F" w:rsidR="00AF6991" w:rsidRPr="00AF6991" w:rsidRDefault="00AF6991" w:rsidP="00AF6991">
      <w:pPr>
        <w:spacing w:after="120" w:line="480" w:lineRule="auto"/>
        <w:rPr>
          <w:rFonts w:cstheme="minorHAnsi"/>
          <w:bCs/>
          <w:sz w:val="24"/>
          <w:szCs w:val="24"/>
        </w:rPr>
      </w:pPr>
      <w:r w:rsidRPr="00AF6991">
        <w:rPr>
          <w:rFonts w:cstheme="minorHAnsi"/>
          <w:bCs/>
          <w:sz w:val="24"/>
          <w:szCs w:val="24"/>
        </w:rPr>
        <w:t xml:space="preserve">Those interviewees that had taken advice either identified a suitable adviser by some form of referral (from family, a friend, a colleague, a related business or via their employer) or used their high street bank or building society. Some of the older interviewees had experience of advice via door-step services previously offered by companies such as Prudential and others. </w:t>
      </w:r>
    </w:p>
    <w:p w14:paraId="5AB3DB44" w14:textId="77777777" w:rsidR="00AF6991" w:rsidRPr="00AF6991" w:rsidRDefault="00AF6991" w:rsidP="00AF6991">
      <w:pPr>
        <w:spacing w:after="120" w:line="480" w:lineRule="auto"/>
        <w:rPr>
          <w:rFonts w:cstheme="minorHAnsi"/>
          <w:bCs/>
          <w:sz w:val="24"/>
          <w:szCs w:val="24"/>
        </w:rPr>
      </w:pPr>
      <w:r w:rsidRPr="00AF6991">
        <w:rPr>
          <w:rFonts w:cstheme="minorHAnsi"/>
          <w:bCs/>
          <w:sz w:val="24"/>
          <w:szCs w:val="24"/>
        </w:rPr>
        <w:t>These methods of finding an adviser seem to be centred on trust, either the experiences of others who they trust or the experience of dealing with ‘their bank’ which they believe can be trusted. However, there were a few examples where interviewees felt obliged to engage with advisers as in the case of Kazim.</w:t>
      </w:r>
    </w:p>
    <w:p w14:paraId="40EFA2C2" w14:textId="551CCF61" w:rsidR="00AF6991" w:rsidRDefault="00AF6991" w:rsidP="00AF6991">
      <w:pPr>
        <w:spacing w:after="120" w:line="480" w:lineRule="auto"/>
        <w:rPr>
          <w:rFonts w:cstheme="minorHAnsi"/>
          <w:sz w:val="24"/>
          <w:szCs w:val="24"/>
        </w:rPr>
      </w:pPr>
      <w:r w:rsidRPr="00AF6991">
        <w:rPr>
          <w:rFonts w:cstheme="minorHAnsi"/>
          <w:sz w:val="24"/>
          <w:szCs w:val="24"/>
        </w:rPr>
        <w:t>It seems therefore that when consumers know they need advice to achieve a particular outcome, in most cases they will find an adviser</w:t>
      </w:r>
      <w:r w:rsidR="00A873EF">
        <w:rPr>
          <w:rFonts w:cstheme="minorHAnsi"/>
          <w:sz w:val="24"/>
          <w:szCs w:val="24"/>
        </w:rPr>
        <w:t xml:space="preserve"> one way or another. A</w:t>
      </w:r>
      <w:r w:rsidRPr="00AF6991">
        <w:rPr>
          <w:rFonts w:cstheme="minorHAnsi"/>
          <w:sz w:val="24"/>
          <w:szCs w:val="24"/>
        </w:rPr>
        <w:t>lthough</w:t>
      </w:r>
      <w:r w:rsidR="00A873EF">
        <w:rPr>
          <w:rFonts w:cstheme="minorHAnsi"/>
          <w:sz w:val="24"/>
          <w:szCs w:val="24"/>
        </w:rPr>
        <w:t>, this is</w:t>
      </w:r>
      <w:r w:rsidRPr="00AF6991">
        <w:rPr>
          <w:rFonts w:cstheme="minorHAnsi"/>
          <w:sz w:val="24"/>
          <w:szCs w:val="24"/>
        </w:rPr>
        <w:t xml:space="preserve"> not always </w:t>
      </w:r>
      <w:r w:rsidR="00A873EF">
        <w:rPr>
          <w:rFonts w:cstheme="minorHAnsi"/>
          <w:sz w:val="24"/>
          <w:szCs w:val="24"/>
        </w:rPr>
        <w:t xml:space="preserve">the </w:t>
      </w:r>
      <w:r w:rsidRPr="00AF6991">
        <w:rPr>
          <w:rFonts w:cstheme="minorHAnsi"/>
          <w:sz w:val="24"/>
          <w:szCs w:val="24"/>
        </w:rPr>
        <w:t>as Marta’s experience</w:t>
      </w:r>
      <w:r w:rsidR="00183244">
        <w:rPr>
          <w:rFonts w:cstheme="minorHAnsi"/>
          <w:sz w:val="24"/>
          <w:szCs w:val="24"/>
        </w:rPr>
        <w:t>, set out in table 5,</w:t>
      </w:r>
      <w:r w:rsidR="00A873EF">
        <w:rPr>
          <w:rFonts w:cstheme="minorHAnsi"/>
          <w:sz w:val="24"/>
          <w:szCs w:val="24"/>
        </w:rPr>
        <w:t xml:space="preserve"> demonstrates</w:t>
      </w:r>
      <w:r w:rsidRPr="00AF6991">
        <w:rPr>
          <w:rFonts w:cstheme="minorHAnsi"/>
          <w:sz w:val="24"/>
          <w:szCs w:val="24"/>
        </w:rPr>
        <w:t xml:space="preserve">. </w:t>
      </w:r>
    </w:p>
    <w:p w14:paraId="4D4C9C72" w14:textId="7526F506" w:rsidR="00A873EF" w:rsidRDefault="001A4635" w:rsidP="00AF6991">
      <w:pPr>
        <w:spacing w:after="120" w:line="480" w:lineRule="auto"/>
        <w:rPr>
          <w:rFonts w:cstheme="minorHAnsi"/>
          <w:sz w:val="24"/>
          <w:szCs w:val="24"/>
        </w:rPr>
      </w:pPr>
      <w:r>
        <w:rPr>
          <w:rFonts w:cstheme="minorHAnsi"/>
          <w:sz w:val="24"/>
          <w:szCs w:val="24"/>
        </w:rPr>
        <w:lastRenderedPageBreak/>
        <w:t>Table 5 shows Marta’s journey. She</w:t>
      </w:r>
      <w:r w:rsidR="00A873EF">
        <w:rPr>
          <w:rFonts w:cstheme="minorHAnsi"/>
          <w:sz w:val="24"/>
          <w:szCs w:val="24"/>
        </w:rPr>
        <w:t xml:space="preserve"> had previously enjoyed the benefits of the services of two different financial adviser and believed that they could again help her but neither were still practicing</w:t>
      </w:r>
      <w:r>
        <w:rPr>
          <w:rFonts w:cstheme="minorHAnsi"/>
          <w:sz w:val="24"/>
          <w:szCs w:val="24"/>
        </w:rPr>
        <w:t xml:space="preserve"> and she did not have knowledge [skills] to find an alternative.</w:t>
      </w:r>
    </w:p>
    <w:p w14:paraId="03E66907" w14:textId="77777777" w:rsidR="00A873EF" w:rsidRPr="00AF6991" w:rsidRDefault="00A873EF" w:rsidP="00A873EF">
      <w:pPr>
        <w:spacing w:after="120" w:line="360" w:lineRule="auto"/>
        <w:rPr>
          <w:rFonts w:cstheme="minorHAnsi"/>
          <w:b/>
          <w:sz w:val="24"/>
          <w:szCs w:val="24"/>
        </w:rPr>
      </w:pPr>
      <w:r>
        <w:rPr>
          <w:rFonts w:cstheme="minorHAnsi"/>
          <w:b/>
          <w:sz w:val="24"/>
          <w:szCs w:val="24"/>
        </w:rPr>
        <w:t>Table 5</w:t>
      </w:r>
      <w:r w:rsidRPr="00AF6991">
        <w:rPr>
          <w:rFonts w:cstheme="minorHAnsi"/>
          <w:b/>
          <w:sz w:val="24"/>
          <w:szCs w:val="24"/>
        </w:rPr>
        <w:t xml:space="preserve"> – ‘Finding an adviser’ as a barrier.</w:t>
      </w:r>
    </w:p>
    <w:tbl>
      <w:tblPr>
        <w:tblStyle w:val="TableGrid"/>
        <w:tblW w:w="9606" w:type="dxa"/>
        <w:tblLook w:val="04A0" w:firstRow="1" w:lastRow="0" w:firstColumn="1" w:lastColumn="0" w:noHBand="0" w:noVBand="1"/>
      </w:tblPr>
      <w:tblGrid>
        <w:gridCol w:w="2376"/>
        <w:gridCol w:w="7230"/>
      </w:tblGrid>
      <w:tr w:rsidR="00AF6991" w:rsidRPr="00AF6991" w14:paraId="720B5C41" w14:textId="77777777" w:rsidTr="00AF6991">
        <w:tc>
          <w:tcPr>
            <w:tcW w:w="2376" w:type="dxa"/>
          </w:tcPr>
          <w:p w14:paraId="4443CB43" w14:textId="77777777" w:rsidR="00AF6991" w:rsidRPr="00AF6991" w:rsidRDefault="00AF6991" w:rsidP="00AF6991">
            <w:pPr>
              <w:spacing w:after="120"/>
              <w:jc w:val="center"/>
              <w:rPr>
                <w:rFonts w:cstheme="minorHAnsi"/>
                <w:b/>
              </w:rPr>
            </w:pPr>
            <w:r w:rsidRPr="00AF6991">
              <w:rPr>
                <w:rFonts w:cstheme="minorHAnsi"/>
                <w:b/>
              </w:rPr>
              <w:t>Section of Model</w:t>
            </w:r>
          </w:p>
        </w:tc>
        <w:tc>
          <w:tcPr>
            <w:tcW w:w="7230" w:type="dxa"/>
          </w:tcPr>
          <w:p w14:paraId="77D99A8F" w14:textId="77777777" w:rsidR="00AF6991" w:rsidRPr="00AF6991" w:rsidRDefault="00AF6991" w:rsidP="00AF6991">
            <w:pPr>
              <w:spacing w:after="120"/>
              <w:jc w:val="center"/>
              <w:rPr>
                <w:rFonts w:cstheme="minorHAnsi"/>
                <w:b/>
              </w:rPr>
            </w:pPr>
            <w:r w:rsidRPr="00AF6991">
              <w:rPr>
                <w:rFonts w:cstheme="minorHAnsi"/>
                <w:b/>
              </w:rPr>
              <w:t>Marta</w:t>
            </w:r>
          </w:p>
        </w:tc>
      </w:tr>
      <w:tr w:rsidR="00AF6991" w:rsidRPr="00AF6991" w14:paraId="4A729394" w14:textId="77777777" w:rsidTr="00AF6991">
        <w:tc>
          <w:tcPr>
            <w:tcW w:w="2376" w:type="dxa"/>
          </w:tcPr>
          <w:p w14:paraId="38DF10A4" w14:textId="77777777" w:rsidR="00AF6991" w:rsidRPr="00AF6991" w:rsidRDefault="00AF6991" w:rsidP="00AF6991">
            <w:pPr>
              <w:spacing w:after="120"/>
              <w:rPr>
                <w:rFonts w:cstheme="minorHAnsi"/>
              </w:rPr>
            </w:pPr>
            <w:r w:rsidRPr="00AF6991">
              <w:rPr>
                <w:rFonts w:cstheme="minorHAnsi"/>
              </w:rPr>
              <w:t>Trigger Events</w:t>
            </w:r>
          </w:p>
        </w:tc>
        <w:tc>
          <w:tcPr>
            <w:tcW w:w="7230" w:type="dxa"/>
          </w:tcPr>
          <w:p w14:paraId="608E3420" w14:textId="77777777" w:rsidR="00AF6991" w:rsidRPr="00AF6991" w:rsidRDefault="00AF6991" w:rsidP="00AF6991">
            <w:pPr>
              <w:spacing w:after="120"/>
              <w:rPr>
                <w:rFonts w:cstheme="minorHAnsi"/>
              </w:rPr>
            </w:pPr>
            <w:r w:rsidRPr="00AF6991">
              <w:rPr>
                <w:rFonts w:cstheme="minorHAnsi"/>
              </w:rPr>
              <w:t xml:space="preserve">Marta is made redundant and joins a new employer who offers a pension scheme </w:t>
            </w:r>
          </w:p>
        </w:tc>
      </w:tr>
      <w:tr w:rsidR="00AF6991" w:rsidRPr="00AF6991" w14:paraId="64222E4C" w14:textId="77777777" w:rsidTr="00AF6991">
        <w:tc>
          <w:tcPr>
            <w:tcW w:w="2376" w:type="dxa"/>
          </w:tcPr>
          <w:p w14:paraId="28947A72" w14:textId="77777777" w:rsidR="00AF6991" w:rsidRPr="00AF6991" w:rsidRDefault="00AF6991" w:rsidP="00AF6991">
            <w:pPr>
              <w:spacing w:after="120"/>
              <w:rPr>
                <w:rFonts w:cstheme="minorHAnsi"/>
              </w:rPr>
            </w:pPr>
            <w:r w:rsidRPr="00AF6991">
              <w:rPr>
                <w:rFonts w:cstheme="minorHAnsi"/>
              </w:rPr>
              <w:t xml:space="preserve">Motivators </w:t>
            </w:r>
          </w:p>
        </w:tc>
        <w:tc>
          <w:tcPr>
            <w:tcW w:w="7230" w:type="dxa"/>
          </w:tcPr>
          <w:p w14:paraId="632A2D8C" w14:textId="77777777" w:rsidR="00AF6991" w:rsidRPr="00AF6991" w:rsidRDefault="00AF6991" w:rsidP="00AF6991">
            <w:pPr>
              <w:spacing w:after="120"/>
              <w:rPr>
                <w:rFonts w:cstheme="minorHAnsi"/>
              </w:rPr>
            </w:pPr>
            <w:r w:rsidRPr="00AF6991">
              <w:rPr>
                <w:rFonts w:cstheme="minorHAnsi"/>
              </w:rPr>
              <w:t>Previously she had been in a final salary pension scheme and felt secure regarding her retirement provision. Following redundancy she is now concerned about this but unsure whether she should join the pension offered by her new employer.</w:t>
            </w:r>
          </w:p>
        </w:tc>
      </w:tr>
      <w:tr w:rsidR="00AF6991" w:rsidRPr="00AF6991" w14:paraId="2D855DCA" w14:textId="77777777" w:rsidTr="00AF6991">
        <w:tc>
          <w:tcPr>
            <w:tcW w:w="2376" w:type="dxa"/>
          </w:tcPr>
          <w:p w14:paraId="0E56FCAB" w14:textId="77777777" w:rsidR="00AF6991" w:rsidRPr="00AF6991" w:rsidRDefault="00AF6991" w:rsidP="00AF6991">
            <w:pPr>
              <w:spacing w:after="120"/>
              <w:rPr>
                <w:rFonts w:cstheme="minorHAnsi"/>
              </w:rPr>
            </w:pPr>
            <w:r w:rsidRPr="00AF6991">
              <w:rPr>
                <w:rFonts w:cstheme="minorHAnsi"/>
              </w:rPr>
              <w:t>Intention Influencers</w:t>
            </w:r>
          </w:p>
        </w:tc>
        <w:tc>
          <w:tcPr>
            <w:tcW w:w="7230" w:type="dxa"/>
          </w:tcPr>
          <w:p w14:paraId="3A27E48B" w14:textId="77777777" w:rsidR="00AF6991" w:rsidRPr="00AF6991" w:rsidRDefault="00AF6991" w:rsidP="00AF6991">
            <w:pPr>
              <w:spacing w:after="120"/>
              <w:rPr>
                <w:rFonts w:cstheme="minorHAnsi"/>
              </w:rPr>
            </w:pPr>
            <w:r w:rsidRPr="00AF6991">
              <w:rPr>
                <w:rFonts w:cstheme="minorHAnsi"/>
              </w:rPr>
              <w:t>She has previously used the services of a financial adviser and believes that the outcome of advice will help to confirm whether the new pension is value for money and whether she should join.</w:t>
            </w:r>
          </w:p>
          <w:p w14:paraId="277779B8" w14:textId="77777777" w:rsidR="00AF6991" w:rsidRPr="00AF6991" w:rsidRDefault="00AF6991" w:rsidP="00AF6991">
            <w:pPr>
              <w:spacing w:after="120"/>
              <w:rPr>
                <w:rFonts w:cstheme="minorHAnsi"/>
              </w:rPr>
            </w:pPr>
            <w:r w:rsidRPr="00AF6991">
              <w:rPr>
                <w:rFonts w:cstheme="minorHAnsi"/>
              </w:rPr>
              <w:t>Marta has an expectation that the deferred pension provider should provide advice at no additional cost because she has a pension with them. This may also have presented a barrier, however she did not get that far.</w:t>
            </w:r>
          </w:p>
        </w:tc>
      </w:tr>
      <w:tr w:rsidR="00AF6991" w:rsidRPr="00AF6991" w14:paraId="79D5918C" w14:textId="77777777" w:rsidTr="00AF6991">
        <w:tc>
          <w:tcPr>
            <w:tcW w:w="2376" w:type="dxa"/>
          </w:tcPr>
          <w:p w14:paraId="706BCEF8" w14:textId="77777777" w:rsidR="00AF6991" w:rsidRPr="00AF6991" w:rsidRDefault="00AF6991" w:rsidP="00AF6991">
            <w:pPr>
              <w:spacing w:after="120"/>
              <w:rPr>
                <w:rFonts w:cstheme="minorHAnsi"/>
              </w:rPr>
            </w:pPr>
            <w:r w:rsidRPr="00AF6991">
              <w:rPr>
                <w:rFonts w:cstheme="minorHAnsi"/>
              </w:rPr>
              <w:t>Self-Efficacy</w:t>
            </w:r>
          </w:p>
        </w:tc>
        <w:tc>
          <w:tcPr>
            <w:tcW w:w="7230" w:type="dxa"/>
          </w:tcPr>
          <w:p w14:paraId="72EFEFF5" w14:textId="77777777" w:rsidR="00AF6991" w:rsidRPr="00AF6991" w:rsidRDefault="00AF6991" w:rsidP="00AF6991">
            <w:pPr>
              <w:spacing w:after="120"/>
              <w:rPr>
                <w:rFonts w:cstheme="minorHAnsi"/>
              </w:rPr>
            </w:pPr>
            <w:r w:rsidRPr="00AF6991">
              <w:rPr>
                <w:rFonts w:cstheme="minorHAnsi"/>
              </w:rPr>
              <w:t>Although, Marta had previously used the services of two different financial advisers, one has left the industry and the other retired. She contacts a brokerage that appears to have taken over responsibility for a deferred personal pension she has hoping they can help but to no avail.</w:t>
            </w:r>
          </w:p>
        </w:tc>
      </w:tr>
      <w:tr w:rsidR="00AF6991" w:rsidRPr="00AF6991" w14:paraId="22815445" w14:textId="77777777" w:rsidTr="00AF6991">
        <w:tc>
          <w:tcPr>
            <w:tcW w:w="2376" w:type="dxa"/>
          </w:tcPr>
          <w:p w14:paraId="113D9854" w14:textId="77777777" w:rsidR="00AF6991" w:rsidRPr="00AF6991" w:rsidRDefault="00AF6991" w:rsidP="00AF6991">
            <w:pPr>
              <w:spacing w:after="120"/>
              <w:rPr>
                <w:rFonts w:cstheme="minorHAnsi"/>
              </w:rPr>
            </w:pPr>
            <w:r w:rsidRPr="00AF6991">
              <w:rPr>
                <w:rFonts w:cstheme="minorHAnsi"/>
              </w:rPr>
              <w:t xml:space="preserve">Comments </w:t>
            </w:r>
          </w:p>
        </w:tc>
        <w:tc>
          <w:tcPr>
            <w:tcW w:w="7230" w:type="dxa"/>
          </w:tcPr>
          <w:p w14:paraId="03099AB9" w14:textId="77777777" w:rsidR="00AF6991" w:rsidRPr="00AF6991" w:rsidRDefault="00AF6991" w:rsidP="00AF6991">
            <w:pPr>
              <w:spacing w:after="120"/>
              <w:rPr>
                <w:rFonts w:cstheme="minorHAnsi"/>
              </w:rPr>
            </w:pPr>
            <w:r w:rsidRPr="00AF6991">
              <w:rPr>
                <w:rFonts w:cstheme="minorHAnsi"/>
              </w:rPr>
              <w:t>The barrier in this case is knowledge how to find an adviser. Originally she had found one of the advisers via referral from her husband’s employer. She had not been able to find another adviser via referral and did not know how else to proceed.</w:t>
            </w:r>
          </w:p>
        </w:tc>
      </w:tr>
    </w:tbl>
    <w:p w14:paraId="7292DB17" w14:textId="77777777" w:rsidR="001A4635" w:rsidRDefault="001A4635" w:rsidP="00AF6991">
      <w:pPr>
        <w:spacing w:after="120" w:line="480" w:lineRule="auto"/>
        <w:rPr>
          <w:rFonts w:cstheme="minorHAnsi"/>
          <w:sz w:val="24"/>
          <w:szCs w:val="24"/>
        </w:rPr>
      </w:pPr>
    </w:p>
    <w:p w14:paraId="473CAC4E" w14:textId="44E87D68" w:rsidR="00A911E2" w:rsidRPr="00AF6991" w:rsidRDefault="00AF6991" w:rsidP="00AF6991">
      <w:pPr>
        <w:spacing w:after="120" w:line="480" w:lineRule="auto"/>
        <w:rPr>
          <w:rFonts w:cstheme="minorHAnsi"/>
          <w:sz w:val="24"/>
          <w:szCs w:val="24"/>
        </w:rPr>
      </w:pPr>
      <w:r w:rsidRPr="00AF6991">
        <w:rPr>
          <w:rFonts w:cstheme="minorHAnsi"/>
          <w:sz w:val="24"/>
          <w:szCs w:val="24"/>
        </w:rPr>
        <w:t>Th</w:t>
      </w:r>
      <w:r w:rsidR="007F4692">
        <w:rPr>
          <w:rFonts w:cstheme="minorHAnsi"/>
          <w:sz w:val="24"/>
          <w:szCs w:val="24"/>
        </w:rPr>
        <w:t>e</w:t>
      </w:r>
      <w:r w:rsidRPr="00AF6991">
        <w:rPr>
          <w:rFonts w:cstheme="minorHAnsi"/>
          <w:sz w:val="24"/>
          <w:szCs w:val="24"/>
        </w:rPr>
        <w:t xml:space="preserve"> case study </w:t>
      </w:r>
      <w:r w:rsidR="007F4692">
        <w:rPr>
          <w:rFonts w:cstheme="minorHAnsi"/>
          <w:sz w:val="24"/>
          <w:szCs w:val="24"/>
        </w:rPr>
        <w:t xml:space="preserve">shown in table 5 </w:t>
      </w:r>
      <w:r w:rsidRPr="00AF6991">
        <w:rPr>
          <w:rFonts w:cstheme="minorHAnsi"/>
          <w:sz w:val="24"/>
          <w:szCs w:val="24"/>
        </w:rPr>
        <w:t xml:space="preserve">illustrates how knowledge of ‘finding an adviser’ can act as a barrier and how using the </w:t>
      </w:r>
      <w:r w:rsidR="009A244B">
        <w:rPr>
          <w:rFonts w:cstheme="minorHAnsi"/>
          <w:sz w:val="24"/>
          <w:szCs w:val="24"/>
        </w:rPr>
        <w:t>F</w:t>
      </w:r>
      <w:r w:rsidRPr="00AF6991">
        <w:rPr>
          <w:rFonts w:cstheme="minorHAnsi"/>
          <w:sz w:val="24"/>
          <w:szCs w:val="24"/>
        </w:rPr>
        <w:t>ABM can help to identify where the barrier exists.</w:t>
      </w:r>
      <w:r w:rsidR="00A911E2">
        <w:rPr>
          <w:rFonts w:cstheme="minorHAnsi"/>
          <w:sz w:val="24"/>
          <w:szCs w:val="24"/>
        </w:rPr>
        <w:t xml:space="preserve"> However, both our findings and the literature more generally does not highlight this as a significant barrier. FAMR (FCA, 2017a</w:t>
      </w:r>
      <w:r w:rsidR="006C784F">
        <w:rPr>
          <w:rFonts w:cstheme="minorHAnsi"/>
          <w:sz w:val="24"/>
          <w:szCs w:val="24"/>
        </w:rPr>
        <w:t>, p.11</w:t>
      </w:r>
      <w:r w:rsidR="00A911E2">
        <w:rPr>
          <w:rFonts w:cstheme="minorHAnsi"/>
          <w:sz w:val="24"/>
          <w:szCs w:val="24"/>
        </w:rPr>
        <w:t xml:space="preserve">) found only 14% of their sample were either </w:t>
      </w:r>
      <w:r w:rsidR="00B2098D">
        <w:rPr>
          <w:rFonts w:cstheme="minorHAnsi"/>
          <w:sz w:val="24"/>
          <w:szCs w:val="24"/>
        </w:rPr>
        <w:t>… “</w:t>
      </w:r>
      <w:r w:rsidR="00A911E2" w:rsidRPr="00B2098D">
        <w:rPr>
          <w:rFonts w:cstheme="minorHAnsi"/>
          <w:i/>
          <w:iCs/>
          <w:sz w:val="24"/>
          <w:szCs w:val="24"/>
        </w:rPr>
        <w:t xml:space="preserve">not confident about finding the right adviser for me, </w:t>
      </w:r>
      <w:r w:rsidR="006C784F" w:rsidRPr="00B2098D">
        <w:rPr>
          <w:rFonts w:cstheme="minorHAnsi"/>
          <w:i/>
          <w:iCs/>
          <w:sz w:val="24"/>
          <w:szCs w:val="24"/>
        </w:rPr>
        <w:t xml:space="preserve">didn’t know how to find a suitable adviser, couldn’t find a suitable adviser or couldn’t find an adviser willing or able to offer me </w:t>
      </w:r>
      <w:r w:rsidR="00B2098D">
        <w:rPr>
          <w:rFonts w:cstheme="minorHAnsi"/>
          <w:i/>
          <w:iCs/>
          <w:sz w:val="24"/>
          <w:szCs w:val="24"/>
        </w:rPr>
        <w:t>advic</w:t>
      </w:r>
      <w:r w:rsidR="006C784F" w:rsidRPr="00B2098D">
        <w:rPr>
          <w:rFonts w:cstheme="minorHAnsi"/>
          <w:i/>
          <w:iCs/>
          <w:sz w:val="24"/>
          <w:szCs w:val="24"/>
        </w:rPr>
        <w:t>e</w:t>
      </w:r>
      <w:r w:rsidR="00B2098D">
        <w:rPr>
          <w:rFonts w:cstheme="minorHAnsi"/>
          <w:i/>
          <w:iCs/>
          <w:sz w:val="24"/>
          <w:szCs w:val="24"/>
        </w:rPr>
        <w:t>”</w:t>
      </w:r>
      <w:r w:rsidR="006C784F">
        <w:rPr>
          <w:rFonts w:cstheme="minorHAnsi"/>
          <w:sz w:val="24"/>
          <w:szCs w:val="24"/>
        </w:rPr>
        <w:t xml:space="preserve">. </w:t>
      </w:r>
      <w:r w:rsidR="006C784F" w:rsidRPr="004773BB">
        <w:rPr>
          <w:rFonts w:cstheme="minorHAnsi"/>
          <w:sz w:val="24"/>
          <w:szCs w:val="24"/>
        </w:rPr>
        <w:lastRenderedPageBreak/>
        <w:t>However, it may be the rationality of the decision-making process individuals adopt in finding an adviser rather than the ability to actual find one that is the greater risk.</w:t>
      </w:r>
    </w:p>
    <w:p w14:paraId="0BECB922" w14:textId="7C574F33" w:rsidR="00AF6991" w:rsidRPr="00AF6991" w:rsidRDefault="00AF6991" w:rsidP="00AF6991">
      <w:pPr>
        <w:spacing w:after="120" w:line="480" w:lineRule="auto"/>
        <w:rPr>
          <w:rFonts w:cstheme="minorHAnsi"/>
          <w:b/>
          <w:sz w:val="24"/>
          <w:szCs w:val="24"/>
          <w:u w:val="single"/>
        </w:rPr>
      </w:pPr>
      <w:r w:rsidRPr="004773BB">
        <w:rPr>
          <w:rFonts w:cstheme="minorHAnsi"/>
          <w:b/>
          <w:sz w:val="24"/>
          <w:szCs w:val="24"/>
          <w:u w:val="single"/>
        </w:rPr>
        <w:t>Trust</w:t>
      </w:r>
      <w:r w:rsidR="00985672">
        <w:rPr>
          <w:rFonts w:cstheme="minorHAnsi"/>
          <w:b/>
          <w:sz w:val="24"/>
          <w:szCs w:val="24"/>
          <w:u w:val="single"/>
        </w:rPr>
        <w:t xml:space="preserve"> as a barrier to advice</w:t>
      </w:r>
      <w:r w:rsidRPr="004773BB">
        <w:rPr>
          <w:rFonts w:cstheme="minorHAnsi"/>
          <w:b/>
          <w:sz w:val="24"/>
          <w:szCs w:val="24"/>
          <w:u w:val="single"/>
        </w:rPr>
        <w:t>.</w:t>
      </w:r>
    </w:p>
    <w:p w14:paraId="138710B7" w14:textId="77777777" w:rsidR="00AF6991" w:rsidRPr="00AF6991" w:rsidRDefault="00AF6991" w:rsidP="00AF6991">
      <w:pPr>
        <w:spacing w:after="120" w:line="480" w:lineRule="auto"/>
        <w:rPr>
          <w:rFonts w:cstheme="minorHAnsi"/>
          <w:sz w:val="24"/>
          <w:szCs w:val="24"/>
        </w:rPr>
      </w:pPr>
      <w:r w:rsidRPr="00AF6991">
        <w:rPr>
          <w:rFonts w:cstheme="minorHAnsi"/>
          <w:sz w:val="24"/>
          <w:szCs w:val="24"/>
        </w:rPr>
        <w:t xml:space="preserve">The second clear theme emerging for our interviews was that of trust. Some interviewees put absolute trust in the adviser and made this judgement based on emotional trust. Heather, talking about her pension adviser, said: </w:t>
      </w:r>
    </w:p>
    <w:p w14:paraId="3F98FB45" w14:textId="77777777" w:rsidR="00AF6991" w:rsidRPr="00AF6991" w:rsidRDefault="00AF6991" w:rsidP="00AF6991">
      <w:pPr>
        <w:spacing w:after="120" w:line="480" w:lineRule="auto"/>
        <w:ind w:left="720"/>
        <w:rPr>
          <w:rFonts w:cstheme="minorHAnsi"/>
          <w:i/>
          <w:iCs/>
          <w:sz w:val="24"/>
          <w:szCs w:val="24"/>
        </w:rPr>
      </w:pPr>
      <w:r w:rsidRPr="00AF6991">
        <w:rPr>
          <w:rFonts w:cstheme="minorHAnsi"/>
          <w:sz w:val="24"/>
          <w:szCs w:val="24"/>
        </w:rPr>
        <w:t xml:space="preserve">“… </w:t>
      </w:r>
      <w:r w:rsidRPr="00AF6991">
        <w:rPr>
          <w:rFonts w:cstheme="minorHAnsi"/>
          <w:i/>
          <w:iCs/>
          <w:sz w:val="24"/>
          <w:szCs w:val="24"/>
        </w:rPr>
        <w:t>he was calm, made me feel comfortable, was smartly presented and didn’t bombard me.”</w:t>
      </w:r>
    </w:p>
    <w:p w14:paraId="6AEC6825" w14:textId="77A4FA93" w:rsidR="00AF6991" w:rsidRPr="00AF6991" w:rsidRDefault="00AF6991" w:rsidP="00AF6991">
      <w:pPr>
        <w:spacing w:after="120" w:line="480" w:lineRule="auto"/>
        <w:rPr>
          <w:rFonts w:cstheme="minorHAnsi"/>
          <w:sz w:val="24"/>
          <w:szCs w:val="24"/>
        </w:rPr>
      </w:pPr>
      <w:r w:rsidRPr="00AF6991">
        <w:rPr>
          <w:rFonts w:cstheme="minorHAnsi"/>
          <w:sz w:val="24"/>
          <w:szCs w:val="24"/>
        </w:rPr>
        <w:t xml:space="preserve">She met him via a friend’s referral. Her new employer had offered a pension contribution, but she needed to arrange a ‘vehicle’ to receive this contribution. </w:t>
      </w:r>
      <w:r w:rsidR="004773BB">
        <w:rPr>
          <w:rFonts w:cstheme="minorHAnsi"/>
          <w:sz w:val="24"/>
          <w:szCs w:val="24"/>
        </w:rPr>
        <w:t xml:space="preserve">Having been </w:t>
      </w:r>
      <w:r w:rsidRPr="00AF6991">
        <w:rPr>
          <w:rFonts w:cstheme="minorHAnsi"/>
          <w:sz w:val="24"/>
          <w:szCs w:val="24"/>
        </w:rPr>
        <w:t xml:space="preserve">told </w:t>
      </w:r>
      <w:r w:rsidR="004773BB">
        <w:rPr>
          <w:rFonts w:cstheme="minorHAnsi"/>
          <w:sz w:val="24"/>
          <w:szCs w:val="24"/>
        </w:rPr>
        <w:t>by the adviser</w:t>
      </w:r>
      <w:r w:rsidRPr="00AF6991">
        <w:rPr>
          <w:rFonts w:cstheme="minorHAnsi"/>
          <w:sz w:val="24"/>
          <w:szCs w:val="24"/>
        </w:rPr>
        <w:t xml:space="preserve"> that the minimum contribution was £100 per month when her employer was to contribute about £50</w:t>
      </w:r>
      <w:r w:rsidR="004773BB">
        <w:rPr>
          <w:rFonts w:cstheme="minorHAnsi"/>
          <w:sz w:val="24"/>
          <w:szCs w:val="24"/>
        </w:rPr>
        <w:t>, Heather’s</w:t>
      </w:r>
      <w:r w:rsidRPr="00AF6991">
        <w:rPr>
          <w:rFonts w:cstheme="minorHAnsi"/>
          <w:sz w:val="24"/>
          <w:szCs w:val="24"/>
        </w:rPr>
        <w:t xml:space="preserve"> dilemma was whether she could afford to pay the balance. However, a ‘stakeholder pension’ (available at th</w:t>
      </w:r>
      <w:r w:rsidR="00516B92">
        <w:rPr>
          <w:rFonts w:cstheme="minorHAnsi"/>
          <w:sz w:val="24"/>
          <w:szCs w:val="24"/>
        </w:rPr>
        <w:t>at</w:t>
      </w:r>
      <w:r w:rsidRPr="00AF6991">
        <w:rPr>
          <w:rFonts w:cstheme="minorHAnsi"/>
          <w:sz w:val="24"/>
          <w:szCs w:val="24"/>
        </w:rPr>
        <w:t xml:space="preserve"> point in time), where the minimum was £20, appears not to have been discussed.  MAS provide guidance to consumers on choosing an adviser. However, the referral route of finding this adviser effectively by-passed an informed decision-making process. </w:t>
      </w:r>
    </w:p>
    <w:p w14:paraId="0A644ABB" w14:textId="77777777" w:rsidR="00AF6991" w:rsidRPr="00AF6991" w:rsidRDefault="00AF6991" w:rsidP="00AF6991">
      <w:pPr>
        <w:spacing w:after="120" w:line="480" w:lineRule="auto"/>
        <w:rPr>
          <w:rFonts w:cstheme="minorHAnsi"/>
          <w:sz w:val="24"/>
          <w:szCs w:val="24"/>
        </w:rPr>
      </w:pPr>
      <w:r w:rsidRPr="00AF6991">
        <w:rPr>
          <w:rFonts w:cstheme="minorHAnsi"/>
          <w:sz w:val="24"/>
          <w:szCs w:val="24"/>
        </w:rPr>
        <w:t>Heather was unsure whether to arrange the pension and therefore potentially could miss out on this benefit because of poor quality advice. Financial Advisers were directed by the regulator (FSA, 2007) to confirm to clients why the pension recommended was at least as suitable as a stakeholder pension. If an alternative had been recommended, then there would be no question regarding affordability.</w:t>
      </w:r>
    </w:p>
    <w:p w14:paraId="4493A201" w14:textId="6BD5B95B" w:rsidR="00AF6991" w:rsidRPr="00AF6991" w:rsidRDefault="00AF6991" w:rsidP="00AF6991">
      <w:pPr>
        <w:spacing w:after="120" w:line="480" w:lineRule="auto"/>
        <w:rPr>
          <w:rFonts w:cstheme="minorHAnsi"/>
          <w:sz w:val="24"/>
          <w:szCs w:val="24"/>
        </w:rPr>
      </w:pPr>
      <w:r w:rsidRPr="00AF6991">
        <w:rPr>
          <w:rFonts w:cstheme="minorHAnsi"/>
          <w:sz w:val="24"/>
          <w:szCs w:val="24"/>
        </w:rPr>
        <w:t xml:space="preserve">The case referred to above may not be the norm for consumers finding an adviser via referral but it does illustrate the risk that consumers face when they rely on trust others </w:t>
      </w:r>
      <w:r w:rsidRPr="00AF6991">
        <w:rPr>
          <w:rFonts w:cstheme="minorHAnsi"/>
          <w:sz w:val="24"/>
          <w:szCs w:val="24"/>
        </w:rPr>
        <w:lastRenderedPageBreak/>
        <w:t xml:space="preserve">have in advisers and use this to circumvent the need to be more critical in the judgements they make. The referral process </w:t>
      </w:r>
      <w:r w:rsidR="00A1177E">
        <w:rPr>
          <w:rFonts w:cstheme="minorHAnsi"/>
          <w:sz w:val="24"/>
          <w:szCs w:val="24"/>
        </w:rPr>
        <w:t xml:space="preserve">can </w:t>
      </w:r>
      <w:r w:rsidRPr="00AF6991">
        <w:rPr>
          <w:rFonts w:cstheme="minorHAnsi"/>
          <w:sz w:val="24"/>
          <w:szCs w:val="24"/>
        </w:rPr>
        <w:t xml:space="preserve">act as a ‘trust heuristic’ </w:t>
      </w:r>
      <w:r w:rsidR="00A1177E">
        <w:rPr>
          <w:rFonts w:cstheme="minorHAnsi"/>
          <w:sz w:val="24"/>
          <w:szCs w:val="24"/>
        </w:rPr>
        <w:t>and heuristic decision processes can incorporate errors (Shefrin, 2002)</w:t>
      </w:r>
      <w:r w:rsidRPr="00AF6991">
        <w:rPr>
          <w:rFonts w:cstheme="minorHAnsi"/>
          <w:sz w:val="24"/>
          <w:szCs w:val="24"/>
        </w:rPr>
        <w:t>. This means consumers are not necessarily making informed decisions when choosing an adviser. However, the advisers interviewed argued that the nature of the ‘referral chain’ afforded the consumer an element of protection as poor advice would put them at risk of losing more than one client. The key point is that ideally consumers should be making fully informed decisions regarding their choice of adviser and by using th</w:t>
      </w:r>
      <w:r w:rsidR="004773BB">
        <w:rPr>
          <w:rFonts w:cstheme="minorHAnsi"/>
          <w:sz w:val="24"/>
          <w:szCs w:val="24"/>
        </w:rPr>
        <w:t>is</w:t>
      </w:r>
      <w:r w:rsidRPr="00AF6991">
        <w:rPr>
          <w:rFonts w:cstheme="minorHAnsi"/>
          <w:sz w:val="24"/>
          <w:szCs w:val="24"/>
        </w:rPr>
        <w:t xml:space="preserve"> trust heuristic their decision might be less informed than it otherwise might be.</w:t>
      </w:r>
    </w:p>
    <w:p w14:paraId="6EBAD16F" w14:textId="141B0C03" w:rsidR="00AF6991" w:rsidRDefault="001A4635" w:rsidP="00AF6991">
      <w:pPr>
        <w:spacing w:after="120" w:line="480" w:lineRule="auto"/>
        <w:rPr>
          <w:rFonts w:cstheme="minorHAnsi"/>
          <w:sz w:val="24"/>
          <w:szCs w:val="24"/>
        </w:rPr>
      </w:pPr>
      <w:r>
        <w:rPr>
          <w:rFonts w:cstheme="minorHAnsi"/>
          <w:sz w:val="24"/>
          <w:szCs w:val="24"/>
        </w:rPr>
        <w:t xml:space="preserve">Table 6 </w:t>
      </w:r>
      <w:r w:rsidR="00AF6991" w:rsidRPr="00AF6991">
        <w:rPr>
          <w:rFonts w:cstheme="minorHAnsi"/>
          <w:sz w:val="24"/>
          <w:szCs w:val="24"/>
        </w:rPr>
        <w:t>contrast</w:t>
      </w:r>
      <w:r>
        <w:rPr>
          <w:rFonts w:cstheme="minorHAnsi"/>
          <w:sz w:val="24"/>
          <w:szCs w:val="24"/>
        </w:rPr>
        <w:t>s</w:t>
      </w:r>
      <w:r w:rsidR="00AF6991" w:rsidRPr="00AF6991">
        <w:rPr>
          <w:rFonts w:cstheme="minorHAnsi"/>
          <w:sz w:val="24"/>
          <w:szCs w:val="24"/>
        </w:rPr>
        <w:t xml:space="preserve"> the high levels of trust consumers have in individual advisers, compared to the low levels of trust in financial services more generally. Interviewees were asked whether they trusted financial advisers, the industry more generally and whether they thought there was a need for regulation of financial services. Their responses are summarised below.</w:t>
      </w:r>
    </w:p>
    <w:p w14:paraId="76FC3905" w14:textId="3D511A25" w:rsidR="001A4635" w:rsidRPr="00AF6991" w:rsidRDefault="001A4635" w:rsidP="001A4635">
      <w:pPr>
        <w:spacing w:after="120" w:line="360" w:lineRule="auto"/>
        <w:rPr>
          <w:rFonts w:cstheme="minorHAnsi"/>
          <w:sz w:val="24"/>
          <w:szCs w:val="24"/>
        </w:rPr>
      </w:pPr>
      <w:r w:rsidRPr="00AF6991">
        <w:rPr>
          <w:rFonts w:cstheme="minorHAnsi"/>
          <w:b/>
          <w:sz w:val="24"/>
          <w:szCs w:val="24"/>
          <w:lang w:val="en-US"/>
        </w:rPr>
        <w:t xml:space="preserve">Table </w:t>
      </w:r>
      <w:r>
        <w:rPr>
          <w:rFonts w:cstheme="minorHAnsi"/>
          <w:b/>
          <w:sz w:val="24"/>
          <w:szCs w:val="24"/>
          <w:lang w:val="en-US"/>
        </w:rPr>
        <w:t>6</w:t>
      </w:r>
      <w:r w:rsidR="000B555C">
        <w:rPr>
          <w:rFonts w:cstheme="minorHAnsi"/>
          <w:b/>
          <w:sz w:val="24"/>
          <w:szCs w:val="24"/>
          <w:lang w:val="en-US"/>
        </w:rPr>
        <w:t xml:space="preserve"> - Interviewees views on Trust (Moss,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1"/>
        <w:gridCol w:w="1461"/>
        <w:gridCol w:w="1461"/>
        <w:gridCol w:w="1461"/>
      </w:tblGrid>
      <w:tr w:rsidR="00AF6991" w:rsidRPr="00AF6991" w14:paraId="60859C9F" w14:textId="77777777" w:rsidTr="00AF6991">
        <w:tc>
          <w:tcPr>
            <w:tcW w:w="1461" w:type="dxa"/>
            <w:tcBorders>
              <w:bottom w:val="single" w:sz="4" w:space="0" w:color="auto"/>
            </w:tcBorders>
            <w:shd w:val="clear" w:color="auto" w:fill="E6E6E6"/>
          </w:tcPr>
          <w:p w14:paraId="10017DB2" w14:textId="77777777" w:rsidR="00AF6991" w:rsidRPr="00AF6991" w:rsidRDefault="00AF6991" w:rsidP="00AF6991">
            <w:pPr>
              <w:spacing w:after="0" w:line="240" w:lineRule="auto"/>
              <w:jc w:val="center"/>
              <w:rPr>
                <w:rFonts w:eastAsia="SimSun" w:cstheme="minorHAnsi"/>
                <w:b/>
                <w:kern w:val="28"/>
                <w:sz w:val="20"/>
                <w:szCs w:val="20"/>
                <w:lang w:val="en-US" w:eastAsia="en-GB"/>
              </w:rPr>
            </w:pPr>
            <w:r w:rsidRPr="00AF6991">
              <w:rPr>
                <w:rFonts w:eastAsia="SimSun" w:cstheme="minorHAnsi"/>
                <w:b/>
                <w:kern w:val="28"/>
                <w:sz w:val="20"/>
                <w:szCs w:val="20"/>
                <w:lang w:val="en-US" w:eastAsia="en-GB"/>
              </w:rPr>
              <w:t>Interviewee</w:t>
            </w:r>
          </w:p>
          <w:p w14:paraId="243FDE92" w14:textId="77777777" w:rsidR="00AF6991" w:rsidRPr="00AF6991" w:rsidRDefault="00AF6991" w:rsidP="00AF6991">
            <w:pPr>
              <w:spacing w:after="0" w:line="240" w:lineRule="auto"/>
              <w:jc w:val="center"/>
              <w:rPr>
                <w:rFonts w:eastAsia="SimSun" w:cstheme="minorHAnsi"/>
                <w:b/>
                <w:kern w:val="28"/>
                <w:sz w:val="20"/>
                <w:szCs w:val="20"/>
                <w:lang w:val="en-US" w:eastAsia="en-GB"/>
              </w:rPr>
            </w:pPr>
            <w:r w:rsidRPr="00AF6991">
              <w:rPr>
                <w:rFonts w:eastAsia="SimSun" w:cstheme="minorHAnsi"/>
                <w:b/>
                <w:kern w:val="28"/>
                <w:sz w:val="20"/>
                <w:szCs w:val="20"/>
                <w:lang w:val="en-US" w:eastAsia="en-GB"/>
              </w:rPr>
              <w:t>Pseudonym</w:t>
            </w:r>
          </w:p>
        </w:tc>
        <w:tc>
          <w:tcPr>
            <w:tcW w:w="1461" w:type="dxa"/>
            <w:tcBorders>
              <w:bottom w:val="single" w:sz="4" w:space="0" w:color="auto"/>
            </w:tcBorders>
            <w:shd w:val="clear" w:color="auto" w:fill="E6E6E6"/>
          </w:tcPr>
          <w:p w14:paraId="414A56C3" w14:textId="77777777" w:rsidR="00AF6991" w:rsidRPr="00AF6991" w:rsidRDefault="00AF6991" w:rsidP="00AF6991">
            <w:pPr>
              <w:spacing w:after="0" w:line="240" w:lineRule="auto"/>
              <w:jc w:val="center"/>
              <w:rPr>
                <w:rFonts w:eastAsia="SimSun" w:cstheme="minorHAnsi"/>
                <w:b/>
                <w:kern w:val="28"/>
                <w:sz w:val="20"/>
                <w:szCs w:val="20"/>
                <w:lang w:val="en-US" w:eastAsia="en-GB"/>
              </w:rPr>
            </w:pPr>
            <w:r w:rsidRPr="00AF6991">
              <w:rPr>
                <w:rFonts w:eastAsia="SimSun" w:cstheme="minorHAnsi"/>
                <w:b/>
                <w:kern w:val="28"/>
                <w:sz w:val="20"/>
                <w:szCs w:val="20"/>
                <w:lang w:val="en-US" w:eastAsia="en-GB"/>
              </w:rPr>
              <w:t>Trust adviser</w:t>
            </w:r>
          </w:p>
        </w:tc>
        <w:tc>
          <w:tcPr>
            <w:tcW w:w="1461" w:type="dxa"/>
            <w:tcBorders>
              <w:bottom w:val="single" w:sz="4" w:space="0" w:color="auto"/>
            </w:tcBorders>
            <w:shd w:val="clear" w:color="auto" w:fill="E6E6E6"/>
          </w:tcPr>
          <w:p w14:paraId="5BEF5ADE" w14:textId="77777777" w:rsidR="00AF6991" w:rsidRPr="00AF6991" w:rsidRDefault="00AF6991" w:rsidP="00AF6991">
            <w:pPr>
              <w:spacing w:after="0" w:line="240" w:lineRule="auto"/>
              <w:jc w:val="center"/>
              <w:rPr>
                <w:rFonts w:eastAsia="SimSun" w:cstheme="minorHAnsi"/>
                <w:b/>
                <w:kern w:val="28"/>
                <w:sz w:val="20"/>
                <w:szCs w:val="20"/>
                <w:lang w:val="en-US" w:eastAsia="en-GB"/>
              </w:rPr>
            </w:pPr>
            <w:r w:rsidRPr="00AF6991">
              <w:rPr>
                <w:rFonts w:eastAsia="SimSun" w:cstheme="minorHAnsi"/>
                <w:b/>
                <w:kern w:val="28"/>
                <w:sz w:val="20"/>
                <w:szCs w:val="20"/>
                <w:lang w:val="en-US" w:eastAsia="en-GB"/>
              </w:rPr>
              <w:t>Trust industry</w:t>
            </w:r>
          </w:p>
        </w:tc>
        <w:tc>
          <w:tcPr>
            <w:tcW w:w="1461" w:type="dxa"/>
            <w:tcBorders>
              <w:bottom w:val="single" w:sz="4" w:space="0" w:color="auto"/>
            </w:tcBorders>
            <w:shd w:val="clear" w:color="auto" w:fill="E6E6E6"/>
          </w:tcPr>
          <w:p w14:paraId="087DE34C" w14:textId="77777777" w:rsidR="00AF6991" w:rsidRPr="00AF6991" w:rsidRDefault="00AF6991" w:rsidP="00AF6991">
            <w:pPr>
              <w:spacing w:after="0" w:line="240" w:lineRule="auto"/>
              <w:jc w:val="center"/>
              <w:rPr>
                <w:rFonts w:eastAsia="SimSun" w:cstheme="minorHAnsi"/>
                <w:b/>
                <w:kern w:val="28"/>
                <w:sz w:val="20"/>
                <w:szCs w:val="20"/>
                <w:lang w:val="en-US" w:eastAsia="en-GB"/>
              </w:rPr>
            </w:pPr>
            <w:r w:rsidRPr="00AF6991">
              <w:rPr>
                <w:rFonts w:eastAsia="SimSun" w:cstheme="minorHAnsi"/>
                <w:b/>
                <w:kern w:val="28"/>
                <w:sz w:val="20"/>
                <w:szCs w:val="20"/>
                <w:lang w:val="en-US" w:eastAsia="en-GB"/>
              </w:rPr>
              <w:t>Importance of regulation</w:t>
            </w:r>
          </w:p>
        </w:tc>
      </w:tr>
      <w:tr w:rsidR="00AF6991" w:rsidRPr="00AF6991" w14:paraId="5583276F" w14:textId="77777777" w:rsidTr="00AF6991">
        <w:tc>
          <w:tcPr>
            <w:tcW w:w="1461" w:type="dxa"/>
            <w:shd w:val="clear" w:color="auto" w:fill="F3F3F3"/>
          </w:tcPr>
          <w:p w14:paraId="00D65A94" w14:textId="77777777" w:rsidR="00AF6991" w:rsidRPr="00AF6991" w:rsidRDefault="00AF6991" w:rsidP="00AF6991">
            <w:pPr>
              <w:spacing w:after="0" w:line="240" w:lineRule="auto"/>
              <w:rPr>
                <w:rFonts w:eastAsia="SimSun" w:cstheme="minorHAnsi"/>
                <w:bCs/>
                <w:kern w:val="28"/>
                <w:sz w:val="20"/>
                <w:szCs w:val="20"/>
                <w:lang w:val="en-US" w:eastAsia="en-GB"/>
              </w:rPr>
            </w:pPr>
          </w:p>
        </w:tc>
        <w:tc>
          <w:tcPr>
            <w:tcW w:w="1461" w:type="dxa"/>
            <w:shd w:val="clear" w:color="auto" w:fill="F3F3F3"/>
          </w:tcPr>
          <w:p w14:paraId="3A5D98F0" w14:textId="77777777" w:rsidR="00AF6991" w:rsidRPr="00AF6991" w:rsidRDefault="00AF6991" w:rsidP="00AF6991">
            <w:pPr>
              <w:spacing w:after="0" w:line="240" w:lineRule="auto"/>
              <w:rPr>
                <w:rFonts w:eastAsia="SimSun" w:cstheme="minorHAnsi"/>
                <w:bCs/>
                <w:kern w:val="28"/>
                <w:sz w:val="20"/>
                <w:szCs w:val="20"/>
                <w:lang w:val="en-US" w:eastAsia="en-GB"/>
              </w:rPr>
            </w:pPr>
          </w:p>
        </w:tc>
        <w:tc>
          <w:tcPr>
            <w:tcW w:w="1461" w:type="dxa"/>
            <w:shd w:val="clear" w:color="auto" w:fill="F3F3F3"/>
          </w:tcPr>
          <w:p w14:paraId="33C0F95E" w14:textId="77777777" w:rsidR="00AF6991" w:rsidRPr="00AF6991" w:rsidRDefault="00AF6991" w:rsidP="00AF6991">
            <w:pPr>
              <w:spacing w:after="0" w:line="240" w:lineRule="auto"/>
              <w:rPr>
                <w:rFonts w:eastAsia="SimSun" w:cstheme="minorHAnsi"/>
                <w:bCs/>
                <w:kern w:val="28"/>
                <w:sz w:val="20"/>
                <w:szCs w:val="20"/>
                <w:lang w:val="en-US" w:eastAsia="en-GB"/>
              </w:rPr>
            </w:pPr>
          </w:p>
        </w:tc>
        <w:tc>
          <w:tcPr>
            <w:tcW w:w="1461" w:type="dxa"/>
            <w:shd w:val="clear" w:color="auto" w:fill="F3F3F3"/>
          </w:tcPr>
          <w:p w14:paraId="0D2B69B6" w14:textId="77777777" w:rsidR="00AF6991" w:rsidRPr="00AF6991" w:rsidRDefault="00AF6991" w:rsidP="00AF6991">
            <w:pPr>
              <w:spacing w:after="0" w:line="240" w:lineRule="auto"/>
              <w:rPr>
                <w:rFonts w:eastAsia="SimSun" w:cstheme="minorHAnsi"/>
                <w:bCs/>
                <w:kern w:val="28"/>
                <w:sz w:val="20"/>
                <w:szCs w:val="20"/>
                <w:lang w:val="en-US" w:eastAsia="en-GB"/>
              </w:rPr>
            </w:pPr>
          </w:p>
        </w:tc>
      </w:tr>
      <w:tr w:rsidR="00AF6991" w:rsidRPr="00AF6991" w14:paraId="14A9BEB0" w14:textId="77777777" w:rsidTr="00AF6991">
        <w:tc>
          <w:tcPr>
            <w:tcW w:w="1461" w:type="dxa"/>
            <w:shd w:val="clear" w:color="auto" w:fill="F2F2F2" w:themeFill="background1" w:themeFillShade="F2"/>
          </w:tcPr>
          <w:p w14:paraId="238CAFA2"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Kazim</w:t>
            </w:r>
          </w:p>
        </w:tc>
        <w:tc>
          <w:tcPr>
            <w:tcW w:w="1461" w:type="dxa"/>
          </w:tcPr>
          <w:p w14:paraId="673A9950"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No </w:t>
            </w:r>
          </w:p>
        </w:tc>
        <w:tc>
          <w:tcPr>
            <w:tcW w:w="1461" w:type="dxa"/>
          </w:tcPr>
          <w:p w14:paraId="4E188C7F"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w:t>
            </w:r>
          </w:p>
        </w:tc>
        <w:tc>
          <w:tcPr>
            <w:tcW w:w="1461" w:type="dxa"/>
          </w:tcPr>
          <w:p w14:paraId="1ED2B656"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r>
      <w:tr w:rsidR="00AF6991" w:rsidRPr="00AF6991" w14:paraId="496025E8" w14:textId="77777777" w:rsidTr="00AF6991">
        <w:tc>
          <w:tcPr>
            <w:tcW w:w="1461" w:type="dxa"/>
            <w:shd w:val="clear" w:color="auto" w:fill="F2F2F2" w:themeFill="background1" w:themeFillShade="F2"/>
          </w:tcPr>
          <w:p w14:paraId="4F051751"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Jim</w:t>
            </w:r>
          </w:p>
        </w:tc>
        <w:tc>
          <w:tcPr>
            <w:tcW w:w="1461" w:type="dxa"/>
          </w:tcPr>
          <w:p w14:paraId="115C4CCE"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N/A</w:t>
            </w:r>
          </w:p>
        </w:tc>
        <w:tc>
          <w:tcPr>
            <w:tcW w:w="1461" w:type="dxa"/>
          </w:tcPr>
          <w:p w14:paraId="1CFB2E2A"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w:t>
            </w:r>
          </w:p>
        </w:tc>
        <w:tc>
          <w:tcPr>
            <w:tcW w:w="1461" w:type="dxa"/>
          </w:tcPr>
          <w:p w14:paraId="6B26C4FE"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r>
      <w:tr w:rsidR="00AF6991" w:rsidRPr="00AF6991" w14:paraId="2657277E" w14:textId="77777777" w:rsidTr="00AF6991">
        <w:tc>
          <w:tcPr>
            <w:tcW w:w="1461" w:type="dxa"/>
            <w:shd w:val="clear" w:color="auto" w:fill="F2F2F2" w:themeFill="background1" w:themeFillShade="F2"/>
          </w:tcPr>
          <w:p w14:paraId="089B02D6"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Bryan</w:t>
            </w:r>
          </w:p>
        </w:tc>
        <w:tc>
          <w:tcPr>
            <w:tcW w:w="1461" w:type="dxa"/>
          </w:tcPr>
          <w:p w14:paraId="3DC87F25"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Sceptical </w:t>
            </w:r>
          </w:p>
        </w:tc>
        <w:tc>
          <w:tcPr>
            <w:tcW w:w="1461" w:type="dxa"/>
          </w:tcPr>
          <w:p w14:paraId="4FC27925"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No </w:t>
            </w:r>
          </w:p>
        </w:tc>
        <w:tc>
          <w:tcPr>
            <w:tcW w:w="1461" w:type="dxa"/>
          </w:tcPr>
          <w:p w14:paraId="72AE5DF3"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Very important</w:t>
            </w:r>
          </w:p>
        </w:tc>
      </w:tr>
      <w:tr w:rsidR="00AF6991" w:rsidRPr="00AF6991" w14:paraId="41C2CBFF" w14:textId="77777777" w:rsidTr="00AF6991">
        <w:tc>
          <w:tcPr>
            <w:tcW w:w="1461" w:type="dxa"/>
            <w:shd w:val="clear" w:color="auto" w:fill="F2F2F2" w:themeFill="background1" w:themeFillShade="F2"/>
          </w:tcPr>
          <w:p w14:paraId="7892DC1F"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Tom</w:t>
            </w:r>
          </w:p>
        </w:tc>
        <w:tc>
          <w:tcPr>
            <w:tcW w:w="1461" w:type="dxa"/>
          </w:tcPr>
          <w:p w14:paraId="351378D0"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w:t>
            </w:r>
          </w:p>
        </w:tc>
        <w:tc>
          <w:tcPr>
            <w:tcW w:w="1461" w:type="dxa"/>
          </w:tcPr>
          <w:p w14:paraId="470E9E9A"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No </w:t>
            </w:r>
          </w:p>
        </w:tc>
        <w:tc>
          <w:tcPr>
            <w:tcW w:w="1461" w:type="dxa"/>
          </w:tcPr>
          <w:p w14:paraId="16E74806"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w:t>
            </w:r>
          </w:p>
        </w:tc>
      </w:tr>
      <w:tr w:rsidR="00AF6991" w:rsidRPr="00AF6991" w14:paraId="14366E5E" w14:textId="77777777" w:rsidTr="00AF6991">
        <w:tc>
          <w:tcPr>
            <w:tcW w:w="1461" w:type="dxa"/>
            <w:shd w:val="clear" w:color="auto" w:fill="F2F2F2" w:themeFill="background1" w:themeFillShade="F2"/>
          </w:tcPr>
          <w:p w14:paraId="6918C9DB"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Elaina</w:t>
            </w:r>
          </w:p>
        </w:tc>
        <w:tc>
          <w:tcPr>
            <w:tcW w:w="1461" w:type="dxa"/>
          </w:tcPr>
          <w:p w14:paraId="7704B6B0"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w:t>
            </w:r>
          </w:p>
        </w:tc>
        <w:tc>
          <w:tcPr>
            <w:tcW w:w="1461" w:type="dxa"/>
          </w:tcPr>
          <w:p w14:paraId="0AE17FDE"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No </w:t>
            </w:r>
          </w:p>
        </w:tc>
        <w:tc>
          <w:tcPr>
            <w:tcW w:w="1461" w:type="dxa"/>
          </w:tcPr>
          <w:p w14:paraId="07F319EE"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 trusts state</w:t>
            </w:r>
          </w:p>
        </w:tc>
      </w:tr>
      <w:tr w:rsidR="00AF6991" w:rsidRPr="00AF6991" w14:paraId="5EEEAC0C" w14:textId="77777777" w:rsidTr="00AF6991">
        <w:tc>
          <w:tcPr>
            <w:tcW w:w="1461" w:type="dxa"/>
            <w:shd w:val="clear" w:color="auto" w:fill="F2F2F2" w:themeFill="background1" w:themeFillShade="F2"/>
          </w:tcPr>
          <w:p w14:paraId="0734DAC1"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Frank</w:t>
            </w:r>
          </w:p>
        </w:tc>
        <w:tc>
          <w:tcPr>
            <w:tcW w:w="1461" w:type="dxa"/>
          </w:tcPr>
          <w:p w14:paraId="11B8BFFC"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No problems with Bank </w:t>
            </w:r>
          </w:p>
        </w:tc>
        <w:tc>
          <w:tcPr>
            <w:tcW w:w="1461" w:type="dxa"/>
          </w:tcPr>
          <w:p w14:paraId="77A9DDEA"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Sceptical </w:t>
            </w:r>
          </w:p>
        </w:tc>
        <w:tc>
          <w:tcPr>
            <w:tcW w:w="1461" w:type="dxa"/>
          </w:tcPr>
          <w:p w14:paraId="4AB36320"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r>
      <w:tr w:rsidR="00AF6991" w:rsidRPr="00AF6991" w14:paraId="5E228FB6" w14:textId="77777777" w:rsidTr="00AF6991">
        <w:tc>
          <w:tcPr>
            <w:tcW w:w="1461" w:type="dxa"/>
            <w:shd w:val="clear" w:color="auto" w:fill="F2F2F2" w:themeFill="background1" w:themeFillShade="F2"/>
          </w:tcPr>
          <w:p w14:paraId="054B3802"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Suzie</w:t>
            </w:r>
          </w:p>
        </w:tc>
        <w:tc>
          <w:tcPr>
            <w:tcW w:w="1461" w:type="dxa"/>
          </w:tcPr>
          <w:p w14:paraId="31B04A91"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N/A</w:t>
            </w:r>
          </w:p>
        </w:tc>
        <w:tc>
          <w:tcPr>
            <w:tcW w:w="1461" w:type="dxa"/>
          </w:tcPr>
          <w:p w14:paraId="53296C19"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w:t>
            </w:r>
          </w:p>
        </w:tc>
        <w:tc>
          <w:tcPr>
            <w:tcW w:w="1461" w:type="dxa"/>
          </w:tcPr>
          <w:p w14:paraId="7724E999"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r>
      <w:tr w:rsidR="00AF6991" w:rsidRPr="00AF6991" w14:paraId="06354098" w14:textId="77777777" w:rsidTr="00AF6991">
        <w:tc>
          <w:tcPr>
            <w:tcW w:w="1461" w:type="dxa"/>
            <w:shd w:val="clear" w:color="auto" w:fill="F2F2F2" w:themeFill="background1" w:themeFillShade="F2"/>
          </w:tcPr>
          <w:p w14:paraId="6EF02024"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Kathy</w:t>
            </w:r>
          </w:p>
        </w:tc>
        <w:tc>
          <w:tcPr>
            <w:tcW w:w="1461" w:type="dxa"/>
          </w:tcPr>
          <w:p w14:paraId="0D0DFBEB"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w:t>
            </w:r>
          </w:p>
        </w:tc>
        <w:tc>
          <w:tcPr>
            <w:tcW w:w="1461" w:type="dxa"/>
          </w:tcPr>
          <w:p w14:paraId="6C861D24"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 with reservations</w:t>
            </w:r>
          </w:p>
        </w:tc>
        <w:tc>
          <w:tcPr>
            <w:tcW w:w="1461" w:type="dxa"/>
          </w:tcPr>
          <w:p w14:paraId="7018E5D0"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r>
      <w:tr w:rsidR="00AF6991" w:rsidRPr="00AF6991" w14:paraId="4E895901" w14:textId="77777777" w:rsidTr="00AF6991">
        <w:tc>
          <w:tcPr>
            <w:tcW w:w="1461" w:type="dxa"/>
            <w:shd w:val="clear" w:color="auto" w:fill="F2F2F2" w:themeFill="background1" w:themeFillShade="F2"/>
          </w:tcPr>
          <w:p w14:paraId="43FBCD94"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Sarah</w:t>
            </w:r>
          </w:p>
        </w:tc>
        <w:tc>
          <w:tcPr>
            <w:tcW w:w="1461" w:type="dxa"/>
          </w:tcPr>
          <w:p w14:paraId="2E0A6FBF"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 with reservations</w:t>
            </w:r>
          </w:p>
        </w:tc>
        <w:tc>
          <w:tcPr>
            <w:tcW w:w="1461" w:type="dxa"/>
          </w:tcPr>
          <w:p w14:paraId="616DC914"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Sceptical </w:t>
            </w:r>
          </w:p>
        </w:tc>
        <w:tc>
          <w:tcPr>
            <w:tcW w:w="1461" w:type="dxa"/>
          </w:tcPr>
          <w:p w14:paraId="4BC7E42C"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r>
      <w:tr w:rsidR="00AF6991" w:rsidRPr="00AF6991" w14:paraId="50657565" w14:textId="77777777" w:rsidTr="00AF6991">
        <w:tc>
          <w:tcPr>
            <w:tcW w:w="1461" w:type="dxa"/>
            <w:shd w:val="clear" w:color="auto" w:fill="F2F2F2" w:themeFill="background1" w:themeFillShade="F2"/>
          </w:tcPr>
          <w:p w14:paraId="06286038"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Emily</w:t>
            </w:r>
          </w:p>
        </w:tc>
        <w:tc>
          <w:tcPr>
            <w:tcW w:w="1461" w:type="dxa"/>
          </w:tcPr>
          <w:p w14:paraId="56000A8D"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c>
          <w:tcPr>
            <w:tcW w:w="1461" w:type="dxa"/>
          </w:tcPr>
          <w:p w14:paraId="5AA1A4A1"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 Unsure</w:t>
            </w:r>
          </w:p>
        </w:tc>
        <w:tc>
          <w:tcPr>
            <w:tcW w:w="1461" w:type="dxa"/>
          </w:tcPr>
          <w:p w14:paraId="0635936D"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r>
      <w:tr w:rsidR="00AF6991" w:rsidRPr="00AF6991" w14:paraId="5DDC18D2" w14:textId="77777777" w:rsidTr="00AF6991">
        <w:tc>
          <w:tcPr>
            <w:tcW w:w="1461" w:type="dxa"/>
            <w:shd w:val="clear" w:color="auto" w:fill="F2F2F2" w:themeFill="background1" w:themeFillShade="F2"/>
          </w:tcPr>
          <w:p w14:paraId="5F557164"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Mavis</w:t>
            </w:r>
          </w:p>
        </w:tc>
        <w:tc>
          <w:tcPr>
            <w:tcW w:w="1461" w:type="dxa"/>
          </w:tcPr>
          <w:p w14:paraId="6BEBF107"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c>
          <w:tcPr>
            <w:tcW w:w="1461" w:type="dxa"/>
          </w:tcPr>
          <w:p w14:paraId="558A825E"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Sceptical </w:t>
            </w:r>
          </w:p>
        </w:tc>
        <w:tc>
          <w:tcPr>
            <w:tcW w:w="1461" w:type="dxa"/>
          </w:tcPr>
          <w:p w14:paraId="3DB82E7C"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r>
      <w:tr w:rsidR="00AF6991" w:rsidRPr="00AF6991" w14:paraId="1A3ABB39" w14:textId="77777777" w:rsidTr="00AF6991">
        <w:tc>
          <w:tcPr>
            <w:tcW w:w="1461" w:type="dxa"/>
            <w:shd w:val="clear" w:color="auto" w:fill="F2F2F2" w:themeFill="background1" w:themeFillShade="F2"/>
          </w:tcPr>
          <w:p w14:paraId="5FB11EF5"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Heather</w:t>
            </w:r>
          </w:p>
        </w:tc>
        <w:tc>
          <w:tcPr>
            <w:tcW w:w="1461" w:type="dxa"/>
          </w:tcPr>
          <w:p w14:paraId="28FD81B6"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c>
          <w:tcPr>
            <w:tcW w:w="1461" w:type="dxa"/>
          </w:tcPr>
          <w:p w14:paraId="2065DB64"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 with reservations</w:t>
            </w:r>
          </w:p>
        </w:tc>
        <w:tc>
          <w:tcPr>
            <w:tcW w:w="1461" w:type="dxa"/>
          </w:tcPr>
          <w:p w14:paraId="7E9E4E9C"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r>
      <w:tr w:rsidR="00AF6991" w:rsidRPr="00AF6991" w14:paraId="5E0FC252" w14:textId="77777777" w:rsidTr="00AF6991">
        <w:tc>
          <w:tcPr>
            <w:tcW w:w="1461" w:type="dxa"/>
            <w:shd w:val="clear" w:color="auto" w:fill="F2F2F2" w:themeFill="background1" w:themeFillShade="F2"/>
          </w:tcPr>
          <w:p w14:paraId="5A2D399F"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June</w:t>
            </w:r>
          </w:p>
        </w:tc>
        <w:tc>
          <w:tcPr>
            <w:tcW w:w="1461" w:type="dxa"/>
          </w:tcPr>
          <w:p w14:paraId="14086048"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c>
          <w:tcPr>
            <w:tcW w:w="1461" w:type="dxa"/>
          </w:tcPr>
          <w:p w14:paraId="206263A1"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No  </w:t>
            </w:r>
          </w:p>
        </w:tc>
        <w:tc>
          <w:tcPr>
            <w:tcW w:w="1461" w:type="dxa"/>
          </w:tcPr>
          <w:p w14:paraId="7994D72D"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Very important </w:t>
            </w:r>
          </w:p>
        </w:tc>
      </w:tr>
      <w:tr w:rsidR="00AF6991" w:rsidRPr="00AF6991" w14:paraId="1B709AC9" w14:textId="77777777" w:rsidTr="00AF6991">
        <w:tc>
          <w:tcPr>
            <w:tcW w:w="1461" w:type="dxa"/>
            <w:shd w:val="clear" w:color="auto" w:fill="F2F2F2" w:themeFill="background1" w:themeFillShade="F2"/>
          </w:tcPr>
          <w:p w14:paraId="1D9EB010"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Eric</w:t>
            </w:r>
          </w:p>
        </w:tc>
        <w:tc>
          <w:tcPr>
            <w:tcW w:w="1461" w:type="dxa"/>
          </w:tcPr>
          <w:p w14:paraId="6BD51B58"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w:t>
            </w:r>
          </w:p>
        </w:tc>
        <w:tc>
          <w:tcPr>
            <w:tcW w:w="1461" w:type="dxa"/>
          </w:tcPr>
          <w:p w14:paraId="6986EE63"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 with reservations</w:t>
            </w:r>
          </w:p>
        </w:tc>
        <w:tc>
          <w:tcPr>
            <w:tcW w:w="1461" w:type="dxa"/>
          </w:tcPr>
          <w:p w14:paraId="787429B2"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r>
      <w:tr w:rsidR="00AF6991" w:rsidRPr="00AF6991" w14:paraId="2760D022" w14:textId="77777777" w:rsidTr="00AF6991">
        <w:tc>
          <w:tcPr>
            <w:tcW w:w="1461" w:type="dxa"/>
            <w:shd w:val="clear" w:color="auto" w:fill="F2F2F2" w:themeFill="background1" w:themeFillShade="F2"/>
          </w:tcPr>
          <w:p w14:paraId="49EED414"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lastRenderedPageBreak/>
              <w:t>Marta</w:t>
            </w:r>
          </w:p>
        </w:tc>
        <w:tc>
          <w:tcPr>
            <w:tcW w:w="1461" w:type="dxa"/>
          </w:tcPr>
          <w:p w14:paraId="6A4AF2E8"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w:t>
            </w:r>
          </w:p>
        </w:tc>
        <w:tc>
          <w:tcPr>
            <w:tcW w:w="1461" w:type="dxa"/>
          </w:tcPr>
          <w:p w14:paraId="5855A0D8"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w:t>
            </w:r>
          </w:p>
        </w:tc>
        <w:tc>
          <w:tcPr>
            <w:tcW w:w="1461" w:type="dxa"/>
          </w:tcPr>
          <w:p w14:paraId="68087441"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r>
      <w:tr w:rsidR="00AF6991" w:rsidRPr="00AF6991" w14:paraId="46AAD193" w14:textId="77777777" w:rsidTr="00AF6991">
        <w:tc>
          <w:tcPr>
            <w:tcW w:w="1461" w:type="dxa"/>
            <w:shd w:val="clear" w:color="auto" w:fill="F2F2F2" w:themeFill="background1" w:themeFillShade="F2"/>
          </w:tcPr>
          <w:p w14:paraId="481D7F1E"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Ronnie</w:t>
            </w:r>
          </w:p>
        </w:tc>
        <w:tc>
          <w:tcPr>
            <w:tcW w:w="1461" w:type="dxa"/>
          </w:tcPr>
          <w:p w14:paraId="2EA288C7"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w:t>
            </w:r>
          </w:p>
        </w:tc>
        <w:tc>
          <w:tcPr>
            <w:tcW w:w="1461" w:type="dxa"/>
          </w:tcPr>
          <w:p w14:paraId="2C65FCD5"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w:t>
            </w:r>
          </w:p>
        </w:tc>
        <w:tc>
          <w:tcPr>
            <w:tcW w:w="1461" w:type="dxa"/>
          </w:tcPr>
          <w:p w14:paraId="5FA1363E"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r>
      <w:tr w:rsidR="00AF6991" w:rsidRPr="00AF6991" w14:paraId="517B3F1C" w14:textId="77777777" w:rsidTr="00AF6991">
        <w:tc>
          <w:tcPr>
            <w:tcW w:w="1461" w:type="dxa"/>
            <w:shd w:val="clear" w:color="auto" w:fill="F2F2F2" w:themeFill="background1" w:themeFillShade="F2"/>
          </w:tcPr>
          <w:p w14:paraId="2236C135"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Alan</w:t>
            </w:r>
          </w:p>
        </w:tc>
        <w:tc>
          <w:tcPr>
            <w:tcW w:w="1461" w:type="dxa"/>
          </w:tcPr>
          <w:p w14:paraId="299EC8B3"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w:t>
            </w:r>
          </w:p>
        </w:tc>
        <w:tc>
          <w:tcPr>
            <w:tcW w:w="1461" w:type="dxa"/>
          </w:tcPr>
          <w:p w14:paraId="4B864894"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w:t>
            </w:r>
          </w:p>
        </w:tc>
        <w:tc>
          <w:tcPr>
            <w:tcW w:w="1461" w:type="dxa"/>
          </w:tcPr>
          <w:p w14:paraId="799B2F87"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Very important</w:t>
            </w:r>
          </w:p>
        </w:tc>
      </w:tr>
      <w:tr w:rsidR="00AF6991" w:rsidRPr="00AF6991" w14:paraId="6FE67CA2" w14:textId="77777777" w:rsidTr="00AF6991">
        <w:tc>
          <w:tcPr>
            <w:tcW w:w="1461" w:type="dxa"/>
            <w:shd w:val="clear" w:color="auto" w:fill="F2F2F2" w:themeFill="background1" w:themeFillShade="F2"/>
          </w:tcPr>
          <w:p w14:paraId="0030F2C3"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George</w:t>
            </w:r>
          </w:p>
        </w:tc>
        <w:tc>
          <w:tcPr>
            <w:tcW w:w="1461" w:type="dxa"/>
          </w:tcPr>
          <w:p w14:paraId="70DDD14B"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c>
          <w:tcPr>
            <w:tcW w:w="1461" w:type="dxa"/>
          </w:tcPr>
          <w:p w14:paraId="08B31BC5"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Sceptical</w:t>
            </w:r>
          </w:p>
        </w:tc>
        <w:tc>
          <w:tcPr>
            <w:tcW w:w="1461" w:type="dxa"/>
          </w:tcPr>
          <w:p w14:paraId="5A3CF742"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r>
      <w:tr w:rsidR="00AF6991" w:rsidRPr="00AF6991" w14:paraId="437358D1" w14:textId="77777777" w:rsidTr="00AF6991">
        <w:tc>
          <w:tcPr>
            <w:tcW w:w="1461" w:type="dxa"/>
            <w:shd w:val="clear" w:color="auto" w:fill="F2F2F2" w:themeFill="background1" w:themeFillShade="F2"/>
          </w:tcPr>
          <w:p w14:paraId="78485500"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Ernie</w:t>
            </w:r>
          </w:p>
        </w:tc>
        <w:tc>
          <w:tcPr>
            <w:tcW w:w="1461" w:type="dxa"/>
          </w:tcPr>
          <w:p w14:paraId="09F1CE79"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 initially sceptical later</w:t>
            </w:r>
          </w:p>
        </w:tc>
        <w:tc>
          <w:tcPr>
            <w:tcW w:w="1461" w:type="dxa"/>
          </w:tcPr>
          <w:p w14:paraId="1C8AB9F9"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No </w:t>
            </w:r>
          </w:p>
        </w:tc>
        <w:tc>
          <w:tcPr>
            <w:tcW w:w="1461" w:type="dxa"/>
          </w:tcPr>
          <w:p w14:paraId="110D39E9"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r>
      <w:tr w:rsidR="00AF6991" w:rsidRPr="00AF6991" w14:paraId="5C988998" w14:textId="77777777" w:rsidTr="00AF6991">
        <w:tc>
          <w:tcPr>
            <w:tcW w:w="1461" w:type="dxa"/>
            <w:shd w:val="clear" w:color="auto" w:fill="F2F2F2" w:themeFill="background1" w:themeFillShade="F2"/>
          </w:tcPr>
          <w:p w14:paraId="3B23141B"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Peter</w:t>
            </w:r>
          </w:p>
        </w:tc>
        <w:tc>
          <w:tcPr>
            <w:tcW w:w="1461" w:type="dxa"/>
          </w:tcPr>
          <w:p w14:paraId="4BC722E7"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w:t>
            </w:r>
          </w:p>
        </w:tc>
        <w:tc>
          <w:tcPr>
            <w:tcW w:w="1461" w:type="dxa"/>
          </w:tcPr>
          <w:p w14:paraId="3192E29E"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Yes</w:t>
            </w:r>
          </w:p>
        </w:tc>
        <w:tc>
          <w:tcPr>
            <w:tcW w:w="1461" w:type="dxa"/>
          </w:tcPr>
          <w:p w14:paraId="6B0C940C"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r>
      <w:tr w:rsidR="00AF6991" w:rsidRPr="00AF6991" w14:paraId="32BEEAC2" w14:textId="77777777" w:rsidTr="00AF6991">
        <w:tc>
          <w:tcPr>
            <w:tcW w:w="1461" w:type="dxa"/>
            <w:shd w:val="clear" w:color="auto" w:fill="F2F2F2" w:themeFill="background1" w:themeFillShade="F2"/>
          </w:tcPr>
          <w:p w14:paraId="62E36229"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David</w:t>
            </w:r>
          </w:p>
        </w:tc>
        <w:tc>
          <w:tcPr>
            <w:tcW w:w="1461" w:type="dxa"/>
          </w:tcPr>
          <w:p w14:paraId="4839A5D9"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Mixed experiences</w:t>
            </w:r>
          </w:p>
        </w:tc>
        <w:tc>
          <w:tcPr>
            <w:tcW w:w="1461" w:type="dxa"/>
          </w:tcPr>
          <w:p w14:paraId="669C3F56"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No </w:t>
            </w:r>
          </w:p>
        </w:tc>
        <w:tc>
          <w:tcPr>
            <w:tcW w:w="1461" w:type="dxa"/>
          </w:tcPr>
          <w:p w14:paraId="1336A75A" w14:textId="77777777" w:rsidR="00AF6991" w:rsidRPr="00AF6991" w:rsidRDefault="00AF6991" w:rsidP="00AF6991">
            <w:pPr>
              <w:spacing w:after="0" w:line="240" w:lineRule="auto"/>
              <w:jc w:val="center"/>
              <w:rPr>
                <w:rFonts w:eastAsia="SimSun" w:cstheme="minorHAnsi"/>
                <w:bCs/>
                <w:kern w:val="28"/>
                <w:sz w:val="20"/>
                <w:szCs w:val="20"/>
                <w:lang w:val="en-US" w:eastAsia="en-GB"/>
              </w:rPr>
            </w:pPr>
            <w:r w:rsidRPr="00AF6991">
              <w:rPr>
                <w:rFonts w:eastAsia="SimSun" w:cstheme="minorHAnsi"/>
                <w:bCs/>
                <w:kern w:val="28"/>
                <w:sz w:val="20"/>
                <w:szCs w:val="20"/>
                <w:lang w:val="en-US" w:eastAsia="en-GB"/>
              </w:rPr>
              <w:t xml:space="preserve">Yes </w:t>
            </w:r>
          </w:p>
        </w:tc>
      </w:tr>
    </w:tbl>
    <w:p w14:paraId="6CA87F91" w14:textId="77777777" w:rsidR="001A4635" w:rsidRDefault="001A4635" w:rsidP="00AF6991">
      <w:pPr>
        <w:spacing w:after="120" w:line="480" w:lineRule="auto"/>
        <w:rPr>
          <w:rFonts w:cstheme="minorHAnsi"/>
          <w:sz w:val="24"/>
          <w:szCs w:val="24"/>
        </w:rPr>
      </w:pPr>
    </w:p>
    <w:p w14:paraId="108827AF" w14:textId="2BB41F48" w:rsidR="00AF6991" w:rsidRPr="00B2098D" w:rsidRDefault="00AF6991" w:rsidP="00AF6991">
      <w:pPr>
        <w:spacing w:after="120" w:line="480" w:lineRule="auto"/>
        <w:rPr>
          <w:rFonts w:cstheme="minorHAnsi"/>
          <w:color w:val="FF0000"/>
          <w:sz w:val="24"/>
          <w:szCs w:val="24"/>
        </w:rPr>
      </w:pPr>
      <w:r w:rsidRPr="00AF6991">
        <w:rPr>
          <w:rFonts w:cstheme="minorHAnsi"/>
          <w:sz w:val="24"/>
          <w:szCs w:val="24"/>
        </w:rPr>
        <w:t xml:space="preserve">Table </w:t>
      </w:r>
      <w:r w:rsidR="0023237D">
        <w:rPr>
          <w:rFonts w:cstheme="minorHAnsi"/>
          <w:sz w:val="24"/>
          <w:szCs w:val="24"/>
        </w:rPr>
        <w:t>6</w:t>
      </w:r>
      <w:r w:rsidRPr="00AF6991">
        <w:rPr>
          <w:rFonts w:cstheme="minorHAnsi"/>
          <w:sz w:val="24"/>
          <w:szCs w:val="24"/>
        </w:rPr>
        <w:t xml:space="preserve"> shows that interviewees were </w:t>
      </w:r>
      <w:r w:rsidR="007F4692">
        <w:rPr>
          <w:rFonts w:cstheme="minorHAnsi"/>
          <w:sz w:val="24"/>
          <w:szCs w:val="24"/>
        </w:rPr>
        <w:t xml:space="preserve">broadly very </w:t>
      </w:r>
      <w:r w:rsidRPr="00AF6991">
        <w:rPr>
          <w:rFonts w:cstheme="minorHAnsi"/>
          <w:sz w:val="24"/>
          <w:szCs w:val="24"/>
        </w:rPr>
        <w:t>trusting of the advisers they had dealt with</w:t>
      </w:r>
      <w:r w:rsidR="004B3869">
        <w:rPr>
          <w:rFonts w:cstheme="minorHAnsi"/>
          <w:sz w:val="24"/>
          <w:szCs w:val="24"/>
        </w:rPr>
        <w:t>,</w:t>
      </w:r>
      <w:r w:rsidRPr="00AF6991">
        <w:rPr>
          <w:rFonts w:cstheme="minorHAnsi"/>
          <w:sz w:val="24"/>
          <w:szCs w:val="24"/>
        </w:rPr>
        <w:t xml:space="preserve"> although</w:t>
      </w:r>
      <w:r w:rsidR="00B37B62">
        <w:rPr>
          <w:rFonts w:cstheme="minorHAnsi"/>
          <w:sz w:val="24"/>
          <w:szCs w:val="24"/>
        </w:rPr>
        <w:t>,</w:t>
      </w:r>
      <w:r w:rsidRPr="00AF6991">
        <w:rPr>
          <w:rFonts w:cstheme="minorHAnsi"/>
          <w:sz w:val="24"/>
          <w:szCs w:val="24"/>
        </w:rPr>
        <w:t xml:space="preserve"> some </w:t>
      </w:r>
      <w:r w:rsidR="004773BB">
        <w:rPr>
          <w:rFonts w:cstheme="minorHAnsi"/>
          <w:sz w:val="24"/>
          <w:szCs w:val="24"/>
        </w:rPr>
        <w:t>were</w:t>
      </w:r>
      <w:r w:rsidRPr="00AF6991">
        <w:rPr>
          <w:rFonts w:cstheme="minorHAnsi"/>
          <w:sz w:val="24"/>
          <w:szCs w:val="24"/>
        </w:rPr>
        <w:t xml:space="preserve"> sceptic</w:t>
      </w:r>
      <w:r w:rsidR="004773BB">
        <w:rPr>
          <w:rFonts w:cstheme="minorHAnsi"/>
          <w:sz w:val="24"/>
          <w:szCs w:val="24"/>
        </w:rPr>
        <w:t>al</w:t>
      </w:r>
      <w:r w:rsidRPr="00AF6991">
        <w:rPr>
          <w:rFonts w:cstheme="minorHAnsi"/>
          <w:sz w:val="24"/>
          <w:szCs w:val="24"/>
        </w:rPr>
        <w:t xml:space="preserve"> about </w:t>
      </w:r>
      <w:r w:rsidR="004B3869">
        <w:rPr>
          <w:rFonts w:cstheme="minorHAnsi"/>
          <w:sz w:val="24"/>
          <w:szCs w:val="24"/>
        </w:rPr>
        <w:t xml:space="preserve">the </w:t>
      </w:r>
      <w:r w:rsidRPr="00AF6991">
        <w:rPr>
          <w:rFonts w:cstheme="minorHAnsi"/>
          <w:sz w:val="24"/>
          <w:szCs w:val="24"/>
        </w:rPr>
        <w:t>advisers</w:t>
      </w:r>
      <w:r w:rsidR="004773BB">
        <w:rPr>
          <w:rFonts w:cstheme="minorHAnsi"/>
          <w:sz w:val="24"/>
          <w:szCs w:val="24"/>
        </w:rPr>
        <w:t>’</w:t>
      </w:r>
      <w:r w:rsidRPr="00AF6991">
        <w:rPr>
          <w:rFonts w:cstheme="minorHAnsi"/>
          <w:sz w:val="24"/>
          <w:szCs w:val="24"/>
        </w:rPr>
        <w:t xml:space="preserve"> motives. It seems the referral method is based on individual trust rather than general trust. </w:t>
      </w:r>
      <w:r w:rsidRPr="00015E4E">
        <w:rPr>
          <w:rFonts w:cstheme="minorHAnsi"/>
          <w:sz w:val="24"/>
          <w:szCs w:val="24"/>
        </w:rPr>
        <w:t>High individual trust in advisers therefore does not present a barrier to access.</w:t>
      </w:r>
      <w:r w:rsidRPr="00AF6991">
        <w:rPr>
          <w:rFonts w:cstheme="minorHAnsi"/>
          <w:sz w:val="24"/>
          <w:szCs w:val="24"/>
        </w:rPr>
        <w:t xml:space="preserve"> However, it does have some inherent dangers as Heather’s experiences highlight.</w:t>
      </w:r>
      <w:r w:rsidR="00B2098D">
        <w:rPr>
          <w:rFonts w:cstheme="minorHAnsi"/>
          <w:sz w:val="24"/>
          <w:szCs w:val="24"/>
        </w:rPr>
        <w:t xml:space="preserve"> </w:t>
      </w:r>
    </w:p>
    <w:p w14:paraId="52670DA2" w14:textId="0889BDB5" w:rsidR="00AF6991" w:rsidRPr="00FE6FC7" w:rsidRDefault="00AF6991" w:rsidP="00AF6991">
      <w:pPr>
        <w:spacing w:after="120" w:line="480" w:lineRule="auto"/>
        <w:rPr>
          <w:rFonts w:cstheme="minorHAnsi"/>
          <w:sz w:val="24"/>
          <w:szCs w:val="24"/>
        </w:rPr>
      </w:pPr>
      <w:r w:rsidRPr="007B62E6">
        <w:rPr>
          <w:rFonts w:cstheme="minorHAnsi"/>
          <w:sz w:val="24"/>
          <w:szCs w:val="24"/>
        </w:rPr>
        <w:t>Although trust has been a reason why consumers have not always engaged with financial advisers, it is the way consumers engage using mental shortcuts to establish trust that should be of greater concern. In part this is can be attributed to consumers’ lack of understanding of the different ways to find an adviser. Rather than using formal resources such as M</w:t>
      </w:r>
      <w:r w:rsidR="00FE6FC7">
        <w:rPr>
          <w:rFonts w:cstheme="minorHAnsi"/>
          <w:sz w:val="24"/>
          <w:szCs w:val="24"/>
        </w:rPr>
        <w:t>a</w:t>
      </w:r>
      <w:r w:rsidR="004B3869">
        <w:rPr>
          <w:rFonts w:cstheme="minorHAnsi"/>
          <w:sz w:val="24"/>
          <w:szCs w:val="24"/>
        </w:rPr>
        <w:t>P</w:t>
      </w:r>
      <w:r w:rsidRPr="007B62E6">
        <w:rPr>
          <w:rFonts w:cstheme="minorHAnsi"/>
          <w:sz w:val="24"/>
          <w:szCs w:val="24"/>
        </w:rPr>
        <w:t>S to help make an informed decision, an informal route via a referral is often used. This may result in emotional establishment of trust rather than an informed decision as to an adviser’s capability and ethics.</w:t>
      </w:r>
    </w:p>
    <w:p w14:paraId="5682EE5F" w14:textId="01823754" w:rsidR="00AF6991" w:rsidRPr="00AF6991" w:rsidRDefault="00AF6991" w:rsidP="00AF6991">
      <w:pPr>
        <w:spacing w:after="120" w:line="480" w:lineRule="auto"/>
        <w:rPr>
          <w:rFonts w:cstheme="minorHAnsi"/>
          <w:b/>
          <w:sz w:val="24"/>
          <w:szCs w:val="24"/>
          <w:u w:val="single"/>
        </w:rPr>
      </w:pPr>
      <w:r w:rsidRPr="00AF6991">
        <w:rPr>
          <w:rFonts w:cstheme="minorHAnsi"/>
          <w:b/>
          <w:sz w:val="24"/>
          <w:szCs w:val="24"/>
          <w:u w:val="single"/>
        </w:rPr>
        <w:t>Cost/Affordability</w:t>
      </w:r>
      <w:r w:rsidR="00985672">
        <w:rPr>
          <w:rFonts w:cstheme="minorHAnsi"/>
          <w:b/>
          <w:sz w:val="24"/>
          <w:szCs w:val="24"/>
          <w:u w:val="single"/>
        </w:rPr>
        <w:t xml:space="preserve"> as a barrier to advice</w:t>
      </w:r>
      <w:r w:rsidRPr="00AF6991">
        <w:rPr>
          <w:rFonts w:cstheme="minorHAnsi"/>
          <w:b/>
          <w:sz w:val="24"/>
          <w:szCs w:val="24"/>
          <w:u w:val="single"/>
        </w:rPr>
        <w:t>.</w:t>
      </w:r>
    </w:p>
    <w:p w14:paraId="34E03AF0" w14:textId="77777777" w:rsidR="00B90E60" w:rsidRDefault="00AF6991" w:rsidP="00AF6991">
      <w:pPr>
        <w:spacing w:after="120" w:line="480" w:lineRule="auto"/>
        <w:rPr>
          <w:rFonts w:cstheme="minorHAnsi"/>
          <w:sz w:val="24"/>
          <w:szCs w:val="24"/>
        </w:rPr>
      </w:pPr>
      <w:r w:rsidRPr="00AF6991">
        <w:rPr>
          <w:rFonts w:cstheme="minorHAnsi"/>
          <w:sz w:val="24"/>
          <w:szCs w:val="24"/>
        </w:rPr>
        <w:t xml:space="preserve">The third theme arising from our interviews is that of cost or affordability. Ability to pay, for financial advice or the resulting products sold, is a key factor because if consumers do not have the available disposable income to pay for advice and/or any associated product then they will not engage. </w:t>
      </w:r>
      <w:r w:rsidR="00B90E60">
        <w:rPr>
          <w:rFonts w:cstheme="minorHAnsi"/>
          <w:sz w:val="24"/>
          <w:szCs w:val="24"/>
        </w:rPr>
        <w:t xml:space="preserve">Even those that can afford to pay may not necessarily be willing to do so. </w:t>
      </w:r>
    </w:p>
    <w:p w14:paraId="77FF8947" w14:textId="052D45ED" w:rsidR="00AF6991" w:rsidRPr="00AF6991" w:rsidRDefault="00AF6991" w:rsidP="00AF6991">
      <w:pPr>
        <w:spacing w:after="120" w:line="480" w:lineRule="auto"/>
        <w:rPr>
          <w:rFonts w:cstheme="minorHAnsi"/>
          <w:sz w:val="24"/>
          <w:szCs w:val="24"/>
        </w:rPr>
      </w:pPr>
      <w:r w:rsidRPr="00AF6991">
        <w:rPr>
          <w:rFonts w:cstheme="minorHAnsi"/>
          <w:sz w:val="24"/>
          <w:szCs w:val="24"/>
        </w:rPr>
        <w:lastRenderedPageBreak/>
        <w:t>In the past advice was funded via product commissions. This had certain disadvantages for the consumer; product costs were higher as commissions were incorporated, creating issues of opacity and potential product advice bias because of different commission levels</w:t>
      </w:r>
      <w:r w:rsidR="00015E4E">
        <w:rPr>
          <w:rFonts w:cstheme="minorHAnsi"/>
          <w:sz w:val="24"/>
          <w:szCs w:val="24"/>
        </w:rPr>
        <w:t>.</w:t>
      </w:r>
      <w:r w:rsidRPr="00AF6991">
        <w:rPr>
          <w:rFonts w:cstheme="minorHAnsi"/>
          <w:sz w:val="24"/>
          <w:szCs w:val="24"/>
        </w:rPr>
        <w:t xml:space="preserve"> However, it did mean that where the consumer engaged with financial services the cost of advice was not generally a barrier. In the RDR world it is still possible to build the cost of advice into the product purchase although this may perpetuate the issue of a sale being required to remunerate the adviser and is now becoming a less common way to operate.</w:t>
      </w:r>
    </w:p>
    <w:p w14:paraId="21424FAC" w14:textId="77777777" w:rsidR="00AF6991" w:rsidRPr="00AF6991" w:rsidRDefault="00AF6991" w:rsidP="00AF6991">
      <w:pPr>
        <w:spacing w:after="120" w:line="480" w:lineRule="auto"/>
        <w:rPr>
          <w:rFonts w:cstheme="minorHAnsi"/>
          <w:bCs/>
          <w:iCs/>
          <w:sz w:val="24"/>
          <w:szCs w:val="24"/>
        </w:rPr>
      </w:pPr>
      <w:r w:rsidRPr="00AF6991">
        <w:rPr>
          <w:rFonts w:cstheme="minorHAnsi"/>
          <w:bCs/>
          <w:iCs/>
          <w:sz w:val="24"/>
          <w:szCs w:val="24"/>
        </w:rPr>
        <w:t>The interviews showed three key dimensions to the issue of cost/affordability;</w:t>
      </w:r>
    </w:p>
    <w:p w14:paraId="07F73C19" w14:textId="77777777" w:rsidR="00AF6991" w:rsidRPr="00AF6991" w:rsidRDefault="00AF6991" w:rsidP="00AF6991">
      <w:pPr>
        <w:pStyle w:val="ListParagraph"/>
        <w:numPr>
          <w:ilvl w:val="0"/>
          <w:numId w:val="10"/>
        </w:numPr>
        <w:spacing w:after="120" w:line="480" w:lineRule="auto"/>
        <w:rPr>
          <w:rFonts w:cstheme="minorHAnsi"/>
          <w:bCs/>
          <w:iCs/>
          <w:sz w:val="24"/>
          <w:szCs w:val="24"/>
        </w:rPr>
      </w:pPr>
      <w:r w:rsidRPr="00AF6991">
        <w:rPr>
          <w:rFonts w:cstheme="minorHAnsi"/>
          <w:bCs/>
          <w:iCs/>
          <w:sz w:val="24"/>
          <w:szCs w:val="24"/>
        </w:rPr>
        <w:t>Whether the consumer has the disposable income to be able to buy the required products.</w:t>
      </w:r>
    </w:p>
    <w:p w14:paraId="32C950EB" w14:textId="77777777" w:rsidR="00AF6991" w:rsidRPr="00AF6991" w:rsidRDefault="00AF6991" w:rsidP="00AF6991">
      <w:pPr>
        <w:pStyle w:val="ListParagraph"/>
        <w:numPr>
          <w:ilvl w:val="0"/>
          <w:numId w:val="10"/>
        </w:numPr>
        <w:spacing w:after="120" w:line="480" w:lineRule="auto"/>
        <w:rPr>
          <w:rFonts w:cstheme="minorHAnsi"/>
          <w:bCs/>
          <w:iCs/>
          <w:sz w:val="24"/>
          <w:szCs w:val="24"/>
        </w:rPr>
      </w:pPr>
      <w:r w:rsidRPr="00AF6991">
        <w:rPr>
          <w:rFonts w:cstheme="minorHAnsi"/>
          <w:bCs/>
          <w:iCs/>
          <w:sz w:val="24"/>
          <w:szCs w:val="24"/>
        </w:rPr>
        <w:t xml:space="preserve">Whether they perceive they can afford the advice as a separate service to the product being acquired. </w:t>
      </w:r>
    </w:p>
    <w:p w14:paraId="703205EF" w14:textId="77777777" w:rsidR="00AF6991" w:rsidRPr="00AF6991" w:rsidRDefault="00AF6991" w:rsidP="00AF6991">
      <w:pPr>
        <w:pStyle w:val="ListParagraph"/>
        <w:numPr>
          <w:ilvl w:val="0"/>
          <w:numId w:val="10"/>
        </w:numPr>
        <w:spacing w:after="120" w:line="480" w:lineRule="auto"/>
        <w:rPr>
          <w:rFonts w:cstheme="minorHAnsi"/>
          <w:bCs/>
          <w:iCs/>
          <w:sz w:val="24"/>
          <w:szCs w:val="24"/>
        </w:rPr>
      </w:pPr>
      <w:r w:rsidRPr="00AF6991">
        <w:rPr>
          <w:rFonts w:cstheme="minorHAnsi"/>
          <w:bCs/>
          <w:iCs/>
          <w:sz w:val="24"/>
          <w:szCs w:val="24"/>
        </w:rPr>
        <w:t xml:space="preserve">Whether they are willing to pay for advice to help take the necessary actions. </w:t>
      </w:r>
    </w:p>
    <w:p w14:paraId="4A1A955D" w14:textId="6C398782" w:rsidR="00AF6991" w:rsidRPr="00AF6991" w:rsidRDefault="00AF6991" w:rsidP="00AF6991">
      <w:pPr>
        <w:spacing w:after="120" w:line="480" w:lineRule="auto"/>
        <w:rPr>
          <w:rFonts w:cstheme="minorHAnsi"/>
          <w:sz w:val="24"/>
          <w:szCs w:val="24"/>
        </w:rPr>
      </w:pPr>
      <w:r w:rsidRPr="00AF6991">
        <w:rPr>
          <w:rFonts w:cstheme="minorHAnsi"/>
          <w:bCs/>
          <w:iCs/>
          <w:sz w:val="24"/>
          <w:szCs w:val="24"/>
        </w:rPr>
        <w:t xml:space="preserve">Where the advice process starts with a review of income and expenditure then cost savings may be identified, making the advice and product more affordable. However, where the advice process is perceived as a product channel then </w:t>
      </w:r>
      <w:r w:rsidR="00B90E60">
        <w:rPr>
          <w:rFonts w:cstheme="minorHAnsi"/>
          <w:bCs/>
          <w:iCs/>
          <w:sz w:val="24"/>
          <w:szCs w:val="24"/>
        </w:rPr>
        <w:t xml:space="preserve">consumers </w:t>
      </w:r>
      <w:r w:rsidRPr="00AF6991">
        <w:rPr>
          <w:rFonts w:cstheme="minorHAnsi"/>
          <w:bCs/>
          <w:iCs/>
          <w:sz w:val="24"/>
          <w:szCs w:val="24"/>
        </w:rPr>
        <w:t>may not g</w:t>
      </w:r>
      <w:r w:rsidR="00B90E60">
        <w:rPr>
          <w:rFonts w:cstheme="minorHAnsi"/>
          <w:bCs/>
          <w:iCs/>
          <w:sz w:val="24"/>
          <w:szCs w:val="24"/>
        </w:rPr>
        <w:t>et this far,</w:t>
      </w:r>
      <w:r w:rsidRPr="00AF6991">
        <w:rPr>
          <w:rFonts w:cstheme="minorHAnsi"/>
          <w:bCs/>
          <w:iCs/>
          <w:sz w:val="24"/>
          <w:szCs w:val="24"/>
        </w:rPr>
        <w:t xml:space="preserve"> as the perception of initial cost will act as a key barrier to engagement. </w:t>
      </w:r>
      <w:r w:rsidR="00DE60A5">
        <w:rPr>
          <w:rFonts w:cstheme="minorHAnsi"/>
          <w:bCs/>
          <w:iCs/>
          <w:sz w:val="24"/>
          <w:szCs w:val="24"/>
        </w:rPr>
        <w:t>Kahneman and Tversky (1984) suggests that when buying services, consumers create a mental account where they weigh up the advantages and disadvantages of the transaction. Clearly, where consumers are acting on incomplete information then these may lead to errors in their decision making</w:t>
      </w:r>
      <w:r w:rsidR="00626764">
        <w:rPr>
          <w:rFonts w:cstheme="minorHAnsi"/>
          <w:bCs/>
          <w:iCs/>
          <w:sz w:val="24"/>
          <w:szCs w:val="24"/>
        </w:rPr>
        <w:t>.</w:t>
      </w:r>
    </w:p>
    <w:p w14:paraId="78E0EE38" w14:textId="6FEEF388" w:rsidR="00AF6991" w:rsidRPr="00AF6991" w:rsidRDefault="00AF6991" w:rsidP="00AF6991">
      <w:pPr>
        <w:spacing w:after="120" w:line="480" w:lineRule="auto"/>
        <w:rPr>
          <w:rFonts w:cstheme="minorHAnsi"/>
          <w:bCs/>
          <w:i/>
          <w:sz w:val="24"/>
          <w:szCs w:val="24"/>
          <w:lang w:val="en-US"/>
        </w:rPr>
      </w:pPr>
      <w:r w:rsidRPr="00AF6991">
        <w:rPr>
          <w:rFonts w:cstheme="minorHAnsi"/>
          <w:sz w:val="24"/>
          <w:szCs w:val="24"/>
        </w:rPr>
        <w:t>These three aspects of cost/affordability can act as barriers to consumers accessing advice. It seems there is resistance to pay for advice that will not bring any immediate</w:t>
      </w:r>
      <w:r w:rsidR="00B90E60">
        <w:rPr>
          <w:rFonts w:cstheme="minorHAnsi"/>
          <w:sz w:val="24"/>
          <w:szCs w:val="24"/>
        </w:rPr>
        <w:t xml:space="preserve"> or known </w:t>
      </w:r>
      <w:r w:rsidRPr="00AF6991">
        <w:rPr>
          <w:rFonts w:cstheme="minorHAnsi"/>
          <w:sz w:val="24"/>
          <w:szCs w:val="24"/>
        </w:rPr>
        <w:t>financial benefit. If consumers appreciate the value of advice</w:t>
      </w:r>
      <w:r w:rsidR="00626764">
        <w:rPr>
          <w:rFonts w:cstheme="minorHAnsi"/>
          <w:sz w:val="24"/>
          <w:szCs w:val="24"/>
        </w:rPr>
        <w:t xml:space="preserve">, so the balance of the mental </w:t>
      </w:r>
      <w:r w:rsidR="00626764">
        <w:rPr>
          <w:rFonts w:cstheme="minorHAnsi"/>
          <w:sz w:val="24"/>
          <w:szCs w:val="24"/>
        </w:rPr>
        <w:lastRenderedPageBreak/>
        <w:t>account favours advice, then</w:t>
      </w:r>
      <w:r w:rsidRPr="00AF6991">
        <w:rPr>
          <w:rFonts w:cstheme="minorHAnsi"/>
          <w:sz w:val="24"/>
          <w:szCs w:val="24"/>
        </w:rPr>
        <w:t xml:space="preserve"> they will be willing to pay for it. </w:t>
      </w:r>
      <w:r w:rsidR="00626764">
        <w:rPr>
          <w:rFonts w:cstheme="minorHAnsi"/>
          <w:sz w:val="24"/>
          <w:szCs w:val="24"/>
        </w:rPr>
        <w:t>Where incomplete information is utilised, t</w:t>
      </w:r>
      <w:r w:rsidRPr="00AF6991">
        <w:rPr>
          <w:rFonts w:cstheme="minorHAnsi"/>
          <w:sz w:val="24"/>
          <w:szCs w:val="24"/>
        </w:rPr>
        <w:t xml:space="preserve">his may be the consumer acting rationally, although perhaps ‘boundedly’ </w:t>
      </w:r>
      <w:r w:rsidRPr="00626764">
        <w:rPr>
          <w:rFonts w:cstheme="minorHAnsi"/>
          <w:sz w:val="24"/>
          <w:szCs w:val="24"/>
        </w:rPr>
        <w:t>(</w:t>
      </w:r>
      <w:r w:rsidR="00626764">
        <w:rPr>
          <w:rFonts w:cstheme="minorHAnsi"/>
          <w:sz w:val="24"/>
          <w:szCs w:val="24"/>
        </w:rPr>
        <w:t xml:space="preserve">Simon, 1955; Thaler, 1980; </w:t>
      </w:r>
      <w:r w:rsidRPr="00626764">
        <w:rPr>
          <w:rFonts w:cstheme="minorHAnsi"/>
          <w:sz w:val="24"/>
          <w:szCs w:val="24"/>
        </w:rPr>
        <w:t>Mehta, 2013).</w:t>
      </w:r>
      <w:r w:rsidRPr="00AF6991">
        <w:rPr>
          <w:rFonts w:cstheme="minorHAnsi"/>
          <w:sz w:val="24"/>
          <w:szCs w:val="24"/>
        </w:rPr>
        <w:t xml:space="preserve"> </w:t>
      </w:r>
    </w:p>
    <w:p w14:paraId="681FC796" w14:textId="2B77AE03" w:rsidR="00AF6991" w:rsidRPr="00AF6991" w:rsidRDefault="00AF6991" w:rsidP="00AF6991">
      <w:pPr>
        <w:spacing w:after="120" w:line="480" w:lineRule="auto"/>
        <w:rPr>
          <w:rFonts w:cstheme="minorHAnsi"/>
          <w:sz w:val="24"/>
          <w:szCs w:val="24"/>
        </w:rPr>
      </w:pPr>
      <w:r w:rsidRPr="00AF6991">
        <w:rPr>
          <w:rFonts w:cstheme="minorHAnsi"/>
          <w:sz w:val="24"/>
          <w:szCs w:val="24"/>
        </w:rPr>
        <w:t>In the interviews the respondents were pragmatic about the changes to the advice regime, taking the view that paying for good advice seemed sensible but there was a preference for the cost to be absorbed into the product if possible. Others were disappoint</w:t>
      </w:r>
      <w:r w:rsidR="00916BA3">
        <w:rPr>
          <w:rFonts w:cstheme="minorHAnsi"/>
          <w:sz w:val="24"/>
          <w:szCs w:val="24"/>
        </w:rPr>
        <w:t>ed because these new rules mean they c</w:t>
      </w:r>
      <w:r w:rsidRPr="00AF6991">
        <w:rPr>
          <w:rFonts w:cstheme="minorHAnsi"/>
          <w:sz w:val="24"/>
          <w:szCs w:val="24"/>
        </w:rPr>
        <w:t xml:space="preserve">ould </w:t>
      </w:r>
      <w:r w:rsidR="00916BA3">
        <w:rPr>
          <w:rFonts w:cstheme="minorHAnsi"/>
          <w:sz w:val="24"/>
          <w:szCs w:val="24"/>
        </w:rPr>
        <w:t xml:space="preserve">potentially </w:t>
      </w:r>
      <w:r w:rsidRPr="00AF6991">
        <w:rPr>
          <w:rFonts w:cstheme="minorHAnsi"/>
          <w:sz w:val="24"/>
          <w:szCs w:val="24"/>
        </w:rPr>
        <w:t xml:space="preserve">incur a direct cost, whether or not the product was eventually purchased. As there has been some misunderstanding of how advice has been previously funded these changes also acted as a barrier for some consumers. </w:t>
      </w:r>
    </w:p>
    <w:p w14:paraId="2638BF67" w14:textId="248FA340" w:rsidR="00AF6991" w:rsidRPr="00AF6991" w:rsidRDefault="00AF6991" w:rsidP="00AF6991">
      <w:pPr>
        <w:spacing w:after="120" w:line="480" w:lineRule="auto"/>
        <w:rPr>
          <w:rFonts w:cstheme="minorHAnsi"/>
          <w:sz w:val="24"/>
          <w:szCs w:val="24"/>
        </w:rPr>
      </w:pPr>
      <w:r w:rsidRPr="00AF6991">
        <w:rPr>
          <w:rFonts w:cstheme="minorHAnsi"/>
          <w:sz w:val="24"/>
          <w:szCs w:val="24"/>
        </w:rPr>
        <w:t xml:space="preserve">As RDR changes </w:t>
      </w:r>
      <w:r w:rsidR="00916BA3">
        <w:rPr>
          <w:rFonts w:cstheme="minorHAnsi"/>
          <w:sz w:val="24"/>
          <w:szCs w:val="24"/>
        </w:rPr>
        <w:t>have become imbedded, consumers have no doubt go</w:t>
      </w:r>
      <w:r w:rsidRPr="00AF6991">
        <w:rPr>
          <w:rFonts w:cstheme="minorHAnsi"/>
          <w:sz w:val="24"/>
          <w:szCs w:val="24"/>
        </w:rPr>
        <w:t xml:space="preserve">t used to the idea that there is a cost associated with financial advice. However, the </w:t>
      </w:r>
      <w:r w:rsidRPr="00AF6991">
        <w:rPr>
          <w:rFonts w:eastAsia="Calibri" w:cstheme="minorHAnsi"/>
          <w:color w:val="000000"/>
          <w:sz w:val="24"/>
          <w:szCs w:val="24"/>
        </w:rPr>
        <w:t xml:space="preserve">Financial Advice Market Review (FAMR, </w:t>
      </w:r>
      <w:r w:rsidRPr="00AF6991">
        <w:rPr>
          <w:rFonts w:cstheme="minorHAnsi"/>
          <w:sz w:val="24"/>
          <w:szCs w:val="24"/>
        </w:rPr>
        <w:t xml:space="preserve">2015) has again highlighted that some consumers may be unwilling to pay for advice because of a lack of understanding of the benefits it can bring. </w:t>
      </w:r>
      <w:r w:rsidR="00271ABD">
        <w:rPr>
          <w:rFonts w:cstheme="minorHAnsi"/>
          <w:sz w:val="24"/>
          <w:szCs w:val="24"/>
        </w:rPr>
        <w:t>F</w:t>
      </w:r>
      <w:r w:rsidR="004552CD">
        <w:rPr>
          <w:rFonts w:cstheme="minorHAnsi"/>
          <w:sz w:val="24"/>
          <w:szCs w:val="24"/>
        </w:rPr>
        <w:t>AMR Baseline Report</w:t>
      </w:r>
      <w:r w:rsidR="00271ABD">
        <w:rPr>
          <w:rFonts w:cstheme="minorHAnsi"/>
          <w:sz w:val="24"/>
          <w:szCs w:val="24"/>
        </w:rPr>
        <w:t xml:space="preserve"> (</w:t>
      </w:r>
      <w:r w:rsidR="004552CD">
        <w:rPr>
          <w:rFonts w:cstheme="minorHAnsi"/>
          <w:sz w:val="24"/>
          <w:szCs w:val="24"/>
        </w:rPr>
        <w:t xml:space="preserve">FCA, </w:t>
      </w:r>
      <w:r w:rsidR="00271ABD">
        <w:rPr>
          <w:rFonts w:cstheme="minorHAnsi"/>
          <w:sz w:val="24"/>
          <w:szCs w:val="24"/>
        </w:rPr>
        <w:t>2017</w:t>
      </w:r>
      <w:r w:rsidR="004552CD">
        <w:rPr>
          <w:rFonts w:cstheme="minorHAnsi"/>
          <w:sz w:val="24"/>
          <w:szCs w:val="24"/>
        </w:rPr>
        <w:t>a</w:t>
      </w:r>
      <w:r w:rsidR="00271ABD">
        <w:rPr>
          <w:rFonts w:cstheme="minorHAnsi"/>
          <w:sz w:val="24"/>
          <w:szCs w:val="24"/>
        </w:rPr>
        <w:t>) states that</w:t>
      </w:r>
      <w:r w:rsidR="00F4686C">
        <w:rPr>
          <w:rFonts w:cstheme="minorHAnsi"/>
          <w:sz w:val="24"/>
          <w:szCs w:val="24"/>
        </w:rPr>
        <w:t>,</w:t>
      </w:r>
      <w:r w:rsidR="00271ABD">
        <w:rPr>
          <w:rFonts w:cstheme="minorHAnsi"/>
          <w:sz w:val="24"/>
          <w:szCs w:val="24"/>
        </w:rPr>
        <w:t xml:space="preserve"> overall</w:t>
      </w:r>
      <w:r w:rsidR="00F4686C">
        <w:rPr>
          <w:rFonts w:cstheme="minorHAnsi"/>
          <w:sz w:val="24"/>
          <w:szCs w:val="24"/>
        </w:rPr>
        <w:t>,</w:t>
      </w:r>
      <w:r w:rsidR="00271ABD">
        <w:rPr>
          <w:rFonts w:cstheme="minorHAnsi"/>
          <w:sz w:val="24"/>
          <w:szCs w:val="24"/>
        </w:rPr>
        <w:t xml:space="preserve"> 46% of consumers would be willing to pay for advice but of those that had already taken advice this rises to 81%. </w:t>
      </w:r>
      <w:r w:rsidR="00F4686C">
        <w:rPr>
          <w:rFonts w:cstheme="minorHAnsi"/>
          <w:sz w:val="24"/>
          <w:szCs w:val="24"/>
        </w:rPr>
        <w:t>It seems there is a link to the knowledge variable and clearly cost/affordability</w:t>
      </w:r>
      <w:r w:rsidRPr="00AF6991">
        <w:rPr>
          <w:rFonts w:cstheme="minorHAnsi"/>
          <w:sz w:val="24"/>
          <w:szCs w:val="24"/>
        </w:rPr>
        <w:t xml:space="preserve"> remains a key barrier to be addressed in access to financial advice.</w:t>
      </w:r>
    </w:p>
    <w:p w14:paraId="21EA83FC" w14:textId="77777777" w:rsidR="00B1681C" w:rsidRDefault="00AF6991" w:rsidP="00B1681C">
      <w:pPr>
        <w:spacing w:after="0" w:line="480" w:lineRule="auto"/>
        <w:rPr>
          <w:rFonts w:cstheme="minorHAnsi"/>
          <w:b/>
          <w:bCs/>
          <w:iCs/>
          <w:sz w:val="28"/>
          <w:szCs w:val="28"/>
          <w:u w:val="single"/>
        </w:rPr>
      </w:pPr>
      <w:r w:rsidRPr="00AF6991">
        <w:rPr>
          <w:rFonts w:cstheme="minorHAnsi"/>
          <w:b/>
          <w:bCs/>
          <w:iCs/>
          <w:sz w:val="28"/>
          <w:szCs w:val="28"/>
          <w:u w:val="single"/>
        </w:rPr>
        <w:t>Conclusion.</w:t>
      </w:r>
    </w:p>
    <w:p w14:paraId="0D0F70D2" w14:textId="463259A4" w:rsidR="00AF6991" w:rsidRPr="00375917" w:rsidRDefault="00AF6991" w:rsidP="00B1681C">
      <w:pPr>
        <w:spacing w:after="0" w:line="480" w:lineRule="auto"/>
        <w:rPr>
          <w:rFonts w:cstheme="minorHAnsi"/>
          <w:color w:val="FF0000"/>
          <w:sz w:val="24"/>
          <w:szCs w:val="24"/>
        </w:rPr>
      </w:pPr>
      <w:r w:rsidRPr="00AF6991">
        <w:rPr>
          <w:rFonts w:cstheme="minorHAnsi"/>
          <w:sz w:val="24"/>
          <w:szCs w:val="24"/>
        </w:rPr>
        <w:t xml:space="preserve">This research has investigated the barriers that prevent some consumers from accessing financial advice. It explores three key themes that </w:t>
      </w:r>
      <w:r w:rsidR="004B3869">
        <w:rPr>
          <w:rFonts w:cstheme="minorHAnsi"/>
          <w:sz w:val="24"/>
          <w:szCs w:val="24"/>
        </w:rPr>
        <w:t xml:space="preserve">the research undertaken suggests </w:t>
      </w:r>
      <w:r w:rsidRPr="00AF6991">
        <w:rPr>
          <w:rFonts w:cstheme="minorHAnsi"/>
          <w:sz w:val="24"/>
          <w:szCs w:val="24"/>
        </w:rPr>
        <w:t xml:space="preserve">are crucial to the consumer’s journey; - knowledge, trust and cost/affordability within a broader Financial Advice Belief Model. The </w:t>
      </w:r>
      <w:r w:rsidRPr="00351132">
        <w:rPr>
          <w:rFonts w:cstheme="minorHAnsi"/>
          <w:sz w:val="24"/>
          <w:szCs w:val="24"/>
        </w:rPr>
        <w:t>FABM</w:t>
      </w:r>
      <w:r w:rsidRPr="00AF6991">
        <w:rPr>
          <w:rFonts w:cstheme="minorHAnsi"/>
          <w:sz w:val="24"/>
          <w:szCs w:val="24"/>
        </w:rPr>
        <w:t xml:space="preserve"> was developed to provide a more nuanced understanding of the barriers which affect the consumer’s journey. This research is </w:t>
      </w:r>
      <w:r w:rsidRPr="00AF6991">
        <w:rPr>
          <w:rFonts w:cstheme="minorHAnsi"/>
          <w:sz w:val="24"/>
          <w:szCs w:val="24"/>
        </w:rPr>
        <w:lastRenderedPageBreak/>
        <w:t xml:space="preserve">important because it shows where interventions may help </w:t>
      </w:r>
      <w:r w:rsidR="000C72FC">
        <w:rPr>
          <w:rFonts w:cstheme="minorHAnsi"/>
          <w:sz w:val="24"/>
          <w:szCs w:val="24"/>
        </w:rPr>
        <w:t xml:space="preserve">lower these barriers to advice and simplify </w:t>
      </w:r>
      <w:r w:rsidRPr="00AF6991">
        <w:rPr>
          <w:rFonts w:cstheme="minorHAnsi"/>
          <w:sz w:val="24"/>
          <w:szCs w:val="24"/>
        </w:rPr>
        <w:t xml:space="preserve">consumers’ journeys towards making more informed financial decisions. </w:t>
      </w:r>
    </w:p>
    <w:p w14:paraId="7749F4CF" w14:textId="5A978160" w:rsidR="005220A5" w:rsidRPr="005220A5" w:rsidRDefault="00AF6991" w:rsidP="005220A5">
      <w:pPr>
        <w:spacing w:after="120" w:line="480" w:lineRule="auto"/>
        <w:rPr>
          <w:rFonts w:cstheme="minorHAnsi"/>
          <w:sz w:val="24"/>
          <w:szCs w:val="24"/>
        </w:rPr>
      </w:pPr>
      <w:r w:rsidRPr="00AF6991">
        <w:rPr>
          <w:rFonts w:cstheme="minorHAnsi"/>
          <w:sz w:val="24"/>
          <w:szCs w:val="24"/>
        </w:rPr>
        <w:t xml:space="preserve">Attempts to improve consumer engagement with financial advice were previously tackled from the position of a traditional economic model, focusing on the consumer as a ‘rational actor’. Our research highlights the limitations of that model and the need to see consumers acting within the context of ‘bounded rationality’ </w:t>
      </w:r>
      <w:r w:rsidR="00AD137B" w:rsidRPr="00AD137B">
        <w:rPr>
          <w:rFonts w:cstheme="minorHAnsi"/>
          <w:sz w:val="24"/>
          <w:szCs w:val="24"/>
        </w:rPr>
        <w:t xml:space="preserve">where rather than trying to address the supposed deficiencies of the individual, the structure and environment may also be considered </w:t>
      </w:r>
      <w:r w:rsidRPr="00AF6991">
        <w:rPr>
          <w:rFonts w:cstheme="minorHAnsi"/>
          <w:sz w:val="24"/>
          <w:szCs w:val="24"/>
        </w:rPr>
        <w:t>(</w:t>
      </w:r>
      <w:r w:rsidR="00351132">
        <w:rPr>
          <w:rFonts w:cstheme="minorHAnsi"/>
          <w:sz w:val="24"/>
          <w:szCs w:val="24"/>
        </w:rPr>
        <w:t xml:space="preserve">Simon, 1955; Kahneman, 1984; </w:t>
      </w:r>
      <w:r w:rsidRPr="00AF6991">
        <w:rPr>
          <w:rFonts w:cstheme="minorHAnsi"/>
          <w:sz w:val="24"/>
          <w:szCs w:val="24"/>
        </w:rPr>
        <w:t>Mehta, 2013)</w:t>
      </w:r>
      <w:r w:rsidR="005220A5">
        <w:rPr>
          <w:rFonts w:cstheme="minorHAnsi"/>
          <w:sz w:val="24"/>
          <w:szCs w:val="24"/>
        </w:rPr>
        <w:t xml:space="preserve">. </w:t>
      </w:r>
      <w:r w:rsidR="005220A5" w:rsidRPr="005220A5">
        <w:rPr>
          <w:rFonts w:cstheme="minorHAnsi"/>
          <w:sz w:val="24"/>
          <w:szCs w:val="24"/>
        </w:rPr>
        <w:t>The FABM highlights both ‘inhibitors’ and ‘promoters’ which can influence  consumers’ intentions and perceptions, some of which result from the current structure of available services.</w:t>
      </w:r>
      <w:r w:rsidR="00D2410C">
        <w:rPr>
          <w:rFonts w:cstheme="minorHAnsi"/>
          <w:sz w:val="24"/>
          <w:szCs w:val="24"/>
        </w:rPr>
        <w:t xml:space="preserve"> </w:t>
      </w:r>
      <w:r w:rsidR="00D2410C" w:rsidRPr="00D2410C">
        <w:rPr>
          <w:rFonts w:cstheme="minorHAnsi"/>
          <w:sz w:val="24"/>
          <w:szCs w:val="24"/>
        </w:rPr>
        <w:t xml:space="preserve">It seems that MaPS have started to think along these lines as well. There recent Financial Wellbeing Survey includes a model of Financial Wellbeing that incorporates </w:t>
      </w:r>
      <w:r w:rsidR="00D2410C">
        <w:rPr>
          <w:rFonts w:cstheme="minorHAnsi"/>
          <w:sz w:val="24"/>
          <w:szCs w:val="24"/>
        </w:rPr>
        <w:t>‘</w:t>
      </w:r>
      <w:r w:rsidR="00D2410C" w:rsidRPr="00D2410C">
        <w:rPr>
          <w:rFonts w:cstheme="minorHAnsi"/>
          <w:sz w:val="24"/>
          <w:szCs w:val="24"/>
        </w:rPr>
        <w:t>Financial enablers and inhibitors</w:t>
      </w:r>
      <w:r w:rsidR="00D2410C">
        <w:rPr>
          <w:rFonts w:cstheme="minorHAnsi"/>
          <w:sz w:val="24"/>
          <w:szCs w:val="24"/>
        </w:rPr>
        <w:t>’</w:t>
      </w:r>
      <w:r w:rsidR="00D2410C" w:rsidRPr="00D2410C">
        <w:rPr>
          <w:rFonts w:cstheme="minorHAnsi"/>
          <w:sz w:val="24"/>
          <w:szCs w:val="24"/>
        </w:rPr>
        <w:t xml:space="preserve"> (MaPS, 2022).</w:t>
      </w:r>
    </w:p>
    <w:p w14:paraId="3EB1A806" w14:textId="37511557" w:rsidR="00AF6991" w:rsidRPr="00AF6991" w:rsidRDefault="00AF6991" w:rsidP="00AF6991">
      <w:pPr>
        <w:spacing w:after="120" w:line="480" w:lineRule="auto"/>
        <w:rPr>
          <w:rFonts w:cstheme="minorHAnsi"/>
          <w:sz w:val="24"/>
          <w:szCs w:val="24"/>
        </w:rPr>
      </w:pPr>
      <w:r w:rsidRPr="00AF6991">
        <w:rPr>
          <w:rFonts w:cstheme="minorHAnsi"/>
          <w:sz w:val="24"/>
          <w:szCs w:val="24"/>
        </w:rPr>
        <w:t>The research illustrates the complexities and interplays behind and between some general barriers. For example, ‘knowledge’ as a barrier consists of three sub-themes. The first being a financial capability issue, where if the consumer is not aware they are at risk then no action will prevail unless some form of external trigger acts. The idea of an external trigger has been a key strand of the MAS strategy</w:t>
      </w:r>
      <w:r w:rsidR="005F3896">
        <w:rPr>
          <w:rFonts w:cstheme="minorHAnsi"/>
          <w:sz w:val="24"/>
          <w:szCs w:val="24"/>
        </w:rPr>
        <w:t xml:space="preserve">.  </w:t>
      </w:r>
      <w:r w:rsidRPr="00AF6991">
        <w:rPr>
          <w:rFonts w:cstheme="minorHAnsi"/>
          <w:sz w:val="24"/>
          <w:szCs w:val="24"/>
        </w:rPr>
        <w:t xml:space="preserve">Their ‘health-check’ (MAS, 2012) had the objective of alerting consumers to particular needs/risks to which they may be exposed. Although subsequent review suggests this has not been effective in encouraging consumers to take action regarding high level risks (IFF, 2012) it does not mean that the principle of trying to get consumers to review their finances is wrong. </w:t>
      </w:r>
      <w:r w:rsidR="005F3896">
        <w:rPr>
          <w:rFonts w:cstheme="minorHAnsi"/>
          <w:sz w:val="24"/>
          <w:szCs w:val="24"/>
        </w:rPr>
        <w:t>This tool</w:t>
      </w:r>
      <w:r w:rsidR="00F564A4">
        <w:rPr>
          <w:rFonts w:cstheme="minorHAnsi"/>
          <w:sz w:val="24"/>
          <w:szCs w:val="24"/>
        </w:rPr>
        <w:t>,</w:t>
      </w:r>
      <w:r w:rsidR="003416E8">
        <w:rPr>
          <w:rFonts w:cstheme="minorHAnsi"/>
          <w:sz w:val="24"/>
          <w:szCs w:val="24"/>
        </w:rPr>
        <w:t xml:space="preserve"> in an updated format </w:t>
      </w:r>
      <w:r w:rsidR="003416E8" w:rsidRPr="003416E8">
        <w:rPr>
          <w:rFonts w:cstheme="minorHAnsi"/>
          <w:i/>
          <w:sz w:val="24"/>
          <w:szCs w:val="24"/>
        </w:rPr>
        <w:t>(Couch to Financial Fitness plan)</w:t>
      </w:r>
      <w:r w:rsidR="00F564A4">
        <w:rPr>
          <w:rFonts w:cstheme="minorHAnsi"/>
          <w:sz w:val="24"/>
          <w:szCs w:val="24"/>
        </w:rPr>
        <w:t>, is now</w:t>
      </w:r>
      <w:r w:rsidR="005F3896">
        <w:rPr>
          <w:rFonts w:cstheme="minorHAnsi"/>
          <w:sz w:val="24"/>
          <w:szCs w:val="24"/>
        </w:rPr>
        <w:t xml:space="preserve"> </w:t>
      </w:r>
      <w:r w:rsidR="003416E8">
        <w:rPr>
          <w:rFonts w:cstheme="minorHAnsi"/>
          <w:sz w:val="24"/>
          <w:szCs w:val="24"/>
        </w:rPr>
        <w:t xml:space="preserve">part of the </w:t>
      </w:r>
      <w:r w:rsidR="00F564A4">
        <w:rPr>
          <w:rFonts w:cstheme="minorHAnsi"/>
          <w:sz w:val="24"/>
          <w:szCs w:val="24"/>
        </w:rPr>
        <w:t xml:space="preserve">Money Navigator </w:t>
      </w:r>
      <w:r w:rsidR="003416E8">
        <w:rPr>
          <w:rFonts w:cstheme="minorHAnsi"/>
          <w:sz w:val="24"/>
          <w:szCs w:val="24"/>
        </w:rPr>
        <w:t xml:space="preserve">suite of </w:t>
      </w:r>
      <w:r w:rsidR="00F564A4">
        <w:rPr>
          <w:rFonts w:cstheme="minorHAnsi"/>
          <w:sz w:val="24"/>
          <w:szCs w:val="24"/>
        </w:rPr>
        <w:t>t</w:t>
      </w:r>
      <w:r w:rsidR="003416E8">
        <w:rPr>
          <w:rFonts w:cstheme="minorHAnsi"/>
          <w:sz w:val="24"/>
          <w:szCs w:val="24"/>
        </w:rPr>
        <w:t xml:space="preserve">ools </w:t>
      </w:r>
      <w:r w:rsidR="005F3896">
        <w:rPr>
          <w:rFonts w:cstheme="minorHAnsi"/>
          <w:sz w:val="24"/>
          <w:szCs w:val="24"/>
        </w:rPr>
        <w:t xml:space="preserve">available through </w:t>
      </w:r>
      <w:r w:rsidR="003416E8">
        <w:rPr>
          <w:rFonts w:cstheme="minorHAnsi"/>
          <w:sz w:val="24"/>
          <w:szCs w:val="24"/>
        </w:rPr>
        <w:t>the Money Helper</w:t>
      </w:r>
      <w:r w:rsidR="005F3896">
        <w:rPr>
          <w:rFonts w:cstheme="minorHAnsi"/>
          <w:sz w:val="24"/>
          <w:szCs w:val="24"/>
        </w:rPr>
        <w:t xml:space="preserve"> channel of MaPS</w:t>
      </w:r>
      <w:r w:rsidR="002131BF">
        <w:rPr>
          <w:rFonts w:cstheme="minorHAnsi"/>
          <w:sz w:val="24"/>
          <w:szCs w:val="24"/>
        </w:rPr>
        <w:t xml:space="preserve"> (MAS, 2022)</w:t>
      </w:r>
      <w:r w:rsidR="005F3896" w:rsidRPr="00AF6991">
        <w:rPr>
          <w:rFonts w:cstheme="minorHAnsi"/>
          <w:sz w:val="24"/>
          <w:szCs w:val="24"/>
        </w:rPr>
        <w:t>.</w:t>
      </w:r>
      <w:r w:rsidR="005F3896">
        <w:rPr>
          <w:rFonts w:cstheme="minorHAnsi"/>
          <w:sz w:val="24"/>
          <w:szCs w:val="24"/>
        </w:rPr>
        <w:t xml:space="preserve"> </w:t>
      </w:r>
      <w:r w:rsidRPr="00AF6991">
        <w:rPr>
          <w:rFonts w:cstheme="minorHAnsi"/>
          <w:sz w:val="24"/>
          <w:szCs w:val="24"/>
        </w:rPr>
        <w:t xml:space="preserve">It is clear that the use of an </w:t>
      </w:r>
      <w:r w:rsidRPr="00AF6991">
        <w:rPr>
          <w:rFonts w:cstheme="minorHAnsi"/>
          <w:sz w:val="24"/>
          <w:szCs w:val="24"/>
        </w:rPr>
        <w:lastRenderedPageBreak/>
        <w:t xml:space="preserve">external trigger to encourage consumers to take a pro-active approach to their finances seems necessary. </w:t>
      </w:r>
      <w:r w:rsidR="009809CD" w:rsidRPr="009809CD">
        <w:rPr>
          <w:rFonts w:cstheme="minorHAnsi"/>
          <w:sz w:val="24"/>
          <w:szCs w:val="24"/>
        </w:rPr>
        <w:t>The FABM highlights where barriers may exist within the consumer’s journey to advice, o</w:t>
      </w:r>
      <w:r w:rsidR="000D6A58">
        <w:rPr>
          <w:rFonts w:cstheme="minorHAnsi"/>
          <w:sz w:val="24"/>
          <w:szCs w:val="24"/>
        </w:rPr>
        <w:t xml:space="preserve">ur evidence suggests </w:t>
      </w:r>
      <w:r w:rsidRPr="00AF6991">
        <w:rPr>
          <w:rFonts w:cstheme="minorHAnsi"/>
          <w:sz w:val="24"/>
          <w:szCs w:val="24"/>
        </w:rPr>
        <w:t>there is a need to look again at how external triggers can be used</w:t>
      </w:r>
      <w:r w:rsidR="000D6A58">
        <w:rPr>
          <w:rFonts w:cstheme="minorHAnsi"/>
          <w:sz w:val="24"/>
          <w:szCs w:val="24"/>
        </w:rPr>
        <w:t xml:space="preserve"> more effectively to motivate suitable advice seeking</w:t>
      </w:r>
      <w:r w:rsidR="009809CD" w:rsidRPr="009809CD">
        <w:rPr>
          <w:color w:val="FF0000"/>
        </w:rPr>
        <w:t xml:space="preserve"> </w:t>
      </w:r>
      <w:r w:rsidR="009809CD" w:rsidRPr="009809CD">
        <w:rPr>
          <w:rFonts w:cstheme="minorHAnsi"/>
          <w:sz w:val="24"/>
          <w:szCs w:val="24"/>
        </w:rPr>
        <w:t>and the FABM can help to identify where</w:t>
      </w:r>
      <w:r w:rsidR="009809CD">
        <w:rPr>
          <w:rFonts w:cstheme="minorHAnsi"/>
          <w:sz w:val="24"/>
          <w:szCs w:val="24"/>
        </w:rPr>
        <w:t xml:space="preserve"> within the consumer journey</w:t>
      </w:r>
      <w:r w:rsidR="009809CD" w:rsidRPr="009809CD">
        <w:rPr>
          <w:rFonts w:cstheme="minorHAnsi"/>
          <w:sz w:val="24"/>
          <w:szCs w:val="24"/>
        </w:rPr>
        <w:t xml:space="preserve"> these triggers may be most effectively utilised</w:t>
      </w:r>
      <w:r w:rsidRPr="00AF6991">
        <w:rPr>
          <w:rFonts w:cstheme="minorHAnsi"/>
          <w:sz w:val="24"/>
          <w:szCs w:val="24"/>
        </w:rPr>
        <w:t>.</w:t>
      </w:r>
    </w:p>
    <w:p w14:paraId="4087BEA7" w14:textId="1291A001" w:rsidR="00AF6991" w:rsidRPr="00AF6991" w:rsidRDefault="00AF6991" w:rsidP="00AF6991">
      <w:pPr>
        <w:spacing w:after="120" w:line="480" w:lineRule="auto"/>
        <w:rPr>
          <w:rFonts w:cstheme="minorHAnsi"/>
          <w:sz w:val="24"/>
          <w:szCs w:val="24"/>
        </w:rPr>
      </w:pPr>
      <w:r w:rsidRPr="00AF6991">
        <w:rPr>
          <w:rFonts w:cstheme="minorHAnsi"/>
          <w:sz w:val="24"/>
          <w:szCs w:val="24"/>
        </w:rPr>
        <w:t xml:space="preserve">The second </w:t>
      </w:r>
      <w:r w:rsidR="000D6A58">
        <w:rPr>
          <w:rFonts w:cstheme="minorHAnsi"/>
          <w:sz w:val="24"/>
          <w:szCs w:val="24"/>
        </w:rPr>
        <w:t xml:space="preserve">knowledge-related </w:t>
      </w:r>
      <w:r w:rsidRPr="00AF6991">
        <w:rPr>
          <w:rFonts w:cstheme="minorHAnsi"/>
          <w:sz w:val="24"/>
          <w:szCs w:val="24"/>
        </w:rPr>
        <w:t xml:space="preserve">sub-theme relates to knowledge of adviser services. </w:t>
      </w:r>
      <w:r w:rsidR="008C0091">
        <w:rPr>
          <w:rFonts w:cstheme="minorHAnsi"/>
          <w:sz w:val="24"/>
          <w:szCs w:val="24"/>
        </w:rPr>
        <w:t>Barriers exist because s</w:t>
      </w:r>
      <w:r w:rsidRPr="00AF6991">
        <w:rPr>
          <w:rFonts w:cstheme="minorHAnsi"/>
          <w:sz w:val="24"/>
          <w:szCs w:val="24"/>
        </w:rPr>
        <w:t xml:space="preserve">ome consumers do not appreciate that existing advisers may be able to help with other aspects of their finances. Different tiers of advice regulation contribute to this and can be confusing for consumers. More important however, is the perception that advisers are mainly a channel to arrange particular products. If </w:t>
      </w:r>
      <w:r w:rsidR="00590C78">
        <w:rPr>
          <w:rFonts w:cstheme="minorHAnsi"/>
          <w:sz w:val="24"/>
          <w:szCs w:val="24"/>
        </w:rPr>
        <w:t>holistic advice leading to strategic planning for the future</w:t>
      </w:r>
      <w:r w:rsidRPr="00AF6991">
        <w:rPr>
          <w:rFonts w:cstheme="minorHAnsi"/>
          <w:sz w:val="24"/>
          <w:szCs w:val="24"/>
        </w:rPr>
        <w:t xml:space="preserve"> was considered the ‘subjective norm’ rather than ‘advice as a product channel’ being the norm then consumers may be more aware of the full range of services advisers offer and the value it can add. </w:t>
      </w:r>
    </w:p>
    <w:p w14:paraId="32A9E9A8" w14:textId="4A277A53" w:rsidR="00AF6991" w:rsidRPr="00AF6991" w:rsidRDefault="00AF6991" w:rsidP="00AF6991">
      <w:pPr>
        <w:spacing w:after="120" w:line="480" w:lineRule="auto"/>
        <w:rPr>
          <w:rFonts w:cstheme="minorHAnsi"/>
          <w:sz w:val="24"/>
          <w:szCs w:val="24"/>
        </w:rPr>
      </w:pPr>
      <w:r w:rsidRPr="00AF6991">
        <w:rPr>
          <w:rFonts w:cstheme="minorHAnsi"/>
          <w:sz w:val="24"/>
          <w:szCs w:val="24"/>
        </w:rPr>
        <w:t xml:space="preserve">The third </w:t>
      </w:r>
      <w:r w:rsidR="000D6A58">
        <w:rPr>
          <w:rFonts w:cstheme="minorHAnsi"/>
          <w:sz w:val="24"/>
          <w:szCs w:val="24"/>
        </w:rPr>
        <w:t xml:space="preserve">knowledge-related </w:t>
      </w:r>
      <w:r w:rsidRPr="00AF6991">
        <w:rPr>
          <w:rFonts w:cstheme="minorHAnsi"/>
          <w:sz w:val="24"/>
          <w:szCs w:val="24"/>
        </w:rPr>
        <w:t xml:space="preserve">sub-theme is </w:t>
      </w:r>
      <w:r w:rsidR="000D6A58">
        <w:rPr>
          <w:rFonts w:cstheme="minorHAnsi"/>
          <w:sz w:val="24"/>
          <w:szCs w:val="24"/>
        </w:rPr>
        <w:t>‘</w:t>
      </w:r>
      <w:r w:rsidRPr="00AF6991">
        <w:rPr>
          <w:rFonts w:cstheme="minorHAnsi"/>
          <w:sz w:val="24"/>
          <w:szCs w:val="24"/>
        </w:rPr>
        <w:t>finding an adviser</w:t>
      </w:r>
      <w:r w:rsidR="000D6A58">
        <w:rPr>
          <w:rFonts w:cstheme="minorHAnsi"/>
          <w:sz w:val="24"/>
          <w:szCs w:val="24"/>
        </w:rPr>
        <w:t>’</w:t>
      </w:r>
      <w:r w:rsidRPr="00AF6991">
        <w:rPr>
          <w:rFonts w:cstheme="minorHAnsi"/>
          <w:sz w:val="24"/>
          <w:szCs w:val="24"/>
        </w:rPr>
        <w:t>. Although, generally interviewees managed to find an adviser when they knew they needed one, improved signposting by</w:t>
      </w:r>
      <w:r w:rsidR="00590C78">
        <w:rPr>
          <w:rFonts w:cstheme="minorHAnsi"/>
          <w:sz w:val="24"/>
          <w:szCs w:val="24"/>
        </w:rPr>
        <w:t xml:space="preserve"> M</w:t>
      </w:r>
      <w:r w:rsidR="005F3896">
        <w:rPr>
          <w:rFonts w:cstheme="minorHAnsi"/>
          <w:sz w:val="24"/>
          <w:szCs w:val="24"/>
        </w:rPr>
        <w:t>a</w:t>
      </w:r>
      <w:r w:rsidR="00590C78">
        <w:rPr>
          <w:rFonts w:cstheme="minorHAnsi"/>
          <w:sz w:val="24"/>
          <w:szCs w:val="24"/>
        </w:rPr>
        <w:t>PS</w:t>
      </w:r>
      <w:r w:rsidRPr="00AF6991">
        <w:rPr>
          <w:rFonts w:cstheme="minorHAnsi"/>
          <w:sz w:val="24"/>
          <w:szCs w:val="24"/>
        </w:rPr>
        <w:t xml:space="preserve"> as a key objective for this new body may help to lower this barrier</w:t>
      </w:r>
      <w:r w:rsidR="00774C2F">
        <w:rPr>
          <w:rFonts w:cstheme="minorHAnsi"/>
          <w:sz w:val="24"/>
          <w:szCs w:val="24"/>
        </w:rPr>
        <w:t xml:space="preserve"> and help consumers make more informed decisions regarding their choice of adviser</w:t>
      </w:r>
      <w:r w:rsidRPr="00AF6991">
        <w:rPr>
          <w:rFonts w:cstheme="minorHAnsi"/>
          <w:sz w:val="24"/>
          <w:szCs w:val="24"/>
        </w:rPr>
        <w:t xml:space="preserve">. </w:t>
      </w:r>
    </w:p>
    <w:p w14:paraId="28F3E25B" w14:textId="29CF56C0" w:rsidR="00AF6991" w:rsidRPr="00AF6991" w:rsidRDefault="00AF6991" w:rsidP="00AF6991">
      <w:pPr>
        <w:spacing w:after="120" w:line="480" w:lineRule="auto"/>
        <w:rPr>
          <w:rFonts w:cstheme="minorHAnsi"/>
          <w:sz w:val="24"/>
          <w:szCs w:val="24"/>
        </w:rPr>
      </w:pPr>
      <w:r w:rsidRPr="00AF6991">
        <w:rPr>
          <w:rFonts w:cstheme="minorHAnsi"/>
          <w:sz w:val="24"/>
          <w:szCs w:val="24"/>
        </w:rPr>
        <w:t xml:space="preserve">The second key </w:t>
      </w:r>
      <w:r w:rsidR="000D6A58">
        <w:rPr>
          <w:rFonts w:cstheme="minorHAnsi"/>
          <w:sz w:val="24"/>
          <w:szCs w:val="24"/>
        </w:rPr>
        <w:t xml:space="preserve">overall </w:t>
      </w:r>
      <w:r w:rsidRPr="00AF6991">
        <w:rPr>
          <w:rFonts w:cstheme="minorHAnsi"/>
          <w:sz w:val="24"/>
          <w:szCs w:val="24"/>
        </w:rPr>
        <w:t xml:space="preserve">theme identified within this research is trust. It highlighted the differences between general and individual trust </w:t>
      </w:r>
      <w:r w:rsidR="000B6580">
        <w:rPr>
          <w:rFonts w:cstheme="minorHAnsi"/>
          <w:sz w:val="24"/>
          <w:szCs w:val="24"/>
        </w:rPr>
        <w:t xml:space="preserve">and </w:t>
      </w:r>
      <w:r w:rsidR="000B6580" w:rsidRPr="000B6580">
        <w:rPr>
          <w:rFonts w:cstheme="minorHAnsi"/>
          <w:sz w:val="24"/>
          <w:szCs w:val="24"/>
        </w:rPr>
        <w:t xml:space="preserve">it was clear that those who had experienced the advice process were more trusting of the individual adviser but not of the industry more generally. </w:t>
      </w:r>
      <w:r w:rsidR="009809CD" w:rsidRPr="009809CD">
        <w:rPr>
          <w:rFonts w:cstheme="minorHAnsi"/>
          <w:sz w:val="24"/>
          <w:szCs w:val="24"/>
        </w:rPr>
        <w:t xml:space="preserve">It is therefore reasonable to assume that these low levels of </w:t>
      </w:r>
      <w:r w:rsidR="009809CD" w:rsidRPr="009809CD">
        <w:rPr>
          <w:rFonts w:cstheme="minorHAnsi"/>
          <w:sz w:val="24"/>
          <w:szCs w:val="24"/>
        </w:rPr>
        <w:lastRenderedPageBreak/>
        <w:t>general trust act as a barrier to access particular where experience of advice is limited or non-existent.</w:t>
      </w:r>
    </w:p>
    <w:p w14:paraId="2F3F74A8" w14:textId="7230B59C" w:rsidR="00AF6991" w:rsidRDefault="00AF6991" w:rsidP="00AF6991">
      <w:pPr>
        <w:spacing w:after="120" w:line="480" w:lineRule="auto"/>
        <w:rPr>
          <w:rFonts w:cstheme="minorHAnsi"/>
          <w:sz w:val="24"/>
          <w:szCs w:val="24"/>
        </w:rPr>
      </w:pPr>
      <w:r w:rsidRPr="00AF6991">
        <w:rPr>
          <w:rFonts w:cstheme="minorHAnsi"/>
          <w:sz w:val="24"/>
          <w:szCs w:val="24"/>
        </w:rPr>
        <w:t xml:space="preserve">The third </w:t>
      </w:r>
      <w:r w:rsidR="000D6A58">
        <w:rPr>
          <w:rFonts w:cstheme="minorHAnsi"/>
          <w:sz w:val="24"/>
          <w:szCs w:val="24"/>
        </w:rPr>
        <w:t xml:space="preserve">key </w:t>
      </w:r>
      <w:r w:rsidRPr="00AF6991">
        <w:rPr>
          <w:rFonts w:cstheme="minorHAnsi"/>
          <w:sz w:val="24"/>
          <w:szCs w:val="24"/>
        </w:rPr>
        <w:t xml:space="preserve">theme of this research highlighted the problems of cost and affordability of advice. Some consumers cannot afford to pay for advice or the cost of required products. However, others are not willing to pay for advice which may be a ‘hangover’ from the </w:t>
      </w:r>
      <w:r w:rsidR="00A90E97">
        <w:rPr>
          <w:rFonts w:cstheme="minorHAnsi"/>
          <w:sz w:val="24"/>
          <w:szCs w:val="24"/>
        </w:rPr>
        <w:t>earlier commission-based regime</w:t>
      </w:r>
      <w:r w:rsidR="00A90E97" w:rsidRPr="00A90E97">
        <w:rPr>
          <w:rFonts w:cstheme="minorHAnsi"/>
          <w:sz w:val="24"/>
          <w:szCs w:val="24"/>
        </w:rPr>
        <w:t xml:space="preserve"> or it may be that they are acting from a position of bounded rationality.</w:t>
      </w:r>
    </w:p>
    <w:p w14:paraId="117DDE99" w14:textId="0DFD1217" w:rsidR="00B1681C" w:rsidRDefault="00B1681C" w:rsidP="00B1681C">
      <w:pPr>
        <w:spacing w:line="480" w:lineRule="auto"/>
        <w:rPr>
          <w:rFonts w:cstheme="minorHAnsi"/>
          <w:bCs/>
          <w:sz w:val="24"/>
          <w:szCs w:val="24"/>
        </w:rPr>
      </w:pPr>
      <w:r>
        <w:rPr>
          <w:rFonts w:cstheme="minorHAnsi"/>
          <w:bCs/>
          <w:sz w:val="24"/>
          <w:szCs w:val="24"/>
        </w:rPr>
        <w:t xml:space="preserve">Analysis of </w:t>
      </w:r>
      <w:r w:rsidRPr="00290AD6">
        <w:rPr>
          <w:rFonts w:cstheme="minorHAnsi"/>
          <w:bCs/>
          <w:sz w:val="24"/>
          <w:szCs w:val="24"/>
        </w:rPr>
        <w:t xml:space="preserve">FAMR </w:t>
      </w:r>
      <w:r>
        <w:rPr>
          <w:rFonts w:cstheme="minorHAnsi"/>
          <w:bCs/>
          <w:sz w:val="24"/>
          <w:szCs w:val="24"/>
        </w:rPr>
        <w:t>by Craig (</w:t>
      </w:r>
      <w:r w:rsidRPr="00290AD6">
        <w:rPr>
          <w:rFonts w:cstheme="minorHAnsi"/>
          <w:bCs/>
          <w:sz w:val="24"/>
          <w:szCs w:val="24"/>
        </w:rPr>
        <w:t>2017</w:t>
      </w:r>
      <w:r w:rsidR="00A90E97">
        <w:rPr>
          <w:rFonts w:cstheme="minorHAnsi"/>
          <w:bCs/>
          <w:sz w:val="24"/>
          <w:szCs w:val="24"/>
        </w:rPr>
        <w:t>) may shine some light on the final point above. Craig (2017</w:t>
      </w:r>
      <w:r>
        <w:rPr>
          <w:rFonts w:cstheme="minorHAnsi"/>
          <w:bCs/>
          <w:sz w:val="24"/>
          <w:szCs w:val="24"/>
        </w:rPr>
        <w:t>, p.24</w:t>
      </w:r>
      <w:r w:rsidRPr="00290AD6">
        <w:rPr>
          <w:rFonts w:cstheme="minorHAnsi"/>
          <w:bCs/>
          <w:sz w:val="24"/>
          <w:szCs w:val="24"/>
        </w:rPr>
        <w:t>)</w:t>
      </w:r>
      <w:r>
        <w:rPr>
          <w:rFonts w:cstheme="minorHAnsi"/>
          <w:bCs/>
          <w:sz w:val="24"/>
          <w:szCs w:val="24"/>
        </w:rPr>
        <w:t xml:space="preserve"> reports ‘</w:t>
      </w:r>
      <w:r w:rsidRPr="00F914AB">
        <w:rPr>
          <w:rFonts w:cstheme="minorHAnsi"/>
          <w:bCs/>
          <w:i/>
          <w:iCs/>
          <w:sz w:val="24"/>
          <w:szCs w:val="24"/>
        </w:rPr>
        <w:t>lack of awareness of advisory services’</w:t>
      </w:r>
      <w:r>
        <w:rPr>
          <w:rFonts w:cstheme="minorHAnsi"/>
          <w:bCs/>
          <w:sz w:val="24"/>
          <w:szCs w:val="24"/>
        </w:rPr>
        <w:t xml:space="preserve"> as a negative driver of accessing regulated financial advice. She also highlights consumers</w:t>
      </w:r>
      <w:r w:rsidR="000B6580">
        <w:rPr>
          <w:rFonts w:cstheme="minorHAnsi"/>
          <w:bCs/>
          <w:sz w:val="24"/>
          <w:szCs w:val="24"/>
        </w:rPr>
        <w:t>’</w:t>
      </w:r>
      <w:r>
        <w:rPr>
          <w:rFonts w:cstheme="minorHAnsi"/>
          <w:bCs/>
          <w:sz w:val="24"/>
          <w:szCs w:val="24"/>
        </w:rPr>
        <w:t xml:space="preserve"> unwillingness to pay fees particularly when they were perceived as high in relation </w:t>
      </w:r>
      <w:r w:rsidR="00746ED2">
        <w:rPr>
          <w:rFonts w:cstheme="minorHAnsi"/>
          <w:bCs/>
          <w:sz w:val="24"/>
          <w:szCs w:val="24"/>
        </w:rPr>
        <w:t>to the level of assets involved</w:t>
      </w:r>
      <w:r w:rsidRPr="00F914AB">
        <w:rPr>
          <w:rFonts w:cstheme="minorHAnsi"/>
          <w:bCs/>
          <w:sz w:val="24"/>
          <w:szCs w:val="24"/>
        </w:rPr>
        <w:t xml:space="preserve">. </w:t>
      </w:r>
      <w:r>
        <w:rPr>
          <w:rFonts w:cstheme="minorHAnsi"/>
          <w:bCs/>
          <w:sz w:val="24"/>
          <w:szCs w:val="24"/>
        </w:rPr>
        <w:t>On the positive side Craig (2017) reports that consumers use regulated advice to make complicated issues more accessible and provide peace of mind and that it is often ‘</w:t>
      </w:r>
      <w:r w:rsidRPr="00173E55">
        <w:rPr>
          <w:rFonts w:cstheme="minorHAnsi"/>
          <w:bCs/>
          <w:i/>
          <w:iCs/>
          <w:sz w:val="24"/>
          <w:szCs w:val="24"/>
        </w:rPr>
        <w:t>the emotional benefits that outweigh the functional benefits</w:t>
      </w:r>
      <w:r>
        <w:rPr>
          <w:rFonts w:cstheme="minorHAnsi"/>
          <w:bCs/>
          <w:i/>
          <w:iCs/>
          <w:sz w:val="24"/>
          <w:szCs w:val="24"/>
        </w:rPr>
        <w:t>’</w:t>
      </w:r>
      <w:r>
        <w:rPr>
          <w:rFonts w:cstheme="minorHAnsi"/>
          <w:bCs/>
          <w:sz w:val="24"/>
          <w:szCs w:val="24"/>
        </w:rPr>
        <w:t xml:space="preserve"> (2017, p.17). I</w:t>
      </w:r>
      <w:r w:rsidRPr="00F914AB">
        <w:rPr>
          <w:rFonts w:cstheme="minorHAnsi"/>
          <w:bCs/>
          <w:sz w:val="24"/>
          <w:szCs w:val="24"/>
        </w:rPr>
        <w:t xml:space="preserve">f we consider this </w:t>
      </w:r>
      <w:r>
        <w:rPr>
          <w:rFonts w:cstheme="minorHAnsi"/>
          <w:bCs/>
          <w:sz w:val="24"/>
          <w:szCs w:val="24"/>
        </w:rPr>
        <w:t xml:space="preserve">in the context of ‘bounded rationality’ and our findings that consumers frame advice as a route to a product rather than a more holistic service then it can be seen why 81% of those that have used regulated advice services are </w:t>
      </w:r>
      <w:r w:rsidR="00916BA3">
        <w:rPr>
          <w:rFonts w:cstheme="minorHAnsi"/>
          <w:bCs/>
          <w:sz w:val="24"/>
          <w:szCs w:val="24"/>
        </w:rPr>
        <w:t xml:space="preserve">more </w:t>
      </w:r>
      <w:r>
        <w:rPr>
          <w:rFonts w:cstheme="minorHAnsi"/>
          <w:bCs/>
          <w:sz w:val="24"/>
          <w:szCs w:val="24"/>
        </w:rPr>
        <w:t>willing to pay a fee (FCA, 2017a). Clearly, the mental accounts of those consumers acting from a ‘bounded perspective’ are excluding some key positives</w:t>
      </w:r>
      <w:r w:rsidR="00D933AF">
        <w:rPr>
          <w:rFonts w:cstheme="minorHAnsi"/>
          <w:bCs/>
          <w:sz w:val="24"/>
          <w:szCs w:val="24"/>
        </w:rPr>
        <w:t>. These positive</w:t>
      </w:r>
      <w:r>
        <w:rPr>
          <w:rFonts w:cstheme="minorHAnsi"/>
          <w:bCs/>
          <w:sz w:val="24"/>
          <w:szCs w:val="24"/>
        </w:rPr>
        <w:t xml:space="preserve"> may, if considered, result in more consumers using advice services as a proactive planning </w:t>
      </w:r>
      <w:r w:rsidR="00773436">
        <w:rPr>
          <w:rFonts w:cstheme="minorHAnsi"/>
          <w:bCs/>
          <w:sz w:val="24"/>
          <w:szCs w:val="24"/>
        </w:rPr>
        <w:t xml:space="preserve">route </w:t>
      </w:r>
      <w:r>
        <w:rPr>
          <w:rFonts w:cstheme="minorHAnsi"/>
          <w:bCs/>
          <w:sz w:val="24"/>
          <w:szCs w:val="24"/>
        </w:rPr>
        <w:t>to help identify needs rather than as a reactive route to a product they already know the</w:t>
      </w:r>
      <w:r w:rsidR="00773436">
        <w:rPr>
          <w:rFonts w:cstheme="minorHAnsi"/>
          <w:bCs/>
          <w:sz w:val="24"/>
          <w:szCs w:val="24"/>
        </w:rPr>
        <w:t>y</w:t>
      </w:r>
      <w:r>
        <w:rPr>
          <w:rFonts w:cstheme="minorHAnsi"/>
          <w:bCs/>
          <w:sz w:val="24"/>
          <w:szCs w:val="24"/>
        </w:rPr>
        <w:t xml:space="preserve"> need.</w:t>
      </w:r>
      <w:r w:rsidR="00CB03A9">
        <w:rPr>
          <w:rFonts w:cstheme="minorHAnsi"/>
          <w:bCs/>
          <w:sz w:val="24"/>
          <w:szCs w:val="24"/>
        </w:rPr>
        <w:t xml:space="preserve"> So there are links between our key themes of cost/affordability and knowledge of adviser services.</w:t>
      </w:r>
      <w:r w:rsidR="002D3424">
        <w:rPr>
          <w:rFonts w:cstheme="minorHAnsi"/>
          <w:bCs/>
          <w:sz w:val="24"/>
          <w:szCs w:val="24"/>
        </w:rPr>
        <w:t xml:space="preserve"> It seems, therefore, that where </w:t>
      </w:r>
      <w:r w:rsidR="002D3424">
        <w:rPr>
          <w:rFonts w:cstheme="minorHAnsi"/>
          <w:bCs/>
          <w:sz w:val="24"/>
          <w:szCs w:val="24"/>
        </w:rPr>
        <w:lastRenderedPageBreak/>
        <w:t>consumers have limited knowledge of the value adviser services can add, this contributes to barriers associated with unwillingness to pay for advice.</w:t>
      </w:r>
    </w:p>
    <w:p w14:paraId="728A102D" w14:textId="04875F33" w:rsidR="00773436" w:rsidRPr="00B1681C" w:rsidRDefault="00773436" w:rsidP="00B1681C">
      <w:pPr>
        <w:spacing w:line="480" w:lineRule="auto"/>
        <w:rPr>
          <w:rFonts w:cstheme="minorHAnsi"/>
          <w:b/>
          <w:sz w:val="24"/>
          <w:szCs w:val="24"/>
          <w:u w:val="single"/>
        </w:rPr>
      </w:pPr>
      <w:r>
        <w:rPr>
          <w:rFonts w:cstheme="minorHAnsi"/>
          <w:bCs/>
          <w:sz w:val="24"/>
          <w:szCs w:val="24"/>
        </w:rPr>
        <w:t>The baseline survey (FSA, 2006) identified ‘planning ahead’ as a key component of financial capability</w:t>
      </w:r>
      <w:r w:rsidR="00835DB3">
        <w:rPr>
          <w:rFonts w:cstheme="minorHAnsi"/>
          <w:bCs/>
          <w:sz w:val="24"/>
          <w:szCs w:val="24"/>
        </w:rPr>
        <w:t xml:space="preserve">, commenting that the majority of UK citizens were not good at this. Failure to plan results in ‘the pensions and savings gaps’ and leads to more people suffering a financial crisis when personal circumstances change for the worse. Pro-active financial planning, be that generic or via a regulated source, can alert consumers to these potential risks, help them to plan ahead and thereby reduce negative outcomes </w:t>
      </w:r>
      <w:r w:rsidR="00CB03A9">
        <w:rPr>
          <w:rFonts w:cstheme="minorHAnsi"/>
          <w:bCs/>
          <w:sz w:val="24"/>
          <w:szCs w:val="24"/>
        </w:rPr>
        <w:t>that might otherwise prevail</w:t>
      </w:r>
      <w:r w:rsidR="00835DB3">
        <w:rPr>
          <w:rFonts w:cstheme="minorHAnsi"/>
          <w:bCs/>
          <w:sz w:val="24"/>
          <w:szCs w:val="24"/>
        </w:rPr>
        <w:t>.</w:t>
      </w:r>
      <w:r w:rsidR="005970E0">
        <w:rPr>
          <w:rFonts w:cstheme="minorHAnsi"/>
          <w:bCs/>
          <w:sz w:val="24"/>
          <w:szCs w:val="24"/>
        </w:rPr>
        <w:t xml:space="preserve"> By shifting consumer perceptions from regulated advice as a product route to a broader public perspective that appreciates the strategic planning and emotional support aspects advice can bring</w:t>
      </w:r>
      <w:r w:rsidR="00746ED2">
        <w:rPr>
          <w:rFonts w:cstheme="minorHAnsi"/>
          <w:bCs/>
          <w:sz w:val="24"/>
          <w:szCs w:val="24"/>
        </w:rPr>
        <w:t>,</w:t>
      </w:r>
      <w:r w:rsidR="005970E0">
        <w:rPr>
          <w:rFonts w:cstheme="minorHAnsi"/>
          <w:bCs/>
          <w:sz w:val="24"/>
          <w:szCs w:val="24"/>
        </w:rPr>
        <w:t xml:space="preserve"> </w:t>
      </w:r>
      <w:r w:rsidR="00D2410C">
        <w:rPr>
          <w:rFonts w:cstheme="minorHAnsi"/>
          <w:bCs/>
          <w:sz w:val="24"/>
          <w:szCs w:val="24"/>
        </w:rPr>
        <w:t>will remove a barrier to advice</w:t>
      </w:r>
      <w:r w:rsidR="00746ED2">
        <w:rPr>
          <w:rFonts w:cstheme="minorHAnsi"/>
          <w:bCs/>
          <w:sz w:val="24"/>
          <w:szCs w:val="24"/>
        </w:rPr>
        <w:t xml:space="preserve"> and should help more consumers to avoid negative financial outcomes.</w:t>
      </w:r>
      <w:r w:rsidR="00D2410C">
        <w:rPr>
          <w:rFonts w:cstheme="minorHAnsi"/>
          <w:bCs/>
          <w:sz w:val="24"/>
          <w:szCs w:val="24"/>
        </w:rPr>
        <w:t xml:space="preserve"> </w:t>
      </w:r>
    </w:p>
    <w:p w14:paraId="306B2254" w14:textId="2A777C1A" w:rsidR="00AF6991" w:rsidRPr="00AF6991" w:rsidRDefault="000D6A58" w:rsidP="00AF6991">
      <w:pPr>
        <w:spacing w:after="120" w:line="480" w:lineRule="auto"/>
        <w:rPr>
          <w:rFonts w:cstheme="minorHAnsi"/>
          <w:sz w:val="24"/>
          <w:szCs w:val="24"/>
        </w:rPr>
      </w:pPr>
      <w:r>
        <w:rPr>
          <w:rFonts w:cstheme="minorHAnsi"/>
          <w:sz w:val="24"/>
          <w:szCs w:val="24"/>
        </w:rPr>
        <w:t>This research underlines that t</w:t>
      </w:r>
      <w:r w:rsidR="00AF6991" w:rsidRPr="00AF6991">
        <w:rPr>
          <w:rFonts w:cstheme="minorHAnsi"/>
          <w:sz w:val="24"/>
          <w:szCs w:val="24"/>
        </w:rPr>
        <w:t xml:space="preserve">here is no one factor </w:t>
      </w:r>
      <w:r>
        <w:rPr>
          <w:rFonts w:cstheme="minorHAnsi"/>
          <w:sz w:val="24"/>
          <w:szCs w:val="24"/>
        </w:rPr>
        <w:t>which</w:t>
      </w:r>
      <w:r w:rsidR="00AF6991" w:rsidRPr="00AF6991">
        <w:rPr>
          <w:rFonts w:cstheme="minorHAnsi"/>
          <w:sz w:val="24"/>
          <w:szCs w:val="24"/>
        </w:rPr>
        <w:t xml:space="preserve"> can be blamed for consumers being unable to access suitable advice</w:t>
      </w:r>
      <w:r w:rsidR="00CB03A9">
        <w:rPr>
          <w:rFonts w:cstheme="minorHAnsi"/>
          <w:sz w:val="24"/>
          <w:szCs w:val="24"/>
        </w:rPr>
        <w:t xml:space="preserve"> and clearly there are links between different variables </w:t>
      </w:r>
      <w:r w:rsidR="00443E85">
        <w:rPr>
          <w:rFonts w:cstheme="minorHAnsi"/>
          <w:sz w:val="24"/>
          <w:szCs w:val="24"/>
        </w:rPr>
        <w:t xml:space="preserve">that can </w:t>
      </w:r>
      <w:r w:rsidR="00B45DE3">
        <w:rPr>
          <w:rFonts w:cstheme="minorHAnsi"/>
          <w:sz w:val="24"/>
          <w:szCs w:val="24"/>
        </w:rPr>
        <w:t>magnify the problem</w:t>
      </w:r>
      <w:r w:rsidR="00AF6991" w:rsidRPr="00AF6991">
        <w:rPr>
          <w:rFonts w:cstheme="minorHAnsi"/>
          <w:sz w:val="24"/>
          <w:szCs w:val="24"/>
        </w:rPr>
        <w:t xml:space="preserve">. However, much can be attributed to a lack of knowledge of the needs and to how advice can help to highlight these whilst offering potential solutions to address them. There is an important role for </w:t>
      </w:r>
      <w:r w:rsidR="00B1681C">
        <w:rPr>
          <w:rFonts w:cstheme="minorHAnsi"/>
          <w:sz w:val="24"/>
          <w:szCs w:val="24"/>
        </w:rPr>
        <w:t>M</w:t>
      </w:r>
      <w:r w:rsidR="00D4633D">
        <w:rPr>
          <w:rFonts w:cstheme="minorHAnsi"/>
          <w:sz w:val="24"/>
          <w:szCs w:val="24"/>
        </w:rPr>
        <w:t>a</w:t>
      </w:r>
      <w:r w:rsidR="00B1681C">
        <w:rPr>
          <w:rFonts w:cstheme="minorHAnsi"/>
          <w:sz w:val="24"/>
          <w:szCs w:val="24"/>
        </w:rPr>
        <w:t>PS, recently</w:t>
      </w:r>
      <w:r w:rsidR="00AF6991" w:rsidRPr="00AF6991">
        <w:rPr>
          <w:rFonts w:cstheme="minorHAnsi"/>
          <w:sz w:val="24"/>
          <w:szCs w:val="24"/>
        </w:rPr>
        <w:t xml:space="preserve"> created, who by providing the required triggers could provide a solution to this problem along with better co-ordination </w:t>
      </w:r>
      <w:r w:rsidR="00443E85">
        <w:rPr>
          <w:rFonts w:cstheme="minorHAnsi"/>
          <w:sz w:val="24"/>
          <w:szCs w:val="24"/>
        </w:rPr>
        <w:t xml:space="preserve">and understanding </w:t>
      </w:r>
      <w:r w:rsidR="00AF6991" w:rsidRPr="00AF6991">
        <w:rPr>
          <w:rFonts w:cstheme="minorHAnsi"/>
          <w:sz w:val="24"/>
          <w:szCs w:val="24"/>
        </w:rPr>
        <w:t xml:space="preserve">of advice and guidance across the sector. </w:t>
      </w:r>
      <w:r w:rsidR="002C0674">
        <w:rPr>
          <w:rFonts w:cstheme="minorHAnsi"/>
          <w:sz w:val="24"/>
          <w:szCs w:val="24"/>
        </w:rPr>
        <w:t>We have</w:t>
      </w:r>
      <w:r w:rsidR="00514989">
        <w:rPr>
          <w:rFonts w:cstheme="minorHAnsi"/>
          <w:sz w:val="24"/>
          <w:szCs w:val="24"/>
        </w:rPr>
        <w:t>, for example,</w:t>
      </w:r>
      <w:r w:rsidR="002C0674">
        <w:rPr>
          <w:rFonts w:cstheme="minorHAnsi"/>
          <w:sz w:val="24"/>
          <w:szCs w:val="24"/>
        </w:rPr>
        <w:t xml:space="preserve"> recently seen new initiatives to try and improve the use of Pensionwise which should act as a natural stepping stone to regulated advice, thereby overcoming some of the barriers that currently exist</w:t>
      </w:r>
      <w:r w:rsidR="008E182C">
        <w:rPr>
          <w:rFonts w:cstheme="minorHAnsi"/>
          <w:sz w:val="24"/>
          <w:szCs w:val="24"/>
        </w:rPr>
        <w:t xml:space="preserve">, </w:t>
      </w:r>
      <w:r w:rsidR="002C0674">
        <w:rPr>
          <w:rFonts w:cstheme="minorHAnsi"/>
          <w:sz w:val="24"/>
          <w:szCs w:val="24"/>
        </w:rPr>
        <w:t>but as Overton and Cook (2022)</w:t>
      </w:r>
      <w:r w:rsidR="008E182C">
        <w:rPr>
          <w:rFonts w:cstheme="minorHAnsi"/>
          <w:sz w:val="24"/>
          <w:szCs w:val="24"/>
        </w:rPr>
        <w:t xml:space="preserve">   say, this journey is still not seamless.</w:t>
      </w:r>
    </w:p>
    <w:p w14:paraId="1910CD6E" w14:textId="248A49EA" w:rsidR="00AF6991" w:rsidRPr="00AF6991" w:rsidRDefault="00AF6991" w:rsidP="00AF6991">
      <w:pPr>
        <w:spacing w:after="120" w:line="480" w:lineRule="auto"/>
        <w:rPr>
          <w:rFonts w:eastAsia="Calibri" w:cstheme="minorHAnsi"/>
          <w:color w:val="000000"/>
          <w:sz w:val="24"/>
          <w:szCs w:val="24"/>
        </w:rPr>
      </w:pPr>
      <w:r w:rsidRPr="00AF6991">
        <w:rPr>
          <w:rFonts w:eastAsia="Calibri" w:cstheme="minorHAnsi"/>
          <w:color w:val="000000"/>
          <w:sz w:val="24"/>
          <w:szCs w:val="24"/>
        </w:rPr>
        <w:lastRenderedPageBreak/>
        <w:t xml:space="preserve">It is now more than </w:t>
      </w:r>
      <w:r w:rsidR="00D933AF">
        <w:rPr>
          <w:rFonts w:eastAsia="Calibri" w:cstheme="minorHAnsi"/>
          <w:color w:val="000000"/>
          <w:sz w:val="24"/>
          <w:szCs w:val="24"/>
        </w:rPr>
        <w:t>9</w:t>
      </w:r>
      <w:r w:rsidRPr="00AF6991">
        <w:rPr>
          <w:rFonts w:eastAsia="Calibri" w:cstheme="minorHAnsi"/>
          <w:color w:val="000000"/>
          <w:sz w:val="24"/>
          <w:szCs w:val="24"/>
        </w:rPr>
        <w:t xml:space="preserve"> years </w:t>
      </w:r>
      <w:r w:rsidR="00D933AF">
        <w:rPr>
          <w:rFonts w:eastAsia="Calibri" w:cstheme="minorHAnsi"/>
          <w:color w:val="000000"/>
          <w:sz w:val="24"/>
          <w:szCs w:val="24"/>
        </w:rPr>
        <w:t>since RDR was implemented,</w:t>
      </w:r>
      <w:r w:rsidRPr="00AF6991">
        <w:rPr>
          <w:rFonts w:eastAsia="Calibri" w:cstheme="minorHAnsi"/>
          <w:color w:val="000000"/>
          <w:sz w:val="24"/>
          <w:szCs w:val="24"/>
        </w:rPr>
        <w:t xml:space="preserve"> evidence suggests things have improved for some, particularly with respect to the quality of advice. However, for others there are still gaps that pose a barrier to access (Europe Economics, 2014). This report goes on to say that a group of consumers exist where cost of advice is a barrier to access and this group has grown since RDR. Although it does suggest that as the market develops</w:t>
      </w:r>
      <w:r w:rsidR="00B45DE3">
        <w:rPr>
          <w:rFonts w:eastAsia="Calibri" w:cstheme="minorHAnsi"/>
          <w:color w:val="000000"/>
          <w:sz w:val="24"/>
          <w:szCs w:val="24"/>
        </w:rPr>
        <w:t>,</w:t>
      </w:r>
      <w:r w:rsidRPr="00AF6991">
        <w:rPr>
          <w:rFonts w:eastAsia="Calibri" w:cstheme="minorHAnsi"/>
          <w:color w:val="000000"/>
          <w:sz w:val="24"/>
          <w:szCs w:val="24"/>
        </w:rPr>
        <w:t xml:space="preserve"> and more low-cost advice models become available the problem may be alleviated to some extent. This theme of alternative advice channels is developed further within the FAMR (</w:t>
      </w:r>
      <w:r w:rsidR="00290AD6">
        <w:rPr>
          <w:rFonts w:eastAsia="Calibri" w:cstheme="minorHAnsi"/>
          <w:color w:val="000000"/>
          <w:sz w:val="24"/>
          <w:szCs w:val="24"/>
        </w:rPr>
        <w:t xml:space="preserve">FCA, </w:t>
      </w:r>
      <w:r w:rsidRPr="00AF6991">
        <w:rPr>
          <w:rFonts w:eastAsia="Calibri" w:cstheme="minorHAnsi"/>
          <w:color w:val="000000"/>
          <w:sz w:val="24"/>
          <w:szCs w:val="24"/>
        </w:rPr>
        <w:t>2015).</w:t>
      </w:r>
    </w:p>
    <w:p w14:paraId="34A5B16E" w14:textId="188A855E" w:rsidR="00AF6991" w:rsidRDefault="00AF6991" w:rsidP="00AF6991">
      <w:pPr>
        <w:spacing w:after="120" w:line="480" w:lineRule="auto"/>
        <w:rPr>
          <w:rFonts w:cstheme="minorHAnsi"/>
          <w:sz w:val="24"/>
          <w:szCs w:val="24"/>
        </w:rPr>
      </w:pPr>
      <w:r w:rsidRPr="00AF6991">
        <w:rPr>
          <w:rFonts w:cstheme="minorHAnsi"/>
          <w:sz w:val="24"/>
          <w:szCs w:val="24"/>
        </w:rPr>
        <w:t>From a broader perspective, the results of this research highlight the responsibilities placed on consumers by the shift towards a more individualistic approach to welfare. Clearly, for many consumers, the gap between this expectation and the reality of consumer financial capability is one that leaves them unprepared to plan for known and unknown risks that prevail.</w:t>
      </w:r>
    </w:p>
    <w:p w14:paraId="770754A7" w14:textId="24B3FC00" w:rsidR="008E182C" w:rsidRPr="00AF6991" w:rsidRDefault="000D6A58" w:rsidP="000D6A58">
      <w:pPr>
        <w:spacing w:after="120" w:line="480" w:lineRule="auto"/>
        <w:rPr>
          <w:rFonts w:cstheme="minorHAnsi"/>
          <w:sz w:val="24"/>
          <w:szCs w:val="24"/>
        </w:rPr>
      </w:pPr>
      <w:r>
        <w:rPr>
          <w:rFonts w:cstheme="minorHAnsi"/>
          <w:sz w:val="24"/>
          <w:szCs w:val="24"/>
        </w:rPr>
        <w:t xml:space="preserve">This research, while based in the context of the UK, is also likely to apply more widely to other developed countries although further research </w:t>
      </w:r>
      <w:r w:rsidR="00D933AF">
        <w:rPr>
          <w:rFonts w:cstheme="minorHAnsi"/>
          <w:sz w:val="24"/>
          <w:szCs w:val="24"/>
        </w:rPr>
        <w:t>into ‘Barriers to Advice’ would need</w:t>
      </w:r>
      <w:r>
        <w:rPr>
          <w:rFonts w:cstheme="minorHAnsi"/>
          <w:sz w:val="24"/>
          <w:szCs w:val="24"/>
        </w:rPr>
        <w:t xml:space="preserve"> to confirm if the same three key theme and sub-themes apply in all cases given the different contexts for regulated financial advice in different regimes. </w:t>
      </w:r>
      <w:r w:rsidR="008E182C">
        <w:rPr>
          <w:rFonts w:cstheme="minorHAnsi"/>
          <w:sz w:val="24"/>
          <w:szCs w:val="24"/>
        </w:rPr>
        <w:t xml:space="preserve">There is still much to learn about the barriers that prevent consumers from accessing regulated financial advice and guidance more generally. Future research could consider such factors as the social anxiety associated with sharing sensitive personal information about household finances and the stigma that arises from fears of judgement. Behavioural Economics and Psychology have much to offer from the perspective on how purchasing habits are related to </w:t>
      </w:r>
      <w:r w:rsidR="00CD43A9">
        <w:rPr>
          <w:rFonts w:cstheme="minorHAnsi"/>
          <w:sz w:val="24"/>
          <w:szCs w:val="24"/>
        </w:rPr>
        <w:t xml:space="preserve">the individual character types </w:t>
      </w:r>
      <w:r w:rsidR="008E182C">
        <w:rPr>
          <w:rFonts w:cstheme="minorHAnsi"/>
          <w:sz w:val="24"/>
          <w:szCs w:val="24"/>
        </w:rPr>
        <w:t xml:space="preserve">and how this may influence consumer decisions to the type of advice they may seek, be that </w:t>
      </w:r>
      <w:r w:rsidR="008E182C">
        <w:rPr>
          <w:rFonts w:cstheme="minorHAnsi"/>
          <w:sz w:val="24"/>
          <w:szCs w:val="24"/>
        </w:rPr>
        <w:lastRenderedPageBreak/>
        <w:t>guidance, regulated advice or platform based solutions that have been labelled ‘Robo-advice’.</w:t>
      </w:r>
      <w:r w:rsidR="00CD43A9">
        <w:rPr>
          <w:rFonts w:cstheme="minorHAnsi"/>
          <w:sz w:val="24"/>
          <w:szCs w:val="24"/>
        </w:rPr>
        <w:t xml:space="preserve"> </w:t>
      </w:r>
    </w:p>
    <w:p w14:paraId="152B2FE8" w14:textId="77777777" w:rsidR="000D6A58" w:rsidRPr="00AF6991" w:rsidRDefault="000D6A58" w:rsidP="00AF6991">
      <w:pPr>
        <w:spacing w:after="120" w:line="480" w:lineRule="auto"/>
        <w:rPr>
          <w:rFonts w:cstheme="minorHAnsi"/>
          <w:sz w:val="24"/>
          <w:szCs w:val="24"/>
        </w:rPr>
      </w:pPr>
    </w:p>
    <w:p w14:paraId="1B0C47C0" w14:textId="77777777" w:rsidR="005F2C24" w:rsidRDefault="005F2C24">
      <w:pPr>
        <w:rPr>
          <w:rFonts w:cstheme="minorHAnsi"/>
          <w:b/>
          <w:sz w:val="24"/>
          <w:szCs w:val="24"/>
          <w:u w:val="single"/>
        </w:rPr>
      </w:pPr>
      <w:r>
        <w:rPr>
          <w:rFonts w:cstheme="minorHAnsi"/>
          <w:b/>
          <w:sz w:val="24"/>
          <w:szCs w:val="24"/>
          <w:u w:val="single"/>
        </w:rPr>
        <w:br w:type="page"/>
      </w:r>
    </w:p>
    <w:p w14:paraId="73DBA1A6" w14:textId="21F6FB1D" w:rsidR="003C0C04" w:rsidRDefault="005864B2" w:rsidP="00B1681C">
      <w:pPr>
        <w:spacing w:after="0" w:line="480" w:lineRule="auto"/>
        <w:rPr>
          <w:rFonts w:eastAsia="Times New Roman" w:cstheme="minorHAnsi"/>
          <w:bCs/>
          <w:sz w:val="24"/>
          <w:szCs w:val="24"/>
          <w:lang w:eastAsia="en-GB"/>
        </w:rPr>
      </w:pPr>
      <w:r w:rsidRPr="00AF6991">
        <w:rPr>
          <w:rFonts w:cstheme="minorHAnsi"/>
          <w:b/>
          <w:sz w:val="24"/>
          <w:szCs w:val="24"/>
          <w:u w:val="single"/>
        </w:rPr>
        <w:lastRenderedPageBreak/>
        <w:t>Bibliography.</w:t>
      </w:r>
    </w:p>
    <w:p w14:paraId="27B37EB2" w14:textId="4E5D8D73" w:rsidR="003C0C04" w:rsidRDefault="003C0C04" w:rsidP="00F852C9">
      <w:pPr>
        <w:autoSpaceDE w:val="0"/>
        <w:autoSpaceDN w:val="0"/>
        <w:adjustRightInd w:val="0"/>
        <w:spacing w:after="0" w:line="480" w:lineRule="auto"/>
        <w:ind w:left="720" w:hanging="720"/>
        <w:rPr>
          <w:rFonts w:eastAsia="Times New Roman" w:cstheme="minorHAnsi"/>
          <w:bCs/>
          <w:sz w:val="24"/>
          <w:szCs w:val="24"/>
          <w:lang w:eastAsia="en-GB"/>
        </w:rPr>
      </w:pPr>
      <w:r>
        <w:rPr>
          <w:rFonts w:eastAsia="Times New Roman" w:cstheme="minorHAnsi"/>
          <w:bCs/>
          <w:sz w:val="24"/>
          <w:szCs w:val="24"/>
          <w:lang w:eastAsia="en-GB"/>
        </w:rPr>
        <w:t xml:space="preserve">Ackert, L. and Deaves, R (2010) </w:t>
      </w:r>
      <w:r>
        <w:rPr>
          <w:rFonts w:eastAsia="Times New Roman" w:cstheme="minorHAnsi"/>
          <w:bCs/>
          <w:i/>
          <w:iCs/>
          <w:sz w:val="24"/>
          <w:szCs w:val="24"/>
          <w:lang w:eastAsia="en-GB"/>
        </w:rPr>
        <w:t xml:space="preserve">Behavioural Finance: Psychology, Decision Making and Markets, </w:t>
      </w:r>
      <w:r>
        <w:rPr>
          <w:rFonts w:eastAsia="Times New Roman" w:cstheme="minorHAnsi"/>
          <w:bCs/>
          <w:sz w:val="24"/>
          <w:szCs w:val="24"/>
          <w:lang w:eastAsia="en-GB"/>
        </w:rPr>
        <w:t>South Western, Cengage Learning, USA.</w:t>
      </w:r>
    </w:p>
    <w:p w14:paraId="4AD82294" w14:textId="77777777" w:rsidR="005C5ED3" w:rsidRDefault="005C5ED3" w:rsidP="005C5ED3">
      <w:pPr>
        <w:autoSpaceDE w:val="0"/>
        <w:autoSpaceDN w:val="0"/>
        <w:adjustRightInd w:val="0"/>
        <w:spacing w:after="0" w:line="480" w:lineRule="auto"/>
        <w:ind w:left="720" w:hanging="720"/>
        <w:rPr>
          <w:rFonts w:eastAsia="Times New Roman" w:cstheme="minorHAnsi"/>
          <w:bCs/>
          <w:sz w:val="24"/>
          <w:szCs w:val="24"/>
          <w:lang w:eastAsia="en-GB"/>
        </w:rPr>
      </w:pPr>
      <w:r w:rsidRPr="00687C27">
        <w:rPr>
          <w:rFonts w:eastAsia="Times New Roman" w:cstheme="minorHAnsi"/>
          <w:bCs/>
          <w:sz w:val="24"/>
          <w:szCs w:val="24"/>
          <w:lang w:eastAsia="en-GB"/>
        </w:rPr>
        <w:t xml:space="preserve">Arthur C. (2016) </w:t>
      </w:r>
      <w:r w:rsidRPr="00687C27">
        <w:rPr>
          <w:rFonts w:eastAsia="Times New Roman" w:cstheme="minorHAnsi"/>
          <w:bCs/>
          <w:i/>
          <w:iCs/>
          <w:sz w:val="24"/>
          <w:szCs w:val="24"/>
          <w:lang w:eastAsia="en-GB"/>
        </w:rPr>
        <w:t>Financial Literacy Education as a Public Pedagogy: Consumerizing Economic Insecurity, Ethics and Democracy</w:t>
      </w:r>
      <w:r w:rsidRPr="00687C27">
        <w:rPr>
          <w:rFonts w:eastAsia="Times New Roman" w:cstheme="minorHAnsi"/>
          <w:bCs/>
          <w:sz w:val="24"/>
          <w:szCs w:val="24"/>
          <w:lang w:eastAsia="en-GB"/>
        </w:rPr>
        <w:t>. In: Aprea C. et al. (eds) International Handbook of Financial Literacy. Springer, Singapore. https://doi.org/10.1007/978-981-10-0360-8_9</w:t>
      </w:r>
    </w:p>
    <w:p w14:paraId="77D3D554" w14:textId="2C104DB4" w:rsidR="008F0302" w:rsidRPr="00AF6991" w:rsidRDefault="008F0302" w:rsidP="00F852C9">
      <w:pPr>
        <w:autoSpaceDE w:val="0"/>
        <w:autoSpaceDN w:val="0"/>
        <w:adjustRightInd w:val="0"/>
        <w:spacing w:after="0" w:line="480" w:lineRule="auto"/>
        <w:ind w:left="720" w:hanging="720"/>
        <w:rPr>
          <w:rFonts w:eastAsia="Times New Roman" w:cstheme="minorHAnsi"/>
          <w:bCs/>
          <w:sz w:val="24"/>
          <w:szCs w:val="24"/>
          <w:lang w:eastAsia="en-GB"/>
        </w:rPr>
      </w:pPr>
      <w:r w:rsidRPr="00AF6991">
        <w:rPr>
          <w:rFonts w:eastAsia="Times New Roman" w:cstheme="minorHAnsi"/>
          <w:bCs/>
          <w:sz w:val="24"/>
          <w:szCs w:val="24"/>
          <w:lang w:eastAsia="en-GB"/>
        </w:rPr>
        <w:t xml:space="preserve">Australian Securities &amp; Investments Commission (2010) </w:t>
      </w:r>
      <w:r w:rsidRPr="00AF6991">
        <w:rPr>
          <w:rFonts w:eastAsia="Times New Roman" w:cstheme="minorHAnsi"/>
          <w:bCs/>
          <w:i/>
          <w:sz w:val="24"/>
          <w:szCs w:val="24"/>
          <w:lang w:eastAsia="en-GB"/>
        </w:rPr>
        <w:t xml:space="preserve">Access to Financial Advice in Australia. </w:t>
      </w:r>
      <w:r w:rsidRPr="00AF6991">
        <w:rPr>
          <w:rFonts w:eastAsia="Times New Roman" w:cstheme="minorHAnsi"/>
          <w:bCs/>
          <w:sz w:val="24"/>
          <w:szCs w:val="24"/>
          <w:lang w:eastAsia="en-GB"/>
        </w:rPr>
        <w:t>Report 224, ASIC, Australia.</w:t>
      </w:r>
    </w:p>
    <w:p w14:paraId="04A42884" w14:textId="077F815A" w:rsidR="00E7438D" w:rsidRDefault="00E7438D" w:rsidP="00F852C9">
      <w:pPr>
        <w:autoSpaceDE w:val="0"/>
        <w:autoSpaceDN w:val="0"/>
        <w:adjustRightInd w:val="0"/>
        <w:spacing w:after="0" w:line="480" w:lineRule="auto"/>
        <w:ind w:left="720" w:hanging="720"/>
        <w:rPr>
          <w:rFonts w:eastAsia="Times New Roman" w:cstheme="minorHAnsi"/>
          <w:bCs/>
          <w:i/>
          <w:iCs/>
          <w:sz w:val="24"/>
          <w:szCs w:val="24"/>
          <w:lang w:eastAsia="en-GB"/>
        </w:rPr>
      </w:pPr>
      <w:r w:rsidRPr="00AF6991">
        <w:rPr>
          <w:rFonts w:eastAsia="Times New Roman" w:cstheme="minorHAnsi"/>
          <w:bCs/>
          <w:iCs/>
          <w:sz w:val="24"/>
          <w:szCs w:val="24"/>
          <w:lang w:eastAsia="en-GB"/>
        </w:rPr>
        <w:t xml:space="preserve">Bandura, A. (1977) </w:t>
      </w:r>
      <w:r w:rsidRPr="00AF6991">
        <w:rPr>
          <w:rFonts w:eastAsia="Times New Roman" w:cstheme="minorHAnsi"/>
          <w:bCs/>
          <w:i/>
          <w:iCs/>
          <w:sz w:val="24"/>
          <w:szCs w:val="24"/>
          <w:lang w:eastAsia="en-GB"/>
        </w:rPr>
        <w:t>Self-efficacy: Toward a unifying theory of behavioral change. Psychological Review, Vol 84(2), Mar 1977, 191-215</w:t>
      </w:r>
    </w:p>
    <w:p w14:paraId="60F5D5BC" w14:textId="77777777" w:rsidR="00FE7CDD" w:rsidRPr="00774851" w:rsidRDefault="00FE7CDD" w:rsidP="00FE7CDD">
      <w:pPr>
        <w:ind w:left="720" w:hanging="720"/>
        <w:rPr>
          <w:i/>
          <w:sz w:val="24"/>
          <w:szCs w:val="24"/>
        </w:rPr>
      </w:pPr>
      <w:r w:rsidRPr="00C759A3">
        <w:rPr>
          <w:sz w:val="24"/>
          <w:szCs w:val="24"/>
        </w:rPr>
        <w:t xml:space="preserve">Behavioural Insights Team (2014) </w:t>
      </w:r>
      <w:r w:rsidRPr="00C759A3">
        <w:rPr>
          <w:i/>
          <w:sz w:val="24"/>
          <w:szCs w:val="24"/>
        </w:rPr>
        <w:t xml:space="preserve">Pensions Passport, </w:t>
      </w:r>
      <w:hyperlink r:id="rId10" w:history="1">
        <w:r w:rsidRPr="00774851">
          <w:rPr>
            <w:rStyle w:val="Hyperlink"/>
            <w:i/>
            <w:color w:val="auto"/>
            <w:sz w:val="24"/>
            <w:szCs w:val="24"/>
          </w:rPr>
          <w:t>Pensions Passport | The Behavioural Insights Team (bi.team)</w:t>
        </w:r>
      </w:hyperlink>
    </w:p>
    <w:p w14:paraId="1919194A" w14:textId="77777777" w:rsidR="00A07528" w:rsidRPr="00A07528" w:rsidRDefault="00A07528" w:rsidP="00F852C9">
      <w:pPr>
        <w:spacing w:after="0" w:line="480" w:lineRule="auto"/>
        <w:ind w:left="720" w:hanging="720"/>
        <w:rPr>
          <w:rFonts w:cstheme="minorHAnsi"/>
          <w:sz w:val="24"/>
          <w:szCs w:val="24"/>
        </w:rPr>
      </w:pPr>
      <w:r>
        <w:rPr>
          <w:rFonts w:cstheme="minorHAnsi"/>
          <w:sz w:val="24"/>
          <w:szCs w:val="24"/>
        </w:rPr>
        <w:t xml:space="preserve">Berry, C (2015) </w:t>
      </w:r>
      <w:hyperlink r:id="rId11" w:tooltip="Citizenship in a financialised society: financial inclusion and the state before and after the crash" w:history="1">
        <w:r w:rsidRPr="00A07528">
          <w:rPr>
            <w:rStyle w:val="Hyperlink"/>
            <w:rFonts w:cstheme="minorHAnsi"/>
            <w:i/>
            <w:iCs/>
            <w:color w:val="auto"/>
            <w:sz w:val="24"/>
            <w:szCs w:val="24"/>
            <w:u w:val="none"/>
          </w:rPr>
          <w:t>Citizenship in a financialised society: financial inclusion and the state before and after the crash</w:t>
        </w:r>
      </w:hyperlink>
      <w:r>
        <w:rPr>
          <w:rFonts w:cstheme="minorHAnsi"/>
          <w:i/>
          <w:iCs/>
          <w:sz w:val="24"/>
          <w:szCs w:val="24"/>
        </w:rPr>
        <w:t xml:space="preserve">, </w:t>
      </w:r>
      <w:hyperlink r:id="rId12" w:tooltip="link to all issues of this title" w:history="1">
        <w:r w:rsidRPr="00A07528">
          <w:rPr>
            <w:rStyle w:val="Hyperlink"/>
            <w:rFonts w:cstheme="minorHAnsi"/>
            <w:color w:val="auto"/>
            <w:sz w:val="24"/>
            <w:szCs w:val="24"/>
            <w:u w:val="none"/>
          </w:rPr>
          <w:t>Policy &amp; Politics</w:t>
        </w:r>
      </w:hyperlink>
      <w:r w:rsidRPr="00A07528">
        <w:rPr>
          <w:rFonts w:cstheme="minorHAnsi"/>
          <w:sz w:val="24"/>
          <w:szCs w:val="24"/>
        </w:rPr>
        <w:t>, Volume 43, Number 4, October 2015, pp. 509-525(17)</w:t>
      </w:r>
    </w:p>
    <w:p w14:paraId="7622BB02" w14:textId="3712BE7E" w:rsidR="00C5086A" w:rsidRPr="00AF6991" w:rsidRDefault="00C5086A" w:rsidP="00F852C9">
      <w:pPr>
        <w:spacing w:line="480" w:lineRule="auto"/>
        <w:ind w:left="720" w:hanging="720"/>
        <w:rPr>
          <w:rStyle w:val="Hyperlink"/>
          <w:rFonts w:cstheme="minorHAnsi"/>
          <w:sz w:val="24"/>
          <w:szCs w:val="24"/>
        </w:rPr>
      </w:pPr>
      <w:r w:rsidRPr="00AF6991">
        <w:rPr>
          <w:rFonts w:cstheme="minorHAnsi"/>
          <w:sz w:val="24"/>
          <w:szCs w:val="24"/>
        </w:rPr>
        <w:t xml:space="preserve">Butler, M. (2017) </w:t>
      </w:r>
      <w:r w:rsidRPr="00AF6991">
        <w:rPr>
          <w:rFonts w:cstheme="minorHAnsi"/>
          <w:i/>
          <w:sz w:val="24"/>
          <w:szCs w:val="24"/>
        </w:rPr>
        <w:t>Assessing the value of financial advice</w:t>
      </w:r>
      <w:r w:rsidRPr="00AF6991">
        <w:rPr>
          <w:rFonts w:cstheme="minorHAnsi"/>
          <w:sz w:val="24"/>
          <w:szCs w:val="24"/>
        </w:rPr>
        <w:t>, Speech by Megan Butler, Director of Supervision - Investment, Wholesale and Specialists at the FCA, delivered to The Personal Investment Management and Financial Advice Association (PIMFA) in</w:t>
      </w:r>
      <w:r w:rsidRPr="00AF6991">
        <w:rPr>
          <w:rFonts w:cstheme="minorHAnsi"/>
          <w:i/>
          <w:sz w:val="24"/>
          <w:szCs w:val="24"/>
        </w:rPr>
        <w:t xml:space="preserve"> </w:t>
      </w:r>
      <w:r w:rsidRPr="00C40400">
        <w:rPr>
          <w:rFonts w:cstheme="minorHAnsi"/>
          <w:iCs/>
          <w:sz w:val="24"/>
          <w:szCs w:val="24"/>
        </w:rPr>
        <w:t>London</w:t>
      </w:r>
      <w:r w:rsidR="00C40400" w:rsidRPr="00C40400">
        <w:rPr>
          <w:rFonts w:cstheme="minorHAnsi"/>
          <w:iCs/>
          <w:sz w:val="24"/>
          <w:szCs w:val="24"/>
        </w:rPr>
        <w:t>, UK</w:t>
      </w:r>
      <w:r w:rsidR="00C40400">
        <w:rPr>
          <w:rFonts w:cstheme="minorHAnsi"/>
          <w:i/>
          <w:sz w:val="24"/>
          <w:szCs w:val="24"/>
        </w:rPr>
        <w:t xml:space="preserve"> </w:t>
      </w:r>
      <w:r w:rsidRPr="00AF6991">
        <w:rPr>
          <w:rFonts w:cstheme="minorHAnsi"/>
          <w:i/>
          <w:sz w:val="24"/>
          <w:szCs w:val="24"/>
        </w:rPr>
        <w:t>.</w:t>
      </w:r>
      <w:hyperlink r:id="rId13" w:history="1">
        <w:r w:rsidRPr="00AF6991">
          <w:rPr>
            <w:rStyle w:val="Hyperlink"/>
            <w:rFonts w:cstheme="minorHAnsi"/>
            <w:sz w:val="24"/>
            <w:szCs w:val="24"/>
          </w:rPr>
          <w:t>https://www.fca.org.uk/news/speeches/assessing-value-financial-advice</w:t>
        </w:r>
      </w:hyperlink>
    </w:p>
    <w:p w14:paraId="4C49CD4D" w14:textId="274BCA2D" w:rsidR="00C5086A" w:rsidRDefault="00C5086A" w:rsidP="00F852C9">
      <w:pPr>
        <w:autoSpaceDE w:val="0"/>
        <w:autoSpaceDN w:val="0"/>
        <w:adjustRightInd w:val="0"/>
        <w:spacing w:after="0" w:line="480" w:lineRule="auto"/>
        <w:ind w:left="720" w:hanging="720"/>
        <w:rPr>
          <w:rFonts w:eastAsia="Times New Roman" w:cstheme="minorHAnsi"/>
          <w:bCs/>
          <w:color w:val="000000"/>
          <w:sz w:val="24"/>
          <w:szCs w:val="24"/>
          <w:lang w:eastAsia="en-GB"/>
        </w:rPr>
      </w:pPr>
      <w:r w:rsidRPr="00AF6991">
        <w:rPr>
          <w:rFonts w:eastAsia="Times New Roman" w:cstheme="minorHAnsi"/>
          <w:color w:val="000000"/>
          <w:sz w:val="24"/>
          <w:szCs w:val="24"/>
          <w:lang w:val="en-US" w:eastAsia="en-GB"/>
        </w:rPr>
        <w:t>CFEB (2010)</w:t>
      </w:r>
      <w:r w:rsidRPr="00AF6991">
        <w:rPr>
          <w:rFonts w:eastAsia="Times New Roman" w:cstheme="minorHAnsi"/>
          <w:color w:val="000000"/>
          <w:sz w:val="24"/>
          <w:szCs w:val="24"/>
          <w:lang w:eastAsia="en-GB"/>
        </w:rPr>
        <w:t xml:space="preserve"> </w:t>
      </w:r>
      <w:r w:rsidRPr="00AF6991">
        <w:rPr>
          <w:rFonts w:eastAsia="Times New Roman" w:cstheme="minorHAnsi"/>
          <w:i/>
          <w:color w:val="000000"/>
          <w:sz w:val="24"/>
          <w:szCs w:val="24"/>
          <w:lang w:eastAsia="en-GB"/>
        </w:rPr>
        <w:t>Transforming Financial Behaviour: developing interventions that build financial capability.</w:t>
      </w:r>
      <w:r w:rsidRPr="00AF6991">
        <w:rPr>
          <w:rFonts w:eastAsia="Times New Roman" w:cstheme="minorHAnsi"/>
          <w:color w:val="000000"/>
          <w:sz w:val="24"/>
          <w:szCs w:val="24"/>
          <w:lang w:eastAsia="en-GB"/>
        </w:rPr>
        <w:t xml:space="preserve">  </w:t>
      </w:r>
      <w:r w:rsidRPr="00AF6991">
        <w:rPr>
          <w:rFonts w:eastAsia="Times New Roman" w:cstheme="minorHAnsi"/>
          <w:bCs/>
          <w:color w:val="000000"/>
          <w:sz w:val="24"/>
          <w:szCs w:val="24"/>
          <w:lang w:eastAsia="en-GB"/>
        </w:rPr>
        <w:t>Consumer Research Report 01</w:t>
      </w:r>
      <w:r w:rsidR="00361814">
        <w:rPr>
          <w:rFonts w:eastAsia="Times New Roman" w:cstheme="minorHAnsi"/>
          <w:bCs/>
          <w:color w:val="000000"/>
          <w:sz w:val="24"/>
          <w:szCs w:val="24"/>
          <w:lang w:eastAsia="en-GB"/>
        </w:rPr>
        <w:t xml:space="preserve">. </w:t>
      </w:r>
      <w:r w:rsidR="00361814" w:rsidRPr="00AF6991">
        <w:rPr>
          <w:rFonts w:eastAsia="Times New Roman" w:cstheme="minorHAnsi"/>
          <w:bCs/>
          <w:color w:val="000000"/>
          <w:sz w:val="24"/>
          <w:szCs w:val="24"/>
          <w:lang w:eastAsia="en-GB"/>
        </w:rPr>
        <w:t>CFEB</w:t>
      </w:r>
      <w:r w:rsidR="00361814">
        <w:rPr>
          <w:rFonts w:eastAsia="Times New Roman" w:cstheme="minorHAnsi"/>
          <w:bCs/>
          <w:color w:val="000000"/>
          <w:sz w:val="24"/>
          <w:szCs w:val="24"/>
          <w:lang w:eastAsia="en-GB"/>
        </w:rPr>
        <w:t>, London</w:t>
      </w:r>
      <w:r w:rsidR="00C40400">
        <w:rPr>
          <w:rFonts w:eastAsia="Times New Roman" w:cstheme="minorHAnsi"/>
          <w:bCs/>
          <w:color w:val="000000"/>
          <w:sz w:val="24"/>
          <w:szCs w:val="24"/>
          <w:lang w:eastAsia="en-GB"/>
        </w:rPr>
        <w:t>, UK</w:t>
      </w:r>
    </w:p>
    <w:p w14:paraId="0DDED226" w14:textId="73DEF508" w:rsidR="00F45FC5" w:rsidRPr="001E0283" w:rsidRDefault="00F45FC5" w:rsidP="00F852C9">
      <w:pPr>
        <w:autoSpaceDE w:val="0"/>
        <w:autoSpaceDN w:val="0"/>
        <w:adjustRightInd w:val="0"/>
        <w:spacing w:after="0" w:line="480" w:lineRule="auto"/>
        <w:ind w:left="720" w:hanging="720"/>
        <w:rPr>
          <w:rFonts w:eastAsia="Times New Roman" w:cstheme="minorHAnsi"/>
          <w:bCs/>
          <w:color w:val="000000"/>
          <w:sz w:val="24"/>
          <w:szCs w:val="24"/>
          <w:lang w:eastAsia="en-GB"/>
        </w:rPr>
      </w:pPr>
      <w:r>
        <w:rPr>
          <w:rFonts w:eastAsia="Times New Roman" w:cstheme="minorHAnsi"/>
          <w:bCs/>
          <w:color w:val="000000"/>
          <w:sz w:val="24"/>
          <w:szCs w:val="24"/>
          <w:lang w:eastAsia="en-GB"/>
        </w:rPr>
        <w:lastRenderedPageBreak/>
        <w:t xml:space="preserve">Cheug, C (2021) </w:t>
      </w:r>
      <w:r>
        <w:rPr>
          <w:rFonts w:eastAsia="Times New Roman" w:cstheme="minorHAnsi"/>
          <w:bCs/>
          <w:i/>
          <w:iCs/>
          <w:color w:val="000000"/>
          <w:sz w:val="24"/>
          <w:szCs w:val="24"/>
          <w:lang w:eastAsia="en-GB"/>
        </w:rPr>
        <w:t>Three in five financial planners</w:t>
      </w:r>
      <w:r w:rsidR="001E0283">
        <w:rPr>
          <w:rFonts w:eastAsia="Times New Roman" w:cstheme="minorHAnsi"/>
          <w:bCs/>
          <w:i/>
          <w:iCs/>
          <w:color w:val="000000"/>
          <w:sz w:val="24"/>
          <w:szCs w:val="24"/>
          <w:lang w:eastAsia="en-GB"/>
        </w:rPr>
        <w:t xml:space="preserve"> looking to sell,</w:t>
      </w:r>
      <w:r w:rsidR="001E0283">
        <w:rPr>
          <w:rFonts w:eastAsia="Times New Roman" w:cstheme="minorHAnsi"/>
          <w:bCs/>
          <w:color w:val="000000"/>
          <w:sz w:val="24"/>
          <w:szCs w:val="24"/>
          <w:lang w:eastAsia="en-GB"/>
        </w:rPr>
        <w:t xml:space="preserve"> FT Adviser, Financial Times, London</w:t>
      </w:r>
      <w:r w:rsidR="00F61068">
        <w:rPr>
          <w:rFonts w:eastAsia="Times New Roman" w:cstheme="minorHAnsi"/>
          <w:bCs/>
          <w:color w:val="000000"/>
          <w:sz w:val="24"/>
          <w:szCs w:val="24"/>
          <w:lang w:eastAsia="en-GB"/>
        </w:rPr>
        <w:t>, UK</w:t>
      </w:r>
      <w:r w:rsidR="001E0283">
        <w:rPr>
          <w:rFonts w:eastAsia="Times New Roman" w:cstheme="minorHAnsi"/>
          <w:bCs/>
          <w:color w:val="000000"/>
          <w:sz w:val="24"/>
          <w:szCs w:val="24"/>
          <w:lang w:eastAsia="en-GB"/>
        </w:rPr>
        <w:t>.</w:t>
      </w:r>
    </w:p>
    <w:p w14:paraId="16EE5A50" w14:textId="29713A3C" w:rsidR="000D6B0F" w:rsidRPr="00AF6991" w:rsidRDefault="00375B95" w:rsidP="00F852C9">
      <w:pPr>
        <w:autoSpaceDE w:val="0"/>
        <w:autoSpaceDN w:val="0"/>
        <w:adjustRightInd w:val="0"/>
        <w:spacing w:after="0" w:line="480" w:lineRule="auto"/>
        <w:ind w:left="720" w:hanging="720"/>
        <w:rPr>
          <w:rFonts w:eastAsia="Times New Roman" w:cstheme="minorHAnsi"/>
          <w:color w:val="000000"/>
          <w:sz w:val="24"/>
          <w:szCs w:val="24"/>
          <w:lang w:val="en-US" w:eastAsia="en-GB"/>
        </w:rPr>
      </w:pPr>
      <w:r w:rsidRPr="00AF6991">
        <w:rPr>
          <w:rFonts w:eastAsia="Times New Roman" w:cstheme="minorHAnsi"/>
          <w:bCs/>
          <w:color w:val="000000"/>
          <w:sz w:val="24"/>
          <w:szCs w:val="24"/>
          <w:lang w:eastAsia="en-GB"/>
        </w:rPr>
        <w:t>CII</w:t>
      </w:r>
      <w:r w:rsidR="000D6B0F" w:rsidRPr="00AF6991">
        <w:rPr>
          <w:rFonts w:eastAsia="Times New Roman" w:cstheme="minorHAnsi"/>
          <w:bCs/>
          <w:color w:val="000000"/>
          <w:sz w:val="24"/>
          <w:szCs w:val="24"/>
          <w:lang w:eastAsia="en-GB"/>
        </w:rPr>
        <w:t xml:space="preserve"> (2006) </w:t>
      </w:r>
      <w:r w:rsidR="000D6B0F" w:rsidRPr="00AF6991">
        <w:rPr>
          <w:rFonts w:eastAsia="Times New Roman" w:cstheme="minorHAnsi"/>
          <w:bCs/>
          <w:i/>
          <w:color w:val="000000"/>
          <w:sz w:val="24"/>
          <w:szCs w:val="24"/>
          <w:lang w:eastAsia="en-GB"/>
        </w:rPr>
        <w:t>Integrated Financial Planning,</w:t>
      </w:r>
      <w:r w:rsidR="000D6B0F" w:rsidRPr="00AF6991">
        <w:rPr>
          <w:rFonts w:eastAsia="Times New Roman" w:cstheme="minorHAnsi"/>
          <w:bCs/>
          <w:i/>
          <w:iCs/>
          <w:color w:val="000000"/>
          <w:sz w:val="24"/>
          <w:szCs w:val="24"/>
          <w:lang w:val="en-US" w:eastAsia="en-GB"/>
        </w:rPr>
        <w:t xml:space="preserve"> CF5 Course Book, </w:t>
      </w:r>
      <w:r w:rsidR="000D6B0F" w:rsidRPr="00AF6991">
        <w:rPr>
          <w:rFonts w:eastAsia="Times New Roman" w:cstheme="minorHAnsi"/>
          <w:bCs/>
          <w:color w:val="000000"/>
          <w:sz w:val="24"/>
          <w:szCs w:val="24"/>
          <w:lang w:eastAsia="en-GB"/>
        </w:rPr>
        <w:t>CII Learning Solutions, Great Britain.</w:t>
      </w:r>
    </w:p>
    <w:p w14:paraId="510B799E" w14:textId="79F87305" w:rsidR="00AC1BC2" w:rsidRPr="00AF6991" w:rsidRDefault="000D6B0F" w:rsidP="00F852C9">
      <w:pPr>
        <w:spacing w:after="0" w:line="480" w:lineRule="auto"/>
        <w:ind w:left="720" w:hanging="720"/>
        <w:rPr>
          <w:rFonts w:eastAsia="Times New Roman" w:cstheme="minorHAnsi"/>
          <w:sz w:val="24"/>
          <w:szCs w:val="24"/>
        </w:rPr>
      </w:pPr>
      <w:r w:rsidRPr="00AF6991">
        <w:rPr>
          <w:rFonts w:eastAsia="Times New Roman" w:cstheme="minorHAnsi"/>
          <w:sz w:val="24"/>
          <w:szCs w:val="24"/>
        </w:rPr>
        <w:t>CII</w:t>
      </w:r>
      <w:r w:rsidR="00AF2A4F" w:rsidRPr="00AF6991">
        <w:rPr>
          <w:rFonts w:eastAsia="Times New Roman" w:cstheme="minorHAnsi"/>
          <w:sz w:val="24"/>
          <w:szCs w:val="24"/>
        </w:rPr>
        <w:t xml:space="preserve"> (2011) </w:t>
      </w:r>
      <w:r w:rsidR="00AF2A4F" w:rsidRPr="00AF6991">
        <w:rPr>
          <w:rFonts w:eastAsia="Times New Roman" w:cstheme="minorHAnsi"/>
          <w:i/>
          <w:sz w:val="24"/>
          <w:szCs w:val="24"/>
        </w:rPr>
        <w:t>Financial Capability: The Money Advice Service and educating the public on RDR.</w:t>
      </w:r>
      <w:r w:rsidR="00AF2A4F" w:rsidRPr="00AF6991">
        <w:rPr>
          <w:rFonts w:eastAsia="Times New Roman" w:cstheme="minorHAnsi"/>
          <w:sz w:val="24"/>
          <w:szCs w:val="24"/>
        </w:rPr>
        <w:t xml:space="preserve"> Chartered Insurance Ins</w:t>
      </w:r>
      <w:r w:rsidR="00B33CB2" w:rsidRPr="00AF6991">
        <w:rPr>
          <w:rFonts w:eastAsia="Times New Roman" w:cstheme="minorHAnsi"/>
          <w:sz w:val="24"/>
          <w:szCs w:val="24"/>
        </w:rPr>
        <w:t>t</w:t>
      </w:r>
      <w:r w:rsidR="00AF2A4F" w:rsidRPr="00AF6991">
        <w:rPr>
          <w:rFonts w:eastAsia="Times New Roman" w:cstheme="minorHAnsi"/>
          <w:sz w:val="24"/>
          <w:szCs w:val="24"/>
        </w:rPr>
        <w:t>itute</w:t>
      </w:r>
      <w:r w:rsidR="00361814">
        <w:rPr>
          <w:rFonts w:eastAsia="Times New Roman" w:cstheme="minorHAnsi"/>
          <w:sz w:val="24"/>
          <w:szCs w:val="24"/>
        </w:rPr>
        <w:t xml:space="preserve">, London, </w:t>
      </w:r>
      <w:r w:rsidR="00F61068">
        <w:rPr>
          <w:rFonts w:eastAsia="Times New Roman" w:cstheme="minorHAnsi"/>
          <w:sz w:val="24"/>
          <w:szCs w:val="24"/>
        </w:rPr>
        <w:t>UK</w:t>
      </w:r>
      <w:r w:rsidR="00AF2A4F" w:rsidRPr="00AF6991">
        <w:rPr>
          <w:rFonts w:eastAsia="Times New Roman" w:cstheme="minorHAnsi"/>
          <w:sz w:val="24"/>
          <w:szCs w:val="24"/>
        </w:rPr>
        <w:t>.</w:t>
      </w:r>
    </w:p>
    <w:p w14:paraId="4332338D" w14:textId="77777777" w:rsidR="004844B5" w:rsidRPr="00AF6991" w:rsidRDefault="004844B5" w:rsidP="00F852C9">
      <w:pPr>
        <w:spacing w:after="0" w:line="480" w:lineRule="auto"/>
        <w:ind w:left="720" w:hanging="720"/>
        <w:rPr>
          <w:rFonts w:cstheme="minorHAnsi"/>
          <w:i/>
          <w:sz w:val="24"/>
          <w:szCs w:val="24"/>
        </w:rPr>
      </w:pPr>
      <w:r w:rsidRPr="00AF6991">
        <w:rPr>
          <w:rFonts w:cstheme="minorHAnsi"/>
          <w:sz w:val="24"/>
          <w:szCs w:val="24"/>
        </w:rPr>
        <w:t xml:space="preserve">Clasen, J. (2015) </w:t>
      </w:r>
      <w:r w:rsidRPr="00AF6991">
        <w:rPr>
          <w:rFonts w:cstheme="minorHAnsi"/>
          <w:i/>
          <w:sz w:val="24"/>
          <w:szCs w:val="24"/>
        </w:rPr>
        <w:t>Income Security During Sickness Absence. What Do British</w:t>
      </w:r>
    </w:p>
    <w:p w14:paraId="77F076BF" w14:textId="07510EFC" w:rsidR="004844B5" w:rsidRPr="00AF6991" w:rsidRDefault="004844B5" w:rsidP="00F852C9">
      <w:pPr>
        <w:spacing w:after="0" w:line="480" w:lineRule="auto"/>
        <w:ind w:left="720"/>
        <w:rPr>
          <w:rFonts w:cstheme="minorHAnsi"/>
          <w:sz w:val="24"/>
          <w:szCs w:val="24"/>
        </w:rPr>
      </w:pPr>
      <w:r w:rsidRPr="00AF6991">
        <w:rPr>
          <w:rFonts w:cstheme="minorHAnsi"/>
          <w:i/>
          <w:sz w:val="24"/>
          <w:szCs w:val="24"/>
        </w:rPr>
        <w:t xml:space="preserve">Middle-classes Do? </w:t>
      </w:r>
      <w:r w:rsidRPr="00AF6991">
        <w:rPr>
          <w:rFonts w:cstheme="minorHAnsi"/>
          <w:sz w:val="24"/>
          <w:szCs w:val="24"/>
        </w:rPr>
        <w:t>SOCIAL POLICY &amp;</w:t>
      </w:r>
      <w:r w:rsidR="002554DA" w:rsidRPr="00AF6991">
        <w:rPr>
          <w:rFonts w:cstheme="minorHAnsi"/>
          <w:sz w:val="24"/>
          <w:szCs w:val="24"/>
        </w:rPr>
        <w:t xml:space="preserve"> ADMINISTRATION ISSN March</w:t>
      </w:r>
      <w:r w:rsidRPr="00AF6991">
        <w:rPr>
          <w:rFonts w:cstheme="minorHAnsi"/>
          <w:sz w:val="24"/>
          <w:szCs w:val="24"/>
        </w:rPr>
        <w:t xml:space="preserve"> 2016, PP.1–18</w:t>
      </w:r>
    </w:p>
    <w:p w14:paraId="76FD08E4" w14:textId="0D99712D" w:rsidR="00E7438D" w:rsidRDefault="00E7438D" w:rsidP="00F852C9">
      <w:pPr>
        <w:spacing w:after="0" w:line="480" w:lineRule="auto"/>
        <w:ind w:left="720" w:hanging="720"/>
        <w:rPr>
          <w:rFonts w:cstheme="minorHAnsi"/>
          <w:sz w:val="24"/>
          <w:szCs w:val="24"/>
          <w:lang w:val="en-US"/>
        </w:rPr>
      </w:pPr>
      <w:r w:rsidRPr="00AF6991">
        <w:rPr>
          <w:rFonts w:cstheme="minorHAnsi"/>
          <w:sz w:val="24"/>
          <w:szCs w:val="24"/>
          <w:lang w:val="en-US"/>
        </w:rPr>
        <w:t xml:space="preserve">Conner, M. and Norman, P., (2008) </w:t>
      </w:r>
      <w:r w:rsidRPr="00AF6991">
        <w:rPr>
          <w:rFonts w:cstheme="minorHAnsi"/>
          <w:i/>
          <w:sz w:val="24"/>
          <w:szCs w:val="24"/>
          <w:lang w:val="en-US"/>
        </w:rPr>
        <w:t xml:space="preserve">Predicting Health Behaviour. </w:t>
      </w:r>
      <w:r w:rsidRPr="00AF6991">
        <w:rPr>
          <w:rFonts w:cstheme="minorHAnsi"/>
          <w:sz w:val="24"/>
          <w:szCs w:val="24"/>
          <w:lang w:val="en-US"/>
        </w:rPr>
        <w:t>Open University Press. Maidenhead</w:t>
      </w:r>
      <w:r w:rsidR="00361814">
        <w:rPr>
          <w:rFonts w:cstheme="minorHAnsi"/>
          <w:sz w:val="24"/>
          <w:szCs w:val="24"/>
          <w:lang w:val="en-US"/>
        </w:rPr>
        <w:t>, England</w:t>
      </w:r>
      <w:r w:rsidRPr="00AF6991">
        <w:rPr>
          <w:rFonts w:cstheme="minorHAnsi"/>
          <w:sz w:val="24"/>
          <w:szCs w:val="24"/>
          <w:lang w:val="en-US"/>
        </w:rPr>
        <w:t>.</w:t>
      </w:r>
    </w:p>
    <w:p w14:paraId="543A2EAE" w14:textId="6F1AE67F" w:rsidR="002C3F3D" w:rsidRPr="002C3F3D" w:rsidRDefault="002C3F3D" w:rsidP="00F852C9">
      <w:pPr>
        <w:spacing w:line="480" w:lineRule="auto"/>
        <w:ind w:left="720" w:hanging="720"/>
        <w:rPr>
          <w:rFonts w:eastAsia="Times New Roman" w:cstheme="minorHAnsi"/>
          <w:sz w:val="24"/>
          <w:szCs w:val="24"/>
        </w:rPr>
      </w:pPr>
      <w:r w:rsidRPr="00BD53A4">
        <w:rPr>
          <w:rFonts w:eastAsia="Times New Roman" w:cstheme="minorHAnsi"/>
          <w:sz w:val="24"/>
          <w:szCs w:val="24"/>
        </w:rPr>
        <w:t xml:space="preserve">Craig J </w:t>
      </w:r>
      <w:r>
        <w:rPr>
          <w:rFonts w:eastAsia="Times New Roman" w:cstheme="minorHAnsi"/>
          <w:sz w:val="24"/>
          <w:szCs w:val="24"/>
        </w:rPr>
        <w:t>(</w:t>
      </w:r>
      <w:r w:rsidRPr="00BD53A4">
        <w:rPr>
          <w:rFonts w:eastAsia="Times New Roman" w:cstheme="minorHAnsi"/>
          <w:sz w:val="24"/>
          <w:szCs w:val="24"/>
        </w:rPr>
        <w:t>2017</w:t>
      </w:r>
      <w:r>
        <w:rPr>
          <w:rFonts w:eastAsia="Times New Roman" w:cstheme="minorHAnsi"/>
          <w:sz w:val="24"/>
          <w:szCs w:val="24"/>
        </w:rPr>
        <w:t>)</w:t>
      </w:r>
      <w:r w:rsidRPr="00BD53A4">
        <w:rPr>
          <w:rFonts w:eastAsia="Times New Roman" w:cstheme="minorHAnsi"/>
          <w:sz w:val="24"/>
          <w:szCs w:val="24"/>
        </w:rPr>
        <w:t xml:space="preserve"> </w:t>
      </w:r>
      <w:r w:rsidRPr="002C3F3D">
        <w:rPr>
          <w:rFonts w:eastAsia="Times New Roman" w:cstheme="minorHAnsi"/>
          <w:i/>
          <w:iCs/>
          <w:sz w:val="24"/>
          <w:szCs w:val="24"/>
        </w:rPr>
        <w:t>Financial Advice and Guidance: Qualitative research</w:t>
      </w:r>
      <w:r>
        <w:rPr>
          <w:rFonts w:eastAsia="Times New Roman" w:cstheme="minorHAnsi"/>
          <w:sz w:val="24"/>
          <w:szCs w:val="24"/>
        </w:rPr>
        <w:t xml:space="preserve"> to </w:t>
      </w:r>
      <w:r w:rsidRPr="002C3F3D">
        <w:rPr>
          <w:rFonts w:eastAsia="Times New Roman" w:cstheme="minorHAnsi"/>
          <w:i/>
          <w:iCs/>
          <w:sz w:val="24"/>
          <w:szCs w:val="24"/>
        </w:rPr>
        <w:t xml:space="preserve">inform the Financial Advice Review (FAMR) Baseline, </w:t>
      </w:r>
      <w:r>
        <w:rPr>
          <w:rFonts w:eastAsia="Times New Roman" w:cstheme="minorHAnsi"/>
          <w:sz w:val="24"/>
          <w:szCs w:val="24"/>
        </w:rPr>
        <w:t>NMG Consulting, London</w:t>
      </w:r>
      <w:r w:rsidR="00361814">
        <w:rPr>
          <w:rFonts w:eastAsia="Times New Roman" w:cstheme="minorHAnsi"/>
          <w:sz w:val="24"/>
          <w:szCs w:val="24"/>
        </w:rPr>
        <w:t>, England</w:t>
      </w:r>
      <w:r>
        <w:rPr>
          <w:rFonts w:eastAsia="Times New Roman" w:cstheme="minorHAnsi"/>
          <w:sz w:val="24"/>
          <w:szCs w:val="24"/>
        </w:rPr>
        <w:t>.</w:t>
      </w:r>
    </w:p>
    <w:p w14:paraId="5F086503" w14:textId="77777777" w:rsidR="003E6EA3" w:rsidRPr="00AF6991" w:rsidRDefault="003E6EA3" w:rsidP="00F852C9">
      <w:pPr>
        <w:spacing w:after="0" w:line="480" w:lineRule="auto"/>
        <w:ind w:left="720" w:hanging="720"/>
        <w:rPr>
          <w:rFonts w:eastAsia="Times New Roman" w:cstheme="minorHAnsi"/>
          <w:bCs/>
          <w:i/>
          <w:iCs/>
          <w:sz w:val="24"/>
          <w:szCs w:val="24"/>
          <w:lang w:val="en"/>
        </w:rPr>
      </w:pPr>
      <w:r w:rsidRPr="00AF6991">
        <w:rPr>
          <w:rFonts w:eastAsia="Times New Roman" w:cstheme="minorHAnsi"/>
          <w:bCs/>
          <w:iCs/>
          <w:sz w:val="24"/>
          <w:szCs w:val="24"/>
          <w:lang w:val="en"/>
        </w:rPr>
        <w:t xml:space="preserve">Devlin, J. (2014) </w:t>
      </w:r>
      <w:r w:rsidRPr="00AF6991">
        <w:rPr>
          <w:rFonts w:eastAsia="Times New Roman" w:cstheme="minorHAnsi"/>
          <w:bCs/>
          <w:i/>
          <w:iCs/>
          <w:sz w:val="24"/>
          <w:szCs w:val="24"/>
          <w:lang w:val="en"/>
        </w:rPr>
        <w:t>Financial trust is on the up,</w:t>
      </w:r>
    </w:p>
    <w:p w14:paraId="60180605" w14:textId="1847292E" w:rsidR="003E6EA3" w:rsidRDefault="00000000" w:rsidP="00F852C9">
      <w:pPr>
        <w:spacing w:after="0" w:line="480" w:lineRule="auto"/>
        <w:ind w:left="720"/>
        <w:rPr>
          <w:rStyle w:val="Hyperlink"/>
          <w:rFonts w:eastAsia="Times New Roman" w:cstheme="minorHAnsi"/>
          <w:bCs/>
          <w:iCs/>
          <w:color w:val="auto"/>
          <w:sz w:val="24"/>
          <w:szCs w:val="24"/>
          <w:lang w:val="en"/>
        </w:rPr>
      </w:pPr>
      <w:hyperlink r:id="rId14" w:history="1">
        <w:r w:rsidR="00AC1BC2" w:rsidRPr="00AF6991">
          <w:rPr>
            <w:rStyle w:val="Hyperlink"/>
            <w:rFonts w:eastAsia="Times New Roman" w:cstheme="minorHAnsi"/>
            <w:bCs/>
            <w:iCs/>
            <w:color w:val="auto"/>
            <w:sz w:val="24"/>
            <w:szCs w:val="24"/>
            <w:lang w:val="en"/>
          </w:rPr>
          <w:t>http://www.nottingham.ac.uk/business/news/financial-trust-is-on-the-up.aspx</w:t>
        </w:r>
      </w:hyperlink>
    </w:p>
    <w:p w14:paraId="0E335A95" w14:textId="77777777" w:rsidR="00E42AA6" w:rsidRPr="00297DD8" w:rsidRDefault="00E42AA6" w:rsidP="00F852C9">
      <w:pPr>
        <w:spacing w:line="480" w:lineRule="auto"/>
        <w:ind w:left="720" w:hanging="720"/>
        <w:rPr>
          <w:rFonts w:cstheme="minorHAnsi"/>
          <w:sz w:val="24"/>
          <w:szCs w:val="24"/>
        </w:rPr>
      </w:pPr>
      <w:r w:rsidRPr="00297DD8">
        <w:rPr>
          <w:rFonts w:cstheme="minorHAnsi"/>
          <w:sz w:val="24"/>
          <w:szCs w:val="24"/>
        </w:rPr>
        <w:t xml:space="preserve">Dolan, P., Hallsworth, M., Halpern, D., King, D., &amp; Vlaev, I. (2010) </w:t>
      </w:r>
      <w:r w:rsidRPr="00297DD8">
        <w:rPr>
          <w:rFonts w:cstheme="minorHAnsi"/>
          <w:i/>
          <w:iCs/>
          <w:sz w:val="24"/>
          <w:szCs w:val="24"/>
        </w:rPr>
        <w:t>MINDSPACE: Influencing behaviour through public policy</w:t>
      </w:r>
      <w:r>
        <w:rPr>
          <w:rFonts w:cstheme="minorHAnsi"/>
          <w:i/>
          <w:iCs/>
          <w:sz w:val="24"/>
          <w:szCs w:val="24"/>
        </w:rPr>
        <w:t>,</w:t>
      </w:r>
      <w:r w:rsidRPr="00297DD8">
        <w:rPr>
          <w:rFonts w:cstheme="minorHAnsi"/>
          <w:sz w:val="24"/>
          <w:szCs w:val="24"/>
        </w:rPr>
        <w:t xml:space="preserve"> Report for the Cabinet Office, UK.</w:t>
      </w:r>
    </w:p>
    <w:p w14:paraId="14ABD72B" w14:textId="40795E6D" w:rsidR="00AF2A4F" w:rsidRDefault="00E73CFA" w:rsidP="00F852C9">
      <w:pPr>
        <w:spacing w:after="0" w:line="480" w:lineRule="auto"/>
        <w:ind w:left="720" w:hanging="720"/>
        <w:rPr>
          <w:rFonts w:eastAsia="Times New Roman" w:cstheme="minorHAnsi"/>
          <w:sz w:val="24"/>
          <w:szCs w:val="24"/>
          <w:lang w:eastAsia="en-GB"/>
        </w:rPr>
      </w:pPr>
      <w:r w:rsidRPr="00AF6991">
        <w:rPr>
          <w:rFonts w:eastAsia="Times New Roman" w:cstheme="minorHAnsi"/>
          <w:sz w:val="24"/>
          <w:szCs w:val="24"/>
          <w:lang w:eastAsia="en-GB"/>
        </w:rPr>
        <w:t>DWP</w:t>
      </w:r>
      <w:r w:rsidR="009B7CE7" w:rsidRPr="00AF6991">
        <w:rPr>
          <w:rFonts w:eastAsia="Times New Roman" w:cstheme="minorHAnsi"/>
          <w:sz w:val="24"/>
          <w:szCs w:val="24"/>
          <w:lang w:eastAsia="en-GB"/>
        </w:rPr>
        <w:t xml:space="preserve"> (2011)</w:t>
      </w:r>
      <w:r w:rsidR="00AF2A4F" w:rsidRPr="00AF6991">
        <w:rPr>
          <w:rFonts w:eastAsia="Times New Roman" w:cstheme="minorHAnsi"/>
          <w:sz w:val="24"/>
          <w:szCs w:val="24"/>
          <w:lang w:eastAsia="en-GB"/>
        </w:rPr>
        <w:t xml:space="preserve"> </w:t>
      </w:r>
      <w:r w:rsidR="00AF2A4F" w:rsidRPr="00AF6991">
        <w:rPr>
          <w:rFonts w:eastAsia="Times New Roman" w:cstheme="minorHAnsi"/>
          <w:i/>
          <w:sz w:val="24"/>
          <w:szCs w:val="24"/>
          <w:lang w:eastAsia="en-GB"/>
        </w:rPr>
        <w:t xml:space="preserve">Evaluation of DWP Financial Champions Initiative. Final Report. CSP614. </w:t>
      </w:r>
      <w:r w:rsidR="00AF2A4F" w:rsidRPr="00AF6991">
        <w:rPr>
          <w:rFonts w:eastAsia="Times New Roman" w:cstheme="minorHAnsi"/>
          <w:sz w:val="24"/>
          <w:szCs w:val="24"/>
          <w:lang w:eastAsia="en-GB"/>
        </w:rPr>
        <w:t>Centre for Research in Social Policy. Loughborough University</w:t>
      </w:r>
      <w:r w:rsidR="00F61068">
        <w:rPr>
          <w:rFonts w:eastAsia="Times New Roman" w:cstheme="minorHAnsi"/>
          <w:sz w:val="24"/>
          <w:szCs w:val="24"/>
          <w:lang w:eastAsia="en-GB"/>
        </w:rPr>
        <w:t>, Loughborough,UK.</w:t>
      </w:r>
    </w:p>
    <w:p w14:paraId="76363DAE" w14:textId="77777777" w:rsidR="00FE7CDD" w:rsidRPr="00C759A3" w:rsidRDefault="00FE7CDD" w:rsidP="00FE7CDD">
      <w:pPr>
        <w:ind w:left="720" w:hanging="720"/>
        <w:rPr>
          <w:sz w:val="24"/>
          <w:szCs w:val="24"/>
        </w:rPr>
      </w:pPr>
      <w:r w:rsidRPr="00C759A3">
        <w:rPr>
          <w:sz w:val="24"/>
          <w:szCs w:val="24"/>
        </w:rPr>
        <w:t xml:space="preserve">DWP (2020) </w:t>
      </w:r>
      <w:r w:rsidRPr="00C759A3">
        <w:rPr>
          <w:i/>
          <w:iCs/>
          <w:sz w:val="24"/>
          <w:szCs w:val="24"/>
        </w:rPr>
        <w:t xml:space="preserve">The Stronger Nudge to Pensions Guidance, </w:t>
      </w:r>
      <w:r w:rsidRPr="00C759A3">
        <w:rPr>
          <w:sz w:val="24"/>
          <w:szCs w:val="24"/>
        </w:rPr>
        <w:t xml:space="preserve">Department of Work and Pensions, London, UK </w:t>
      </w:r>
    </w:p>
    <w:p w14:paraId="2B7D9476" w14:textId="77777777" w:rsidR="00E42AA6" w:rsidRPr="00297DD8" w:rsidRDefault="00E42AA6" w:rsidP="00F852C9">
      <w:pPr>
        <w:spacing w:line="480" w:lineRule="auto"/>
        <w:ind w:left="720" w:hanging="720"/>
        <w:rPr>
          <w:rFonts w:cstheme="minorHAnsi"/>
          <w:sz w:val="24"/>
          <w:szCs w:val="24"/>
        </w:rPr>
      </w:pPr>
      <w:r>
        <w:rPr>
          <w:rFonts w:cstheme="minorHAnsi"/>
          <w:sz w:val="24"/>
          <w:szCs w:val="24"/>
        </w:rPr>
        <w:t xml:space="preserve">Engel, J.F., Blackwell, R. D. and Miniard, P. W. (1995) </w:t>
      </w:r>
      <w:r>
        <w:rPr>
          <w:rFonts w:cstheme="minorHAnsi"/>
          <w:i/>
          <w:iCs/>
          <w:sz w:val="24"/>
          <w:szCs w:val="24"/>
        </w:rPr>
        <w:t xml:space="preserve">Consumer Behaviour, </w:t>
      </w:r>
      <w:r>
        <w:rPr>
          <w:rFonts w:cstheme="minorHAnsi"/>
          <w:sz w:val="24"/>
          <w:szCs w:val="24"/>
        </w:rPr>
        <w:t>The Dryden Press, Florida, USA.</w:t>
      </w:r>
    </w:p>
    <w:p w14:paraId="1F6A4EEF" w14:textId="77777777" w:rsidR="00D2546E" w:rsidRPr="00AF6991" w:rsidRDefault="00D2546E" w:rsidP="00F852C9">
      <w:pPr>
        <w:spacing w:after="0" w:line="480" w:lineRule="auto"/>
        <w:ind w:left="720" w:hanging="720"/>
        <w:rPr>
          <w:rFonts w:cstheme="minorHAnsi"/>
          <w:sz w:val="24"/>
          <w:szCs w:val="24"/>
        </w:rPr>
      </w:pPr>
      <w:r w:rsidRPr="00AF6991">
        <w:rPr>
          <w:rFonts w:cstheme="minorHAnsi"/>
          <w:sz w:val="24"/>
          <w:szCs w:val="24"/>
        </w:rPr>
        <w:t xml:space="preserve">Ennew, C. (2009) </w:t>
      </w:r>
      <w:r w:rsidRPr="00AF6991">
        <w:rPr>
          <w:rFonts w:cstheme="minorHAnsi"/>
          <w:i/>
          <w:sz w:val="24"/>
          <w:szCs w:val="24"/>
        </w:rPr>
        <w:t xml:space="preserve">The Financial Services Trust Index. </w:t>
      </w:r>
      <w:r w:rsidRPr="00AF6991">
        <w:rPr>
          <w:rFonts w:cstheme="minorHAnsi"/>
          <w:sz w:val="24"/>
          <w:szCs w:val="24"/>
        </w:rPr>
        <w:t>University of Nottingham.</w:t>
      </w:r>
    </w:p>
    <w:p w14:paraId="4C62F726" w14:textId="22E454FC" w:rsidR="00C358F6" w:rsidRDefault="002E46E2" w:rsidP="00F852C9">
      <w:pPr>
        <w:spacing w:after="0" w:line="480" w:lineRule="auto"/>
        <w:ind w:left="720" w:hanging="720"/>
        <w:rPr>
          <w:rFonts w:cstheme="minorHAnsi"/>
          <w:color w:val="333333"/>
          <w:sz w:val="24"/>
          <w:szCs w:val="24"/>
        </w:rPr>
      </w:pPr>
      <w:r w:rsidRPr="00AF6991">
        <w:rPr>
          <w:rFonts w:cstheme="minorHAnsi"/>
          <w:color w:val="333333"/>
          <w:sz w:val="24"/>
          <w:szCs w:val="24"/>
        </w:rPr>
        <w:lastRenderedPageBreak/>
        <w:t xml:space="preserve">Europe Economics (2014) </w:t>
      </w:r>
      <w:r w:rsidRPr="00AF6991">
        <w:rPr>
          <w:rFonts w:cstheme="minorHAnsi"/>
          <w:i/>
          <w:color w:val="333333"/>
          <w:sz w:val="24"/>
          <w:szCs w:val="24"/>
        </w:rPr>
        <w:t xml:space="preserve">Retail Distribution Review Post Implementation Review, </w:t>
      </w:r>
      <w:r w:rsidRPr="00AF6991">
        <w:rPr>
          <w:rFonts w:cstheme="minorHAnsi"/>
          <w:color w:val="333333"/>
          <w:sz w:val="24"/>
          <w:szCs w:val="24"/>
        </w:rPr>
        <w:t>Europe Economics, London</w:t>
      </w:r>
      <w:r w:rsidR="00F61068">
        <w:rPr>
          <w:rFonts w:cstheme="minorHAnsi"/>
          <w:color w:val="333333"/>
          <w:sz w:val="24"/>
          <w:szCs w:val="24"/>
        </w:rPr>
        <w:t>, UK</w:t>
      </w:r>
      <w:r w:rsidRPr="00AF6991">
        <w:rPr>
          <w:rFonts w:cstheme="minorHAnsi"/>
          <w:color w:val="333333"/>
          <w:sz w:val="24"/>
          <w:szCs w:val="24"/>
        </w:rPr>
        <w:t>.</w:t>
      </w:r>
    </w:p>
    <w:p w14:paraId="444D5D9A" w14:textId="77777777" w:rsidR="00FE7CDD" w:rsidRPr="00C759A3" w:rsidRDefault="00FE7CDD" w:rsidP="00FE7CDD">
      <w:pPr>
        <w:ind w:left="720" w:hanging="720"/>
        <w:rPr>
          <w:sz w:val="24"/>
          <w:szCs w:val="24"/>
        </w:rPr>
      </w:pPr>
      <w:r w:rsidRPr="00C759A3">
        <w:rPr>
          <w:sz w:val="24"/>
          <w:szCs w:val="24"/>
        </w:rPr>
        <w:t xml:space="preserve">Farghly F., Milward J., Holt M., Pantelis S., and Sandbrook W. (2020) </w:t>
      </w:r>
      <w:r w:rsidRPr="00C759A3">
        <w:rPr>
          <w:i/>
          <w:sz w:val="24"/>
          <w:szCs w:val="24"/>
        </w:rPr>
        <w:t xml:space="preserve">The Stronger Nudge Evaluation Report,  </w:t>
      </w:r>
      <w:r w:rsidRPr="00C759A3">
        <w:rPr>
          <w:sz w:val="24"/>
          <w:szCs w:val="24"/>
        </w:rPr>
        <w:t>Money &amp; Pensions Service and Behavioural insights Team</w:t>
      </w:r>
    </w:p>
    <w:p w14:paraId="5693C5E5" w14:textId="0BB53ACD" w:rsidR="002C3F3D" w:rsidRPr="002C3F3D" w:rsidRDefault="002C3F3D" w:rsidP="00F852C9">
      <w:pPr>
        <w:spacing w:line="480" w:lineRule="auto"/>
        <w:ind w:left="720" w:hanging="720"/>
        <w:rPr>
          <w:rFonts w:eastAsia="Times New Roman" w:cstheme="minorHAnsi"/>
          <w:b/>
          <w:bCs/>
          <w:sz w:val="24"/>
          <w:szCs w:val="24"/>
        </w:rPr>
      </w:pPr>
      <w:r w:rsidRPr="002C3F3D">
        <w:rPr>
          <w:rFonts w:eastAsia="Times New Roman" w:cstheme="minorHAnsi"/>
          <w:sz w:val="24"/>
          <w:szCs w:val="24"/>
        </w:rPr>
        <w:t>Financial Adviser</w:t>
      </w:r>
      <w:r w:rsidRPr="002C3F3D">
        <w:rPr>
          <w:rFonts w:eastAsia="Times New Roman" w:cstheme="minorHAnsi"/>
          <w:i/>
          <w:iCs/>
          <w:sz w:val="24"/>
          <w:szCs w:val="24"/>
        </w:rPr>
        <w:t>, (2019)</w:t>
      </w:r>
      <w:r w:rsidR="00E42AA6">
        <w:rPr>
          <w:rFonts w:eastAsia="Times New Roman" w:cstheme="minorHAnsi"/>
          <w:i/>
          <w:iCs/>
          <w:sz w:val="24"/>
          <w:szCs w:val="24"/>
        </w:rPr>
        <w:t xml:space="preserve"> </w:t>
      </w:r>
      <w:r w:rsidRPr="002C3F3D">
        <w:rPr>
          <w:rFonts w:eastAsia="Times New Roman" w:cstheme="minorHAnsi"/>
          <w:i/>
          <w:iCs/>
          <w:sz w:val="24"/>
          <w:szCs w:val="24"/>
        </w:rPr>
        <w:t xml:space="preserve">Adviser numbers to fall 7% as regulation bites </w:t>
      </w:r>
      <w:hyperlink r:id="rId15" w:history="1">
        <w:r w:rsidRPr="00BD53A4">
          <w:rPr>
            <w:rStyle w:val="Hyperlink"/>
            <w:rFonts w:eastAsia="Times New Roman" w:cstheme="minorHAnsi"/>
            <w:b/>
            <w:bCs/>
            <w:sz w:val="24"/>
            <w:szCs w:val="24"/>
          </w:rPr>
          <w:t>https://www.ftadviser.com/your-industry/2019/05/28/adviser-numbers-to-fall-7-as-regulation-bites/?page=1</w:t>
        </w:r>
      </w:hyperlink>
    </w:p>
    <w:p w14:paraId="6802FA48" w14:textId="6B7EA89D" w:rsidR="00A07528" w:rsidRPr="00AF6991" w:rsidRDefault="00A07528" w:rsidP="00F852C9">
      <w:pPr>
        <w:spacing w:after="0" w:line="480" w:lineRule="auto"/>
        <w:ind w:left="720" w:hanging="720"/>
        <w:rPr>
          <w:rFonts w:cstheme="minorHAnsi"/>
          <w:color w:val="333333"/>
          <w:sz w:val="24"/>
          <w:szCs w:val="24"/>
        </w:rPr>
      </w:pPr>
      <w:r w:rsidRPr="00AF6991">
        <w:rPr>
          <w:rFonts w:cstheme="minorHAnsi"/>
          <w:color w:val="333333"/>
          <w:sz w:val="24"/>
          <w:szCs w:val="24"/>
        </w:rPr>
        <w:t xml:space="preserve">FCA (2015) </w:t>
      </w:r>
      <w:r w:rsidRPr="00AF6991">
        <w:rPr>
          <w:rFonts w:cstheme="minorHAnsi"/>
          <w:i/>
          <w:color w:val="333333"/>
          <w:sz w:val="24"/>
          <w:szCs w:val="24"/>
        </w:rPr>
        <w:t xml:space="preserve">Financial Advice Market Review: Call for Input, </w:t>
      </w:r>
      <w:r w:rsidRPr="00AF6991">
        <w:rPr>
          <w:rFonts w:cstheme="minorHAnsi"/>
          <w:color w:val="333333"/>
          <w:sz w:val="24"/>
          <w:szCs w:val="24"/>
        </w:rPr>
        <w:t>Financial Conduct Authority, London</w:t>
      </w:r>
      <w:r w:rsidR="00F61068">
        <w:rPr>
          <w:rFonts w:cstheme="minorHAnsi"/>
          <w:color w:val="333333"/>
          <w:sz w:val="24"/>
          <w:szCs w:val="24"/>
        </w:rPr>
        <w:t>, UK</w:t>
      </w:r>
      <w:r w:rsidRPr="00AF6991">
        <w:rPr>
          <w:rFonts w:cstheme="minorHAnsi"/>
          <w:color w:val="333333"/>
          <w:sz w:val="24"/>
          <w:szCs w:val="24"/>
        </w:rPr>
        <w:t>.</w:t>
      </w:r>
    </w:p>
    <w:p w14:paraId="17C6A26B" w14:textId="062DDC5C" w:rsidR="002A3FC8" w:rsidRPr="00E1578F" w:rsidRDefault="002A3FC8" w:rsidP="00F852C9">
      <w:pPr>
        <w:spacing w:after="0" w:line="480" w:lineRule="auto"/>
        <w:ind w:left="720" w:hanging="720"/>
        <w:rPr>
          <w:rFonts w:cstheme="minorHAnsi"/>
          <w:color w:val="333333"/>
          <w:sz w:val="24"/>
          <w:szCs w:val="24"/>
        </w:rPr>
      </w:pPr>
      <w:r>
        <w:rPr>
          <w:rFonts w:cstheme="minorHAnsi"/>
          <w:color w:val="333333"/>
          <w:sz w:val="24"/>
          <w:szCs w:val="24"/>
        </w:rPr>
        <w:t>FCA (2017a)</w:t>
      </w:r>
      <w:r w:rsidR="00E1578F">
        <w:rPr>
          <w:rFonts w:cstheme="minorHAnsi"/>
          <w:color w:val="333333"/>
          <w:sz w:val="24"/>
          <w:szCs w:val="24"/>
        </w:rPr>
        <w:t xml:space="preserve"> </w:t>
      </w:r>
      <w:r w:rsidR="00E1578F">
        <w:rPr>
          <w:rFonts w:cstheme="minorHAnsi"/>
          <w:i/>
          <w:color w:val="333333"/>
          <w:sz w:val="24"/>
          <w:szCs w:val="24"/>
        </w:rPr>
        <w:t xml:space="preserve">Financial Advice Market Review: Baseline </w:t>
      </w:r>
      <w:r w:rsidR="00F6045C">
        <w:rPr>
          <w:rFonts w:cstheme="minorHAnsi"/>
          <w:i/>
          <w:color w:val="333333"/>
          <w:sz w:val="24"/>
          <w:szCs w:val="24"/>
        </w:rPr>
        <w:t>Report</w:t>
      </w:r>
      <w:r w:rsidR="00E1578F">
        <w:rPr>
          <w:rFonts w:cstheme="minorHAnsi"/>
          <w:i/>
          <w:color w:val="333333"/>
          <w:sz w:val="24"/>
          <w:szCs w:val="24"/>
        </w:rPr>
        <w:t xml:space="preserve">, </w:t>
      </w:r>
      <w:r w:rsidR="00E1578F">
        <w:rPr>
          <w:rFonts w:cstheme="minorHAnsi"/>
          <w:color w:val="333333"/>
          <w:sz w:val="24"/>
          <w:szCs w:val="24"/>
        </w:rPr>
        <w:t>Financial Conduct Authority, London</w:t>
      </w:r>
      <w:r w:rsidR="00F61068">
        <w:rPr>
          <w:rFonts w:cstheme="minorHAnsi"/>
          <w:color w:val="333333"/>
          <w:sz w:val="24"/>
          <w:szCs w:val="24"/>
        </w:rPr>
        <w:t>, UK</w:t>
      </w:r>
      <w:r w:rsidR="00E1578F">
        <w:rPr>
          <w:rFonts w:cstheme="minorHAnsi"/>
          <w:color w:val="333333"/>
          <w:sz w:val="24"/>
          <w:szCs w:val="24"/>
        </w:rPr>
        <w:t>.</w:t>
      </w:r>
    </w:p>
    <w:p w14:paraId="54619958" w14:textId="2CF47ADC" w:rsidR="007D59B3" w:rsidRDefault="007D59B3" w:rsidP="00F852C9">
      <w:pPr>
        <w:spacing w:after="0" w:line="480" w:lineRule="auto"/>
        <w:ind w:left="720" w:hanging="720"/>
        <w:rPr>
          <w:rFonts w:cstheme="minorHAnsi"/>
          <w:color w:val="333333"/>
          <w:sz w:val="24"/>
          <w:szCs w:val="24"/>
        </w:rPr>
      </w:pPr>
      <w:r>
        <w:rPr>
          <w:rFonts w:cstheme="minorHAnsi"/>
          <w:color w:val="333333"/>
          <w:sz w:val="24"/>
          <w:szCs w:val="24"/>
        </w:rPr>
        <w:t>FCA (2017</w:t>
      </w:r>
      <w:r w:rsidR="002A3FC8">
        <w:rPr>
          <w:rFonts w:cstheme="minorHAnsi"/>
          <w:color w:val="333333"/>
          <w:sz w:val="24"/>
          <w:szCs w:val="24"/>
        </w:rPr>
        <w:t>b</w:t>
      </w:r>
      <w:r>
        <w:rPr>
          <w:rFonts w:cstheme="minorHAnsi"/>
          <w:color w:val="333333"/>
          <w:sz w:val="24"/>
          <w:szCs w:val="24"/>
        </w:rPr>
        <w:t xml:space="preserve">) </w:t>
      </w:r>
      <w:r w:rsidRPr="00A07528">
        <w:rPr>
          <w:rFonts w:cstheme="minorHAnsi"/>
          <w:i/>
          <w:iCs/>
          <w:color w:val="333333"/>
          <w:sz w:val="24"/>
          <w:szCs w:val="24"/>
        </w:rPr>
        <w:t>Assessing Suitability Review</w:t>
      </w:r>
      <w:r>
        <w:rPr>
          <w:rFonts w:cstheme="minorHAnsi"/>
          <w:color w:val="333333"/>
          <w:sz w:val="24"/>
          <w:szCs w:val="24"/>
        </w:rPr>
        <w:t>,</w:t>
      </w:r>
    </w:p>
    <w:p w14:paraId="44203815" w14:textId="3B6C8E35" w:rsidR="007D59B3" w:rsidRDefault="00000000" w:rsidP="00F852C9">
      <w:pPr>
        <w:spacing w:after="0" w:line="480" w:lineRule="auto"/>
        <w:ind w:left="720"/>
        <w:rPr>
          <w:rFonts w:cstheme="minorHAnsi"/>
          <w:color w:val="333333"/>
          <w:sz w:val="24"/>
          <w:szCs w:val="24"/>
        </w:rPr>
      </w:pPr>
      <w:hyperlink r:id="rId16" w:history="1">
        <w:r w:rsidR="006B24B9" w:rsidRPr="0006646C">
          <w:rPr>
            <w:rStyle w:val="Hyperlink"/>
            <w:rFonts w:cstheme="minorHAnsi"/>
            <w:sz w:val="24"/>
            <w:szCs w:val="24"/>
          </w:rPr>
          <w:t>https://www.fca.org.uk/publications/multi-firm-reviews/assessing-suitability-review</w:t>
        </w:r>
      </w:hyperlink>
    </w:p>
    <w:p w14:paraId="2D70CDCB" w14:textId="33CF7BFB" w:rsidR="00A07528" w:rsidRPr="00AF6991" w:rsidRDefault="00A07528" w:rsidP="00F852C9">
      <w:pPr>
        <w:spacing w:line="480" w:lineRule="auto"/>
        <w:ind w:left="720" w:hanging="720"/>
        <w:rPr>
          <w:rFonts w:eastAsia="Times New Roman" w:cstheme="minorHAnsi"/>
          <w:sz w:val="24"/>
          <w:szCs w:val="24"/>
        </w:rPr>
      </w:pPr>
      <w:r>
        <w:rPr>
          <w:rFonts w:eastAsia="Times New Roman" w:cstheme="minorHAnsi"/>
          <w:sz w:val="24"/>
          <w:szCs w:val="24"/>
        </w:rPr>
        <w:t xml:space="preserve">FCA (2017c) </w:t>
      </w:r>
      <w:r w:rsidRPr="00C672AC">
        <w:rPr>
          <w:rFonts w:eastAsia="Times New Roman" w:cstheme="minorHAnsi"/>
          <w:i/>
          <w:iCs/>
          <w:sz w:val="24"/>
          <w:szCs w:val="24"/>
        </w:rPr>
        <w:t>Understanding the financial lives of UK adults Findings from the FCA’s Financial Lives Survey</w:t>
      </w:r>
      <w:r>
        <w:rPr>
          <w:rFonts w:eastAsia="Times New Roman" w:cstheme="minorHAnsi"/>
          <w:sz w:val="24"/>
          <w:szCs w:val="24"/>
        </w:rPr>
        <w:t>. FCA, London</w:t>
      </w:r>
      <w:r w:rsidR="00F61068">
        <w:rPr>
          <w:rFonts w:eastAsia="Times New Roman" w:cstheme="minorHAnsi"/>
          <w:sz w:val="24"/>
          <w:szCs w:val="24"/>
        </w:rPr>
        <w:t>, UK.</w:t>
      </w:r>
    </w:p>
    <w:p w14:paraId="5B93A8A1" w14:textId="4C8DD466" w:rsidR="00A07528" w:rsidRDefault="00A07528" w:rsidP="00F852C9">
      <w:pPr>
        <w:spacing w:line="480" w:lineRule="auto"/>
        <w:ind w:left="720" w:hanging="720"/>
        <w:rPr>
          <w:rFonts w:cstheme="minorHAnsi"/>
          <w:sz w:val="24"/>
          <w:szCs w:val="24"/>
        </w:rPr>
      </w:pPr>
      <w:r>
        <w:rPr>
          <w:rFonts w:cstheme="minorHAnsi"/>
          <w:sz w:val="24"/>
          <w:szCs w:val="24"/>
        </w:rPr>
        <w:t xml:space="preserve"> FCA (2018) </w:t>
      </w:r>
      <w:r w:rsidRPr="008F7CF1">
        <w:rPr>
          <w:rFonts w:cstheme="minorHAnsi"/>
          <w:i/>
          <w:iCs/>
          <w:sz w:val="24"/>
          <w:szCs w:val="24"/>
        </w:rPr>
        <w:t>The financial lives of consumers across the UK Key findings from the FCA’s Financial Lives Survey 2017</w:t>
      </w:r>
      <w:r>
        <w:rPr>
          <w:rFonts w:cstheme="minorHAnsi"/>
          <w:i/>
          <w:iCs/>
          <w:sz w:val="24"/>
          <w:szCs w:val="24"/>
        </w:rPr>
        <w:t xml:space="preserve">, </w:t>
      </w:r>
      <w:r>
        <w:rPr>
          <w:rFonts w:cstheme="minorHAnsi"/>
          <w:sz w:val="24"/>
          <w:szCs w:val="24"/>
        </w:rPr>
        <w:t>Financial Conduct Authority, London</w:t>
      </w:r>
      <w:r w:rsidR="00F61068">
        <w:rPr>
          <w:rFonts w:cstheme="minorHAnsi"/>
          <w:sz w:val="24"/>
          <w:szCs w:val="24"/>
        </w:rPr>
        <w:t>, UK.</w:t>
      </w:r>
    </w:p>
    <w:p w14:paraId="51A1A001" w14:textId="36FF2AAE" w:rsidR="002C3F3D" w:rsidRDefault="002C3F3D" w:rsidP="00F852C9">
      <w:pPr>
        <w:spacing w:line="480" w:lineRule="auto"/>
        <w:ind w:left="720" w:hanging="720"/>
        <w:rPr>
          <w:rFonts w:eastAsia="Times New Roman" w:cstheme="minorHAnsi"/>
          <w:sz w:val="24"/>
          <w:szCs w:val="24"/>
        </w:rPr>
      </w:pPr>
      <w:r w:rsidRPr="00BD53A4">
        <w:rPr>
          <w:rFonts w:eastAsia="Times New Roman" w:cstheme="minorHAnsi"/>
          <w:sz w:val="24"/>
          <w:szCs w:val="24"/>
        </w:rPr>
        <w:t xml:space="preserve">FCA (2019) </w:t>
      </w:r>
      <w:r w:rsidRPr="00BD53A4">
        <w:rPr>
          <w:rFonts w:eastAsia="Times New Roman" w:cstheme="minorHAnsi"/>
          <w:i/>
          <w:iCs/>
          <w:sz w:val="24"/>
          <w:szCs w:val="24"/>
        </w:rPr>
        <w:t>Evaluation of the Retail Distribution Review and the Financial Advice Market Review Call for input,</w:t>
      </w:r>
      <w:r w:rsidRPr="00BD53A4">
        <w:rPr>
          <w:rFonts w:eastAsia="Times New Roman" w:cstheme="minorHAnsi"/>
          <w:sz w:val="24"/>
          <w:szCs w:val="24"/>
        </w:rPr>
        <w:t xml:space="preserve"> Financial Conduct Authority, London</w:t>
      </w:r>
      <w:r w:rsidR="00F61068">
        <w:rPr>
          <w:rFonts w:eastAsia="Times New Roman" w:cstheme="minorHAnsi"/>
          <w:sz w:val="24"/>
          <w:szCs w:val="24"/>
        </w:rPr>
        <w:t>, UK</w:t>
      </w:r>
      <w:r w:rsidRPr="00BD53A4">
        <w:rPr>
          <w:rFonts w:eastAsia="Times New Roman" w:cstheme="minorHAnsi"/>
          <w:sz w:val="24"/>
          <w:szCs w:val="24"/>
        </w:rPr>
        <w:t>.</w:t>
      </w:r>
    </w:p>
    <w:p w14:paraId="15ABD892" w14:textId="7FDAC528" w:rsidR="009B3AB2" w:rsidRDefault="009B3AB2" w:rsidP="00F852C9">
      <w:pPr>
        <w:spacing w:line="480" w:lineRule="auto"/>
        <w:ind w:left="720" w:hanging="720"/>
        <w:rPr>
          <w:rFonts w:eastAsia="Times New Roman" w:cstheme="minorHAnsi"/>
          <w:sz w:val="24"/>
          <w:szCs w:val="24"/>
        </w:rPr>
      </w:pPr>
      <w:r>
        <w:rPr>
          <w:rFonts w:eastAsia="Times New Roman" w:cstheme="minorHAnsi"/>
          <w:sz w:val="24"/>
          <w:szCs w:val="24"/>
        </w:rPr>
        <w:t>FCA (2020</w:t>
      </w:r>
      <w:r w:rsidR="002668C8">
        <w:rPr>
          <w:rFonts w:eastAsia="Times New Roman" w:cstheme="minorHAnsi"/>
          <w:sz w:val="24"/>
          <w:szCs w:val="24"/>
        </w:rPr>
        <w:t>a</w:t>
      </w:r>
      <w:r>
        <w:rPr>
          <w:rFonts w:eastAsia="Times New Roman" w:cstheme="minorHAnsi"/>
          <w:sz w:val="24"/>
          <w:szCs w:val="24"/>
        </w:rPr>
        <w:t xml:space="preserve">) </w:t>
      </w:r>
      <w:r w:rsidRPr="009B3AB2">
        <w:rPr>
          <w:rFonts w:eastAsia="Times New Roman" w:cstheme="minorHAnsi"/>
          <w:i/>
          <w:iCs/>
          <w:sz w:val="24"/>
          <w:szCs w:val="24"/>
        </w:rPr>
        <w:t>Financial Lives 2020 survey: the impact of coronavirus</w:t>
      </w:r>
      <w:r>
        <w:rPr>
          <w:rFonts w:eastAsia="Times New Roman" w:cstheme="minorHAnsi"/>
          <w:i/>
          <w:iCs/>
          <w:sz w:val="24"/>
          <w:szCs w:val="24"/>
        </w:rPr>
        <w:t xml:space="preserve">, </w:t>
      </w:r>
      <w:r>
        <w:rPr>
          <w:rFonts w:eastAsia="Times New Roman" w:cstheme="minorHAnsi"/>
          <w:sz w:val="24"/>
          <w:szCs w:val="24"/>
        </w:rPr>
        <w:t>FCA, London</w:t>
      </w:r>
      <w:r w:rsidR="00F61068">
        <w:rPr>
          <w:rFonts w:eastAsia="Times New Roman" w:cstheme="minorHAnsi"/>
          <w:sz w:val="24"/>
          <w:szCs w:val="24"/>
        </w:rPr>
        <w:t>, UK</w:t>
      </w:r>
      <w:r>
        <w:rPr>
          <w:rFonts w:eastAsia="Times New Roman" w:cstheme="minorHAnsi"/>
          <w:sz w:val="24"/>
          <w:szCs w:val="24"/>
        </w:rPr>
        <w:t>.</w:t>
      </w:r>
    </w:p>
    <w:p w14:paraId="0DD938DE" w14:textId="0C4CFA36" w:rsidR="002668C8" w:rsidRDefault="002668C8" w:rsidP="00F852C9">
      <w:pPr>
        <w:spacing w:line="480" w:lineRule="auto"/>
        <w:rPr>
          <w:rStyle w:val="Hyperlink"/>
          <w:rFonts w:eastAsia="Times New Roman" w:cstheme="minorHAnsi"/>
          <w:bCs/>
          <w:i/>
          <w:iCs/>
          <w:sz w:val="24"/>
          <w:szCs w:val="24"/>
        </w:rPr>
      </w:pPr>
      <w:r w:rsidRPr="00345253">
        <w:rPr>
          <w:rFonts w:eastAsia="Times New Roman" w:cstheme="minorHAnsi"/>
          <w:bCs/>
          <w:sz w:val="24"/>
          <w:szCs w:val="24"/>
        </w:rPr>
        <w:t>FCA (2020</w:t>
      </w:r>
      <w:r>
        <w:rPr>
          <w:rFonts w:eastAsia="Times New Roman" w:cstheme="minorHAnsi"/>
          <w:bCs/>
          <w:sz w:val="24"/>
          <w:szCs w:val="24"/>
        </w:rPr>
        <w:t>b</w:t>
      </w:r>
      <w:r w:rsidRPr="00345253">
        <w:rPr>
          <w:rFonts w:eastAsia="Times New Roman" w:cstheme="minorHAnsi"/>
          <w:bCs/>
          <w:sz w:val="24"/>
          <w:szCs w:val="24"/>
        </w:rPr>
        <w:t>)</w:t>
      </w:r>
      <w:r>
        <w:rPr>
          <w:rFonts w:eastAsia="Times New Roman" w:cstheme="minorHAnsi"/>
          <w:bCs/>
          <w:i/>
          <w:iCs/>
          <w:sz w:val="24"/>
          <w:szCs w:val="24"/>
        </w:rPr>
        <w:t xml:space="preserve"> </w:t>
      </w:r>
      <w:r w:rsidRPr="00345253">
        <w:rPr>
          <w:rFonts w:eastAsia="Times New Roman" w:cstheme="minorHAnsi"/>
          <w:bCs/>
          <w:i/>
          <w:iCs/>
          <w:sz w:val="24"/>
          <w:szCs w:val="24"/>
        </w:rPr>
        <w:t>The retail intermediary market 2019</w:t>
      </w:r>
      <w:r>
        <w:rPr>
          <w:rFonts w:eastAsia="Times New Roman" w:cstheme="minorHAnsi"/>
          <w:bCs/>
          <w:i/>
          <w:iCs/>
          <w:sz w:val="24"/>
          <w:szCs w:val="24"/>
        </w:rPr>
        <w:t xml:space="preserve">, </w:t>
      </w:r>
      <w:hyperlink r:id="rId17" w:history="1">
        <w:r w:rsidRPr="00345253">
          <w:rPr>
            <w:rStyle w:val="Hyperlink"/>
            <w:rFonts w:eastAsia="Times New Roman" w:cstheme="minorHAnsi"/>
            <w:bCs/>
            <w:i/>
            <w:iCs/>
            <w:sz w:val="24"/>
            <w:szCs w:val="24"/>
          </w:rPr>
          <w:t>The retail intermediary market 2019 | FCA</w:t>
        </w:r>
      </w:hyperlink>
    </w:p>
    <w:p w14:paraId="1BAF163B" w14:textId="77777777" w:rsidR="00FE7CDD" w:rsidRPr="00C759A3" w:rsidRDefault="00FE7CDD" w:rsidP="00FE7CDD">
      <w:pPr>
        <w:ind w:left="720" w:hanging="720"/>
        <w:rPr>
          <w:sz w:val="24"/>
          <w:szCs w:val="24"/>
        </w:rPr>
      </w:pPr>
      <w:r w:rsidRPr="00C759A3">
        <w:rPr>
          <w:sz w:val="24"/>
          <w:szCs w:val="24"/>
        </w:rPr>
        <w:t xml:space="preserve">FCA (2021) </w:t>
      </w:r>
      <w:r w:rsidRPr="00C759A3">
        <w:rPr>
          <w:i/>
          <w:iCs/>
          <w:sz w:val="24"/>
          <w:szCs w:val="24"/>
        </w:rPr>
        <w:t>Finalised guidance FG21/1 Guidance for firms on the fair treatment of vulnerable customers</w:t>
      </w:r>
      <w:r w:rsidRPr="00C759A3">
        <w:rPr>
          <w:sz w:val="24"/>
          <w:szCs w:val="24"/>
        </w:rPr>
        <w:t>, London: Financial Conduct Authority</w:t>
      </w:r>
    </w:p>
    <w:p w14:paraId="55252017" w14:textId="13225BC2" w:rsidR="0039780C" w:rsidRPr="00345253" w:rsidRDefault="0039780C" w:rsidP="00FE7CDD">
      <w:pPr>
        <w:spacing w:line="480" w:lineRule="auto"/>
        <w:ind w:left="720" w:hanging="720"/>
        <w:rPr>
          <w:rFonts w:eastAsia="Times New Roman" w:cstheme="minorHAnsi"/>
          <w:bCs/>
          <w:i/>
          <w:iCs/>
          <w:sz w:val="24"/>
          <w:szCs w:val="24"/>
        </w:rPr>
      </w:pPr>
      <w:r>
        <w:rPr>
          <w:rFonts w:eastAsia="Times New Roman" w:cstheme="minorHAnsi"/>
          <w:sz w:val="24"/>
          <w:szCs w:val="24"/>
        </w:rPr>
        <w:lastRenderedPageBreak/>
        <w:t xml:space="preserve">Florendo, J. and Estelami H. (2019) </w:t>
      </w:r>
      <w:r w:rsidRPr="0039780C">
        <w:rPr>
          <w:rFonts w:eastAsia="Times New Roman" w:cstheme="minorHAnsi"/>
          <w:i/>
          <w:iCs/>
          <w:sz w:val="24"/>
          <w:szCs w:val="24"/>
        </w:rPr>
        <w:t>The role of cognitive style, gullibility, and demographics on the use of social media for financial decision</w:t>
      </w:r>
      <w:r>
        <w:rPr>
          <w:rFonts w:eastAsia="Times New Roman" w:cstheme="minorHAnsi"/>
          <w:sz w:val="24"/>
          <w:szCs w:val="24"/>
        </w:rPr>
        <w:t xml:space="preserve">, Journal of </w:t>
      </w:r>
      <w:r w:rsidRPr="0039780C">
        <w:rPr>
          <w:rFonts w:eastAsia="Times New Roman" w:cstheme="minorHAnsi"/>
          <w:sz w:val="24"/>
          <w:szCs w:val="24"/>
        </w:rPr>
        <w:t>Financ</w:t>
      </w:r>
      <w:r>
        <w:rPr>
          <w:rFonts w:eastAsia="Times New Roman" w:cstheme="minorHAnsi"/>
          <w:sz w:val="24"/>
          <w:szCs w:val="24"/>
        </w:rPr>
        <w:t>ial</w:t>
      </w:r>
      <w:r w:rsidRPr="0039780C">
        <w:rPr>
          <w:rFonts w:eastAsia="Times New Roman" w:cstheme="minorHAnsi"/>
          <w:sz w:val="24"/>
          <w:szCs w:val="24"/>
        </w:rPr>
        <w:t xml:space="preserve"> Serv</w:t>
      </w:r>
      <w:r>
        <w:rPr>
          <w:rFonts w:eastAsia="Times New Roman" w:cstheme="minorHAnsi"/>
          <w:sz w:val="24"/>
          <w:szCs w:val="24"/>
        </w:rPr>
        <w:t xml:space="preserve">ices Marketing. </w:t>
      </w:r>
      <w:r w:rsidRPr="0039780C">
        <w:rPr>
          <w:rFonts w:eastAsia="Times New Roman" w:cstheme="minorHAnsi"/>
          <w:sz w:val="24"/>
          <w:szCs w:val="24"/>
        </w:rPr>
        <w:t>24:1–10 https://doi.org/10.1057/s41264-019-00064-7</w:t>
      </w:r>
    </w:p>
    <w:p w14:paraId="498F7836" w14:textId="644D644F" w:rsidR="008F0302" w:rsidRPr="00AF6991" w:rsidRDefault="008F0302" w:rsidP="00F852C9">
      <w:pPr>
        <w:spacing w:after="0" w:line="480" w:lineRule="auto"/>
        <w:ind w:left="720" w:hanging="720"/>
        <w:rPr>
          <w:rFonts w:cstheme="minorHAnsi"/>
          <w:sz w:val="24"/>
          <w:szCs w:val="24"/>
        </w:rPr>
      </w:pPr>
      <w:r w:rsidRPr="00AF6991">
        <w:rPr>
          <w:rFonts w:cstheme="minorHAnsi"/>
          <w:sz w:val="24"/>
          <w:szCs w:val="24"/>
        </w:rPr>
        <w:t xml:space="preserve">FSA (2005a) </w:t>
      </w:r>
      <w:r w:rsidRPr="00AF6991">
        <w:rPr>
          <w:rFonts w:cstheme="minorHAnsi"/>
          <w:i/>
          <w:sz w:val="24"/>
          <w:szCs w:val="24"/>
        </w:rPr>
        <w:t xml:space="preserve">Towards understanding Consumer Needs. </w:t>
      </w:r>
      <w:r w:rsidR="009B749C" w:rsidRPr="00AF6991">
        <w:rPr>
          <w:rFonts w:cstheme="minorHAnsi"/>
          <w:sz w:val="24"/>
          <w:szCs w:val="24"/>
        </w:rPr>
        <w:t xml:space="preserve">CR35 prepared by </w:t>
      </w:r>
      <w:r w:rsidRPr="00AF6991">
        <w:rPr>
          <w:rFonts w:cstheme="minorHAnsi"/>
          <w:sz w:val="24"/>
          <w:szCs w:val="24"/>
        </w:rPr>
        <w:t>The Henley Centre</w:t>
      </w:r>
      <w:r w:rsidR="009B749C" w:rsidRPr="00AF6991">
        <w:rPr>
          <w:rFonts w:cstheme="minorHAnsi"/>
          <w:sz w:val="24"/>
          <w:szCs w:val="24"/>
        </w:rPr>
        <w:t xml:space="preserve"> for FSA, London</w:t>
      </w:r>
      <w:r w:rsidR="00F61068">
        <w:rPr>
          <w:rFonts w:cstheme="minorHAnsi"/>
          <w:sz w:val="24"/>
          <w:szCs w:val="24"/>
        </w:rPr>
        <w:t>, UK</w:t>
      </w:r>
      <w:r w:rsidR="009B749C" w:rsidRPr="00AF6991">
        <w:rPr>
          <w:rFonts w:cstheme="minorHAnsi"/>
          <w:sz w:val="24"/>
          <w:szCs w:val="24"/>
        </w:rPr>
        <w:t>.</w:t>
      </w:r>
    </w:p>
    <w:p w14:paraId="02F50C3D" w14:textId="30D6A255" w:rsidR="00024604" w:rsidRPr="00AF6991" w:rsidRDefault="00375B95" w:rsidP="00F852C9">
      <w:pPr>
        <w:widowControl w:val="0"/>
        <w:overflowPunct w:val="0"/>
        <w:autoSpaceDE w:val="0"/>
        <w:autoSpaceDN w:val="0"/>
        <w:adjustRightInd w:val="0"/>
        <w:spacing w:after="0" w:line="480" w:lineRule="auto"/>
        <w:ind w:left="720" w:hanging="720"/>
        <w:rPr>
          <w:rFonts w:eastAsia="Times New Roman" w:cstheme="minorHAnsi"/>
          <w:bCs/>
          <w:kern w:val="28"/>
          <w:sz w:val="24"/>
          <w:szCs w:val="24"/>
        </w:rPr>
      </w:pPr>
      <w:r w:rsidRPr="00AF6991">
        <w:rPr>
          <w:rFonts w:eastAsia="Times New Roman" w:cstheme="minorHAnsi"/>
          <w:bCs/>
          <w:kern w:val="28"/>
          <w:sz w:val="24"/>
          <w:szCs w:val="24"/>
        </w:rPr>
        <w:t>FSA (2005</w:t>
      </w:r>
      <w:r w:rsidR="009B749C" w:rsidRPr="00AF6991">
        <w:rPr>
          <w:rFonts w:eastAsia="Times New Roman" w:cstheme="minorHAnsi"/>
          <w:bCs/>
          <w:kern w:val="28"/>
          <w:sz w:val="24"/>
          <w:szCs w:val="24"/>
        </w:rPr>
        <w:t>b</w:t>
      </w:r>
      <w:r w:rsidR="00024604" w:rsidRPr="00AF6991">
        <w:rPr>
          <w:rFonts w:eastAsia="Times New Roman" w:cstheme="minorHAnsi"/>
          <w:bCs/>
          <w:kern w:val="28"/>
          <w:sz w:val="24"/>
          <w:szCs w:val="24"/>
        </w:rPr>
        <w:t xml:space="preserve">) </w:t>
      </w:r>
      <w:r w:rsidR="00024604" w:rsidRPr="00AF6991">
        <w:rPr>
          <w:rFonts w:eastAsia="Times New Roman" w:cstheme="minorHAnsi"/>
          <w:bCs/>
          <w:i/>
          <w:kern w:val="28"/>
          <w:sz w:val="24"/>
          <w:szCs w:val="24"/>
        </w:rPr>
        <w:t xml:space="preserve">Advice and the best way of delivering it, </w:t>
      </w:r>
      <w:r w:rsidR="00024604" w:rsidRPr="00AF6991">
        <w:rPr>
          <w:rFonts w:eastAsia="Times New Roman" w:cstheme="minorHAnsi"/>
          <w:bCs/>
          <w:kern w:val="28"/>
          <w:sz w:val="24"/>
          <w:szCs w:val="24"/>
        </w:rPr>
        <w:t>Prepared by Virginia Wallis for the FSA, FSA London</w:t>
      </w:r>
      <w:r w:rsidR="00F61068">
        <w:rPr>
          <w:rFonts w:eastAsia="Times New Roman" w:cstheme="minorHAnsi"/>
          <w:bCs/>
          <w:kern w:val="28"/>
          <w:sz w:val="24"/>
          <w:szCs w:val="24"/>
        </w:rPr>
        <w:t>, UK</w:t>
      </w:r>
      <w:r w:rsidR="00024604" w:rsidRPr="00AF6991">
        <w:rPr>
          <w:rFonts w:eastAsia="Times New Roman" w:cstheme="minorHAnsi"/>
          <w:bCs/>
          <w:kern w:val="28"/>
          <w:sz w:val="24"/>
          <w:szCs w:val="24"/>
        </w:rPr>
        <w:t>.</w:t>
      </w:r>
    </w:p>
    <w:p w14:paraId="0DE3452C" w14:textId="2430DD75" w:rsidR="00AF2A4F" w:rsidRPr="00AF6991" w:rsidRDefault="00AF2A4F" w:rsidP="00F852C9">
      <w:pPr>
        <w:spacing w:after="0" w:line="480" w:lineRule="auto"/>
        <w:ind w:left="720" w:hanging="720"/>
        <w:rPr>
          <w:rFonts w:cstheme="minorHAnsi"/>
          <w:sz w:val="24"/>
          <w:szCs w:val="24"/>
        </w:rPr>
      </w:pPr>
      <w:r w:rsidRPr="00AF6991">
        <w:rPr>
          <w:rFonts w:cstheme="minorHAnsi"/>
          <w:sz w:val="24"/>
          <w:szCs w:val="24"/>
        </w:rPr>
        <w:t>FSA (2006</w:t>
      </w:r>
      <w:r w:rsidR="00C228C6" w:rsidRPr="00AF6991">
        <w:rPr>
          <w:rFonts w:cstheme="minorHAnsi"/>
          <w:sz w:val="24"/>
          <w:szCs w:val="24"/>
        </w:rPr>
        <w:t xml:space="preserve">) </w:t>
      </w:r>
      <w:r w:rsidRPr="00AF6991">
        <w:rPr>
          <w:rFonts w:cstheme="minorHAnsi"/>
          <w:i/>
          <w:iCs/>
          <w:sz w:val="24"/>
          <w:szCs w:val="24"/>
        </w:rPr>
        <w:t xml:space="preserve">Levels of Financial Capability in UK: results of a baseline survey. </w:t>
      </w:r>
      <w:r w:rsidRPr="00AF6991">
        <w:rPr>
          <w:rFonts w:cstheme="minorHAnsi"/>
          <w:sz w:val="24"/>
          <w:szCs w:val="24"/>
        </w:rPr>
        <w:t>Prepared for the FSA by the Personal Finance Research Centre. University of Bristol</w:t>
      </w:r>
      <w:r w:rsidR="00F61068">
        <w:rPr>
          <w:rFonts w:cstheme="minorHAnsi"/>
          <w:sz w:val="24"/>
          <w:szCs w:val="24"/>
        </w:rPr>
        <w:t>, Bristol, UK</w:t>
      </w:r>
      <w:r w:rsidRPr="00AF6991">
        <w:rPr>
          <w:rFonts w:cstheme="minorHAnsi"/>
          <w:sz w:val="24"/>
          <w:szCs w:val="24"/>
        </w:rPr>
        <w:t xml:space="preserve">. </w:t>
      </w:r>
    </w:p>
    <w:p w14:paraId="62E167A0" w14:textId="71AE0D2D" w:rsidR="00B9185B" w:rsidRPr="00AF6991" w:rsidRDefault="00B9185B" w:rsidP="00F852C9">
      <w:pPr>
        <w:spacing w:after="0" w:line="480" w:lineRule="auto"/>
        <w:ind w:left="720" w:hanging="720"/>
        <w:rPr>
          <w:rStyle w:val="Hyperlink"/>
          <w:rFonts w:cstheme="minorHAnsi"/>
          <w:sz w:val="24"/>
          <w:szCs w:val="24"/>
        </w:rPr>
      </w:pPr>
      <w:r w:rsidRPr="00AF6991">
        <w:rPr>
          <w:rFonts w:cstheme="minorHAnsi"/>
          <w:sz w:val="24"/>
          <w:szCs w:val="24"/>
        </w:rPr>
        <w:t xml:space="preserve">FSA (2007) </w:t>
      </w:r>
      <w:r w:rsidRPr="00AF6991">
        <w:rPr>
          <w:rFonts w:cstheme="minorHAnsi"/>
          <w:i/>
          <w:sz w:val="24"/>
          <w:szCs w:val="24"/>
        </w:rPr>
        <w:t xml:space="preserve">FSA keeps RU64 rule, </w:t>
      </w:r>
      <w:hyperlink r:id="rId18" w:history="1">
        <w:r w:rsidRPr="00AF6991">
          <w:rPr>
            <w:rStyle w:val="Hyperlink"/>
            <w:rFonts w:cstheme="minorHAnsi"/>
            <w:color w:val="auto"/>
            <w:sz w:val="24"/>
            <w:szCs w:val="24"/>
          </w:rPr>
          <w:t>http://www.fsa.gov.uk/pages/Library/Communication/Statements/2007/ru64.shtml</w:t>
        </w:r>
      </w:hyperlink>
    </w:p>
    <w:p w14:paraId="28A05B0F" w14:textId="1BBF7322" w:rsidR="00C5086A" w:rsidRDefault="00C5086A" w:rsidP="00F852C9">
      <w:pPr>
        <w:autoSpaceDE w:val="0"/>
        <w:autoSpaceDN w:val="0"/>
        <w:adjustRightInd w:val="0"/>
        <w:spacing w:after="0" w:line="480" w:lineRule="auto"/>
        <w:rPr>
          <w:rFonts w:eastAsia="Times New Roman" w:cstheme="minorHAnsi"/>
          <w:sz w:val="24"/>
          <w:szCs w:val="24"/>
          <w:lang w:val="en-US"/>
        </w:rPr>
      </w:pPr>
      <w:r w:rsidRPr="00AF6991">
        <w:rPr>
          <w:rFonts w:eastAsia="Times New Roman" w:cstheme="minorHAnsi"/>
          <w:sz w:val="24"/>
          <w:szCs w:val="24"/>
        </w:rPr>
        <w:t xml:space="preserve">FSA (2009). </w:t>
      </w:r>
      <w:r w:rsidRPr="00AF6991">
        <w:rPr>
          <w:rFonts w:eastAsia="Times New Roman" w:cstheme="minorHAnsi"/>
          <w:i/>
          <w:sz w:val="24"/>
          <w:szCs w:val="24"/>
          <w:lang w:val="en-US"/>
        </w:rPr>
        <w:t xml:space="preserve">Distribution of retail investments: Delivering the RDR. </w:t>
      </w:r>
      <w:r w:rsidRPr="00AF6991">
        <w:rPr>
          <w:rFonts w:eastAsia="Times New Roman" w:cstheme="minorHAnsi"/>
          <w:sz w:val="24"/>
          <w:szCs w:val="24"/>
          <w:lang w:val="en-US"/>
        </w:rPr>
        <w:t>FSA London</w:t>
      </w:r>
      <w:r w:rsidR="00F61068">
        <w:rPr>
          <w:rFonts w:eastAsia="Times New Roman" w:cstheme="minorHAnsi"/>
          <w:sz w:val="24"/>
          <w:szCs w:val="24"/>
          <w:lang w:val="en-US"/>
        </w:rPr>
        <w:t>, UK</w:t>
      </w:r>
      <w:r w:rsidRPr="00AF6991">
        <w:rPr>
          <w:rFonts w:eastAsia="Times New Roman" w:cstheme="minorHAnsi"/>
          <w:sz w:val="24"/>
          <w:szCs w:val="24"/>
          <w:lang w:val="en-US"/>
        </w:rPr>
        <w:t>.</w:t>
      </w:r>
    </w:p>
    <w:p w14:paraId="7FAC33A0" w14:textId="5F29AA6C" w:rsidR="002C3F3D" w:rsidRPr="002C3F3D" w:rsidRDefault="002C3F3D" w:rsidP="00F852C9">
      <w:pPr>
        <w:spacing w:line="480" w:lineRule="auto"/>
        <w:ind w:left="720" w:hanging="720"/>
        <w:rPr>
          <w:rFonts w:eastAsia="Times New Roman" w:cstheme="minorHAnsi"/>
          <w:sz w:val="24"/>
          <w:szCs w:val="24"/>
        </w:rPr>
      </w:pPr>
      <w:r>
        <w:rPr>
          <w:rFonts w:eastAsia="Times New Roman" w:cstheme="minorHAnsi"/>
          <w:sz w:val="24"/>
          <w:szCs w:val="24"/>
        </w:rPr>
        <w:t xml:space="preserve">HMT (2014) </w:t>
      </w:r>
      <w:r w:rsidRPr="00A07528">
        <w:rPr>
          <w:rFonts w:eastAsia="Times New Roman" w:cstheme="minorHAnsi"/>
          <w:i/>
          <w:iCs/>
          <w:sz w:val="24"/>
          <w:szCs w:val="24"/>
        </w:rPr>
        <w:t>Review of the Money Advice Service: call for evidence</w:t>
      </w:r>
      <w:r>
        <w:rPr>
          <w:rFonts w:eastAsia="Times New Roman" w:cstheme="minorHAnsi"/>
          <w:sz w:val="24"/>
          <w:szCs w:val="24"/>
        </w:rPr>
        <w:t>, HM Treasury, London</w:t>
      </w:r>
      <w:r w:rsidR="00F61068">
        <w:rPr>
          <w:rFonts w:eastAsia="Times New Roman" w:cstheme="minorHAnsi"/>
          <w:sz w:val="24"/>
          <w:szCs w:val="24"/>
        </w:rPr>
        <w:t>, UK</w:t>
      </w:r>
      <w:r>
        <w:rPr>
          <w:rFonts w:eastAsia="Times New Roman" w:cstheme="minorHAnsi"/>
          <w:sz w:val="24"/>
          <w:szCs w:val="24"/>
        </w:rPr>
        <w:t>.</w:t>
      </w:r>
    </w:p>
    <w:p w14:paraId="3D3C6E1C" w14:textId="524AAF16" w:rsidR="009B749C" w:rsidRPr="00443E85" w:rsidRDefault="009B749C" w:rsidP="00F852C9">
      <w:pPr>
        <w:spacing w:after="0" w:line="480" w:lineRule="auto"/>
        <w:ind w:left="720" w:hanging="720"/>
        <w:rPr>
          <w:rFonts w:cstheme="minorHAnsi"/>
          <w:bCs/>
          <w:iCs/>
          <w:sz w:val="24"/>
          <w:szCs w:val="24"/>
          <w:lang w:val="en-US"/>
        </w:rPr>
      </w:pPr>
      <w:r w:rsidRPr="00AF6991">
        <w:rPr>
          <w:rFonts w:cstheme="minorHAnsi"/>
          <w:sz w:val="24"/>
          <w:szCs w:val="24"/>
        </w:rPr>
        <w:t xml:space="preserve">Iannicola D. Jr and Parker J. (2010) </w:t>
      </w:r>
      <w:r w:rsidRPr="00AF6991">
        <w:rPr>
          <w:rFonts w:cstheme="minorHAnsi"/>
          <w:i/>
          <w:sz w:val="24"/>
          <w:szCs w:val="24"/>
        </w:rPr>
        <w:t xml:space="preserve">Barriers to Financial Advice for Non-Affluent Consumers, </w:t>
      </w:r>
      <w:r w:rsidRPr="00443E85">
        <w:rPr>
          <w:rFonts w:cstheme="minorHAnsi"/>
          <w:iCs/>
          <w:sz w:val="24"/>
          <w:szCs w:val="24"/>
        </w:rPr>
        <w:t>Financial Literacy Group, Society of Actuaries, USA.</w:t>
      </w:r>
    </w:p>
    <w:p w14:paraId="7C515045" w14:textId="6E441F44" w:rsidR="00F9317E" w:rsidRDefault="00F9317E" w:rsidP="00F852C9">
      <w:pPr>
        <w:spacing w:after="0" w:line="480" w:lineRule="auto"/>
        <w:ind w:left="720" w:hanging="720"/>
        <w:rPr>
          <w:rFonts w:cstheme="minorHAnsi"/>
          <w:sz w:val="24"/>
          <w:szCs w:val="24"/>
        </w:rPr>
      </w:pPr>
      <w:r w:rsidRPr="00AF6991">
        <w:rPr>
          <w:rFonts w:cstheme="minorHAnsi"/>
          <w:sz w:val="24"/>
          <w:szCs w:val="24"/>
        </w:rPr>
        <w:t xml:space="preserve">IFF Research (2012) </w:t>
      </w:r>
      <w:r w:rsidRPr="00AF6991">
        <w:rPr>
          <w:rFonts w:cstheme="minorHAnsi"/>
          <w:i/>
          <w:sz w:val="24"/>
          <w:szCs w:val="24"/>
        </w:rPr>
        <w:t xml:space="preserve">Health Check Evaluation, </w:t>
      </w:r>
      <w:r w:rsidRPr="00AF6991">
        <w:rPr>
          <w:rFonts w:cstheme="minorHAnsi"/>
          <w:sz w:val="24"/>
          <w:szCs w:val="24"/>
        </w:rPr>
        <w:t>prepared for the Money Advice Service by IFF Research and the Policy Studies Institute, London</w:t>
      </w:r>
      <w:r w:rsidR="00F61068">
        <w:rPr>
          <w:rFonts w:cstheme="minorHAnsi"/>
          <w:sz w:val="24"/>
          <w:szCs w:val="24"/>
        </w:rPr>
        <w:t>, UK</w:t>
      </w:r>
      <w:r w:rsidRPr="00AF6991">
        <w:rPr>
          <w:rFonts w:cstheme="minorHAnsi"/>
          <w:sz w:val="24"/>
          <w:szCs w:val="24"/>
        </w:rPr>
        <w:t>.</w:t>
      </w:r>
    </w:p>
    <w:p w14:paraId="08F5E3A9" w14:textId="0165D1AB" w:rsidR="00194B49" w:rsidRPr="00194B49" w:rsidRDefault="00194B49" w:rsidP="00F852C9">
      <w:pPr>
        <w:spacing w:after="0" w:line="480" w:lineRule="auto"/>
        <w:ind w:left="720" w:hanging="720"/>
        <w:rPr>
          <w:rFonts w:cstheme="minorHAnsi"/>
          <w:sz w:val="24"/>
          <w:szCs w:val="24"/>
        </w:rPr>
      </w:pPr>
      <w:r>
        <w:rPr>
          <w:rFonts w:cstheme="minorHAnsi"/>
          <w:sz w:val="24"/>
          <w:szCs w:val="24"/>
        </w:rPr>
        <w:t xml:space="preserve">Kahneman, D. and Tversky, A. (1984) </w:t>
      </w:r>
      <w:r>
        <w:rPr>
          <w:rFonts w:cstheme="minorHAnsi"/>
          <w:i/>
          <w:iCs/>
          <w:sz w:val="24"/>
          <w:szCs w:val="24"/>
        </w:rPr>
        <w:t xml:space="preserve">Choices, Values and Frames, </w:t>
      </w:r>
      <w:r>
        <w:rPr>
          <w:rFonts w:cstheme="minorHAnsi"/>
          <w:sz w:val="24"/>
          <w:szCs w:val="24"/>
        </w:rPr>
        <w:t>American Psychologist, California</w:t>
      </w:r>
      <w:r w:rsidR="00F61068">
        <w:rPr>
          <w:rFonts w:cstheme="minorHAnsi"/>
          <w:sz w:val="24"/>
          <w:szCs w:val="24"/>
        </w:rPr>
        <w:t>, USA</w:t>
      </w:r>
      <w:r>
        <w:rPr>
          <w:rFonts w:cstheme="minorHAnsi"/>
          <w:sz w:val="24"/>
          <w:szCs w:val="24"/>
        </w:rPr>
        <w:t>.</w:t>
      </w:r>
    </w:p>
    <w:p w14:paraId="3135956F" w14:textId="1C438B4D" w:rsidR="00C5086A" w:rsidRPr="00AF6991" w:rsidRDefault="00C5086A" w:rsidP="00F852C9">
      <w:pPr>
        <w:spacing w:after="0" w:line="480" w:lineRule="auto"/>
        <w:ind w:left="720" w:hanging="720"/>
        <w:rPr>
          <w:rFonts w:cstheme="minorHAnsi"/>
          <w:sz w:val="24"/>
          <w:szCs w:val="24"/>
        </w:rPr>
      </w:pPr>
      <w:r w:rsidRPr="00AF6991">
        <w:rPr>
          <w:rFonts w:cstheme="minorHAnsi"/>
          <w:sz w:val="24"/>
          <w:szCs w:val="24"/>
        </w:rPr>
        <w:t>Kahneman, D</w:t>
      </w:r>
      <w:r w:rsidR="00194B49">
        <w:rPr>
          <w:rFonts w:cstheme="minorHAnsi"/>
          <w:sz w:val="24"/>
          <w:szCs w:val="24"/>
        </w:rPr>
        <w:t>.</w:t>
      </w:r>
      <w:r w:rsidRPr="00AF6991">
        <w:rPr>
          <w:rFonts w:cstheme="minorHAnsi"/>
          <w:sz w:val="24"/>
          <w:szCs w:val="24"/>
        </w:rPr>
        <w:t xml:space="preserve"> (2003) </w:t>
      </w:r>
      <w:r w:rsidRPr="00AF6991">
        <w:rPr>
          <w:rFonts w:cstheme="minorHAnsi"/>
          <w:i/>
          <w:sz w:val="24"/>
          <w:szCs w:val="24"/>
        </w:rPr>
        <w:t>Maps of Bounded Rationality: Psychology for Behavioral Economics,</w:t>
      </w:r>
      <w:r w:rsidRPr="00AF6991">
        <w:rPr>
          <w:rFonts w:cstheme="minorHAnsi"/>
          <w:sz w:val="24"/>
          <w:szCs w:val="24"/>
        </w:rPr>
        <w:t xml:space="preserve"> The American Economic Review, Vol. 93, No. 5 (Dec., 2003), pp. 1449-1475 Published by: American Economic Association</w:t>
      </w:r>
    </w:p>
    <w:p w14:paraId="529F6254" w14:textId="5650B36C" w:rsidR="008F0302" w:rsidRPr="00AF6991" w:rsidRDefault="008F0302" w:rsidP="00F852C9">
      <w:pPr>
        <w:spacing w:after="0" w:line="480" w:lineRule="auto"/>
        <w:ind w:left="720" w:hanging="720"/>
        <w:rPr>
          <w:rFonts w:cstheme="minorHAnsi"/>
          <w:sz w:val="24"/>
          <w:szCs w:val="24"/>
        </w:rPr>
      </w:pPr>
      <w:r w:rsidRPr="00AF6991">
        <w:rPr>
          <w:rFonts w:cstheme="minorHAnsi"/>
          <w:sz w:val="24"/>
          <w:szCs w:val="24"/>
        </w:rPr>
        <w:lastRenderedPageBreak/>
        <w:t>Kempson, E. and Collard, S. (2005)</w:t>
      </w:r>
      <w:r w:rsidRPr="00AF6991">
        <w:rPr>
          <w:rFonts w:cstheme="minorHAnsi"/>
          <w:i/>
          <w:iCs/>
          <w:sz w:val="24"/>
          <w:szCs w:val="24"/>
        </w:rPr>
        <w:t xml:space="preserve"> Advice on Pensions and Savings for Retirement: Qualitative Research with Financial Intermediaries. </w:t>
      </w:r>
      <w:r w:rsidRPr="00AF6991">
        <w:rPr>
          <w:rFonts w:cstheme="minorHAnsi"/>
          <w:iCs/>
          <w:sz w:val="24"/>
          <w:szCs w:val="24"/>
        </w:rPr>
        <w:t>Department of Work &amp; Pensions. Research Report 289</w:t>
      </w:r>
      <w:r w:rsidR="00F61068">
        <w:rPr>
          <w:rFonts w:cstheme="minorHAnsi"/>
          <w:iCs/>
          <w:sz w:val="24"/>
          <w:szCs w:val="24"/>
        </w:rPr>
        <w:t>, Norwich, UK</w:t>
      </w:r>
      <w:r w:rsidRPr="00AF6991">
        <w:rPr>
          <w:rFonts w:cstheme="minorHAnsi"/>
          <w:iCs/>
          <w:sz w:val="24"/>
          <w:szCs w:val="24"/>
        </w:rPr>
        <w:t>.</w:t>
      </w:r>
    </w:p>
    <w:p w14:paraId="1B0E2033" w14:textId="4FF2DD8C" w:rsidR="008F0302" w:rsidRPr="00AF6991" w:rsidRDefault="008F0302" w:rsidP="00F852C9">
      <w:pPr>
        <w:spacing w:after="0" w:line="480" w:lineRule="auto"/>
        <w:ind w:left="720" w:hanging="720"/>
        <w:rPr>
          <w:rFonts w:cstheme="minorHAnsi"/>
          <w:sz w:val="24"/>
          <w:szCs w:val="24"/>
        </w:rPr>
      </w:pPr>
      <w:r w:rsidRPr="00AF6991">
        <w:rPr>
          <w:rFonts w:cstheme="minorHAnsi"/>
          <w:sz w:val="24"/>
          <w:szCs w:val="24"/>
        </w:rPr>
        <w:t>Lusardi, A. and Mitchell, O. (2006</w:t>
      </w:r>
      <w:r w:rsidRPr="00AF6991">
        <w:rPr>
          <w:rFonts w:cstheme="minorHAnsi"/>
          <w:i/>
          <w:sz w:val="24"/>
          <w:szCs w:val="24"/>
        </w:rPr>
        <w:t>)</w:t>
      </w:r>
      <w:r w:rsidRPr="00AF6991">
        <w:rPr>
          <w:rFonts w:cstheme="minorHAnsi"/>
          <w:b/>
          <w:bCs/>
          <w:i/>
          <w:sz w:val="24"/>
          <w:szCs w:val="24"/>
        </w:rPr>
        <w:t xml:space="preserve"> </w:t>
      </w:r>
      <w:r w:rsidRPr="00AF6991">
        <w:rPr>
          <w:rFonts w:cstheme="minorHAnsi"/>
          <w:bCs/>
          <w:i/>
          <w:sz w:val="24"/>
          <w:szCs w:val="24"/>
        </w:rPr>
        <w:t>Baby Boomer Retirement Security: the Roles of Planning, Financial Literacy, and Housing Wealth.</w:t>
      </w:r>
      <w:r w:rsidRPr="00AF6991">
        <w:rPr>
          <w:rFonts w:cstheme="minorHAnsi"/>
          <w:b/>
          <w:bCs/>
          <w:sz w:val="24"/>
          <w:szCs w:val="24"/>
        </w:rPr>
        <w:t xml:space="preserve"> </w:t>
      </w:r>
      <w:r w:rsidRPr="00AF6991">
        <w:rPr>
          <w:rFonts w:cstheme="minorHAnsi"/>
          <w:sz w:val="24"/>
          <w:szCs w:val="24"/>
        </w:rPr>
        <w:t>Michigan Retirement Research Center University of Michigan</w:t>
      </w:r>
      <w:r w:rsidR="006F599F">
        <w:rPr>
          <w:rFonts w:cstheme="minorHAnsi"/>
          <w:sz w:val="24"/>
          <w:szCs w:val="24"/>
        </w:rPr>
        <w:t>, USA</w:t>
      </w:r>
    </w:p>
    <w:p w14:paraId="4D1100FD" w14:textId="77777777" w:rsidR="00BC4DE3" w:rsidRDefault="00E7438D" w:rsidP="00F852C9">
      <w:pPr>
        <w:spacing w:after="0" w:line="480" w:lineRule="auto"/>
        <w:ind w:left="720" w:hanging="720"/>
        <w:rPr>
          <w:rFonts w:cstheme="minorHAnsi"/>
          <w:sz w:val="24"/>
          <w:szCs w:val="24"/>
          <w:lang w:val="en-US"/>
        </w:rPr>
      </w:pPr>
      <w:r w:rsidRPr="00AF6991">
        <w:rPr>
          <w:rFonts w:cstheme="minorHAnsi"/>
          <w:sz w:val="24"/>
          <w:szCs w:val="24"/>
          <w:lang w:val="en-US"/>
        </w:rPr>
        <w:t xml:space="preserve">Luszczynska, A. and Schwarzer, R. (2008) </w:t>
      </w:r>
      <w:r w:rsidRPr="00AF6991">
        <w:rPr>
          <w:rFonts w:cstheme="minorHAnsi"/>
          <w:i/>
          <w:sz w:val="24"/>
          <w:szCs w:val="24"/>
          <w:lang w:val="en-US"/>
        </w:rPr>
        <w:t xml:space="preserve">Social Cognitive Theory. </w:t>
      </w:r>
      <w:r w:rsidRPr="00AF6991">
        <w:rPr>
          <w:rFonts w:cstheme="minorHAnsi"/>
          <w:sz w:val="24"/>
          <w:szCs w:val="24"/>
          <w:lang w:val="en-US"/>
        </w:rPr>
        <w:t xml:space="preserve">In: Conner, M. and Norman, P., (2008) </w:t>
      </w:r>
      <w:r w:rsidRPr="00AF6991">
        <w:rPr>
          <w:rFonts w:cstheme="minorHAnsi"/>
          <w:i/>
          <w:sz w:val="24"/>
          <w:szCs w:val="24"/>
          <w:lang w:val="en-US"/>
        </w:rPr>
        <w:t xml:space="preserve">Predicting Health Behaviour. </w:t>
      </w:r>
      <w:r w:rsidRPr="00AF6991">
        <w:rPr>
          <w:rFonts w:cstheme="minorHAnsi"/>
          <w:sz w:val="24"/>
          <w:szCs w:val="24"/>
          <w:lang w:val="en-US"/>
        </w:rPr>
        <w:t>Open University Press. Maidenhead</w:t>
      </w:r>
      <w:r w:rsidR="006F599F">
        <w:rPr>
          <w:rFonts w:cstheme="minorHAnsi"/>
          <w:sz w:val="24"/>
          <w:szCs w:val="24"/>
          <w:lang w:val="en-US"/>
        </w:rPr>
        <w:t>, UK</w:t>
      </w:r>
    </w:p>
    <w:p w14:paraId="304BC04D" w14:textId="77777777" w:rsidR="00BC4DE3" w:rsidRDefault="00BC4DE3" w:rsidP="00BC4DE3">
      <w:pPr>
        <w:spacing w:line="480" w:lineRule="auto"/>
        <w:ind w:left="720" w:hanging="720"/>
        <w:rPr>
          <w:rFonts w:ascii="Times New Roman" w:hAnsi="Times New Roman" w:cs="Times New Roman"/>
          <w:sz w:val="24"/>
          <w:szCs w:val="24"/>
        </w:rPr>
      </w:pPr>
      <w:r>
        <w:t xml:space="preserve">MaPS (2022) </w:t>
      </w:r>
      <w:hyperlink r:id="rId19" w:history="1">
        <w:r w:rsidRPr="00987543">
          <w:rPr>
            <w:color w:val="0000FF"/>
            <w:u w:val="single"/>
          </w:rPr>
          <w:t>Adult-Financial-Wellbeing-Survey-2021-Technical-Report.pdf (maps.org.uk)</w:t>
        </w:r>
      </w:hyperlink>
    </w:p>
    <w:p w14:paraId="56815D87" w14:textId="226AA4C1" w:rsidR="00291697" w:rsidRPr="00AF6991" w:rsidRDefault="00291697" w:rsidP="00F852C9">
      <w:pPr>
        <w:spacing w:after="0" w:line="480" w:lineRule="auto"/>
        <w:ind w:left="720" w:hanging="720"/>
        <w:rPr>
          <w:rFonts w:cstheme="minorHAnsi"/>
          <w:bCs/>
          <w:sz w:val="24"/>
          <w:szCs w:val="24"/>
        </w:rPr>
      </w:pPr>
      <w:r w:rsidRPr="00AF6991">
        <w:rPr>
          <w:rFonts w:cstheme="minorHAnsi"/>
          <w:bCs/>
          <w:sz w:val="24"/>
          <w:szCs w:val="24"/>
        </w:rPr>
        <w:t xml:space="preserve">MAS (2012) </w:t>
      </w:r>
      <w:r w:rsidRPr="00AF6991">
        <w:rPr>
          <w:rFonts w:cstheme="minorHAnsi"/>
          <w:bCs/>
          <w:i/>
          <w:sz w:val="24"/>
          <w:szCs w:val="24"/>
        </w:rPr>
        <w:t>Directors’ report and financial statements for year ending 31 March 2012.</w:t>
      </w:r>
      <w:r w:rsidRPr="00AF6991">
        <w:rPr>
          <w:rFonts w:cstheme="minorHAnsi"/>
          <w:bCs/>
          <w:sz w:val="24"/>
          <w:szCs w:val="24"/>
        </w:rPr>
        <w:t xml:space="preserve"> Money Advice Service, London</w:t>
      </w:r>
      <w:r w:rsidR="006F599F">
        <w:rPr>
          <w:rFonts w:cstheme="minorHAnsi"/>
          <w:bCs/>
          <w:sz w:val="24"/>
          <w:szCs w:val="24"/>
        </w:rPr>
        <w:t>, UK</w:t>
      </w:r>
      <w:r w:rsidRPr="00AF6991">
        <w:rPr>
          <w:rFonts w:cstheme="minorHAnsi"/>
          <w:bCs/>
          <w:sz w:val="24"/>
          <w:szCs w:val="24"/>
        </w:rPr>
        <w:t>.</w:t>
      </w:r>
    </w:p>
    <w:p w14:paraId="5B818CD2" w14:textId="7681941C" w:rsidR="002C3F3D" w:rsidRDefault="006D3732" w:rsidP="00F852C9">
      <w:pPr>
        <w:spacing w:after="0" w:line="480" w:lineRule="auto"/>
        <w:ind w:left="720" w:hanging="720"/>
        <w:rPr>
          <w:rFonts w:eastAsia="Calibri" w:cstheme="minorHAnsi"/>
          <w:bCs/>
          <w:sz w:val="24"/>
          <w:szCs w:val="24"/>
        </w:rPr>
      </w:pPr>
      <w:r w:rsidRPr="00AF6991">
        <w:rPr>
          <w:rFonts w:eastAsia="Calibri" w:cstheme="minorHAnsi"/>
          <w:bCs/>
          <w:sz w:val="24"/>
          <w:szCs w:val="24"/>
        </w:rPr>
        <w:t xml:space="preserve">MAS (2016) </w:t>
      </w:r>
      <w:r w:rsidRPr="00AF6991">
        <w:rPr>
          <w:rFonts w:eastAsia="Calibri" w:cstheme="minorHAnsi"/>
          <w:bCs/>
          <w:i/>
          <w:sz w:val="24"/>
          <w:szCs w:val="24"/>
        </w:rPr>
        <w:t>The squeez</w:t>
      </w:r>
      <w:r w:rsidR="002C6413" w:rsidRPr="00AF6991">
        <w:rPr>
          <w:rFonts w:eastAsia="Calibri" w:cstheme="minorHAnsi"/>
          <w:bCs/>
          <w:i/>
          <w:sz w:val="24"/>
          <w:szCs w:val="24"/>
        </w:rPr>
        <w:t>e</w:t>
      </w:r>
      <w:r w:rsidRPr="00AF6991">
        <w:rPr>
          <w:rFonts w:eastAsia="Calibri" w:cstheme="minorHAnsi"/>
          <w:bCs/>
          <w:i/>
          <w:sz w:val="24"/>
          <w:szCs w:val="24"/>
        </w:rPr>
        <w:t xml:space="preserve">d segment, </w:t>
      </w:r>
      <w:r w:rsidRPr="00AF6991">
        <w:rPr>
          <w:rFonts w:eastAsia="Calibri" w:cstheme="minorHAnsi"/>
          <w:bCs/>
          <w:sz w:val="24"/>
          <w:szCs w:val="24"/>
        </w:rPr>
        <w:t>Money Advice Service, London</w:t>
      </w:r>
      <w:r w:rsidR="006F599F">
        <w:rPr>
          <w:rFonts w:eastAsia="Calibri" w:cstheme="minorHAnsi"/>
          <w:bCs/>
          <w:sz w:val="24"/>
          <w:szCs w:val="24"/>
        </w:rPr>
        <w:t>, UK</w:t>
      </w:r>
      <w:r w:rsidRPr="00AF6991">
        <w:rPr>
          <w:rFonts w:eastAsia="Calibri" w:cstheme="minorHAnsi"/>
          <w:bCs/>
          <w:sz w:val="24"/>
          <w:szCs w:val="24"/>
        </w:rPr>
        <w:t>.</w:t>
      </w:r>
    </w:p>
    <w:p w14:paraId="6C8868F2" w14:textId="77777777" w:rsidR="002131BF" w:rsidRDefault="002131BF" w:rsidP="002131BF">
      <w:pPr>
        <w:spacing w:line="480" w:lineRule="auto"/>
        <w:ind w:left="720" w:hanging="720"/>
        <w:rPr>
          <w:rFonts w:ascii="Times New Roman" w:hAnsi="Times New Roman" w:cs="Times New Roman"/>
          <w:sz w:val="24"/>
          <w:szCs w:val="24"/>
        </w:rPr>
      </w:pPr>
      <w:r>
        <w:t xml:space="preserve">MAS (2022) </w:t>
      </w:r>
      <w:hyperlink r:id="rId20" w:history="1">
        <w:r>
          <w:rPr>
            <w:rStyle w:val="Hyperlink"/>
          </w:rPr>
          <w:t>Free and impartial money advice, set up by government - Money Advice Service</w:t>
        </w:r>
      </w:hyperlink>
    </w:p>
    <w:p w14:paraId="3BEDE4A0" w14:textId="5EA99666" w:rsidR="00790436" w:rsidRDefault="00FF2BEF" w:rsidP="00F852C9">
      <w:pPr>
        <w:spacing w:after="0" w:line="480" w:lineRule="auto"/>
        <w:ind w:left="720" w:hanging="720"/>
        <w:rPr>
          <w:rFonts w:eastAsia="Times New Roman" w:cstheme="minorHAnsi"/>
          <w:bCs/>
          <w:sz w:val="24"/>
          <w:szCs w:val="24"/>
          <w:lang w:eastAsia="en-GB"/>
        </w:rPr>
      </w:pPr>
      <w:r w:rsidRPr="00AF6991">
        <w:rPr>
          <w:rFonts w:cstheme="minorHAnsi"/>
          <w:sz w:val="24"/>
          <w:szCs w:val="24"/>
          <w:lang w:val="en-US"/>
        </w:rPr>
        <w:t xml:space="preserve">Mehta, J. (2013) </w:t>
      </w:r>
      <w:r w:rsidRPr="00AF6991">
        <w:rPr>
          <w:rFonts w:cstheme="minorHAnsi"/>
          <w:i/>
          <w:sz w:val="24"/>
          <w:szCs w:val="24"/>
          <w:lang w:val="en-US"/>
        </w:rPr>
        <w:t xml:space="preserve">The discourse of bounded rationality in academic and policy areas: pathologising the errant consumer, </w:t>
      </w:r>
      <w:r w:rsidRPr="00AF6991">
        <w:rPr>
          <w:rFonts w:cstheme="minorHAnsi"/>
          <w:sz w:val="24"/>
          <w:szCs w:val="24"/>
          <w:lang w:val="en-US"/>
        </w:rPr>
        <w:t>Cambridge Journal of Economics</w:t>
      </w:r>
      <w:r w:rsidR="00B33CB2" w:rsidRPr="00AF6991">
        <w:rPr>
          <w:rFonts w:cstheme="minorHAnsi"/>
          <w:sz w:val="24"/>
          <w:szCs w:val="24"/>
          <w:lang w:val="en-US"/>
        </w:rPr>
        <w:t>,</w:t>
      </w:r>
      <w:r w:rsidRPr="00AF6991">
        <w:rPr>
          <w:rFonts w:cstheme="minorHAnsi"/>
          <w:sz w:val="24"/>
          <w:szCs w:val="24"/>
          <w:lang w:val="en-US"/>
        </w:rPr>
        <w:t xml:space="preserve"> 37, pp 1243 – 1261.</w:t>
      </w:r>
      <w:r w:rsidR="00790436" w:rsidRPr="00AF6991">
        <w:rPr>
          <w:rFonts w:eastAsia="Times New Roman" w:cstheme="minorHAnsi"/>
          <w:bCs/>
          <w:sz w:val="24"/>
          <w:szCs w:val="24"/>
          <w:lang w:eastAsia="en-GB"/>
        </w:rPr>
        <w:t xml:space="preserve"> </w:t>
      </w:r>
    </w:p>
    <w:p w14:paraId="3145DB87" w14:textId="2D83F851" w:rsidR="00237611" w:rsidRPr="00237611" w:rsidRDefault="00237611" w:rsidP="00F852C9">
      <w:pPr>
        <w:spacing w:after="0" w:line="480" w:lineRule="auto"/>
        <w:ind w:left="720" w:hanging="720"/>
        <w:rPr>
          <w:rFonts w:eastAsia="Times New Roman" w:cstheme="minorHAnsi"/>
          <w:bCs/>
          <w:sz w:val="24"/>
          <w:szCs w:val="24"/>
          <w:lang w:eastAsia="en-GB"/>
        </w:rPr>
      </w:pPr>
      <w:r>
        <w:rPr>
          <w:rFonts w:eastAsia="Times New Roman" w:cstheme="minorHAnsi"/>
          <w:bCs/>
          <w:sz w:val="24"/>
          <w:szCs w:val="24"/>
          <w:lang w:eastAsia="en-GB"/>
        </w:rPr>
        <w:t xml:space="preserve">Moss J. (2015) </w:t>
      </w:r>
      <w:r>
        <w:rPr>
          <w:rFonts w:eastAsia="Times New Roman" w:cstheme="minorHAnsi"/>
          <w:bCs/>
          <w:i/>
          <w:sz w:val="24"/>
          <w:szCs w:val="24"/>
          <w:lang w:eastAsia="en-GB"/>
        </w:rPr>
        <w:t xml:space="preserve">Personal Financial Planning Advice: Barriers to Access, </w:t>
      </w:r>
      <w:r>
        <w:rPr>
          <w:rFonts w:eastAsia="Times New Roman" w:cstheme="minorHAnsi"/>
          <w:bCs/>
          <w:sz w:val="24"/>
          <w:szCs w:val="24"/>
          <w:lang w:eastAsia="en-GB"/>
        </w:rPr>
        <w:t xml:space="preserve">University of Birmingham, </w:t>
      </w:r>
      <w:hyperlink r:id="rId21" w:history="1">
        <w:r w:rsidRPr="00237611">
          <w:rPr>
            <w:rStyle w:val="Hyperlink"/>
            <w:rFonts w:eastAsia="Times New Roman" w:cstheme="minorHAnsi"/>
            <w:bCs/>
            <w:sz w:val="24"/>
            <w:szCs w:val="24"/>
            <w:lang w:eastAsia="en-GB"/>
          </w:rPr>
          <w:t>UBIRA ETheses - Personal financial planning advice: barriers to access (bham.ac.uk)</w:t>
        </w:r>
      </w:hyperlink>
    </w:p>
    <w:p w14:paraId="62A389AC" w14:textId="77777777" w:rsidR="00FE7CDD" w:rsidRPr="00C759A3" w:rsidRDefault="00FE7CDD" w:rsidP="00237611">
      <w:pPr>
        <w:spacing w:line="480" w:lineRule="auto"/>
        <w:ind w:left="720" w:hanging="720"/>
        <w:rPr>
          <w:sz w:val="24"/>
          <w:szCs w:val="24"/>
        </w:rPr>
      </w:pPr>
      <w:r w:rsidRPr="00C759A3">
        <w:rPr>
          <w:sz w:val="24"/>
          <w:szCs w:val="24"/>
        </w:rPr>
        <w:t>Overton L. and Cook C.Q. (2022</w:t>
      </w:r>
      <w:r w:rsidRPr="00C759A3">
        <w:rPr>
          <w:i/>
          <w:sz w:val="24"/>
          <w:szCs w:val="24"/>
        </w:rPr>
        <w:t>) Pension Decision-Making in the New Retirement Landscape: Understanding and improving outcomes for consumers,</w:t>
      </w:r>
      <w:r w:rsidRPr="00C759A3">
        <w:rPr>
          <w:sz w:val="24"/>
          <w:szCs w:val="24"/>
        </w:rPr>
        <w:t xml:space="preserve"> CHASM, University of Birmingham</w:t>
      </w:r>
    </w:p>
    <w:p w14:paraId="132A196D" w14:textId="77777777" w:rsidR="00E42AA6" w:rsidRDefault="00E42AA6" w:rsidP="00F852C9">
      <w:pPr>
        <w:spacing w:line="480" w:lineRule="auto"/>
        <w:ind w:left="720" w:hanging="720"/>
        <w:rPr>
          <w:rFonts w:cstheme="minorHAnsi"/>
          <w:sz w:val="24"/>
          <w:szCs w:val="24"/>
        </w:rPr>
      </w:pPr>
      <w:r w:rsidRPr="00297DD8">
        <w:rPr>
          <w:rFonts w:cstheme="minorHAnsi"/>
          <w:sz w:val="24"/>
          <w:szCs w:val="24"/>
        </w:rPr>
        <w:lastRenderedPageBreak/>
        <w:t xml:space="preserve">Palmer, A. (2001) </w:t>
      </w:r>
      <w:r w:rsidRPr="00297DD8">
        <w:rPr>
          <w:rFonts w:cstheme="minorHAnsi"/>
          <w:i/>
          <w:iCs/>
          <w:sz w:val="24"/>
          <w:szCs w:val="24"/>
        </w:rPr>
        <w:t xml:space="preserve">Principles of Services Marketing, </w:t>
      </w:r>
      <w:r w:rsidRPr="00297DD8">
        <w:rPr>
          <w:rFonts w:cstheme="minorHAnsi"/>
          <w:sz w:val="24"/>
          <w:szCs w:val="24"/>
        </w:rPr>
        <w:t>McGraw-Hill, Cheltenham, UK.</w:t>
      </w:r>
    </w:p>
    <w:p w14:paraId="3694E8FC" w14:textId="09BAEDDB" w:rsidR="00FE7CDD" w:rsidRDefault="00FE7CDD" w:rsidP="00FE7CDD">
      <w:pPr>
        <w:spacing w:line="480" w:lineRule="auto"/>
        <w:ind w:left="720" w:hanging="720"/>
        <w:rPr>
          <w:rFonts w:cstheme="minorHAnsi"/>
          <w:sz w:val="24"/>
          <w:szCs w:val="24"/>
        </w:rPr>
      </w:pPr>
      <w:r w:rsidRPr="00C759A3">
        <w:rPr>
          <w:sz w:val="24"/>
          <w:szCs w:val="24"/>
        </w:rPr>
        <w:t xml:space="preserve">Rabbani, A., Heo, W. &amp; Grable, J.E. (2021) </w:t>
      </w:r>
      <w:r w:rsidRPr="00C759A3">
        <w:rPr>
          <w:i/>
          <w:sz w:val="24"/>
          <w:szCs w:val="24"/>
        </w:rPr>
        <w:t>The role of financial literacy in describing the use of professional financial advisors before and during the COVID-19 pandemic.</w:t>
      </w:r>
      <w:r w:rsidRPr="00C759A3">
        <w:rPr>
          <w:sz w:val="24"/>
          <w:szCs w:val="24"/>
        </w:rPr>
        <w:t> </w:t>
      </w:r>
      <w:r w:rsidRPr="00C759A3">
        <w:rPr>
          <w:i/>
          <w:iCs/>
          <w:sz w:val="24"/>
          <w:szCs w:val="24"/>
        </w:rPr>
        <w:t>J Financ Serv Mark</w:t>
      </w:r>
      <w:r w:rsidRPr="00C759A3">
        <w:rPr>
          <w:sz w:val="24"/>
          <w:szCs w:val="24"/>
        </w:rPr>
        <w:t> </w:t>
      </w:r>
      <w:r w:rsidRPr="00C759A3">
        <w:rPr>
          <w:b/>
          <w:bCs/>
          <w:sz w:val="24"/>
          <w:szCs w:val="24"/>
        </w:rPr>
        <w:t>26, </w:t>
      </w:r>
      <w:r w:rsidRPr="00C759A3">
        <w:rPr>
          <w:sz w:val="24"/>
          <w:szCs w:val="24"/>
        </w:rPr>
        <w:t>226–236 (2021). https://doi.org/10.1057/s41264-021-00109-w</w:t>
      </w:r>
    </w:p>
    <w:p w14:paraId="0B83CCBB" w14:textId="1AEC9DCF" w:rsidR="00772097" w:rsidRPr="00E77AB3" w:rsidRDefault="00E77AB3" w:rsidP="00F852C9">
      <w:pPr>
        <w:spacing w:after="0" w:line="480" w:lineRule="auto"/>
        <w:ind w:left="720" w:hanging="720"/>
        <w:rPr>
          <w:rFonts w:cstheme="minorHAnsi"/>
          <w:sz w:val="24"/>
          <w:szCs w:val="24"/>
          <w:lang w:val="en-US"/>
        </w:rPr>
      </w:pPr>
      <w:r>
        <w:rPr>
          <w:rFonts w:eastAsia="Times New Roman" w:cstheme="minorHAnsi"/>
          <w:bCs/>
          <w:sz w:val="24"/>
          <w:szCs w:val="24"/>
          <w:lang w:eastAsia="en-GB"/>
        </w:rPr>
        <w:t xml:space="preserve">Redwood, R., Carrera, L., Armstrong, J and Pennanen, T. </w:t>
      </w:r>
      <w:r w:rsidR="00772097">
        <w:rPr>
          <w:rFonts w:eastAsia="Times New Roman" w:cstheme="minorHAnsi"/>
          <w:bCs/>
          <w:sz w:val="24"/>
          <w:szCs w:val="24"/>
          <w:lang w:eastAsia="en-GB"/>
        </w:rPr>
        <w:t xml:space="preserve">(2013) </w:t>
      </w:r>
      <w:r w:rsidR="00772097">
        <w:rPr>
          <w:rFonts w:eastAsia="Times New Roman" w:cstheme="minorHAnsi"/>
          <w:bCs/>
          <w:i/>
          <w:iCs/>
          <w:sz w:val="24"/>
          <w:szCs w:val="24"/>
          <w:lang w:eastAsia="en-GB"/>
        </w:rPr>
        <w:t xml:space="preserve">What level of pension contribution is needed to obtain an adequate retirement Income, </w:t>
      </w:r>
      <w:r>
        <w:rPr>
          <w:rFonts w:eastAsia="Times New Roman" w:cstheme="minorHAnsi"/>
          <w:bCs/>
          <w:sz w:val="24"/>
          <w:szCs w:val="24"/>
          <w:lang w:eastAsia="en-GB"/>
        </w:rPr>
        <w:t>Pensions Policy Institute, London</w:t>
      </w:r>
      <w:r w:rsidR="006F599F">
        <w:rPr>
          <w:rFonts w:eastAsia="Times New Roman" w:cstheme="minorHAnsi"/>
          <w:bCs/>
          <w:sz w:val="24"/>
          <w:szCs w:val="24"/>
          <w:lang w:eastAsia="en-GB"/>
        </w:rPr>
        <w:t>, UK</w:t>
      </w:r>
    </w:p>
    <w:p w14:paraId="0772AE02" w14:textId="7DF8C748" w:rsidR="002C3F3D" w:rsidRPr="002C3F3D" w:rsidRDefault="00B2750C" w:rsidP="00F852C9">
      <w:pPr>
        <w:spacing w:after="0" w:line="480" w:lineRule="auto"/>
        <w:ind w:left="720" w:hanging="720"/>
        <w:rPr>
          <w:rFonts w:eastAsia="Times New Roman" w:cstheme="minorHAnsi"/>
          <w:bCs/>
          <w:sz w:val="24"/>
          <w:szCs w:val="24"/>
          <w:lang w:val="en-US" w:eastAsia="en-GB"/>
        </w:rPr>
      </w:pPr>
      <w:r w:rsidRPr="00AF6991">
        <w:rPr>
          <w:rFonts w:eastAsia="Times New Roman" w:cstheme="minorHAnsi"/>
          <w:bCs/>
          <w:sz w:val="24"/>
          <w:szCs w:val="24"/>
          <w:lang w:val="en-US" w:eastAsia="en-GB"/>
        </w:rPr>
        <w:t>Renn and Levine (</w:t>
      </w:r>
      <w:r w:rsidR="00C165EA" w:rsidRPr="00AF6991">
        <w:rPr>
          <w:rFonts w:eastAsia="Times New Roman" w:cstheme="minorHAnsi"/>
          <w:bCs/>
          <w:sz w:val="24"/>
          <w:szCs w:val="24"/>
          <w:lang w:val="en-US" w:eastAsia="en-GB"/>
        </w:rPr>
        <w:t>1989</w:t>
      </w:r>
      <w:r w:rsidR="0063418E" w:rsidRPr="00AF6991">
        <w:rPr>
          <w:rFonts w:eastAsia="Times New Roman" w:cstheme="minorHAnsi"/>
          <w:bCs/>
          <w:sz w:val="24"/>
          <w:szCs w:val="24"/>
          <w:lang w:val="en-US" w:eastAsia="en-GB"/>
        </w:rPr>
        <w:t>)</w:t>
      </w:r>
      <w:r w:rsidRPr="00AF6991">
        <w:rPr>
          <w:rFonts w:eastAsia="Times New Roman" w:cstheme="minorHAnsi"/>
          <w:bCs/>
          <w:sz w:val="24"/>
          <w:szCs w:val="24"/>
          <w:lang w:val="en-US" w:eastAsia="en-GB"/>
        </w:rPr>
        <w:t xml:space="preserve"> </w:t>
      </w:r>
      <w:r w:rsidRPr="00AF6991">
        <w:rPr>
          <w:rFonts w:eastAsia="Times New Roman" w:cstheme="minorHAnsi"/>
          <w:bCs/>
          <w:i/>
          <w:sz w:val="24"/>
          <w:szCs w:val="24"/>
          <w:lang w:val="en-US" w:eastAsia="en-GB"/>
        </w:rPr>
        <w:t>Trust and C</w:t>
      </w:r>
      <w:r w:rsidR="00C165EA" w:rsidRPr="00AF6991">
        <w:rPr>
          <w:rFonts w:eastAsia="Times New Roman" w:cstheme="minorHAnsi"/>
          <w:bCs/>
          <w:i/>
          <w:sz w:val="24"/>
          <w:szCs w:val="24"/>
          <w:lang w:val="en-US" w:eastAsia="en-GB"/>
        </w:rPr>
        <w:t xml:space="preserve">redibility in Risk Communication, </w:t>
      </w:r>
      <w:r w:rsidR="00C165EA" w:rsidRPr="00AF6991">
        <w:rPr>
          <w:rFonts w:eastAsia="Times New Roman" w:cstheme="minorHAnsi"/>
          <w:bCs/>
          <w:sz w:val="24"/>
          <w:szCs w:val="24"/>
          <w:lang w:val="en-US" w:eastAsia="en-GB"/>
        </w:rPr>
        <w:t>Clark University, Worcester, Massachusetts</w:t>
      </w:r>
      <w:r w:rsidR="006F599F">
        <w:rPr>
          <w:rFonts w:eastAsia="Times New Roman" w:cstheme="minorHAnsi"/>
          <w:bCs/>
          <w:sz w:val="24"/>
          <w:szCs w:val="24"/>
          <w:lang w:val="en-US" w:eastAsia="en-GB"/>
        </w:rPr>
        <w:t>, USA</w:t>
      </w:r>
      <w:r w:rsidR="00C165EA" w:rsidRPr="00AF6991">
        <w:rPr>
          <w:rFonts w:eastAsia="Times New Roman" w:cstheme="minorHAnsi"/>
          <w:bCs/>
          <w:sz w:val="24"/>
          <w:szCs w:val="24"/>
          <w:lang w:val="en-US" w:eastAsia="en-GB"/>
        </w:rPr>
        <w:t>.</w:t>
      </w:r>
    </w:p>
    <w:p w14:paraId="558A3E38" w14:textId="7641CB03" w:rsidR="002C3F3D" w:rsidRPr="008F0E1A" w:rsidRDefault="002C3F3D" w:rsidP="00F852C9">
      <w:pPr>
        <w:widowControl w:val="0"/>
        <w:overflowPunct w:val="0"/>
        <w:autoSpaceDE w:val="0"/>
        <w:autoSpaceDN w:val="0"/>
        <w:adjustRightInd w:val="0"/>
        <w:spacing w:after="0" w:line="480" w:lineRule="auto"/>
        <w:ind w:left="720" w:hanging="720"/>
        <w:rPr>
          <w:rFonts w:eastAsia="Times New Roman" w:cs="Times New Roman"/>
          <w:kern w:val="28"/>
          <w:sz w:val="24"/>
          <w:szCs w:val="24"/>
          <w:lang w:val="en-US"/>
        </w:rPr>
      </w:pPr>
      <w:r>
        <w:rPr>
          <w:rFonts w:eastAsia="Times New Roman" w:cs="Times New Roman"/>
          <w:kern w:val="28"/>
          <w:sz w:val="24"/>
          <w:szCs w:val="24"/>
          <w:lang w:val="en-US"/>
        </w:rPr>
        <w:t xml:space="preserve">Resolution Foundation (2007) </w:t>
      </w:r>
      <w:r>
        <w:rPr>
          <w:rFonts w:eastAsia="Times New Roman" w:cs="Times New Roman"/>
          <w:i/>
          <w:kern w:val="28"/>
          <w:sz w:val="24"/>
          <w:szCs w:val="24"/>
          <w:lang w:val="en-US"/>
        </w:rPr>
        <w:t xml:space="preserve">The Advice Gain: the impact of generic financial advice on the financial service industry. </w:t>
      </w:r>
      <w:r w:rsidRPr="002C3F3D">
        <w:rPr>
          <w:rFonts w:eastAsia="Times New Roman" w:cs="Times New Roman"/>
          <w:iCs/>
          <w:kern w:val="28"/>
          <w:sz w:val="24"/>
          <w:szCs w:val="24"/>
          <w:lang w:val="en-US"/>
        </w:rPr>
        <w:t>Resolution Foundation,</w:t>
      </w:r>
      <w:r>
        <w:rPr>
          <w:rFonts w:eastAsia="Times New Roman" w:cs="Times New Roman"/>
          <w:i/>
          <w:kern w:val="28"/>
          <w:sz w:val="24"/>
          <w:szCs w:val="24"/>
          <w:lang w:val="en-US"/>
        </w:rPr>
        <w:t xml:space="preserve"> </w:t>
      </w:r>
      <w:r>
        <w:rPr>
          <w:rFonts w:eastAsia="Times New Roman" w:cs="Times New Roman"/>
          <w:kern w:val="28"/>
          <w:sz w:val="24"/>
          <w:szCs w:val="24"/>
          <w:lang w:val="en-US"/>
        </w:rPr>
        <w:t>London</w:t>
      </w:r>
      <w:r w:rsidR="006F599F">
        <w:rPr>
          <w:rFonts w:eastAsia="Times New Roman" w:cs="Times New Roman"/>
          <w:kern w:val="28"/>
          <w:sz w:val="24"/>
          <w:szCs w:val="24"/>
          <w:lang w:val="en-US"/>
        </w:rPr>
        <w:t>, UK</w:t>
      </w:r>
      <w:r>
        <w:rPr>
          <w:rFonts w:eastAsia="Times New Roman" w:cs="Times New Roman"/>
          <w:kern w:val="28"/>
          <w:sz w:val="24"/>
          <w:szCs w:val="24"/>
          <w:lang w:val="en-US"/>
        </w:rPr>
        <w:t>.</w:t>
      </w:r>
    </w:p>
    <w:p w14:paraId="794AF9EF" w14:textId="64896A98" w:rsidR="00AF6AEF" w:rsidRDefault="00AF2A4F" w:rsidP="00F852C9">
      <w:pPr>
        <w:widowControl w:val="0"/>
        <w:overflowPunct w:val="0"/>
        <w:autoSpaceDE w:val="0"/>
        <w:autoSpaceDN w:val="0"/>
        <w:adjustRightInd w:val="0"/>
        <w:spacing w:after="0" w:line="480" w:lineRule="auto"/>
        <w:ind w:left="720" w:hanging="720"/>
        <w:rPr>
          <w:rStyle w:val="Hyperlink"/>
          <w:rFonts w:eastAsia="Times New Roman" w:cstheme="minorHAnsi"/>
          <w:color w:val="auto"/>
          <w:kern w:val="28"/>
          <w:sz w:val="24"/>
          <w:szCs w:val="24"/>
          <w:lang w:val="en-US"/>
        </w:rPr>
      </w:pPr>
      <w:r w:rsidRPr="00AF6991">
        <w:rPr>
          <w:rFonts w:eastAsia="Times New Roman" w:cstheme="minorHAnsi"/>
          <w:kern w:val="28"/>
          <w:sz w:val="24"/>
          <w:szCs w:val="24"/>
          <w:lang w:val="en-US"/>
        </w:rPr>
        <w:t xml:space="preserve">Resolution Foundation (2013) </w:t>
      </w:r>
      <w:r w:rsidRPr="00AF6991">
        <w:rPr>
          <w:rFonts w:eastAsia="Times New Roman" w:cstheme="minorHAnsi"/>
          <w:i/>
          <w:kern w:val="28"/>
          <w:sz w:val="24"/>
          <w:szCs w:val="24"/>
          <w:lang w:val="en-US"/>
        </w:rPr>
        <w:t xml:space="preserve">Squeezed Britain. </w:t>
      </w:r>
      <w:hyperlink r:id="rId22" w:history="1">
        <w:r w:rsidRPr="00AF6991">
          <w:rPr>
            <w:rStyle w:val="Hyperlink"/>
            <w:rFonts w:eastAsia="Times New Roman" w:cstheme="minorHAnsi"/>
            <w:color w:val="auto"/>
            <w:kern w:val="28"/>
            <w:sz w:val="24"/>
            <w:szCs w:val="24"/>
            <w:lang w:val="en-US"/>
          </w:rPr>
          <w:t>http://squeezedbritain.resolutionfoundation.org</w:t>
        </w:r>
      </w:hyperlink>
    </w:p>
    <w:p w14:paraId="06CB2E3A" w14:textId="5CBD55E3" w:rsidR="00FF1A12" w:rsidRPr="00FF1A12" w:rsidRDefault="00FF1A12" w:rsidP="00F852C9">
      <w:pPr>
        <w:widowControl w:val="0"/>
        <w:overflowPunct w:val="0"/>
        <w:autoSpaceDE w:val="0"/>
        <w:autoSpaceDN w:val="0"/>
        <w:adjustRightInd w:val="0"/>
        <w:spacing w:after="0" w:line="480" w:lineRule="auto"/>
        <w:ind w:left="720" w:hanging="720"/>
        <w:rPr>
          <w:rStyle w:val="Hyperlink"/>
          <w:rFonts w:eastAsia="Times New Roman" w:cstheme="minorHAnsi"/>
          <w:kern w:val="28"/>
          <w:sz w:val="24"/>
          <w:szCs w:val="24"/>
          <w:u w:val="none"/>
          <w:lang w:val="en-US"/>
        </w:rPr>
      </w:pPr>
      <w:r w:rsidRPr="00FF1A12">
        <w:rPr>
          <w:rStyle w:val="Hyperlink"/>
          <w:rFonts w:eastAsia="Times New Roman" w:cstheme="minorHAnsi"/>
          <w:color w:val="auto"/>
          <w:kern w:val="28"/>
          <w:sz w:val="24"/>
          <w:szCs w:val="24"/>
          <w:u w:val="none"/>
          <w:lang w:val="en-US"/>
        </w:rPr>
        <w:t xml:space="preserve">Ripley, E and </w:t>
      </w:r>
      <w:r>
        <w:rPr>
          <w:rStyle w:val="Hyperlink"/>
          <w:rFonts w:eastAsia="Times New Roman" w:cstheme="minorHAnsi"/>
          <w:color w:val="auto"/>
          <w:kern w:val="28"/>
          <w:sz w:val="24"/>
          <w:szCs w:val="24"/>
          <w:u w:val="none"/>
          <w:lang w:val="en-US"/>
        </w:rPr>
        <w:t xml:space="preserve">Weir, J (2020) </w:t>
      </w:r>
      <w:r>
        <w:rPr>
          <w:rStyle w:val="Hyperlink"/>
          <w:rFonts w:eastAsia="Times New Roman" w:cstheme="minorHAnsi"/>
          <w:i/>
          <w:iCs/>
          <w:color w:val="auto"/>
          <w:kern w:val="28"/>
          <w:sz w:val="24"/>
          <w:szCs w:val="24"/>
          <w:u w:val="none"/>
          <w:lang w:val="en-US"/>
        </w:rPr>
        <w:t xml:space="preserve">Evaluation of the Retail Distribution Review and the Financial Market Review – Consumer Research to inform the FCA’s Review, </w:t>
      </w:r>
      <w:r>
        <w:rPr>
          <w:rStyle w:val="Hyperlink"/>
          <w:rFonts w:eastAsia="Times New Roman" w:cstheme="minorHAnsi"/>
          <w:color w:val="auto"/>
          <w:kern w:val="28"/>
          <w:sz w:val="24"/>
          <w:szCs w:val="24"/>
          <w:u w:val="none"/>
          <w:lang w:val="en-US"/>
        </w:rPr>
        <w:t>Ignition House, London</w:t>
      </w:r>
      <w:r w:rsidR="006F599F">
        <w:rPr>
          <w:rStyle w:val="Hyperlink"/>
          <w:rFonts w:eastAsia="Times New Roman" w:cstheme="minorHAnsi"/>
          <w:color w:val="auto"/>
          <w:kern w:val="28"/>
          <w:sz w:val="24"/>
          <w:szCs w:val="24"/>
          <w:u w:val="none"/>
          <w:lang w:val="en-US"/>
        </w:rPr>
        <w:t>, UK</w:t>
      </w:r>
      <w:r>
        <w:rPr>
          <w:rStyle w:val="Hyperlink"/>
          <w:rFonts w:eastAsia="Times New Roman" w:cstheme="minorHAnsi"/>
          <w:color w:val="auto"/>
          <w:kern w:val="28"/>
          <w:sz w:val="24"/>
          <w:szCs w:val="24"/>
          <w:u w:val="none"/>
          <w:lang w:val="en-US"/>
        </w:rPr>
        <w:t>.</w:t>
      </w:r>
    </w:p>
    <w:p w14:paraId="54D28E25" w14:textId="77777777" w:rsidR="00AF6AEF" w:rsidRPr="00AF6991" w:rsidRDefault="00AF6AEF" w:rsidP="00F852C9">
      <w:pPr>
        <w:spacing w:after="0" w:line="480" w:lineRule="auto"/>
        <w:ind w:left="720" w:hanging="720"/>
        <w:rPr>
          <w:rFonts w:eastAsia="Times New Roman" w:cstheme="minorHAnsi"/>
          <w:kern w:val="28"/>
          <w:sz w:val="24"/>
          <w:szCs w:val="24"/>
          <w:lang w:val="en-US"/>
        </w:rPr>
      </w:pPr>
      <w:bookmarkStart w:id="1" w:name="_Hlk516214133"/>
      <w:r w:rsidRPr="00AF6991">
        <w:rPr>
          <w:rFonts w:eastAsia="Times New Roman" w:cstheme="minorHAnsi"/>
          <w:kern w:val="28"/>
          <w:sz w:val="24"/>
          <w:szCs w:val="24"/>
          <w:lang w:val="en-US"/>
        </w:rPr>
        <w:t>Rosenstock</w:t>
      </w:r>
      <w:bookmarkEnd w:id="1"/>
      <w:r w:rsidRPr="00AF6991">
        <w:rPr>
          <w:rFonts w:eastAsia="Times New Roman" w:cstheme="minorHAnsi"/>
          <w:kern w:val="28"/>
          <w:sz w:val="24"/>
          <w:szCs w:val="24"/>
          <w:lang w:val="en-US"/>
        </w:rPr>
        <w:t xml:space="preserve">, I.M., Strecher, V.J. and Becker, M.H. (1988) </w:t>
      </w:r>
      <w:r w:rsidRPr="00AF6991">
        <w:rPr>
          <w:rFonts w:eastAsia="Times New Roman" w:cstheme="minorHAnsi"/>
          <w:bCs/>
          <w:kern w:val="28"/>
          <w:sz w:val="24"/>
          <w:szCs w:val="24"/>
          <w:lang w:val="en-US"/>
        </w:rPr>
        <w:t xml:space="preserve">Social Learning Theory and the Health Belief Model.  </w:t>
      </w:r>
      <w:hyperlink r:id="rId23" w:history="1">
        <w:r w:rsidRPr="00AF6991">
          <w:rPr>
            <w:rStyle w:val="Hyperlink"/>
            <w:rFonts w:eastAsia="Times New Roman" w:cstheme="minorHAnsi"/>
            <w:kern w:val="28"/>
            <w:sz w:val="24"/>
            <w:szCs w:val="24"/>
            <w:lang w:val="en-US"/>
          </w:rPr>
          <w:t>http://heb.sagepub.com/cgi/content/abstract/15/2/175</w:t>
        </w:r>
      </w:hyperlink>
      <w:r w:rsidRPr="00AF6991">
        <w:rPr>
          <w:rFonts w:eastAsia="Times New Roman" w:cstheme="minorHAnsi"/>
          <w:kern w:val="28"/>
          <w:sz w:val="24"/>
          <w:szCs w:val="24"/>
          <w:lang w:val="en-US"/>
        </w:rPr>
        <w:t>.</w:t>
      </w:r>
    </w:p>
    <w:p w14:paraId="2CF88CE3" w14:textId="2144B842" w:rsidR="00AF6AEF" w:rsidRPr="00AF6991" w:rsidRDefault="00AF6AEF" w:rsidP="00F852C9">
      <w:pPr>
        <w:spacing w:after="0" w:line="480" w:lineRule="auto"/>
        <w:ind w:left="720" w:hanging="720"/>
        <w:rPr>
          <w:rFonts w:cstheme="minorHAnsi"/>
          <w:sz w:val="24"/>
          <w:szCs w:val="24"/>
        </w:rPr>
      </w:pPr>
      <w:r w:rsidRPr="00AF6991">
        <w:rPr>
          <w:rFonts w:cstheme="minorHAnsi"/>
          <w:sz w:val="24"/>
          <w:szCs w:val="24"/>
        </w:rPr>
        <w:t>Rowlingson, K. (2000)</w:t>
      </w:r>
      <w:r w:rsidRPr="00AF6991">
        <w:rPr>
          <w:rFonts w:cstheme="minorHAnsi"/>
          <w:b/>
          <w:bCs/>
          <w:sz w:val="24"/>
          <w:szCs w:val="24"/>
        </w:rPr>
        <w:t xml:space="preserve"> </w:t>
      </w:r>
      <w:r w:rsidRPr="00AF6991">
        <w:rPr>
          <w:rFonts w:cstheme="minorHAnsi"/>
          <w:i/>
          <w:iCs/>
          <w:sz w:val="24"/>
          <w:szCs w:val="24"/>
        </w:rPr>
        <w:t>Fate, Hope and Insecurity: Future Orientation and Forward Planning.</w:t>
      </w:r>
      <w:r w:rsidRPr="00AF6991">
        <w:rPr>
          <w:rFonts w:cstheme="minorHAnsi"/>
          <w:sz w:val="24"/>
          <w:szCs w:val="24"/>
        </w:rPr>
        <w:t xml:space="preserve"> Policy Studies Institute</w:t>
      </w:r>
      <w:r w:rsidR="006F599F">
        <w:rPr>
          <w:rFonts w:cstheme="minorHAnsi"/>
          <w:sz w:val="24"/>
          <w:szCs w:val="24"/>
        </w:rPr>
        <w:t>, London. UK</w:t>
      </w:r>
      <w:r w:rsidRPr="00AF6991">
        <w:rPr>
          <w:rFonts w:cstheme="minorHAnsi"/>
          <w:sz w:val="24"/>
          <w:szCs w:val="24"/>
        </w:rPr>
        <w:t>.</w:t>
      </w:r>
    </w:p>
    <w:p w14:paraId="7398196A" w14:textId="52A87C82" w:rsidR="00FB6B47" w:rsidRDefault="00FB6B47" w:rsidP="00F852C9">
      <w:pPr>
        <w:widowControl w:val="0"/>
        <w:overflowPunct w:val="0"/>
        <w:autoSpaceDE w:val="0"/>
        <w:autoSpaceDN w:val="0"/>
        <w:adjustRightInd w:val="0"/>
        <w:spacing w:after="0" w:line="480" w:lineRule="auto"/>
        <w:ind w:left="720" w:hanging="720"/>
        <w:rPr>
          <w:rFonts w:eastAsia="Times New Roman" w:cstheme="minorHAnsi"/>
          <w:kern w:val="28"/>
          <w:sz w:val="24"/>
          <w:szCs w:val="24"/>
        </w:rPr>
      </w:pPr>
      <w:r w:rsidRPr="00AF6991">
        <w:rPr>
          <w:rFonts w:eastAsia="Times New Roman" w:cstheme="minorHAnsi"/>
          <w:kern w:val="28"/>
          <w:sz w:val="24"/>
          <w:szCs w:val="24"/>
        </w:rPr>
        <w:t xml:space="preserve">Sandler, R. (2002) </w:t>
      </w:r>
      <w:r w:rsidRPr="00AF6991">
        <w:rPr>
          <w:rFonts w:eastAsia="Times New Roman" w:cstheme="minorHAnsi"/>
          <w:i/>
          <w:kern w:val="28"/>
          <w:sz w:val="24"/>
          <w:szCs w:val="24"/>
        </w:rPr>
        <w:t>Medium and Long</w:t>
      </w:r>
      <w:r w:rsidR="00215180" w:rsidRPr="00AF6991">
        <w:rPr>
          <w:rFonts w:eastAsia="Times New Roman" w:cstheme="minorHAnsi"/>
          <w:i/>
          <w:kern w:val="28"/>
          <w:sz w:val="24"/>
          <w:szCs w:val="24"/>
        </w:rPr>
        <w:t>-</w:t>
      </w:r>
      <w:r w:rsidRPr="00AF6991">
        <w:rPr>
          <w:rFonts w:eastAsia="Times New Roman" w:cstheme="minorHAnsi"/>
          <w:i/>
          <w:kern w:val="28"/>
          <w:sz w:val="24"/>
          <w:szCs w:val="24"/>
        </w:rPr>
        <w:t xml:space="preserve">Term Retail Savings in the UK. A Review. </w:t>
      </w:r>
      <w:r w:rsidRPr="00AF6991">
        <w:rPr>
          <w:rFonts w:eastAsia="Times New Roman" w:cstheme="minorHAnsi"/>
          <w:kern w:val="28"/>
          <w:sz w:val="24"/>
          <w:szCs w:val="24"/>
        </w:rPr>
        <w:t>HM Treasury, London</w:t>
      </w:r>
      <w:r w:rsidR="006F599F">
        <w:rPr>
          <w:rFonts w:eastAsia="Times New Roman" w:cstheme="minorHAnsi"/>
          <w:kern w:val="28"/>
          <w:sz w:val="24"/>
          <w:szCs w:val="24"/>
        </w:rPr>
        <w:t>, UK</w:t>
      </w:r>
      <w:r w:rsidRPr="00AF6991">
        <w:rPr>
          <w:rFonts w:eastAsia="Times New Roman" w:cstheme="minorHAnsi"/>
          <w:kern w:val="28"/>
          <w:sz w:val="24"/>
          <w:szCs w:val="24"/>
        </w:rPr>
        <w:t>.</w:t>
      </w:r>
    </w:p>
    <w:p w14:paraId="5C344A48" w14:textId="58679DA8" w:rsidR="002C3F3D" w:rsidRDefault="002C3F3D" w:rsidP="00F852C9">
      <w:pPr>
        <w:spacing w:line="480" w:lineRule="auto"/>
        <w:ind w:left="720" w:hanging="720"/>
        <w:rPr>
          <w:rFonts w:cstheme="minorHAnsi"/>
          <w:bCs/>
          <w:sz w:val="24"/>
          <w:szCs w:val="24"/>
        </w:rPr>
      </w:pPr>
      <w:r>
        <w:rPr>
          <w:rFonts w:cstheme="minorHAnsi"/>
          <w:bCs/>
          <w:sz w:val="24"/>
          <w:szCs w:val="24"/>
        </w:rPr>
        <w:lastRenderedPageBreak/>
        <w:t xml:space="preserve">Shefrin, H. (2002) </w:t>
      </w:r>
      <w:r>
        <w:rPr>
          <w:rFonts w:cstheme="minorHAnsi"/>
          <w:bCs/>
          <w:i/>
          <w:iCs/>
          <w:sz w:val="24"/>
          <w:szCs w:val="24"/>
        </w:rPr>
        <w:t xml:space="preserve">Beyond Greed and Fear: Understanding Behavioral Finance and the Psychology of Investing, </w:t>
      </w:r>
      <w:r>
        <w:rPr>
          <w:rFonts w:cstheme="minorHAnsi"/>
          <w:bCs/>
          <w:sz w:val="24"/>
          <w:szCs w:val="24"/>
        </w:rPr>
        <w:t>Oxford University Press, New York</w:t>
      </w:r>
      <w:r w:rsidR="006F599F">
        <w:rPr>
          <w:rFonts w:cstheme="minorHAnsi"/>
          <w:bCs/>
          <w:sz w:val="24"/>
          <w:szCs w:val="24"/>
        </w:rPr>
        <w:t>, USA</w:t>
      </w:r>
      <w:r>
        <w:rPr>
          <w:rFonts w:cstheme="minorHAnsi"/>
          <w:bCs/>
          <w:sz w:val="24"/>
          <w:szCs w:val="24"/>
        </w:rPr>
        <w:t>.</w:t>
      </w:r>
    </w:p>
    <w:p w14:paraId="64B486E7" w14:textId="1E199DE0" w:rsidR="001E0283" w:rsidRDefault="001E0283" w:rsidP="00F852C9">
      <w:pPr>
        <w:spacing w:line="480" w:lineRule="auto"/>
        <w:ind w:left="720" w:hanging="720"/>
        <w:rPr>
          <w:rFonts w:cstheme="minorHAnsi"/>
          <w:bCs/>
          <w:sz w:val="24"/>
          <w:szCs w:val="24"/>
        </w:rPr>
      </w:pPr>
      <w:r w:rsidRPr="001E0283">
        <w:rPr>
          <w:rFonts w:cstheme="minorHAnsi"/>
          <w:bCs/>
          <w:sz w:val="24"/>
          <w:szCs w:val="24"/>
        </w:rPr>
        <w:t xml:space="preserve">Sherraden M.S., Ansong D. (2016) </w:t>
      </w:r>
      <w:r w:rsidRPr="007F5533">
        <w:rPr>
          <w:rFonts w:cstheme="minorHAnsi"/>
          <w:bCs/>
          <w:i/>
          <w:iCs/>
          <w:sz w:val="24"/>
          <w:szCs w:val="24"/>
        </w:rPr>
        <w:t>Financial Literacy to Financial Capability: Building Financial Stability and Security.</w:t>
      </w:r>
      <w:r w:rsidRPr="001E0283">
        <w:rPr>
          <w:rFonts w:cstheme="minorHAnsi"/>
          <w:bCs/>
          <w:sz w:val="24"/>
          <w:szCs w:val="24"/>
        </w:rPr>
        <w:t xml:space="preserve"> In: Aprea C. et al. (eds) International Handbook of Financial Literacy. Springer, Singapore. </w:t>
      </w:r>
      <w:hyperlink r:id="rId24" w:history="1">
        <w:r w:rsidRPr="002D4D3D">
          <w:rPr>
            <w:rStyle w:val="Hyperlink"/>
            <w:rFonts w:cstheme="minorHAnsi"/>
            <w:bCs/>
            <w:sz w:val="24"/>
            <w:szCs w:val="24"/>
          </w:rPr>
          <w:t>https://doi.org/10.1007/978-981-10-0360-8_7</w:t>
        </w:r>
      </w:hyperlink>
      <w:r>
        <w:rPr>
          <w:rFonts w:cstheme="minorHAnsi"/>
          <w:bCs/>
          <w:sz w:val="24"/>
          <w:szCs w:val="24"/>
        </w:rPr>
        <w:t>. pp 83-96.</w:t>
      </w:r>
    </w:p>
    <w:p w14:paraId="73DC19CC" w14:textId="528D1E20" w:rsidR="00C5086A" w:rsidRPr="00AF6991" w:rsidRDefault="00C5086A" w:rsidP="00F852C9">
      <w:pPr>
        <w:spacing w:line="480" w:lineRule="auto"/>
        <w:ind w:left="720" w:hanging="720"/>
        <w:rPr>
          <w:rFonts w:cstheme="minorHAnsi"/>
          <w:sz w:val="24"/>
          <w:szCs w:val="24"/>
        </w:rPr>
      </w:pPr>
      <w:r w:rsidRPr="00AF6991">
        <w:rPr>
          <w:rFonts w:cstheme="minorHAnsi"/>
          <w:sz w:val="24"/>
          <w:szCs w:val="24"/>
        </w:rPr>
        <w:t xml:space="preserve">Simon, H. (1955) </w:t>
      </w:r>
      <w:r w:rsidRPr="00AF6991">
        <w:rPr>
          <w:rFonts w:cstheme="minorHAnsi"/>
          <w:i/>
          <w:sz w:val="24"/>
          <w:szCs w:val="24"/>
        </w:rPr>
        <w:t>A Behavioral model of Rational Choice</w:t>
      </w:r>
      <w:r w:rsidRPr="00AF6991">
        <w:rPr>
          <w:rFonts w:cstheme="minorHAnsi"/>
          <w:sz w:val="24"/>
          <w:szCs w:val="24"/>
        </w:rPr>
        <w:t>, The Quarterly Journal of Economics, Vol. 69, No. 1, pp. 99-118.</w:t>
      </w:r>
    </w:p>
    <w:p w14:paraId="07214B5A" w14:textId="7B5F471B" w:rsidR="00C5086A" w:rsidRDefault="00C5086A" w:rsidP="00F852C9">
      <w:pPr>
        <w:widowControl w:val="0"/>
        <w:overflowPunct w:val="0"/>
        <w:autoSpaceDE w:val="0"/>
        <w:autoSpaceDN w:val="0"/>
        <w:adjustRightInd w:val="0"/>
        <w:spacing w:after="0" w:line="480" w:lineRule="auto"/>
        <w:ind w:left="720" w:hanging="720"/>
        <w:rPr>
          <w:rFonts w:eastAsia="Times New Roman" w:cstheme="minorHAnsi"/>
          <w:kern w:val="28"/>
          <w:sz w:val="24"/>
          <w:szCs w:val="24"/>
          <w:lang w:val="en-US"/>
        </w:rPr>
      </w:pPr>
      <w:r w:rsidRPr="00AF6991">
        <w:rPr>
          <w:rFonts w:eastAsia="Times New Roman" w:cstheme="minorHAnsi"/>
          <w:kern w:val="28"/>
          <w:sz w:val="24"/>
          <w:szCs w:val="24"/>
          <w:lang w:val="en-US"/>
        </w:rPr>
        <w:t xml:space="preserve">Spencer, L., Ritchie, J. and O’Connor, W. (2006) </w:t>
      </w:r>
      <w:r w:rsidRPr="00AF6991">
        <w:rPr>
          <w:rFonts w:eastAsia="Times New Roman" w:cstheme="minorHAnsi"/>
          <w:i/>
          <w:kern w:val="28"/>
          <w:sz w:val="24"/>
          <w:szCs w:val="24"/>
          <w:lang w:val="en-US"/>
        </w:rPr>
        <w:t xml:space="preserve">Carrying out qualitative analysis. </w:t>
      </w:r>
      <w:r w:rsidRPr="00AF6991">
        <w:rPr>
          <w:rFonts w:eastAsia="Times New Roman" w:cstheme="minorHAnsi"/>
          <w:kern w:val="28"/>
          <w:sz w:val="24"/>
          <w:szCs w:val="24"/>
          <w:lang w:val="en-US"/>
        </w:rPr>
        <w:t xml:space="preserve">In Ritchie, J. and Lewis, J. (2006) </w:t>
      </w:r>
      <w:r w:rsidRPr="00AF6991">
        <w:rPr>
          <w:rFonts w:eastAsia="Times New Roman" w:cstheme="minorHAnsi"/>
          <w:i/>
          <w:kern w:val="28"/>
          <w:sz w:val="24"/>
          <w:szCs w:val="24"/>
          <w:lang w:val="en-US"/>
        </w:rPr>
        <w:t xml:space="preserve">Qualitative Research Practice. </w:t>
      </w:r>
      <w:r w:rsidRPr="00AF6991">
        <w:rPr>
          <w:rFonts w:eastAsia="Times New Roman" w:cstheme="minorHAnsi"/>
          <w:kern w:val="28"/>
          <w:sz w:val="24"/>
          <w:szCs w:val="24"/>
          <w:lang w:val="en-US"/>
        </w:rPr>
        <w:t>Sage Publications. London</w:t>
      </w:r>
      <w:r w:rsidR="006F599F">
        <w:rPr>
          <w:rFonts w:eastAsia="Times New Roman" w:cstheme="minorHAnsi"/>
          <w:kern w:val="28"/>
          <w:sz w:val="24"/>
          <w:szCs w:val="24"/>
          <w:lang w:val="en-US"/>
        </w:rPr>
        <w:t>, UK</w:t>
      </w:r>
      <w:r w:rsidRPr="00AF6991">
        <w:rPr>
          <w:rFonts w:eastAsia="Times New Roman" w:cstheme="minorHAnsi"/>
          <w:kern w:val="28"/>
          <w:sz w:val="24"/>
          <w:szCs w:val="24"/>
          <w:lang w:val="en-US"/>
        </w:rPr>
        <w:t>.</w:t>
      </w:r>
    </w:p>
    <w:p w14:paraId="010F62DF" w14:textId="33E82CF8" w:rsidR="006600B5" w:rsidRPr="00AF6991" w:rsidRDefault="006600B5" w:rsidP="00F852C9">
      <w:pPr>
        <w:widowControl w:val="0"/>
        <w:overflowPunct w:val="0"/>
        <w:autoSpaceDE w:val="0"/>
        <w:autoSpaceDN w:val="0"/>
        <w:adjustRightInd w:val="0"/>
        <w:spacing w:after="0" w:line="480" w:lineRule="auto"/>
        <w:ind w:left="720" w:hanging="720"/>
        <w:rPr>
          <w:rFonts w:eastAsia="Times New Roman" w:cstheme="minorHAnsi"/>
          <w:kern w:val="28"/>
          <w:sz w:val="24"/>
          <w:szCs w:val="24"/>
          <w:lang w:val="en-US"/>
        </w:rPr>
      </w:pPr>
      <w:r w:rsidRPr="007F5533">
        <w:rPr>
          <w:rFonts w:eastAsia="Times New Roman" w:cstheme="minorHAnsi"/>
          <w:kern w:val="28"/>
          <w:sz w:val="24"/>
          <w:szCs w:val="24"/>
          <w:lang w:val="en-US"/>
        </w:rPr>
        <w:t>Stilwell (2016)</w:t>
      </w:r>
      <w:r w:rsidR="007F5533">
        <w:rPr>
          <w:rFonts w:eastAsia="Times New Roman" w:cstheme="minorHAnsi"/>
          <w:kern w:val="28"/>
          <w:sz w:val="24"/>
          <w:szCs w:val="24"/>
          <w:lang w:val="en-US"/>
        </w:rPr>
        <w:t xml:space="preserve"> </w:t>
      </w:r>
      <w:r w:rsidR="007F5533">
        <w:rPr>
          <w:rFonts w:cstheme="minorHAnsi"/>
          <w:bCs/>
          <w:i/>
          <w:iCs/>
          <w:sz w:val="24"/>
          <w:szCs w:val="24"/>
        </w:rPr>
        <w:t>Financial Education in the UK: A Case Study of Practice</w:t>
      </w:r>
      <w:r w:rsidR="007F5533" w:rsidRPr="001E0283">
        <w:rPr>
          <w:rFonts w:cstheme="minorHAnsi"/>
          <w:bCs/>
          <w:sz w:val="24"/>
          <w:szCs w:val="24"/>
        </w:rPr>
        <w:t xml:space="preserve">. In: Aprea C. et al. (eds) International Handbook of Financial Literacy. Springer, Singapore. </w:t>
      </w:r>
      <w:hyperlink r:id="rId25" w:history="1">
        <w:r w:rsidR="007F5533" w:rsidRPr="002D4D3D">
          <w:rPr>
            <w:rStyle w:val="Hyperlink"/>
            <w:rFonts w:cstheme="minorHAnsi"/>
            <w:bCs/>
            <w:sz w:val="24"/>
            <w:szCs w:val="24"/>
          </w:rPr>
          <w:t>https://doi.org/10.1007/978-981-10-0360-8_7</w:t>
        </w:r>
      </w:hyperlink>
      <w:r w:rsidR="007F5533">
        <w:rPr>
          <w:rFonts w:cstheme="minorHAnsi"/>
          <w:bCs/>
          <w:sz w:val="24"/>
          <w:szCs w:val="24"/>
        </w:rPr>
        <w:t xml:space="preserve"> pp 357-368.</w:t>
      </w:r>
    </w:p>
    <w:p w14:paraId="2D13DCE3" w14:textId="674BDAF7" w:rsidR="005864B2" w:rsidRDefault="005864B2" w:rsidP="00F852C9">
      <w:pPr>
        <w:spacing w:after="0" w:line="480" w:lineRule="auto"/>
        <w:ind w:left="720" w:hanging="720"/>
        <w:rPr>
          <w:rFonts w:eastAsia="Times New Roman" w:cstheme="minorHAnsi"/>
          <w:sz w:val="24"/>
          <w:szCs w:val="24"/>
          <w:lang w:eastAsia="en-GB"/>
        </w:rPr>
      </w:pPr>
      <w:r w:rsidRPr="00AF6991">
        <w:rPr>
          <w:rFonts w:eastAsia="Times New Roman" w:cstheme="minorHAnsi"/>
          <w:sz w:val="24"/>
          <w:szCs w:val="24"/>
          <w:lang w:eastAsia="en-GB"/>
        </w:rPr>
        <w:t xml:space="preserve">Strauss K., (2008). </w:t>
      </w:r>
      <w:r w:rsidRPr="00AF6991">
        <w:rPr>
          <w:rFonts w:eastAsia="Times New Roman" w:cstheme="minorHAnsi"/>
          <w:i/>
          <w:sz w:val="24"/>
          <w:szCs w:val="24"/>
          <w:lang w:eastAsia="en-GB"/>
        </w:rPr>
        <w:t xml:space="preserve">Re-engaging with rationality in economic geography: behavioural approaches and the importance of context in decision-making. </w:t>
      </w:r>
      <w:r w:rsidRPr="00AF6991">
        <w:rPr>
          <w:rFonts w:eastAsia="Times New Roman" w:cstheme="minorHAnsi"/>
          <w:sz w:val="24"/>
          <w:szCs w:val="24"/>
          <w:lang w:eastAsia="en-GB"/>
        </w:rPr>
        <w:t>Journal of Economic Geography 8 (2008) pp. 137–156.</w:t>
      </w:r>
    </w:p>
    <w:p w14:paraId="641C249F" w14:textId="5E17159A" w:rsidR="00194B49" w:rsidRPr="00194B49" w:rsidRDefault="00194B49" w:rsidP="00F852C9">
      <w:pPr>
        <w:spacing w:after="0" w:line="480" w:lineRule="auto"/>
        <w:ind w:left="720" w:hanging="720"/>
        <w:rPr>
          <w:rFonts w:eastAsia="Times New Roman" w:cstheme="minorHAnsi"/>
          <w:sz w:val="24"/>
          <w:szCs w:val="24"/>
          <w:lang w:eastAsia="en-GB"/>
        </w:rPr>
      </w:pPr>
      <w:r>
        <w:rPr>
          <w:rFonts w:eastAsia="Times New Roman" w:cstheme="minorHAnsi"/>
          <w:sz w:val="24"/>
          <w:szCs w:val="24"/>
          <w:lang w:eastAsia="en-GB"/>
        </w:rPr>
        <w:t xml:space="preserve">Thaler, R. (1980) </w:t>
      </w:r>
      <w:r>
        <w:rPr>
          <w:rFonts w:eastAsia="Times New Roman" w:cstheme="minorHAnsi"/>
          <w:i/>
          <w:iCs/>
          <w:sz w:val="24"/>
          <w:szCs w:val="24"/>
          <w:lang w:eastAsia="en-GB"/>
        </w:rPr>
        <w:t>Toward a theory of consumer choice</w:t>
      </w:r>
      <w:r w:rsidRPr="00194B49">
        <w:rPr>
          <w:rFonts w:eastAsia="Times New Roman" w:cstheme="minorHAnsi"/>
          <w:sz w:val="24"/>
          <w:szCs w:val="24"/>
          <w:lang w:eastAsia="en-GB"/>
        </w:rPr>
        <w:t>, Journal of Economic Behavior and Organizatio</w:t>
      </w:r>
      <w:r>
        <w:rPr>
          <w:rFonts w:eastAsia="Times New Roman" w:cstheme="minorHAnsi"/>
          <w:sz w:val="24"/>
          <w:szCs w:val="24"/>
          <w:lang w:eastAsia="en-GB"/>
        </w:rPr>
        <w:t>n. North Holland</w:t>
      </w:r>
      <w:r w:rsidR="00DF3273">
        <w:rPr>
          <w:rFonts w:eastAsia="Times New Roman" w:cstheme="minorHAnsi"/>
          <w:sz w:val="24"/>
          <w:szCs w:val="24"/>
          <w:lang w:eastAsia="en-GB"/>
        </w:rPr>
        <w:t>, New York, USA</w:t>
      </w:r>
    </w:p>
    <w:p w14:paraId="6E0DC129" w14:textId="7DD06171" w:rsidR="00AF2A4F" w:rsidRPr="00AF6991" w:rsidRDefault="00AF2A4F" w:rsidP="00F852C9">
      <w:pPr>
        <w:spacing w:after="0" w:line="480" w:lineRule="auto"/>
        <w:ind w:left="720" w:hanging="720"/>
        <w:rPr>
          <w:rFonts w:eastAsia="Times New Roman" w:cstheme="minorHAnsi"/>
          <w:sz w:val="24"/>
          <w:szCs w:val="24"/>
          <w:lang w:eastAsia="en-GB"/>
        </w:rPr>
      </w:pPr>
      <w:r w:rsidRPr="00AF6991">
        <w:rPr>
          <w:rFonts w:cstheme="minorHAnsi"/>
          <w:sz w:val="24"/>
          <w:szCs w:val="24"/>
        </w:rPr>
        <w:t>Thoreson O.</w:t>
      </w:r>
      <w:r w:rsidR="00A91526" w:rsidRPr="00AF6991">
        <w:rPr>
          <w:rFonts w:cstheme="minorHAnsi"/>
          <w:sz w:val="24"/>
          <w:szCs w:val="24"/>
        </w:rPr>
        <w:t xml:space="preserve"> (2007) </w:t>
      </w:r>
      <w:r w:rsidRPr="00AF6991">
        <w:rPr>
          <w:rFonts w:cstheme="minorHAnsi"/>
          <w:i/>
          <w:sz w:val="24"/>
          <w:szCs w:val="24"/>
        </w:rPr>
        <w:t>Thoreson Review of Generic Financial Advice.</w:t>
      </w:r>
      <w:r w:rsidR="00B33CB2" w:rsidRPr="00AF6991">
        <w:rPr>
          <w:rFonts w:cstheme="minorHAnsi"/>
          <w:i/>
          <w:sz w:val="24"/>
          <w:szCs w:val="24"/>
        </w:rPr>
        <w:t xml:space="preserve"> </w:t>
      </w:r>
      <w:r w:rsidRPr="00AF6991">
        <w:rPr>
          <w:rFonts w:cstheme="minorHAnsi"/>
          <w:i/>
          <w:sz w:val="24"/>
          <w:szCs w:val="24"/>
        </w:rPr>
        <w:t xml:space="preserve">Interim Report. </w:t>
      </w:r>
      <w:r w:rsidRPr="00AF6991">
        <w:rPr>
          <w:rFonts w:cstheme="minorHAnsi"/>
          <w:sz w:val="24"/>
          <w:szCs w:val="24"/>
        </w:rPr>
        <w:t>HM Treasury. HMSO</w:t>
      </w:r>
      <w:r w:rsidR="00DF3273">
        <w:rPr>
          <w:rFonts w:cstheme="minorHAnsi"/>
          <w:sz w:val="24"/>
          <w:szCs w:val="24"/>
        </w:rPr>
        <w:t>, Leeds, UK</w:t>
      </w:r>
      <w:r w:rsidRPr="00AF6991">
        <w:rPr>
          <w:rFonts w:cstheme="minorHAnsi"/>
          <w:sz w:val="24"/>
          <w:szCs w:val="24"/>
        </w:rPr>
        <w:t>.</w:t>
      </w:r>
    </w:p>
    <w:p w14:paraId="20B833CA" w14:textId="1BE7DD3A" w:rsidR="00AF2A4F" w:rsidRDefault="00A91526" w:rsidP="00F852C9">
      <w:pPr>
        <w:spacing w:after="0" w:line="480" w:lineRule="auto"/>
        <w:ind w:left="720" w:hanging="720"/>
        <w:rPr>
          <w:rFonts w:eastAsia="Times New Roman" w:cstheme="minorHAnsi"/>
          <w:sz w:val="24"/>
          <w:szCs w:val="24"/>
          <w:lang w:eastAsia="en-GB"/>
        </w:rPr>
      </w:pPr>
      <w:r w:rsidRPr="00AF6991">
        <w:rPr>
          <w:rFonts w:eastAsia="Times New Roman" w:cstheme="minorHAnsi"/>
          <w:sz w:val="24"/>
          <w:szCs w:val="24"/>
          <w:lang w:eastAsia="en-GB"/>
        </w:rPr>
        <w:t>Thoreson O. (2008)</w:t>
      </w:r>
      <w:r w:rsidR="00AF2A4F" w:rsidRPr="00AF6991">
        <w:rPr>
          <w:rFonts w:eastAsia="Times New Roman" w:cstheme="minorHAnsi"/>
          <w:sz w:val="24"/>
          <w:szCs w:val="24"/>
          <w:lang w:eastAsia="en-GB"/>
        </w:rPr>
        <w:t xml:space="preserve"> </w:t>
      </w:r>
      <w:r w:rsidR="00AF2A4F" w:rsidRPr="00AF6991">
        <w:rPr>
          <w:rFonts w:eastAsia="Times New Roman" w:cstheme="minorHAnsi"/>
          <w:i/>
          <w:sz w:val="24"/>
          <w:szCs w:val="24"/>
          <w:lang w:eastAsia="en-GB"/>
        </w:rPr>
        <w:t>Review of Generic Financial Advice. Final Report</w:t>
      </w:r>
      <w:r w:rsidR="00AF2A4F" w:rsidRPr="00AF6991">
        <w:rPr>
          <w:rFonts w:eastAsia="Times New Roman" w:cstheme="minorHAnsi"/>
          <w:sz w:val="24"/>
          <w:szCs w:val="24"/>
          <w:lang w:eastAsia="en-GB"/>
        </w:rPr>
        <w:t>. HMSO on behalf of HM Treasury</w:t>
      </w:r>
      <w:r w:rsidR="00DF3273">
        <w:rPr>
          <w:rFonts w:eastAsia="Times New Roman" w:cstheme="minorHAnsi"/>
          <w:sz w:val="24"/>
          <w:szCs w:val="24"/>
          <w:lang w:eastAsia="en-GB"/>
        </w:rPr>
        <w:t>, London, UK</w:t>
      </w:r>
      <w:r w:rsidR="00AF2A4F" w:rsidRPr="00AF6991">
        <w:rPr>
          <w:rFonts w:eastAsia="Times New Roman" w:cstheme="minorHAnsi"/>
          <w:sz w:val="24"/>
          <w:szCs w:val="24"/>
          <w:lang w:eastAsia="en-GB"/>
        </w:rPr>
        <w:t>.</w:t>
      </w:r>
    </w:p>
    <w:p w14:paraId="2D580BA6" w14:textId="14AC2693" w:rsidR="00CC4A8B" w:rsidRPr="00CC4A8B" w:rsidRDefault="00CC4A8B" w:rsidP="00F852C9">
      <w:pPr>
        <w:spacing w:after="0" w:line="480" w:lineRule="auto"/>
        <w:ind w:left="720" w:hanging="720"/>
        <w:rPr>
          <w:rFonts w:eastAsia="Times New Roman" w:cstheme="minorHAnsi"/>
          <w:sz w:val="24"/>
          <w:szCs w:val="24"/>
          <w:lang w:eastAsia="en-GB"/>
        </w:rPr>
      </w:pPr>
      <w:r w:rsidRPr="00CC4A8B">
        <w:rPr>
          <w:rFonts w:eastAsia="Times New Roman" w:cstheme="minorHAnsi"/>
          <w:sz w:val="24"/>
          <w:szCs w:val="24"/>
          <w:lang w:eastAsia="en-GB"/>
        </w:rPr>
        <w:lastRenderedPageBreak/>
        <w:t>Tjandra</w:t>
      </w:r>
      <w:r>
        <w:rPr>
          <w:rFonts w:eastAsia="Times New Roman" w:cstheme="minorHAnsi"/>
          <w:sz w:val="24"/>
          <w:szCs w:val="24"/>
          <w:lang w:eastAsia="en-GB"/>
        </w:rPr>
        <w:t>, N. J.,</w:t>
      </w:r>
      <w:r w:rsidRPr="00CC4A8B">
        <w:rPr>
          <w:rFonts w:eastAsia="Times New Roman" w:cstheme="minorHAnsi"/>
          <w:sz w:val="24"/>
          <w:szCs w:val="24"/>
          <w:lang w:eastAsia="en-GB"/>
        </w:rPr>
        <w:t xml:space="preserve"> Ensor</w:t>
      </w:r>
      <w:r>
        <w:rPr>
          <w:rFonts w:eastAsia="Times New Roman" w:cstheme="minorHAnsi"/>
          <w:sz w:val="24"/>
          <w:szCs w:val="24"/>
          <w:lang w:eastAsia="en-GB"/>
        </w:rPr>
        <w:t>, J.,</w:t>
      </w:r>
      <w:r w:rsidRPr="00CC4A8B">
        <w:rPr>
          <w:rFonts w:eastAsia="Times New Roman" w:cstheme="minorHAnsi"/>
          <w:sz w:val="24"/>
          <w:szCs w:val="24"/>
          <w:lang w:eastAsia="en-GB"/>
        </w:rPr>
        <w:t xml:space="preserve"> Omar</w:t>
      </w:r>
      <w:r>
        <w:rPr>
          <w:rFonts w:eastAsia="Times New Roman" w:cstheme="minorHAnsi"/>
          <w:sz w:val="24"/>
          <w:szCs w:val="24"/>
          <w:lang w:eastAsia="en-GB"/>
        </w:rPr>
        <w:t xml:space="preserve"> M. and </w:t>
      </w:r>
      <w:r w:rsidRPr="00CC4A8B">
        <w:rPr>
          <w:rFonts w:eastAsia="Times New Roman" w:cstheme="minorHAnsi"/>
          <w:sz w:val="24"/>
          <w:szCs w:val="24"/>
          <w:lang w:eastAsia="en-GB"/>
        </w:rPr>
        <w:t>Thomson</w:t>
      </w:r>
      <w:r>
        <w:rPr>
          <w:rFonts w:eastAsia="Times New Roman" w:cstheme="minorHAnsi"/>
          <w:sz w:val="24"/>
          <w:szCs w:val="24"/>
          <w:lang w:eastAsia="en-GB"/>
        </w:rPr>
        <w:t xml:space="preserve"> J.R. (2020) </w:t>
      </w:r>
      <w:r w:rsidRPr="00CC4A8B">
        <w:rPr>
          <w:rFonts w:eastAsia="Times New Roman" w:cstheme="minorHAnsi"/>
          <w:i/>
          <w:iCs/>
          <w:sz w:val="24"/>
          <w:szCs w:val="24"/>
          <w:lang w:eastAsia="en-GB"/>
        </w:rPr>
        <w:t>Independent f</w:t>
      </w:r>
      <w:r>
        <w:rPr>
          <w:rFonts w:eastAsia="Times New Roman" w:cstheme="minorHAnsi"/>
          <w:i/>
          <w:iCs/>
          <w:sz w:val="24"/>
          <w:szCs w:val="24"/>
          <w:lang w:eastAsia="en-GB"/>
        </w:rPr>
        <w:t>i</w:t>
      </w:r>
      <w:r w:rsidRPr="00CC4A8B">
        <w:rPr>
          <w:rFonts w:eastAsia="Times New Roman" w:cstheme="minorHAnsi"/>
          <w:i/>
          <w:iCs/>
          <w:sz w:val="24"/>
          <w:szCs w:val="24"/>
          <w:lang w:eastAsia="en-GB"/>
        </w:rPr>
        <w:t>nancial adviser (IFA)</w:t>
      </w:r>
      <w:r w:rsidRPr="00CC4A8B">
        <w:rPr>
          <w:rFonts w:eastAsia="Times New Roman" w:cstheme="minorHAnsi"/>
          <w:i/>
          <w:iCs/>
          <w:sz w:val="24"/>
          <w:szCs w:val="24"/>
          <w:lang w:eastAsia="en-GB"/>
        </w:rPr>
        <w:noBreakHyphen/>
        <w:t>based brand equity pyramid</w:t>
      </w:r>
      <w:r>
        <w:rPr>
          <w:rFonts w:eastAsia="Times New Roman" w:cstheme="minorHAnsi"/>
          <w:i/>
          <w:iCs/>
          <w:sz w:val="24"/>
          <w:szCs w:val="24"/>
          <w:lang w:eastAsia="en-GB"/>
        </w:rPr>
        <w:t xml:space="preserve">, </w:t>
      </w:r>
      <w:r>
        <w:rPr>
          <w:rFonts w:eastAsia="Times New Roman" w:cstheme="minorHAnsi"/>
          <w:sz w:val="24"/>
          <w:szCs w:val="24"/>
          <w:lang w:eastAsia="en-GB"/>
        </w:rPr>
        <w:t>J</w:t>
      </w:r>
      <w:r>
        <w:t>ournal of Financial Services Marketing. 25:53–64 https://doi.org/10.1057/s41264-020-00073-x</w:t>
      </w:r>
    </w:p>
    <w:p w14:paraId="55A78374" w14:textId="72A75280" w:rsidR="00B82347" w:rsidRPr="00AF6991" w:rsidRDefault="00B82347" w:rsidP="00F852C9">
      <w:pPr>
        <w:spacing w:after="0" w:line="480" w:lineRule="auto"/>
        <w:ind w:left="720" w:hanging="720"/>
        <w:rPr>
          <w:rFonts w:eastAsia="Times New Roman" w:cstheme="minorHAnsi"/>
          <w:sz w:val="24"/>
          <w:szCs w:val="24"/>
          <w:lang w:eastAsia="en-GB"/>
        </w:rPr>
      </w:pPr>
      <w:r w:rsidRPr="00AF6991">
        <w:rPr>
          <w:rFonts w:eastAsia="Times New Roman" w:cstheme="minorHAnsi"/>
          <w:sz w:val="24"/>
          <w:szCs w:val="24"/>
          <w:lang w:eastAsia="en-GB"/>
        </w:rPr>
        <w:t xml:space="preserve">Towers Watson (2014) </w:t>
      </w:r>
      <w:r w:rsidRPr="00AF6991">
        <w:rPr>
          <w:rFonts w:eastAsia="Times New Roman" w:cstheme="minorHAnsi"/>
          <w:i/>
          <w:sz w:val="24"/>
          <w:szCs w:val="24"/>
          <w:lang w:eastAsia="en-GB"/>
        </w:rPr>
        <w:t xml:space="preserve">Advice Gap Analysis: Report to FCA, </w:t>
      </w:r>
      <w:hyperlink r:id="rId26" w:history="1">
        <w:r w:rsidRPr="00AF6991">
          <w:rPr>
            <w:rStyle w:val="Hyperlink"/>
            <w:rFonts w:eastAsia="Times New Roman" w:cstheme="minorHAnsi"/>
            <w:color w:val="auto"/>
            <w:sz w:val="24"/>
            <w:szCs w:val="24"/>
            <w:lang w:eastAsia="en-GB"/>
          </w:rPr>
          <w:t>https://www.fca.org.uk/static/documents/research/advice-gap-analysis-report.pdf</w:t>
        </w:r>
      </w:hyperlink>
      <w:r w:rsidRPr="00AF6991">
        <w:rPr>
          <w:rFonts w:eastAsia="Times New Roman" w:cstheme="minorHAnsi"/>
          <w:sz w:val="24"/>
          <w:szCs w:val="24"/>
          <w:lang w:eastAsia="en-GB"/>
        </w:rPr>
        <w:t xml:space="preserve"> </w:t>
      </w:r>
    </w:p>
    <w:p w14:paraId="76DDEB69" w14:textId="77777777" w:rsidR="00C5086A" w:rsidRPr="00AF6991" w:rsidRDefault="00C5086A" w:rsidP="00F852C9">
      <w:pPr>
        <w:pStyle w:val="Default"/>
        <w:spacing w:line="480" w:lineRule="auto"/>
        <w:ind w:left="720" w:hanging="720"/>
        <w:rPr>
          <w:rFonts w:asciiTheme="minorHAnsi" w:hAnsiTheme="minorHAnsi" w:cstheme="minorHAnsi"/>
        </w:rPr>
      </w:pPr>
      <w:r w:rsidRPr="00AF6991">
        <w:rPr>
          <w:rFonts w:asciiTheme="minorHAnsi" w:eastAsia="Times New Roman" w:hAnsiTheme="minorHAnsi" w:cstheme="minorHAnsi"/>
          <w:bCs/>
          <w:lang w:val="en"/>
        </w:rPr>
        <w:t xml:space="preserve">Tversky, A. and Kahneman, D. (1974) </w:t>
      </w:r>
      <w:r w:rsidRPr="00AF6991">
        <w:rPr>
          <w:rFonts w:asciiTheme="minorHAnsi" w:eastAsia="Times New Roman" w:hAnsiTheme="minorHAnsi" w:cstheme="minorHAnsi"/>
          <w:bCs/>
          <w:i/>
          <w:lang w:val="en"/>
        </w:rPr>
        <w:t>Judgment under Uncertainty: Heuristics and Biases</w:t>
      </w:r>
      <w:r w:rsidRPr="00AF6991">
        <w:rPr>
          <w:rFonts w:asciiTheme="minorHAnsi" w:eastAsia="Times New Roman" w:hAnsiTheme="minorHAnsi" w:cstheme="minorHAnsi"/>
          <w:bCs/>
          <w:lang w:val="en"/>
        </w:rPr>
        <w:t xml:space="preserve">, </w:t>
      </w:r>
    </w:p>
    <w:p w14:paraId="3A9D1D12" w14:textId="11042DA9" w:rsidR="00C5086A" w:rsidRDefault="00C5086A" w:rsidP="00F852C9">
      <w:pPr>
        <w:spacing w:after="0" w:line="480" w:lineRule="auto"/>
        <w:ind w:left="720"/>
        <w:jc w:val="both"/>
        <w:rPr>
          <w:rFonts w:cstheme="minorHAnsi"/>
        </w:rPr>
      </w:pPr>
      <w:r w:rsidRPr="00AF6991">
        <w:rPr>
          <w:rFonts w:cstheme="minorHAnsi"/>
        </w:rPr>
        <w:t xml:space="preserve"> Science, New Series, Vol. 185, No. 4157. pp. 1124-1131</w:t>
      </w:r>
    </w:p>
    <w:p w14:paraId="237967A2" w14:textId="77777777" w:rsidR="00E42AA6" w:rsidRPr="00297DD8" w:rsidRDefault="00E42AA6" w:rsidP="00F852C9">
      <w:pPr>
        <w:spacing w:line="480" w:lineRule="auto"/>
        <w:ind w:left="720" w:hanging="720"/>
        <w:rPr>
          <w:rFonts w:cstheme="minorHAnsi"/>
          <w:sz w:val="24"/>
          <w:szCs w:val="24"/>
        </w:rPr>
      </w:pPr>
      <w:r w:rsidRPr="00297DD8">
        <w:rPr>
          <w:rFonts w:cstheme="minorHAnsi"/>
          <w:sz w:val="24"/>
          <w:szCs w:val="24"/>
        </w:rPr>
        <w:t xml:space="preserve">Vlaev, I., Nieboer, J., Martin, S. and Dolan, P. (2015) </w:t>
      </w:r>
      <w:r w:rsidRPr="00297DD8">
        <w:rPr>
          <w:rFonts w:cstheme="minorHAnsi"/>
          <w:i/>
          <w:iCs/>
          <w:sz w:val="24"/>
          <w:szCs w:val="24"/>
        </w:rPr>
        <w:t xml:space="preserve">How behavioural science can improve financial advice services, </w:t>
      </w:r>
      <w:r w:rsidRPr="00297DD8">
        <w:rPr>
          <w:rFonts w:cstheme="minorHAnsi"/>
          <w:sz w:val="24"/>
          <w:szCs w:val="24"/>
        </w:rPr>
        <w:t xml:space="preserve">Journal of Financial Services Marketing, Vol 20, 1, 74-88. </w:t>
      </w:r>
    </w:p>
    <w:p w14:paraId="049FC411" w14:textId="521A04D6" w:rsidR="00100A9A" w:rsidRPr="008F7CF1" w:rsidRDefault="00D2546E" w:rsidP="00F852C9">
      <w:pPr>
        <w:spacing w:after="0" w:line="480" w:lineRule="auto"/>
        <w:ind w:left="720" w:hanging="720"/>
        <w:rPr>
          <w:rFonts w:cstheme="minorHAnsi"/>
          <w:sz w:val="24"/>
          <w:szCs w:val="24"/>
        </w:rPr>
      </w:pPr>
      <w:r w:rsidRPr="00AF6991">
        <w:rPr>
          <w:rFonts w:eastAsia="Times New Roman" w:cstheme="minorHAnsi"/>
          <w:sz w:val="24"/>
          <w:szCs w:val="24"/>
          <w:lang w:eastAsia="en-GB"/>
        </w:rPr>
        <w:t xml:space="preserve">Wells, J. and Gostelow, M. (2009) </w:t>
      </w:r>
      <w:r w:rsidRPr="00AF6991">
        <w:rPr>
          <w:rFonts w:eastAsia="Times New Roman" w:cstheme="minorHAnsi"/>
          <w:i/>
          <w:iCs/>
          <w:sz w:val="24"/>
          <w:szCs w:val="24"/>
          <w:lang w:eastAsia="en-GB"/>
        </w:rPr>
        <w:t>A Summary of Existing Research. (Professional Standards and Consumer Trust).</w:t>
      </w:r>
      <w:r w:rsidR="00B33CB2" w:rsidRPr="00AF6991">
        <w:rPr>
          <w:rFonts w:eastAsia="Times New Roman" w:cstheme="minorHAnsi"/>
          <w:i/>
          <w:iCs/>
          <w:sz w:val="24"/>
          <w:szCs w:val="24"/>
          <w:lang w:eastAsia="en-GB"/>
        </w:rPr>
        <w:t xml:space="preserve"> </w:t>
      </w:r>
      <w:r w:rsidRPr="00AF6991">
        <w:rPr>
          <w:rFonts w:eastAsia="Times New Roman" w:cstheme="minorHAnsi"/>
          <w:sz w:val="24"/>
          <w:szCs w:val="24"/>
          <w:lang w:eastAsia="en-GB"/>
        </w:rPr>
        <w:t>Prepared for the Financial Services Authority</w:t>
      </w:r>
      <w:r w:rsidR="00DF3273">
        <w:rPr>
          <w:rFonts w:eastAsia="Times New Roman" w:cstheme="minorHAnsi"/>
          <w:sz w:val="24"/>
          <w:szCs w:val="24"/>
          <w:lang w:eastAsia="en-GB"/>
        </w:rPr>
        <w:t>, London, UK</w:t>
      </w:r>
    </w:p>
    <w:p w14:paraId="2C747690" w14:textId="359C6561" w:rsidR="00C56133" w:rsidRDefault="00AD6FD0" w:rsidP="00F852C9">
      <w:pPr>
        <w:spacing w:line="480" w:lineRule="auto"/>
        <w:ind w:left="720" w:hanging="720"/>
        <w:rPr>
          <w:sz w:val="24"/>
          <w:szCs w:val="24"/>
        </w:rPr>
      </w:pPr>
      <w:r>
        <w:rPr>
          <w:sz w:val="24"/>
          <w:szCs w:val="24"/>
        </w:rPr>
        <w:t xml:space="preserve">Wim Van Oorschot (1991) </w:t>
      </w:r>
      <w:r>
        <w:rPr>
          <w:i/>
          <w:sz w:val="24"/>
          <w:szCs w:val="24"/>
        </w:rPr>
        <w:t>Non-Take-Up of Social Security Benefits in Europe. J</w:t>
      </w:r>
      <w:r>
        <w:rPr>
          <w:sz w:val="24"/>
          <w:szCs w:val="24"/>
        </w:rPr>
        <w:t xml:space="preserve">ournal of European Social Policy. </w:t>
      </w:r>
    </w:p>
    <w:sectPr w:rsidR="00C56133" w:rsidSect="00F90A3C">
      <w:footerReference w:type="default" r:id="rId2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6C65" w14:textId="77777777" w:rsidR="00834D5D" w:rsidRDefault="00834D5D" w:rsidP="00CD01B7">
      <w:pPr>
        <w:spacing w:after="0" w:line="240" w:lineRule="auto"/>
      </w:pPr>
      <w:r>
        <w:separator/>
      </w:r>
    </w:p>
  </w:endnote>
  <w:endnote w:type="continuationSeparator" w:id="0">
    <w:p w14:paraId="3119D38F" w14:textId="77777777" w:rsidR="00834D5D" w:rsidRDefault="00834D5D" w:rsidP="00CD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6C53" w14:textId="77777777" w:rsidR="00CE3079" w:rsidRDefault="00CE3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2CC6" w14:textId="77777777" w:rsidR="00834D5D" w:rsidRDefault="00834D5D" w:rsidP="00CD01B7">
      <w:pPr>
        <w:spacing w:after="0" w:line="240" w:lineRule="auto"/>
      </w:pPr>
      <w:r>
        <w:separator/>
      </w:r>
    </w:p>
  </w:footnote>
  <w:footnote w:type="continuationSeparator" w:id="0">
    <w:p w14:paraId="3064F2E4" w14:textId="77777777" w:rsidR="00834D5D" w:rsidRDefault="00834D5D" w:rsidP="00CD0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A28E73E"/>
    <w:lvl w:ilvl="0">
      <w:numFmt w:val="bullet"/>
      <w:lvlText w:val="*"/>
      <w:lvlJc w:val="left"/>
    </w:lvl>
  </w:abstractNum>
  <w:abstractNum w:abstractNumId="1" w15:restartNumberingAfterBreak="0">
    <w:nsid w:val="06A8187F"/>
    <w:multiLevelType w:val="hybridMultilevel"/>
    <w:tmpl w:val="A49C7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96160"/>
    <w:multiLevelType w:val="hybridMultilevel"/>
    <w:tmpl w:val="C2D2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0406D"/>
    <w:multiLevelType w:val="hybridMultilevel"/>
    <w:tmpl w:val="8C32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E264A"/>
    <w:multiLevelType w:val="hybridMultilevel"/>
    <w:tmpl w:val="581A6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B94B02"/>
    <w:multiLevelType w:val="hybridMultilevel"/>
    <w:tmpl w:val="EBA6D66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 w15:restartNumberingAfterBreak="0">
    <w:nsid w:val="400C5093"/>
    <w:multiLevelType w:val="hybridMultilevel"/>
    <w:tmpl w:val="B2DA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562893"/>
    <w:multiLevelType w:val="hybridMultilevel"/>
    <w:tmpl w:val="931E80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0A6D9D"/>
    <w:multiLevelType w:val="hybridMultilevel"/>
    <w:tmpl w:val="CFF0DA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6AA504C3"/>
    <w:multiLevelType w:val="hybridMultilevel"/>
    <w:tmpl w:val="5A62F8DE"/>
    <w:lvl w:ilvl="0" w:tplc="6A28E73E">
      <w:start w:val="1"/>
      <w:numFmt w:val="bullet"/>
      <w:lvlText w:val=""/>
      <w:legacy w:legacy="1" w:legacySpace="0" w:legacyIndent="360"/>
      <w:lvlJc w:val="left"/>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D81EC3"/>
    <w:multiLevelType w:val="hybridMultilevel"/>
    <w:tmpl w:val="8CE2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07074D"/>
    <w:multiLevelType w:val="hybridMultilevel"/>
    <w:tmpl w:val="8926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5783D"/>
    <w:multiLevelType w:val="hybridMultilevel"/>
    <w:tmpl w:val="F9BE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8F6F0B"/>
    <w:multiLevelType w:val="hybridMultilevel"/>
    <w:tmpl w:val="B4CA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71476A"/>
    <w:multiLevelType w:val="hybridMultilevel"/>
    <w:tmpl w:val="DF649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07028099">
    <w:abstractNumId w:val="13"/>
  </w:num>
  <w:num w:numId="2" w16cid:durableId="1419016839">
    <w:abstractNumId w:val="7"/>
  </w:num>
  <w:num w:numId="3" w16cid:durableId="975641434">
    <w:abstractNumId w:val="14"/>
  </w:num>
  <w:num w:numId="4" w16cid:durableId="2008483865">
    <w:abstractNumId w:val="0"/>
    <w:lvlOverride w:ilvl="0">
      <w:lvl w:ilvl="0">
        <w:start w:val="1"/>
        <w:numFmt w:val="bullet"/>
        <w:lvlText w:val=""/>
        <w:legacy w:legacy="1" w:legacySpace="0" w:legacyIndent="360"/>
        <w:lvlJc w:val="left"/>
        <w:rPr>
          <w:rFonts w:ascii="Wingdings" w:hAnsi="Wingdings" w:hint="default"/>
        </w:rPr>
      </w:lvl>
    </w:lvlOverride>
  </w:num>
  <w:num w:numId="5" w16cid:durableId="156042181">
    <w:abstractNumId w:val="9"/>
  </w:num>
  <w:num w:numId="6" w16cid:durableId="1079012524">
    <w:abstractNumId w:val="3"/>
  </w:num>
  <w:num w:numId="7" w16cid:durableId="1167132356">
    <w:abstractNumId w:val="2"/>
  </w:num>
  <w:num w:numId="8" w16cid:durableId="1796096927">
    <w:abstractNumId w:val="5"/>
  </w:num>
  <w:num w:numId="9" w16cid:durableId="1335449535">
    <w:abstractNumId w:val="1"/>
  </w:num>
  <w:num w:numId="10" w16cid:durableId="1338117571">
    <w:abstractNumId w:val="4"/>
  </w:num>
  <w:num w:numId="11" w16cid:durableId="54475938">
    <w:abstractNumId w:val="10"/>
  </w:num>
  <w:num w:numId="12" w16cid:durableId="1132671664">
    <w:abstractNumId w:val="12"/>
  </w:num>
  <w:num w:numId="13" w16cid:durableId="1588612553">
    <w:abstractNumId w:val="8"/>
  </w:num>
  <w:num w:numId="14" w16cid:durableId="420029875">
    <w:abstractNumId w:val="6"/>
  </w:num>
  <w:num w:numId="15" w16cid:durableId="6595043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0F"/>
    <w:rsid w:val="00000769"/>
    <w:rsid w:val="00001BCF"/>
    <w:rsid w:val="000039EE"/>
    <w:rsid w:val="00015E4E"/>
    <w:rsid w:val="00022B01"/>
    <w:rsid w:val="000235AB"/>
    <w:rsid w:val="00024604"/>
    <w:rsid w:val="00026826"/>
    <w:rsid w:val="00030DC1"/>
    <w:rsid w:val="00031A10"/>
    <w:rsid w:val="00032714"/>
    <w:rsid w:val="00033054"/>
    <w:rsid w:val="0003424B"/>
    <w:rsid w:val="00034809"/>
    <w:rsid w:val="0004147C"/>
    <w:rsid w:val="00043F0A"/>
    <w:rsid w:val="00050F4A"/>
    <w:rsid w:val="00051851"/>
    <w:rsid w:val="00052B4F"/>
    <w:rsid w:val="00057698"/>
    <w:rsid w:val="000602A8"/>
    <w:rsid w:val="000622D7"/>
    <w:rsid w:val="00062EF0"/>
    <w:rsid w:val="00064DF1"/>
    <w:rsid w:val="0006728A"/>
    <w:rsid w:val="00067DF0"/>
    <w:rsid w:val="00070CD0"/>
    <w:rsid w:val="000720D2"/>
    <w:rsid w:val="00074D1D"/>
    <w:rsid w:val="00076409"/>
    <w:rsid w:val="0008108F"/>
    <w:rsid w:val="0008142F"/>
    <w:rsid w:val="000855C4"/>
    <w:rsid w:val="00086BF4"/>
    <w:rsid w:val="00090415"/>
    <w:rsid w:val="00095220"/>
    <w:rsid w:val="00095D1E"/>
    <w:rsid w:val="000A1AFD"/>
    <w:rsid w:val="000A29F1"/>
    <w:rsid w:val="000A4C1D"/>
    <w:rsid w:val="000A55A1"/>
    <w:rsid w:val="000A653C"/>
    <w:rsid w:val="000B5038"/>
    <w:rsid w:val="000B555C"/>
    <w:rsid w:val="000B6580"/>
    <w:rsid w:val="000B6977"/>
    <w:rsid w:val="000B7EB5"/>
    <w:rsid w:val="000C3738"/>
    <w:rsid w:val="000C4F63"/>
    <w:rsid w:val="000C5037"/>
    <w:rsid w:val="000C70ED"/>
    <w:rsid w:val="000C72FC"/>
    <w:rsid w:val="000D32BA"/>
    <w:rsid w:val="000D4EB5"/>
    <w:rsid w:val="000D6A58"/>
    <w:rsid w:val="000D6B0F"/>
    <w:rsid w:val="000E2BD3"/>
    <w:rsid w:val="000F43BA"/>
    <w:rsid w:val="000F55AC"/>
    <w:rsid w:val="000F5D5C"/>
    <w:rsid w:val="000F7D71"/>
    <w:rsid w:val="00100A9A"/>
    <w:rsid w:val="001065C6"/>
    <w:rsid w:val="00106BC4"/>
    <w:rsid w:val="00106DCA"/>
    <w:rsid w:val="00112096"/>
    <w:rsid w:val="00132D41"/>
    <w:rsid w:val="00134528"/>
    <w:rsid w:val="001353C1"/>
    <w:rsid w:val="00142568"/>
    <w:rsid w:val="001429EA"/>
    <w:rsid w:val="00152728"/>
    <w:rsid w:val="00156799"/>
    <w:rsid w:val="00157AC9"/>
    <w:rsid w:val="001602B7"/>
    <w:rsid w:val="00160B18"/>
    <w:rsid w:val="00162930"/>
    <w:rsid w:val="001636E7"/>
    <w:rsid w:val="00166812"/>
    <w:rsid w:val="00173E55"/>
    <w:rsid w:val="001741EB"/>
    <w:rsid w:val="00181647"/>
    <w:rsid w:val="00183244"/>
    <w:rsid w:val="001870CA"/>
    <w:rsid w:val="00190486"/>
    <w:rsid w:val="00192475"/>
    <w:rsid w:val="00194B49"/>
    <w:rsid w:val="001975BE"/>
    <w:rsid w:val="0019771A"/>
    <w:rsid w:val="001A0CCD"/>
    <w:rsid w:val="001A1946"/>
    <w:rsid w:val="001A4635"/>
    <w:rsid w:val="001A6863"/>
    <w:rsid w:val="001A792D"/>
    <w:rsid w:val="001B0FCC"/>
    <w:rsid w:val="001B27F6"/>
    <w:rsid w:val="001B29E5"/>
    <w:rsid w:val="001B324B"/>
    <w:rsid w:val="001B32AD"/>
    <w:rsid w:val="001C4EA8"/>
    <w:rsid w:val="001C5397"/>
    <w:rsid w:val="001C618B"/>
    <w:rsid w:val="001C7667"/>
    <w:rsid w:val="001C77F0"/>
    <w:rsid w:val="001D038E"/>
    <w:rsid w:val="001D0D39"/>
    <w:rsid w:val="001D0F25"/>
    <w:rsid w:val="001D3FB8"/>
    <w:rsid w:val="001D3FEE"/>
    <w:rsid w:val="001D5582"/>
    <w:rsid w:val="001D6D37"/>
    <w:rsid w:val="001E0283"/>
    <w:rsid w:val="001E3091"/>
    <w:rsid w:val="001E380A"/>
    <w:rsid w:val="001E3C7C"/>
    <w:rsid w:val="001E41E0"/>
    <w:rsid w:val="001E6334"/>
    <w:rsid w:val="001E7102"/>
    <w:rsid w:val="001F1508"/>
    <w:rsid w:val="001F1A86"/>
    <w:rsid w:val="001F46A7"/>
    <w:rsid w:val="001F59D8"/>
    <w:rsid w:val="00202003"/>
    <w:rsid w:val="00202F12"/>
    <w:rsid w:val="002049CE"/>
    <w:rsid w:val="00206CA1"/>
    <w:rsid w:val="00210935"/>
    <w:rsid w:val="00210A1C"/>
    <w:rsid w:val="00211399"/>
    <w:rsid w:val="002131BF"/>
    <w:rsid w:val="0021371F"/>
    <w:rsid w:val="00215180"/>
    <w:rsid w:val="002172F0"/>
    <w:rsid w:val="0022042A"/>
    <w:rsid w:val="00221BFC"/>
    <w:rsid w:val="002237C3"/>
    <w:rsid w:val="00224029"/>
    <w:rsid w:val="002246F6"/>
    <w:rsid w:val="00224F49"/>
    <w:rsid w:val="0022687E"/>
    <w:rsid w:val="002279F5"/>
    <w:rsid w:val="0023237D"/>
    <w:rsid w:val="00235388"/>
    <w:rsid w:val="00236987"/>
    <w:rsid w:val="00237611"/>
    <w:rsid w:val="00240161"/>
    <w:rsid w:val="002444DB"/>
    <w:rsid w:val="002470E0"/>
    <w:rsid w:val="00247428"/>
    <w:rsid w:val="002541CF"/>
    <w:rsid w:val="002554DA"/>
    <w:rsid w:val="00256D67"/>
    <w:rsid w:val="00257EB1"/>
    <w:rsid w:val="00261C6E"/>
    <w:rsid w:val="00262ADC"/>
    <w:rsid w:val="00262CFF"/>
    <w:rsid w:val="00263A35"/>
    <w:rsid w:val="00264A1D"/>
    <w:rsid w:val="002668C8"/>
    <w:rsid w:val="002669BB"/>
    <w:rsid w:val="00267F4E"/>
    <w:rsid w:val="00271ABD"/>
    <w:rsid w:val="002752AE"/>
    <w:rsid w:val="0028162E"/>
    <w:rsid w:val="0028447C"/>
    <w:rsid w:val="0028567C"/>
    <w:rsid w:val="002857D6"/>
    <w:rsid w:val="00290AD6"/>
    <w:rsid w:val="00290FFD"/>
    <w:rsid w:val="00291450"/>
    <w:rsid w:val="00291697"/>
    <w:rsid w:val="0029212D"/>
    <w:rsid w:val="002949E6"/>
    <w:rsid w:val="00297DD8"/>
    <w:rsid w:val="002A3FC8"/>
    <w:rsid w:val="002B0343"/>
    <w:rsid w:val="002B1FA6"/>
    <w:rsid w:val="002B22E1"/>
    <w:rsid w:val="002C0518"/>
    <w:rsid w:val="002C0674"/>
    <w:rsid w:val="002C26FE"/>
    <w:rsid w:val="002C3F3D"/>
    <w:rsid w:val="002C4A7B"/>
    <w:rsid w:val="002C6413"/>
    <w:rsid w:val="002C740C"/>
    <w:rsid w:val="002C7E62"/>
    <w:rsid w:val="002D10C9"/>
    <w:rsid w:val="002D3421"/>
    <w:rsid w:val="002D3424"/>
    <w:rsid w:val="002D3828"/>
    <w:rsid w:val="002D4DAF"/>
    <w:rsid w:val="002D5E15"/>
    <w:rsid w:val="002E1420"/>
    <w:rsid w:val="002E1C53"/>
    <w:rsid w:val="002E36A9"/>
    <w:rsid w:val="002E38E8"/>
    <w:rsid w:val="002E46E2"/>
    <w:rsid w:val="002E7D7D"/>
    <w:rsid w:val="00303010"/>
    <w:rsid w:val="00306AD8"/>
    <w:rsid w:val="00307905"/>
    <w:rsid w:val="0031489D"/>
    <w:rsid w:val="00320F69"/>
    <w:rsid w:val="003214CE"/>
    <w:rsid w:val="00322104"/>
    <w:rsid w:val="003277C0"/>
    <w:rsid w:val="00333110"/>
    <w:rsid w:val="003337E3"/>
    <w:rsid w:val="00334FE8"/>
    <w:rsid w:val="00340251"/>
    <w:rsid w:val="0034167E"/>
    <w:rsid w:val="003416E8"/>
    <w:rsid w:val="00341E1E"/>
    <w:rsid w:val="00342718"/>
    <w:rsid w:val="0034327F"/>
    <w:rsid w:val="00345253"/>
    <w:rsid w:val="00345F46"/>
    <w:rsid w:val="003467DB"/>
    <w:rsid w:val="00350A37"/>
    <w:rsid w:val="00351132"/>
    <w:rsid w:val="003531FE"/>
    <w:rsid w:val="00353D28"/>
    <w:rsid w:val="00353F6C"/>
    <w:rsid w:val="003546BA"/>
    <w:rsid w:val="00354A1F"/>
    <w:rsid w:val="00360A73"/>
    <w:rsid w:val="00361814"/>
    <w:rsid w:val="00362444"/>
    <w:rsid w:val="0036325E"/>
    <w:rsid w:val="003651CE"/>
    <w:rsid w:val="00365941"/>
    <w:rsid w:val="00372457"/>
    <w:rsid w:val="003726FC"/>
    <w:rsid w:val="00375109"/>
    <w:rsid w:val="00375565"/>
    <w:rsid w:val="00375917"/>
    <w:rsid w:val="00375B95"/>
    <w:rsid w:val="003843FE"/>
    <w:rsid w:val="00392047"/>
    <w:rsid w:val="00394ADD"/>
    <w:rsid w:val="003959D1"/>
    <w:rsid w:val="00397616"/>
    <w:rsid w:val="0039780C"/>
    <w:rsid w:val="003A1296"/>
    <w:rsid w:val="003A1471"/>
    <w:rsid w:val="003A365D"/>
    <w:rsid w:val="003C0C04"/>
    <w:rsid w:val="003C1995"/>
    <w:rsid w:val="003C3FB7"/>
    <w:rsid w:val="003C56CD"/>
    <w:rsid w:val="003C5886"/>
    <w:rsid w:val="003D19EA"/>
    <w:rsid w:val="003D44A7"/>
    <w:rsid w:val="003D48EA"/>
    <w:rsid w:val="003D6D1B"/>
    <w:rsid w:val="003E3555"/>
    <w:rsid w:val="003E4318"/>
    <w:rsid w:val="003E5934"/>
    <w:rsid w:val="003E6EA3"/>
    <w:rsid w:val="003F1793"/>
    <w:rsid w:val="00401A85"/>
    <w:rsid w:val="00401EF0"/>
    <w:rsid w:val="004068C9"/>
    <w:rsid w:val="00414F2B"/>
    <w:rsid w:val="0042680C"/>
    <w:rsid w:val="00430C3F"/>
    <w:rsid w:val="00430C85"/>
    <w:rsid w:val="00431BD5"/>
    <w:rsid w:val="00437513"/>
    <w:rsid w:val="004408AC"/>
    <w:rsid w:val="00443E85"/>
    <w:rsid w:val="00444AD7"/>
    <w:rsid w:val="00446474"/>
    <w:rsid w:val="004552CD"/>
    <w:rsid w:val="00461EB8"/>
    <w:rsid w:val="004647C0"/>
    <w:rsid w:val="00474C3B"/>
    <w:rsid w:val="0047589B"/>
    <w:rsid w:val="004773BB"/>
    <w:rsid w:val="00481B88"/>
    <w:rsid w:val="0048297E"/>
    <w:rsid w:val="00483B0A"/>
    <w:rsid w:val="004844B5"/>
    <w:rsid w:val="004912D0"/>
    <w:rsid w:val="00494FF4"/>
    <w:rsid w:val="004966EB"/>
    <w:rsid w:val="00497958"/>
    <w:rsid w:val="004A0E7C"/>
    <w:rsid w:val="004A33BB"/>
    <w:rsid w:val="004A7E9C"/>
    <w:rsid w:val="004B0007"/>
    <w:rsid w:val="004B0A08"/>
    <w:rsid w:val="004B1173"/>
    <w:rsid w:val="004B1825"/>
    <w:rsid w:val="004B1DAB"/>
    <w:rsid w:val="004B3869"/>
    <w:rsid w:val="004B3AF4"/>
    <w:rsid w:val="004C53A7"/>
    <w:rsid w:val="004D28BB"/>
    <w:rsid w:val="004D78F9"/>
    <w:rsid w:val="004E0425"/>
    <w:rsid w:val="004E2DD9"/>
    <w:rsid w:val="004E369E"/>
    <w:rsid w:val="004E4606"/>
    <w:rsid w:val="004E4BBC"/>
    <w:rsid w:val="004F0532"/>
    <w:rsid w:val="00500EC3"/>
    <w:rsid w:val="00510DDC"/>
    <w:rsid w:val="00511B7F"/>
    <w:rsid w:val="00511E6F"/>
    <w:rsid w:val="00512CA2"/>
    <w:rsid w:val="005138A1"/>
    <w:rsid w:val="00513963"/>
    <w:rsid w:val="00513ABF"/>
    <w:rsid w:val="00514989"/>
    <w:rsid w:val="00515E2E"/>
    <w:rsid w:val="00516B92"/>
    <w:rsid w:val="00517A3C"/>
    <w:rsid w:val="005220A5"/>
    <w:rsid w:val="00522F5C"/>
    <w:rsid w:val="005241E6"/>
    <w:rsid w:val="005320B2"/>
    <w:rsid w:val="00535BB4"/>
    <w:rsid w:val="005472F1"/>
    <w:rsid w:val="00547630"/>
    <w:rsid w:val="005503C0"/>
    <w:rsid w:val="00553857"/>
    <w:rsid w:val="005573DF"/>
    <w:rsid w:val="005601D5"/>
    <w:rsid w:val="0056371D"/>
    <w:rsid w:val="00566289"/>
    <w:rsid w:val="00570C20"/>
    <w:rsid w:val="005717E7"/>
    <w:rsid w:val="00572208"/>
    <w:rsid w:val="00573E99"/>
    <w:rsid w:val="00577EDB"/>
    <w:rsid w:val="00580AEF"/>
    <w:rsid w:val="005860F6"/>
    <w:rsid w:val="005864B2"/>
    <w:rsid w:val="00590C78"/>
    <w:rsid w:val="005910BB"/>
    <w:rsid w:val="005932ED"/>
    <w:rsid w:val="0059658C"/>
    <w:rsid w:val="005970E0"/>
    <w:rsid w:val="005A0255"/>
    <w:rsid w:val="005A2A5A"/>
    <w:rsid w:val="005A66DC"/>
    <w:rsid w:val="005B26DE"/>
    <w:rsid w:val="005B488D"/>
    <w:rsid w:val="005C0406"/>
    <w:rsid w:val="005C0623"/>
    <w:rsid w:val="005C19F1"/>
    <w:rsid w:val="005C4BF3"/>
    <w:rsid w:val="005C5ED3"/>
    <w:rsid w:val="005C6BCA"/>
    <w:rsid w:val="005C7C54"/>
    <w:rsid w:val="005D7793"/>
    <w:rsid w:val="005E462B"/>
    <w:rsid w:val="005E68CC"/>
    <w:rsid w:val="005F21D5"/>
    <w:rsid w:val="005F2C24"/>
    <w:rsid w:val="005F3896"/>
    <w:rsid w:val="005F5511"/>
    <w:rsid w:val="005F6C57"/>
    <w:rsid w:val="00601379"/>
    <w:rsid w:val="00602A6F"/>
    <w:rsid w:val="00602E0F"/>
    <w:rsid w:val="0060382D"/>
    <w:rsid w:val="006060F3"/>
    <w:rsid w:val="006066B5"/>
    <w:rsid w:val="00606DC5"/>
    <w:rsid w:val="0061259E"/>
    <w:rsid w:val="006150DB"/>
    <w:rsid w:val="00615C7D"/>
    <w:rsid w:val="00616520"/>
    <w:rsid w:val="0062623A"/>
    <w:rsid w:val="00626764"/>
    <w:rsid w:val="00627F23"/>
    <w:rsid w:val="0063418E"/>
    <w:rsid w:val="00634793"/>
    <w:rsid w:val="00635ED6"/>
    <w:rsid w:val="00636A43"/>
    <w:rsid w:val="00640529"/>
    <w:rsid w:val="0064177B"/>
    <w:rsid w:val="00643738"/>
    <w:rsid w:val="006437B9"/>
    <w:rsid w:val="00647924"/>
    <w:rsid w:val="006505D7"/>
    <w:rsid w:val="0065132C"/>
    <w:rsid w:val="0065433F"/>
    <w:rsid w:val="00655305"/>
    <w:rsid w:val="00657B6B"/>
    <w:rsid w:val="006600B5"/>
    <w:rsid w:val="0066217E"/>
    <w:rsid w:val="00662C81"/>
    <w:rsid w:val="00666E48"/>
    <w:rsid w:val="00667F0F"/>
    <w:rsid w:val="00671BAE"/>
    <w:rsid w:val="00671EC6"/>
    <w:rsid w:val="006749DF"/>
    <w:rsid w:val="0067510E"/>
    <w:rsid w:val="00677441"/>
    <w:rsid w:val="006832FE"/>
    <w:rsid w:val="0068408B"/>
    <w:rsid w:val="006906D3"/>
    <w:rsid w:val="0069244F"/>
    <w:rsid w:val="0069349D"/>
    <w:rsid w:val="0069399E"/>
    <w:rsid w:val="0069443B"/>
    <w:rsid w:val="00697D97"/>
    <w:rsid w:val="006A3F8E"/>
    <w:rsid w:val="006B0124"/>
    <w:rsid w:val="006B24B9"/>
    <w:rsid w:val="006B6522"/>
    <w:rsid w:val="006B6FF8"/>
    <w:rsid w:val="006B7697"/>
    <w:rsid w:val="006C2000"/>
    <w:rsid w:val="006C2038"/>
    <w:rsid w:val="006C6CE6"/>
    <w:rsid w:val="006C784F"/>
    <w:rsid w:val="006D0D49"/>
    <w:rsid w:val="006D3732"/>
    <w:rsid w:val="006D45F0"/>
    <w:rsid w:val="006D5DC2"/>
    <w:rsid w:val="006D6839"/>
    <w:rsid w:val="006E452B"/>
    <w:rsid w:val="006E6AA5"/>
    <w:rsid w:val="006F10E8"/>
    <w:rsid w:val="006F1EC3"/>
    <w:rsid w:val="006F452C"/>
    <w:rsid w:val="006F599F"/>
    <w:rsid w:val="006F760C"/>
    <w:rsid w:val="0070259E"/>
    <w:rsid w:val="00703982"/>
    <w:rsid w:val="00704A02"/>
    <w:rsid w:val="0070510D"/>
    <w:rsid w:val="00710289"/>
    <w:rsid w:val="00710996"/>
    <w:rsid w:val="00712CAF"/>
    <w:rsid w:val="0071347C"/>
    <w:rsid w:val="00714CA5"/>
    <w:rsid w:val="00717E9C"/>
    <w:rsid w:val="0072096B"/>
    <w:rsid w:val="00721C0C"/>
    <w:rsid w:val="00725E14"/>
    <w:rsid w:val="00726368"/>
    <w:rsid w:val="0072664A"/>
    <w:rsid w:val="00726CCC"/>
    <w:rsid w:val="0072797D"/>
    <w:rsid w:val="00736403"/>
    <w:rsid w:val="00737568"/>
    <w:rsid w:val="0074009E"/>
    <w:rsid w:val="00740D18"/>
    <w:rsid w:val="00745607"/>
    <w:rsid w:val="00746ED2"/>
    <w:rsid w:val="00751D45"/>
    <w:rsid w:val="0075276A"/>
    <w:rsid w:val="00753940"/>
    <w:rsid w:val="00763B59"/>
    <w:rsid w:val="00766E61"/>
    <w:rsid w:val="00767096"/>
    <w:rsid w:val="007676FB"/>
    <w:rsid w:val="007700E6"/>
    <w:rsid w:val="00772097"/>
    <w:rsid w:val="007725C0"/>
    <w:rsid w:val="00773436"/>
    <w:rsid w:val="00774851"/>
    <w:rsid w:val="00774C2F"/>
    <w:rsid w:val="00780474"/>
    <w:rsid w:val="00781545"/>
    <w:rsid w:val="007828AE"/>
    <w:rsid w:val="00782EE7"/>
    <w:rsid w:val="007837EF"/>
    <w:rsid w:val="00786992"/>
    <w:rsid w:val="007903D6"/>
    <w:rsid w:val="00790436"/>
    <w:rsid w:val="00796C69"/>
    <w:rsid w:val="00797AB8"/>
    <w:rsid w:val="007A01D5"/>
    <w:rsid w:val="007A5D43"/>
    <w:rsid w:val="007A784C"/>
    <w:rsid w:val="007B0347"/>
    <w:rsid w:val="007B298A"/>
    <w:rsid w:val="007B59C5"/>
    <w:rsid w:val="007B62E6"/>
    <w:rsid w:val="007B774B"/>
    <w:rsid w:val="007C0AD6"/>
    <w:rsid w:val="007C1DE3"/>
    <w:rsid w:val="007C21C1"/>
    <w:rsid w:val="007C2DD8"/>
    <w:rsid w:val="007C517D"/>
    <w:rsid w:val="007C6627"/>
    <w:rsid w:val="007C7ACE"/>
    <w:rsid w:val="007D04D8"/>
    <w:rsid w:val="007D433B"/>
    <w:rsid w:val="007D589C"/>
    <w:rsid w:val="007D59B3"/>
    <w:rsid w:val="007E0A46"/>
    <w:rsid w:val="007E1F7B"/>
    <w:rsid w:val="007E2600"/>
    <w:rsid w:val="007E3D00"/>
    <w:rsid w:val="007E4A0B"/>
    <w:rsid w:val="007E4BBB"/>
    <w:rsid w:val="007E5A5C"/>
    <w:rsid w:val="007E6265"/>
    <w:rsid w:val="007F05E5"/>
    <w:rsid w:val="007F09D8"/>
    <w:rsid w:val="007F4692"/>
    <w:rsid w:val="007F5533"/>
    <w:rsid w:val="007F5BEC"/>
    <w:rsid w:val="007F7546"/>
    <w:rsid w:val="00803E7A"/>
    <w:rsid w:val="00806536"/>
    <w:rsid w:val="00811FF3"/>
    <w:rsid w:val="00813252"/>
    <w:rsid w:val="00813A58"/>
    <w:rsid w:val="00814782"/>
    <w:rsid w:val="00815280"/>
    <w:rsid w:val="0081621F"/>
    <w:rsid w:val="008174BA"/>
    <w:rsid w:val="00817AB8"/>
    <w:rsid w:val="008208DF"/>
    <w:rsid w:val="00822B3E"/>
    <w:rsid w:val="008264D9"/>
    <w:rsid w:val="00833BDD"/>
    <w:rsid w:val="00834849"/>
    <w:rsid w:val="00834D5D"/>
    <w:rsid w:val="0083545B"/>
    <w:rsid w:val="00835768"/>
    <w:rsid w:val="00835DB3"/>
    <w:rsid w:val="008443AC"/>
    <w:rsid w:val="00846B24"/>
    <w:rsid w:val="00847754"/>
    <w:rsid w:val="00856339"/>
    <w:rsid w:val="00861447"/>
    <w:rsid w:val="00862BEA"/>
    <w:rsid w:val="00863F20"/>
    <w:rsid w:val="008647A8"/>
    <w:rsid w:val="008725D3"/>
    <w:rsid w:val="008761D1"/>
    <w:rsid w:val="00876788"/>
    <w:rsid w:val="00881D0A"/>
    <w:rsid w:val="00885D47"/>
    <w:rsid w:val="00890128"/>
    <w:rsid w:val="00890336"/>
    <w:rsid w:val="008950C4"/>
    <w:rsid w:val="0089573B"/>
    <w:rsid w:val="00896DE4"/>
    <w:rsid w:val="00897B51"/>
    <w:rsid w:val="008A0AA8"/>
    <w:rsid w:val="008A2C84"/>
    <w:rsid w:val="008A3792"/>
    <w:rsid w:val="008A5A85"/>
    <w:rsid w:val="008A6FCF"/>
    <w:rsid w:val="008B292C"/>
    <w:rsid w:val="008B363D"/>
    <w:rsid w:val="008B3C1A"/>
    <w:rsid w:val="008B4080"/>
    <w:rsid w:val="008B5F76"/>
    <w:rsid w:val="008C0091"/>
    <w:rsid w:val="008C2025"/>
    <w:rsid w:val="008C662D"/>
    <w:rsid w:val="008D07B9"/>
    <w:rsid w:val="008D2B8C"/>
    <w:rsid w:val="008D2FF3"/>
    <w:rsid w:val="008D32D0"/>
    <w:rsid w:val="008D5CAA"/>
    <w:rsid w:val="008D605B"/>
    <w:rsid w:val="008D7CBD"/>
    <w:rsid w:val="008E182C"/>
    <w:rsid w:val="008E3B40"/>
    <w:rsid w:val="008E4104"/>
    <w:rsid w:val="008E7AED"/>
    <w:rsid w:val="008F0302"/>
    <w:rsid w:val="008F113B"/>
    <w:rsid w:val="008F3A2A"/>
    <w:rsid w:val="008F3D9B"/>
    <w:rsid w:val="008F7CF1"/>
    <w:rsid w:val="00902634"/>
    <w:rsid w:val="00905E2E"/>
    <w:rsid w:val="00906049"/>
    <w:rsid w:val="00906FB2"/>
    <w:rsid w:val="009123E0"/>
    <w:rsid w:val="009150CC"/>
    <w:rsid w:val="00916BA3"/>
    <w:rsid w:val="00921AF4"/>
    <w:rsid w:val="00925630"/>
    <w:rsid w:val="0093127F"/>
    <w:rsid w:val="009319E8"/>
    <w:rsid w:val="00933849"/>
    <w:rsid w:val="0093400F"/>
    <w:rsid w:val="009369E3"/>
    <w:rsid w:val="009378E0"/>
    <w:rsid w:val="00941E5F"/>
    <w:rsid w:val="00941EB6"/>
    <w:rsid w:val="009428E8"/>
    <w:rsid w:val="0095025E"/>
    <w:rsid w:val="00951C41"/>
    <w:rsid w:val="009551A4"/>
    <w:rsid w:val="009551C8"/>
    <w:rsid w:val="00956D3C"/>
    <w:rsid w:val="00957E51"/>
    <w:rsid w:val="00960CEF"/>
    <w:rsid w:val="00961143"/>
    <w:rsid w:val="00963A22"/>
    <w:rsid w:val="00963E28"/>
    <w:rsid w:val="0096447C"/>
    <w:rsid w:val="00965D5B"/>
    <w:rsid w:val="0096618B"/>
    <w:rsid w:val="0097000F"/>
    <w:rsid w:val="00970497"/>
    <w:rsid w:val="00971F73"/>
    <w:rsid w:val="009749A2"/>
    <w:rsid w:val="009751E8"/>
    <w:rsid w:val="00975573"/>
    <w:rsid w:val="00976A76"/>
    <w:rsid w:val="009809CD"/>
    <w:rsid w:val="00985672"/>
    <w:rsid w:val="00985A93"/>
    <w:rsid w:val="00987543"/>
    <w:rsid w:val="00990C15"/>
    <w:rsid w:val="00991AC9"/>
    <w:rsid w:val="00992C10"/>
    <w:rsid w:val="009934D4"/>
    <w:rsid w:val="00995550"/>
    <w:rsid w:val="00997C90"/>
    <w:rsid w:val="009A040D"/>
    <w:rsid w:val="009A0D4A"/>
    <w:rsid w:val="009A0E59"/>
    <w:rsid w:val="009A244B"/>
    <w:rsid w:val="009A6599"/>
    <w:rsid w:val="009A6902"/>
    <w:rsid w:val="009B0560"/>
    <w:rsid w:val="009B34A9"/>
    <w:rsid w:val="009B3AB2"/>
    <w:rsid w:val="009B3CD8"/>
    <w:rsid w:val="009B509A"/>
    <w:rsid w:val="009B749C"/>
    <w:rsid w:val="009B7BF8"/>
    <w:rsid w:val="009B7CE7"/>
    <w:rsid w:val="009C0844"/>
    <w:rsid w:val="009C338C"/>
    <w:rsid w:val="009C69BD"/>
    <w:rsid w:val="009D1438"/>
    <w:rsid w:val="009D1E0F"/>
    <w:rsid w:val="009D4962"/>
    <w:rsid w:val="009D4D08"/>
    <w:rsid w:val="009E33E2"/>
    <w:rsid w:val="009E38FD"/>
    <w:rsid w:val="009E68C1"/>
    <w:rsid w:val="009E6A3A"/>
    <w:rsid w:val="009F1166"/>
    <w:rsid w:val="009F23A0"/>
    <w:rsid w:val="009F4A87"/>
    <w:rsid w:val="00A07528"/>
    <w:rsid w:val="00A07B3D"/>
    <w:rsid w:val="00A1177E"/>
    <w:rsid w:val="00A13AF2"/>
    <w:rsid w:val="00A16139"/>
    <w:rsid w:val="00A17A77"/>
    <w:rsid w:val="00A17AAB"/>
    <w:rsid w:val="00A17D39"/>
    <w:rsid w:val="00A23E89"/>
    <w:rsid w:val="00A255EE"/>
    <w:rsid w:val="00A264D3"/>
    <w:rsid w:val="00A277AC"/>
    <w:rsid w:val="00A32D99"/>
    <w:rsid w:val="00A33046"/>
    <w:rsid w:val="00A3727B"/>
    <w:rsid w:val="00A40245"/>
    <w:rsid w:val="00A458DB"/>
    <w:rsid w:val="00A47348"/>
    <w:rsid w:val="00A4753F"/>
    <w:rsid w:val="00A50252"/>
    <w:rsid w:val="00A55D19"/>
    <w:rsid w:val="00A610F4"/>
    <w:rsid w:val="00A7292D"/>
    <w:rsid w:val="00A80486"/>
    <w:rsid w:val="00A84BF8"/>
    <w:rsid w:val="00A856C2"/>
    <w:rsid w:val="00A873EF"/>
    <w:rsid w:val="00A90E97"/>
    <w:rsid w:val="00A910BB"/>
    <w:rsid w:val="00A911E2"/>
    <w:rsid w:val="00A91388"/>
    <w:rsid w:val="00A91526"/>
    <w:rsid w:val="00A976C8"/>
    <w:rsid w:val="00AA0160"/>
    <w:rsid w:val="00AA2746"/>
    <w:rsid w:val="00AA4A05"/>
    <w:rsid w:val="00AA4D0A"/>
    <w:rsid w:val="00AA62CE"/>
    <w:rsid w:val="00AA64BD"/>
    <w:rsid w:val="00AA6AA1"/>
    <w:rsid w:val="00AB09AB"/>
    <w:rsid w:val="00AB20EA"/>
    <w:rsid w:val="00AB7348"/>
    <w:rsid w:val="00AC19E8"/>
    <w:rsid w:val="00AC1BC2"/>
    <w:rsid w:val="00AC36D7"/>
    <w:rsid w:val="00AC3C31"/>
    <w:rsid w:val="00AC564B"/>
    <w:rsid w:val="00AC6CBA"/>
    <w:rsid w:val="00AC7369"/>
    <w:rsid w:val="00AD137B"/>
    <w:rsid w:val="00AD19B6"/>
    <w:rsid w:val="00AD1DF3"/>
    <w:rsid w:val="00AD1EF7"/>
    <w:rsid w:val="00AD2C0D"/>
    <w:rsid w:val="00AD3A2D"/>
    <w:rsid w:val="00AD6FD0"/>
    <w:rsid w:val="00AD728F"/>
    <w:rsid w:val="00AE0A79"/>
    <w:rsid w:val="00AE46E0"/>
    <w:rsid w:val="00AF2A4F"/>
    <w:rsid w:val="00AF5EA5"/>
    <w:rsid w:val="00AF6991"/>
    <w:rsid w:val="00AF6AEF"/>
    <w:rsid w:val="00B0247F"/>
    <w:rsid w:val="00B038F8"/>
    <w:rsid w:val="00B0651F"/>
    <w:rsid w:val="00B1040F"/>
    <w:rsid w:val="00B1171E"/>
    <w:rsid w:val="00B141CD"/>
    <w:rsid w:val="00B1681C"/>
    <w:rsid w:val="00B2098D"/>
    <w:rsid w:val="00B22792"/>
    <w:rsid w:val="00B2750C"/>
    <w:rsid w:val="00B30B45"/>
    <w:rsid w:val="00B31EDC"/>
    <w:rsid w:val="00B33CB2"/>
    <w:rsid w:val="00B37B62"/>
    <w:rsid w:val="00B37BF5"/>
    <w:rsid w:val="00B45A89"/>
    <w:rsid w:val="00B45CC8"/>
    <w:rsid w:val="00B45DE3"/>
    <w:rsid w:val="00B50053"/>
    <w:rsid w:val="00B5297A"/>
    <w:rsid w:val="00B54C8E"/>
    <w:rsid w:val="00B571A1"/>
    <w:rsid w:val="00B5788E"/>
    <w:rsid w:val="00B60084"/>
    <w:rsid w:val="00B62934"/>
    <w:rsid w:val="00B67594"/>
    <w:rsid w:val="00B70FB1"/>
    <w:rsid w:val="00B72C89"/>
    <w:rsid w:val="00B758F9"/>
    <w:rsid w:val="00B761BE"/>
    <w:rsid w:val="00B76D27"/>
    <w:rsid w:val="00B80880"/>
    <w:rsid w:val="00B8199F"/>
    <w:rsid w:val="00B82347"/>
    <w:rsid w:val="00B9091D"/>
    <w:rsid w:val="00B90E60"/>
    <w:rsid w:val="00B9185B"/>
    <w:rsid w:val="00B91D3E"/>
    <w:rsid w:val="00B92AC2"/>
    <w:rsid w:val="00B96BA3"/>
    <w:rsid w:val="00BA1895"/>
    <w:rsid w:val="00BA2548"/>
    <w:rsid w:val="00BA5838"/>
    <w:rsid w:val="00BA5C99"/>
    <w:rsid w:val="00BA6CEF"/>
    <w:rsid w:val="00BB40AF"/>
    <w:rsid w:val="00BB496B"/>
    <w:rsid w:val="00BC203B"/>
    <w:rsid w:val="00BC36F2"/>
    <w:rsid w:val="00BC4DE3"/>
    <w:rsid w:val="00BC799C"/>
    <w:rsid w:val="00BD0782"/>
    <w:rsid w:val="00BD0BFB"/>
    <w:rsid w:val="00BD0F1B"/>
    <w:rsid w:val="00BD1F13"/>
    <w:rsid w:val="00BD2D18"/>
    <w:rsid w:val="00BD2EC5"/>
    <w:rsid w:val="00BD4961"/>
    <w:rsid w:val="00BD5301"/>
    <w:rsid w:val="00BD53A4"/>
    <w:rsid w:val="00BD6BD7"/>
    <w:rsid w:val="00BD7389"/>
    <w:rsid w:val="00BE1F0A"/>
    <w:rsid w:val="00BE23E4"/>
    <w:rsid w:val="00BE42FB"/>
    <w:rsid w:val="00BE5BD7"/>
    <w:rsid w:val="00BE5C69"/>
    <w:rsid w:val="00BF12D2"/>
    <w:rsid w:val="00BF1849"/>
    <w:rsid w:val="00BF446A"/>
    <w:rsid w:val="00BF46BE"/>
    <w:rsid w:val="00BF70B0"/>
    <w:rsid w:val="00BF7541"/>
    <w:rsid w:val="00C00AD7"/>
    <w:rsid w:val="00C00F02"/>
    <w:rsid w:val="00C01FB3"/>
    <w:rsid w:val="00C113D3"/>
    <w:rsid w:val="00C16540"/>
    <w:rsid w:val="00C16580"/>
    <w:rsid w:val="00C165EA"/>
    <w:rsid w:val="00C17BC0"/>
    <w:rsid w:val="00C21832"/>
    <w:rsid w:val="00C21EAA"/>
    <w:rsid w:val="00C228C6"/>
    <w:rsid w:val="00C25FE6"/>
    <w:rsid w:val="00C27A0B"/>
    <w:rsid w:val="00C315CC"/>
    <w:rsid w:val="00C31C8A"/>
    <w:rsid w:val="00C3274C"/>
    <w:rsid w:val="00C339FD"/>
    <w:rsid w:val="00C341B0"/>
    <w:rsid w:val="00C346E6"/>
    <w:rsid w:val="00C358F6"/>
    <w:rsid w:val="00C40400"/>
    <w:rsid w:val="00C41AA3"/>
    <w:rsid w:val="00C5086A"/>
    <w:rsid w:val="00C50A58"/>
    <w:rsid w:val="00C547D4"/>
    <w:rsid w:val="00C55222"/>
    <w:rsid w:val="00C55437"/>
    <w:rsid w:val="00C55E71"/>
    <w:rsid w:val="00C56133"/>
    <w:rsid w:val="00C563C5"/>
    <w:rsid w:val="00C566FC"/>
    <w:rsid w:val="00C63FBE"/>
    <w:rsid w:val="00C672AC"/>
    <w:rsid w:val="00C70E4E"/>
    <w:rsid w:val="00C713AD"/>
    <w:rsid w:val="00C73F6D"/>
    <w:rsid w:val="00C7550D"/>
    <w:rsid w:val="00C765C8"/>
    <w:rsid w:val="00C77525"/>
    <w:rsid w:val="00C80EFB"/>
    <w:rsid w:val="00C8130D"/>
    <w:rsid w:val="00C81B92"/>
    <w:rsid w:val="00C83C38"/>
    <w:rsid w:val="00C87B0A"/>
    <w:rsid w:val="00C958AA"/>
    <w:rsid w:val="00C9612E"/>
    <w:rsid w:val="00CA5402"/>
    <w:rsid w:val="00CB03A9"/>
    <w:rsid w:val="00CB0A56"/>
    <w:rsid w:val="00CB3117"/>
    <w:rsid w:val="00CB441E"/>
    <w:rsid w:val="00CB4D18"/>
    <w:rsid w:val="00CC4A8B"/>
    <w:rsid w:val="00CD01B7"/>
    <w:rsid w:val="00CD173B"/>
    <w:rsid w:val="00CD1CD9"/>
    <w:rsid w:val="00CD2D73"/>
    <w:rsid w:val="00CD43A9"/>
    <w:rsid w:val="00CD5005"/>
    <w:rsid w:val="00CD73B5"/>
    <w:rsid w:val="00CE1478"/>
    <w:rsid w:val="00CE3079"/>
    <w:rsid w:val="00CE64F7"/>
    <w:rsid w:val="00CE6570"/>
    <w:rsid w:val="00CF5FE7"/>
    <w:rsid w:val="00D011E9"/>
    <w:rsid w:val="00D03B16"/>
    <w:rsid w:val="00D05E2A"/>
    <w:rsid w:val="00D072F9"/>
    <w:rsid w:val="00D10C9E"/>
    <w:rsid w:val="00D14467"/>
    <w:rsid w:val="00D2008B"/>
    <w:rsid w:val="00D2410C"/>
    <w:rsid w:val="00D2546E"/>
    <w:rsid w:val="00D274AC"/>
    <w:rsid w:val="00D312C1"/>
    <w:rsid w:val="00D3377E"/>
    <w:rsid w:val="00D37D53"/>
    <w:rsid w:val="00D439C0"/>
    <w:rsid w:val="00D43A14"/>
    <w:rsid w:val="00D4633D"/>
    <w:rsid w:val="00D46AF2"/>
    <w:rsid w:val="00D525DE"/>
    <w:rsid w:val="00D55F70"/>
    <w:rsid w:val="00D56C60"/>
    <w:rsid w:val="00D603FE"/>
    <w:rsid w:val="00D61D1D"/>
    <w:rsid w:val="00D65319"/>
    <w:rsid w:val="00D655B3"/>
    <w:rsid w:val="00D71ED8"/>
    <w:rsid w:val="00D74C2F"/>
    <w:rsid w:val="00D77C74"/>
    <w:rsid w:val="00D82515"/>
    <w:rsid w:val="00D82F71"/>
    <w:rsid w:val="00D91B7D"/>
    <w:rsid w:val="00D92F93"/>
    <w:rsid w:val="00D933AF"/>
    <w:rsid w:val="00D933FA"/>
    <w:rsid w:val="00D946EC"/>
    <w:rsid w:val="00DA344F"/>
    <w:rsid w:val="00DA4F88"/>
    <w:rsid w:val="00DA6B45"/>
    <w:rsid w:val="00DB4025"/>
    <w:rsid w:val="00DB5B30"/>
    <w:rsid w:val="00DB5C5D"/>
    <w:rsid w:val="00DC4B20"/>
    <w:rsid w:val="00DC6FBE"/>
    <w:rsid w:val="00DC74FD"/>
    <w:rsid w:val="00DC7752"/>
    <w:rsid w:val="00DD1945"/>
    <w:rsid w:val="00DD1BE7"/>
    <w:rsid w:val="00DD3DB4"/>
    <w:rsid w:val="00DD4BCB"/>
    <w:rsid w:val="00DD683A"/>
    <w:rsid w:val="00DD7497"/>
    <w:rsid w:val="00DE3CB1"/>
    <w:rsid w:val="00DE60A5"/>
    <w:rsid w:val="00DF1E3F"/>
    <w:rsid w:val="00DF3273"/>
    <w:rsid w:val="00DF6FFF"/>
    <w:rsid w:val="00DF78C6"/>
    <w:rsid w:val="00E0167A"/>
    <w:rsid w:val="00E02911"/>
    <w:rsid w:val="00E02FD2"/>
    <w:rsid w:val="00E07505"/>
    <w:rsid w:val="00E10802"/>
    <w:rsid w:val="00E116C3"/>
    <w:rsid w:val="00E12FFE"/>
    <w:rsid w:val="00E14093"/>
    <w:rsid w:val="00E14539"/>
    <w:rsid w:val="00E1578F"/>
    <w:rsid w:val="00E166F7"/>
    <w:rsid w:val="00E20922"/>
    <w:rsid w:val="00E20A05"/>
    <w:rsid w:val="00E27533"/>
    <w:rsid w:val="00E30FC1"/>
    <w:rsid w:val="00E34267"/>
    <w:rsid w:val="00E3705B"/>
    <w:rsid w:val="00E377EC"/>
    <w:rsid w:val="00E40F41"/>
    <w:rsid w:val="00E4127C"/>
    <w:rsid w:val="00E42962"/>
    <w:rsid w:val="00E42AA6"/>
    <w:rsid w:val="00E50098"/>
    <w:rsid w:val="00E52958"/>
    <w:rsid w:val="00E54572"/>
    <w:rsid w:val="00E558B6"/>
    <w:rsid w:val="00E57CB9"/>
    <w:rsid w:val="00E6119E"/>
    <w:rsid w:val="00E643E1"/>
    <w:rsid w:val="00E73BB3"/>
    <w:rsid w:val="00E73CFA"/>
    <w:rsid w:val="00E7438D"/>
    <w:rsid w:val="00E749CF"/>
    <w:rsid w:val="00E759E1"/>
    <w:rsid w:val="00E77AB3"/>
    <w:rsid w:val="00E82E5B"/>
    <w:rsid w:val="00E847E7"/>
    <w:rsid w:val="00E8577D"/>
    <w:rsid w:val="00E8604E"/>
    <w:rsid w:val="00E91AAF"/>
    <w:rsid w:val="00E91CA3"/>
    <w:rsid w:val="00E92A69"/>
    <w:rsid w:val="00E944AD"/>
    <w:rsid w:val="00E95CAE"/>
    <w:rsid w:val="00EA2698"/>
    <w:rsid w:val="00EA3B97"/>
    <w:rsid w:val="00EA5230"/>
    <w:rsid w:val="00EA5726"/>
    <w:rsid w:val="00EA5FDA"/>
    <w:rsid w:val="00EA6843"/>
    <w:rsid w:val="00EA73B6"/>
    <w:rsid w:val="00EB5DAC"/>
    <w:rsid w:val="00EB6411"/>
    <w:rsid w:val="00EC1F72"/>
    <w:rsid w:val="00EC208E"/>
    <w:rsid w:val="00EC2BC5"/>
    <w:rsid w:val="00EC371D"/>
    <w:rsid w:val="00EC4665"/>
    <w:rsid w:val="00EC5035"/>
    <w:rsid w:val="00EC69B7"/>
    <w:rsid w:val="00EC7413"/>
    <w:rsid w:val="00ED1324"/>
    <w:rsid w:val="00ED1E69"/>
    <w:rsid w:val="00ED5C00"/>
    <w:rsid w:val="00ED6270"/>
    <w:rsid w:val="00EE470B"/>
    <w:rsid w:val="00EF02FE"/>
    <w:rsid w:val="00EF4C6B"/>
    <w:rsid w:val="00EF5E00"/>
    <w:rsid w:val="00EF68CE"/>
    <w:rsid w:val="00EF6E8E"/>
    <w:rsid w:val="00F02770"/>
    <w:rsid w:val="00F02A40"/>
    <w:rsid w:val="00F030CD"/>
    <w:rsid w:val="00F03196"/>
    <w:rsid w:val="00F072C5"/>
    <w:rsid w:val="00F12005"/>
    <w:rsid w:val="00F133D1"/>
    <w:rsid w:val="00F1695C"/>
    <w:rsid w:val="00F16E58"/>
    <w:rsid w:val="00F232EB"/>
    <w:rsid w:val="00F251E1"/>
    <w:rsid w:val="00F2612E"/>
    <w:rsid w:val="00F261AF"/>
    <w:rsid w:val="00F26F4F"/>
    <w:rsid w:val="00F312C6"/>
    <w:rsid w:val="00F331EF"/>
    <w:rsid w:val="00F45FC5"/>
    <w:rsid w:val="00F4686C"/>
    <w:rsid w:val="00F46F56"/>
    <w:rsid w:val="00F46FD5"/>
    <w:rsid w:val="00F47396"/>
    <w:rsid w:val="00F50A70"/>
    <w:rsid w:val="00F520FC"/>
    <w:rsid w:val="00F52EC8"/>
    <w:rsid w:val="00F54892"/>
    <w:rsid w:val="00F54B32"/>
    <w:rsid w:val="00F55F3C"/>
    <w:rsid w:val="00F564A4"/>
    <w:rsid w:val="00F5710F"/>
    <w:rsid w:val="00F6045C"/>
    <w:rsid w:val="00F60992"/>
    <w:rsid w:val="00F61068"/>
    <w:rsid w:val="00F62C2F"/>
    <w:rsid w:val="00F62E55"/>
    <w:rsid w:val="00F62EA0"/>
    <w:rsid w:val="00F65813"/>
    <w:rsid w:val="00F7164A"/>
    <w:rsid w:val="00F753B4"/>
    <w:rsid w:val="00F77A01"/>
    <w:rsid w:val="00F815CE"/>
    <w:rsid w:val="00F82C6F"/>
    <w:rsid w:val="00F852C9"/>
    <w:rsid w:val="00F86787"/>
    <w:rsid w:val="00F90A3C"/>
    <w:rsid w:val="00F914AB"/>
    <w:rsid w:val="00F9317E"/>
    <w:rsid w:val="00F9676C"/>
    <w:rsid w:val="00FA17D5"/>
    <w:rsid w:val="00FA33ED"/>
    <w:rsid w:val="00FA3A8A"/>
    <w:rsid w:val="00FA4F78"/>
    <w:rsid w:val="00FA5EA0"/>
    <w:rsid w:val="00FA6330"/>
    <w:rsid w:val="00FA67F2"/>
    <w:rsid w:val="00FB07C7"/>
    <w:rsid w:val="00FB1918"/>
    <w:rsid w:val="00FB2138"/>
    <w:rsid w:val="00FB35B6"/>
    <w:rsid w:val="00FB3A5C"/>
    <w:rsid w:val="00FB535F"/>
    <w:rsid w:val="00FB5371"/>
    <w:rsid w:val="00FB6B47"/>
    <w:rsid w:val="00FC64D9"/>
    <w:rsid w:val="00FC7149"/>
    <w:rsid w:val="00FD0247"/>
    <w:rsid w:val="00FD24DF"/>
    <w:rsid w:val="00FD3884"/>
    <w:rsid w:val="00FD6C23"/>
    <w:rsid w:val="00FE0255"/>
    <w:rsid w:val="00FE6566"/>
    <w:rsid w:val="00FE6BFB"/>
    <w:rsid w:val="00FE6FC7"/>
    <w:rsid w:val="00FE7CDD"/>
    <w:rsid w:val="00FF1A12"/>
    <w:rsid w:val="00FF2BEF"/>
    <w:rsid w:val="00FF49CE"/>
    <w:rsid w:val="00FF7496"/>
    <w:rsid w:val="00FF7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A591"/>
  <w15:docId w15:val="{0440A4C3-E344-4C70-ACEE-34FB8027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343"/>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A1AFD"/>
    <w:pPr>
      <w:ind w:left="720"/>
      <w:contextualSpacing/>
    </w:pPr>
  </w:style>
  <w:style w:type="paragraph" w:styleId="BalloonText">
    <w:name w:val="Balloon Text"/>
    <w:basedOn w:val="Normal"/>
    <w:link w:val="BalloonTextChar"/>
    <w:uiPriority w:val="99"/>
    <w:semiHidden/>
    <w:unhideWhenUsed/>
    <w:rsid w:val="00803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E7A"/>
    <w:rPr>
      <w:rFonts w:ascii="Tahoma" w:hAnsi="Tahoma" w:cs="Tahoma"/>
      <w:sz w:val="16"/>
      <w:szCs w:val="16"/>
    </w:rPr>
  </w:style>
  <w:style w:type="character" w:styleId="Hyperlink">
    <w:name w:val="Hyperlink"/>
    <w:basedOn w:val="DefaultParagraphFont"/>
    <w:uiPriority w:val="99"/>
    <w:unhideWhenUsed/>
    <w:rsid w:val="00F55F3C"/>
    <w:rPr>
      <w:color w:val="0000FF" w:themeColor="hyperlink"/>
      <w:u w:val="single"/>
    </w:rPr>
  </w:style>
  <w:style w:type="paragraph" w:styleId="Header">
    <w:name w:val="header"/>
    <w:basedOn w:val="Normal"/>
    <w:link w:val="HeaderChar"/>
    <w:uiPriority w:val="99"/>
    <w:unhideWhenUsed/>
    <w:rsid w:val="00CD0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1B7"/>
  </w:style>
  <w:style w:type="paragraph" w:styleId="Footer">
    <w:name w:val="footer"/>
    <w:basedOn w:val="Normal"/>
    <w:link w:val="FooterChar"/>
    <w:uiPriority w:val="99"/>
    <w:unhideWhenUsed/>
    <w:rsid w:val="00CD0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1B7"/>
  </w:style>
  <w:style w:type="table" w:styleId="TableGrid">
    <w:name w:val="Table Grid"/>
    <w:basedOn w:val="TableNormal"/>
    <w:uiPriority w:val="59"/>
    <w:rsid w:val="00F93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9185B"/>
    <w:rPr>
      <w:color w:val="808080"/>
      <w:shd w:val="clear" w:color="auto" w:fill="E6E6E6"/>
    </w:rPr>
  </w:style>
  <w:style w:type="table" w:customStyle="1" w:styleId="TableGrid1">
    <w:name w:val="Table Grid1"/>
    <w:basedOn w:val="TableNormal"/>
    <w:next w:val="TableGrid"/>
    <w:uiPriority w:val="59"/>
    <w:rsid w:val="00BE1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F6AEF"/>
    <w:rPr>
      <w:color w:val="605E5C"/>
      <w:shd w:val="clear" w:color="auto" w:fill="E1DFDD"/>
    </w:rPr>
  </w:style>
  <w:style w:type="character" w:styleId="FollowedHyperlink">
    <w:name w:val="FollowedHyperlink"/>
    <w:basedOn w:val="DefaultParagraphFont"/>
    <w:uiPriority w:val="99"/>
    <w:semiHidden/>
    <w:unhideWhenUsed/>
    <w:rsid w:val="002C26FE"/>
    <w:rPr>
      <w:color w:val="800080" w:themeColor="followedHyperlink"/>
      <w:u w:val="single"/>
    </w:rPr>
  </w:style>
  <w:style w:type="character" w:customStyle="1" w:styleId="UnresolvedMention3">
    <w:name w:val="Unresolved Mention3"/>
    <w:basedOn w:val="DefaultParagraphFont"/>
    <w:uiPriority w:val="99"/>
    <w:semiHidden/>
    <w:unhideWhenUsed/>
    <w:rsid w:val="00A07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8866">
      <w:bodyDiv w:val="1"/>
      <w:marLeft w:val="0"/>
      <w:marRight w:val="0"/>
      <w:marTop w:val="0"/>
      <w:marBottom w:val="0"/>
      <w:divBdr>
        <w:top w:val="none" w:sz="0" w:space="0" w:color="auto"/>
        <w:left w:val="none" w:sz="0" w:space="0" w:color="auto"/>
        <w:bottom w:val="none" w:sz="0" w:space="0" w:color="auto"/>
        <w:right w:val="none" w:sz="0" w:space="0" w:color="auto"/>
      </w:divBdr>
    </w:div>
    <w:div w:id="503739440">
      <w:bodyDiv w:val="1"/>
      <w:marLeft w:val="0"/>
      <w:marRight w:val="0"/>
      <w:marTop w:val="0"/>
      <w:marBottom w:val="0"/>
      <w:divBdr>
        <w:top w:val="none" w:sz="0" w:space="0" w:color="auto"/>
        <w:left w:val="none" w:sz="0" w:space="0" w:color="auto"/>
        <w:bottom w:val="none" w:sz="0" w:space="0" w:color="auto"/>
        <w:right w:val="none" w:sz="0" w:space="0" w:color="auto"/>
      </w:divBdr>
    </w:div>
    <w:div w:id="810292743">
      <w:bodyDiv w:val="1"/>
      <w:marLeft w:val="0"/>
      <w:marRight w:val="0"/>
      <w:marTop w:val="0"/>
      <w:marBottom w:val="0"/>
      <w:divBdr>
        <w:top w:val="none" w:sz="0" w:space="0" w:color="auto"/>
        <w:left w:val="none" w:sz="0" w:space="0" w:color="auto"/>
        <w:bottom w:val="none" w:sz="0" w:space="0" w:color="auto"/>
        <w:right w:val="none" w:sz="0" w:space="0" w:color="auto"/>
      </w:divBdr>
    </w:div>
    <w:div w:id="1319191877">
      <w:bodyDiv w:val="1"/>
      <w:marLeft w:val="0"/>
      <w:marRight w:val="0"/>
      <w:marTop w:val="0"/>
      <w:marBottom w:val="0"/>
      <w:divBdr>
        <w:top w:val="none" w:sz="0" w:space="0" w:color="auto"/>
        <w:left w:val="none" w:sz="0" w:space="0" w:color="auto"/>
        <w:bottom w:val="none" w:sz="0" w:space="0" w:color="auto"/>
        <w:right w:val="none" w:sz="0" w:space="0" w:color="auto"/>
      </w:divBdr>
    </w:div>
    <w:div w:id="1964459193">
      <w:bodyDiv w:val="1"/>
      <w:marLeft w:val="0"/>
      <w:marRight w:val="0"/>
      <w:marTop w:val="0"/>
      <w:marBottom w:val="0"/>
      <w:divBdr>
        <w:top w:val="none" w:sz="0" w:space="0" w:color="auto"/>
        <w:left w:val="none" w:sz="0" w:space="0" w:color="auto"/>
        <w:bottom w:val="none" w:sz="0" w:space="0" w:color="auto"/>
        <w:right w:val="none" w:sz="0" w:space="0" w:color="auto"/>
      </w:divBdr>
    </w:div>
    <w:div w:id="206814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fca.org.uk/news/speeches/assessing-value-financial-advice" TargetMode="External"/><Relationship Id="rId18" Type="http://schemas.openxmlformats.org/officeDocument/2006/relationships/hyperlink" Target="http://www.fsa.gov.uk/pages/Library/Communication/Statements/2007/ru64.shtml" TargetMode="External"/><Relationship Id="rId26" Type="http://schemas.openxmlformats.org/officeDocument/2006/relationships/hyperlink" Target="https://www.fca.org.uk/static/documents/research/advice-gap-analysis-report.pdf" TargetMode="External"/><Relationship Id="rId3" Type="http://schemas.openxmlformats.org/officeDocument/2006/relationships/styles" Target="styles.xml"/><Relationship Id="rId21" Type="http://schemas.openxmlformats.org/officeDocument/2006/relationships/hyperlink" Target="https://etheses.bham.ac.uk/id/eprint/6016/" TargetMode="External"/><Relationship Id="rId7" Type="http://schemas.openxmlformats.org/officeDocument/2006/relationships/endnotes" Target="endnotes.xml"/><Relationship Id="rId12" Type="http://schemas.openxmlformats.org/officeDocument/2006/relationships/hyperlink" Target="https://www.ingentaconnect.com/content/tpp/pap;jsessionid=1lknh1x41onud.x-ic-live-02" TargetMode="External"/><Relationship Id="rId17" Type="http://schemas.openxmlformats.org/officeDocument/2006/relationships/hyperlink" Target="https://www.fca.org.uk/data/retail-intermediary-market-2019" TargetMode="External"/><Relationship Id="rId25" Type="http://schemas.openxmlformats.org/officeDocument/2006/relationships/hyperlink" Target="https://doi.org/10.1007/978-981-10-0360-8_7" TargetMode="External"/><Relationship Id="rId2" Type="http://schemas.openxmlformats.org/officeDocument/2006/relationships/numbering" Target="numbering.xml"/><Relationship Id="rId16" Type="http://schemas.openxmlformats.org/officeDocument/2006/relationships/hyperlink" Target="https://www.fca.org.uk/publications/multi-firm-reviews/assessing-suitability-review" TargetMode="External"/><Relationship Id="rId20" Type="http://schemas.openxmlformats.org/officeDocument/2006/relationships/hyperlink" Target="https://www.moneyadviceservice.org.uk/en.html?msclkid=3e8e1aefcf8811ec90b7d7ea6b98fa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entaconnect.com/search/article;jsessionid=19l5iwkdo9t62.x-ic-live-02?option2=author&amp;value2=Berry%2c+Craig&amp;pageSize=10&amp;index=2" TargetMode="External"/><Relationship Id="rId24" Type="http://schemas.openxmlformats.org/officeDocument/2006/relationships/hyperlink" Target="https://doi.org/10.1007/978-981-10-0360-8_7" TargetMode="External"/><Relationship Id="rId5" Type="http://schemas.openxmlformats.org/officeDocument/2006/relationships/webSettings" Target="webSettings.xml"/><Relationship Id="rId15" Type="http://schemas.openxmlformats.org/officeDocument/2006/relationships/hyperlink" Target="https://www.ftadviser.com/your-industry/2019/05/28/adviser-numbers-to-fall-7-as-regulation-bites/?page=1" TargetMode="External"/><Relationship Id="rId23" Type="http://schemas.openxmlformats.org/officeDocument/2006/relationships/hyperlink" Target="http://heb.sagepub.com/cgi/content/abstract/15/2/175" TargetMode="External"/><Relationship Id="rId28" Type="http://schemas.openxmlformats.org/officeDocument/2006/relationships/fontTable" Target="fontTable.xml"/><Relationship Id="rId10" Type="http://schemas.openxmlformats.org/officeDocument/2006/relationships/hyperlink" Target="https://www.bi.team/articles/pensions-passport/" TargetMode="External"/><Relationship Id="rId19" Type="http://schemas.openxmlformats.org/officeDocument/2006/relationships/hyperlink" Target="https://maps.org.uk/wp-content/uploads/2022/03/Adult-Financial-Wellbeing-Survey-2021-Technical-Report.pdf?msclkid=a5e7f61ed03811ecaee4aed20b79e39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nottingham.ac.uk/business/news/financial-trust-is-on-the-up.aspx" TargetMode="External"/><Relationship Id="rId22" Type="http://schemas.openxmlformats.org/officeDocument/2006/relationships/hyperlink" Target="http://squeezedbritain.resolutionfoundation.or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286A9-4768-421A-8065-404D0DB2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11221</Words>
  <Characters>63966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Moss</dc:creator>
  <cp:keywords/>
  <dc:description/>
  <cp:lastModifiedBy>Karen Rowlingson</cp:lastModifiedBy>
  <cp:revision>3</cp:revision>
  <cp:lastPrinted>2022-06-17T11:20:00Z</cp:lastPrinted>
  <dcterms:created xsi:type="dcterms:W3CDTF">2022-11-25T10:19:00Z</dcterms:created>
  <dcterms:modified xsi:type="dcterms:W3CDTF">2022-11-25T10:20:00Z</dcterms:modified>
</cp:coreProperties>
</file>