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settings.xml" ContentType="application/vnd.openxmlformats-officedocument.wordprocessingml.setting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header1.xml" ContentType="application/vnd.openxmlformats-officedocument.wordprocessingml.header+xml"/>
  <Override PartName="/word/media/image4.jpeg" ContentType="image/jpeg"/>
  <Override PartName="/word/media/image3.jpeg" ContentType="image/jpeg"/>
  <Override PartName="/word/media/image2.jpeg" ContentType="image/jpeg"/>
  <Override PartName="/word/media/image1.jpeg" ContentType="image/jpeg"/>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1"/>
        <w:spacing w:lineRule="auto" w:line="360" w:before="720" w:after="240"/>
        <w:jc w:val="both"/>
        <w:rPr>
          <w:rFonts w:ascii="Times New Roman" w:hAnsi="Times New Roman" w:cs="Times New Roman"/>
        </w:rPr>
      </w:pPr>
      <w:r>
        <w:rPr>
          <w:rFonts w:cs="Times New Roman" w:ascii="Times New Roman" w:hAnsi="Times New Roman"/>
          <w:position w:val="8"/>
        </w:rPr>
        <w:t xml:space="preserve">Atomistic </w:t>
      </w:r>
      <w:bookmarkStart w:id="0" w:name="_Toc294362850"/>
      <w:bookmarkEnd w:id="0"/>
      <w:r>
        <w:rPr>
          <w:rFonts w:cs="Times New Roman" w:ascii="Times New Roman" w:hAnsi="Times New Roman"/>
        </w:rPr>
        <w:t>Molecular Dynamics Simulations of DNA Minicircle Topoisomers: A Practical Guide to Setup, Performance and Analysis</w:t>
      </w:r>
    </w:p>
    <w:p>
      <w:pPr>
        <w:pStyle w:val="Normal"/>
        <w:spacing w:lineRule="auto" w:line="360"/>
        <w:jc w:val="both"/>
        <w:rPr>
          <w:rFonts w:ascii="Times New Roman" w:hAnsi="Times New Roman" w:cs="Times New Roman"/>
        </w:rPr>
      </w:pPr>
      <w:r>
        <w:rPr>
          <w:rFonts w:cs="Times New Roman" w:ascii="Times New Roman" w:hAnsi="Times New Roman"/>
        </w:rPr>
        <w:t>Thana Sutthibutpong</w:t>
      </w:r>
      <w:r>
        <w:rPr>
          <w:rFonts w:cs="Times New Roman" w:ascii="Times New Roman" w:hAnsi="Times New Roman"/>
          <w:vertAlign w:val="superscript"/>
        </w:rPr>
        <w:t>1</w:t>
      </w:r>
      <w:r>
        <w:rPr>
          <w:rFonts w:cs="Times New Roman" w:ascii="Times New Roman" w:hAnsi="Times New Roman"/>
        </w:rPr>
        <w:t>, Agnes Noy</w:t>
      </w:r>
      <w:r>
        <w:rPr>
          <w:rFonts w:cs="Times New Roman" w:ascii="Times New Roman" w:hAnsi="Times New Roman"/>
          <w:vertAlign w:val="superscript"/>
        </w:rPr>
        <w:t>2</w:t>
      </w:r>
      <w:r>
        <w:rPr>
          <w:rFonts w:cs="Times New Roman" w:ascii="Times New Roman" w:hAnsi="Times New Roman"/>
        </w:rPr>
        <w:t xml:space="preserve"> and Sarah Harris</w:t>
      </w:r>
      <w:r>
        <w:rPr>
          <w:rFonts w:cs="Times New Roman" w:ascii="Times New Roman" w:hAnsi="Times New Roman"/>
          <w:vertAlign w:val="superscript"/>
        </w:rPr>
        <w:t>2</w:t>
      </w:r>
      <w:r>
        <w:rPr>
          <w:rFonts w:cs="Times New Roman" w:ascii="Times New Roman" w:hAnsi="Times New Roman"/>
        </w:rPr>
        <w:t>,</w:t>
      </w:r>
      <w:r>
        <w:rPr>
          <w:rFonts w:cs="Times New Roman" w:ascii="Times New Roman" w:hAnsi="Times New Roman"/>
          <w:vertAlign w:val="superscript"/>
        </w:rPr>
        <w:t>3</w:t>
      </w:r>
    </w:p>
    <w:p>
      <w:pPr>
        <w:pStyle w:val="Normal"/>
        <w:spacing w:lineRule="auto" w:line="360"/>
        <w:jc w:val="both"/>
        <w:rPr>
          <w:rFonts w:ascii="Times New Roman" w:hAnsi="Times New Roman" w:cs="Times New Roman"/>
        </w:rPr>
      </w:pPr>
      <w:r>
        <w:rPr>
          <w:rFonts w:cs="Times New Roman" w:ascii="Times New Roman" w:hAnsi="Times New Roman"/>
        </w:rPr>
        <w:t>1. King Mongkut University of Technology Thonburi, 126 Pracha Uthit Road, Thun Khru, Bangkok, Thailand, 10140.</w:t>
      </w:r>
    </w:p>
    <w:p>
      <w:pPr>
        <w:pStyle w:val="Normal"/>
        <w:spacing w:lineRule="auto" w:line="360"/>
        <w:jc w:val="both"/>
        <w:rPr>
          <w:rFonts w:ascii="Times New Roman" w:hAnsi="Times New Roman" w:cs="Times New Roman"/>
        </w:rPr>
      </w:pPr>
      <w:r>
        <w:rPr>
          <w:rFonts w:cs="Times New Roman" w:ascii="Times New Roman" w:hAnsi="Times New Roman"/>
        </w:rPr>
        <w:t>2. School of Physics and Astronomy, University of Leeds, Leeds, UK, LS2 9JT.</w:t>
      </w:r>
    </w:p>
    <w:p>
      <w:pPr>
        <w:pStyle w:val="Normal"/>
        <w:spacing w:lineRule="auto" w:line="360"/>
        <w:jc w:val="both"/>
        <w:rPr>
          <w:rFonts w:ascii="Times New Roman" w:hAnsi="Times New Roman" w:cs="Times New Roman"/>
        </w:rPr>
      </w:pPr>
      <w:r>
        <w:rPr>
          <w:rFonts w:cs="Times New Roman" w:ascii="Times New Roman" w:hAnsi="Times New Roman"/>
        </w:rPr>
        <w:t>3. Astbury Centre for Structural and Molecular Biology, University of Leeds, Leeds, UK, LS2 9JT.</w:t>
      </w:r>
    </w:p>
    <w:p>
      <w:pPr>
        <w:pStyle w:val="Heading2"/>
        <w:spacing w:lineRule="auto" w:line="360"/>
        <w:jc w:val="both"/>
        <w:rPr>
          <w:rFonts w:ascii="Times New Roman" w:hAnsi="Times New Roman" w:cs="Times New Roman"/>
        </w:rPr>
      </w:pPr>
      <w:r>
        <w:rPr>
          <w:rFonts w:cs="Times New Roman" w:ascii="Times New Roman" w:hAnsi="Times New Roman"/>
        </w:rPr>
        <w:t>Summary</w:t>
      </w:r>
    </w:p>
    <w:p>
      <w:pPr>
        <w:pStyle w:val="Normal"/>
        <w:spacing w:lineRule="auto" w:line="360"/>
        <w:jc w:val="both"/>
        <w:rPr>
          <w:rFonts w:ascii="Times New Roman" w:hAnsi="Times New Roman" w:cs="Times New Roman"/>
          <w:color w:val="FF0000"/>
        </w:rPr>
      </w:pPr>
      <w:r>
        <w:rPr>
          <w:rFonts w:cs="Times New Roman" w:ascii="Times New Roman" w:hAnsi="Times New Roman"/>
          <w:color w:val="000000" w:themeColor="text1"/>
        </w:rPr>
        <w:t xml:space="preserve">While DNA supercoiling is ubiquitous </w:t>
      </w:r>
      <w:r>
        <w:rPr>
          <w:rFonts w:cs="Times New Roman" w:ascii="Times New Roman" w:hAnsi="Times New Roman"/>
          <w:i/>
          <w:color w:val="000000" w:themeColor="text1"/>
        </w:rPr>
        <w:t>in vivo</w:t>
      </w:r>
      <w:r>
        <w:rPr>
          <w:rFonts w:cs="Times New Roman" w:ascii="Times New Roman" w:hAnsi="Times New Roman"/>
          <w:color w:val="000000" w:themeColor="text1"/>
        </w:rPr>
        <w:t xml:space="preserve">, the structure of supercoiled DNA is more challenging to study experimentally than simple linear sequences because the DNA must have a closed topology in order to sustain superhelical stress. DNA minicircles, which are closed circular double stranded DNA sequences typically containing between 60 and 500 base pairs, have proven to be useful biochemical tools for the study of the mechanics of supercoiled DNA. We present detailed protocols for constructing models of DNA minicircles </w:t>
      </w:r>
      <w:r>
        <w:rPr>
          <w:rFonts w:cs="Times New Roman" w:ascii="Times New Roman" w:hAnsi="Times New Roman"/>
          <w:i/>
          <w:color w:val="000000" w:themeColor="text1"/>
        </w:rPr>
        <w:t>in silico</w:t>
      </w:r>
      <w:r>
        <w:rPr>
          <w:rFonts w:cs="Times New Roman" w:ascii="Times New Roman" w:hAnsi="Times New Roman"/>
          <w:color w:val="000000" w:themeColor="text1"/>
        </w:rPr>
        <w:t xml:space="preserve">, for performing atomistic molecular dynamics (MD) simulations of supercoiled minicircle DNA and for analysing the results of the calculations. These simulations are computationally challenging due to the large system sizes. However, improvements in parallel computing software and hardware promise access to improve conformational sampling and simulation timescales. Given the concurrent improvements in the resolution of experimental techniques such as atomic force microscopy (AFM) and cryo-electron microscopy, the study of DNA minicircles will provide a more complete understanding of both the structure and the mechanics of supercoiled DNA. </w:t>
      </w:r>
    </w:p>
    <w:p>
      <w:pPr>
        <w:pStyle w:val="Normal"/>
        <w:spacing w:lineRule="auto" w:line="360"/>
        <w:jc w:val="both"/>
        <w:rPr>
          <w:rFonts w:ascii="Times New Roman" w:hAnsi="Times New Roman" w:cs="Times New Roman"/>
        </w:rPr>
      </w:pPr>
      <w:r>
        <w:rPr>
          <w:rFonts w:cs="Times New Roman" w:ascii="Times New Roman" w:hAnsi="Times New Roman"/>
        </w:rPr>
      </w:r>
    </w:p>
    <w:p>
      <w:pPr>
        <w:pStyle w:val="Normal"/>
        <w:spacing w:lineRule="auto" w:line="360"/>
        <w:jc w:val="both"/>
        <w:rPr>
          <w:rFonts w:ascii="Times New Roman" w:hAnsi="Times New Roman" w:cs="Times New Roman"/>
        </w:rPr>
      </w:pPr>
      <w:r>
        <w:rPr>
          <w:rFonts w:cs="Times New Roman" w:ascii="Times New Roman" w:hAnsi="Times New Roman"/>
          <w:b/>
        </w:rPr>
        <w:t>Key words:</w:t>
      </w:r>
      <w:r>
        <w:rPr>
          <w:rFonts w:cs="Times New Roman" w:ascii="Times New Roman" w:hAnsi="Times New Roman"/>
        </w:rPr>
        <w:t xml:space="preserve"> Atomistic molecular dynamics, DNA supercoiling </w:t>
      </w:r>
    </w:p>
    <w:p>
      <w:pPr>
        <w:pStyle w:val="Heading2"/>
        <w:spacing w:lineRule="auto" w:line="360"/>
        <w:ind w:left="0" w:hanging="0"/>
        <w:jc w:val="both"/>
        <w:rPr>
          <w:rFonts w:ascii="Times New Roman" w:hAnsi="Times New Roman" w:cs="Times New Roman"/>
          <w:color w:val="000000" w:themeColor="text1"/>
          <w:lang w:val="th-TH"/>
        </w:rPr>
      </w:pPr>
      <w:bookmarkStart w:id="1" w:name="_Toc294362852"/>
      <w:bookmarkEnd w:id="1"/>
      <w:r>
        <w:rPr>
          <w:rFonts w:cs="Times New Roman" w:ascii="Times New Roman" w:hAnsi="Times New Roman"/>
        </w:rPr>
        <w:t>1. Introduction</w:t>
      </w:r>
    </w:p>
    <w:p>
      <w:pPr>
        <w:pStyle w:val="Normal"/>
        <w:spacing w:lineRule="auto" w:line="360"/>
        <w:ind w:firstLine="720"/>
        <w:jc w:val="both"/>
        <w:rPr/>
      </w:pPr>
      <w:r>
        <w:rPr>
          <w:rFonts w:cs="Times New Roman" w:ascii="Times New Roman" w:hAnsi="Times New Roman"/>
          <w:color w:val="000000" w:themeColor="text1"/>
        </w:rPr>
        <w:t xml:space="preserve">DNA supercoiling is ubiquitous </w:t>
      </w:r>
      <w:r>
        <w:rPr>
          <w:rFonts w:cs="Times New Roman" w:ascii="Times New Roman" w:hAnsi="Times New Roman"/>
          <w:i/>
          <w:color w:val="000000" w:themeColor="text1"/>
        </w:rPr>
        <w:t>in vivo</w:t>
      </w:r>
      <w:r>
        <w:rPr>
          <w:rFonts w:cs="Times New Roman" w:ascii="Times New Roman" w:hAnsi="Times New Roman"/>
          <w:color w:val="000000" w:themeColor="text1"/>
        </w:rPr>
        <w:t xml:space="preserve">, and is implicated in both genome organisation and gene regulation </w:t>
      </w:r>
      <w:r>
        <w:fldChar w:fldCharType="begin"/>
      </w:r>
      <w:r>
        <w:instrText>ADDIN CSL_CITATION { "citationItems" : [ { "id" : "ITEM-1", "itemData" : { "author" : [ { "dropping-particle" : "", "family" : "Bates", "given" : "A. D.", "non-dropping-particle" : "", "parse-names" : false, "suffix" : "" }, { "dropping-particle" : "", "family" : "Maxwell", "given" : "A.", "non-dropping-particle" : "", "parse-names" : false, "suffix" : "" } ], "edition" : "2", "id" : "ITEM-1", "issued" : { "date-parts" : [ [ "2005" ] ] }, "number-of-pages" : "217", "publisher" : "Oxford University Press", "title" : "DNA Topology", "type" : "book" }, "uris" : [ "http://www.mendeley.com/documents/?uuid=e1c360c1-b146-4b89-97b9-131d3d985458" ] } ], "mendeley" : { "formattedCitation" : "&lt;b&gt;&lt;i&gt;(1)&lt;/i&gt;&lt;/b&gt;", "plainTextFormattedCitation" : "(1)", "previouslyFormattedCitation" : "&lt;b&gt;&lt;i&gt;(1)&lt;/i&gt;&lt;/b&gt;" }, "properties" : { "noteIndex" : 0 }, "schema" : "https://github.com/citation-style-language/schema/raw/master/csl-citation.json" }</w:instrText>
      </w:r>
      <w:r>
        <w:fldChar w:fldCharType="separate"/>
      </w:r>
      <w:bookmarkStart w:id="2" w:name="__Fieldmark__123_1847998653"/>
      <w:r>
        <w:rPr>
          <w:rFonts w:cs="Times New Roman" w:ascii="Times New Roman" w:hAnsi="Times New Roman"/>
          <w:color w:val="000000" w:themeColor="text1"/>
        </w:rPr>
      </w:r>
      <w:r>
        <w:rPr>
          <w:rFonts w:cs="Times New Roman" w:ascii="Times New Roman" w:hAnsi="Times New Roman"/>
          <w:b/>
          <w:i/>
          <w:color w:val="000000" w:themeColor="text1"/>
        </w:rPr>
        <w:t>(1)</w:t>
      </w:r>
      <w:r>
        <w:rPr>
          <w:rFonts w:cs="Times New Roman" w:ascii="Times New Roman" w:hAnsi="Times New Roman"/>
          <w:color w:val="000000" w:themeColor="text1"/>
        </w:rPr>
      </w:r>
      <w:r>
        <w:fldChar w:fldCharType="end"/>
      </w:r>
      <w:bookmarkEnd w:id="2"/>
      <w:r>
        <w:rPr>
          <w:rFonts w:cs="Times New Roman" w:ascii="Times New Roman" w:hAnsi="Times New Roman"/>
          <w:color w:val="000000" w:themeColor="text1"/>
        </w:rPr>
        <w:t xml:space="preserve">. DNA packaging in both prokaryotic and eukaryotic chromosomes can be investigated by HiC experiments, which detect spatial proximity between pairs of genomic loci through chemical cross-linking </w:t>
      </w:r>
      <w:r>
        <w:fldChar w:fldCharType="begin"/>
      </w:r>
      <w:r>
        <w:instrText>ADDIN CSL_CITATION { "citationItems" : [ { "id" : "ITEM-1", "itemData" : { "DOI" : "10.1038/nrg3454", "ISBN" : "1471-0064 (Electronic) 1471-0056 (Linking)", "ISSN" : "1471-0064", "PMID" : "23657480", "abstract" : "How DNA is organized in three dimensions inside the cell nucleus and how this affects the ways in which cells access, read and interpret genetic information are among the longest standing questions in cell biology. Using newly developed molecular, genomic and computational approaches based on the chromosome conformation capture technology (such as 3C, 4C, 5C and Hi-C), the spatial organization of genomes is being explored at unprecedented resolution. Interpreting the increasingly large chromatin interaction data sets is now posing novel challenges. Here we describe several types of statistical and computational approaches that have recently been developed to analyse chromatin interaction data.", "author" : [ { "dropping-particle" : "", "family" : "Dekker", "given" : "Job", "non-dropping-particle" : "", "parse-names" : false, "suffix" : "" }, { "dropping-particle" : "", "family" : "Marti-Renom", "given" : "Marc a", "non-dropping-particle" : "", "parse-names" : false, "suffix" : "" }, { "dropping-particle" : "", "family" : "Mirny", "given" : "Leonid a", "non-dropping-particle" : "", "parse-names" : false, "suffix" : "" } ], "container-title" : "Nature reviews. Genetics", "id" : "ITEM-1", "issue" : "6", "issued" : { "date-parts" : [ [ "2013" ] ] }, "page" : "390-403", "publisher" : "Nature Publishing Group", "title" : "Exploring the three-dimensional organization of genomes: interpreting chromatin interaction data.", "type" : "article-journal", "volume" : "14" }, "uris" : [ "http://www.mendeley.com/documents/?uuid=4e1a75b8-58e6-4a86-8cdf-0ab1dfe7ef7e" ] } ], "mendeley" : { "formattedCitation" : "&lt;b&gt;&lt;i&gt;(2)&lt;/i&gt;&lt;/b&gt;", "plainTextFormattedCitation" : "(2)", "previouslyFormattedCitation" : "&lt;b&gt;&lt;i&gt;(2)&lt;/i&gt;&lt;/b&gt;" }, "properties" : { "noteIndex" : 0 }, "schema" : "https://github.com/citation-style-language/schema/raw/master/csl-citation.json" }</w:instrText>
      </w:r>
      <w:r>
        <w:fldChar w:fldCharType="separate"/>
      </w:r>
      <w:bookmarkStart w:id="3" w:name="__Fieldmark__136_1847998653"/>
      <w:r>
        <w:rPr>
          <w:rFonts w:cs="Times New Roman" w:ascii="Times New Roman" w:hAnsi="Times New Roman"/>
          <w:color w:val="000000" w:themeColor="text1"/>
        </w:rPr>
      </w:r>
      <w:r>
        <w:rPr>
          <w:rFonts w:cs="Times New Roman" w:ascii="Times New Roman" w:hAnsi="Times New Roman"/>
          <w:b/>
          <w:i/>
          <w:color w:val="000000" w:themeColor="text1"/>
        </w:rPr>
        <w:t>(2)</w:t>
      </w:r>
      <w:r>
        <w:rPr>
          <w:rFonts w:cs="Times New Roman" w:ascii="Times New Roman" w:hAnsi="Times New Roman"/>
          <w:color w:val="000000" w:themeColor="text1"/>
        </w:rPr>
      </w:r>
      <w:r>
        <w:fldChar w:fldCharType="end"/>
      </w:r>
      <w:bookmarkEnd w:id="3"/>
      <w:r>
        <w:rPr>
          <w:rFonts w:cs="Times New Roman" w:ascii="Times New Roman" w:hAnsi="Times New Roman"/>
          <w:color w:val="000000" w:themeColor="text1"/>
        </w:rPr>
        <w:t xml:space="preserve">, and alternatively, by optical techniques such as fluorescence </w:t>
      </w:r>
      <w:r>
        <w:rPr>
          <w:rFonts w:cs="Times New Roman" w:ascii="Times New Roman" w:hAnsi="Times New Roman"/>
          <w:i/>
          <w:color w:val="000000" w:themeColor="text1"/>
        </w:rPr>
        <w:t>in situ</w:t>
      </w:r>
      <w:r>
        <w:rPr>
          <w:rFonts w:cs="Times New Roman" w:ascii="Times New Roman" w:hAnsi="Times New Roman"/>
          <w:color w:val="000000" w:themeColor="text1"/>
        </w:rPr>
        <w:t xml:space="preserve"> hybridization (FISH) which visuali</w:t>
      </w:r>
      <w:r>
        <w:rPr>
          <w:rFonts w:cs="Angsana New" w:ascii="Times New Roman" w:hAnsi="Times New Roman"/>
          <w:color w:val="000000" w:themeColor="text1"/>
          <w:lang w:val="en-US"/>
        </w:rPr>
        <w:t>s</w:t>
      </w:r>
      <w:r>
        <w:rPr>
          <w:rFonts w:cs="Times New Roman" w:ascii="Times New Roman" w:hAnsi="Times New Roman"/>
          <w:color w:val="000000" w:themeColor="text1"/>
        </w:rPr>
        <w:t xml:space="preserve">es the spatial relationship of a few chosen genomic sites </w:t>
      </w:r>
      <w:r>
        <w:fldChar w:fldCharType="begin"/>
      </w:r>
      <w:r>
        <w:instrText>ADDIN CSL_CITATION { "citationItems" : [ { "id" : "ITEM-1", "itemData" : { "DOI" : "10.1101/gad.251694.114.Freely", "author" : [ { "dropping-particle" : "", "family" : "Williamson", "given" : "Iain", "non-dropping-particle" : "", "parse-names" : false, "suffix" : "" }, { "dropping-particle" : "", "family" : "Berlivet", "given" : "Soizik", "non-dropping-particle" : "", "parse-names" : false, "suffix" : "" }, { "dropping-particle" : "", "family" : "Eskeland", "given" : "Ragnhild", "non-dropping-particle" : "", "parse-names" : false, "suffix" : "" }, { "dropping-particle" : "", "family" : "Boyle", "given" : "Shelagh", "non-dropping-particle" : "", "parse-names" : false, "suffix" : "" }, { "dropping-particle" : "", "family" : "Illingworth", "given" : "Robert S", "non-dropping-particle" : "", "parse-names" : false, "suffix" : "" }, { "dropping-particle" : "", "family" : "Paquette", "given" : "Denis", "non-dropping-particle" : "", "parse-names" : false, "suffix" : "" }, { "dropping-particle" : "", "family" : "Bickmore", "given" : "Wendy a", "non-dropping-particle" : "", "parse-names" : false, "suffix" : "" } ], "container-title" : "Genes &amp; Development", "id" : "ITEM-1", "issued" : { "date-parts" : [ [ "2014" ] ] }, "page" : "2778-2791", "title" : "Spatial genome organization: contrasting views from chromosome conformation capture and fluorescence in situ hybridization", "type" : "article-journal", "volume" : "28" }, "uris" : [ "http://www.mendeley.com/documents/?uuid=18158b75-a3bb-4ece-b7b2-fd7b540eaf8e" ] } ], "mendeley" : { "formattedCitation" : "&lt;b&gt;&lt;i&gt;(3)&lt;/i&gt;&lt;/b&gt;", "plainTextFormattedCitation" : "(3)", "previouslyFormattedCitation" : "&lt;b&gt;&lt;i&gt;(3)&lt;/i&gt;&lt;/b&gt;" }, "properties" : { "noteIndex" : 0 }, "schema" : "https://github.com/citation-style-language/schema/raw/master/csl-citation.json" }</w:instrText>
      </w:r>
      <w:r>
        <w:fldChar w:fldCharType="separate"/>
      </w:r>
      <w:bookmarkStart w:id="4" w:name="__Fieldmark__150_1847998653"/>
      <w:r>
        <w:rPr>
          <w:rFonts w:cs="Times New Roman" w:ascii="Times New Roman" w:hAnsi="Times New Roman"/>
          <w:color w:val="000000" w:themeColor="text1"/>
        </w:rPr>
      </w:r>
      <w:r>
        <w:rPr>
          <w:rFonts w:cs="Times New Roman" w:ascii="Times New Roman" w:hAnsi="Times New Roman"/>
          <w:b/>
          <w:i/>
          <w:color w:val="000000" w:themeColor="text1"/>
        </w:rPr>
        <w:t>(3)</w:t>
      </w:r>
      <w:r>
        <w:rPr>
          <w:rFonts w:cs="Times New Roman" w:ascii="Times New Roman" w:hAnsi="Times New Roman"/>
          <w:color w:val="000000" w:themeColor="text1"/>
        </w:rPr>
      </w:r>
      <w:r>
        <w:fldChar w:fldCharType="end"/>
      </w:r>
      <w:bookmarkEnd w:id="4"/>
      <w:r>
        <w:rPr>
          <w:rFonts w:cs="Times New Roman" w:ascii="Times New Roman" w:hAnsi="Times New Roman"/>
          <w:color w:val="000000" w:themeColor="text1"/>
        </w:rPr>
        <w:t xml:space="preserve">. Simple polymer models including the supercoiling of DNA suggest that topology is a crucial factor to reproduce the experimental spatial contact maps </w:t>
      </w:r>
      <w:r>
        <w:fldChar w:fldCharType="begin"/>
      </w:r>
      <w:r>
        <w:instrText>ADDIN CSL_CITATION { "citationItems" : [ { "id" : "ITEM-1", "itemData" : { "DOI" : "10.1093/nar/gkv055", "ISSN" : "0305-1048", "author" : [ { "dropping-particle" : "", "family" : "Benedetti", "given" : "F.", "non-dropping-particle" : "", "parse-names" : false, "suffix" : "" }, { "dropping-particle" : "", "family" : "Japaridze", "given" : "A.", "non-dropping-particle" : "", "parse-names" : false, "suffix" : "" }, { "dropping-particle" : "", "family" : "Dorier", "given" : "J.", "non-dropping-particle" : "", "parse-names" : false, "suffix" : "" }, { "dropping-particle" : "", "family" : "Racko", "given" : "D.", "non-dropping-particle" : "", "parse-names" : false, "suffix" : "" }, { "dropping-particle" : "", "family" : "Kwapich", "given" : "R.", "non-dropping-particle" : "", "parse-names" : false, "suffix" : "" }, { "dropping-particle" : "", "family" : "Burnier", "given" : "Y.", "non-dropping-particle" : "", "parse-names" : false, "suffix" : "" }, { "dropping-particle" : "", "family" : "Dietler", "given" : "G.", "non-dropping-particle" : "", "parse-names" : false, "suffix" : "" }, { "dropping-particle" : "", "family" : "Stasiak", "given" : "A.", "non-dropping-particle" : "", "parse-names" : false, "suffix" : "" } ], "container-title" : "Nucleic Acids Research", "id" : "ITEM-1", "issue" : "4", "issued" : { "date-parts" : [ [ "2015" ] ] }, "page" : "2390-2399", "title" : "Effects of physiological self-crowding of DNA on shape and biological properties of DNA molecules with various levels of supercoiling", "type" : "article-journal", "volume" : "43" }, "uris" : [ "http://www.mendeley.com/documents/?uuid=4569b9a8-0c6f-4c26-904e-b11918bb63e0" ] } ], "mendeley" : { "formattedCitation" : "&lt;b&gt;&lt;i&gt;(4)&lt;/i&gt;&lt;/b&gt;", "plainTextFormattedCitation" : "(4)", "previouslyFormattedCitation" : "&lt;b&gt;&lt;i&gt;(4)&lt;/i&gt;&lt;/b&gt;" }, "properties" : { "noteIndex" : 0 }, "schema" : "https://github.com/citation-style-language/schema/raw/master/csl-citation.json" }</w:instrText>
      </w:r>
      <w:r>
        <w:fldChar w:fldCharType="separate"/>
      </w:r>
      <w:bookmarkStart w:id="5" w:name="__Fieldmark__158_1847998653"/>
      <w:r>
        <w:rPr>
          <w:rFonts w:cs="Times New Roman" w:ascii="Times New Roman" w:hAnsi="Times New Roman"/>
          <w:color w:val="000000" w:themeColor="text1"/>
        </w:rPr>
      </w:r>
      <w:r>
        <w:rPr>
          <w:rFonts w:cs="Times New Roman" w:ascii="Times New Roman" w:hAnsi="Times New Roman"/>
          <w:b/>
          <w:i/>
          <w:color w:val="000000" w:themeColor="text1"/>
        </w:rPr>
        <w:t>(4)</w:t>
      </w:r>
      <w:r>
        <w:rPr>
          <w:rFonts w:cs="Times New Roman" w:ascii="Times New Roman" w:hAnsi="Times New Roman"/>
          <w:color w:val="000000" w:themeColor="text1"/>
        </w:rPr>
      </w:r>
      <w:r>
        <w:fldChar w:fldCharType="end"/>
      </w:r>
      <w:bookmarkEnd w:id="5"/>
      <w:r>
        <w:rPr>
          <w:rFonts w:cs="Times New Roman" w:ascii="Times New Roman" w:hAnsi="Times New Roman"/>
          <w:color w:val="000000" w:themeColor="text1"/>
        </w:rPr>
        <w:t xml:space="preserve">. Moreover, supercoiling directly induces strand separation </w:t>
      </w:r>
      <w:r>
        <w:fldChar w:fldCharType="begin"/>
      </w:r>
      <w:r>
        <w:instrText>ADDIN CSL_CITATION { "citationItems" : [ { "id" : "ITEM-1", "itemData" : { "author" : [ { "dropping-particle" : "", "family" : "Drew", "given" : "Horace R", "non-dropping-particle" : "", "parse-names" : false, "suffix" : "" }, { "dropping-particle" : "", "family" : "Weeks", "given" : "John R", "non-dropping-particle" : "", "parse-names" : false, "suffix" : "" }, { "dropping-particle" : "", "family" : "Travers", "given" : "Andrew A", "non-dropping-particle" : "", "parse-names" : false, "suffix" : "" } ], "container-title" : "EMBO Journal", "id" : "ITEM-1", "issue" : "4", "issued" : { "date-parts" : [ [ "1985" ] ] }, "page" : "1025 -1032", "title" : "Negative supercoiling induces spontaneous unwinding of a bacterial promoter", "type" : "article-journal", "volume" : "4" }, "uris" : [ "http://www.mendeley.com/documents/?uuid=c916bdd5-183f-4a1c-9b3b-f10525d7cdcf" ] }, { "id" : "ITEM-2", "itemData" : { "DOI" : "10.4161/nucl.28909", "ISSN" : "1949-1042", "PMID" : "24755522", "abstract" : "Chromatin is a complex assembly that compacts DNA inside the nucleus while providing the necessary level of accessibility to regulatory factors conscripted by cellular signaling systems. In this superstructure, DNA is the subject of mechanical forces applied by variety of molecular motors. Rather than being a rigid stick, DNA possesses dynamic structural variability that could be harnessed during critical steps of genome functioning. The strong relationship between DNA structure and key genomic processes necessitates the study of physical constrains acting on the double helix. Here we provide insight into the source, dynamics and biology of DNA topological domains in the eukaryotic cells and summarize their possible involvement in gene transcription. We emphasize recent studies that might inspire and impact future experiments on involvement of DNA topology in cellular functions.", "author" : [ { "dropping-particle" : "", "family" : "Kouzine", "given" : "Fedor", "non-dropping-particle" : "", "parse-names" : false, "suffix" : "" }, { "dropping-particle" : "", "family" : "Levens", "given" : "David", "non-dropping-particle" : "", "parse-names" : false, "suffix" : "" }, { "dropping-particle" : "", "family" : "Baranello", "given" : "Laura", "non-dropping-particle" : "", "parse-names" : false, "suffix" : "" } ], "container-title" : "Nucleus", "id" : "ITEM-2", "issue" : "3", "issued" : { "date-parts" : [ [ "2014" ] ] }, "page" : "195-202", "title" : "DNA topology and transcription.", "type" : "article-journal", "volume" : "5" }, "uris" : [ "http://www.mendeley.com/documents/?uuid=35020d84-cfe7-4fc2-8bec-6d96655387dc" ] } ], "mendeley" : { "formattedCitation" : "&lt;b&gt;&lt;i&gt;(5, 6)&lt;/i&gt;&lt;/b&gt;", "plainTextFormattedCitation" : "(5, 6)", "previouslyFormattedCitation" : "&lt;b&gt;&lt;i&gt;(5, 6)&lt;/i&gt;&lt;/b&gt;" }, "properties" : { "noteIndex" : 0 }, "schema" : "https://github.com/citation-style-language/schema/raw/master/csl-citation.json" }</w:instrText>
      </w:r>
      <w:r>
        <w:fldChar w:fldCharType="separate"/>
      </w:r>
      <w:bookmarkStart w:id="6" w:name="__Fieldmark__163_1847998653"/>
      <w:r>
        <w:rPr>
          <w:rFonts w:cs="Times New Roman" w:ascii="Times New Roman" w:hAnsi="Times New Roman"/>
          <w:color w:val="000000" w:themeColor="text1"/>
        </w:rPr>
      </w:r>
      <w:r>
        <w:rPr>
          <w:rFonts w:cs="Times New Roman" w:ascii="Times New Roman" w:hAnsi="Times New Roman"/>
          <w:b/>
          <w:i/>
          <w:color w:val="000000" w:themeColor="text1"/>
        </w:rPr>
        <w:t>(</w:t>
      </w:r>
      <w:bookmarkStart w:id="7" w:name="__Fieldmark__1515_426357575"/>
      <w:bookmarkStart w:id="8" w:name="__Fieldmark__54_77601006"/>
      <w:r>
        <w:rPr>
          <w:rFonts w:cs="Times New Roman" w:ascii="Times New Roman" w:hAnsi="Times New Roman"/>
          <w:b/>
          <w:i/>
          <w:color w:val="000000" w:themeColor="text1"/>
        </w:rPr>
        <w:t>5, 6)</w:t>
      </w:r>
      <w:r>
        <w:rPr>
          <w:rFonts w:cs="Times New Roman" w:ascii="Times New Roman" w:hAnsi="Times New Roman"/>
          <w:color w:val="000000" w:themeColor="text1"/>
        </w:rPr>
      </w:r>
      <w:r>
        <w:fldChar w:fldCharType="end"/>
      </w:r>
      <w:bookmarkEnd w:id="6"/>
      <w:bookmarkEnd w:id="7"/>
      <w:bookmarkEnd w:id="8"/>
      <w:r>
        <w:rPr>
          <w:rFonts w:cs="Times New Roman" w:ascii="Times New Roman" w:hAnsi="Times New Roman"/>
          <w:color w:val="000000" w:themeColor="text1"/>
        </w:rPr>
        <w:t xml:space="preserve"> for RNA polymerase binding </w:t>
      </w:r>
      <w:r>
        <w:fldChar w:fldCharType="begin"/>
      </w:r>
      <w:r>
        <w:instrText>ADDIN CSL_CITATION { "citationItems" : [ { "id" : "ITEM-1", "itemData" : { "DOI" : "10.1016/S0022-2836(02)00142-0", "ISSN" : "00222836", "PMID" : "12054813", "abstract" : "We have applied laser UV photo-footprinting to characterise kinetically complexes involving the activator protein FIS, RNA polymerase and the tyrT promoter of Escherichia coli. FIS photo-footprints strongly to three binding sites upstream of the core promoter. The polymerase photo-footprints in the near-consensus - 35 hexamer on the non-template strand of DNA in a fashion similar to that of stable complexes involving the lac UV5 promoter. The kinetics of the interactions of polymerase alone with the tyrT promoter differ from those observed previously at the lac UV5 promoter. In the absence of FIS, we observe an upstream polymerase-induced signal at - 122 within FIS site III that occurs subsequent to changes in the core promoter region and is strongly dependent on negative supercoiling. These observations support the proposal that the upstream region of the promoter is wrapped around the polymerase. We propose that the wrapped DNA allows the polymerase to overcome, at least in part, the barrier to DNA untwisting imparted by the G+C-rich discriminator. We further suggest that FIS plays a similar role and may facilitate polymerase escape. \u00a9 2002 Elsevier Science Ltd. All rights reserved.", "author" : [ { "dropping-particle" : "", "family" : "Pemberton", "given" : "Iain K.", "non-dropping-particle" : "", "parse-names" : false, "suffix" : "" }, { "dropping-particle" : "", "family" : "Muskhelishvili", "given" : "Georgi", "non-dropping-particle" : "", "parse-names" : false, "suffix" : "" }, { "dropping-particle" : "", "family" : "Travers", "given" : "Andrew A.", "non-dropping-particle" : "", "parse-names" : false, "suffix" : "" }, { "dropping-particle" : "", "family" : "Buckle", "given" : "Malcolm", "non-dropping-particle" : "", "parse-names" : false, "suffix" : "" } ], "container-title" : "Journal of Molecular Biology", "id" : "ITEM-1", "issue" : "3", "issued" : { "date-parts" : [ [ "2002" ] ] }, "page" : "651-663", "title" : "FIS modulates the kinetics of successive interactions of RNA polymerase with the core and upstream regions of the tyrT promoter", "type" : "article-journal", "volume" : "318" }, "uris" : [ "http://www.mendeley.com/documents/?uuid=844c10b7-6ba7-47d4-a22e-a09fd26d339b" ] } ], "mendeley" : { "formattedCitation" : "&lt;b&gt;&lt;i&gt;(7)&lt;/i&gt;&lt;/b&gt;", "plainTextFormattedCitation" : "(7)", "previouslyFormattedCitation" : "&lt;b&gt;&lt;i&gt;(7)&lt;/i&gt;&lt;/b&gt;" }, "properties" : { "noteIndex" : 0 }, "schema" : "https://github.com/citation-style-language/schema/raw/master/csl-citation.json" }</w:instrText>
      </w:r>
      <w:r>
        <w:fldChar w:fldCharType="separate"/>
      </w:r>
      <w:bookmarkStart w:id="9" w:name="__Fieldmark__172_1847998653"/>
      <w:r>
        <w:rPr>
          <w:rFonts w:cs="Times New Roman" w:ascii="Times New Roman" w:hAnsi="Times New Roman"/>
          <w:color w:val="000000" w:themeColor="text1"/>
        </w:rPr>
      </w:r>
      <w:r>
        <w:rPr>
          <w:rFonts w:cs="Times New Roman" w:ascii="Times New Roman" w:hAnsi="Times New Roman"/>
          <w:b/>
          <w:i/>
          <w:color w:val="000000" w:themeColor="text1"/>
        </w:rPr>
        <w:t>(</w:t>
      </w:r>
      <w:bookmarkStart w:id="10" w:name="__Fieldmark__1521_426357575"/>
      <w:bookmarkStart w:id="11" w:name="__Fieldmark__61_77601006"/>
      <w:r>
        <w:rPr>
          <w:rFonts w:cs="Times New Roman" w:ascii="Times New Roman" w:hAnsi="Times New Roman"/>
          <w:b/>
          <w:i/>
          <w:color w:val="000000" w:themeColor="text1"/>
        </w:rPr>
        <w:t>7)</w:t>
      </w:r>
      <w:r>
        <w:rPr>
          <w:rFonts w:cs="Times New Roman" w:ascii="Times New Roman" w:hAnsi="Times New Roman"/>
          <w:color w:val="000000" w:themeColor="text1"/>
        </w:rPr>
      </w:r>
      <w:r>
        <w:fldChar w:fldCharType="end"/>
      </w:r>
      <w:bookmarkEnd w:id="9"/>
      <w:bookmarkEnd w:id="10"/>
      <w:bookmarkEnd w:id="11"/>
      <w:r>
        <w:rPr>
          <w:rFonts w:cs="Times New Roman" w:ascii="Times New Roman" w:hAnsi="Times New Roman"/>
          <w:color w:val="000000" w:themeColor="text1"/>
        </w:rPr>
        <w:t xml:space="preserve"> and altered the DNA geometry, which influences the regulatory protein binding and makes DNA able to direct its own metabolism by altering the level of supercoiling </w:t>
      </w:r>
      <w:r>
        <w:fldChar w:fldCharType="begin"/>
      </w:r>
      <w:r>
        <w:instrText>ADDIN CSL_CITATION { "citationItems" : [ { "id" : "ITEM-1", "itemData" : { "DOI" : "10.1017/S0033583512000054", "ISSN" : "1469-8994", "PMID" : "22850561", "abstract" : "The predominant protein-centric perspective in protein-DNA-binding studies assumes that the protein drives the interaction. Research focuses on protein structural motifs, electrostatic surfaces and contact potentials, while DNA is often ignored as a passive polymer to be manipulated. Recent studies of DNA topology, the supercoiling, knotting, and linking of the helices, have shown that DNA has the capability to be an active participant in its transactions. DNA topology-induced structural and geometric changes can drive, or at least strongly influence, the interactions between protein and DNA. Deformations of the B-form structure arise from both the considerable elastic energy arising from supercoiling and from the electrostatic energy. Here, we discuss how these energies are harnessed for topology-driven, sequence-specific deformations that can allow DNA to direct its own metabolism.", "author" : [ { "dropping-particle" : "", "family" : "Fogg", "given" : "Jonathan M", "non-dropping-particle" : "", "parse-names" : false, "suffix" : "" }, { "dropping-particle" : "", "family" : "Randall", "given" : "Graham L", "non-dropping-particle" : "", "parse-names" : false, "suffix" : "" }, { "dropping-particle" : "", "family" : "Pettitt", "given" : "B Montgomery", "non-dropping-particle" : "", "parse-names" : false, "suffix" : "" }, { "dropping-particle" : "", "family" : "Sumners", "given" : "De Witt L", "non-dropping-particle" : "", "parse-names" : false, "suffix" : "" }, { "dropping-particle" : "", "family" : "Harris", "given" : "Sarah A", "non-dropping-particle" : "", "parse-names" : false, "suffix" : "" }, { "dropping-particle" : "", "family" : "Zechiedrich", "given" : "Lynn", "non-dropping-particle" : "", "parse-names" : false, "suffix" : "" } ], "container-title" : "Quarterly reviews of biophysics", "id" : "ITEM-1", "issue" : "3", "issued" : { "date-parts" : [ [ "2012", "8" ] ] }, "page" : "257-299", "title" : "Bullied no more: when and how DNA shoves proteins around.", "type" : "article-journal", "volume" : "45" }, "uris" : [ "http://www.mendeley.com/documents/?uuid=f3d099b4-0912-4b88-8c5c-0f030916ed8b" ] } ], "mendeley" : { "formattedCitation" : "&lt;b&gt;&lt;i&gt;(8)&lt;/i&gt;&lt;/b&gt;", "plainTextFormattedCitation" : "(8)", "previouslyFormattedCitation" : "&lt;b&gt;&lt;i&gt;(8)&lt;/i&gt;&lt;/b&gt;" }, "properties" : { "noteIndex" : 0 }, "schema" : "https://github.com/citation-style-language/schema/raw/master/csl-citation.json" }</w:instrText>
      </w:r>
      <w:r>
        <w:fldChar w:fldCharType="separate"/>
      </w:r>
      <w:bookmarkStart w:id="12" w:name="__Fieldmark__181_1847998653"/>
      <w:r>
        <w:rPr>
          <w:rFonts w:cs="Times New Roman" w:ascii="Times New Roman" w:hAnsi="Times New Roman"/>
          <w:color w:val="000000" w:themeColor="text1"/>
        </w:rPr>
      </w:r>
      <w:r>
        <w:rPr>
          <w:rFonts w:cs="Times New Roman" w:ascii="Times New Roman" w:hAnsi="Times New Roman"/>
          <w:b/>
          <w:i/>
          <w:color w:val="000000" w:themeColor="text1"/>
        </w:rPr>
        <w:t>(</w:t>
      </w:r>
      <w:bookmarkStart w:id="13" w:name="__Fieldmark__1529_426357575"/>
      <w:bookmarkStart w:id="14" w:name="__Fieldmark__68_77601006"/>
      <w:r>
        <w:rPr>
          <w:rFonts w:cs="Times New Roman" w:ascii="Times New Roman" w:hAnsi="Times New Roman"/>
          <w:b/>
          <w:i/>
          <w:color w:val="000000" w:themeColor="text1"/>
        </w:rPr>
        <w:t>8)</w:t>
      </w:r>
      <w:r>
        <w:rPr>
          <w:rFonts w:cs="Times New Roman" w:ascii="Times New Roman" w:hAnsi="Times New Roman"/>
          <w:color w:val="000000" w:themeColor="text1"/>
        </w:rPr>
      </w:r>
      <w:r>
        <w:fldChar w:fldCharType="end"/>
      </w:r>
      <w:bookmarkEnd w:id="12"/>
      <w:bookmarkEnd w:id="13"/>
      <w:bookmarkEnd w:id="14"/>
      <w:r>
        <w:rPr>
          <w:rFonts w:cs="Times New Roman" w:ascii="Times New Roman" w:hAnsi="Times New Roman"/>
          <w:color w:val="000000" w:themeColor="text1"/>
        </w:rPr>
        <w:t>.</w:t>
      </w:r>
      <w:r>
        <w:rPr>
          <w:rFonts w:cs="Times New Roman" w:ascii="Times New Roman" w:hAnsi="Times New Roman"/>
          <w:color w:val="FF0000"/>
        </w:rPr>
        <w:t xml:space="preserve"> </w:t>
      </w:r>
    </w:p>
    <w:p>
      <w:pPr>
        <w:pStyle w:val="Normal"/>
        <w:spacing w:lineRule="auto" w:line="360"/>
        <w:ind w:firstLine="720"/>
        <w:jc w:val="both"/>
        <w:rPr/>
      </w:pPr>
      <w:r>
        <w:rPr/>
      </w:r>
    </w:p>
    <w:p>
      <w:pPr>
        <w:pStyle w:val="Normal"/>
        <w:spacing w:lineRule="auto" w:line="360"/>
        <w:jc w:val="both"/>
        <w:rPr/>
      </w:pPr>
      <w:r>
        <w:rPr>
          <w:rFonts w:cs="Times New Roman" w:ascii="Times New Roman" w:hAnsi="Times New Roman"/>
          <w:b/>
          <w:color w:val="000000" w:themeColor="text1"/>
        </w:rPr>
        <w:t>DNA minicircles as Model Systems:</w:t>
      </w:r>
      <w:r>
        <w:rPr>
          <w:rFonts w:cs="Times New Roman" w:ascii="Times New Roman" w:hAnsi="Times New Roman"/>
          <w:color w:val="000000" w:themeColor="text1"/>
        </w:rPr>
        <w:t xml:space="preserve"> While X-ray crystallography and NMR studies have provided atomistic resolution structural information for short (around 30 base pairs) linear DNA fragments, for protein-DNA complexes </w:t>
      </w:r>
      <w:r>
        <w:fldChar w:fldCharType="begin"/>
      </w:r>
      <w:r>
        <w:instrText>ADDIN CSL_CITATION { "citationItems" : [ { "id" : "ITEM-1", "itemData" : { "author" : [ { "dropping-particle" : "", "family" : "Olson", "given" : "Wilma K.", "non-dropping-particle" : "", "parse-names" : false, "suffix" : "" }, { "dropping-particle" : "", "family" : "Gorin", "given" : "Andrey A.", "non-dropping-particle" : "", "parse-names" : false, "suffix" : "" }, { "dropping-particle" : "", "family" : "Lu", "given" : "Xiang-Jun", "non-dropping-particle" : "", "parse-names" : false, "suffix" : "" }, { "dropping-particle" : "", "family" : "Hock", "given" : "Lynette M.", "non-dropping-particle" : "", "parse-names" : false, "suffix" : "" }, { "dropping-particle" : "", "family" : "Zhurkin", "given" : "Victor B.", "non-dropping-particle" : "", "parse-names" : false, "suffix" : "" } ], "container-title" : "Proceedings of the National Academy of Science USA", "id" : "ITEM-1", "issue" : "September", "issued" : { "date-parts" : [ [ "1998" ] ] }, "page" : "11163-11168", "title" : "DNA sequence-dependent deformability deduced from protein\u2013DNA crystal complexes", "type" : "article-journal", "volume" : "95" }, "uris" : [ "http://www.mendeley.com/documents/?uuid=1c4ba565-5aba-4e0c-94a4-27d3dce805c8" ] }, { "id" : "ITEM-2", "itemData" : { "DOI" : "10.1186/gb-2000-1-1-reviews001", "ISBN" : "1465-6914 (Electronic)\\r1465-6906 (Linking)", "ISSN" : "1465-6914", "PMID" : "11104519", "abstract" : "On the basis of a structural analysis of 240 protein-DNA complexes contained in the Protein Data Bank (PDB), we have classified the DNA-binding proteins involved into eight different structural/functional groups, which are further classified into 54 structural families. Here we present this classification and review the functions, structures and binding interactions of these protein-DNA complexes.", "author" : [ { "dropping-particle" : "", "family" : "Luscombe", "given" : "N M", "non-dropping-particle" : "", "parse-names" : false, "suffix" : "" }, { "dropping-particle" : "", "family" : "Austin", "given" : "S E", "non-dropping-particle" : "", "parse-names" : false, "suffix" : "" }, { "dropping-particle" : "", "family" : "Berman", "given" : "H M", "non-dropping-particle" : "", "parse-names" : false, "suffix" : "" }, { "dropping-particle" : "", "family" : "Thornton", "given" : "J M", "non-dropping-particle" : "", "parse-names" : false, "suffix" : "" } ], "container-title" : "Genome biology", "id" : "ITEM-2", "issue" : "1", "issued" : { "date-parts" : [ [ "2000" ] ] }, "page" : "REVIEWS001", "title" : "An overview of the structures of protein-DNA complexes.", "type" : "article-journal", "volume" : "1" }, "uris" : [ "http://www.mendeley.com/documents/?uuid=b1ca4a51-16e4-4a95-8b58-3312343d6693" ] } ], "mendeley" : { "formattedCitation" : "&lt;b&gt;&lt;i&gt;(9, 10)&lt;/i&gt;&lt;/b&gt;", "plainTextFormattedCitation" : "(9, 10)", "previouslyFormattedCitation" : "&lt;b&gt;&lt;i&gt;(9, 10)&lt;/i&gt;&lt;/b&gt;" }, "properties" : { "noteIndex" : 0 }, "schema" : "https://github.com/citation-style-language/schema/raw/master/csl-citation.json" }</w:instrText>
      </w:r>
      <w:r>
        <w:fldChar w:fldCharType="separate"/>
      </w:r>
      <w:bookmarkStart w:id="15" w:name="__Fieldmark__208_1847998653"/>
      <w:r>
        <w:rPr>
          <w:rFonts w:cs="Times New Roman" w:ascii="Times New Roman" w:hAnsi="Times New Roman"/>
          <w:color w:val="000000" w:themeColor="text1"/>
        </w:rPr>
      </w:r>
      <w:r>
        <w:rPr>
          <w:rFonts w:cs="Times New Roman" w:ascii="Times New Roman" w:hAnsi="Times New Roman"/>
          <w:b/>
          <w:i/>
          <w:color w:val="000000" w:themeColor="text1"/>
        </w:rPr>
        <w:t>(9, 10)</w:t>
      </w:r>
      <w:r>
        <w:rPr>
          <w:rFonts w:cs="Times New Roman" w:ascii="Times New Roman" w:hAnsi="Times New Roman"/>
          <w:color w:val="000000" w:themeColor="text1"/>
        </w:rPr>
      </w:r>
      <w:r>
        <w:fldChar w:fldCharType="end"/>
      </w:r>
      <w:bookmarkEnd w:id="15"/>
      <w:r>
        <w:rPr>
          <w:rFonts w:cs="Times New Roman" w:ascii="Times New Roman" w:hAnsi="Times New Roman"/>
          <w:color w:val="000000" w:themeColor="text1"/>
        </w:rPr>
        <w:t xml:space="preserve"> and even for nucleosomes </w:t>
      </w:r>
      <w:r>
        <w:fldChar w:fldCharType="begin"/>
      </w:r>
      <w:r>
        <w:instrText>ADDIN CSL_CITATION { "citationItems" : [ { "id" : "ITEM-1", "itemData" : { "author" : [ { "dropping-particle" : "", "family" : "Richmond", "given" : "Timothy J", "non-dropping-particle" : "", "parse-names" : false, "suffix" : "" }, { "dropping-particle" : "", "family" : "Davey", "given" : "Curt A", "non-dropping-particle" : "", "parse-names" : false, "suffix" : "" } ], "container-title" : "Nature", "id" : "ITEM-1", "issued" : { "date-parts" : [ [ "2003" ] ] }, "page" : "145-150", "title" : "The structure of DNA in the nucleosome core", "type" : "article-journal", "volume" : "423" }, "uris" : [ "http://www.mendeley.com/documents/?uuid=fd859986-14cf-4c71-80bd-a74b189bc707" ] } ], "mendeley" : { "formattedCitation" : "&lt;b&gt;&lt;i&gt;(11)&lt;/i&gt;&lt;/b&gt;", "plainTextFormattedCitation" : "(11)", "previouslyFormattedCitation" : "&lt;b&gt;&lt;i&gt;(11)&lt;/i&gt;&lt;/b&gt;" }, "properties" : { "noteIndex" : 0 }, "schema" : "https://github.com/citation-style-language/schema/raw/master/csl-citation.json" }</w:instrText>
      </w:r>
      <w:r>
        <w:fldChar w:fldCharType="separate"/>
      </w:r>
      <w:bookmarkStart w:id="16" w:name="__Fieldmark__216_1847998653"/>
      <w:r>
        <w:rPr>
          <w:rFonts w:cs="Times New Roman" w:ascii="Times New Roman" w:hAnsi="Times New Roman"/>
          <w:color w:val="000000" w:themeColor="text1"/>
        </w:rPr>
      </w:r>
      <w:r>
        <w:rPr>
          <w:rFonts w:cs="Times New Roman" w:ascii="Times New Roman" w:hAnsi="Times New Roman"/>
          <w:b/>
          <w:i/>
          <w:color w:val="000000" w:themeColor="text1"/>
        </w:rPr>
        <w:t>(11)</w:t>
      </w:r>
      <w:r>
        <w:rPr>
          <w:rFonts w:cs="Times New Roman" w:ascii="Times New Roman" w:hAnsi="Times New Roman"/>
          <w:color w:val="000000" w:themeColor="text1"/>
        </w:rPr>
      </w:r>
      <w:r>
        <w:fldChar w:fldCharType="end"/>
      </w:r>
      <w:bookmarkEnd w:id="16"/>
      <w:r>
        <w:rPr>
          <w:rFonts w:cs="Times New Roman" w:ascii="Times New Roman" w:hAnsi="Times New Roman"/>
          <w:color w:val="000000" w:themeColor="text1"/>
        </w:rPr>
        <w:t xml:space="preserve">, it has not been possible to visualise supercoiled DNA minicircles in atomistic detail because they are too structurally disordered to crystallise, they can contain kinks and defects in their structures due to the superhelical stress </w:t>
      </w:r>
      <w:r>
        <w:fldChar w:fldCharType="begin"/>
      </w:r>
      <w:r>
        <w:instrText>ADDIN CSL_CITATION { "citationItems" : [ { "id" : "ITEM-1", "itemData" : { "DOI" : "10.1093/nar/gkm1125", "ISSN" : "1362-4962", "PMID" : "18096619", "abstract" : "DNA bending and torsional deformations that often occur during its functioning inside the cell can cause local disruptions of the regular helical structure. The disruptions created by negative torsional stress have been studied in detail, but those caused by bending stress have only been analyzed theoretically. By probing the structure of very small DNA circles, we determined that bending stress disrupts the regular helical structure when the radius of DNA curvature is smaller than 3.5 nm. First, we developed an efficient method to obtain covalently closed DNA minicircles. To detect structural disruptions in the minicircles we treated them by single-strand-specific endonucleases. The data showed that the regular DNA structure is disrupted by bending deformation in the 64-65-bp minicircles, but not in the 85-86-bp minicircles. Our results suggest that strong DNA bending initiates kink formation while preserving base pairing.", "author" : [ { "dropping-particle" : "", "family" : "Du", "given" : "Quan", "non-dropping-particle" : "", "parse-names" : false, "suffix" : "" }, { "dropping-particle" : "", "family" : "Kotlyar", "given" : "Alexander", "non-dropping-particle" : "", "parse-names" : false, "suffix" : "" }, { "dropping-particle" : "", "family" : "Vologodskii", "given" : "Alexander", "non-dropping-particle" : "", "parse-names" : false, "suffix" : "" } ], "container-title" : "Nucleic Acids Research", "id" : "ITEM-1", "issue" : "4", "issued" : { "date-parts" : [ [ "2008", "3" ] ] }, "page" : "1120-1128", "title" : "Kinking the double helix by bending deformation", "type" : "article-journal", "volume" : "36" }, "uris" : [ "http://www.mendeley.com/documents/?uuid=51efb936-9e39-40b9-b5af-9da8e94c837e" ] }, { "id" : "ITEM-2", "itemData" : { "DOI" : "10.1093/nar/gkr666", "ISSN" : "1362-4962", "PMID" : "21917856", "abstract" : "In cells, DNA is routinely subjected to significant levels of bending and twisting. In some cases, such as under physiological levels of supercoiling, DNA can be so highly strained, that it transitions into non-canonical structural conformations that are capable of relieving mechanical stress within the template. DNA minicircles offer a robust model system to study stress-induced DNA structures. Using DNA minicircles on the order of 100 bp in size, we have been able to control the bending and torsional stresses within a looped DNA construct. Through a combination of cryo-EM image reconstructions, Bal31 sensitivity assays and Brownian dynamics simulations, we have been able to analyze the effects of biologically relevant underwinding-induced kinks in DNA on the overall shape of DNA minicircles. Our results indicate that strongly underwound DNA minicircles, which mimic the physical behavior of small regulatory DNA loops, minimize their free energy by undergoing sequential, cooperative kinking at two sites that are located about 180\u00b0 apart along the periphery of the minicircle. This novel form of structural cooperativity in DNA demonstrates that bending strain can localize hyperflexible kinks within the DNA template, which in turn reduces the energetic cost to tightly loop DNA.", "author" : [ { "dropping-particle" : "", "family" : "Lionberger", "given" : "Troy A", "non-dropping-particle" : "", "parse-names" : false, "suffix" : "" }, { "dropping-particle" : "", "family" : "Demurtas", "given" : "Davide", "non-dropping-particle" : "", "parse-names" : false, "suffix" : "" }, { "dropping-particle" : "", "family" : "Witz", "given" : "Guillaume", "non-dropping-particle" : "", "parse-names" : false, "suffix" : "" }, { "dropping-particle" : "", "family" : "Dorier", "given" : "Julien", "non-dropping-particle" : "", "parse-names" : false, "suffix" : "" }, { "dropping-particle" : "", "family" : "Lillian", "given" : "Todd", "non-dropping-particle" : "", "parse-names" : false, "suffix" : "" }, { "dropping-particle" : "", "family" : "Meyh\u00f6fer", "given" : "Edgar", "non-dropping-particle" : "", "parse-names" : false, "suffix" : "" }, { "dropping-particle" : "", "family" : "Stasiak", "given" : "Andrzej", "non-dropping-particle" : "", "parse-names" : false, "suffix" : "" } ], "container-title" : "Nucleic acids research", "id" : "ITEM-2", "issue" : "22", "issued" : { "date-parts" : [ [ "2011", "12" ] ] }, "page" : "9820-9832", "title" : "Cooperative kinking at distant sites in mechanically stressed DNA.", "type" : "article-journal", "volume" : "39" }, "uris" : [ "http://www.mendeley.com/documents/?uuid=05634835-f14f-44d5-9cd3-f61252fc473f" ] } ], "mendeley" : { "formattedCitation" : "&lt;b&gt;&lt;i&gt;(12, 13)&lt;/i&gt;&lt;/b&gt;", "plainTextFormattedCitation" : "(12, 13)", "previouslyFormattedCitation" : "&lt;b&gt;&lt;i&gt;(12, 13)&lt;/i&gt;&lt;/b&gt;" }, "properties" : { "noteIndex" : 0 }, "schema" : "https://github.com/citation-style-language/schema/raw/master/csl-citation.json" }</w:instrText>
      </w:r>
      <w:r>
        <w:fldChar w:fldCharType="separate"/>
      </w:r>
      <w:bookmarkStart w:id="17" w:name="__Fieldmark__232_1847998653"/>
      <w:r>
        <w:rPr>
          <w:rFonts w:cs="Times New Roman" w:ascii="Times New Roman" w:hAnsi="Times New Roman"/>
          <w:color w:val="000000" w:themeColor="text1"/>
        </w:rPr>
      </w:r>
      <w:r>
        <w:rPr>
          <w:rFonts w:cs="Times New Roman" w:ascii="Times New Roman" w:hAnsi="Times New Roman"/>
          <w:b/>
          <w:i/>
          <w:color w:val="000000" w:themeColor="text1"/>
        </w:rPr>
        <w:t>(12, 13)</w:t>
      </w:r>
      <w:r>
        <w:rPr>
          <w:rFonts w:cs="Times New Roman" w:ascii="Times New Roman" w:hAnsi="Times New Roman"/>
          <w:color w:val="000000" w:themeColor="text1"/>
        </w:rPr>
      </w:r>
      <w:r>
        <w:fldChar w:fldCharType="end"/>
      </w:r>
      <w:bookmarkEnd w:id="17"/>
      <w:r>
        <w:rPr>
          <w:rFonts w:cs="Times New Roman" w:ascii="Times New Roman" w:hAnsi="Times New Roman"/>
          <w:color w:val="000000" w:themeColor="text1"/>
        </w:rPr>
        <w:t xml:space="preserve"> and they are too large for structural NMR. DNA minicircles have proven to be a more tractable model system for probing complex DNA topologies, because their smaller size significantly reduces the number of conformations. DNA minicircles have been studied experimentally using low resolution structural techniques such as gel electrophoresis </w:t>
      </w:r>
      <w:r>
        <w:fldChar w:fldCharType="begin"/>
      </w:r>
      <w:r>
        <w:instrText>ADDIN CSL_CITATION { "citationItems" : [ { "id" : "ITEM-1", "itemData" : { "DOI" : "10.1088/0953-8984/18/14/S01", "ISSN" : "1361-648X", "PMID" : "19337583", "abstract" : "Using \u03bb-Int recombination in E. coli, we have generated milligram quantities of supercoiled minicircle DNA. Intramolecular Int recombination was efficient down to lengths ~254 bp. When nicked and religated in the presence of ethidium bromide, 339 bp minicircles adopted at least seven unique topoisomers that presumably correspond to \u0394Lk ranging from 0 to -6, which we purified individually. We used these minicircles, with unique \u0394Lk, to address the partition into twist and writhe as a function of \u0394Lk. Gel electrophoresis and atomic force microscopy revealed progressively higher writhe conformations in the presence of 10 mM CaCl(2) or MgCl(2). From simplistic calculations of the bending and twisting energies, we predict the elastic free energy of supercoiling for these minicircles to be lower than if the supercoiling was partitioned mainly into twist. The predicted writhe corresponds closely with that which we observed experimentally in the presence of divalent metal ions. However, in the absence of divalent metal ions only limited writhe was observed, demonstrating the importance of electrostatic effects on DNA structure, when the screening of charges on the DNA is weak. This study represents a unique insight into the supercoiling of minicircle DNA, with implications for DNA structure in general.", "author" : [ { "dropping-particle" : "", "family" : "Fogg", "given" : "Jonathan M", "non-dropping-particle" : "", "parse-names" : false, "suffix" : "" }, { "dropping-particle" : "", "family" : "Kolmakova", "given" : "Natalia", "non-dropping-particle" : "", "parse-names" : false, "suffix" : "" }, { "dropping-particle" : "", "family" : "Rees", "given" : "Ian", "non-dropping-particle" : "", "parse-names" : false, "suffix" : "" }, { "dropping-particle" : "", "family" : "Magonov", "given" : "Sergei", "non-dropping-particle" : "", "parse-names" : false, "suffix" : "" }, { "dropping-particle" : "", "family" : "Hansma", "given" : "Helen", "non-dropping-particle" : "", "parse-names" : false, "suffix" : "" }, { "dropping-particle" : "", "family" : "Perona", "given" : "John J", "non-dropping-particle" : "", "parse-names" : false, "suffix" : "" }, { "dropping-particle" : "", "family" : "Zechiedrich", "given" : "E Lynn", "non-dropping-particle" : "", "parse-names" : false, "suffix" : "" } ], "container-title" : "Journal of physics. Condensed matter : an Institute of Physics journal", "id" : "ITEM-1", "issue" : "14", "issued" : { "date-parts" : [ [ "2006", "4", "12" ] ] }, "page" : "S145-S159", "title" : "Exploring writhe in supercoiled minicircle DNA.", "type" : "article-journal", "volume" : "18" }, "uris" : [ "http://www.mendeley.com/documents/?uuid=d28f782f-1f94-49e3-bb10-8f7cbae6e014" ] } ], "mendeley" : { "formattedCitation" : "&lt;b&gt;&lt;i&gt;(14)&lt;/i&gt;&lt;/b&gt;", "plainTextFormattedCitation" : "(14)", "previouslyFormattedCitation" : "&lt;b&gt;&lt;i&gt;(14)&lt;/i&gt;&lt;/b&gt;" }, "properties" : { "noteIndex" : 0 }, "schema" : "https://github.com/citation-style-language/schema/raw/master/csl-citation.json" }</w:instrText>
      </w:r>
      <w:r>
        <w:fldChar w:fldCharType="separate"/>
      </w:r>
      <w:bookmarkStart w:id="18" w:name="__Fieldmark__255_1847998653"/>
      <w:r>
        <w:rPr>
          <w:rFonts w:cs="Times New Roman" w:ascii="Times New Roman" w:hAnsi="Times New Roman"/>
          <w:color w:val="000000" w:themeColor="text1"/>
        </w:rPr>
      </w:r>
      <w:r>
        <w:rPr>
          <w:rFonts w:cs="Times New Roman" w:ascii="Times New Roman" w:hAnsi="Times New Roman"/>
          <w:b/>
          <w:i/>
          <w:color w:val="000000" w:themeColor="text1"/>
        </w:rPr>
        <w:t>(14)</w:t>
      </w:r>
      <w:r>
        <w:rPr>
          <w:rFonts w:cs="Times New Roman" w:ascii="Times New Roman" w:hAnsi="Times New Roman"/>
          <w:color w:val="000000" w:themeColor="text1"/>
        </w:rPr>
      </w:r>
      <w:r>
        <w:fldChar w:fldCharType="end"/>
      </w:r>
      <w:bookmarkEnd w:id="18"/>
      <w:r>
        <w:rPr>
          <w:rFonts w:cs="Times New Roman" w:ascii="Times New Roman" w:hAnsi="Times New Roman"/>
          <w:color w:val="000000" w:themeColor="text1"/>
        </w:rPr>
        <w:t xml:space="preserve">, atomic force microscopy (AFM) </w:t>
      </w:r>
      <w:r>
        <w:fldChar w:fldCharType="begin"/>
      </w:r>
      <w:r>
        <w:instrText>ADDIN CSL_CITATION { "citationItems" : [ { "id" : "ITEM-1", "itemData" : { "DOI" : "10.1006/jmbi.1998.1855", "ISBN" : "0022-2836", "ISSN" : "0022-2836", "PMID" : "9653031", "abstract" : "Understanding DNA function requires knowledge of the structure of local, sequence-dependent conformations that can be dramatically different from the B-form helix. One alternative DNA conformation is the cruciform, which has been shown to have a critical role in the initiation of DNA replication and the regulation of transcription in certain systems. In addition, cruciforms provide a model system for structural studies of Holliday junctions, intermediates in homologous DNA recombination. Cruciforms are not thermodynamically stable in linear DNA due to branch point migration, which makes their study using many biophysical techniques problematic. Atomic Force Microscopy (AFM) was applied to visualize cruciforms in negatively supercoiled plasmid DNA. Cruciforms are seen as clear-cut extrusions on the DNA filament with the lengths of the arms consistent with the size of the hairpins expected from a 106 bp inverted repeat. The cruciform exists in two different conformations, an extended one with the angle of ca. 180 degrees between the hairpin arms and a compact, X-type conformation, with acute angles between the hairpin arms and the main DNA strands. The ratio of molecules with the different conformations of cruciforms depends on ionic conditions. In the presence of high salt or Mg cations, a compact, X-type conformation is highly preferable. Remarkably, the X-conformation was highly mobile allowing the cruciform arms to adopt a parallel orientation. The structure observed is consistent with a model of the Holliday junction with a parallel orientation of the exchanging strands.", "author" : [ { "dropping-particle" : "", "family" : "Shlyakhtenko", "given" : "L S", "non-dropping-particle" : "", "parse-names" : false, "suffix" : "" }, { "dropping-particle" : "", "family" : "Potaman", "given" : "V N", "non-dropping-particle" : "", "parse-names" : false, "suffix" : "" }, { "dropping-particle" : "", "family" : "Sinden", "given" : "R R", "non-dropping-particle" : "", "parse-names" : false, "suffix" : "" }, { "dropping-particle" : "", "family" : "Lyubchenko", "given" : "Y L", "non-dropping-particle" : "", "parse-names" : false, "suffix" : "" } ], "container-title" : "Journal of molecular biology", "id" : "ITEM-1", "issue" : "1", "issued" : { "date-parts" : [ [ "1998" ] ] }, "page" : "61-72", "title" : "Structure and dynamics of supercoil-stabilized DNA cruciforms.", "type" : "article-journal", "volume" : "280" }, "uris" : [ "http://www.mendeley.com/documents/?uuid=6349b53b-cf0b-447c-9049-704ee35b5a74" ] }, { "id" : "ITEM-2", "itemData" : { "DOI" : "10.1039/c3sm53071j", "ISSN" : "1744-6848", "PMID" : "24647451", "abstract" : "We have adsorbed plasmid pUc19 DNA on a supported bilayer. By varying the fraction of cationic lipids in the membrane, we have tuned the surface charge. Plasmid conformations were imaged by Atomic Force Microscopy (AFM). We performed two sets of experiments: deposition from salt free solution on charged bilayers and deposition from salty solutions on neutral bilayers. Both sets show similar trends: at low surface charge density or low bulk salt concentration, the internal electrostatic repulsion forces plasmids to adopt completely opened structures, while at high surface charge density or higher bulk salt concentration, usual supercoiled plectonemes are observed. We experimentally demonstrate the equivalence of surface screening by mobile interfacial charges and bulk screening from salt ions. At low to medium screening, the electrostatic repulsion at plasmid crossings is predominant, leading to a number of crossovers decreasing linearly with the characteristic screening length. We compare our data with an analytical 2D-equilibrated model developed recently for the system and extract the DNA effective charge density when strands are adsorbed at the surface.", "author" : [ { "dropping-particle" : "", "family" : "Schmatko", "given" : "Tatiana", "non-dropping-particle" : "", "parse-names" : false, "suffix" : "" }, { "dropping-particle" : "", "family" : "Muller", "given" : "Pierre", "non-dropping-particle" : "", "parse-names" : false, "suffix" : "" }, { "dropping-particle" : "", "family" : "Maaloum", "given" : "Mounir", "non-dropping-particle" : "", "parse-names" : false, "suffix" : "" } ], "container-title" : "Soft matter", "id" : "ITEM-2", "issue" : "15", "issued" : { "date-parts" : [ [ "2014" ] ] }, "page" : "2520-9", "title" : "Surface charge effects on the 2D conformation of supercoiled DNA.", "type" : "article-journal", "volume" : "10" }, "uris" : [ "http://www.mendeley.com/documents/?uuid=bf20c4a4-fad2-4fc0-923d-d2e3f5ff5fad" ] } ], "mendeley" : { "formattedCitation" : "&lt;b&gt;&lt;i&gt;(15, 16)&lt;/i&gt;&lt;/b&gt;", "plainTextFormattedCitation" : "(15, 16)", "previouslyFormattedCitation" : "&lt;b&gt;&lt;i&gt;(15, 16)&lt;/i&gt;&lt;/b&gt;" }, "properties" : { "noteIndex" : 0 }, "schema" : "https://github.com/citation-style-language/schema/raw/master/csl-citation.json" }</w:instrText>
      </w:r>
      <w:r>
        <w:fldChar w:fldCharType="separate"/>
      </w:r>
      <w:bookmarkStart w:id="19" w:name="__Fieldmark__264_1847998653"/>
      <w:r>
        <w:rPr>
          <w:rFonts w:cs="Times New Roman" w:ascii="Times New Roman" w:hAnsi="Times New Roman"/>
          <w:color w:val="000000" w:themeColor="text1"/>
        </w:rPr>
      </w:r>
      <w:r>
        <w:rPr>
          <w:rFonts w:cs="Times New Roman" w:ascii="Times New Roman" w:hAnsi="Times New Roman"/>
          <w:b/>
          <w:i/>
          <w:color w:val="000000" w:themeColor="text1"/>
        </w:rPr>
        <w:t>(15, 16)</w:t>
      </w:r>
      <w:r>
        <w:rPr>
          <w:rFonts w:cs="Times New Roman" w:ascii="Times New Roman" w:hAnsi="Times New Roman"/>
          <w:color w:val="000000" w:themeColor="text1"/>
        </w:rPr>
      </w:r>
      <w:r>
        <w:fldChar w:fldCharType="end"/>
      </w:r>
      <w:bookmarkEnd w:id="19"/>
      <w:r>
        <w:rPr>
          <w:rFonts w:cs="Times New Roman" w:ascii="Times New Roman" w:hAnsi="Times New Roman"/>
          <w:color w:val="000000" w:themeColor="text1"/>
        </w:rPr>
        <w:t xml:space="preserve">, cryo-electron microscopy (cryo-EM) </w:t>
      </w:r>
      <w:r>
        <w:fldChar w:fldCharType="begin"/>
      </w:r>
      <w:r>
        <w:instrText>ADDIN CSL_CITATION { "citationItems" : [ { "id" : "ITEM-1", "itemData" : { "author" : [ { "dropping-particle" : "", "family" : "Bednar", "given" : "J.", "non-dropping-particle" : "", "parse-names" : false, "suffix" : "" }, { "dropping-particle" : "", "family" : "Furrer", "given" : "P.", "non-dropping-particle" : "", "parse-names" : false, "suffix" : "" }, { "dropping-particle" : "", "family" : "Stasiak", "given" : "A.", "non-dropping-particle" : "", "parse-names" : false, "suffix" : "" }, { "dropping-particle" : "", "family" : "Dubochet", "given" : "J.", "non-dropping-particle" : "", "parse-names" : false, "suffix" : "" }, { "dropping-particle" : "", "family" : "Egelman", "given" : "E. H.", "non-dropping-particle" : "", "parse-names" : false, "suffix" : "" }, { "dropping-particle" : "", "family" : "Bates", "given" : "A. D.", "non-dropping-particle" : "", "parse-names" : false, "suffix" : "" } ], "container-title" : "Journal of molecular biology", "id" : "ITEM-1", "issued" : { "date-parts" : [ [ "1994" ] ] }, "page" : "825-847", "title" : "The Twist, Writhe and Overall Shape of Supercoiled DNA Change During Counterion-induced Transition from a Loosely to a Tightly Interwound Superhelix", "type" : "article-journal", "volume" : "235" }, "uris" : [ "http://www.mendeley.com/documents/?uuid=2f3475df-a6e8-43ba-ae62-acc740268705" ] }, { "id" : "ITEM-2", "itemData" : { "DOI" : "10.1093/nar/gkl675", "ISSN" : "1362-4962", "PMID" : "17012274", "abstract" : "We use cryo-electron microscopy to compare 3D shapes of 158 bp long DNA minicircles that differ only in the sequence within an 18 bp block containing either a TATA box or a catabolite activator protein binding site. We present a sorting algorithm that correlates the reconstructed shapes and groups them into distinct categories. We conclude that the presence of the TATA box sequence, which is believed to be easily bent, does not significantly affect the observed shapes.", "author" : [ { "dropping-particle" : "", "family" : "Amzallag", "given" : "Arnaud", "non-dropping-particle" : "", "parse-names" : false, "suffix" : "" }, { "dropping-particle" : "", "family" : "Vaillant", "given" : "C\u00e9dric", "non-dropping-particle" : "", "parse-names" : false, "suffix" : "" }, { "dropping-particle" : "", "family" : "Jacob", "given" : "Mathews", "non-dropping-particle" : "", "parse-names" : false, "suffix" : "" }, { "dropping-particle" : "", "family" : "Unser", "given" : "Michael", "non-dropping-particle" : "", "parse-names" : false, "suffix" : "" }, { "dropping-particle" : "", "family" : "Bednar", "given" : "Jan", "non-dropping-particle" : "", "parse-names" : false, "suffix" : "" }, { "dropping-particle" : "", "family" : "Kahn", "given" : "Jason D", "non-dropping-particle" : "", "parse-names" : false, "suffix" : "" }, { "dropping-particle" : "", "family" : "Dubochet", "given" : "Jacques", "non-dropping-particle" : "", "parse-names" : false, "suffix" : "" }, { "dropping-particle" : "", "family" : "Stasiak", "given" : "Andrzej", "non-dropping-particle" : "", "parse-names" : false, "suffix" : "" }, { "dropping-particle" : "", "family" : "Maddocks", "given" : "John H", "non-dropping-particle" : "", "parse-names" : false, "suffix" : "" } ], "container-title" : "Nucleic acids research", "id" : "ITEM-2", "issue" : "18", "issued" : { "date-parts" : [ [ "2006", "1" ] ] }, "page" : "e125", "title" : "3D reconstruction and comparison of shapes of DNA minicircles observed by cryo-electron microscopy.", "type" : "article-journal", "volume" : "34" }, "uris" : [ "http://www.mendeley.com/documents/?uuid=ebb40b67-37a8-4c7b-829e-1e9932377b46" ] }, { "id" : "ITEM-3", "itemData" : { "DOI" : "10.1093/nar/gkr666", "ISSN" : "1362-4962", "PMID" : "21917856", "abstract" : "In cells, DNA is routinely subjected to significant levels of bending and twisting. In some cases, such as under physiological levels of supercoiling, DNA can be so highly strained, that it transitions into non-canonical structural conformations that are capable of relieving mechanical stress within the template. DNA minicircles offer a robust model system to study stress-induced DNA structures. Using DNA minicircles on the order of 100 bp in size, we have been able to control the bending and torsional stresses within a looped DNA construct. Through a combination of cryo-EM image reconstructions, Bal31 sensitivity assays and Brownian dynamics simulations, we have been able to analyze the effects of biologically relevant underwinding-induced kinks in DNA on the overall shape of DNA minicircles. Our results indicate that strongly underwound DNA minicircles, which mimic the physical behavior of small regulatory DNA loops, minimize their free energy by undergoing sequential, cooperative kinking at two sites that are located about 180\u00b0 apart along the periphery of the minicircle. This novel form of structural cooperativity in DNA demonstrates that bending strain can localize hyperflexible kinks within the DNA template, which in turn reduces the energetic cost to tightly loop DNA.", "author" : [ { "dropping-particle" : "", "family" : "Lionberger", "given" : "Troy A", "non-dropping-particle" : "", "parse-names" : false, "suffix" : "" }, { "dropping-particle" : "", "family" : "Demurtas", "given" : "Davide", "non-dropping-particle" : "", "parse-names" : false, "suffix" : "" }, { "dropping-particle" : "", "family" : "Witz", "given" : "Guillaume", "non-dropping-particle" : "", "parse-names" : false, "suffix" : "" }, { "dropping-particle" : "", "family" : "Dorier", "given" : "Julien", "non-dropping-particle" : "", "parse-names" : false, "suffix" : "" }, { "dropping-particle" : "", "family" : "Lillian", "given" : "Todd", "non-dropping-particle" : "", "parse-names" : false, "suffix" : "" }, { "dropping-particle" : "", "family" : "Meyh\u00f6fer", "given" : "Edgar", "non-dropping-particle" : "", "parse-names" : false, "suffix" : "" }, { "dropping-particle" : "", "family" : "Stasiak", "given" : "Andrzej", "non-dropping-particle" : "", "parse-names" : false, "suffix" : "" } ], "container-title" : "Nucleic acids research", "id" : "ITEM-3", "issue" : "22", "issued" : { "date-parts" : [ [ "2011", "12" ] ] }, "page" : "9820-9832", "title" : "Cooperative kinking at distant sites in mechanically stressed DNA.", "type" : "article-journal", "volume" : "39" }, "uris" : [ "http://www.mendeley.com/documents/?uuid=05634835-f14f-44d5-9cd3-f61252fc473f" ] } ], "mendeley" : { "formattedCitation" : "&lt;b&gt;&lt;i&gt;(13, 17, 18)&lt;/i&gt;&lt;/b&gt;", "plainTextFormattedCitation" : "(13, 17, 18)", "previouslyFormattedCitation" : "&lt;b&gt;&lt;i&gt;(13, 17, 18)&lt;/i&gt;&lt;/b&gt;" }, "properties" : { "noteIndex" : 0 }, "schema" : "https://github.com/citation-style-language/schema/raw/master/csl-citation.json" }</w:instrText>
      </w:r>
      <w:r>
        <w:fldChar w:fldCharType="separate"/>
      </w:r>
      <w:bookmarkStart w:id="20" w:name="__Fieldmark__277_1847998653"/>
      <w:r>
        <w:rPr>
          <w:rFonts w:cs="Times New Roman" w:ascii="Times New Roman" w:hAnsi="Times New Roman"/>
          <w:color w:val="000000" w:themeColor="text1"/>
        </w:rPr>
      </w:r>
      <w:r>
        <w:rPr>
          <w:rFonts w:cs="Times New Roman" w:ascii="Times New Roman" w:hAnsi="Times New Roman"/>
          <w:b/>
          <w:i/>
          <w:color w:val="000000" w:themeColor="text1"/>
        </w:rPr>
        <w:t>(13, 17, 18)</w:t>
      </w:r>
      <w:r>
        <w:rPr>
          <w:rFonts w:cs="Times New Roman" w:ascii="Times New Roman" w:hAnsi="Times New Roman"/>
          <w:color w:val="000000" w:themeColor="text1"/>
        </w:rPr>
      </w:r>
      <w:r>
        <w:fldChar w:fldCharType="end"/>
      </w:r>
      <w:bookmarkEnd w:id="20"/>
      <w:r>
        <w:rPr>
          <w:rFonts w:cs="Times New Roman" w:ascii="Times New Roman" w:hAnsi="Times New Roman"/>
          <w:color w:val="000000" w:themeColor="text1"/>
        </w:rPr>
        <w:t xml:space="preserve"> and cryo-electron tomography (cryo-ET) </w:t>
      </w:r>
      <w:r>
        <w:fldChar w:fldCharType="begin"/>
      </w:r>
      <w:r>
        <w:instrText>ADDIN CSL_CITATION { "citationItems" : [ { "id" : "ITEM-1", "itemData" : { "author" : [ { "dropping-particle" : "", "family" : "Irobalieva", "given" : "Rossitza N", "non-dropping-particle" : "", "parse-names" : false, "suffix" : "" }, { "dropping-particle" : "", "family" : "Fogg", "given" : "Jonathan M", "non-dropping-particle" : "", "parse-names" : false, "suffix" : "" }, { "dropping-particle" : "", "family" : "Catanese", "given" : "Daniel J", "non-dropping-particle" : "", "parse-names" : false, "suffix" : "" }, { "dropping-particle" : "", "family" : "Sutthibutpong", "given" : "Thana", "non-dropping-particle" : "", "parse-names" : false, "suffix" : "" }, { "dropping-particle" : "", "family" : "Chen", "given" : "Muyuan", "non-dropping-particle" : "", "parse-names" : false, "suffix" : "" }, { "dropping-particle" : "", "family" : "Barker", "given" : "Anna K", "non-dropping-particle" : "", "parse-names" : false, "suffix" : "" }, { "dropping-particle" : "", "family" : "Ludtke", "given" : "Steven J", "non-dropping-particle" : "", "parse-names" : false, "suffix" : "" }, { "dropping-particle" : "", "family" : "Harris", "given" : "Sarah A", "non-dropping-particle" : "", "parse-names" : false, "suffix" : "" }, { "dropping-particle" : "", "family" : "Schmid", "given" : "Michael F", "non-dropping-particle" : "", "parse-names" : false, "suffix" : "" }, { "dropping-particle" : "", "family" : "Zechiedrich", "given" : "Lynn", "non-dropping-particle" : "", "parse-names" : false, "suffix" : "" } ], "container-title" : "Submitted to Nature Communication", "id" : "ITEM-1", "issued" : { "date-parts" : [ [ "2015" ] ] }, "title" : "Structural diversity of supercoiled DNA", "type" : "article-journal" }, "uris" : [ "http://www.mendeley.com/documents/?uuid=68a59a93-125c-41b3-ad26-1f579ebf0f31" ] } ], "mendeley" : { "formattedCitation" : "&lt;b&gt;&lt;i&gt;(19)&lt;/i&gt;&lt;/b&gt;", "plainTextFormattedCitation" : "(19)", "previouslyFormattedCitation" : "&lt;b&gt;&lt;i&gt;(19)&lt;/i&gt;&lt;/b&gt;" }, "properties" : { "noteIndex" : 0 }, "schema" : "https://github.com/citation-style-language/schema/raw/master/csl-citation.json" }</w:instrText>
      </w:r>
      <w:r>
        <w:fldChar w:fldCharType="separate"/>
      </w:r>
      <w:bookmarkStart w:id="21" w:name="__Fieldmark__288_1847998653"/>
      <w:r>
        <w:rPr>
          <w:rFonts w:cs="Times New Roman" w:ascii="Times New Roman" w:hAnsi="Times New Roman"/>
          <w:color w:val="000000" w:themeColor="text1"/>
        </w:rPr>
      </w:r>
      <w:r>
        <w:rPr>
          <w:rFonts w:cs="Times New Roman" w:ascii="Times New Roman" w:hAnsi="Times New Roman"/>
          <w:b/>
          <w:i/>
          <w:color w:val="000000" w:themeColor="text1"/>
        </w:rPr>
        <w:t>(19)</w:t>
      </w:r>
      <w:r>
        <w:rPr>
          <w:rFonts w:cs="Times New Roman" w:ascii="Times New Roman" w:hAnsi="Times New Roman"/>
          <w:color w:val="000000" w:themeColor="text1"/>
        </w:rPr>
      </w:r>
      <w:r>
        <w:fldChar w:fldCharType="end"/>
      </w:r>
      <w:bookmarkEnd w:id="21"/>
      <w:r>
        <w:rPr>
          <w:rFonts w:cs="Times New Roman" w:ascii="Times New Roman" w:hAnsi="Times New Roman"/>
          <w:color w:val="000000" w:themeColor="text1"/>
        </w:rPr>
        <w:t xml:space="preserve">. While these techniques have provided information about the global shape of the DNA and how this changes in response to supercoiling, so far a fully atomistic description has only possible using computer simulation. Even the smallest DNA minicircles (around 60 base pairs </w:t>
      </w:r>
      <w:r>
        <w:fldChar w:fldCharType="begin"/>
      </w:r>
      <w:r>
        <w:instrText>ADDIN CSL_CITATION { "citationItems" : [ { "id" : "ITEM-1", "itemData" : { "DOI" : "10.1093/nar/gkm1125", "ISSN" : "1362-4962", "PMID" : "18096619", "abstract" : "DNA bending and torsional deformations that often occur during its functioning inside the cell can cause local disruptions of the regular helical structure. The disruptions created by negative torsional stress have been studied in detail, but those caused by bending stress have only been analyzed theoretically. By probing the structure of very small DNA circles, we determined that bending stress disrupts the regular helical structure when the radius of DNA curvature is smaller than 3.5 nm. First, we developed an efficient method to obtain covalently closed DNA minicircles. To detect structural disruptions in the minicircles we treated them by single-strand-specific endonucleases. The data showed that the regular DNA structure is disrupted by bending deformation in the 64-65-bp minicircles, but not in the 85-86-bp minicircles. Our results suggest that strong DNA bending initiates kink formation while preserving base pairing.", "author" : [ { "dropping-particle" : "", "family" : "Du", "given" : "Quan", "non-dropping-particle" : "", "parse-names" : false, "suffix" : "" }, { "dropping-particle" : "", "family" : "Kotlyar", "given" : "Alexander", "non-dropping-particle" : "", "parse-names" : false, "suffix" : "" }, { "dropping-particle" : "", "family" : "Vologodskii", "given" : "Alexander", "non-dropping-particle" : "", "parse-names" : false, "suffix" : "" } ], "container-title" : "Nucleic Acids Research", "id" : "ITEM-1", "issue" : "4", "issued" : { "date-parts" : [ [ "2008", "3" ] ] }, "page" : "1120-1128", "title" : "Kinking the double helix by bending deformation", "type" : "article-journal", "volume" : "36" }, "uris" : [ "http://www.mendeley.com/documents/?uuid=51efb936-9e39-40b9-b5af-9da8e94c837e" ] } ], "mendeley" : { "formattedCitation" : "&lt;b&gt;&lt;i&gt;(12)&lt;/i&gt;&lt;/b&gt;", "plainTextFormattedCitation" : "(12)", "previouslyFormattedCitation" : "&lt;b&gt;&lt;i&gt;(12)&lt;/i&gt;&lt;/b&gt;" }, "properties" : { "noteIndex" : 0 }, "schema" : "https://github.com/citation-style-language/schema/raw/master/csl-citation.json" }</w:instrText>
      </w:r>
      <w:r>
        <w:fldChar w:fldCharType="separate"/>
      </w:r>
      <w:bookmarkStart w:id="22" w:name="__Fieldmark__302_1847998653"/>
      <w:r>
        <w:rPr>
          <w:rFonts w:cs="Times New Roman" w:ascii="Times New Roman" w:hAnsi="Times New Roman"/>
          <w:color w:val="000000" w:themeColor="text1"/>
        </w:rPr>
      </w:r>
      <w:r>
        <w:rPr>
          <w:rFonts w:cs="Times New Roman" w:ascii="Times New Roman" w:hAnsi="Times New Roman"/>
          <w:b/>
          <w:i/>
          <w:color w:val="000000" w:themeColor="text1"/>
        </w:rPr>
        <w:t>(12)</w:t>
      </w:r>
      <w:r>
        <w:rPr>
          <w:rFonts w:cs="Times New Roman" w:ascii="Times New Roman" w:hAnsi="Times New Roman"/>
          <w:color w:val="000000" w:themeColor="text1"/>
        </w:rPr>
      </w:r>
      <w:r>
        <w:fldChar w:fldCharType="end"/>
      </w:r>
      <w:bookmarkEnd w:id="22"/>
      <w:r>
        <w:rPr>
          <w:rFonts w:cs="Times New Roman" w:ascii="Times New Roman" w:hAnsi="Times New Roman"/>
          <w:color w:val="000000" w:themeColor="text1"/>
        </w:rPr>
        <w:t xml:space="preserve">) produce a simulation box that is large in comparison with the linear sequences conventionally studied by the DNA simulation community (which are typically between 10 and 20 base pairs in length </w:t>
      </w:r>
      <w:r>
        <w:fldChar w:fldCharType="begin"/>
      </w:r>
      <w:r>
        <w:instrText>ADDIN CSL_CITATION { "citationItems" : [ { "id" : "ITEM-1", "itemData" : { "DOI" : "10.1007/s12038-012-9222-6", "ISBN" : "1203801292226", "ISSN" : "0250-5991", "abstract" : "This article provides a retrospective on the ABC initiative in the area of all-atom molecular dynamics (MD) simulations including explicit solvent on all tetranucleotide steps of duplex B-form DNA duplex, ca. 2012. The ABC consortium has completed two phases of simulations, the most current being a set of 50-100 trajectories based on the AMBER ff99 force field together with the parmbsc0 modification. Some general perspectives on the field of MD on DNA and sequence effects on DNA structure are provided, followed by an overview our MD results, including a detailed comparison of the ff99/parmbsc0 results with crystal and NMR structures available for d(CGCGAATTCGCG). Some projects inspired by or related to the ABC initiative and database are also reviewed, including methods for the trajectory analyses, informatics of dealing with the large database of results, compressions of trajectories for efficacy of distribution, DNA solvation by water and ions, parameterization of coarse-grained models with applications and gene finding and genome annotation.", "author" : [ { "dropping-particle" : "", "family" : "Beveridge", "given" : "David L.", "non-dropping-particle" : "", "parse-names" : false, "suffix" : "" }, { "dropping-particle" : "", "family" : "Cheatham", "given" : "Thomas E.", "non-dropping-particle" : "", "parse-names" : false, "suffix" : "" }, { "dropping-particle" : "", "family" : "Mezei", "given" : "Mihaly", "non-dropping-particle" : "", "parse-names" : false, "suffix" : "" } ], "container-title" : "Journal of Biosciences", "id" : "ITEM-1", "issue" : "3", "issued" : { "date-parts" : [ [ "2012", "6", "27" ] ] }, "page" : "379-397", "title" : "The ABCs of molecular dynamics simulations on B-DNA, circa 2012", "type" : "article-journal", "volume" : "37" }, "uris" : [ "http://www.mendeley.com/documents/?uuid=0aeb083a-4788-44ba-bf6d-f43dec2b791f" ] } ], "mendeley" : { "formattedCitation" : "&lt;b&gt;&lt;i&gt;(20)&lt;/i&gt;&lt;/b&gt;", "plainTextFormattedCitation" : "(20)", "previouslyFormattedCitation" : "&lt;b&gt;&lt;i&gt;(20)&lt;/i&gt;&lt;/b&gt;" }, "properties" : { "noteIndex" : 0 }, "schema" : "https://github.com/citation-style-language/schema/raw/master/csl-citation.json" }</w:instrText>
      </w:r>
      <w:r>
        <w:fldChar w:fldCharType="separate"/>
      </w:r>
      <w:bookmarkStart w:id="23" w:name="__Fieldmark__312_1847998653"/>
      <w:r>
        <w:rPr>
          <w:rFonts w:cs="Times New Roman" w:ascii="Times New Roman" w:hAnsi="Times New Roman"/>
          <w:color w:val="000000" w:themeColor="text1"/>
        </w:rPr>
      </w:r>
      <w:r>
        <w:rPr>
          <w:rFonts w:cs="Times New Roman" w:ascii="Times New Roman" w:hAnsi="Times New Roman"/>
          <w:b/>
          <w:i/>
          <w:color w:val="000000" w:themeColor="text1"/>
        </w:rPr>
        <w:t>(20)</w:t>
      </w:r>
      <w:r>
        <w:rPr>
          <w:rFonts w:cs="Times New Roman" w:ascii="Times New Roman" w:hAnsi="Times New Roman"/>
          <w:color w:val="000000" w:themeColor="text1"/>
        </w:rPr>
      </w:r>
      <w:r>
        <w:fldChar w:fldCharType="end"/>
      </w:r>
      <w:bookmarkEnd w:id="23"/>
      <w:r>
        <w:rPr>
          <w:rFonts w:cs="Times New Roman" w:ascii="Times New Roman" w:hAnsi="Times New Roman"/>
          <w:color w:val="000000" w:themeColor="text1"/>
        </w:rPr>
        <w:t xml:space="preserve">), these calculations are nevertheless feasible, albeit with shorter simulation trajectories and poorer sampling. The fortuitous fact that minicircles are just large enough for low resolution structural studies while being within the reach of atomistic simulation has enabled us to employ a combination of these complementary biophysical techniques to gain insight into the atomistic structure of supercoiled DNA </w:t>
      </w:r>
      <w:r>
        <w:fldChar w:fldCharType="begin"/>
      </w:r>
      <w:r>
        <w:instrText>ADDIN CSL_CITATION { "citationItems" : [ { "id" : "ITEM-1", "itemData" : { "DOI" : "10.1093/nar/gkq1312", "ISSN" : "1362-4962", "PMID" : "21247872", "abstract" : "Although DNA is frequently bent and supercoiled in the cell, much of the available information on DNA structure at the atomistic level is restricted to short linear sequences. We report atomistic molecular dynamics (MD) simulations of a series of DNA minicircles containing between 65 and 110 bp which we compare with a recent biochemical study of structural distortions in these tight DNA loops. We have observed a wealth of non-canonical DNA structures such as kinks, denaturation bubbles and wrinkled conformations that form in response to bending and torsional stress. The simulations show that bending alone is sufficient to induce the formation of kinks in circles containing only 65 bp, but we did not observe any defects in simulations of larger torsionally relaxed circles containing 110 bp over the same MD timescales. We also observed that under-winding in minicircles ranging in size from 65 to 110 bp leads to the formation of single stranded bubbles and wrinkles. These calculations are used to assess the ability of atomistic MD simulations to determine the structure of bent and supercoiled DNA.", "author" : [ { "dropping-particle" : "", "family" : "Mitchell", "given" : "J. S.", "non-dropping-particle" : "", "parse-names" : false, "suffix" : "" }, { "dropping-particle" : "", "family" : "Laughton", "given" : "C. A.", "non-dropping-particle" : "", "parse-names" : false, "suffix" : "" }, { "dropping-particle" : "", "family" : "Harris", "given" : "Sarah A.", "non-dropping-particle" : "", "parse-names" : false, "suffix" : "" } ], "container-title" : "Nucleic Acids Research", "id" : "ITEM-1", "issue" : "9", "issued" : { "date-parts" : [ [ "2011", "5" ] ] }, "page" : "3928-3938", "title" : "Atomistic simulations reveal bubbles, kinks and wrinkles in supercoiled DNA", "type" : "article-journal", "volume" : "39" }, "uris" : [ "http://www.mendeley.com/documents/?uuid=83f9349d-d536-4ecf-9a99-889bc991a054" ] }, { "id" : "ITEM-2", "itemData" : { "author" : [ { "dropping-particle" : "", "family" : "Irobalieva", "given" : "Rossitza N", "non-dropping-particle" : "", "parse-names" : false, "suffix" : "" }, { "dropping-particle" : "", "family" : "Fogg", "given" : "Jonathan M", "non-dropping-particle" : "", "parse-names" : false, "suffix" : "" }, { "dropping-particle" : "", "family" : "Catanese", "given" : "Daniel J", "non-dropping-particle" : "", "parse-names" : false, "suffix" : "" }, { "dropping-particle" : "", "family" : "Sutthibutpong", "given" : "Thana", "non-dropping-particle" : "", "parse-names" : false, "suffix" : "" }, { "dropping-particle" : "", "family" : "Chen", "given" : "Muyuan", "non-dropping-particle" : "", "parse-names" : false, "suffix" : "" }, { "dropping-particle" : "", "family" : "Barker", "given" : "Anna K", "non-dropping-particle" : "", "parse-names" : false, "suffix" : "" }, { "dropping-particle" : "", "family" : "Ludtke", "given" : "Steven J", "non-dropping-particle" : "", "parse-names" : false, "suffix" : "" }, { "dropping-particle" : "", "family" : "Harris", "given" : "Sarah A", "non-dropping-particle" : "", "parse-names" : false, "suffix" : "" }, { "dropping-particle" : "", "family" : "Schmid", "given" : "Michael F", "non-dropping-particle" : "", "parse-names" : false, "suffix" : "" }, { "dropping-particle" : "", "family" : "Zechiedrich", "given" : "Lynn", "non-dropping-particle" : "", "parse-names" : false, "suffix" : "" } ], "container-title" : "Submitted to Nature Communication", "id" : "ITEM-2", "issued" : { "date-parts" : [ [ "2015" ] ] }, "title" : "Structural diversity of supercoiled DNA", "type" : "article-journal" }, "uris" : [ "http://www.mendeley.com/documents/?uuid=68a59a93-125c-41b3-ad26-1f579ebf0f31" ] } ], "mendeley" : { "formattedCitation" : "&lt;b&gt;&lt;i&gt;(19, 21)&lt;/i&gt;&lt;/b&gt;", "plainTextFormattedCitation" : "(19, 21)", "previouslyFormattedCitation" : "&lt;b&gt;&lt;i&gt;(19, 21)&lt;/i&gt;&lt;/b&gt;" }, "properties" : { "noteIndex" : 0 }, "schema" : "https://github.com/citation-style-language/schema/raw/master/csl-citation.json" }</w:instrText>
      </w:r>
      <w:r>
        <w:fldChar w:fldCharType="separate"/>
      </w:r>
      <w:bookmarkStart w:id="24" w:name="__Fieldmark__330_1847998653"/>
      <w:r>
        <w:rPr>
          <w:rFonts w:cs="Times New Roman" w:ascii="Times New Roman" w:hAnsi="Times New Roman"/>
          <w:color w:val="000000" w:themeColor="text1"/>
        </w:rPr>
      </w:r>
      <w:r>
        <w:rPr>
          <w:rFonts w:cs="Times New Roman" w:ascii="Times New Roman" w:hAnsi="Times New Roman"/>
          <w:b/>
          <w:i/>
          <w:color w:val="000000" w:themeColor="text1"/>
        </w:rPr>
        <w:t>(19, 21)</w:t>
      </w:r>
      <w:r>
        <w:rPr>
          <w:rFonts w:cs="Times New Roman" w:ascii="Times New Roman" w:hAnsi="Times New Roman"/>
          <w:color w:val="000000" w:themeColor="text1"/>
        </w:rPr>
      </w:r>
      <w:r>
        <w:fldChar w:fldCharType="end"/>
      </w:r>
      <w:bookmarkEnd w:id="24"/>
      <w:r>
        <w:rPr>
          <w:rFonts w:cs="Times New Roman" w:ascii="Times New Roman" w:hAnsi="Times New Roman"/>
          <w:color w:val="000000" w:themeColor="text1"/>
        </w:rPr>
        <w:t xml:space="preserve">. </w:t>
      </w:r>
    </w:p>
    <w:p>
      <w:pPr>
        <w:pStyle w:val="Normal"/>
        <w:spacing w:lineRule="auto" w:line="360"/>
        <w:jc w:val="both"/>
        <w:rPr>
          <w:rFonts w:ascii="Times New Roman" w:hAnsi="Times New Roman" w:cs="Times New Roman"/>
          <w:color w:val="000000" w:themeColor="text1"/>
        </w:rPr>
      </w:pPr>
      <w:r>
        <w:rPr>
          <w:rFonts w:cs="Times New Roman" w:ascii="Times New Roman" w:hAnsi="Times New Roman"/>
          <w:color w:val="000000" w:themeColor="text1"/>
        </w:rPr>
      </w:r>
    </w:p>
    <w:p>
      <w:pPr>
        <w:pStyle w:val="Normal"/>
        <w:spacing w:lineRule="auto" w:line="360"/>
        <w:jc w:val="both"/>
        <w:rPr>
          <w:rFonts w:ascii="Times New Roman" w:hAnsi="Times New Roman" w:cs="Times New Roman"/>
          <w:color w:val="000000" w:themeColor="text1"/>
        </w:rPr>
      </w:pPr>
      <w:r>
        <w:rPr>
          <w:rFonts w:cs="Times New Roman" w:ascii="Times New Roman" w:hAnsi="Times New Roman"/>
          <w:b/>
          <w:color w:val="000000" w:themeColor="text1"/>
        </w:rPr>
        <w:t xml:space="preserve">Overview of Simulation Protocols for DNA Minicircles: </w:t>
      </w:r>
      <w:r>
        <w:rPr>
          <w:rFonts w:cs="Times New Roman" w:ascii="Times New Roman" w:hAnsi="Times New Roman"/>
          <w:color w:val="000000" w:themeColor="text1"/>
        </w:rPr>
        <w:t xml:space="preserve">We have developed a bespoke series of protocols for simulating supercoiled DNA minicircles, that are summarised schematically in </w:t>
      </w:r>
      <w:r>
        <w:rPr>
          <w:rFonts w:cs="Times New Roman" w:ascii="Times New Roman" w:hAnsi="Times New Roman"/>
          <w:b/>
          <w:color w:val="000000" w:themeColor="text1"/>
        </w:rPr>
        <w:t>Fig. 1</w:t>
      </w:r>
      <w:r>
        <w:rPr>
          <w:rFonts w:cs="Times New Roman" w:ascii="Times New Roman" w:hAnsi="Times New Roman"/>
          <w:color w:val="000000" w:themeColor="text1"/>
        </w:rPr>
        <w:t>. Each numbered step within the protocols indicated in the flow diagram is described in detail in the Methods (section 3).</w:t>
      </w:r>
    </w:p>
    <w:p>
      <w:pPr>
        <w:pStyle w:val="Normal"/>
        <w:spacing w:lineRule="auto" w:line="360"/>
        <w:ind w:firstLine="720"/>
        <w:jc w:val="both"/>
        <w:rPr/>
      </w:pPr>
      <w:r>
        <w:rPr>
          <w:rFonts w:cs="Times New Roman" w:ascii="Times New Roman" w:hAnsi="Times New Roman"/>
          <w:color w:val="000000" w:themeColor="text1"/>
        </w:rPr>
        <w:t>Atomistic simulations of supercoiled DNA minicircles start from a simple planar circular structure constructed from the specific DNA sequence required (</w:t>
      </w:r>
      <w:r>
        <w:rPr>
          <w:rFonts w:cs="Times New Roman" w:ascii="Times New Roman" w:hAnsi="Times New Roman"/>
          <w:i/>
          <w:color w:val="000000" w:themeColor="text1"/>
        </w:rPr>
        <w:t>step 1.</w:t>
      </w:r>
      <w:r>
        <w:rPr>
          <w:rFonts w:cs="Times New Roman" w:ascii="Times New Roman" w:hAnsi="Times New Roman"/>
          <w:color w:val="000000" w:themeColor="text1"/>
        </w:rPr>
        <w:t xml:space="preserve">). The chosen linking number is imposed by adjusting the DNA helical twist within this planar circle (see </w:t>
      </w:r>
      <w:r>
        <w:rPr>
          <w:rFonts w:cs="Times New Roman" w:ascii="Times New Roman" w:hAnsi="Times New Roman"/>
          <w:b/>
          <w:color w:val="000000" w:themeColor="text1"/>
        </w:rPr>
        <w:t>Fig. 2a</w:t>
      </w:r>
      <w:r>
        <w:rPr>
          <w:rFonts w:cs="Times New Roman" w:ascii="Times New Roman" w:hAnsi="Times New Roman"/>
          <w:color w:val="000000" w:themeColor="text1"/>
        </w:rPr>
        <w:t>). This then determines the superhelical density of the closed circular loop. After creating parameters and other essential input files (</w:t>
      </w:r>
      <w:r>
        <w:rPr>
          <w:rFonts w:cs="Times New Roman" w:ascii="Times New Roman" w:hAnsi="Times New Roman"/>
          <w:i/>
          <w:color w:val="000000" w:themeColor="text1"/>
        </w:rPr>
        <w:t>steps 2-4.</w:t>
      </w:r>
      <w:r>
        <w:rPr>
          <w:rFonts w:cs="Times New Roman" w:ascii="Times New Roman" w:hAnsi="Times New Roman"/>
          <w:color w:val="000000" w:themeColor="text1"/>
        </w:rPr>
        <w:t>), we use a frictionless implicit solvent Generalised Born Surface Approximation (GB/SA) model, which attempts to reproduce the electrostatic screening effect of the high dielectric solvent environment (</w:t>
      </w:r>
      <w:r>
        <w:rPr>
          <w:rFonts w:cs="Times New Roman" w:ascii="Times New Roman" w:hAnsi="Times New Roman"/>
          <w:i/>
          <w:color w:val="000000" w:themeColor="text1"/>
        </w:rPr>
        <w:t>steps 5-7.</w:t>
      </w:r>
      <w:r>
        <w:rPr>
          <w:rFonts w:cs="Times New Roman" w:ascii="Times New Roman" w:hAnsi="Times New Roman"/>
          <w:color w:val="000000" w:themeColor="text1"/>
        </w:rPr>
        <w:t xml:space="preserve">). Our estimates suggest that this speeds up conformational changes into compacted, writhed structures by at least a factor of 10 </w:t>
      </w:r>
      <w:r>
        <w:fldChar w:fldCharType="begin"/>
      </w:r>
      <w:r>
        <w:instrText>ADDIN CSL_CITATION { "citationItems" : [ { "id" : "ITEM-1", "itemData" : { "author" : [ { "dropping-particle" : "", "family" : "Irobalieva", "given" : "Rossitza N", "non-dropping-particle" : "", "parse-names" : false, "suffix" : "" }, { "dropping-particle" : "", "family" : "Fogg", "given" : "Jonathan M", "non-dropping-particle" : "", "parse-names" : false, "suffix" : "" }, { "dropping-particle" : "", "family" : "Catanese", "given" : "Daniel J", "non-dropping-particle" : "", "parse-names" : false, "suffix" : "" }, { "dropping-particle" : "", "family" : "Sutthibutpong", "given" : "Thana", "non-dropping-particle" : "", "parse-names" : false, "suffix" : "" }, { "dropping-particle" : "", "family" : "Chen", "given" : "Muyuan", "non-dropping-particle" : "", "parse-names" : false, "suffix" : "" }, { "dropping-particle" : "", "family" : "Barker", "given" : "Anna K", "non-dropping-particle" : "", "parse-names" : false, "suffix" : "" }, { "dropping-particle" : "", "family" : "Ludtke", "given" : "Steven J", "non-dropping-particle" : "", "parse-names" : false, "suffix" : "" }, { "dropping-particle" : "", "family" : "Harris", "given" : "Sarah A", "non-dropping-particle" : "", "parse-names" : false, "suffix" : "" }, { "dropping-particle" : "", "family" : "Schmid", "given" : "Michael F", "non-dropping-particle" : "", "parse-names" : false, "suffix" : "" }, { "dropping-particle" : "", "family" : "Zechiedrich", "given" : "Lynn", "non-dropping-particle" : "", "parse-names" : false, "suffix" : "" } ], "container-title" : "Submitted to Nature Communication", "id" : "ITEM-1", "issued" : { "date-parts" : [ [ "2015" ] ] }, "title" : "Structural diversity of supercoiled DNA", "type" : "article-journal" }, "uris" : [ "http://www.mendeley.com/documents/?uuid=68a59a93-125c-41b3-ad26-1f579ebf0f31" ] } ], "mendeley" : { "formattedCitation" : "&lt;b&gt;&lt;i&gt;(19)&lt;/i&gt;&lt;/b&gt;", "plainTextFormattedCitation" : "(19)", "previouslyFormattedCitation" : "&lt;b&gt;&lt;i&gt;(19)&lt;/i&gt;&lt;/b&gt;" }, "properties" : { "noteIndex" : 0 }, "schema" : "https://github.com/citation-style-language/schema/raw/master/csl-citation.json" }</w:instrText>
      </w:r>
      <w:r>
        <w:fldChar w:fldCharType="separate"/>
      </w:r>
      <w:bookmarkStart w:id="25" w:name="__Fieldmark__418_1847998653"/>
      <w:r>
        <w:rPr>
          <w:rFonts w:cs="Times New Roman" w:ascii="Times New Roman" w:hAnsi="Times New Roman"/>
          <w:color w:val="000000" w:themeColor="text1"/>
        </w:rPr>
      </w:r>
      <w:r>
        <w:rPr>
          <w:rFonts w:cs="Times New Roman" w:ascii="Times New Roman" w:hAnsi="Times New Roman"/>
          <w:b/>
          <w:i/>
          <w:color w:val="000000" w:themeColor="text1"/>
        </w:rPr>
        <w:t>(19)</w:t>
      </w:r>
      <w:r>
        <w:rPr>
          <w:rFonts w:cs="Times New Roman" w:ascii="Times New Roman" w:hAnsi="Times New Roman"/>
          <w:color w:val="000000" w:themeColor="text1"/>
        </w:rPr>
      </w:r>
      <w:r>
        <w:fldChar w:fldCharType="end"/>
      </w:r>
      <w:bookmarkEnd w:id="25"/>
      <w:r>
        <w:rPr>
          <w:rFonts w:cs="Times New Roman" w:ascii="Times New Roman" w:hAnsi="Times New Roman"/>
          <w:color w:val="000000" w:themeColor="text1"/>
        </w:rPr>
        <w:t>. However, the initial planar DNA conformation is highly artificial, and may place unphysical levels of conformational stress upon the duplex. Moreover, while in principle GB/SA simulations provide the same conformational ensemble for the DNA but in an accelerated timeframe, in practice, the neglect of discrete water molecules and solvent ions has a non- negligible effect on the structure of the DNA. Firstly, the duplex is marginally less stable in the implicitly solvated calculations, therefore, any kinks or denaturation we observe in the absence of explicit water cannot be ascribed to the levels of superhelical stress. We have also observed that the simple Debye-Huckel electrostatic screening approximation that is used to mimic the effect of salt is not as efficient at screening the repulsion within the DNA backbone as discrete counterions. Consequently, in explicit water writhed structures have a tendency to be more compact, particularly in the presence of divalent cations such as calcium. Moreover, we have occasionally observed unphysically narrow minor grooves with the implicit solvent model. To deal with these simulation artefacts, we gently equilibrate the DNA as it relaxes from the planar starting structure into a writhed configuration to ensure that the minicircles are not irreversibly distorted. The integrity of the duplex is maintained using restraints placed on the hydrogen bonding interactions between complementary base pairs (this uses the facility for imposing NMR distance restraints within AMBER) whenever we are using the GB/SA implicit solvent approximation, prior to solvation in explicit water.</w:t>
      </w:r>
    </w:p>
    <w:p>
      <w:pPr>
        <w:pStyle w:val="Normal"/>
        <w:spacing w:lineRule="auto" w:line="360"/>
        <w:ind w:firstLine="720"/>
        <w:jc w:val="both"/>
        <w:rPr/>
      </w:pPr>
      <w:r>
        <w:rPr>
          <w:rFonts w:cs="Times New Roman" w:ascii="Times New Roman" w:hAnsi="Times New Roman"/>
          <w:color w:val="000000" w:themeColor="text1"/>
        </w:rPr>
        <w:t>During the implicitly solvated calculations we commonly observe such large oscillations in the writhe (approximately ±0.3) that it is not possible to define a unique configuration. Instead, we use a conformational clustering analysis algorithm to select representative structures (</w:t>
      </w:r>
      <w:r>
        <w:rPr>
          <w:rFonts w:cs="Times New Roman" w:ascii="Times New Roman" w:hAnsi="Times New Roman"/>
          <w:i/>
          <w:color w:val="000000" w:themeColor="text1"/>
        </w:rPr>
        <w:t>steps 8-9.</w:t>
      </w:r>
      <w:r>
        <w:rPr>
          <w:rFonts w:cs="Times New Roman" w:ascii="Times New Roman" w:hAnsi="Times New Roman"/>
          <w:color w:val="000000" w:themeColor="text1"/>
        </w:rPr>
        <w:t xml:space="preserve">), and subject as many configurations as is computationally feasible to explicit solvation to obtain a more reliable atomistic description (see </w:t>
      </w:r>
      <w:r>
        <w:rPr>
          <w:rFonts w:cs="Times New Roman" w:ascii="Times New Roman" w:hAnsi="Times New Roman"/>
          <w:b/>
          <w:color w:val="000000" w:themeColor="text1"/>
        </w:rPr>
        <w:t>Fig. 2b</w:t>
      </w:r>
      <w:r>
        <w:rPr>
          <w:rFonts w:cs="Times New Roman" w:ascii="Times New Roman" w:hAnsi="Times New Roman"/>
          <w:color w:val="000000" w:themeColor="text1"/>
        </w:rPr>
        <w:t xml:space="preserve">); typically we select three configurations, one from each of the most populated clusters </w:t>
      </w:r>
      <w:r>
        <w:fldChar w:fldCharType="begin"/>
      </w:r>
      <w:r>
        <w:instrText>ADDIN CSL_CITATION { "citationItems" : [ { "id" : "ITEM-1", "itemData" : { "author" : [ { "dropping-particle" : "", "family" : "Irobalieva", "given" : "Rossitza N", "non-dropping-particle" : "", "parse-names" : false, "suffix" : "" }, { "dropping-particle" : "", "family" : "Fogg", "given" : "Jonathan M", "non-dropping-particle" : "", "parse-names" : false, "suffix" : "" }, { "dropping-particle" : "", "family" : "Catanese", "given" : "Daniel J", "non-dropping-particle" : "", "parse-names" : false, "suffix" : "" }, { "dropping-particle" : "", "family" : "Sutthibutpong", "given" : "Thana", "non-dropping-particle" : "", "parse-names" : false, "suffix" : "" }, { "dropping-particle" : "", "family" : "Chen", "given" : "Muyuan", "non-dropping-particle" : "", "parse-names" : false, "suffix" : "" }, { "dropping-particle" : "", "family" : "Barker", "given" : "Anna K", "non-dropping-particle" : "", "parse-names" : false, "suffix" : "" }, { "dropping-particle" : "", "family" : "Ludtke", "given" : "Steven J", "non-dropping-particle" : "", "parse-names" : false, "suffix" : "" }, { "dropping-particle" : "", "family" : "Harris", "given" : "Sarah A", "non-dropping-particle" : "", "parse-names" : false, "suffix" : "" }, { "dropping-particle" : "", "family" : "Schmid", "given" : "Michael F", "non-dropping-particle" : "", "parse-names" : false, "suffix" : "" }, { "dropping-particle" : "", "family" : "Zechiedrich", "given" : "Lynn", "non-dropping-particle" : "", "parse-names" : false, "suffix" : "" } ], "container-title" : "Submitted to Nature Communication", "id" : "ITEM-1", "issued" : { "date-parts" : [ [ "2015" ] ] }, "title" : "Structural diversity of supercoiled DNA", "type" : "article-journal" }, "uris" : [ "http://www.mendeley.com/documents/?uuid=68a59a93-125c-41b3-ad26-1f579ebf0f31" ] } ], "mendeley" : { "formattedCitation" : "&lt;b&gt;&lt;i&gt;(19)&lt;/i&gt;&lt;/b&gt;", "plainTextFormattedCitation" : "(19)", "previouslyFormattedCitation" : "&lt;b&gt;&lt;i&gt;(19)&lt;/i&gt;&lt;/b&gt;" }, "properties" : { "noteIndex" : 0 }, "schema" : "https://github.com/citation-style-language/schema/raw/master/csl-citation.json" }</w:instrText>
      </w:r>
      <w:r>
        <w:fldChar w:fldCharType="separate"/>
      </w:r>
      <w:bookmarkStart w:id="26" w:name="__Fieldmark__529_1847998653"/>
      <w:r>
        <w:rPr>
          <w:rFonts w:cs="Times New Roman" w:ascii="Times New Roman" w:hAnsi="Times New Roman"/>
          <w:color w:val="000000" w:themeColor="text1"/>
        </w:rPr>
      </w:r>
      <w:r>
        <w:rPr>
          <w:rFonts w:cs="Times New Roman" w:ascii="Times New Roman" w:hAnsi="Times New Roman"/>
          <w:b/>
          <w:i/>
          <w:color w:val="000000" w:themeColor="text1"/>
        </w:rPr>
        <w:t>(19)</w:t>
      </w:r>
      <w:r>
        <w:rPr>
          <w:rFonts w:cs="Times New Roman" w:ascii="Times New Roman" w:hAnsi="Times New Roman"/>
          <w:color w:val="000000" w:themeColor="text1"/>
        </w:rPr>
      </w:r>
      <w:r>
        <w:fldChar w:fldCharType="end"/>
      </w:r>
      <w:bookmarkEnd w:id="26"/>
      <w:r>
        <w:rPr>
          <w:rFonts w:cs="Times New Roman" w:ascii="Times New Roman" w:hAnsi="Times New Roman"/>
          <w:color w:val="000000" w:themeColor="text1"/>
        </w:rPr>
        <w:t>. These are then explicitly solvated within the GROMACS program (</w:t>
      </w:r>
      <w:r>
        <w:rPr>
          <w:rFonts w:cs="Times New Roman" w:ascii="Times New Roman" w:hAnsi="Times New Roman"/>
          <w:i/>
          <w:color w:val="000000" w:themeColor="text1"/>
        </w:rPr>
        <w:t>steps 10-18.</w:t>
      </w:r>
      <w:r>
        <w:rPr>
          <w:rFonts w:cs="Times New Roman" w:ascii="Times New Roman" w:hAnsi="Times New Roman"/>
          <w:color w:val="000000" w:themeColor="text1"/>
        </w:rPr>
        <w:t xml:space="preserve">). A list of essential software tools, important source files and a careful simulation protocols are provided in the Materials and Methods sections. </w:t>
      </w:r>
    </w:p>
    <w:p>
      <w:pPr>
        <w:pStyle w:val="Normal"/>
        <w:spacing w:lineRule="auto" w:line="360"/>
        <w:ind w:firstLine="720"/>
        <w:jc w:val="both"/>
        <w:rPr/>
      </w:pPr>
      <w:r>
        <w:rPr>
          <w:rFonts w:cs="Times New Roman" w:ascii="Times New Roman" w:hAnsi="Times New Roman"/>
          <w:color w:val="000000" w:themeColor="text1"/>
        </w:rPr>
        <w:t xml:space="preserve">For the smaller DNA minicircles, the writhing transition is suppressed by the large bending energy necessary to maintain the circular form </w:t>
      </w:r>
      <w:r>
        <w:fldChar w:fldCharType="begin"/>
      </w:r>
      <w:r>
        <w:instrText>ADDIN CSL_CITATION { "citationItems" : [ { "id" : "ITEM-1", "itemData" : { "DOI" : "10.1093/nar/gkm891", "ISSN" : "1362-4962", "PMID" : "17984075", "abstract" : "We have investigated the effects of duplex length, sequence, salt concentration and superhelical density on the conformation of DNA nanocircles containing up to 178 base pairs using atomistic molecular dynamics simulation. These calculations reveal that the partitioning of twist and writhe is governed by a delicate balance of competing energetic terms. We have identified conditions which favour circular, positively or negatively writhed and denatured DNA conformations. Our simulations show that AT-rich DNA is more prone to denaturation when subjected to torsional stress than the corresponding GC containing circles. In contrast to the behaviour expected for a simple elastic rod, there is a distinct asymmetry in the behaviour of over and under-wound DNA nanocircles. The most biologically relevant negatively writhed state is more elusive than the corresponding positively writhed conformation, and is only observed for larger circles under conditions of high electrostatic screening. The simulation results have been summarised by plotting a phase diagram describing the various conformational states of nanocircles over the range of circle sizes and experimental conditions explored during the study. The changes in DNA structure that accompany supercoiling suggest a number of mechanisms whereby changes in DNA topology in vivo might be used to influence gene expression.", "author" : [ { "dropping-particle" : "", "family" : "Harris", "given" : "Sarah A", "non-dropping-particle" : "", "parse-names" : false, "suffix" : "" }, { "dropping-particle" : "", "family" : "Laughton", "given" : "Charles A", "non-dropping-particle" : "", "parse-names" : false, "suffix" : "" }, { "dropping-particle" : "", "family" : "Liverpool", "given" : "Tanniemola B", "non-dropping-particle" : "", "parse-names" : false, "suffix" : "" } ], "container-title" : "Nucleic acids research", "id" : "ITEM-1", "issue" : "1", "issued" : { "date-parts" : [ [ "2008", "1" ] ] }, "page" : "21-29", "title" : "Mapping the phase diagram of the writhe of DNA nanocircles using atomistic molecular dynamics simulations.", "type" : "article-journal", "volume" : "36" }, "uris" : [ "http://www.mendeley.com/documents/?uuid=21103c92-508a-423a-9f67-788578b875a5" ] }, { "id" : "ITEM-2", "itemData" : { "DOI" : "10.1103/PhysRevLett.100.238103", "ISBN" : "0031-9007", "ISSN" : "00319007", "PMID" : "18643548", "abstract" : "We study the statistical mechanics of small DNA loops emphasizing the competition between elasticity, supercoiling, and denaturation. Motivated by recent experiments and atomistic molecular dynamics simulation, we propose a new coarse-grained phenomenological model of DNA. We extend the classical elastic rod models to include the possibility of denaturation and nonlinear twist elasticity. Using this coarse-grained model, we obtain a phase diagram in terms of fractional overtwist and loop size that can be used to rationalize a number of experimental results which have also been confirmed by atomistic simulations.", "author" : [ { "dropping-particle" : "", "family" : "Liverpool", "given" : "T. B.", "non-dropping-particle" : "", "parse-names" : false, "suffix" : "" }, { "dropping-particle" : "", "family" : "Harris", "given" : "S. A.", "non-dropping-particle" : "", "parse-names" : false, "suffix" : "" }, { "dropping-particle" : "", "family" : "Laughton", "given" : "C. A.", "non-dropping-particle" : "", "parse-names" : false, "suffix" : "" } ], "container-title" : "Physical Review Letters", "id" : "ITEM-2", "issue" : "June", "issued" : { "date-parts" : [ [ "2008" ] ] }, "page" : "238103", "title" : "Supercoiling and denaturation of DNA loops", "type" : "article-journal", "volume" : "100" }, "uris" : [ "http://www.mendeley.com/documents/?uuid=00c3fa80-35be-494f-a7b8-b54073d4beaf" ] } ], "mendeley" : { "formattedCitation" : "&lt;b&gt;&lt;i&gt;(22, 23)&lt;/i&gt;&lt;/b&gt;", "plainTextFormattedCitation" : "(22, 23)", "previouslyFormattedCitation" : "&lt;b&gt;&lt;i&gt;(22, 23)&lt;/i&gt;&lt;/b&gt;" }, "properties" : { "noteIndex" : 0 }, "schema" : "https://github.com/citation-style-language/schema/raw/master/csl-citation.json" }</w:instrText>
      </w:r>
      <w:r>
        <w:fldChar w:fldCharType="separate"/>
      </w:r>
      <w:bookmarkStart w:id="27" w:name="__Fieldmark__560_1847998653"/>
      <w:r>
        <w:rPr>
          <w:rFonts w:cs="Times New Roman" w:ascii="Times New Roman" w:hAnsi="Times New Roman"/>
          <w:color w:val="000000" w:themeColor="text1"/>
        </w:rPr>
      </w:r>
      <w:r>
        <w:rPr>
          <w:rFonts w:cs="Times New Roman" w:ascii="Times New Roman" w:hAnsi="Times New Roman"/>
          <w:b/>
          <w:i/>
          <w:color w:val="000000" w:themeColor="text1"/>
        </w:rPr>
        <w:t>(22, 23)</w:t>
      </w:r>
      <w:r>
        <w:rPr>
          <w:rFonts w:cs="Times New Roman" w:ascii="Times New Roman" w:hAnsi="Times New Roman"/>
          <w:color w:val="000000" w:themeColor="text1"/>
        </w:rPr>
      </w:r>
      <w:r>
        <w:fldChar w:fldCharType="end"/>
      </w:r>
      <w:bookmarkEnd w:id="27"/>
      <w:r>
        <w:rPr>
          <w:rFonts w:cs="Times New Roman" w:ascii="Times New Roman" w:hAnsi="Times New Roman"/>
          <w:color w:val="000000" w:themeColor="text1"/>
        </w:rPr>
        <w:t xml:space="preserve">. Thus, for the simulations of DNA minicircles with the length &lt; 150 bp (the DNA persistence length), we skip </w:t>
      </w:r>
      <w:r>
        <w:rPr>
          <w:rFonts w:cs="Times New Roman" w:ascii="Times New Roman" w:hAnsi="Times New Roman"/>
          <w:i/>
          <w:color w:val="000000" w:themeColor="text1"/>
        </w:rPr>
        <w:t>steps 5-9</w:t>
      </w:r>
      <w:r>
        <w:rPr>
          <w:rFonts w:cs="Times New Roman" w:ascii="Times New Roman" w:hAnsi="Times New Roman"/>
          <w:color w:val="000000" w:themeColor="text1"/>
        </w:rPr>
        <w:t xml:space="preserve">. (GB/SA MD runs and clustering analysis) and start preparing the system for explicit water and ions solvation using GROMACS from the starting structure of the planar minicircle.   </w:t>
      </w:r>
    </w:p>
    <w:p>
      <w:pPr>
        <w:pStyle w:val="Normal"/>
        <w:spacing w:lineRule="auto" w:line="360"/>
        <w:ind w:firstLine="720"/>
        <w:jc w:val="both"/>
        <w:rPr>
          <w:rFonts w:ascii="Times New Roman" w:hAnsi="Times New Roman" w:cs="Times New Roman"/>
          <w:color w:val="000000" w:themeColor="text1"/>
        </w:rPr>
      </w:pPr>
      <w:r>
        <w:rPr>
          <w:rFonts w:cs="Times New Roman" w:ascii="Times New Roman" w:hAnsi="Times New Roman"/>
          <w:color w:val="000000" w:themeColor="text1"/>
        </w:rPr>
      </w:r>
    </w:p>
    <w:p>
      <w:pPr>
        <w:pStyle w:val="Normal"/>
        <w:spacing w:lineRule="auto" w:line="360"/>
        <w:jc w:val="both"/>
        <w:rPr/>
      </w:pPr>
      <w:r>
        <w:rPr>
          <w:rFonts w:cs="Times New Roman" w:ascii="Times New Roman" w:hAnsi="Times New Roman"/>
          <w:b/>
          <w:color w:val="000000" w:themeColor="text1"/>
        </w:rPr>
        <w:t xml:space="preserve">Computer Hardware: </w:t>
      </w:r>
      <w:r>
        <w:rPr>
          <w:rFonts w:cs="Times New Roman" w:ascii="Times New Roman" w:hAnsi="Times New Roman"/>
          <w:color w:val="000000" w:themeColor="text1"/>
        </w:rPr>
        <w:t xml:space="preserve">Simulations of DNA minicircles require specialist high performance computing facilities (HPC), such as the UK supercomputer ARCHER </w:t>
      </w:r>
      <w:r>
        <w:fldChar w:fldCharType="begin"/>
      </w:r>
      <w:r>
        <w:instrText>ADDIN CSL_CITATION { "citationItems" : [ { "id" : "ITEM-1", "itemData" : { "DOI" : "10.1107/S1399004714026777", "ISSN" : "1399-0047", "abstract" : "Despite huge advances in the computational techniques available for simulating biomolecules at the quantum-mechanical, atomistic and coarse-grained levels, there is still a widespread perception amongst the experimental community that these calculations are highly specialist and are not generally applicable by researchers outside the theoretical community. In this article, the successes and limitations of biomolecular simulation and the further developments that are likely in the near future are discussed. A brief overview is also provided of the experimental biophysical methods that are commonly used to probe biomolecular structure and dynamics, and the accuracy of the information that can be obtained from each is compared with that from modelling. It is concluded that progress towards an accurate spatial and temporal model of biomacromolecules requires a combination of all of these biophysical techniques, both experimental and computational.", "author" : [ { "dropping-particle" : "", "family" : "Gray", "given" : "Alan", "non-dropping-particle" : "", "parse-names" : false, "suffix" : "" }, { "dropping-particle" : "", "family" : "Harlen", "given" : "Oliver G", "non-dropping-particle" : "", "parse-names" : false, "suffix" : "" }, { "dropping-particle" : "", "family" : "Harris", "given" : "Sarah A", "non-dropping-particle" : "", "parse-names" : false, "suffix" : "" }, { "dropping-particle" : "", "family" : "Khalid", "given" : "Syma", "non-dropping-particle" : "", "parse-names" : false, "suffix" : "" }, { "dropping-particle" : "", "family" : "Leung", "given" : "Yuk Ming", "non-dropping-particle" : "", "parse-names" : false, "suffix" : "" }, { "dropping-particle" : "", "family" : "Lonsdale", "given" : "Richard", "non-dropping-particle" : "", "parse-names" : false, "suffix" : "" }, { "dropping-particle" : "", "family" : "Mulholland", "given" : "Adrian J", "non-dropping-particle" : "", "parse-names" : false, "suffix" : "" }, { "dropping-particle" : "", "family" : "Pearson", "given" : "Arwen R", "non-dropping-particle" : "", "parse-names" : false, "suffix" : "" }, { "dropping-particle" : "", "family" : "Read", "given" : "Daniel J", "non-dropping-particle" : "", "parse-names" : false, "suffix" : "" }, { "dropping-particle" : "", "family" : "Richardson", "given" : "Robin A", "non-dropping-particle" : "", "parse-names" : false, "suffix" : "" } ], "container-title" : "Acta Crystallographica D", "id" : "ITEM-1", "issued" : { "date-parts" : [ [ "2015" ] ] }, "page" : "162-172", "publisher" : "International Union of Crystallography", "title" : "In pursuit of an accurate spatial and temporal model of biomolecules at the atomistic level: a perspective on computer simulation", "type" : "article-journal", "volume" : "D71" }, "uris" : [ "http://www.mendeley.com/documents/?uuid=ddefb2af-c2ce-4af4-b968-9e860e4c75cd" ] } ], "mendeley" : { "formattedCitation" : "&lt;b&gt;&lt;i&gt;(24)&lt;/i&gt;&lt;/b&gt;", "plainTextFormattedCitation" : "(24)", "previouslyFormattedCitation" : "&lt;b&gt;&lt;i&gt;(24)&lt;/i&gt;&lt;/b&gt;" }, "properties" : { "noteIndex" : 0 }, "schema" : "https://github.com/citation-style-language/schema/raw/master/csl-citation.json" }</w:instrText>
      </w:r>
      <w:r>
        <w:fldChar w:fldCharType="separate"/>
      </w:r>
      <w:bookmarkStart w:id="28" w:name="__Fieldmark__593_1847998653"/>
      <w:r>
        <w:rPr>
          <w:rFonts w:cs="Times New Roman" w:ascii="Times New Roman" w:hAnsi="Times New Roman"/>
          <w:color w:val="000000" w:themeColor="text1"/>
        </w:rPr>
      </w:r>
      <w:r>
        <w:rPr>
          <w:rFonts w:cs="Times New Roman" w:ascii="Times New Roman" w:hAnsi="Times New Roman"/>
          <w:b/>
          <w:i/>
          <w:color w:val="000000" w:themeColor="text1"/>
        </w:rPr>
        <w:t>(24)</w:t>
      </w:r>
      <w:r>
        <w:rPr>
          <w:rFonts w:cs="Times New Roman" w:ascii="Times New Roman" w:hAnsi="Times New Roman"/>
          <w:color w:val="000000" w:themeColor="text1"/>
        </w:rPr>
      </w:r>
      <w:r>
        <w:fldChar w:fldCharType="end"/>
      </w:r>
      <w:bookmarkEnd w:id="28"/>
      <w:r>
        <w:rPr>
          <w:rFonts w:cs="Times New Roman" w:ascii="Times New Roman" w:hAnsi="Times New Roman"/>
          <w:color w:val="000000" w:themeColor="text1"/>
        </w:rPr>
        <w:t xml:space="preserve"> or local HPC such as the University of Leeds supercomputers ARC1 and ARC2, where available. Running simulations in parallel over multiple CPU cores can effectively reduce the computing time. Within MD codes such as AMBER, GROMACS and NAMD, parallelisation is typically achieved through “domain decomposition”. As a simulation progresses, partitioned spatial domains within the simulation box are assigned to each of the processors, and the Newtonian physics associated with the motion of the particles within each partitioned domain will be performed by its assigned processor </w:t>
      </w:r>
      <w:r>
        <w:fldChar w:fldCharType="begin"/>
      </w:r>
      <w:r>
        <w:instrText>ADDIN CSL_CITATION { "citationItems" : [ { "id" : "ITEM-1", "itemData" : { "DOI" : "10.1093/bioinformatics/btt055", "ISSN" : "1367-4811", "PMID" : "23407358", "abstract" : "MOTIVATION: Molecular simulation has historically been a low-throughput technique, but faster computers and increasing amounts of genomic and structural data are changing this by enabling large-scale automated simulation of, for instance, many conformers or mutants of biomolecules with or without a range of ligands. At the same time, advances in performance and scaling now make it possible to model complex biomolecular interaction and function in a manner directly testable by experiment. These applications share a need for fast and efficient software that can be deployed on massive scale in clusters, web servers, distributed computing or cloud resources. RESULTS: Here, we present a range of new simulation algorithms and features developed during the past 4 years, leading up to the GROMACS 4.5 software package. The software now automatically handles wide classes of biomolecules, such as proteins, nucleic acids and lipids, and comes with all commonly used force fields for these molecules built-in. GROMACS supports several implicit solvent models, as well as new free-energy algorithms, and the software now uses multithreading for efficient parallelization even on low-end systems, including windows-based workstations. Together with hand-tuned assembly kernels and state-of-the-art parallelization, this provides extremely high performance and cost efficiency for high-throughput as well as massively parallel simulations. AVAILABILITY: GROMACS is an open source and free software available from http://www.gromacs.org. SUPPLEMENTARY INFORMATION: Supplementary data are available at Bioinformatics online.", "author" : [ { "dropping-particle" : "", "family" : "Pronk", "given" : "Sander", "non-dropping-particle" : "", "parse-names" : false, "suffix" : "" }, { "dropping-particle" : "", "family" : "P\u00e1ll", "given" : "Szil\u00e1rd", "non-dropping-particle" : "", "parse-names" : false, "suffix" : "" }, { "dropping-particle" : "", "family" : "Schulz", "given" : "Roland", "non-dropping-particle" : "", "parse-names" : false, "suffix" : "" }, { "dropping-particle" : "", "family" : "Larsson", "given" : "Per", "non-dropping-particle" : "", "parse-names" : false, "suffix" : "" }, { "dropping-particle" : "", "family" : "Bjelkmar", "given" : "P\u00e4r", "non-dropping-particle" : "", "parse-names" : false, "suffix" : "" }, { "dropping-particle" : "", "family" : "Apostolov", "given" : "Rossen", "non-dropping-particle" : "", "parse-names" : false, "suffix" : "" }, { "dropping-particle" : "", "family" : "Shirts", "given" : "Michael R", "non-dropping-particle" : "", "parse-names" : false, "suffix" : "" }, { "dropping-particle" : "", "family" : "Smith", "given" : "Jeremy C", "non-dropping-particle" : "", "parse-names" : false, "suffix" : "" }, { "dropping-particle" : "", "family" : "Kasson", "given" : "Peter M", "non-dropping-particle" : "", "parse-names" : false, "suffix" : "" }, { "dropping-particle" : "", "family" : "Spoel", "given" : "David", "non-dropping-particle" : "van der", "parse-names" : false, "suffix" : "" }, { "dropping-particle" : "", "family" : "Hess", "given" : "Berk", "non-dropping-particle" : "", "parse-names" : false, "suffix" : "" }, { "dropping-particle" : "", "family" : "Lindahl", "given" : "Erik", "non-dropping-particle" : "", "parse-names" : false, "suffix" : "" } ], "container-title" : "Bioinformatics (Oxford, England)", "id" : "ITEM-1", "issue" : "7", "issued" : { "date-parts" : [ [ "2013", "4", "1" ] ] }, "page" : "845-854", "title" : "GROMACS 4.5: a high-throughput and highly parallel open source molecular simulation toolkit.", "type" : "article-journal", "volume" : "29" }, "uris" : [ "http://www.mendeley.com/documents/?uuid=d291db9e-b787-4117-8314-920c2d6eb696" ] } ], "mendeley" : { "formattedCitation" : "&lt;b&gt;&lt;i&gt;(25)&lt;/i&gt;&lt;/b&gt;", "plainTextFormattedCitation" : "(25)", "previouslyFormattedCitation" : "&lt;b&gt;&lt;i&gt;(25)&lt;/i&gt;&lt;/b&gt;" }, "properties" : { "noteIndex" : 0 }, "schema" : "https://github.com/citation-style-language/schema/raw/master/csl-citation.json" }</w:instrText>
      </w:r>
      <w:r>
        <w:fldChar w:fldCharType="separate"/>
      </w:r>
      <w:bookmarkStart w:id="29" w:name="__Fieldmark__628_1847998653"/>
      <w:r>
        <w:rPr>
          <w:rFonts w:cs="Times New Roman" w:ascii="Times New Roman" w:hAnsi="Times New Roman"/>
          <w:color w:val="000000" w:themeColor="text1"/>
        </w:rPr>
      </w:r>
      <w:r>
        <w:rPr>
          <w:rFonts w:cs="Times New Roman" w:ascii="Times New Roman" w:hAnsi="Times New Roman"/>
          <w:b/>
          <w:i/>
          <w:color w:val="000000" w:themeColor="text1"/>
        </w:rPr>
        <w:t>(25)</w:t>
      </w:r>
      <w:r>
        <w:rPr>
          <w:rFonts w:cs="Times New Roman" w:ascii="Times New Roman" w:hAnsi="Times New Roman"/>
          <w:color w:val="000000" w:themeColor="text1"/>
        </w:rPr>
      </w:r>
      <w:r>
        <w:fldChar w:fldCharType="end"/>
      </w:r>
      <w:bookmarkEnd w:id="29"/>
      <w:r>
        <w:rPr>
          <w:rFonts w:cs="Times New Roman" w:ascii="Times New Roman" w:hAnsi="Times New Roman"/>
          <w:b/>
          <w:color w:val="000000" w:themeColor="text1"/>
        </w:rPr>
        <w:t xml:space="preserve">, </w:t>
      </w:r>
      <w:r>
        <w:rPr>
          <w:rFonts w:cs="Times New Roman" w:ascii="Times New Roman" w:hAnsi="Times New Roman"/>
          <w:color w:val="000000" w:themeColor="text1"/>
        </w:rPr>
        <w:t xml:space="preserve">enabling multiple calculations to be performed concurrently. </w:t>
      </w:r>
      <w:r>
        <w:rPr>
          <w:rFonts w:cs="Times New Roman" w:ascii="Times New Roman" w:hAnsi="Times New Roman"/>
          <w:b/>
          <w:color w:val="000000" w:themeColor="text1"/>
        </w:rPr>
        <w:t>Table 1</w:t>
      </w:r>
      <w:r>
        <w:rPr>
          <w:rFonts w:cs="Times New Roman" w:ascii="Times New Roman" w:hAnsi="Times New Roman"/>
          <w:color w:val="000000" w:themeColor="text1"/>
        </w:rPr>
        <w:t xml:space="preserve"> compares the performance of parallel MD simulation processing performed by the University of Leeds ARC1/2 local HPC service and the UK ARCHER supercomputers on the implicitly and explicitly solvated DNA minicircles performed by our group.</w:t>
      </w:r>
    </w:p>
    <w:p>
      <w:pPr>
        <w:pStyle w:val="Normal"/>
        <w:spacing w:lineRule="auto" w:line="360"/>
        <w:jc w:val="both"/>
        <w:rPr>
          <w:rFonts w:ascii="Times New Roman" w:hAnsi="Times New Roman" w:cs="Times New Roman"/>
          <w:color w:val="000000" w:themeColor="text1"/>
        </w:rPr>
      </w:pPr>
      <w:r>
        <w:rPr>
          <w:rFonts w:cs="Times New Roman" w:ascii="Times New Roman" w:hAnsi="Times New Roman"/>
          <w:color w:val="000000" w:themeColor="text1"/>
        </w:rPr>
      </w:r>
    </w:p>
    <w:p>
      <w:pPr>
        <w:pStyle w:val="Normal"/>
        <w:spacing w:lineRule="auto" w:line="360"/>
        <w:jc w:val="both"/>
        <w:rPr/>
      </w:pPr>
      <w:r>
        <w:rPr>
          <w:rFonts w:cs="Times New Roman" w:ascii="Times New Roman" w:hAnsi="Times New Roman"/>
          <w:b/>
          <w:color w:val="000000" w:themeColor="text1"/>
        </w:rPr>
        <w:t xml:space="preserve">Computer Software and MD forcefields: </w:t>
      </w:r>
      <w:r>
        <w:rPr>
          <w:rFonts w:cs="Times New Roman" w:ascii="Times New Roman" w:hAnsi="Times New Roman"/>
          <w:color w:val="000000" w:themeColor="text1"/>
        </w:rPr>
        <w:t xml:space="preserve">To perform simulations at the fully atomistic level, the biomolecular simulation field has provided researchers with a wealth of tools for simulations and trajectory analysis for proteins and nucleic acids, which are fast and user friendly </w:t>
      </w:r>
      <w:r>
        <w:fldChar w:fldCharType="begin"/>
      </w:r>
      <w:r>
        <w:instrText>ADDIN CSL_CITATION { "citationItems" : [ { "id" : "ITEM-1", "itemData" : { "DOI" : "10.1107/S1399004714026777", "ISSN" : "1399-0047", "abstract" : "Despite huge advances in the computational techniques available for simulating biomolecules at the quantum-mechanical, atomistic and coarse-grained levels, there is still a widespread perception amongst the experimental community that these calculations are highly specialist and are not generally applicable by researchers outside the theoretical community. In this article, the successes and limitations of biomolecular simulation and the further developments that are likely in the near future are discussed. A brief overview is also provided of the experimental biophysical methods that are commonly used to probe biomolecular structure and dynamics, and the accuracy of the information that can be obtained from each is compared with that from modelling. It is concluded that progress towards an accurate spatial and temporal model of biomacromolecules requires a combination of all of these biophysical techniques, both experimental and computational.", "author" : [ { "dropping-particle" : "", "family" : "Gray", "given" : "Alan", "non-dropping-particle" : "", "parse-names" : false, "suffix" : "" }, { "dropping-particle" : "", "family" : "Harlen", "given" : "Oliver G", "non-dropping-particle" : "", "parse-names" : false, "suffix" : "" }, { "dropping-particle" : "", "family" : "Harris", "given" : "Sarah A", "non-dropping-particle" : "", "parse-names" : false, "suffix" : "" }, { "dropping-particle" : "", "family" : "Khalid", "given" : "Syma", "non-dropping-particle" : "", "parse-names" : false, "suffix" : "" }, { "dropping-particle" : "", "family" : "Leung", "given" : "Yuk Ming", "non-dropping-particle" : "", "parse-names" : false, "suffix" : "" }, { "dropping-particle" : "", "family" : "Lonsdale", "given" : "Richard", "non-dropping-particle" : "", "parse-names" : false, "suffix" : "" }, { "dropping-particle" : "", "family" : "Mulholland", "given" : "Adrian J", "non-dropping-particle" : "", "parse-names" : false, "suffix" : "" }, { "dropping-particle" : "", "family" : "Pearson", "given" : "Arwen R", "non-dropping-particle" : "", "parse-names" : false, "suffix" : "" }, { "dropping-particle" : "", "family" : "Read", "given" : "Daniel J", "non-dropping-particle" : "", "parse-names" : false, "suffix" : "" }, { "dropping-particle" : "", "family" : "Richardson", "given" : "Robin A", "non-dropping-particle" : "", "parse-names" : false, "suffix" : "" } ], "container-title" : "Acta Crystallographica D", "id" : "ITEM-1", "issued" : { "date-parts" : [ [ "2015" ] ] }, "page" : "162-172", "publisher" : "International Union of Crystallography", "title" : "In pursuit of an accurate spatial and temporal model of biomolecules at the atomistic level: a perspective on computer simulation", "type" : "article-journal", "volume" : "D71" }, "uris" : [ "http://www.mendeley.com/documents/?uuid=ddefb2af-c2ce-4af4-b968-9e860e4c75cd" ] } ], "mendeley" : { "formattedCitation" : "&lt;b&gt;&lt;i&gt;(24)&lt;/i&gt;&lt;/b&gt;", "plainTextFormattedCitation" : "(24)", "previouslyFormattedCitation" : "&lt;b&gt;&lt;i&gt;(24)&lt;/i&gt;&lt;/b&gt;" }, "properties" : { "noteIndex" : 0 }, "schema" : "https://github.com/citation-style-language/schema/raw/master/csl-citation.json" }</w:instrText>
      </w:r>
      <w:r>
        <w:fldChar w:fldCharType="separate"/>
      </w:r>
      <w:bookmarkStart w:id="30" w:name="__Fieldmark__663_1847998653"/>
      <w:r>
        <w:rPr>
          <w:rFonts w:cs="Times New Roman" w:ascii="Times New Roman" w:hAnsi="Times New Roman"/>
          <w:color w:val="000000" w:themeColor="text1"/>
        </w:rPr>
      </w:r>
      <w:r>
        <w:rPr>
          <w:rFonts w:cs="Times New Roman" w:ascii="Times New Roman" w:hAnsi="Times New Roman"/>
          <w:b/>
          <w:i/>
          <w:color w:val="000000" w:themeColor="text1"/>
        </w:rPr>
        <w:t>(24)</w:t>
      </w:r>
      <w:r>
        <w:rPr>
          <w:rFonts w:cs="Times New Roman" w:ascii="Times New Roman" w:hAnsi="Times New Roman"/>
          <w:color w:val="000000" w:themeColor="text1"/>
        </w:rPr>
      </w:r>
      <w:r>
        <w:fldChar w:fldCharType="end"/>
      </w:r>
      <w:bookmarkEnd w:id="30"/>
      <w:r>
        <w:rPr>
          <w:rFonts w:cs="Times New Roman" w:ascii="Times New Roman" w:hAnsi="Times New Roman"/>
          <w:color w:val="000000" w:themeColor="text1"/>
        </w:rPr>
        <w:t>.</w:t>
      </w:r>
      <w:r>
        <w:rPr>
          <w:rFonts w:cs="Times New Roman" w:ascii="Times New Roman" w:hAnsi="Times New Roman"/>
          <w:color w:val="FF0000"/>
        </w:rPr>
        <w:t xml:space="preserve"> </w:t>
      </w:r>
      <w:r>
        <w:rPr>
          <w:rFonts w:cs="Times New Roman" w:ascii="Times New Roman" w:hAnsi="Times New Roman"/>
        </w:rPr>
        <w:t xml:space="preserve">among the most popular open-source MD packages are AMBER </w:t>
      </w:r>
      <w:r>
        <w:fldChar w:fldCharType="begin"/>
      </w:r>
      <w:r>
        <w:instrText>ADDIN CSL_CITATION { "citationItems" : [ { "id" : "ITEM-1", "itemData" : { "DOI" : "10.1002/jcc.20290", "ISSN" : "0192-8651", "PMID" : "16200636", "abstract" : "We describe the development, current features, and some directions for future development of the Amber package of computer programs. This package evolved from a program that was constructed in the late 1970s to do Assisted Model Building with Energy Refinement, and now contains a group of programs embodying a number of powerful tools of modern computational chemistry, focused on molecular dynamics and free energy calculations of proteins, nucleic acids, and carbohydrates.", "author" : [ { "dropping-particle" : "", "family" : "Case", "given" : "David A", "non-dropping-particle" : "", "parse-names" : false, "suffix" : "" }, { "dropping-particle" : "", "family" : "Cheatham", "given" : "Thomas E", "non-dropping-particle" : "", "parse-names" : false, "suffix" : "" }, { "dropping-particle" : "", "family" : "Darden", "given" : "Tom", "non-dropping-particle" : "", "parse-names" : false, "suffix" : "" }, { "dropping-particle" : "", "family" : "Gohlke", "given" : "Holger", "non-dropping-particle" : "", "parse-names" : false, "suffix" : "" }, { "dropping-particle" : "", "family" : "Luo", "given" : "Ray", "non-dropping-particle" : "", "parse-names" : false, "suffix" : "" }, { "dropping-particle" : "", "family" : "Merz", "given" : "Kenneth M", "non-dropping-particle" : "", "parse-names" : false, "suffix" : "" }, { "dropping-particle" : "", "family" : "Onufriev", "given" : "Alexey", "non-dropping-particle" : "", "parse-names" : false, "suffix" : "" }, { "dropping-particle" : "", "family" : "Simmerling", "given" : "Carlos", "non-dropping-particle" : "", "parse-names" : false, "suffix" : "" }, { "dropping-particle" : "", "family" : "Wang", "given" : "Bing", "non-dropping-particle" : "", "parse-names" : false, "suffix" : "" }, { "dropping-particle" : "", "family" : "Woods", "given" : "Robert J", "non-dropping-particle" : "", "parse-names" : false, "suffix" : "" } ], "container-title" : "Journal of computational chemistry", "id" : "ITEM-1", "issue" : "16", "issued" : { "date-parts" : [ [ "2005", "12" ] ] }, "page" : "1668-88", "title" : "The Amber biomolecular simulation programs.", "type" : "article-journal", "volume" : "26" }, "uris" : [ "http://www.mendeley.com/documents/?uuid=a6d89b63-8595-42d9-85a6-2e8d60093360" ] } ], "mendeley" : { "formattedCitation" : "&lt;b&gt;&lt;i&gt;(26)&lt;/i&gt;&lt;/b&gt;", "plainTextFormattedCitation" : "(26)", "previouslyFormattedCitation" : "&lt;b&gt;&lt;i&gt;(26)&lt;/i&gt;&lt;/b&gt;" }, "properties" : { "noteIndex" : 0 }, "schema" : "https://github.com/citation-style-language/schema/raw/master/csl-citation.json" }</w:instrText>
      </w:r>
      <w:r>
        <w:fldChar w:fldCharType="separate"/>
      </w:r>
      <w:bookmarkStart w:id="31" w:name="__Fieldmark__675_1847998653"/>
      <w:r>
        <w:rPr>
          <w:rFonts w:cs="Times New Roman" w:ascii="Times New Roman" w:hAnsi="Times New Roman"/>
        </w:rPr>
      </w:r>
      <w:r>
        <w:rPr>
          <w:rFonts w:cs="Times New Roman" w:ascii="Times New Roman" w:hAnsi="Times New Roman"/>
          <w:b/>
          <w:i/>
        </w:rPr>
        <w:t>(26)</w:t>
      </w:r>
      <w:r>
        <w:rPr>
          <w:rFonts w:cs="Times New Roman" w:ascii="Times New Roman" w:hAnsi="Times New Roman"/>
        </w:rPr>
      </w:r>
      <w:r>
        <w:fldChar w:fldCharType="end"/>
      </w:r>
      <w:bookmarkEnd w:id="31"/>
      <w:r>
        <w:rPr>
          <w:rFonts w:cs="Times New Roman" w:ascii="Times New Roman" w:hAnsi="Times New Roman"/>
        </w:rPr>
        <w:t xml:space="preserve">, GROMACS </w:t>
      </w:r>
      <w:r>
        <w:fldChar w:fldCharType="begin"/>
      </w:r>
      <w:r>
        <w:instrText>ADDIN CSL_CITATION { "citationItems" : [ { "id" : "ITEM-1", "itemData" : { "DOI" : "10.1093/bioinformatics/btt055", "ISSN" : "1367-4811", "PMID" : "23407358", "abstract" : "MOTIVATION: Molecular simulation has historically been a low-throughput technique, but faster computers and increasing amounts of genomic and structural data are changing this by enabling large-scale automated simulation of, for instance, many conformers or mutants of biomolecules with or without a range of ligands. At the same time, advances in performance and scaling now make it possible to model complex biomolecular interaction and function in a manner directly testable by experiment. These applications share a need for fast and efficient software that can be deployed on massive scale in clusters, web servers, distributed computing or cloud resources. RESULTS: Here, we present a range of new simulation algorithms and features developed during the past 4 years, leading up to the GROMACS 4.5 software package. The software now automatically handles wide classes of biomolecules, such as proteins, nucleic acids and lipids, and comes with all commonly used force fields for these molecules built-in. GROMACS supports several implicit solvent models, as well as new free-energy algorithms, and the software now uses multithreading for efficient parallelization even on low-end systems, including windows-based workstations. Together with hand-tuned assembly kernels and state-of-the-art parallelization, this provides extremely high performance and cost efficiency for high-throughput as well as massively parallel simulations. AVAILABILITY: GROMACS is an open source and free software available from http://www.gromacs.org. SUPPLEMENTARY INFORMATION: Supplementary data are available at Bioinformatics online.", "author" : [ { "dropping-particle" : "", "family" : "Pronk", "given" : "Sander", "non-dropping-particle" : "", "parse-names" : false, "suffix" : "" }, { "dropping-particle" : "", "family" : "P\u00e1ll", "given" : "Szil\u00e1rd", "non-dropping-particle" : "", "parse-names" : false, "suffix" : "" }, { "dropping-particle" : "", "family" : "Schulz", "given" : "Roland", "non-dropping-particle" : "", "parse-names" : false, "suffix" : "" }, { "dropping-particle" : "", "family" : "Larsson", "given" : "Per", "non-dropping-particle" : "", "parse-names" : false, "suffix" : "" }, { "dropping-particle" : "", "family" : "Bjelkmar", "given" : "P\u00e4r", "non-dropping-particle" : "", "parse-names" : false, "suffix" : "" }, { "dropping-particle" : "", "family" : "Apostolov", "given" : "Rossen", "non-dropping-particle" : "", "parse-names" : false, "suffix" : "" }, { "dropping-particle" : "", "family" : "Shirts", "given" : "Michael R", "non-dropping-particle" : "", "parse-names" : false, "suffix" : "" }, { "dropping-particle" : "", "family" : "Smith", "given" : "Jeremy C", "non-dropping-particle" : "", "parse-names" : false, "suffix" : "" }, { "dropping-particle" : "", "family" : "Kasson", "given" : "Peter M", "non-dropping-particle" : "", "parse-names" : false, "suffix" : "" }, { "dropping-particle" : "", "family" : "Spoel", "given" : "David", "non-dropping-particle" : "van der", "parse-names" : false, "suffix" : "" }, { "dropping-particle" : "", "family" : "Hess", "given" : "Berk", "non-dropping-particle" : "", "parse-names" : false, "suffix" : "" }, { "dropping-particle" : "", "family" : "Lindahl", "given" : "Erik", "non-dropping-particle" : "", "parse-names" : false, "suffix" : "" } ], "container-title" : "Bioinformatics (Oxford, England)", "id" : "ITEM-1", "issue" : "7", "issued" : { "date-parts" : [ [ "2013", "4", "1" ] ] }, "page" : "845-854", "title" : "GROMACS 4.5: a high-throughput and highly parallel open source molecular simulation toolkit.", "type" : "article-journal", "volume" : "29" }, "uris" : [ "http://www.mendeley.com/documents/?uuid=d291db9e-b787-4117-8314-920c2d6eb696" ] } ], "mendeley" : { "formattedCitation" : "&lt;b&gt;&lt;i&gt;(25)&lt;/i&gt;&lt;/b&gt;", "plainTextFormattedCitation" : "(25)", "previouslyFormattedCitation" : "&lt;b&gt;&lt;i&gt;(25)&lt;/i&gt;&lt;/b&gt;" }, "properties" : { "noteIndex" : 0 }, "schema" : "https://github.com/citation-style-language/schema/raw/master/csl-citation.json" }</w:instrText>
      </w:r>
      <w:r>
        <w:fldChar w:fldCharType="separate"/>
      </w:r>
      <w:bookmarkStart w:id="32" w:name="__Fieldmark__680_1847998653"/>
      <w:r>
        <w:rPr>
          <w:rFonts w:cs="Times New Roman" w:ascii="Times New Roman" w:hAnsi="Times New Roman"/>
        </w:rPr>
      </w:r>
      <w:r>
        <w:rPr>
          <w:rFonts w:cs="Times New Roman" w:ascii="Times New Roman" w:hAnsi="Times New Roman"/>
          <w:b/>
          <w:i/>
        </w:rPr>
        <w:t>(25)</w:t>
      </w:r>
      <w:r>
        <w:rPr>
          <w:rFonts w:cs="Times New Roman" w:ascii="Times New Roman" w:hAnsi="Times New Roman"/>
        </w:rPr>
      </w:r>
      <w:r>
        <w:fldChar w:fldCharType="end"/>
      </w:r>
      <w:bookmarkEnd w:id="32"/>
      <w:r>
        <w:rPr>
          <w:rFonts w:cs="Times New Roman" w:ascii="Times New Roman" w:hAnsi="Times New Roman"/>
        </w:rPr>
        <w:t xml:space="preserve"> and NAMD </w:t>
      </w:r>
      <w:r>
        <w:fldChar w:fldCharType="begin"/>
      </w:r>
      <w:r>
        <w:instrText>ADDIN CSL_CITATION { "citationItems" : [ { "id" : "ITEM-1", "itemData" : { "DOI" : "10.1002/jcc.20289", "ISBN" : "0192-8651", "ISSN" : "01928651", "PMID" : "16222654", "abstract" : "NAMD is a parallel molecular dynamics code designed for high-performance simulation of large biomolecular systems. NAMD scales to hundreds of processors on high-end parallel platforms, as well as tens of processors on low-cost commodity clusters, and also runs on individual desktop and laptop computers. NAMD works with AMBER and CHARMM potential functions, parameters, and file formats. This article, directed to novices as well as experts, first introduces concepts and methods used in the NAMD program, describing the classical molecular dynamics force field, equations of motion, and integration methods along with the efficient electrostatics evaluation algorithms employed and temperature and pressure controls used. Features for steering the simulation across barriers and for calculating both alchemical and conformational free energy differences are presented. The motivations for and a roadmap to the internal design of NAMD, implemented in C++ and based on Charm++ parallel objects, are outlined. The factors affecting the serial and parallel performance of a simulation are discussed. Finally, typical NAMD use is illustrated with representative applications to a small, a medium, and a large biomolecular system, highlighting particular features of NAMD, for example, the Tcl scripting language. The article also provides a list of the key features of NAMD and discusses the benefits of combining NAMD with the molecular graphics/sequence analysis software VMD and the grid computing/collaboratory software BioCoRE. NAMD is distributed free of charge with source code at www.ks.uiuc.edu.", "author" : [ { "dropping-particle" : "", "family" : "Phillips", "given" : "James C.", "non-dropping-particle" : "", "parse-names" : false, "suffix" : "" }, { "dropping-particle" : "", "family" : "Braun", "given" : "Rosemary", "non-dropping-particle" : "", "parse-names" : false, "suffix" : "" }, { "dropping-particle" : "", "family" : "Wang", "given" : "Wei", "non-dropping-particle" : "", "parse-names" : false, "suffix" : "" }, { "dropping-particle" : "", "family" : "Gumbart", "given" : "James", "non-dropping-particle" : "", "parse-names" : false, "suffix" : "" }, { "dropping-particle" : "", "family" : "Tajkhorshid", "given" : "Emad", "non-dropping-particle" : "", "parse-names" : false, "suffix" : "" }, { "dropping-particle" : "", "family" : "Villa", "given" : "Elizabeth", "non-dropping-particle" : "", "parse-names" : false, "suffix" : "" }, { "dropping-particle" : "", "family" : "Chipot", "given" : "Christophe", "non-dropping-particle" : "", "parse-names" : false, "suffix" : "" }, { "dropping-particle" : "", "family" : "Skeel", "given" : "Robert D.", "non-dropping-particle" : "", "parse-names" : false, "suffix" : "" }, { "dropping-particle" : "", "family" : "Kal\u00e9", "given" : "Laxmikant", "non-dropping-particle" : "", "parse-names" : false, "suffix" : "" }, { "dropping-particle" : "", "family" : "Schulten", "given" : "Klaus", "non-dropping-particle" : "", "parse-names" : false, "suffix" : "" } ], "container-title" : "Journal of Computational Chemistry", "id" : "ITEM-1", "issue" : "16", "issued" : { "date-parts" : [ [ "2005" ] ] }, "page" : "1781-1802", "title" : "Scalable molecular dynamics with NAMD", "type" : "article-journal", "volume" : "26" }, "uris" : [ "http://www.mendeley.com/documents/?uuid=593331dd-c6bf-495a-a62b-6a7d2aab206d" ] } ], "mendeley" : { "formattedCitation" : "&lt;b&gt;&lt;i&gt;(27)&lt;/i&gt;&lt;/b&gt;", "plainTextFormattedCitation" : "(27)", "previouslyFormattedCitation" : "&lt;b&gt;&lt;i&gt;(27)&lt;/i&gt;&lt;/b&gt;" }, "properties" : { "noteIndex" : 0 }, "schema" : "https://github.com/citation-style-language/schema/raw/master/csl-citation.json" }</w:instrText>
      </w:r>
      <w:r>
        <w:fldChar w:fldCharType="separate"/>
      </w:r>
      <w:bookmarkStart w:id="33" w:name="__Fieldmark__686_1847998653"/>
      <w:r>
        <w:rPr>
          <w:rFonts w:cs="Times New Roman" w:ascii="Times New Roman" w:hAnsi="Times New Roman"/>
        </w:rPr>
      </w:r>
      <w:r>
        <w:rPr>
          <w:rFonts w:cs="Times New Roman" w:ascii="Times New Roman" w:hAnsi="Times New Roman"/>
          <w:b/>
          <w:i/>
        </w:rPr>
        <w:t>(27)</w:t>
      </w:r>
      <w:r>
        <w:rPr>
          <w:rFonts w:cs="Times New Roman" w:ascii="Times New Roman" w:hAnsi="Times New Roman"/>
        </w:rPr>
      </w:r>
      <w:r>
        <w:fldChar w:fldCharType="end"/>
      </w:r>
      <w:bookmarkEnd w:id="33"/>
      <w:r>
        <w:rPr>
          <w:rFonts w:cs="Times New Roman" w:ascii="Times New Roman" w:hAnsi="Times New Roman"/>
          <w:color w:val="000000" w:themeColor="text1"/>
        </w:rPr>
        <w:t xml:space="preserve">. A choice of forcefields is also available; most commonly users must choose between the AMBER suite of forcefields </w:t>
      </w:r>
      <w:r>
        <w:fldChar w:fldCharType="begin"/>
      </w:r>
      <w:r>
        <w:instrText>ADDIN CSL_CITATION { "citationItems" : [ { "id" : "ITEM-1", "itemData" : { "DOI" : "10.1529/biophysj.106.097782", "ISSN" : "0006-3495", "PMID" : "17351000", "abstract" : "We present here the parmbsc0 force field, a refinement of the AMBER parm99 force field, where emphasis has been made on the correct representation of the alpha/gamma concerted rotation in nucleic acids (NAs). The modified force field corrects overpopulations of the alpha/gamma = (g+,t) backbone that were seen in long (more than 10 ns) simulations with previous AMBER parameter sets (parm94-99). The force field has been derived by fitting to high-level quantum mechanical data and verified by comparison with very high-level quantum mechanical calculations and by a very extensive comparison between simulations and experimental data. The set of validation simulations includes two of the longest trajectories published to date for the DNA duplex (200 ns each) and the largest variety of NA structures studied to date (15 different NA families and 97 individual structures). The total simulation time used to validate the force field includes near 1 mus of state-of-the-art molecular dynamics simulations in aqueous solution.", "author" : [ { "dropping-particle" : "", "family" : "P\u00e9rez", "given" : "Alberto", "non-dropping-particle" : "", "parse-names" : false, "suffix" : "" }, { "dropping-particle" : "", "family" : "March\u00e1n", "given" : "Iv\u00e1n", "non-dropping-particle" : "", "parse-names" : false, "suffix" : "" }, { "dropping-particle" : "", "family" : "Svozil", "given" : "Daniel", "non-dropping-particle" : "", "parse-names" : false, "suffix" : "" }, { "dropping-particle" : "", "family" : "Sponer", "given" : "Jiri", "non-dropping-particle" : "", "parse-names" : false, "suffix" : "" }, { "dropping-particle" : "", "family" : "Cheatham", "given" : "Thomas E", "non-dropping-particle" : "", "parse-names" : false, "suffix" : "" }, { "dropping-particle" : "", "family" : "Laughton", "given" : "Charles A", "non-dropping-particle" : "", "parse-names" : false, "suffix" : "" }, { "dropping-particle" : "", "family" : "Orozco", "given" : "Modesto", "non-dropping-particle" : "", "parse-names" : false, "suffix" : "" } ], "container-title" : "Biophysical journal", "id" : "ITEM-1", "issue" : "11", "issued" : { "date-parts" : [ [ "2007", "6", "1" ] ] }, "page" : "3817-3829", "title" : "Refinement of the AMBER force field for nucleic acids: improving the description of alpha/gamma conformers.", "type" : "article-journal", "volume" : "92" }, "uris" : [ "http://www.mendeley.com/documents/?uuid=18af751a-191a-40fa-a6d1-430ece6e5479" ] }, { "id" : "ITEM-2", "itemData" : { "author" : [ { "dropping-particle" : "", "family" : "Krepl", "given" : "Miroslav", "non-dropping-particle" : "", "parse-names" : false, "suffix" : "" }, { "dropping-particle" : "", "family" : "Zgarbov\u00e1", "given" : "Marie", "non-dropping-particle" : "", "parse-names" : false, "suffix" : "" }, { "dropping-particle" : "", "family" : "Stadlbauer", "given" : "Petr", "non-dropping-particle" : "", "parse-names" : false, "suffix" : "" }, { "dropping-particle" : "", "family" : "Otyepka", "given" : "Michal", "non-dropping-particle" : "", "parse-names" : false, "suffix" : "" }, { "dropping-particle" : "", "family" : "Bana\u0301s\u030c", "given" : "Pavel", "non-dropping-particle" : "", "parse-names" : false, "suffix" : "" }, { "dropping-particle" : "", "family" : "Koc\u030ca", "given" : "Jaroslav", "non-dropping-particle" : "", "parse-names" : false, "suffix" : "" }, { "dropping-particle" : "", "family" : "Cheatham III", "given" : "Thomas E.", "non-dropping-particle" : "", "parse-names" : false, "suffix" : "" }, { "dropping-particle" : "", "family" : "Jurec\u030cka", "given" : "Petr", "non-dropping-particle" : "", "parse-names" : false, "suffix" : "" }, { "dropping-particle" : "", "family" : "Sponer", "given" : "Jir\u00ed", "non-dropping-particle" : "", "parse-names" : false, "suffix" : "" } ], "container-title" : "Journal of Chemical Theory and Computation", "id" : "ITEM-2", "issued" : { "date-parts" : [ [ "2012" ] ] }, "page" : "2506-2520", "title" : "Reference simulations of noncanonical nucleic acids with different \u03c7 variants of the AMBER forcefield: quadruplex DNA, quadruplex RNA, and Z-DNA", "type" : "article-journal", "volume" : "8" }, "uris" : [ "http://www.mendeley.com/documents/?uuid=ffc8d6a6-683c-42a1-bfec-953623ac97ce" ] }, { "id" : "ITEM-3", "itemData" : { "author" : [ { "dropping-particle" : "", "family" : "Zgarbova", "given" : "Marie", "non-dropping-particle" : "", "parse-names" : false, "suffix" : "" }, { "dropping-particle" : "", "family" : "Luque", "given" : "F Javier", "non-dropping-particle" : "", "parse-names" : false, "suffix" : "" }, { "dropping-particle" : "", "family" : "Jir", "given" : "S", "non-dropping-particle" : "", "parse-names" : false, "suffix" : "" }, { "dropping-particle" : "", "family" : "Cheatham", "given" : "Thomas E", "non-dropping-particle" : "", "parse-names" : false, "suffix" : "" }, { "dropping-particle" : "", "family" : "Otyepka", "given" : "Michal", "non-dropping-particle" : "", "parse-names" : false, "suffix" : "" }, { "dropping-particle" : "", "family" : "Jurec", "given" : "Petr", "non-dropping-particle" : "", "parse-names" : false, "suffix" : "" } ], "container-title" : "Journal of Chemical Theory and Computation", "id" : "ITEM-3", "issued" : { "date-parts" : [ [ "2013" ] ] }, "page" : "2339-2354", "title" : "Toward Improved Description of DNA Backbone: Revisiting Epsilon and Zeta Torsion Force Field Parameters", "type" : "article-journal", "volume" : "9" }, "uris" : [ "http://www.mendeley.com/documents/?uuid=b978d007-c89f-460c-a517-6bffa16e7f25" ] } ], "mendeley" : { "formattedCitation" : "&lt;b&gt;&lt;i&gt;(28\u201330)&lt;/i&gt;&lt;/b&gt;", "plainTextFormattedCitation" : "(28\u201330)", "previouslyFormattedCitation" : "&lt;b&gt;&lt;i&gt;(28\u201330)&lt;/i&gt;&lt;/b&gt;" }, "properties" : { "noteIndex" : 0 }, "schema" : "https://github.com/citation-style-language/schema/raw/master/csl-citation.json" }</w:instrText>
      </w:r>
      <w:r>
        <w:fldChar w:fldCharType="separate"/>
      </w:r>
      <w:bookmarkStart w:id="34" w:name="__Fieldmark__695_1847998653"/>
      <w:r>
        <w:rPr>
          <w:rFonts w:cs="Times New Roman" w:ascii="Times New Roman" w:hAnsi="Times New Roman"/>
          <w:color w:val="000000" w:themeColor="text1"/>
        </w:rPr>
      </w:r>
      <w:r>
        <w:rPr>
          <w:rFonts w:cs="Times New Roman" w:ascii="Times New Roman" w:hAnsi="Times New Roman"/>
          <w:b/>
          <w:i/>
          <w:color w:val="000000" w:themeColor="text1"/>
        </w:rPr>
        <w:t>(28–30)</w:t>
      </w:r>
      <w:r>
        <w:rPr>
          <w:rFonts w:cs="Times New Roman" w:ascii="Times New Roman" w:hAnsi="Times New Roman"/>
          <w:color w:val="000000" w:themeColor="text1"/>
        </w:rPr>
      </w:r>
      <w:r>
        <w:fldChar w:fldCharType="end"/>
      </w:r>
      <w:bookmarkEnd w:id="34"/>
      <w:r>
        <w:rPr>
          <w:rFonts w:cs="Times New Roman" w:ascii="Times New Roman" w:hAnsi="Times New Roman"/>
          <w:color w:val="000000" w:themeColor="text1"/>
        </w:rPr>
        <w:t xml:space="preserve"> and those provided by the CHARMM community </w:t>
      </w:r>
      <w:r>
        <w:fldChar w:fldCharType="begin"/>
      </w:r>
      <w:r>
        <w:instrText>ADDIN CSL_CITATION { "citationItems" : [ { "id" : "ITEM-1", "itemData" : { "DOI" : "10.1002/jcc", "ISBN" : "1096-987X", "ISSN" : "1096-987X", "PMID" : "20928852", "author" : [ { "dropping-particle" : "", "family" : "Vanommeslaeghe", "given" : "K", "non-dropping-particle" : "", "parse-names" : false, "suffix" : "" }, { "dropping-particle" : "", "family" : "Hatcher", "given" : "E", "non-dropping-particle" : "", "parse-names" : false, "suffix" : "" }, { "dropping-particle" : "", "family" : "Acharya", "given" : "C", "non-dropping-particle" : "", "parse-names" : false, "suffix" : "" }, { "dropping-particle" : "", "family" : "Kundu", "given" : "S", "non-dropping-particle" : "", "parse-names" : false, "suffix" : "" }, { "dropping-particle" : "", "family" : "Zhong", "given" : "S", "non-dropping-particle" : "", "parse-names" : false, "suffix" : "" }, { "dropping-particle" : "", "family" : "Shim", "given" : "J", "non-dropping-particle" : "", "parse-names" : false, "suffix" : "" }, { "dropping-particle" : "", "family" : "Darian", "given" : "E", "non-dropping-particle" : "", "parse-names" : false, "suffix" : "" }, { "dropping-particle" : "", "family" : "Guvench", "given" : "O", "non-dropping-particle" : "", "parse-names" : false, "suffix" : "" }, { "dropping-particle" : "", "family" : "Lopes", "given" : "P", "non-dropping-particle" : "", "parse-names" : false, "suffix" : "" }, { "dropping-particle" : "", "family" : "Vorobyov", "given" : "I", "non-dropping-particle" : "", "parse-names" : false, "suffix" : "" }, { "dropping-particle" : "", "family" : "Mackerrell Jr.", "given" : "A D", "non-dropping-particle" : "", "parse-names" : false, "suffix" : "" } ], "container-title" : "Journal of computational chemistry", "id" : "ITEM-1", "issue" : "4", "issued" : { "date-parts" : [ [ "2009" ] ] }, "page" : "671-690", "title" : "CHARMM General Force Field: A force field for drug-like molecules compatible with the CHARMM all-atom additive biological force fields", "type" : "article-journal", "volume" : "31" }, "uris" : [ "http://www.mendeley.com/documents/?uuid=29fa34f9-0b57-465b-a462-c895c960b5f6" ] } ], "mendeley" : { "formattedCitation" : "&lt;b&gt;&lt;i&gt;(31)&lt;/i&gt;&lt;/b&gt;", "plainTextFormattedCitation" : "(31)", "previouslyFormattedCitation" : "&lt;b&gt;&lt;i&gt;(31)&lt;/i&gt;&lt;/b&gt;" }, "properties" : { "noteIndex" : 0 }, "schema" : "https://github.com/citation-style-language/schema/raw/master/csl-citation.json" }</w:instrText>
      </w:r>
      <w:r>
        <w:fldChar w:fldCharType="separate"/>
      </w:r>
      <w:bookmarkStart w:id="35" w:name="__Fieldmark__700_1847998653"/>
      <w:r>
        <w:rPr>
          <w:rFonts w:cs="Times New Roman" w:ascii="Times New Roman" w:hAnsi="Times New Roman"/>
          <w:color w:val="000000" w:themeColor="text1"/>
        </w:rPr>
      </w:r>
      <w:r>
        <w:rPr>
          <w:rFonts w:cs="Times New Roman" w:ascii="Times New Roman" w:hAnsi="Times New Roman"/>
          <w:b/>
          <w:i/>
          <w:color w:val="000000" w:themeColor="text1"/>
        </w:rPr>
        <w:t>(31)</w:t>
      </w:r>
      <w:r>
        <w:rPr>
          <w:rFonts w:cs="Times New Roman" w:ascii="Times New Roman" w:hAnsi="Times New Roman"/>
          <w:color w:val="000000" w:themeColor="text1"/>
        </w:rPr>
      </w:r>
      <w:r>
        <w:fldChar w:fldCharType="end"/>
      </w:r>
      <w:bookmarkEnd w:id="35"/>
      <w:r>
        <w:rPr>
          <w:rFonts w:cs="Times New Roman" w:ascii="Times New Roman" w:hAnsi="Times New Roman"/>
          <w:color w:val="000000" w:themeColor="text1"/>
        </w:rPr>
        <w:t xml:space="preserve">. The parmbsc0 AMBER forcefield has become the default parameterisation due to its capacity to produce stable MD simulations of DNA duplexes at the microsecond time scale </w:t>
      </w:r>
      <w:r>
        <w:fldChar w:fldCharType="begin"/>
      </w:r>
      <w:r>
        <w:instrText>ADDIN CSL_CITATION { "citationItems" : [ { "id" : "ITEM-1", "itemData" : { "DOI" : "10.1021/ja0753546", "ISSN" : "1520-5126", "PMID" : "17985896", "abstract" : "We present the first microsecond MD simulation of B-DNA. Trajectory shows good agreement with available data and clarifies the mus dynamics of DNA. The duplex is sampling the B-conformation, but many relevant local transitions are found, including S --&gt; N repuckers (up to 7 N-sugars are found simultaneously), local BII transitions (15% of the dinucleotides are in BII-form; some of these forms are stable for up to 7 ns), and sequence-dependent alpha/gamma transitions (happening in the 7-50 ns time scale, and being stable for up to 80 ns). Partial and total openings are often detected, but no base flipping is found. A.T openings happen after amplification of propeller twist movements, while G.C pairs (which can be opened for up to 1 ns) are opened by a complex mechanism which is often catalyzed by cations. A high affinity Na+ binding site is found in the center of the minor groove. Access to this site by cations is difficult (average entry time 400 ns), but once inside, the ion remains for long periods of time (10-15 ns), producing a sizable narrowing of the minor groove. The essential dynamics of DNA fits well with the pattern of deformation needed to (i) sample uncommon right-handed forms and (ii) sample conformations adopted by DNA when bound to proteins. Clearly, DNA has evolved to be not only a stable structure able to maintain and transmit the genetic information but also a flexible entity whose intrinsic pattern of deformability matches its functional needs.", "author" : [ { "dropping-particle" : "", "family" : "P\u00e9rez", "given" : "Alberto", "non-dropping-particle" : "", "parse-names" : false, "suffix" : "" }, { "dropping-particle" : "", "family" : "Luque", "given" : "F Javier", "non-dropping-particle" : "", "parse-names" : false, "suffix" : "" }, { "dropping-particle" : "", "family" : "Orozco", "given" : "Modesto", "non-dropping-particle" : "", "parse-names" : false, "suffix" : "" } ], "container-title" : "Journal of the American Chemical Society", "id" : "ITEM-1", "issue" : "47", "issued" : { "date-parts" : [ [ "2007", "11", "28" ] ] }, "page" : "14739-45", "title" : "Dynamics of B-DNA on the microsecond time scale.", "type" : "article-journal", "volume" : "129" }, "uris" : [ "http://www.mendeley.com/documents/?uuid=eb592a09-13bb-4d3b-a4ab-60b3989358c6" ] } ], "mendeley" : { "formattedCitation" : "&lt;b&gt;&lt;i&gt;(32)&lt;/i&gt;&lt;/b&gt;", "plainTextFormattedCitation" : "(32)", "previouslyFormattedCitation" : "&lt;b&gt;&lt;i&gt;(32)&lt;/i&gt;&lt;/b&gt;" }, "properties" : { "noteIndex" : 0 }, "schema" : "https://github.com/citation-style-language/schema/raw/master/csl-citation.json" }</w:instrText>
      </w:r>
      <w:r>
        <w:fldChar w:fldCharType="separate"/>
      </w:r>
      <w:bookmarkStart w:id="36" w:name="__Fieldmark__711_1847998653"/>
      <w:r>
        <w:rPr>
          <w:rFonts w:cs="Times New Roman" w:ascii="Times New Roman" w:hAnsi="Times New Roman"/>
          <w:color w:val="000000" w:themeColor="text1"/>
        </w:rPr>
      </w:r>
      <w:r>
        <w:rPr>
          <w:rFonts w:cs="Times New Roman" w:ascii="Times New Roman" w:hAnsi="Times New Roman"/>
          <w:b/>
          <w:i/>
          <w:color w:val="000000" w:themeColor="text1"/>
        </w:rPr>
        <w:t>(32)</w:t>
      </w:r>
      <w:r>
        <w:rPr>
          <w:rFonts w:cs="Times New Roman" w:ascii="Times New Roman" w:hAnsi="Times New Roman"/>
          <w:color w:val="000000" w:themeColor="text1"/>
        </w:rPr>
      </w:r>
      <w:r>
        <w:fldChar w:fldCharType="end"/>
      </w:r>
      <w:bookmarkEnd w:id="36"/>
      <w:r>
        <w:rPr>
          <w:rFonts w:cs="Times New Roman" w:ascii="Times New Roman" w:hAnsi="Times New Roman"/>
          <w:color w:val="000000" w:themeColor="text1"/>
        </w:rPr>
        <w:t xml:space="preserve"> and to describe a variety of non-canonical DNA structures; for minicircles using a subsequent refinement of the gamma torsion parameter from DNA backbone</w:t>
      </w:r>
      <w:r>
        <w:rPr>
          <w:rFonts w:cs="Times New Roman" w:ascii="Times New Roman" w:hAnsi="Times New Roman"/>
          <w:color w:val="000000" w:themeColor="text1"/>
          <w:szCs w:val="24"/>
        </w:rPr>
        <w:t xml:space="preserve"> </w:t>
      </w:r>
      <w:r>
        <w:fldChar w:fldCharType="begin"/>
      </w:r>
      <w:r>
        <w:instrText>ADDIN CSL_CITATION { "citationItems" : [ { "id" : "ITEM-1", "itemData" : { "author" : [ { "dropping-particle" : "", "family" : "Krepl", "given" : "Miroslav", "non-dropping-particle" : "", "parse-names" : false, "suffix" : "" }, { "dropping-particle" : "", "family" : "Zgarbov\u00e1", "given" : "Marie", "non-dropping-particle" : "", "parse-names" : false, "suffix" : "" }, { "dropping-particle" : "", "family" : "Stadlbauer", "given" : "Petr", "non-dropping-particle" : "", "parse-names" : false, "suffix" : "" }, { "dropping-particle" : "", "family" : "Otyepka", "given" : "Michal", "non-dropping-particle" : "", "parse-names" : false, "suffix" : "" }, { "dropping-particle" : "", "family" : "Bana\u0301s\u030c", "given" : "Pavel", "non-dropping-particle" : "", "parse-names" : false, "suffix" : "" }, { "dropping-particle" : "", "family" : "Koc\u030ca", "given" : "Jaroslav", "non-dropping-particle" : "", "parse-names" : false, "suffix" : "" }, { "dropping-particle" : "", "family" : "Cheatham III", "given" : "Thomas E.", "non-dropping-particle" : "", "parse-names" : false, "suffix" : "" }, { "dropping-particle" : "", "family" : "Jurec\u030cka", "given" : "Petr", "non-dropping-particle" : "", "parse-names" : false, "suffix" : "" }, { "dropping-particle" : "", "family" : "Sponer", "given" : "Jir\u00ed", "non-dropping-particle" : "", "parse-names" : false, "suffix" : "" } ], "container-title" : "Journal of Chemical Theory and Computation", "id" : "ITEM-1", "issued" : { "date-parts" : [ [ "2012" ] ] }, "page" : "2506-2520", "title" : "Reference simulations of noncanonical nucleic acids with different \u03c7 variants of the AMBER forcefield: quadruplex DNA, quadruplex RNA, and Z-DNA", "type" : "article-journal", "volume" : "8" }, "uris" : [ "http://www.mendeley.com/documents/?uuid=ffc8d6a6-683c-42a1-bfec-953623ac97ce" ] } ], "mendeley" : { "formattedCitation" : "&lt;b&gt;&lt;i&gt;(29)&lt;/i&gt;&lt;/b&gt;", "plainTextFormattedCitation" : "(29)", "previouslyFormattedCitation" : "&lt;b&gt;&lt;i&gt;(29)&lt;/i&gt;&lt;/b&gt;" }, "properties" : { "noteIndex" : 0 }, "schema" : "https://github.com/citation-style-language/schema/raw/master/csl-citation.json" }</w:instrText>
      </w:r>
      <w:r>
        <w:fldChar w:fldCharType="separate"/>
      </w:r>
      <w:bookmarkStart w:id="37" w:name="__Fieldmark__723_1847998653"/>
      <w:r>
        <w:rPr>
          <w:rFonts w:cs="Times New Roman" w:ascii="Times New Roman" w:hAnsi="Times New Roman"/>
          <w:color w:val="000000" w:themeColor="text1"/>
          <w:szCs w:val="24"/>
        </w:rPr>
      </w:r>
      <w:r>
        <w:rPr>
          <w:rFonts w:cs="Times New Roman" w:ascii="Times New Roman" w:hAnsi="Times New Roman"/>
          <w:b/>
          <w:i/>
          <w:color w:val="000000" w:themeColor="text1"/>
          <w:szCs w:val="24"/>
        </w:rPr>
        <w:t>(29)</w:t>
      </w:r>
      <w:r>
        <w:rPr>
          <w:rFonts w:cs="Times New Roman" w:ascii="Times New Roman" w:hAnsi="Times New Roman"/>
          <w:color w:val="000000" w:themeColor="text1"/>
          <w:szCs w:val="24"/>
        </w:rPr>
      </w:r>
      <w:r>
        <w:fldChar w:fldCharType="end"/>
      </w:r>
      <w:bookmarkEnd w:id="37"/>
      <w:r>
        <w:rPr>
          <w:rFonts w:cs="Times New Roman" w:ascii="Times New Roman" w:hAnsi="Times New Roman"/>
          <w:color w:val="000000" w:themeColor="text1"/>
        </w:rPr>
        <w:t xml:space="preserve"> allows a better description of severe distortions of the DNA duplex caused by strong mechanical stress</w:t>
      </w:r>
      <w:r>
        <w:rPr>
          <w:rFonts w:eastAsia="Arial Unicode MS" w:cs="Arial Unicode MS" w:ascii="Times New Roman" w:hAnsi="Times New Roman"/>
          <w:color w:val="2E2E2E"/>
          <w:szCs w:val="24"/>
          <w:shd w:fill="FFFFFF" w:val="clear"/>
        </w:rPr>
        <w:t xml:space="preserve">. </w:t>
      </w:r>
      <w:r>
        <w:rPr>
          <w:rFonts w:eastAsia="Arial Unicode MS" w:cs="Times New Roman" w:ascii="Times New Roman" w:hAnsi="Times New Roman"/>
          <w:color w:val="000000" w:themeColor="text1"/>
          <w:szCs w:val="24"/>
          <w:shd w:fill="FFFFFF" w:val="clear"/>
        </w:rPr>
        <w:t>In parallel</w:t>
      </w:r>
      <w:r>
        <w:rPr>
          <w:rFonts w:cs="Times New Roman" w:ascii="Times New Roman" w:hAnsi="Times New Roman"/>
          <w:color w:val="000000" w:themeColor="text1"/>
        </w:rPr>
        <w:t xml:space="preserve">, CHARMM also provides good descriptions of DNA structure and dynamics </w:t>
      </w:r>
      <w:r>
        <w:fldChar w:fldCharType="begin"/>
      </w:r>
      <w:r>
        <w:instrText>ADDIN CSL_CITATION { "citationItems" : [ { "id" : "ITEM-1", "itemData" : { "DOI" : "10.1021/ct200723y", "ISBN" : "1549-9618 (Print)\\r1549-9618 (Linking)", "ISSN" : "15499618", "PMID" : "22368531", "abstract" : "The B-form of DNA can populate two different backbone conformations: BI and BII, defined by the difference between the torsion angles epsilon and zeta (BI = epsilon-zeta &lt; 0 and BII = epsilon-zeta &gt; 0). BI is the most populated state, but the population of the BII state, which is sequence dependent, is significant and accumulating evidence shows that BII affects the overall structure of DNA, and thus influences protein-DNA recognition. This work presents a reparametrization of the CHARMM27 additive nucleic acid force field to increase the sampling of the BII form in MD simulations of DNA. In addition, minor modifications of sugar puckering were introduced to facilitate sampling of the A form of DNA under the appropriate environmental conditions. Parameter optimization was guided by quantum mechanical data on model compounds, followed by calculations on several DNA duplexes in the condensed phase. The selected optimized parameters were then validated against a number of DNA duplexes, with the most extensive tests performed on the EcoRI dodecamer, including comparative calculations using the Amber Parm99bsc0 force field. The new CHARMM model better reproduces experimentally observed sampling of the BII conformation, including sampling as a function of sequence. In addition, the model reproduces the A form of the 1ZF1 duplex in 75 % ethanol, and yields a stable Z-DNA conformation of duplex (GTACGTAC) in its crystal environment. The resulting model, in combination with a recent reoptimization of the CHARMM27 force field for RNA, will be referred to as CHARMM36.", "author" : [ { "dropping-particle" : "", "family" : "Hart", "given" : "Katarina", "non-dropping-particle" : "", "parse-names" : false, "suffix" : "" }, { "dropping-particle" : "", "family" : "Foloppe", "given" : "Nicolas", "non-dropping-particle" : "", "parse-names" : false, "suffix" : "" }, { "dropping-particle" : "", "family" : "Baker", "given" : "Christopher M.", "non-dropping-particle" : "", "parse-names" : false, "suffix" : "" }, { "dropping-particle" : "", "family" : "Denning", "given" : "Elizabeth J.", "non-dropping-particle" : "", "parse-names" : false, "suffix" : "" }, { "dropping-particle" : "", "family" : "Nilsson", "given" : "Lennart", "non-dropping-particle" : "", "parse-names" : false, "suffix" : "" }, { "dropping-particle" : "", "family" : "MacKerell", "given" : "Alexander D.", "non-dropping-particle" : "", "parse-names" : false, "suffix" : "" } ], "container-title" : "Journal of Chemical Theory and Computation", "id" : "ITEM-1", "issue" : "1", "issued" : { "date-parts" : [ [ "2012" ] ] }, "page" : "348-362", "title" : "Optimization of the CHARMM additive force field for DNA: Improved treatment of the BI/BII conformational equilibrium", "type" : "article-journal", "volume" : "8" }, "uris" : [ "http://www.mendeley.com/documents/?uuid=f56da068-32c8-4360-9780-767e2833bae4" ] } ], "mendeley" : { "formattedCitation" : "&lt;b&gt;&lt;i&gt;(33)&lt;/i&gt;&lt;/b&gt;", "plainTextFormattedCitation" : "(33)", "previouslyFormattedCitation" : "&lt;b&gt;&lt;i&gt;(33)&lt;/i&gt;&lt;/b&gt;" }, "properties" : { "noteIndex" : 0 }, "schema" : "https://github.com/citation-style-language/schema/raw/master/csl-citation.json" }</w:instrText>
      </w:r>
      <w:r>
        <w:fldChar w:fldCharType="separate"/>
      </w:r>
      <w:bookmarkStart w:id="38" w:name="__Fieldmark__731_1847998653"/>
      <w:r>
        <w:rPr>
          <w:rFonts w:cs="Times New Roman" w:ascii="Times New Roman" w:hAnsi="Times New Roman"/>
          <w:color w:val="000000" w:themeColor="text1"/>
        </w:rPr>
      </w:r>
      <w:r>
        <w:rPr>
          <w:rFonts w:cs="Times New Roman" w:ascii="Times New Roman" w:hAnsi="Times New Roman"/>
          <w:b/>
          <w:i/>
          <w:color w:val="000000" w:themeColor="text1"/>
        </w:rPr>
        <w:t>(33)</w:t>
      </w:r>
      <w:r>
        <w:rPr>
          <w:rFonts w:cs="Times New Roman" w:ascii="Times New Roman" w:hAnsi="Times New Roman"/>
          <w:color w:val="000000" w:themeColor="text1"/>
        </w:rPr>
      </w:r>
      <w:r>
        <w:fldChar w:fldCharType="end"/>
      </w:r>
      <w:bookmarkEnd w:id="38"/>
      <w:r>
        <w:rPr>
          <w:rFonts w:cs="Times New Roman" w:ascii="Times New Roman" w:hAnsi="Times New Roman"/>
          <w:color w:val="000000" w:themeColor="text1"/>
        </w:rPr>
        <w:t xml:space="preserve"> and has performed better for nanotechnology applications, such as, DNA origami </w:t>
      </w:r>
      <w:r>
        <w:fldChar w:fldCharType="begin"/>
      </w:r>
      <w:r>
        <w:instrText>ADDIN CSL_CITATION { "citationItems" : [ { "id" : "ITEM-1", "itemData" : { "DOI" : "10.1073/pnas.1316521110", "ISBN" : "0027-8424", "ISSN" : "1091-6490", "PMID" : "24277840", "abstract" : "The DNA origami method permits folding of long single-stranded DNA into complex 3D structures with subnanometer precision. Transmission electron microscopy, atomic force microscopy, and recently cryo-EM tomography have been used to characterize the properties of such DNA origami objects, however their microscopic structures and dynamics have remained unknown. Here, we report the results of all-atom molecular dynamics simulations that characterized the structural and mechanical properties of DNA origami objects in unprecedented microscopic detail. When simulated in an aqueous environment, the structures of DNA origami objects depart from their idealized targets as a result of steric, electrostatic, and solvent-mediated forces. Whereas the global structural features of such relaxed conformations conform to the target designs, local deformations are abundant and vary in magnitude along the structures. In contrast to their free-solution conformation, the Holliday junctions in the DNA origami structures adopt a left-handed antiparallel conformation. We find the DNA origami structures undergo considerable temporal fluctuations on both local and global scales. Analysis of such structural fluctuations reveals the local mechanical properties of the DNA origami objects. The lattice type of the structures considerably affects global mechanical properties such as bending rigidity. Our study demonstrates the potential of all-atom molecular dynamics simulations to play a considerable role in future development of the DNA origami field by providing accurate, quantitative assessment of local and global structural and mechanical properties of DNA origami objects.", "author" : [ { "dropping-particle" : "", "family" : "Yoo", "given" : "Jejoong", "non-dropping-particle" : "", "parse-names" : false, "suffix" : "" }, { "dropping-particle" : "", "family" : "Aksimentiev", "given" : "Aleksei", "non-dropping-particle" : "", "parse-names" : false, "suffix" : "" } ], "container-title" : "Proceedings of the National Academy of Sciences of the United States of America", "id" : "ITEM-1", "issue" : "50", "issued" : { "date-parts" : [ [ "2013" ] ] }, "page" : "20099-104", "title" : "In situ structure and dynamics of DNA origami determined through molecular dynamics simulations.", "type" : "article-journal", "volume" : "110" }, "uris" : [ "http://www.mendeley.com/documents/?uuid=963fbd59-820e-4190-95f9-c76e5b59b453" ] } ], "mendeley" : { "formattedCitation" : "&lt;b&gt;&lt;i&gt;(34)&lt;/i&gt;&lt;/b&gt;", "plainTextFormattedCitation" : "(34)", "previouslyFormattedCitation" : "&lt;b&gt;&lt;i&gt;(34)&lt;/i&gt;&lt;/b&gt;" }, "properties" : { "noteIndex" : 0 }, "schema" : "https://github.com/citation-style-language/schema/raw/master/csl-citation.json" }</w:instrText>
      </w:r>
      <w:r>
        <w:fldChar w:fldCharType="separate"/>
      </w:r>
      <w:bookmarkStart w:id="39" w:name="__Fieldmark__736_1847998653"/>
      <w:r>
        <w:rPr>
          <w:rFonts w:cs="Times New Roman" w:ascii="Times New Roman" w:hAnsi="Times New Roman"/>
          <w:color w:val="000000" w:themeColor="text1"/>
        </w:rPr>
      </w:r>
      <w:r>
        <w:rPr>
          <w:rFonts w:cs="Times New Roman" w:ascii="Times New Roman" w:hAnsi="Times New Roman"/>
          <w:b/>
          <w:i/>
          <w:color w:val="000000" w:themeColor="text1"/>
        </w:rPr>
        <w:t>(34)</w:t>
      </w:r>
      <w:r>
        <w:rPr>
          <w:rFonts w:cs="Times New Roman" w:ascii="Times New Roman" w:hAnsi="Times New Roman"/>
          <w:color w:val="000000" w:themeColor="text1"/>
        </w:rPr>
      </w:r>
      <w:r>
        <w:fldChar w:fldCharType="end"/>
      </w:r>
      <w:bookmarkEnd w:id="39"/>
      <w:r>
        <w:rPr>
          <w:rFonts w:cs="Times New Roman" w:ascii="Times New Roman" w:hAnsi="Times New Roman"/>
          <w:color w:val="000000" w:themeColor="text1"/>
        </w:rPr>
        <w:t>. Although further testing is required in simulating circular DNA, t</w:t>
      </w:r>
      <w:r>
        <w:rPr>
          <w:rFonts w:eastAsia="Arial Unicode MS" w:cs="Arial Unicode MS" w:ascii="Times New Roman" w:hAnsi="Times New Roman"/>
          <w:color w:val="2E2E2E"/>
          <w:szCs w:val="24"/>
          <w:shd w:fill="FFFFFF" w:val="clear"/>
        </w:rPr>
        <w:t>he most convenient parameter combination we have found so far is the AMBER parm99+bsc0+</w:t>
      </w:r>
      <w:r>
        <w:rPr>
          <w:rFonts w:eastAsia="Arial Unicode MS" w:cs="Arial Unicode MS" w:ascii="Symbol" w:hAnsi="Symbol"/>
          <w:color w:val="2E2E2E"/>
          <w:sz w:val="20"/>
          <w:shd w:fill="FFFFFF" w:val="clear"/>
        </w:rPr>
        <w:t></w:t>
      </w:r>
      <w:r>
        <w:rPr>
          <w:rFonts w:eastAsia="Arial Unicode MS" w:cs="Times New Roman" w:ascii="Times New Roman" w:hAnsi="Times New Roman"/>
          <w:color w:val="000000" w:themeColor="text1"/>
          <w:szCs w:val="24"/>
          <w:shd w:fill="FFFFFF" w:val="clear"/>
          <w:vertAlign w:val="subscript"/>
        </w:rPr>
        <w:t>OL4</w:t>
      </w:r>
      <w:r>
        <w:rPr>
          <w:rFonts w:eastAsia="Arial Unicode MS" w:cs="Times New Roman" w:ascii="Times New Roman" w:hAnsi="Times New Roman"/>
          <w:color w:val="000000" w:themeColor="text1"/>
          <w:szCs w:val="24"/>
          <w:shd w:fill="FFFFFF" w:val="clear"/>
        </w:rPr>
        <w:t xml:space="preserve"> forcefield sets.</w:t>
      </w:r>
      <w:r>
        <w:rPr>
          <w:rFonts w:eastAsia="Arial Unicode MS" w:cs="Times New Roman" w:ascii="Times New Roman" w:hAnsi="Times New Roman"/>
          <w:color w:val="000000" w:themeColor="text1"/>
          <w:szCs w:val="24"/>
          <w:shd w:fill="FFFFFF" w:val="clear"/>
          <w:vertAlign w:val="subscript"/>
        </w:rPr>
        <w:t>.</w:t>
      </w:r>
    </w:p>
    <w:p>
      <w:pPr>
        <w:pStyle w:val="Normal"/>
        <w:spacing w:lineRule="auto" w:line="360"/>
        <w:jc w:val="both"/>
        <w:rPr>
          <w:rFonts w:ascii="Times New Roman" w:hAnsi="Times New Roman" w:cs="Times New Roman"/>
          <w:color w:val="000000" w:themeColor="text1"/>
        </w:rPr>
      </w:pPr>
      <w:r>
        <w:rPr>
          <w:rFonts w:cs="Times New Roman" w:ascii="Times New Roman" w:hAnsi="Times New Roman"/>
          <w:color w:val="000000" w:themeColor="text1"/>
        </w:rPr>
      </w:r>
    </w:p>
    <w:p>
      <w:pPr>
        <w:pStyle w:val="Normal"/>
        <w:spacing w:lineRule="auto" w:line="360"/>
        <w:jc w:val="both"/>
        <w:rPr>
          <w:rFonts w:ascii="Times New Roman" w:hAnsi="Times New Roman" w:cs="Times New Roman"/>
          <w:color w:val="000000" w:themeColor="text1"/>
        </w:rPr>
      </w:pPr>
      <w:r>
        <w:rPr>
          <w:rFonts w:cs="Times New Roman" w:ascii="Times New Roman" w:hAnsi="Times New Roman"/>
          <w:b/>
          <w:color w:val="000000" w:themeColor="text1"/>
        </w:rPr>
        <w:t xml:space="preserve">Comparison of DNA Minicircle Simulations with Experiments: </w:t>
      </w:r>
      <w:r>
        <w:rPr>
          <w:rFonts w:cs="Times New Roman" w:ascii="Times New Roman" w:hAnsi="Times New Roman"/>
          <w:color w:val="000000" w:themeColor="text1"/>
        </w:rPr>
        <w:t>While MD simulations are invaluable for the study of DNA minicircles because they are the only method capable of providing atomistically detailed information, it is always desirable to validate computer models against experiment wherever possible. For DNA minicircles, this can be achieved by comparing the results of the simulations with low resolution structural studies and biochemical analysis.</w:t>
      </w:r>
    </w:p>
    <w:p>
      <w:pPr>
        <w:pStyle w:val="Normal"/>
        <w:spacing w:lineRule="auto" w:line="360"/>
        <w:jc w:val="both"/>
        <w:rPr/>
      </w:pPr>
      <w:r>
        <w:rPr>
          <w:rFonts w:cs="Times New Roman" w:ascii="Times New Roman" w:hAnsi="Times New Roman"/>
          <w:color w:val="000000" w:themeColor="text1"/>
        </w:rPr>
        <w:t xml:space="preserve">One opportunity for validating the models arises because extreme bending and torsional stress can drive the DNA structures beyond their elastic regime, resulting in the formation of non-canonical DNA structures such as kinks and denaturation bubbles </w:t>
      </w:r>
      <w:r>
        <w:fldChar w:fldCharType="begin"/>
      </w:r>
      <w:r>
        <w:instrText>ADDIN CSL_CITATION { "citationItems" : [ { "id" : "ITEM-1", "itemData" : { "author" : [ { "dropping-particle" : "", "family" : "Crick", "given" : "F. H. C.", "non-dropping-particle" : "", "parse-names" : false, "suffix" : "" }, { "dropping-particle" : "", "family" : "Klug", "given" : "A.", "non-dropping-particle" : "", "parse-names" : false, "suffix" : "" } ], "container-title" : "Nature", "id" : "ITEM-1", "issue" : "12", "issued" : { "date-parts" : [ [ "1975" ] ] }, "page" : "530-533", "title" : "Kinky Helix", "type" : "article-journal", "volume" : "255" }, "uris" : [ "http://www.mendeley.com/documents/?uuid=dae6e9bb-1097-43ef-a691-4537664786ff" ] }, { "id" : "ITEM-2", "itemData" : { "author" : [ { "dropping-particle" : "", "family" : "Drew", "given" : "Horace R", "non-dropping-particle" : "", "parse-names" : false, "suffix" : "" }, { "dropping-particle" : "", "family" : "Weeks", "given" : "John R", "non-dropping-particle" : "", "parse-names" : false, "suffix" : "" }, { "dropping-particle" : "", "family" : "Travers", "given" : "Andrew A", "non-dropping-particle" : "", "parse-names" : false, "suffix" : "" } ], "container-title" : "EMBO Journal", "id" : "ITEM-2", "issue" : "4", "issued" : { "date-parts" : [ [ "1985" ] ] }, "page" : "1025 -1032", "title" : "Negative supercoiling induces spontaneous unwinding of a bacterial promoter", "type" : "article-journal", "volume" : "4" }, "uris" : [ "http://www.mendeley.com/documents/?uuid=c916bdd5-183f-4a1c-9b3b-f10525d7cdcf" ] } ], "mendeley" : { "formattedCitation" : "&lt;b&gt;&lt;i&gt;(5, 35)&lt;/i&gt;&lt;/b&gt;", "plainTextFormattedCitation" : "(5, 35)", "previouslyFormattedCitation" : "&lt;b&gt;&lt;i&gt;(5, 35)&lt;/i&gt;&lt;/b&gt;" }, "properties" : { "noteIndex" : 0 }, "schema" : "https://github.com/citation-style-language/schema/raw/master/csl-citation.json" }</w:instrText>
      </w:r>
      <w:r>
        <w:fldChar w:fldCharType="separate"/>
      </w:r>
      <w:bookmarkStart w:id="40" w:name="__Fieldmark__769_1847998653"/>
      <w:r>
        <w:rPr>
          <w:rFonts w:cs="Times New Roman" w:ascii="Times New Roman" w:hAnsi="Times New Roman"/>
          <w:color w:val="000000" w:themeColor="text1"/>
        </w:rPr>
      </w:r>
      <w:r>
        <w:rPr>
          <w:rFonts w:cs="Times New Roman" w:ascii="Times New Roman" w:hAnsi="Times New Roman"/>
          <w:b/>
          <w:i/>
          <w:color w:val="000000" w:themeColor="text1"/>
        </w:rPr>
        <w:t>(5, 35)</w:t>
      </w:r>
      <w:r>
        <w:rPr>
          <w:rFonts w:cs="Times New Roman" w:ascii="Times New Roman" w:hAnsi="Times New Roman"/>
          <w:color w:val="000000" w:themeColor="text1"/>
        </w:rPr>
      </w:r>
      <w:r>
        <w:fldChar w:fldCharType="end"/>
      </w:r>
      <w:bookmarkEnd w:id="40"/>
      <w:r>
        <w:rPr>
          <w:rFonts w:cs="Times New Roman" w:ascii="Times New Roman" w:hAnsi="Times New Roman"/>
          <w:color w:val="000000" w:themeColor="text1"/>
        </w:rPr>
        <w:t xml:space="preserve"> which can be detected biochemically using nuclease enzymes such as BAL-31 and S1 </w:t>
      </w:r>
      <w:r>
        <w:fldChar w:fldCharType="begin"/>
      </w:r>
      <w:r>
        <w:instrText>ADDIN CSL_CITATION { "citationItems" : [ { "id" : "ITEM-1", "itemData" : { "DOI" : "10.1093/nar/gkm1125", "ISSN" : "1362-4962", "PMID" : "18096619", "abstract" : "DNA bending and torsional deformations that often occur during its functioning inside the cell can cause local disruptions of the regular helical structure. The disruptions created by negative torsional stress have been studied in detail, but those caused by bending stress have only been analyzed theoretically. By probing the structure of very small DNA circles, we determined that bending stress disrupts the regular helical structure when the radius of DNA curvature is smaller than 3.5 nm. First, we developed an efficient method to obtain covalently closed DNA minicircles. To detect structural disruptions in the minicircles we treated them by single-strand-specific endonucleases. The data showed that the regular DNA structure is disrupted by bending deformation in the 64-65-bp minicircles, but not in the 85-86-bp minicircles. Our results suggest that strong DNA bending initiates kink formation while preserving base pairing.", "author" : [ { "dropping-particle" : "", "family" : "Du", "given" : "Quan", "non-dropping-particle" : "", "parse-names" : false, "suffix" : "" }, { "dropping-particle" : "", "family" : "Kotlyar", "given" : "Alexander", "non-dropping-particle" : "", "parse-names" : false, "suffix" : "" }, { "dropping-particle" : "", "family" : "Vologodskii", "given" : "Alexander", "non-dropping-particle" : "", "parse-names" : false, "suffix" : "" } ], "container-title" : "Nucleic Acids Research", "id" : "ITEM-1", "issue" : "4", "issued" : { "date-parts" : [ [ "2008", "3" ] ] }, "page" : "1120-1128", "title" : "Kinking the double helix by bending deformation", "type" : "article-journal", "volume" : "36" }, "uris" : [ "http://www.mendeley.com/documents/?uuid=51efb936-9e39-40b9-b5af-9da8e94c837e" ] } ], "mendeley" : { "formattedCitation" : "&lt;b&gt;&lt;i&gt;(12)&lt;/i&gt;&lt;/b&gt;", "plainTextFormattedCitation" : "(12)", "previouslyFormattedCitation" : "&lt;b&gt;&lt;i&gt;(12)&lt;/i&gt;&lt;/b&gt;" }, "properties" : { "noteIndex" : 0 }, "schema" : "https://github.com/citation-style-language/schema/raw/master/csl-citation.json" }</w:instrText>
      </w:r>
      <w:r>
        <w:fldChar w:fldCharType="separate"/>
      </w:r>
      <w:bookmarkStart w:id="41" w:name="__Fieldmark__776_1847998653"/>
      <w:r>
        <w:rPr>
          <w:rFonts w:cs="Times New Roman" w:ascii="Times New Roman" w:hAnsi="Times New Roman"/>
          <w:color w:val="000000" w:themeColor="text1"/>
        </w:rPr>
      </w:r>
      <w:r>
        <w:rPr>
          <w:rFonts w:cs="Times New Roman" w:ascii="Times New Roman" w:hAnsi="Times New Roman"/>
          <w:b/>
          <w:i/>
          <w:color w:val="000000" w:themeColor="text1"/>
        </w:rPr>
        <w:t>(12)</w:t>
      </w:r>
      <w:r>
        <w:rPr>
          <w:rFonts w:cs="Times New Roman" w:ascii="Times New Roman" w:hAnsi="Times New Roman"/>
          <w:color w:val="000000" w:themeColor="text1"/>
        </w:rPr>
      </w:r>
      <w:r>
        <w:fldChar w:fldCharType="end"/>
      </w:r>
      <w:bookmarkEnd w:id="41"/>
      <w:r>
        <w:rPr>
          <w:rFonts w:cs="Times New Roman" w:ascii="Times New Roman" w:hAnsi="Times New Roman"/>
          <w:color w:val="000000" w:themeColor="text1"/>
        </w:rPr>
        <w:t xml:space="preserve"> which digest single stranded DNA. DNA defects were firstly observed in minicircle simulations at the atomistic level by Lankas </w:t>
      </w:r>
      <w:r>
        <w:rPr>
          <w:rFonts w:cs="Times New Roman" w:ascii="Times New Roman" w:hAnsi="Times New Roman"/>
          <w:i/>
          <w:color w:val="000000" w:themeColor="text1"/>
        </w:rPr>
        <w:t xml:space="preserve">et al </w:t>
      </w:r>
      <w:r>
        <w:fldChar w:fldCharType="begin"/>
      </w:r>
      <w:r>
        <w:instrText>ADDIN CSL_CITATION { "citationItems" : [ { "id" : "ITEM-1", "itemData" : { "DOI" : "10.1016/j.str.2006.08.004", "ISSN" : "0969-2126", "PMID" : "17027501", "abstract" : "Recent experiments on minicircle formation suggest that a conformational mechanism other than smooth deformation may be playing a role in enhancing DNA flexibility. Both local base unpairing and kink formation have been suggested as possible explanations. Although kinks within isolated DNA were proposed 30 years ago, they have, until now, only been observed within DNA complexed with proteins. In order to test how DNA behaves in the strong bending regime, we have carried out molecular dynamics simulations of a 94 base pair minicircle in explicit solvent with two different linking numbers, corresponding to a torsionally relaxed state and a positively supercoiled state. The simulations suggest that sharp kinks can indeed arise in small minicircles. The relaxed minicircle is generally associated with a single kink, while two kinks occur with the supercoiled state. No evidence is seen of base unpaired regions.", "author" : [ { "dropping-particle" : "", "family" : "Lankas", "given" : "Filip", "non-dropping-particle" : "", "parse-names" : false, "suffix" : "" }, { "dropping-particle" : "", "family" : "Lavery", "given" : "Richard", "non-dropping-particle" : "", "parse-names" : false, "suffix" : "" }, { "dropping-particle" : "", "family" : "Maddocks", "given" : "John H", "non-dropping-particle" : "", "parse-names" : false, "suffix" : "" } ], "container-title" : "Structure (London, England : 1993)", "id" : "ITEM-1", "issue" : "10", "issued" : { "date-parts" : [ [ "2006", "10" ] ] }, "page" : "1527-1534", "title" : "Kinking occurs during molecular dynamics simulations of small DNA minicircles.", "type" : "article-journal", "volume" : "14" }, "uris" : [ "http://www.mendeley.com/documents/?uuid=5c0c3382-730e-4ef6-875f-c3f21d4abcd4" ] } ], "mendeley" : { "formattedCitation" : "&lt;b&gt;&lt;i&gt;(36)&lt;/i&gt;&lt;/b&gt;", "plainTextFormattedCitation" : "(36)", "previouslyFormattedCitation" : "&lt;b&gt;&lt;i&gt;(36)&lt;/i&gt;&lt;/b&gt;" }, "properties" : { "noteIndex" : 0 }, "schema" : "https://github.com/citation-style-language/schema/raw/master/csl-citation.json" }</w:instrText>
      </w:r>
      <w:r>
        <w:fldChar w:fldCharType="separate"/>
      </w:r>
      <w:bookmarkStart w:id="42" w:name="__Fieldmark__793_1847998653"/>
      <w:r>
        <w:rPr>
          <w:rFonts w:cs="Times New Roman" w:ascii="Times New Roman" w:hAnsi="Times New Roman"/>
          <w:i/>
          <w:color w:val="000000" w:themeColor="text1"/>
        </w:rPr>
      </w:r>
      <w:r>
        <w:rPr>
          <w:rFonts w:cs="Times New Roman" w:ascii="Times New Roman" w:hAnsi="Times New Roman"/>
          <w:b/>
          <w:i/>
          <w:color w:val="000000" w:themeColor="text1"/>
        </w:rPr>
        <w:t>(36)</w:t>
      </w:r>
      <w:r>
        <w:rPr>
          <w:rFonts w:cs="Times New Roman" w:ascii="Times New Roman" w:hAnsi="Times New Roman"/>
          <w:i/>
          <w:color w:val="000000" w:themeColor="text1"/>
        </w:rPr>
      </w:r>
      <w:r>
        <w:fldChar w:fldCharType="end"/>
      </w:r>
      <w:bookmarkEnd w:id="42"/>
      <w:r>
        <w:rPr>
          <w:rFonts w:cs="Times New Roman" w:ascii="Times New Roman" w:hAnsi="Times New Roman"/>
          <w:color w:val="000000" w:themeColor="text1"/>
        </w:rPr>
        <w:t xml:space="preserve">, who reported that bending and torsional stress can give rise to type I kinks, in which the base stacking interactions are disrupted but all complementary hydrogen bonding interactions remain intact, and type II kinks, in which hydrogen bonding is disrupted. Subsequent simulations that explored higher superhelical densities also observed denaturation bubbles in which longer stretched of DNA melted into single stranded regions </w:t>
      </w:r>
      <w:r>
        <w:fldChar w:fldCharType="begin"/>
      </w:r>
      <w:r>
        <w:instrText>ADDIN CSL_CITATION { "citationItems" : [ { "id" : "ITEM-1", "itemData" : { "DOI" : "10.1093/nar/gkm891", "ISSN" : "1362-4962", "PMID" : "17984075", "abstract" : "We have investigated the effects of duplex length, sequence, salt concentration and superhelical density on the conformation of DNA nanocircles containing up to 178 base pairs using atomistic molecular dynamics simulation. These calculations reveal that the partitioning of twist and writhe is governed by a delicate balance of competing energetic terms. We have identified conditions which favour circular, positively or negatively writhed and denatured DNA conformations. Our simulations show that AT-rich DNA is more prone to denaturation when subjected to torsional stress than the corresponding GC containing circles. In contrast to the behaviour expected for a simple elastic rod, there is a distinct asymmetry in the behaviour of over and under-wound DNA nanocircles. The most biologically relevant negatively writhed state is more elusive than the corresponding positively writhed conformation, and is only observed for larger circles under conditions of high electrostatic screening. The simulation results have been summarised by plotting a phase diagram describing the various conformational states of nanocircles over the range of circle sizes and experimental conditions explored during the study. The changes in DNA structure that accompany supercoiling suggest a number of mechanisms whereby changes in DNA topology in vivo might be used to influence gene expression.", "author" : [ { "dropping-particle" : "", "family" : "Harris", "given" : "Sarah A", "non-dropping-particle" : "", "parse-names" : false, "suffix" : "" }, { "dropping-particle" : "", "family" : "Laughton", "given" : "Charles A", "non-dropping-particle" : "", "parse-names" : false, "suffix" : "" }, { "dropping-particle" : "", "family" : "Liverpool", "given" : "Tanniemola B", "non-dropping-particle" : "", "parse-names" : false, "suffix" : "" } ], "container-title" : "Nucleic acids research", "id" : "ITEM-1", "issue" : "1", "issued" : { "date-parts" : [ [ "2008", "1" ] ] }, "page" : "21-29", "title" : "Mapping the phase diagram of the writhe of DNA nanocircles using atomistic molecular dynamics simulations.", "type" : "article-journal", "volume" : "36" }, "uris" : [ "http://www.mendeley.com/documents/?uuid=21103c92-508a-423a-9f67-788578b875a5" ] }, { "id" : "ITEM-2", "itemData" : { "DOI" : "10.1093/nar/gkq1312", "ISSN" : "1362-4962", "PMID" : "21247872", "abstract" : "Although DNA is frequently bent and supercoiled in the cell, much of the available information on DNA structure at the atomistic level is restricted to short linear sequences. We report atomistic molecular dynamics (MD) simulations of a series of DNA minicircles containing between 65 and 110 bp which we compare with a recent biochemical study of structural distortions in these tight DNA loops. We have observed a wealth of non-canonical DNA structures such as kinks, denaturation bubbles and wrinkled conformations that form in response to bending and torsional stress. The simulations show that bending alone is sufficient to induce the formation of kinks in circles containing only 65 bp, but we did not observe any defects in simulations of larger torsionally relaxed circles containing 110 bp over the same MD timescales. We also observed that under-winding in minicircles ranging in size from 65 to 110 bp leads to the formation of single stranded bubbles and wrinkles. These calculations are used to assess the ability of atomistic MD simulations to determine the structure of bent and supercoiled DNA.", "author" : [ { "dropping-particle" : "", "family" : "Mitchell", "given" : "J. S.", "non-dropping-particle" : "", "parse-names" : false, "suffix" : "" }, { "dropping-particle" : "", "family" : "Laughton", "given" : "C. A.", "non-dropping-particle" : "", "parse-names" : false, "suffix" : "" }, { "dropping-particle" : "", "family" : "Harris", "given" : "Sarah A.", "non-dropping-particle" : "", "parse-names" : false, "suffix" : "" } ], "container-title" : "Nucleic Acids Research", "id" : "ITEM-2", "issue" : "9", "issued" : { "date-parts" : [ [ "2011", "5" ] ] }, "page" : "3928-3938", "title" : "Atomistic simulations reveal bubbles, kinks and wrinkles in supercoiled DNA", "type" : "article-journal", "volume" : "39" }, "uris" : [ "http://www.mendeley.com/documents/?uuid=83f9349d-d536-4ecf-9a99-889bc991a054" ] } ], "mendeley" : { "formattedCitation" : "&lt;b&gt;&lt;i&gt;(21, 22)&lt;/i&gt;&lt;/b&gt;", "plainTextFormattedCitation" : "(21, 22)", "previouslyFormattedCitation" : "&lt;b&gt;&lt;i&gt;(21, 22)&lt;/i&gt;&lt;/b&gt;" }, "properties" : { "noteIndex" : 0 }, "schema" : "https://github.com/citation-style-language/schema/raw/master/csl-citation.json" }</w:instrText>
      </w:r>
      <w:r>
        <w:fldChar w:fldCharType="separate"/>
      </w:r>
      <w:bookmarkStart w:id="43" w:name="__Fieldmark__801_1847998653"/>
      <w:r>
        <w:rPr>
          <w:rFonts w:cs="Times New Roman" w:ascii="Times New Roman" w:hAnsi="Times New Roman"/>
          <w:color w:val="000000" w:themeColor="text1"/>
        </w:rPr>
      </w:r>
      <w:r>
        <w:rPr>
          <w:rFonts w:cs="Times New Roman" w:ascii="Times New Roman" w:hAnsi="Times New Roman"/>
          <w:b/>
          <w:i/>
          <w:color w:val="000000" w:themeColor="text1"/>
        </w:rPr>
        <w:t>(21, 22)</w:t>
      </w:r>
      <w:r>
        <w:rPr>
          <w:rFonts w:cs="Times New Roman" w:ascii="Times New Roman" w:hAnsi="Times New Roman"/>
          <w:color w:val="000000" w:themeColor="text1"/>
        </w:rPr>
      </w:r>
      <w:r>
        <w:fldChar w:fldCharType="end"/>
      </w:r>
      <w:bookmarkEnd w:id="43"/>
      <w:r>
        <w:rPr>
          <w:rFonts w:cs="Times New Roman" w:ascii="Times New Roman" w:hAnsi="Times New Roman"/>
          <w:color w:val="000000" w:themeColor="text1"/>
        </w:rPr>
        <w:t xml:space="preserve">. Examples of defects in DNA due to bending and superhelical stress are shown in </w:t>
      </w:r>
      <w:r>
        <w:rPr>
          <w:rFonts w:cs="Times New Roman" w:ascii="Times New Roman" w:hAnsi="Times New Roman"/>
          <w:b/>
          <w:color w:val="000000" w:themeColor="text1"/>
        </w:rPr>
        <w:t>Fig. 2c</w:t>
      </w:r>
      <w:r>
        <w:rPr>
          <w:rFonts w:cs="Times New Roman" w:ascii="Times New Roman" w:hAnsi="Times New Roman"/>
          <w:color w:val="000000" w:themeColor="text1"/>
        </w:rPr>
        <w:t xml:space="preserve">.  </w:t>
      </w:r>
    </w:p>
    <w:p>
      <w:pPr>
        <w:pStyle w:val="Normal"/>
        <w:spacing w:lineRule="auto" w:line="360"/>
        <w:jc w:val="both"/>
        <w:rPr/>
      </w:pPr>
      <w:r>
        <w:rPr>
          <w:rFonts w:cs="Times New Roman" w:ascii="Times New Roman" w:hAnsi="Times New Roman"/>
          <w:color w:val="000000" w:themeColor="text1"/>
        </w:rPr>
        <w:t xml:space="preserve">Direct visualisation of minicircles in the size range of 100-400 base pairs has also been achieved with cryo-EM </w:t>
      </w:r>
      <w:r>
        <w:fldChar w:fldCharType="begin"/>
      </w:r>
      <w:r>
        <w:instrText>ADDIN CSL_CITATION { "citationItems" : [ { "id" : "ITEM-1", "itemData" : { "DOI" : "10.1093/nar/gkr666", "ISSN" : "1362-4962", "PMID" : "21917856", "abstract" : "In cells, DNA is routinely subjected to significant levels of bending and twisting. In some cases, such as under physiological levels of supercoiling, DNA can be so highly strained, that it transitions into non-canonical structural conformations that are capable of relieving mechanical stress within the template. DNA minicircles offer a robust model system to study stress-induced DNA structures. Using DNA minicircles on the order of 100 bp in size, we have been able to control the bending and torsional stresses within a looped DNA construct. Through a combination of cryo-EM image reconstructions, Bal31 sensitivity assays and Brownian dynamics simulations, we have been able to analyze the effects of biologically relevant underwinding-induced kinks in DNA on the overall shape of DNA minicircles. Our results indicate that strongly underwound DNA minicircles, which mimic the physical behavior of small regulatory DNA loops, minimize their free energy by undergoing sequential, cooperative kinking at two sites that are located about 180\u00b0 apart along the periphery of the minicircle. This novel form of structural cooperativity in DNA demonstrates that bending strain can localize hyperflexible kinks within the DNA template, which in turn reduces the energetic cost to tightly loop DNA.", "author" : [ { "dropping-particle" : "", "family" : "Lionberger", "given" : "Troy A", "non-dropping-particle" : "", "parse-names" : false, "suffix" : "" }, { "dropping-particle" : "", "family" : "Demurtas", "given" : "Davide", "non-dropping-particle" : "", "parse-names" : false, "suffix" : "" }, { "dropping-particle" : "", "family" : "Witz", "given" : "Guillaume", "non-dropping-particle" : "", "parse-names" : false, "suffix" : "" }, { "dropping-particle" : "", "family" : "Dorier", "given" : "Julien", "non-dropping-particle" : "", "parse-names" : false, "suffix" : "" }, { "dropping-particle" : "", "family" : "Lillian", "given" : "Todd", "non-dropping-particle" : "", "parse-names" : false, "suffix" : "" }, { "dropping-particle" : "", "family" : "Meyh\u00f6fer", "given" : "Edgar", "non-dropping-particle" : "", "parse-names" : false, "suffix" : "" }, { "dropping-particle" : "", "family" : "Stasiak", "given" : "Andrzej", "non-dropping-particle" : "", "parse-names" : false, "suffix" : "" } ], "container-title" : "Nucleic acids research", "id" : "ITEM-1", "issue" : "22", "issued" : { "date-parts" : [ [ "2011", "12" ] ] }, "page" : "9820-9832", "title" : "Cooperative kinking at distant sites in mechanically stressed DNA.", "type" : "article-journal", "volume" : "39" }, "uris" : [ "http://www.mendeley.com/documents/?uuid=05634835-f14f-44d5-9cd3-f61252fc473f" ] } ], "mendeley" : { "formattedCitation" : "&lt;b&gt;&lt;i&gt;(13)&lt;/i&gt;&lt;/b&gt;", "plainTextFormattedCitation" : "(13)", "previouslyFormattedCitation" : "&lt;b&gt;&lt;i&gt;(13)&lt;/i&gt;&lt;/b&gt;" }, "properties" : { "noteIndex" : 0 }, "schema" : "https://github.com/citation-style-language/schema/raw/master/csl-citation.json" }</w:instrText>
      </w:r>
      <w:r>
        <w:fldChar w:fldCharType="separate"/>
      </w:r>
      <w:bookmarkStart w:id="44" w:name="__Fieldmark__826_1847998653"/>
      <w:r>
        <w:rPr>
          <w:rFonts w:cs="Times New Roman" w:ascii="Times New Roman" w:hAnsi="Times New Roman"/>
          <w:color w:val="000000" w:themeColor="text1"/>
        </w:rPr>
      </w:r>
      <w:r>
        <w:rPr>
          <w:rFonts w:cs="Times New Roman" w:ascii="Times New Roman" w:hAnsi="Times New Roman"/>
          <w:b/>
          <w:i/>
          <w:color w:val="000000" w:themeColor="text1"/>
        </w:rPr>
        <w:t>(13)</w:t>
      </w:r>
      <w:r>
        <w:rPr>
          <w:rFonts w:cs="Times New Roman" w:ascii="Times New Roman" w:hAnsi="Times New Roman"/>
          <w:color w:val="000000" w:themeColor="text1"/>
        </w:rPr>
      </w:r>
      <w:r>
        <w:fldChar w:fldCharType="end"/>
      </w:r>
      <w:bookmarkEnd w:id="44"/>
      <w:r>
        <w:rPr>
          <w:rFonts w:cs="Times New Roman" w:ascii="Times New Roman" w:hAnsi="Times New Roman"/>
          <w:color w:val="000000" w:themeColor="text1"/>
        </w:rPr>
        <w:t xml:space="preserve"> and AFM </w:t>
      </w:r>
      <w:r>
        <w:fldChar w:fldCharType="begin"/>
      </w:r>
      <w:r>
        <w:instrText>ADDIN CSL_CITATION { "citationItems" : [ { "id" : "ITEM-1", "itemData" : { "DOI" : "10.1039/c0cc00390e", "ISBN" : "6979829823", "ISSN" : "1359-7345", "PMID" : "20473448", "abstract" : "The assembly of double-stranded (ds) DNA nanocircles both by hybridization with branched oligodeoxynucleotides (ODNs) and by intercalation was analyzed by atomic force microscopy (AFM). Branched ODNs ligated to single-stranded (ss) gap regions of dsDNA nanocircles led to defined, dumbbell-shaped architectures. ODNs containing an aromatic intercalator yielded oligomeric aggregates.", "author" : [ { "dropping-particle" : "", "family" : "Ackermann", "given" : "Damian", "non-dropping-particle" : "", "parse-names" : false, "suffix" : "" }, { "dropping-particle" : "", "family" : "Rasched", "given" : "Goran", "non-dropping-particle" : "", "parse-names" : false, "suffix" : "" }, { "dropping-particle" : "", "family" : "Verma", "given" : "Sandeep", "non-dropping-particle" : "", "parse-names" : false, "suffix" : "" }, { "dropping-particle" : "", "family" : "Schmidt", "given" : "Thorsten L", "non-dropping-particle" : "", "parse-names" : false, "suffix" : "" }, { "dropping-particle" : "", "family" : "Heckel", "given" : "Alexander", "non-dropping-particle" : "", "parse-names" : false, "suffix" : "" }, { "dropping-particle" : "", "family" : "Famulok", "given" : "Michael", "non-dropping-particle" : "", "parse-names" : false, "suffix" : "" } ], "container-title" : "Chemical communications (Cambridge, England)", "id" : "ITEM-1", "issue" : "23", "issued" : { "date-parts" : [ [ "2010" ] ] }, "page" : "4154-4156", "title" : "Assembly of dsDNA nanocircles into dimeric and oligomeric aggregates.", "type" : "article-journal", "volume" : "46" }, "uris" : [ "http://www.mendeley.com/documents/?uuid=5ef9b910-16d9-47b7-a868-e3318d1d5947" ] } ], "mendeley" : { "formattedCitation" : "&lt;b&gt;&lt;i&gt;(37)&lt;/i&gt;&lt;/b&gt;", "plainTextFormattedCitation" : "(37)", "previouslyFormattedCitation" : "&lt;b&gt;&lt;i&gt;(37)&lt;/i&gt;&lt;/b&gt;" }, "properties" : { "noteIndex" : 0 }, "schema" : "https://github.com/citation-style-language/schema/raw/master/csl-citation.json" }</w:instrText>
      </w:r>
      <w:r>
        <w:fldChar w:fldCharType="separate"/>
      </w:r>
      <w:bookmarkStart w:id="45" w:name="__Fieldmark__832_1847998653"/>
      <w:r>
        <w:rPr>
          <w:rFonts w:cs="Times New Roman" w:ascii="Times New Roman" w:hAnsi="Times New Roman"/>
          <w:color w:val="000000" w:themeColor="text1"/>
        </w:rPr>
      </w:r>
      <w:r>
        <w:rPr>
          <w:rFonts w:cs="Times New Roman" w:ascii="Times New Roman" w:hAnsi="Times New Roman"/>
          <w:b/>
          <w:i/>
          <w:color w:val="000000" w:themeColor="text1"/>
        </w:rPr>
        <w:t>(37)</w:t>
      </w:r>
      <w:r>
        <w:rPr>
          <w:rFonts w:cs="Times New Roman" w:ascii="Times New Roman" w:hAnsi="Times New Roman"/>
          <w:color w:val="000000" w:themeColor="text1"/>
        </w:rPr>
      </w:r>
      <w:r>
        <w:fldChar w:fldCharType="end"/>
      </w:r>
      <w:bookmarkEnd w:id="45"/>
      <w:r>
        <w:rPr>
          <w:rFonts w:cs="Times New Roman" w:ascii="Times New Roman" w:hAnsi="Times New Roman"/>
          <w:color w:val="000000" w:themeColor="text1"/>
        </w:rPr>
        <w:t xml:space="preserve">, which has enabled the comparison of static experimental minicircles structures from to be compared with simulations. A combination of gel electrophoresis, MD simulations and cryo-ET have also been used to investigate the conformational diversity of supercoiled minicircle DNA </w:t>
      </w:r>
      <w:r>
        <w:fldChar w:fldCharType="begin"/>
      </w:r>
      <w:r>
        <w:instrText>ADDIN CSL_CITATION { "citationItems" : [ { "id" : "ITEM-1", "itemData" : { "author" : [ { "dropping-particle" : "", "family" : "Irobalieva", "given" : "Rossitza N", "non-dropping-particle" : "", "parse-names" : false, "suffix" : "" }, { "dropping-particle" : "", "family" : "Fogg", "given" : "Jonathan M", "non-dropping-particle" : "", "parse-names" : false, "suffix" : "" }, { "dropping-particle" : "", "family" : "Catanese", "given" : "Daniel J", "non-dropping-particle" : "", "parse-names" : false, "suffix" : "" }, { "dropping-particle" : "", "family" : "Sutthibutpong", "given" : "Thana", "non-dropping-particle" : "", "parse-names" : false, "suffix" : "" }, { "dropping-particle" : "", "family" : "Chen", "given" : "Muyuan", "non-dropping-particle" : "", "parse-names" : false, "suffix" : "" }, { "dropping-particle" : "", "family" : "Barker", "given" : "Anna K", "non-dropping-particle" : "", "parse-names" : false, "suffix" : "" }, { "dropping-particle" : "", "family" : "Ludtke", "given" : "Steven J", "non-dropping-particle" : "", "parse-names" : false, "suffix" : "" }, { "dropping-particle" : "", "family" : "Harris", "given" : "Sarah A", "non-dropping-particle" : "", "parse-names" : false, "suffix" : "" }, { "dropping-particle" : "", "family" : "Schmid", "given" : "Michael F", "non-dropping-particle" : "", "parse-names" : false, "suffix" : "" }, { "dropping-particle" : "", "family" : "Zechiedrich", "given" : "Lynn", "non-dropping-particle" : "", "parse-names" : false, "suffix" : "" } ], "container-title" : "Submitted to Nature Communication", "id" : "ITEM-1", "issued" : { "date-parts" : [ [ "2015" ] ] }, "title" : "Structural diversity of supercoiled DNA", "type" : "article-journal" }, "uris" : [ "http://www.mendeley.com/documents/?uuid=68a59a93-125c-41b3-ad26-1f579ebf0f31" ] } ], "mendeley" : { "formattedCitation" : "&lt;b&gt;&lt;i&gt;(19)&lt;/i&gt;&lt;/b&gt;", "plainTextFormattedCitation" : "(19)", "previouslyFormattedCitation" : "&lt;b&gt;&lt;i&gt;(19)&lt;/i&gt;&lt;/b&gt;" }, "properties" : { "noteIndex" : 0 }, "schema" : "https://github.com/citation-style-language/schema/raw/master/csl-citation.json" }</w:instrText>
      </w:r>
      <w:r>
        <w:fldChar w:fldCharType="separate"/>
      </w:r>
      <w:bookmarkStart w:id="46" w:name="__Fieldmark__851_1847998653"/>
      <w:r>
        <w:rPr>
          <w:rFonts w:cs="Times New Roman" w:ascii="Times New Roman" w:hAnsi="Times New Roman"/>
          <w:color w:val="000000" w:themeColor="text1"/>
        </w:rPr>
      </w:r>
      <w:r>
        <w:rPr>
          <w:rFonts w:cs="Times New Roman" w:ascii="Times New Roman" w:hAnsi="Times New Roman"/>
          <w:b/>
          <w:i/>
          <w:color w:val="000000" w:themeColor="text1"/>
        </w:rPr>
        <w:t>(19)</w:t>
      </w:r>
      <w:r>
        <w:rPr>
          <w:rFonts w:cs="Times New Roman" w:ascii="Times New Roman" w:hAnsi="Times New Roman"/>
          <w:color w:val="000000" w:themeColor="text1"/>
        </w:rPr>
      </w:r>
      <w:r>
        <w:fldChar w:fldCharType="end"/>
      </w:r>
      <w:bookmarkEnd w:id="46"/>
      <w:r>
        <w:rPr>
          <w:rFonts w:cs="Times New Roman" w:ascii="Times New Roman" w:hAnsi="Times New Roman"/>
          <w:color w:val="000000" w:themeColor="text1"/>
        </w:rPr>
        <w:t xml:space="preserve">. Cryo-ET can provide 3D traces of the DNA minicircle helical axis for different topoisomerases, which can be compared with MD simulation trajectories.  </w:t>
      </w:r>
      <w:r>
        <w:rPr>
          <w:rFonts w:cs="Times New Roman" w:ascii="Times New Roman" w:hAnsi="Times New Roman"/>
        </w:rPr>
        <w:t xml:space="preserve">The cryo-ET shows that there is a diverse conformational ensemble for the minicircles, even for a single topoisomer. Similarly, MD simulations performed in implicit solvent show that the writhe of the minicircles is subject to large fluctutations, however, when this more approximate solvation model is used, the conformational diversity of the DNA is restricted by the hydrogen bond restraints that are applied to maintain the stability of the duplex. Subsequent simulations for discrete conformers selected from this ensemble showed that the DNA becomes more compact in explicit water due to the inclusion of discrete coaunterions that facilitates the closer approach of the two strands at the crossing point. Also, the DNA forms kink and bubble defects at high superhelical densities that increase the local flexibility of the DNA. However, the global conformational flexibility of the DNA is severely curtailed by the huge viscosity of the surrounding solvent, which effectively “locks” the DNA into a given writhed conformation over the timescale accessible to explicit MD (~50ns). </w:t>
      </w:r>
    </w:p>
    <w:p>
      <w:pPr>
        <w:pStyle w:val="Normal"/>
        <w:spacing w:lineRule="auto" w:line="360"/>
        <w:jc w:val="both"/>
        <w:rPr>
          <w:rFonts w:ascii="Times New Roman" w:hAnsi="Times New Roman" w:cs="Times New Roman"/>
        </w:rPr>
      </w:pPr>
      <w:r>
        <w:rPr>
          <w:rFonts w:cs="Times New Roman" w:ascii="Times New Roman" w:hAnsi="Times New Roman"/>
        </w:rPr>
      </w:r>
    </w:p>
    <w:p>
      <w:pPr>
        <w:pStyle w:val="Normal"/>
        <w:spacing w:lineRule="auto" w:line="360"/>
        <w:jc w:val="both"/>
        <w:rPr>
          <w:rFonts w:ascii="Times New Roman" w:hAnsi="Times New Roman" w:cs="Times New Roman"/>
          <w:color w:val="000000" w:themeColor="text1"/>
        </w:rPr>
      </w:pPr>
      <w:r>
        <w:rPr>
          <w:rFonts w:cs="Times New Roman" w:ascii="Times New Roman" w:hAnsi="Times New Roman"/>
          <w:b/>
          <w:color w:val="000000" w:themeColor="text1"/>
        </w:rPr>
        <w:t xml:space="preserve">Analysis Tools for DNA Minicircle Simulations: </w:t>
      </w:r>
      <w:r>
        <w:rPr>
          <w:rFonts w:cs="Times New Roman" w:ascii="Times New Roman" w:hAnsi="Times New Roman"/>
          <w:color w:val="000000" w:themeColor="text1"/>
        </w:rPr>
        <w:t xml:space="preserve">The simulation community has access to a wide choice of sophisticated software for processing the velocity and coordinate data generated by MD simulations in order to both: 1) validate the simulation results by comparing the analysed data with experiments and 2) obtain structural and dynamical data inaccessible by experiment alone. </w:t>
      </w:r>
    </w:p>
    <w:p>
      <w:pPr>
        <w:pStyle w:val="Normal"/>
        <w:spacing w:lineRule="auto" w:line="360"/>
        <w:ind w:firstLine="720"/>
        <w:jc w:val="both"/>
        <w:rPr/>
      </w:pPr>
      <w:r>
        <w:rPr>
          <w:rFonts w:cs="Times New Roman" w:ascii="Times New Roman" w:hAnsi="Times New Roman"/>
          <w:color w:val="000000" w:themeColor="text1"/>
        </w:rPr>
        <w:t xml:space="preserve">Many of these tools are available as part of the MD simulation codes. The radius of gyration of the minicircles is a global structural parameter that quantifies the compactness of supercoiled DNA, and can be extracted using the PTRAJ module available within the AMBERTOOLS software (see section 3.2). </w:t>
      </w:r>
      <w:r>
        <w:rPr>
          <w:rFonts w:cs="Times New Roman" w:ascii="Times New Roman" w:hAnsi="Times New Roman"/>
          <w:b/>
          <w:color w:val="000000" w:themeColor="text1"/>
        </w:rPr>
        <w:t>Fig. 3a</w:t>
      </w:r>
      <w:r>
        <w:rPr>
          <w:rFonts w:cs="Times New Roman" w:ascii="Times New Roman" w:hAnsi="Times New Roman"/>
          <w:color w:val="000000" w:themeColor="text1"/>
        </w:rPr>
        <w:t xml:space="preserve"> shows three types of supercoiled DNA structures. The ‘open’ circular conformation has the largest value of radius of gyration and is the least compact structure compared to the other two. Structural disruptions and defects within the minicircles that arise due to torsional or bending stress can also be detected and quantified by measuring the interatomic distances between complementary hydrogen bonding using PTRAJ, or using visualisation software such as VMD </w:t>
      </w:r>
      <w:r>
        <w:fldChar w:fldCharType="begin"/>
      </w:r>
      <w:r>
        <w:instrText>ADDIN CSL_CITATION { "citationItems" : [ { "id" : "ITEM-1", "itemData" : { "DOI" : "10.1016/0263-7855(96)00018-5", "ISBN" : "1093-3263", "ISSN" : "02637855", "PMID" : "8744570", "author" : [ { "dropping-particle" : "", "family" : "Humphrey", "given" : "William", "non-dropping-particle" : "", "parse-names" : false, "suffix" : "" }, { "dropping-particle" : "", "family" : "Dalke", "given" : "Andrew", "non-dropping-particle" : "", "parse-names" : false, "suffix" : "" }, { "dropping-particle" : "", "family" : "Schulten", "given" : "Klaus", "non-dropping-particle" : "", "parse-names" : false, "suffix" : "" } ], "container-title" : "Journal of Molecular Graphic", "id" : "ITEM-1", "issue" : "February", "issued" : { "date-parts" : [ [ "1996" ] ] }, "page" : "33-38", "title" : "VMD: Visual Molecular Dynamics", "type" : "article-journal", "volume" : "14" }, "uris" : [ "http://www.mendeley.com/documents/?uuid=edd36ee8-03c0-4a08-bbf8-8d371ca37086" ] } ], "mendeley" : { "formattedCitation" : "&lt;b&gt;&lt;i&gt;(38)&lt;/i&gt;&lt;/b&gt;", "plainTextFormattedCitation" : "(38)", "previouslyFormattedCitation" : "&lt;b&gt;&lt;i&gt;(38)&lt;/i&gt;&lt;/b&gt;" }, "properties" : { "noteIndex" : 0 }, "schema" : "https://github.com/citation-style-language/schema/raw/master/csl-citation.json" }</w:instrText>
      </w:r>
      <w:r>
        <w:fldChar w:fldCharType="separate"/>
      </w:r>
      <w:bookmarkStart w:id="47" w:name="__Fieldmark__934_1847998653"/>
      <w:r>
        <w:rPr>
          <w:rFonts w:cs="Times New Roman" w:ascii="Times New Roman" w:hAnsi="Times New Roman"/>
          <w:color w:val="000000" w:themeColor="text1"/>
        </w:rPr>
      </w:r>
      <w:r>
        <w:rPr>
          <w:rFonts w:cs="Times New Roman" w:ascii="Times New Roman" w:hAnsi="Times New Roman"/>
          <w:b/>
          <w:i/>
          <w:color w:val="000000" w:themeColor="text1"/>
        </w:rPr>
        <w:t>(38)</w:t>
      </w:r>
      <w:r>
        <w:rPr>
          <w:rFonts w:cs="Times New Roman" w:ascii="Times New Roman" w:hAnsi="Times New Roman"/>
          <w:color w:val="000000" w:themeColor="text1"/>
        </w:rPr>
      </w:r>
      <w:r>
        <w:fldChar w:fldCharType="end"/>
      </w:r>
      <w:bookmarkEnd w:id="47"/>
      <w:r>
        <w:rPr>
          <w:rFonts w:cs="Times New Roman" w:ascii="Times New Roman" w:hAnsi="Times New Roman"/>
          <w:color w:val="000000" w:themeColor="text1"/>
        </w:rPr>
        <w:t>. VMD can also be used to convert GROMACS trajectories into AMBER trajectories, which are compatible with the conformational analysis performed by PTRAJ.</w:t>
      </w:r>
    </w:p>
    <w:p>
      <w:pPr>
        <w:pStyle w:val="Normal"/>
        <w:spacing w:lineRule="auto" w:line="360"/>
        <w:ind w:firstLine="720"/>
        <w:jc w:val="both"/>
        <w:rPr/>
      </w:pPr>
      <w:r>
        <w:rPr>
          <w:rFonts w:cs="Times New Roman" w:ascii="Times New Roman" w:hAnsi="Times New Roman"/>
          <w:color w:val="000000" w:themeColor="text1"/>
        </w:rPr>
        <w:t xml:space="preserve">However, other structural quantities that are specific to DNA require more specialised software. The DNA helical parameters that characterise the relative positions of the base pairs and base steps, such as twist, roll, tilt etc. can be calculated using either the CURVES+ program </w:t>
      </w:r>
      <w:r>
        <w:fldChar w:fldCharType="begin"/>
      </w:r>
      <w:r>
        <w:instrText>ADDIN CSL_CITATION { "citationItems" : [ { "id" : "ITEM-1", "itemData" : { "DOI" : "10.1093/nar/gkp608", "ISSN" : "1362-4962", "PMID" : "19625494", "abstract" : "We describe Curves+, a new nucleic acid conformational analysis program which is applicable to a wide range of nucleic acid structures, including those with up to four strands and with either canonical or modified bases and backbones. The program is algorithmically simpler and computationally much faster than the earlier Curves approach, although it still provides both helical and backbone parameters, including a curvilinear axis and parameters relating the position of the bases to this axis. It additionally provides a full analysis of groove widths and depths. Curves+ can also be used to analyse molecular dynamics trajectories. With the help of the accompanying program Canal, it is possible to produce a variety of graphical output including parameter variations along a given structure and time series or histograms of parameter variations during dynamics.", "author" : [ { "dropping-particle" : "", "family" : "Lavery", "given" : "R", "non-dropping-particle" : "", "parse-names" : false, "suffix" : "" }, { "dropping-particle" : "", "family" : "Moakher", "given" : "M", "non-dropping-particle" : "", "parse-names" : false, "suffix" : "" }, { "dropping-particle" : "", "family" : "Maddocks", "given" : "J H", "non-dropping-particle" : "", "parse-names" : false, "suffix" : "" }, { "dropping-particle" : "", "family" : "Petkeviciute", "given" : "D", "non-dropping-particle" : "", "parse-names" : false, "suffix" : "" }, { "dropping-particle" : "", "family" : "Zakrzewska", "given" : "K", "non-dropping-particle" : "", "parse-names" : false, "suffix" : "" } ], "container-title" : "Nucleic acids research", "id" : "ITEM-1", "issue" : "17", "issued" : { "date-parts" : [ [ "2009", "9" ] ] }, "page" : "5917-5929", "title" : "Conformational analysis of nucleic acids revisited: Curves+.", "type" : "article-journal", "volume" : "37" }, "uris" : [ "http://www.mendeley.com/documents/?uuid=4cad30ae-8b74-4d13-8253-47057ba7d513" ] } ], "mendeley" : { "formattedCitation" : "&lt;b&gt;&lt;i&gt;(39)&lt;/i&gt;&lt;/b&gt;", "plainTextFormattedCitation" : "(39)", "previouslyFormattedCitation" : "&lt;b&gt;&lt;i&gt;(39)&lt;/i&gt;&lt;/b&gt;" }, "properties" : { "noteIndex" : 0 }, "schema" : "https://github.com/citation-style-language/schema/raw/master/csl-citation.json" }</w:instrText>
      </w:r>
      <w:r>
        <w:fldChar w:fldCharType="separate"/>
      </w:r>
      <w:bookmarkStart w:id="48" w:name="__Fieldmark__947_1847998653"/>
      <w:r>
        <w:rPr>
          <w:rFonts w:cs="Times New Roman" w:ascii="Times New Roman" w:hAnsi="Times New Roman"/>
          <w:color w:val="000000" w:themeColor="text1"/>
        </w:rPr>
      </w:r>
      <w:r>
        <w:rPr>
          <w:rFonts w:cs="Times New Roman" w:ascii="Times New Roman" w:hAnsi="Times New Roman"/>
          <w:b/>
          <w:i/>
          <w:color w:val="000000" w:themeColor="text1"/>
        </w:rPr>
        <w:t>(39)</w:t>
      </w:r>
      <w:r>
        <w:rPr>
          <w:rFonts w:cs="Times New Roman" w:ascii="Times New Roman" w:hAnsi="Times New Roman"/>
          <w:color w:val="000000" w:themeColor="text1"/>
        </w:rPr>
      </w:r>
      <w:r>
        <w:fldChar w:fldCharType="end"/>
      </w:r>
      <w:bookmarkEnd w:id="48"/>
      <w:r>
        <w:rPr>
          <w:rFonts w:cs="Times New Roman" w:ascii="Times New Roman" w:hAnsi="Times New Roman"/>
          <w:color w:val="000000" w:themeColor="text1"/>
        </w:rPr>
        <w:t xml:space="preserve"> or X3DNA </w:t>
      </w:r>
      <w:r>
        <w:fldChar w:fldCharType="begin"/>
      </w:r>
      <w:r>
        <w:instrText>ADDIN CSL_CITATION { "citationItems" : [ { "id" : "ITEM-1", "itemData" : { "DOI" : "10.1038/nprot.2008.104", "ISSN" : "1750-2799", "PMID" : "18600227", "abstract" : "We present a set of protocols showing how to use the 3DNA suite of programs to analyze, rebuild and visualize three-dimensional nucleic-acid structures. The software determines a wide range of conformational parameters, including the identities and rigid-body parameters of interacting bases and base-pair steps, the nucleotides comprising helical fragments, the area of overlap of stacked bases and so on. The reconstruction of three-dimensional structure takes advantage of rigorously defined rigid-body parameters, producing rectangular block representations of the nucleic-acid bases and base pairs and all-atom models with approximate sugar-phosphate backbones. The visualization components create vector-based drawings and scenes that can be rendered as raster-graphics images, allowing for easy generation of publication-quality figures. The utility programs use geometric variables to control the view and scale of an object, for comparison of related structures. The commands run in seconds even for large structures. The software and related information are available at http://3dna.rutgers.edu/.", "author" : [ { "dropping-particle" : "", "family" : "Lu", "given" : "Xiang-Jun", "non-dropping-particle" : "", "parse-names" : false, "suffix" : "" }, { "dropping-particle" : "", "family" : "Olson", "given" : "Wilma K", "non-dropping-particle" : "", "parse-names" : false, "suffix" : "" } ], "container-title" : "Nature protocols", "id" : "ITEM-1", "issue" : "7", "issued" : { "date-parts" : [ [ "2008", "1" ] ] }, "page" : "1213-1227", "title" : "3DNA: a versatile, integrated software system for the analysis, rebuilding and visualization of three-dimensional nucleic-acid structures.", "type" : "article-journal", "volume" : "3" }, "uris" : [ "http://www.mendeley.com/documents/?uuid=1af750a5-ca73-4de1-a961-eab9ae2ab590" ] } ], "mendeley" : { "formattedCitation" : "&lt;b&gt;&lt;i&gt;(40)&lt;/i&gt;&lt;/b&gt;", "plainTextFormattedCitation" : "(40)", "previouslyFormattedCitation" : "&lt;b&gt;&lt;i&gt;(40)&lt;/i&gt;&lt;/b&gt;" }, "properties" : { "noteIndex" : 0 }, "schema" : "https://github.com/citation-style-language/schema/raw/master/csl-citation.json" }</w:instrText>
      </w:r>
      <w:r>
        <w:fldChar w:fldCharType="separate"/>
      </w:r>
      <w:bookmarkStart w:id="49" w:name="__Fieldmark__952_1847998653"/>
      <w:r>
        <w:rPr>
          <w:rFonts w:cs="Times New Roman" w:ascii="Times New Roman" w:hAnsi="Times New Roman"/>
          <w:color w:val="000000" w:themeColor="text1"/>
        </w:rPr>
      </w:r>
      <w:r>
        <w:rPr>
          <w:rFonts w:cs="Times New Roman" w:ascii="Times New Roman" w:hAnsi="Times New Roman"/>
          <w:b/>
          <w:i/>
          <w:color w:val="000000" w:themeColor="text1"/>
        </w:rPr>
        <w:t>(40)</w:t>
      </w:r>
      <w:r>
        <w:rPr>
          <w:rFonts w:cs="Times New Roman" w:ascii="Times New Roman" w:hAnsi="Times New Roman"/>
          <w:color w:val="000000" w:themeColor="text1"/>
        </w:rPr>
      </w:r>
      <w:r>
        <w:fldChar w:fldCharType="end"/>
      </w:r>
      <w:bookmarkEnd w:id="49"/>
      <w:r>
        <w:rPr>
          <w:rFonts w:cs="Times New Roman" w:ascii="Times New Roman" w:hAnsi="Times New Roman"/>
          <w:color w:val="000000" w:themeColor="text1"/>
        </w:rPr>
        <w:t xml:space="preserve">. In addition to the radius of gyration, the overall global shape and compactness of the DNA is determined by the writhe, which quantifies the number of crossings formed by the double helix in three dimensions. Quantifying the writhe is non-trivial because the number of times that the two DNA strands cross is extremely sensitive to the precise manner in which you view the structure, as shown in </w:t>
      </w:r>
      <w:r>
        <w:rPr>
          <w:rFonts w:cs="Times New Roman" w:ascii="Times New Roman" w:hAnsi="Times New Roman"/>
          <w:b/>
          <w:color w:val="000000" w:themeColor="text1"/>
        </w:rPr>
        <w:t>Fig. 3b</w:t>
      </w:r>
      <w:r>
        <w:rPr>
          <w:rFonts w:cs="Times New Roman" w:ascii="Times New Roman" w:hAnsi="Times New Roman"/>
          <w:color w:val="000000" w:themeColor="text1"/>
        </w:rPr>
        <w:t xml:space="preserve">. Mathematically, the writhe is defined by the Gauss integral calculated over the central helical axis (see </w:t>
      </w:r>
      <w:r>
        <w:rPr>
          <w:rFonts w:cs="Times New Roman" w:ascii="Times New Roman" w:hAnsi="Times New Roman"/>
          <w:b/>
          <w:color w:val="000000" w:themeColor="text1"/>
        </w:rPr>
        <w:t>Fig. 3c</w:t>
      </w:r>
      <w:r>
        <w:rPr>
          <w:rFonts w:cs="Times New Roman" w:ascii="Times New Roman" w:hAnsi="Times New Roman"/>
          <w:color w:val="000000" w:themeColor="text1"/>
        </w:rPr>
        <w:t xml:space="preserve">) </w:t>
      </w:r>
      <w:r>
        <w:fldChar w:fldCharType="begin"/>
      </w:r>
      <w:r>
        <w:instrText>ADDIN CSL_CITATION { "citationItems" : [ { "id" : "ITEM-1", "itemData" : { "DOI" : "10.1021/acs.jctc.5b00035", "ISSN" : "1549-9618", "author" : [ { "dropping-particle" : "", "family" : "Sutthibutpong", "given" : "Thana", "non-dropping-particle" : "", "parse-names" : false, "suffix" : "" }, { "dropping-particle" : "", "family" : "Harris", "given" : "Sarah A.", "non-dropping-particle" : "", "parse-names" : false, "suffix" : "" }, { "dropping-particle" : "", "family" : "Noy", "given" : "Agnes", "non-dropping-particle" : "", "parse-names" : false, "suffix" : "" } ], "container-title" : "Journal of Chemical Theory and Computation", "id" : "ITEM-1", "issued" : { "date-parts" : [ [ "2015" ] ] }, "page" : "150521070539002", "title" : "Comparison of Molecular Contours for Measuring Writhe in Atomistic Supercoiled DNA", "type" : "article-journal" }, "uris" : [ "http://www.mendeley.com/documents/?uuid=e15e0a49-83aa-4157-92f5-66cf90abf522" ] } ], "mendeley" : { "formattedCitation" : "&lt;b&gt;&lt;i&gt;(41)&lt;/i&gt;&lt;/b&gt;", "plainTextFormattedCitation" : "(41)", "previouslyFormattedCitation" : "&lt;b&gt;&lt;i&gt;(41)&lt;/i&gt;&lt;/b&gt;" }, "properties" : { "noteIndex" : 0 }, "schema" : "https://github.com/citation-style-language/schema/raw/master/csl-citation.json" }</w:instrText>
      </w:r>
      <w:r>
        <w:fldChar w:fldCharType="separate"/>
      </w:r>
      <w:bookmarkStart w:id="50" w:name="__Fieldmark__973_1847998653"/>
      <w:r>
        <w:rPr>
          <w:rFonts w:cs="Times New Roman" w:ascii="Times New Roman" w:hAnsi="Times New Roman"/>
          <w:color w:val="000000" w:themeColor="text1"/>
        </w:rPr>
      </w:r>
      <w:r>
        <w:rPr>
          <w:rFonts w:cs="Times New Roman" w:ascii="Times New Roman" w:hAnsi="Times New Roman"/>
          <w:b/>
          <w:i/>
          <w:color w:val="000000" w:themeColor="text1"/>
        </w:rPr>
        <w:t>(41)</w:t>
      </w:r>
      <w:r>
        <w:rPr>
          <w:rFonts w:cs="Times New Roman" w:ascii="Times New Roman" w:hAnsi="Times New Roman"/>
          <w:color w:val="000000" w:themeColor="text1"/>
        </w:rPr>
      </w:r>
      <w:r>
        <w:fldChar w:fldCharType="end"/>
      </w:r>
      <w:bookmarkEnd w:id="50"/>
      <w:r>
        <w:rPr>
          <w:rFonts w:cs="Times New Roman" w:ascii="Times New Roman" w:hAnsi="Times New Roman"/>
          <w:color w:val="000000" w:themeColor="text1"/>
        </w:rPr>
        <w:t xml:space="preserve">. However, defining an appropriate helical axis for a fully atomistic DNA structure is also non-trivial, because small local deviations from an ideal B-form helix can introduce artefacts into the writhe calculation. To eliminate these difficulties, we have developed a python script ‘WrLINE.py’, which performs a running average over each DNA helical turns </w:t>
      </w:r>
      <w:r>
        <w:fldChar w:fldCharType="begin"/>
      </w:r>
      <w:r>
        <w:instrText>ADDIN CSL_CITATION { "citationItems" : [ { "id" : "ITEM-1", "itemData" : { "DOI" : "10.1021/acs.jctc.5b00035", "ISSN" : "1549-9618", "author" : [ { "dropping-particle" : "", "family" : "Sutthibutpong", "given" : "Thana", "non-dropping-particle" : "", "parse-names" : false, "suffix" : "" }, { "dropping-particle" : "", "family" : "Harris", "given" : "Sarah A.", "non-dropping-particle" : "", "parse-names" : false, "suffix" : "" }, { "dropping-particle" : "", "family" : "Noy", "given" : "Agnes", "non-dropping-particle" : "", "parse-names" : false, "suffix" : "" } ], "container-title" : "Journal of Chemical Theory and Computation", "id" : "ITEM-1", "issued" : { "date-parts" : [ [ "2015" ] ] }, "page" : "150521070539002", "title" : "Comparison of Molecular Contours for Measuring Writhe in Atomistic Supercoiled DNA", "type" : "article-journal" }, "uris" : [ "http://www.mendeley.com/documents/?uuid=e15e0a49-83aa-4157-92f5-66cf90abf522" ] } ], "mendeley" : { "formattedCitation" : "&lt;b&gt;&lt;i&gt;(41)&lt;/i&gt;&lt;/b&gt;", "plainTextFormattedCitation" : "(41)", "previouslyFormattedCitation" : "&lt;b&gt;&lt;i&gt;(41)&lt;/i&gt;&lt;/b&gt;" }, "properties" : { "noteIndex" : 0 }, "schema" : "https://github.com/citation-style-language/schema/raw/master/csl-citation.json" }</w:instrText>
      </w:r>
      <w:r>
        <w:fldChar w:fldCharType="separate"/>
      </w:r>
      <w:bookmarkStart w:id="51" w:name="__Fieldmark__997_1847998653"/>
      <w:r>
        <w:rPr>
          <w:rFonts w:cs="Times New Roman" w:ascii="Times New Roman" w:hAnsi="Times New Roman"/>
          <w:color w:val="000000" w:themeColor="text1"/>
        </w:rPr>
      </w:r>
      <w:r>
        <w:rPr>
          <w:rFonts w:cs="Times New Roman" w:ascii="Times New Roman" w:hAnsi="Times New Roman"/>
          <w:b/>
          <w:i/>
          <w:color w:val="000000" w:themeColor="text1"/>
        </w:rPr>
        <w:t>(41)</w:t>
      </w:r>
      <w:r>
        <w:rPr>
          <w:rFonts w:cs="Times New Roman" w:ascii="Times New Roman" w:hAnsi="Times New Roman"/>
          <w:color w:val="000000" w:themeColor="text1"/>
        </w:rPr>
      </w:r>
      <w:r>
        <w:fldChar w:fldCharType="end"/>
      </w:r>
      <w:bookmarkEnd w:id="51"/>
      <w:r>
        <w:rPr>
          <w:rFonts w:cs="Times New Roman" w:ascii="Times New Roman" w:hAnsi="Times New Roman"/>
          <w:color w:val="000000" w:themeColor="text1"/>
        </w:rPr>
        <w:t xml:space="preserve">, and is available online from the CCPForge website. </w:t>
      </w:r>
    </w:p>
    <w:p>
      <w:pPr>
        <w:pStyle w:val="Normal"/>
        <w:spacing w:lineRule="auto" w:line="360"/>
        <w:jc w:val="both"/>
        <w:rPr>
          <w:rFonts w:ascii="Times New Roman" w:hAnsi="Times New Roman" w:cs="Times New Roman"/>
          <w:color w:val="000000" w:themeColor="text1"/>
        </w:rPr>
      </w:pPr>
      <w:r>
        <w:rPr>
          <w:rFonts w:cs="Times New Roman" w:ascii="Times New Roman" w:hAnsi="Times New Roman"/>
          <w:b/>
          <w:color w:val="000000" w:themeColor="text1"/>
        </w:rPr>
        <w:t xml:space="preserve">Future Developments and Perspectives: </w:t>
      </w:r>
      <w:r>
        <w:rPr>
          <w:rFonts w:cs="Times New Roman" w:ascii="Times New Roman" w:hAnsi="Times New Roman"/>
          <w:color w:val="000000" w:themeColor="text1"/>
        </w:rPr>
        <w:t xml:space="preserve">Improvements in the description of DNA minicircles at the atomistic level depend on two principal factors:  improvements in the forcefields used to describe the DNA, and improvements in the simulation timescales and conformational sampling that can be achieved. In particular, the BSC0 forcefield is known to underestimate the twist of the DNA by approximately two degrees, although this has been partly corrected by the </w:t>
      </w:r>
      <w:r>
        <w:rPr>
          <w:rFonts w:cs="Times New Roman" w:ascii="Times New Roman" w:hAnsi="Times New Roman"/>
          <w:color w:val="000000" w:themeColor="text1"/>
          <w:szCs w:val="24"/>
        </w:rPr>
        <w:t>parm</w:t>
      </w:r>
      <w:r>
        <w:rPr>
          <w:rFonts w:eastAsia="Arial Unicode MS" w:cs="Arial Unicode MS" w:ascii="Symbol" w:hAnsi="Symbol"/>
          <w:color w:val="2E2E2E"/>
          <w:sz w:val="20"/>
          <w:shd w:fill="FFFFFF" w:val="clear"/>
        </w:rPr>
        <w:t></w:t>
      </w:r>
      <w:r>
        <w:rPr>
          <w:rFonts w:cs="Times New Roman" w:ascii="Times New Roman" w:hAnsi="Times New Roman"/>
          <w:color w:val="000000" w:themeColor="text1"/>
          <w:szCs w:val="24"/>
          <w:vertAlign w:val="subscript"/>
        </w:rPr>
        <w:t>OL4</w:t>
      </w:r>
      <w:r>
        <w:rPr>
          <w:rFonts w:cs="Times New Roman" w:ascii="Times New Roman" w:hAnsi="Times New Roman"/>
          <w:color w:val="000000" w:themeColor="text1"/>
          <w:szCs w:val="24"/>
        </w:rPr>
        <w:t xml:space="preserve"> forcefield correction in which the average twist is increased from 33.2° bp</w:t>
      </w:r>
      <w:r>
        <w:rPr>
          <w:rFonts w:cs="Times New Roman" w:ascii="Times New Roman" w:hAnsi="Times New Roman"/>
          <w:color w:val="000000" w:themeColor="text1"/>
          <w:szCs w:val="24"/>
          <w:vertAlign w:val="superscript"/>
        </w:rPr>
        <w:t>-1</w:t>
      </w:r>
      <w:r>
        <w:rPr>
          <w:rFonts w:cs="Times New Roman" w:ascii="Times New Roman" w:hAnsi="Times New Roman"/>
          <w:color w:val="000000" w:themeColor="text1"/>
          <w:szCs w:val="24"/>
        </w:rPr>
        <w:t xml:space="preserve"> to 33.5° bp</w:t>
      </w:r>
      <w:r>
        <w:rPr>
          <w:rFonts w:cs="Times New Roman" w:ascii="Times New Roman" w:hAnsi="Times New Roman"/>
          <w:color w:val="000000" w:themeColor="text1"/>
          <w:szCs w:val="24"/>
          <w:vertAlign w:val="superscript"/>
        </w:rPr>
        <w:t>-1</w:t>
      </w:r>
      <w:r>
        <w:rPr>
          <w:rFonts w:cs="Times New Roman" w:ascii="Times New Roman" w:hAnsi="Times New Roman"/>
          <w:color w:val="000000" w:themeColor="text1"/>
          <w:szCs w:val="24"/>
        </w:rPr>
        <w:t xml:space="preserve">. This issue will likely be the main focus of future tests and developments for </w:t>
      </w:r>
      <w:r>
        <w:rPr>
          <w:rFonts w:cs="Times New Roman" w:ascii="Times New Roman" w:hAnsi="Times New Roman"/>
          <w:color w:val="000000" w:themeColor="text1"/>
        </w:rPr>
        <w:t xml:space="preserve">simulations of closed DNA topologies, since any discrepancy in the relaxed twist makes it difficult to make a direct comparison between the behaviours of simulated and experimental circles for a given superhelical density. However, it is not straightforward to obtain a precise comparison between twist at the atomistic level, and the global twist of the DNA (which is well established to be around 34°) because the MD forcefield has been parameterised through the interactions between atoms, not directly on the DNA helical twist itself, and DNA twist is highly sequence dependent. A consequence of this is that different sequences of the same size are likely to have significantly different superhelical densities, especially in the limit of small DNA loops. </w:t>
      </w:r>
    </w:p>
    <w:p>
      <w:pPr>
        <w:pStyle w:val="Normal"/>
        <w:spacing w:lineRule="auto" w:line="360"/>
        <w:ind w:firstLine="720"/>
        <w:jc w:val="both"/>
        <w:rPr/>
      </w:pPr>
      <w:r>
        <w:rPr>
          <w:rFonts w:cs="Times New Roman" w:ascii="Times New Roman" w:hAnsi="Times New Roman"/>
          <w:color w:val="000000" w:themeColor="text1"/>
        </w:rPr>
        <w:t xml:space="preserve">Larger simulation timescales and improved conformational sampling will be achieved as computing technology continues to improve. For example, HPC resources continuously grow in  terms of the number of processors available, which will, for example, allow for more conformations of writhed minicircle structures to be performed in explicit solvent. New computer technologies will also make a contribution to improving DNA minicircle simulations. Graphics processing units (GPUs) have already been adapted for biomolecular simulations, but as yet have not been applied to minicircles due to the limitations in systems sizes subjected to the memory constraints. GPUs have recently proven to be more cost effective than conventional computer clusters with the same number of cores </w:t>
      </w:r>
      <w:r>
        <w:fldChar w:fldCharType="begin"/>
      </w:r>
      <w:r>
        <w:instrText>ADDIN CSL_CITATION { "citationItems" : [ { "id" : "ITEM-1", "itemData" : { "DOI" : "10.1146/annurev-biophys-042910-155245", "ISBN" : "1936-1238 (Electronic)\\n1936-122X (Linking)", "ISSN" : "1936-122X", "PMID" : "22577825", "abstract" : "Molecular dynamics simulations capture the behavior of biological macromolecules in full atomic detail, but their computational demands, combined with the challenge of appropriately modeling the relevant physics, have historically restricted their length and accuracy. Dramatic recent improvements in achievable simulation speed and the underlying physical models have enabled atomic-level simulations on timescales as long as milliseconds that capture key biochemical processes such as protein folding, drug binding, membrane transport, and the conformational changes critical to protein function. Such simulation may serve as a computational microscope, revealing biomolecular mechanisms at spatial and temporal scales that are difficult to observe experimentally. We describe the rapidly evolving state of the art for atomic-level biomolecular simulation, illustrate the types of biological discoveries that can now be made through simulation, and discuss challenges motivating continued innovation in this field.", "author" : [ { "dropping-particle" : "", "family" : "Dror", "given" : "Ron O.", "non-dropping-particle" : "", "parse-names" : false, "suffix" : "" }, { "dropping-particle" : "", "family" : "Dirks", "given" : "Robert M.", "non-dropping-particle" : "", "parse-names" : false, "suffix" : "" }, { "dropping-particle" : "", "family" : "Grossman", "given" : "J.P.", "non-dropping-particle" : "", "parse-names" : false, "suffix" : "" }, { "dropping-particle" : "", "family" : "Xu", "given" : "Huafeng", "non-dropping-particle" : "", "parse-names" : false, "suffix" : "" }, { "dropping-particle" : "", "family" : "Shaw", "given" : "David E.", "non-dropping-particle" : "", "parse-names" : false, "suffix" : "" } ], "container-title" : "Annual Review of Biophysics", "id" : "ITEM-1", "issue" : "April", "issued" : { "date-parts" : [ [ "2012" ] ] }, "page" : "429-452", "title" : "Biomolecular Simulation: A Computational Microscope for Molecular Biology", "type" : "article-journal", "volume" : "41" }, "uris" : [ "http://www.mendeley.com/documents/?uuid=4a7d0eb9-8616-4fcb-b168-51762d2e3101" ] } ], "mendeley" : { "formattedCitation" : "&lt;b&gt;&lt;i&gt;(42)&lt;/i&gt;&lt;/b&gt;", "plainTextFormattedCitation" : "(42)", "previouslyFormattedCitation" : "&lt;b&gt;&lt;i&gt;(42)&lt;/i&gt;&lt;/b&gt;" }, "properties" : { "noteIndex" : 0 }, "schema" : "https://github.com/citation-style-language/schema/raw/master/csl-citation.json" }</w:instrText>
      </w:r>
      <w:r>
        <w:fldChar w:fldCharType="separate"/>
      </w:r>
      <w:bookmarkStart w:id="52" w:name="__Fieldmark__1101_1847998653"/>
      <w:r>
        <w:rPr>
          <w:rFonts w:cs="Times New Roman" w:ascii="Times New Roman" w:hAnsi="Times New Roman"/>
          <w:color w:val="000000" w:themeColor="text1"/>
        </w:rPr>
      </w:r>
      <w:r>
        <w:rPr>
          <w:rFonts w:cs="Times New Roman" w:ascii="Times New Roman" w:hAnsi="Times New Roman"/>
          <w:b/>
          <w:i/>
          <w:color w:val="000000" w:themeColor="text1"/>
        </w:rPr>
        <w:t>(42)</w:t>
      </w:r>
      <w:r>
        <w:rPr>
          <w:rFonts w:cs="Times New Roman" w:ascii="Times New Roman" w:hAnsi="Times New Roman"/>
          <w:color w:val="000000" w:themeColor="text1"/>
        </w:rPr>
      </w:r>
      <w:r>
        <w:fldChar w:fldCharType="end"/>
      </w:r>
      <w:bookmarkEnd w:id="52"/>
      <w:r>
        <w:rPr>
          <w:rFonts w:cs="Times New Roman" w:ascii="Times New Roman" w:hAnsi="Times New Roman"/>
          <w:color w:val="000000" w:themeColor="text1"/>
        </w:rPr>
        <w:t xml:space="preserve">, but require a re-engineering of the software. A GB/SA implicit solvent simulation routine has been created for GPU, which can produce a 1 μs MD trajectory for ubiquitin (containing 1,231 atoms) within ~5 days </w:t>
      </w:r>
      <w:r>
        <w:fldChar w:fldCharType="begin"/>
      </w:r>
      <w:r>
        <w:instrText>ADDIN CSL_CITATION { "citationItems" : [ { "id" : "ITEM-1", "itemData" : { "author" : [ { "dropping-particle" : "", "family" : "Goetz", "given" : "A W;", "non-dropping-particle" : "", "parse-names" : false, "suffix" : "" }, { "dropping-particle" : "", "family" : "Williamson", "given" : "M J;", "non-dropping-particle" : "", "parse-names" : false, "suffix" : "" }, { "dropping-particle" : "", "family" : "Xu", "given" : "D;", "non-dropping-particle" : "", "parse-names" : false, "suffix" : "" }, { "dropping-particle" : "", "family" : "Poole", "given" : "D;", "non-dropping-particle" : "", "parse-names" : false, "suffix" : "" }, { "dropping-particle" : "", "family" : "Grand", "given" : "S L;", "non-dropping-particle" : "", "parse-names" : false, "suffix" : "" }, { "dropping-particle" : "", "family" : "Walker", "given" : "R C", "non-dropping-particle" : "", "parse-names" : false, "suffix" : "" } ], "container-title" : "J. Chem. Theory Comput.", "id" : "ITEM-1", "issued" : { "date-parts" : [ [ "2012" ] ] }, "page" : "1542\u20131555.", "title" : "Routine microsecond molecular dynamics simulations with amber - part i: Generalized born", "type" : "article-journal", "volume" : "8" }, "uris" : [ "http://www.mendeley.com/documents/?uuid=01740e9d-416d-47d8-8a6a-b5a0e0c7aa00" ] } ], "mendeley" : { "formattedCitation" : "&lt;b&gt;&lt;i&gt;(43)&lt;/i&gt;&lt;/b&gt;", "plainTextFormattedCitation" : "(43)", "previouslyFormattedCitation" : "&lt;b&gt;&lt;i&gt;(43)&lt;/i&gt;&lt;/b&gt;" }, "properties" : { "noteIndex" : 0 }, "schema" : "https://github.com/citation-style-language/schema/raw/master/csl-citation.json" }</w:instrText>
      </w:r>
      <w:r>
        <w:fldChar w:fldCharType="separate"/>
      </w:r>
      <w:bookmarkStart w:id="53" w:name="__Fieldmark__1114_1847998653"/>
      <w:r>
        <w:rPr>
          <w:rFonts w:cs="Times New Roman" w:ascii="Times New Roman" w:hAnsi="Times New Roman"/>
          <w:color w:val="000000" w:themeColor="text1"/>
        </w:rPr>
      </w:r>
      <w:r>
        <w:rPr>
          <w:rFonts w:cs="Times New Roman" w:ascii="Times New Roman" w:hAnsi="Times New Roman"/>
          <w:b/>
          <w:i/>
          <w:color w:val="000000" w:themeColor="text1"/>
        </w:rPr>
        <w:t>(43)</w:t>
      </w:r>
      <w:r>
        <w:rPr>
          <w:rFonts w:cs="Times New Roman" w:ascii="Times New Roman" w:hAnsi="Times New Roman"/>
          <w:color w:val="000000" w:themeColor="text1"/>
        </w:rPr>
      </w:r>
      <w:r>
        <w:fldChar w:fldCharType="end"/>
      </w:r>
      <w:bookmarkEnd w:id="53"/>
      <w:r>
        <w:rPr>
          <w:rFonts w:cs="Times New Roman" w:ascii="Times New Roman" w:hAnsi="Times New Roman"/>
          <w:color w:val="000000" w:themeColor="text1"/>
        </w:rPr>
        <w:t xml:space="preserve">. Moreover, the recent development of a new GB/SA model that implements a charge hydration asymmetry (CHA) term has also improved the accuracy of the GB/SA model </w:t>
      </w:r>
      <w:r>
        <w:fldChar w:fldCharType="begin"/>
      </w:r>
      <w:r>
        <w:instrText>ADDIN CSL_CITATION { "citationItems" : [ { "id" : "ITEM-1", "itemData" : { "DOI" : "10.1021/jp305226j", "author" : [ { "dropping-particle" : "", "family" : "Mukhopadhyay", "given" : "Abhishek", "non-dropping-particle" : "", "parse-names" : false, "suffix" : "" }, { "dropping-particle" : "", "family" : "Fenley", "given" : "Andrew T", "non-dropping-particle" : "", "parse-names" : false, "suffix" : "" }, { "dropping-particle" : "", "family" : "Tolokh", "given" : "Igor S", "non-dropping-particle" : "", "parse-names" : false, "suffix" : "" }, { "dropping-particle" : "V", "family" : "Onufriev", "given" : "Alexey", "non-dropping-particle" : "", "parse-names" : false, "suffix" : "" } ], "container-title" : "Journal of Physical Chemistry B", "id" : "ITEM-1", "issued" : { "date-parts" : [ [ "2012" ] ] }, "page" : "9776-9783", "title" : "Charge Hydration Asymmetry : The Basic Principle and How To Use It To Test and Improve Water Models Charge hydration asymmetry : the basic principle and how to use it to test and improve water models", "type" : "article-journal", "volume" : "116" }, "uris" : [ "http://www.mendeley.com/documents/?uuid=0d4282b0-db5d-4f13-bc12-1036ef1fa30d" ] }, { "id" : "ITEM-2", "itemData" : { "DOI" : "10.1021/ct4010917", "ISSN" : "1549-9618", "abstract" : "The effect of charge hydration asymmetry (CHA)\u2014non-invariance of solvation free energy upon solute charge inversion\u2014is missing from the standard linear response continuum electrostatics. The proposed charge hydration asymmetric\u2013generalized Born (CHA\u2013GB) approximation introduces this effect into the popular generalized Born (GB) model. The CHA is added to the GB equation via an analytical correction that quantifies the specific propensity of CHA of a given water model; the latter is determined by the charge distribution within the water model. Significant variations in CHA seen in explicit water (TIP3P, TIP4P-Ew, and TIP5P-E) free energy calculations on charge-inverted \u201cmolecular bracelets\u201d are closely reproduced by CHA\u2013GB, with the accuracy similar to models such as SEA and 3D-RISM that go beyond the linear response. Compared against reference explicit (TIP3P) electrostatic solvation free energies, CHA\u2013GB shows about a 40% improvement in accuracy over the canonical GB, tested on a diverse set of 248 rigid small neutral molecules (root mean square error, rmse = 0.88 kcal/mol for CHA\u2013GB vs 1.24 kcal/mol for GB) and 48 conformations of amino acid analogs (rmse = 0.81 kcal/mol vs 1.26 kcal/mol). CHA\u2013GB employs a novel definition of the dielectric boundary that does not subsume the CHA effects into the intrinsic atomic radii. The strategy leads to finding a new set of intrinsic atomic radii optimized for CHA\u2013GB; these radii show physically meaningful variation with the atom type, in contrast to the radii set optimized for GB. Compared to several popular radii sets used with the original GB model, the new radii set shows better transferability between different classes of molecules.", "author" : [ { "dropping-particle" : "", "family" : "Mukhopadhyay", "given" : "Abhishek", "non-dropping-particle" : "", "parse-names" : false, "suffix" : "" }, { "dropping-particle" : "", "family" : "Aguilar", "given" : "Boris H", "non-dropping-particle" : "", "parse-names" : false, "suffix" : "" }, { "dropping-particle" : "", "family" : "Tolokh", "given" : "Igor S", "non-dropping-particle" : "", "parse-names" : false, "suffix" : "" }, { "dropping-particle" : "V", "family" : "Onufriev", "given" : "Alexey", "non-dropping-particle" : "", "parse-names" : false, "suffix" : "" } ], "container-title" : "Journal of Chemical Theory and Computation", "id" : "ITEM-2", "issue" : "4", "issued" : { "date-parts" : [ [ "2014" ] ] }, "page" : "1788 - 1794", "title" : "Introducing Charge Hydration Asymmetry into the Generalized Born Model", "type" : "article-journal", "volume" : "10" }, "uris" : [ "http://www.mendeley.com/documents/?uuid=4a7026c3-1c57-4d3a-b8d3-d5ee6d681d16" ] } ], "mendeley" : { "formattedCitation" : "&lt;b&gt;&lt;i&gt;(44, 45)&lt;/i&gt;&lt;/b&gt;", "plainTextFormattedCitation" : "(44, 45)", "previouslyFormattedCitation" : "&lt;b&gt;&lt;i&gt;(44, 45)&lt;/i&gt;&lt;/b&gt;" }, "properties" : { "noteIndex" : 0 }, "schema" : "https://github.com/citation-style-language/schema/raw/master/csl-citation.json" }</w:instrText>
      </w:r>
      <w:r>
        <w:fldChar w:fldCharType="separate"/>
      </w:r>
      <w:bookmarkStart w:id="54" w:name="__Fieldmark__1129_1847998653"/>
      <w:r>
        <w:rPr>
          <w:rFonts w:cs="Times New Roman" w:ascii="Times New Roman" w:hAnsi="Times New Roman"/>
          <w:color w:val="000000" w:themeColor="text1"/>
        </w:rPr>
      </w:r>
      <w:r>
        <w:rPr>
          <w:rFonts w:cs="Times New Roman" w:ascii="Times New Roman" w:hAnsi="Times New Roman"/>
          <w:b/>
          <w:i/>
          <w:color w:val="000000" w:themeColor="text1"/>
        </w:rPr>
        <w:t>(44, 45)</w:t>
      </w:r>
      <w:r>
        <w:rPr>
          <w:rFonts w:cs="Times New Roman" w:ascii="Times New Roman" w:hAnsi="Times New Roman"/>
          <w:color w:val="000000" w:themeColor="text1"/>
        </w:rPr>
      </w:r>
      <w:r>
        <w:fldChar w:fldCharType="end"/>
      </w:r>
      <w:bookmarkEnd w:id="54"/>
      <w:r>
        <w:rPr>
          <w:rFonts w:cs="Times New Roman" w:ascii="Times New Roman" w:hAnsi="Times New Roman"/>
          <w:color w:val="000000" w:themeColor="text1"/>
        </w:rPr>
        <w:t xml:space="preserve">. The corrected water charge distribution may well eliminate the minor groove collapsing artefact seen in the GB/SA simulations of supercoiled DNA and may facilitate robust CHA-GB/SA simulations of supercoiled minicircles on GPU with a significantly reduced cost. </w:t>
      </w:r>
    </w:p>
    <w:p>
      <w:pPr>
        <w:pStyle w:val="Normal"/>
        <w:spacing w:lineRule="auto" w:line="360"/>
        <w:ind w:firstLine="720"/>
        <w:jc w:val="both"/>
        <w:rPr/>
      </w:pPr>
      <w:r>
        <w:rPr>
          <w:rFonts w:cs="Times New Roman" w:ascii="Times New Roman" w:hAnsi="Times New Roman"/>
          <w:color w:val="000000" w:themeColor="text1"/>
        </w:rPr>
        <w:t xml:space="preserve">Another source of accelerated biomolecular simulations is the ANTON supercomputer, which is a special-purpose computer cluster built for molecular dynamics simulations </w:t>
      </w:r>
      <w:r>
        <w:fldChar w:fldCharType="begin"/>
      </w:r>
      <w:r>
        <w:instrText>ADDIN CSL_CITATION { "citationItems" : [ { "id" : "ITEM-1", "itemData" : { "DOI" : "10.1145/1364782", "PMID" : "1364782", "abstract" : "An abstract is not available", "author" : [ { "dropping-particle" : "", "family" : "Shaw", "given" : "David E", "non-dropping-particle" : "", "parse-names" : false, "suffix" : "" }, { "dropping-particle" : "", "family" : "Deneroff", "given" : "Martin M", "non-dropping-particle" : "", "parse-names" : false, "suffix" : "" }, { "dropping-particle" : "", "family" : "Dror", "given" : "Ron O", "non-dropping-particle" : "", "parse-names" : false, "suffix" : "" }, { "dropping-particle" : "", "family" : "Kuskin", "given" : "Jeffrey S", "non-dropping-particle" : "", "parse-names" : false, "suffix" : "" }, { "dropping-particle" : "", "family" : "Larson", "given" : "Richard H", "non-dropping-particle" : "", "parse-names" : false, "suffix" : "" }, { "dropping-particle" : "", "family" : "Salmon", "given" : "John K", "non-dropping-particle" : "", "parse-names" : false, "suffix" : "" }, { "dropping-particle" : "", "family" : "Young", "given" : "Cliff", "non-dropping-particle" : "", "parse-names" : false, "suffix" : "" }, { "dropping-particle" : "", "family" : "Batson", "given" : "Brannon", "non-dropping-particle" : "", "parse-names" : false, "suffix" : "" }, { "dropping-particle" : "", "family" : "Bowers", "given" : "Kevin J", "non-dropping-particle" : "", "parse-names" : false, "suffix" : "" }, { "dropping-particle" : "", "family" : "Chao", "given" : "Jack C", "non-dropping-particle" : "", "parse-names" : false, "suffix" : "" }, { "dropping-particle" : "", "family" : "Eastwood", "given" : "Michael P", "non-dropping-particle" : "", "parse-names" : false, "suffix" : "" }, { "dropping-particle" : "", "family" : "Gagliardo", "given" : "Joseph", "non-dropping-particle" : "", "parse-names" : false, "suffix" : "" }, { "dropping-particle" : "", "family" : "Grossman", "given" : "J P", "non-dropping-particle" : "", "parse-names" : false, "suffix" : "" }, { "dropping-particle" : "", "family" : "Ho", "given" : "C Richard", "non-dropping-particle" : "", "parse-names" : false, "suffix" : "" }, { "dropping-particle" : "", "family" : "Ierardi", "given" : "Douglas J", "non-dropping-particle" : "", "parse-names" : false, "suffix" : "" }, { "dropping-particle" : "", "family" : "Kolossv\u00e1ry", "given" : "Istv\u00e1n", "non-dropping-particle" : "", "parse-names" : false, "suffix" : "" }, { "dropping-particle" : "", "family" : "Klepeis", "given" : "John L", "non-dropping-particle" : "", "parse-names" : false, "suffix" : "" }, { "dropping-particle" : "", "family" : "Layman", "given" : "Timothy", "non-dropping-particle" : "", "parse-names" : false, "suffix" : "" }, { "dropping-particle" : "", "family" : "Mcleavey", "given" : "Christine", "non-dropping-particle" : "", "parse-names" : false, "suffix" : "" }, { "dropping-particle" : "", "family" : "Moraes", "given" : "Mark A", "non-dropping-particle" : "", "parse-names" : false, "suffix" : "" }, { "dropping-particle" : "", "family" : "Mueller", "given" : "Rolf", "non-dropping-particle" : "", "parse-names" : false, "suffix" : "" }, { "dropping-particle" : "", "family" : "Priest", "given" : "Edward C", "non-dropping-particle" : "", "parse-names" : false, "suffix" : "" }, { "dropping-particle" : "", "family" : "Shan", "given" : "Yibing", "non-dropping-particle" : "", "parse-names" : false, "suffix" : "" }, { "dropping-particle" : "", "family" : "Spengler", "given" : "Jochen", "non-dropping-particle" : "", "parse-names" : false, "suffix" : "" }, { "dropping-particle" : "", "family" : "Theobald", "given" : "Michael", "non-dropping-particle" : "", "parse-names" : false, "suffix" : "" }, { "dropping-particle" : "", "family" : "Towles", "given" : "Brian", "non-dropping-particle" : "", "parse-names" : false, "suffix" : "" }, { "dropping-particle" : "", "family" : "Wang", "given" : "Stanley C", "non-dropping-particle" : "", "parse-names" : false, "suffix" : "" } ], "container-title" : "Communications of the ACM", "id" : "ITEM-1", "issue" : "7", "issued" : { "date-parts" : [ [ "2008" ] ] }, "page" : "91-97", "title" : "Anton, a special-purpose machine for molecular dynamics simulation", "type" : "article-journal", "volume" : "51" }, "uris" : [ "http://www.mendeley.com/documents/?uuid=3056840e-4b61-47aa-bff6-da05fdbf5ca0" ] } ], "mendeley" : { "formattedCitation" : "&lt;b&gt;&lt;i&gt;(46)&lt;/i&gt;&lt;/b&gt;", "plainTextFormattedCitation" : "(46)", "previouslyFormattedCitation" : "&lt;b&gt;&lt;i&gt;(46)&lt;/i&gt;&lt;/b&gt;" }, "properties" : { "noteIndex" : 0 }, "schema" : "https://github.com/citation-style-language/schema/raw/master/csl-citation.json" }</w:instrText>
      </w:r>
      <w:r>
        <w:fldChar w:fldCharType="separate"/>
      </w:r>
      <w:bookmarkStart w:id="55" w:name="__Fieldmark__1155_1847998653"/>
      <w:r>
        <w:rPr>
          <w:rFonts w:cs="Times New Roman" w:ascii="Times New Roman" w:hAnsi="Times New Roman"/>
          <w:color w:val="000000" w:themeColor="text1"/>
        </w:rPr>
      </w:r>
      <w:r>
        <w:rPr>
          <w:rFonts w:cs="Times New Roman" w:ascii="Times New Roman" w:hAnsi="Times New Roman"/>
          <w:b/>
          <w:i/>
          <w:color w:val="000000" w:themeColor="text1"/>
        </w:rPr>
        <w:t>(46)</w:t>
      </w:r>
      <w:r>
        <w:rPr>
          <w:rFonts w:cs="Times New Roman" w:ascii="Times New Roman" w:hAnsi="Times New Roman"/>
          <w:color w:val="000000" w:themeColor="text1"/>
        </w:rPr>
      </w:r>
      <w:r>
        <w:fldChar w:fldCharType="end"/>
      </w:r>
      <w:bookmarkEnd w:id="55"/>
      <w:r>
        <w:rPr>
          <w:rFonts w:cs="Times New Roman" w:ascii="Times New Roman" w:hAnsi="Times New Roman"/>
          <w:color w:val="000000" w:themeColor="text1"/>
        </w:rPr>
        <w:t xml:space="preserve"> which have provided MD trajectories as long as 1.119 ms within 164 days (6.82 μs/day) using 128 nodes for the explicitly solvated small protein Fip35 WW domain (containing 10,000 atoms) </w:t>
      </w:r>
      <w:r>
        <w:fldChar w:fldCharType="begin"/>
      </w:r>
      <w:r>
        <w:instrText>ADDIN CSL_CITATION { "citationItems" : [ { "id" : "ITEM-1", "itemData" : { "DOI" : "10.1073/pnas.1201811109", "ISBN" : "1091-6490 (Electronic)\r0027-8424 (Linking)", "ISSN" : "0027-8424", "PMID" : "22822217", "author" : [ { "dropping-particle" : "", "family" : "Piana", "given" : "S.", "non-dropping-particle" : "", "parse-names" : false, "suffix" : "" }, { "dropping-particle" : "", "family" : "Lindorff-Larsen", "given" : "K.", "non-dropping-particle" : "", "parse-names" : false, "suffix" : "" }, { "dropping-particle" : "", "family" : "Shaw", "given" : "D. E.", "non-dropping-particle" : "", "parse-names" : false, "suffix" : "" } ], "container-title" : "Proceedings of the National Academy of Sciences", "id" : "ITEM-1", "issue" : "44", "issued" : { "date-parts" : [ [ "2012" ] ] }, "page" : "17845-17850", "title" : "Protein folding kinetics and thermodynamics from atomistic simulation", "type" : "article-journal", "volume" : "109" }, "uris" : [ "http://www.mendeley.com/documents/?uuid=0c14942a-4540-4047-9f20-71ceba37a68d" ] } ], "mendeley" : { "formattedCitation" : "&lt;b&gt;&lt;i&gt;(47)&lt;/i&gt;&lt;/b&gt;", "plainTextFormattedCitation" : "(47)", "previouslyFormattedCitation" : "&lt;b&gt;&lt;i&gt;(47)&lt;/i&gt;&lt;/b&gt;" }, "properties" : { "noteIndex" : 0 }, "schema" : "https://github.com/citation-style-language/schema/raw/master/csl-citation.json" }</w:instrText>
      </w:r>
      <w:r>
        <w:fldChar w:fldCharType="separate"/>
      </w:r>
      <w:bookmarkStart w:id="56" w:name="__Fieldmark__1177_1847998653"/>
      <w:r>
        <w:rPr>
          <w:rFonts w:cs="Times New Roman" w:ascii="Times New Roman" w:hAnsi="Times New Roman"/>
          <w:color w:val="000000" w:themeColor="text1"/>
        </w:rPr>
      </w:r>
      <w:r>
        <w:rPr>
          <w:rFonts w:cs="Times New Roman" w:ascii="Times New Roman" w:hAnsi="Times New Roman"/>
          <w:b/>
          <w:i/>
          <w:color w:val="000000" w:themeColor="text1"/>
        </w:rPr>
        <w:t>(47)</w:t>
      </w:r>
      <w:r>
        <w:rPr>
          <w:rFonts w:cs="Times New Roman" w:ascii="Times New Roman" w:hAnsi="Times New Roman"/>
          <w:color w:val="000000" w:themeColor="text1"/>
        </w:rPr>
      </w:r>
      <w:r>
        <w:fldChar w:fldCharType="end"/>
      </w:r>
      <w:bookmarkEnd w:id="56"/>
      <w:r>
        <w:rPr>
          <w:rFonts w:cs="Times New Roman" w:ascii="Times New Roman" w:hAnsi="Times New Roman"/>
          <w:color w:val="000000" w:themeColor="text1"/>
        </w:rPr>
        <w:t xml:space="preserve">. </w:t>
      </w:r>
      <w:r>
        <w:rPr>
          <w:rFonts w:cs="Times New Roman" w:ascii="Times New Roman" w:hAnsi="Times New Roman"/>
          <w:color w:val="000000" w:themeColor="text1"/>
          <w:lang w:val="en-US"/>
        </w:rPr>
        <w:t xml:space="preserve">While the first incarnation of ANTON was limited to simulations containing a maximum of 200,000 atoms, significantly less than is required for a DNA minicircle, the more recent ANTON2 machine is able to perform an MD simulation of a system containing 2,000,000 atoms and is approximately 10 times faster than the original ANTON </w:t>
      </w:r>
      <w:r>
        <w:fldChar w:fldCharType="begin"/>
      </w:r>
      <w:r>
        <w:instrText>ADDIN CSL_CITATION { "citationItems" : [ { "id" : "ITEM-1", "itemData" : { "DOI" : "10.1109/SC.2014.9", "ISBN" : "978-1-4799-5500-8", "author" : [ { "dropping-particle" : "", "family" : "Shaw", "given" : "David E.", "non-dropping-particle" : "", "parse-names" : false, "suffix" : "" }, { "dropping-particle" : "", "family" : "Grossman", "given" : "J.P.", "non-dropping-particle" : "", "parse-names" : false, "suffix" : "" }, { "dropping-particle" : "", "family" : "Bank", "given" : "Joseph A.", "non-dropping-particle" : "", "parse-names" : false, "suffix" : "" }, { "dropping-particle" : "", "family" : "Batson", "given" : "Brannon", "non-dropping-particle" : "", "parse-names" : false, "suffix" : "" }, { "dropping-particle" : "", "family" : "Butts", "given" : "J. Adam", "non-dropping-particle" : "", "parse-names" : false, "suffix" : "" }, { "dropping-particle" : "", "family" : "Chao", "given" : "Jack C.", "non-dropping-particle" : "", "parse-names" : false, "suffix" : "" }, { "dropping-particle" : "", "family" : "Deneroff", "given" : "Martin M.", "non-dropping-particle" : "", "parse-names" : false, "suffix" : "" }, { "dropping-particle" : "", "family" : "Dror", "given" : "Ron O.", "non-dropping-particle" : "", "parse-names" : false, "suffix" : "" }, { "dropping-particle" : "", "family" : "Even", "given" : "Amos", "non-dropping-particle" : "", "parse-names" : false, "suffix" : "" }, { "dropping-particle" : "", "family" : "Fenton", "given" : "Christopher H.", "non-dropping-particle" : "", "parse-names" : false, "suffix" : "" }, { "dropping-particle" : "", "family" : "Forte", "given" : "Anthony", "non-dropping-particle" : "", "parse-names" : false, "suffix" : "" }, { "dropping-particle" : "", "family" : "Gagliardo", "given" : "Joseph", "non-dropping-particle" : "", "parse-names" : false, "suffix" : "" }, { "dropping-particle" : "", "family" : "Gill", "given" : "Gennette", "non-dropping-particle" : "", "parse-names" : false, "suffix" : "" }, { "dropping-particle" : "", "family" : "Greskamp", "given" : "Brian", "non-dropping-particle" : "", "parse-names" : false, "suffix" : "" }, { "dropping-particle" : "", "family" : "Ho", "given" : "C. Richard", "non-dropping-particle" : "", "parse-names" : false, "suffix" : "" }, { "dropping-particle" : "", "family" : "Ierardi", "given" : "Douglas J.", "non-dropping-particle" : "", "parse-names" : false, "suffix" : "" }, { "dropping-particle" : "", "family" : "Iserovich", "given" : "Lev", "non-dropping-particle" : "", "parse-names" : false, "suffix" : "" }, { "dropping-particle" : "", "family" : "Kuskin", "given" : "Jeffrey S.", "non-dropping-particle" : "", "parse-names" : false, "suffix" : "" }, { "dropping-particle" : "", "family" : "Larson", "given" : "Richard H.", "non-dropping-particle" : "", "parse-names" : false, "suffix" : "" }, { "dropping-particle" : "", "family" : "Layman", "given" : "Timothy", "non-dropping-particle" : "", "parse-names" : false, "suffix" : "" }, { "dropping-particle" : "", "family" : "Lee", "given" : "Li-Siang", "non-dropping-particle" : "", "parse-names" : false, "suffix" : "" }, { "dropping-particle" : "", "family" : "Lerer", "given" : "Adam K.", "non-dropping-particle" : "", "parse-names" : false, "suffix" : "" }, { "dropping-particle" : "", "family" : "Li", "given" : "Chester", "non-dropping-particle" : "", "parse-names" : false, "suffix" : "" }, { "dropping-particle" : "", "family" : "Killebrew", "given" : "Daniel", "non-dropping-particle" : "", "parse-names" : false, "suffix" : "" }, { "dropping-particle" : "", "family" : "Mackenzie", "given" : "Kenneth M.", "non-dropping-particle" : "", "parse-names" : false, "suffix" : "" }, { "dropping-particle" : "", "family" : "Mok", "given" : "Shark Yeuk-Hai", "non-dropping-particle" : "", "parse-names" : false, "suffix" : "" }, { "dropping-particle" : "", "family" : "Moraes", "given" : "Mark A.", "non-dropping-particle" : "", "parse-names" : false, "suffix" : "" }, { "dropping-particle" : "", "family" : "Mueller", "given" : "Rolf", "non-dropping-particle" : "", "parse-names" : false, "suffix" : "" }, { "dropping-particle" : "", "family" : "Nociolo", "given" : "Lawrence J.", "non-dropping-particle" : "", "parse-names" : false, "suffix" : "" }, { "dropping-particle" : "", "family" : "Peticolas", "given" : "Jon L.", "non-dropping-particle" : "", "parse-names" : false, "suffix" : "" }, { "dropping-particle" : "", "family" : "Quan", "given" : "Terry", "non-dropping-particle" : "", "parse-names" : false, "suffix" : "" }, { "dropping-particle" : "", "family" : "Ramot", "given" : "Daniel", "non-dropping-particle" : "", "parse-names" : false, "suffix" : "" }, { "dropping-particle" : "", "family" : "Salmon", "given" : "John K.", "non-dropping-particle" : "", "parse-names" : false, "suffix" : "" }, { "dropping-particle" : "", "family" : "Scarpazza", "given" : "Daniele P.", "non-dropping-particle" : "", "parse-names" : false, "suffix" : "" }, { "dropping-particle" : "Ben", "family" : "Schafer", "given" : "U.", "non-dropping-particle" : "", "parse-names" : false, "suffix" : "" }, { "dropping-particle" : "", "family" : "Siddique", "given" : "Naseer", "non-dropping-particle" : "", "parse-names" : false, "suffix" : "" }, { "dropping-particle" : "", "family" : "Snyder", "given" : "Christopher W.", "non-dropping-particle" : "", "parse-names" : false, "suffix" : "" }, { "dropping-particle" : "", "family" : "Spengler", "given" : "Jochen", "non-dropping-particle" : "", "parse-names" : false, "suffix" : "" }, { "dropping-particle" : "", "family" : "Tang", "given" : "Ping Tak Peter", "non-dropping-particle" : "", "parse-names" : false, "suffix" : "" }, { "dropping-particle" : "", "family" : "Theobald", "given" : "Michael", "non-dropping-particle" : "", "parse-names" : false, "suffix" : "" }, { "dropping-particle" : "", "family" : "Toma", "given" : "Horia", "non-dropping-particle" : "", "parse-names" : false, "suffix" : "" }, { "dropping-particle" : "", "family" : "Towles", "given" : "Brian", "non-dropping-particle" : "", "parse-names" : false, "suffix" : "" }, { "dropping-particle" : "", "family" : "Vitale", "given" : "Benjamin", "non-dropping-particle" : "", "parse-names" : false, "suffix" : "" }, { "dropping-particle" : "", "family" : "Wang", "given" : "Stanley C.", "non-dropping-particle" : "", "parse-names" : false, "suffix" : "" }, { "dropping-particle" : "", "family" : "Young", "given" : "Cliff", "non-dropping-particle" : "", "parse-names" : false, "suffix" : "" } ], "container-title" : "SC14: International Conference for High Performance Computing, Networking, Storage and Analysis", "id" : "ITEM-1", "issued" : { "date-parts" : [ [ "2014" ] ] }, "page" : "41-53", "title" : "Anton 2: Raising the Bar for Performance and Programmability in a Special-Purpose Molecular Dynamics Supercomputer", "type" : "article-journal" }, "uris" : [ "http://www.mendeley.com/documents/?uuid=0676035b-0619-4126-84b5-81fcd40d334e" ] } ], "mendeley" : { "formattedCitation" : "&lt;b&gt;&lt;i&gt;(48)&lt;/i&gt;&lt;/b&gt;", "plainTextFormattedCitation" : "(48)", "previouslyFormattedCitation" : "&lt;b&gt;&lt;i&gt;(48)&lt;/i&gt;&lt;/b&gt;" }, "properties" : { "noteIndex" : 0 }, "schema" : "https://github.com/citation-style-language/schema/raw/master/csl-citation.json" }</w:instrText>
      </w:r>
      <w:r>
        <w:fldChar w:fldCharType="separate"/>
      </w:r>
      <w:bookmarkStart w:id="57" w:name="__Fieldmark__1195_1847998653"/>
      <w:r>
        <w:rPr>
          <w:rFonts w:cs="Times New Roman" w:ascii="Times New Roman" w:hAnsi="Times New Roman"/>
          <w:color w:val="000000" w:themeColor="text1"/>
          <w:lang w:val="en-US"/>
        </w:rPr>
      </w:r>
      <w:r>
        <w:rPr>
          <w:rFonts w:cs="Times New Roman" w:ascii="Times New Roman" w:hAnsi="Times New Roman"/>
          <w:b/>
          <w:i/>
          <w:color w:val="000000" w:themeColor="text1"/>
          <w:lang w:val="en-US"/>
        </w:rPr>
        <w:t>(48)</w:t>
      </w:r>
      <w:r>
        <w:rPr>
          <w:rFonts w:cs="Times New Roman" w:ascii="Times New Roman" w:hAnsi="Times New Roman"/>
          <w:color w:val="000000" w:themeColor="text1"/>
          <w:lang w:val="en-US"/>
        </w:rPr>
      </w:r>
      <w:r>
        <w:fldChar w:fldCharType="end"/>
      </w:r>
      <w:bookmarkEnd w:id="57"/>
      <w:r>
        <w:rPr>
          <w:rFonts w:cs="Times New Roman" w:ascii="Times New Roman" w:hAnsi="Times New Roman"/>
          <w:color w:val="000000" w:themeColor="text1"/>
          <w:lang w:val="en-US"/>
        </w:rPr>
        <w:t>, which would in principle be able to simulation a DNA minicircle containing hundreds of</w:t>
      </w:r>
      <w:r>
        <w:rPr>
          <w:rFonts w:cs="Times New Roman" w:ascii="Times New Roman" w:hAnsi="Times New Roman"/>
          <w:color w:val="FF0000"/>
          <w:lang w:val="en-US"/>
        </w:rPr>
        <w:t xml:space="preserve"> </w:t>
      </w:r>
      <w:r>
        <w:rPr>
          <w:rFonts w:cs="Times New Roman" w:ascii="Times New Roman" w:hAnsi="Times New Roman"/>
          <w:color w:val="000000" w:themeColor="text1"/>
          <w:lang w:val="en-US"/>
        </w:rPr>
        <w:t>base pairs over multiple microsecond timescales.</w:t>
      </w:r>
    </w:p>
    <w:p>
      <w:pPr>
        <w:pStyle w:val="Normal"/>
        <w:spacing w:lineRule="auto" w:line="360"/>
        <w:ind w:firstLine="720"/>
        <w:jc w:val="both"/>
        <w:rPr/>
      </w:pPr>
      <w:r>
        <w:rPr>
          <w:rFonts w:cs="Times New Roman" w:ascii="Times New Roman" w:hAnsi="Times New Roman"/>
          <w:color w:val="000000" w:themeColor="text1"/>
          <w:lang w:val="en-US"/>
        </w:rPr>
        <w:t xml:space="preserve">Atomistically detailed MD simulations of minicircles could assist in developing them as gene therapy vectors </w:t>
      </w:r>
      <w:r>
        <w:fldChar w:fldCharType="begin"/>
      </w:r>
      <w:r>
        <w:instrText>ADDIN CSL_CITATION { "citationItems" : [ { "id" : "ITEM-1", "itemData" : { "DOI" : "10.1038/gt.2010.123", "ISSN" : "1476-5462", "PMID" : "20962872", "abstract" : "This work illustrates the utility of Minivector DNA, a non-viral, supercoiled gene therapy vector incorporating short hairpin RNA from an H1 promoter. Minivector DNA is superior to both plasmid DNA and small interfering RNA (siRNA) in that it has improved biostability while maintaining high cell transfection efficiency and gene silencing capacity. Minivector DNAs were stable for over 48 h in human serum, as compared with only 0.5 and 2 h for siRNA and plasmid, respectively. Although all three nucleic acids exhibited similar transfection efficiencies in easily transfected adhesion fibroblasts cells, only Minivector DNAs and siRNA were capable of transfecting difficult-to-transfect suspension lymphoma cells. Minivector DNA and siRNA were capable of silencing the gene encoding anaplastic lymphoma kinase, a key pathogenic factor of human anaplastic large cell lymphoma, and this silencing caused inhibition of the lymphoma cells. Based on these results, Minivector DNAs are a promising new gene therapy tool.", "author" : [ { "dropping-particle" : "", "family" : "Zhao", "given" : "N", "non-dropping-particle" : "", "parse-names" : false, "suffix" : "" }, { "dropping-particle" : "", "family" : "Fogg", "given" : "J M", "non-dropping-particle" : "", "parse-names" : false, "suffix" : "" }, { "dropping-particle" : "", "family" : "Zechiedrich", "given" : "L", "non-dropping-particle" : "", "parse-names" : false, "suffix" : "" }, { "dropping-particle" : "", "family" : "Zu", "given" : "Y", "non-dropping-particle" : "", "parse-names" : false, "suffix" : "" } ], "container-title" : "Gene therapy", "id" : "ITEM-1", "issue" : "3", "issued" : { "date-parts" : [ [ "2011", "3" ] ] }, "page" : "220-224", "title" : "Transfection of shRNA-encoding Minivector DNA of a few hundred base pairs to regulate gene expression in lymphoma cells.", "type" : "article-journal", "volume" : "18" }, "uris" : [ "http://www.mendeley.com/documents/?uuid=ffa32f7b-fa44-480d-b764-c70078d18741" ] } ], "mendeley" : { "formattedCitation" : "&lt;b&gt;&lt;i&gt;(49)&lt;/i&gt;&lt;/b&gt;", "plainTextFormattedCitation" : "(49)", "previouslyFormattedCitation" : "&lt;b&gt;&lt;i&gt;(49)&lt;/i&gt;&lt;/b&gt;" }, "properties" : { "noteIndex" : 0 }, "schema" : "https://github.com/citation-style-language/schema/raw/master/csl-citation.json" }</w:instrText>
      </w:r>
      <w:r>
        <w:fldChar w:fldCharType="separate"/>
      </w:r>
      <w:bookmarkStart w:id="58" w:name="__Fieldmark__1216_1847998653"/>
      <w:r>
        <w:rPr>
          <w:rFonts w:cs="Times New Roman" w:ascii="Times New Roman" w:hAnsi="Times New Roman"/>
          <w:color w:val="000000" w:themeColor="text1"/>
          <w:lang w:val="en-US"/>
        </w:rPr>
      </w:r>
      <w:r>
        <w:rPr>
          <w:rFonts w:cs="Times New Roman" w:ascii="Times New Roman" w:hAnsi="Times New Roman"/>
          <w:b/>
          <w:i/>
          <w:color w:val="000000" w:themeColor="text1"/>
          <w:lang w:val="en-US"/>
        </w:rPr>
        <w:t>(49)</w:t>
      </w:r>
      <w:r>
        <w:rPr>
          <w:rFonts w:cs="Times New Roman" w:ascii="Times New Roman" w:hAnsi="Times New Roman"/>
          <w:color w:val="000000" w:themeColor="text1"/>
          <w:lang w:val="en-US"/>
        </w:rPr>
      </w:r>
      <w:r>
        <w:fldChar w:fldCharType="end"/>
      </w:r>
      <w:bookmarkEnd w:id="58"/>
      <w:r>
        <w:rPr>
          <w:rFonts w:cs="Times New Roman" w:ascii="Times New Roman" w:hAnsi="Times New Roman"/>
          <w:color w:val="000000" w:themeColor="text1"/>
          <w:lang w:val="en-US"/>
        </w:rPr>
        <w:t xml:space="preserve">. These DNA “minivectors” have already been shown to efficiently transfect lymphoma cells and have proven to be more resistant to hydrodynamic shear stress during the gene therapy delivery </w:t>
      </w:r>
      <w:r>
        <w:fldChar w:fldCharType="begin"/>
      </w:r>
      <w:r>
        <w:instrText>ADDIN CSL_CITATION { "citationItems" : [ { "id" : "ITEM-1", "itemData" : { "DOI" : "10.1038/gt.2011.77", "ISSN" : "1476-5462", "PMID" : "21633394", "abstract" : "Supercoiled DNAs varying from 281 to 5302 bp were subjected to shear forces generated by aerosolization or sonication. DNA shearing strongly correlated with length. Typical sized plasmids (\u2265 3000 bp) degraded rapidly. DNAs 2000-3000 bp persisted ~10 min. Even in the absence of condensing agents, supercoiled DNA &lt;1200 bp survived nebulization, and increased forces of sonication were necessary to shear it. Circular vectors were considerably more resistant to shearing than linear vectors of the same length. DNA supercoiling afforded additional protection. These results show the potential of shear-resistant Minivector DNAs to overcome one of the major challenges associated with gene therapy delivery.", "author" : [ { "dropping-particle" : "", "family" : "Catanese", "given" : "D J", "non-dropping-particle" : "", "parse-names" : false, "suffix" : "" }, { "dropping-particle" : "", "family" : "Fogg", "given" : "J M", "non-dropping-particle" : "", "parse-names" : false, "suffix" : "" }, { "dropping-particle" : "", "family" : "Schrock", "given" : "D E", "non-dropping-particle" : "", "parse-names" : false, "suffix" : "" }, { "dropping-particle" : "", "family" : "Gilbert", "given" : "B E", "non-dropping-particle" : "", "parse-names" : false, "suffix" : "" }, { "dropping-particle" : "", "family" : "Zechiedrich", "given" : "L", "non-dropping-particle" : "", "parse-names" : false, "suffix" : "" } ], "container-title" : "Gene therapy", "id" : "ITEM-1", "issue" : "1", "issued" : { "date-parts" : [ [ "2012", "1" ] ] }, "page" : "94-100", "publisher" : "Nature Publishing Group", "title" : "Supercoiled Minivector DNA resists shear forces associated with gene therapy delivery.", "type" : "article-journal", "volume" : "19" }, "uris" : [ "http://www.mendeley.com/documents/?uuid=19d65e2e-954b-4378-a5d6-eb2891fb2159" ] } ], "mendeley" : { "formattedCitation" : "&lt;b&gt;&lt;i&gt;(50)&lt;/i&gt;&lt;/b&gt;", "plainTextFormattedCitation" : "(50)", "previouslyFormattedCitation" : "&lt;b&gt;&lt;i&gt;(50)&lt;/i&gt;&lt;/b&gt;" }, "properties" : { "noteIndex" : 0 }, "schema" : "https://github.com/citation-style-language/schema/raw/master/csl-citation.json" }</w:instrText>
      </w:r>
      <w:r>
        <w:fldChar w:fldCharType="separate"/>
      </w:r>
      <w:bookmarkStart w:id="59" w:name="__Fieldmark__1233_1847998653"/>
      <w:r>
        <w:rPr>
          <w:rFonts w:cs="Times New Roman" w:ascii="Times New Roman" w:hAnsi="Times New Roman"/>
          <w:color w:val="000000" w:themeColor="text1"/>
          <w:lang w:val="en-US"/>
        </w:rPr>
      </w:r>
      <w:r>
        <w:rPr>
          <w:rFonts w:cs="Times New Roman" w:ascii="Times New Roman" w:hAnsi="Times New Roman"/>
          <w:b/>
          <w:i/>
          <w:color w:val="000000" w:themeColor="text1"/>
          <w:lang w:val="en-US"/>
        </w:rPr>
        <w:t>(50)</w:t>
      </w:r>
      <w:r>
        <w:rPr>
          <w:rFonts w:cs="Times New Roman" w:ascii="Times New Roman" w:hAnsi="Times New Roman"/>
          <w:color w:val="000000" w:themeColor="text1"/>
          <w:lang w:val="en-US"/>
        </w:rPr>
      </w:r>
      <w:r>
        <w:fldChar w:fldCharType="end"/>
      </w:r>
      <w:bookmarkEnd w:id="59"/>
      <w:r>
        <w:rPr>
          <w:rFonts w:cs="Times New Roman" w:ascii="Times New Roman" w:hAnsi="Times New Roman"/>
          <w:color w:val="000000" w:themeColor="text1"/>
          <w:lang w:val="en-US"/>
        </w:rPr>
        <w:t xml:space="preserve"> than larger plasmids. Moreover, DNA minicircles of the same size (200-400 bp) have been detected </w:t>
      </w:r>
      <w:r>
        <w:rPr>
          <w:rFonts w:cs="Times New Roman" w:ascii="Times New Roman" w:hAnsi="Times New Roman"/>
          <w:i/>
          <w:color w:val="000000" w:themeColor="text1"/>
          <w:lang w:val="en-US"/>
        </w:rPr>
        <w:t>in vivo</w:t>
      </w:r>
      <w:r>
        <w:rPr>
          <w:rFonts w:cs="Times New Roman" w:ascii="Times New Roman" w:hAnsi="Times New Roman"/>
          <w:color w:val="000000" w:themeColor="text1"/>
          <w:lang w:val="en-US"/>
        </w:rPr>
        <w:t xml:space="preserve"> where they have been excised from the chromosomes </w:t>
      </w:r>
      <w:r>
        <w:fldChar w:fldCharType="begin"/>
      </w:r>
      <w:r>
        <w:instrText>ADDIN CSL_CITATION { "citationItems" : [ { "id" : "ITEM-1", "itemData" : { "DOI" : "10.1158/1538-7445.AM2012-SY23-01", "ISBN" : "1095-9203 (Electronic)\\r0036-8075 (Linking)", "ISSN" : "0008-5472", "PMID" : "22403181", "abstract" : "We have identified tens of thousands of short extrachromosomal circular DNAs (microDNA) in mouse tissues as well as mouse and human cell lines. These microDNAs are 200 to 400 base pairs long, are derived from unique nonrepetitive sequence, and are enriched in the 5'-untranslated regions of genes, exons, and CpG islands. Chromosomal loci that are enriched sources of microDNA in the adult brain are somatically mosaic for microdeletions that appear to arise from the excision of microDNAs. Germline microdeletions identified by the \"Thousand Genomes\" project may also arise from the excision of microDNAs in the germline lineage. We have thus identified a previously unknown DNA entity in mammalian cells and provide evidence that their generation leaves behind deletions in different genomic loci.", "author" : [ { "dropping-particle" : "", "family" : "Shibata", "given" : "Y.", "non-dropping-particle" : "", "parse-names" : false, "suffix" : "" }, { "dropping-particle" : "", "family" : "Kumar", "given" : "P.", "non-dropping-particle" : "", "parse-names" : false, "suffix" : "" }, { "dropping-particle" : "", "family" : "Layer", "given" : "R.", "non-dropping-particle" : "", "parse-names" : false, "suffix" : "" }, { "dropping-particle" : "", "family" : "Willcox", "given" : "S.", "non-dropping-particle" : "", "parse-names" : false, "suffix" : "" }, { "dropping-particle" : "", "family" : "Gagan", "given" : "J. R.", "non-dropping-particle" : "", "parse-names" : false, "suffix" : "" }, { "dropping-particle" : "", "family" : "Griffith", "given" : "J. D.", "non-dropping-particle" : "", "parse-names" : false, "suffix" : "" }, { "dropping-particle" : "", "family" : "Dutta", "given" : "A.", "non-dropping-particle" : "", "parse-names" : false, "suffix" : "" } ], "container-title" : "Science (New York, N.Y.)", "id" : "ITEM-1", "issue" : "April", "issued" : { "date-parts" : [ [ "2012" ] ] }, "page" : "82-86", "title" : "Extrachromosomal microDNAs and chromosomal microdeletions in normal tissues", "type" : "article-journal", "volume" : "336" }, "uris" : [ "http://www.mendeley.com/documents/?uuid=c4d10bf8-c162-40ff-b62c-e04c685e7856" ] } ], "mendeley" : { "formattedCitation" : "&lt;b&gt;&lt;i&gt;(51)&lt;/i&gt;&lt;/b&gt;", "plainTextFormattedCitation" : "(51)", "previouslyFormattedCitation" : "&lt;b&gt;&lt;i&gt;(51)&lt;/i&gt;&lt;/b&gt;" }, "properties" : { "noteIndex" : 0 }, "schema" : "https://github.com/citation-style-language/schema/raw/master/csl-citation.json" }</w:instrText>
      </w:r>
      <w:r>
        <w:fldChar w:fldCharType="separate"/>
      </w:r>
      <w:bookmarkStart w:id="60" w:name="__Fieldmark__1253_1847998653"/>
      <w:r>
        <w:rPr>
          <w:rFonts w:cs="Times New Roman" w:ascii="Times New Roman" w:hAnsi="Times New Roman"/>
          <w:color w:val="000000" w:themeColor="text1"/>
          <w:lang w:val="en-US"/>
        </w:rPr>
      </w:r>
      <w:r>
        <w:rPr>
          <w:rFonts w:cs="Times New Roman" w:ascii="Times New Roman" w:hAnsi="Times New Roman"/>
          <w:b/>
          <w:i/>
          <w:color w:val="000000" w:themeColor="text1"/>
          <w:lang w:val="en-US"/>
        </w:rPr>
        <w:t>(51)</w:t>
      </w:r>
      <w:r>
        <w:rPr>
          <w:rFonts w:cs="Times New Roman" w:ascii="Times New Roman" w:hAnsi="Times New Roman"/>
          <w:color w:val="000000" w:themeColor="text1"/>
          <w:lang w:val="en-US"/>
        </w:rPr>
      </w:r>
      <w:r>
        <w:fldChar w:fldCharType="end"/>
      </w:r>
      <w:bookmarkEnd w:id="60"/>
      <w:r>
        <w:rPr>
          <w:rFonts w:cs="Times New Roman" w:ascii="Times New Roman" w:hAnsi="Times New Roman"/>
          <w:color w:val="000000" w:themeColor="text1"/>
          <w:lang w:val="en-US"/>
        </w:rPr>
        <w:t xml:space="preserve">. Understanding the dynamic properties of DNA minicircles would help to elucidate the occurrence and sequence specificity of chromosomal microdeletion processes. </w:t>
      </w:r>
    </w:p>
    <w:p>
      <w:pPr>
        <w:pStyle w:val="Normal"/>
        <w:spacing w:lineRule="auto" w:line="360"/>
        <w:ind w:firstLine="720"/>
        <w:jc w:val="both"/>
        <w:rPr>
          <w:rFonts w:ascii="Times New Roman" w:hAnsi="Times New Roman" w:cs="Times New Roman"/>
          <w:color w:val="000000" w:themeColor="text1"/>
        </w:rPr>
      </w:pPr>
      <w:r>
        <w:rPr>
          <w:rFonts w:cs="Times New Roman" w:ascii="Times New Roman" w:hAnsi="Times New Roman"/>
          <w:color w:val="000000" w:themeColor="text1"/>
        </w:rPr>
      </w:r>
    </w:p>
    <w:p>
      <w:pPr>
        <w:pStyle w:val="Heading2"/>
        <w:spacing w:lineRule="auto" w:line="360"/>
        <w:jc w:val="both"/>
        <w:rPr>
          <w:rFonts w:ascii="Times New Roman" w:hAnsi="Times New Roman" w:cs="Times New Roman"/>
        </w:rPr>
      </w:pPr>
      <w:bookmarkStart w:id="61" w:name="_Toc294362853"/>
      <w:r>
        <w:rPr>
          <w:rFonts w:cs="Times New Roman" w:ascii="Times New Roman" w:hAnsi="Times New Roman"/>
        </w:rPr>
        <w:t xml:space="preserve">2. </w:t>
      </w:r>
      <w:bookmarkEnd w:id="61"/>
      <w:r>
        <w:rPr>
          <w:rFonts w:cs="Times New Roman" w:ascii="Times New Roman" w:hAnsi="Times New Roman"/>
        </w:rPr>
        <w:t>Materials</w:t>
      </w:r>
    </w:p>
    <w:p>
      <w:pPr>
        <w:pStyle w:val="Heading3"/>
        <w:spacing w:lineRule="auto" w:line="360"/>
        <w:jc w:val="both"/>
        <w:rPr>
          <w:rFonts w:ascii="Times New Roman" w:hAnsi="Times New Roman" w:cs="Times New Roman"/>
          <w:color w:val="000000" w:themeColor="text1"/>
        </w:rPr>
      </w:pPr>
      <w:bookmarkStart w:id="62" w:name="_Toc294362865"/>
      <w:r>
        <w:rPr>
          <w:rFonts w:cs="Times New Roman" w:ascii="Times New Roman" w:hAnsi="Times New Roman"/>
          <w:color w:val="000000" w:themeColor="text1"/>
        </w:rPr>
        <w:t>2.1) MD Simulation, Analysis and Visualisation Software</w:t>
      </w:r>
    </w:p>
    <w:p>
      <w:pPr>
        <w:pStyle w:val="ListParagraph"/>
        <w:numPr>
          <w:ilvl w:val="0"/>
          <w:numId w:val="6"/>
        </w:numPr>
        <w:suppressAutoHyphens w:val="true"/>
        <w:spacing w:lineRule="auto" w:line="360"/>
        <w:jc w:val="both"/>
        <w:rPr/>
      </w:pPr>
      <w:r>
        <w:rPr>
          <w:rFonts w:cs="Times New Roman" w:ascii="Times New Roman" w:hAnsi="Times New Roman"/>
          <w:i/>
          <w:color w:val="000000" w:themeColor="text1"/>
        </w:rPr>
        <w:t>AMBER:</w:t>
      </w:r>
      <w:r>
        <w:rPr>
          <w:rFonts w:cs="Times New Roman" w:ascii="Times New Roman" w:hAnsi="Times New Roman"/>
          <w:color w:val="000000" w:themeColor="text1"/>
        </w:rPr>
        <w:t xml:space="preserve"> The molecular dynamics simulation software package, along with the forcefield ff99+bsc0+</w:t>
      </w:r>
      <w:r>
        <w:rPr>
          <w:rFonts w:eastAsia="Arial Unicode MS" w:cs="Arial Unicode MS" w:ascii="Times New Roman" w:hAnsi="Times New Roman"/>
          <w:color w:val="2E2E2E"/>
          <w:sz w:val="20"/>
          <w:shd w:fill="FFFFFF" w:val="clear"/>
        </w:rPr>
        <w:t></w:t>
      </w:r>
      <w:r>
        <w:rPr>
          <w:rFonts w:cs="Times New Roman" w:ascii="Times New Roman" w:hAnsi="Times New Roman"/>
          <w:color w:val="000000" w:themeColor="text1"/>
          <w:szCs w:val="24"/>
          <w:vertAlign w:val="subscript"/>
        </w:rPr>
        <w:t>OL4</w:t>
      </w:r>
      <w:r>
        <w:rPr>
          <w:rFonts w:cs="Times New Roman" w:ascii="Times New Roman" w:hAnsi="Times New Roman"/>
          <w:color w:val="000000" w:themeColor="text1"/>
        </w:rPr>
        <w:t xml:space="preserve"> are the main tools we have used in the GB/SA implicit solvent simulation </w:t>
      </w:r>
      <w:r>
        <w:fldChar w:fldCharType="begin"/>
      </w:r>
      <w:r>
        <w:instrText>ADDIN CSL_CITATION { "citationItems" : [ { "id" : "ITEM-1", "itemData" : { "author" : [ { "dropping-particle" : "", "family" : "Tsui", "given" : "V.", "non-dropping-particle" : "", "parse-names" : false, "suffix" : "" }, { "dropping-particle" : "", "family" : "Case", "given" : "D. A.", "non-dropping-particle" : "", "parse-names" : false, "suffix" : "" } ], "container-title" : "Biopolymers", "id" : "ITEM-1", "issued" : { "date-parts" : [ [ "2000" ] ] }, "page" : "275-291", "title" : "Theory and Applications of the Generalized Born Solvation Model in", "type" : "article-journal", "volume" : "56" }, "uris" : [ "http://www.mendeley.com/documents/?uuid=0aba2ad9-18ad-4ad2-9378-d196cb6eb239" ] } ], "mendeley" : { "formattedCitation" : "&lt;b&gt;&lt;i&gt;(52)&lt;/i&gt;&lt;/b&gt;", "plainTextFormattedCitation" : "(52)", "previouslyFormattedCitation" : "&lt;b&gt;&lt;i&gt;(52)&lt;/i&gt;&lt;/b&gt;" }, "properties" : { "noteIndex" : 0 }, "schema" : "https://github.com/citation-style-language/schema/raw/master/csl-citation.json" }</w:instrText>
      </w:r>
      <w:r>
        <w:fldChar w:fldCharType="separate"/>
      </w:r>
      <w:bookmarkStart w:id="63" w:name="__Fieldmark__1279_1847998653"/>
      <w:r>
        <w:rPr>
          <w:rFonts w:cs="Times New Roman" w:ascii="Times New Roman" w:hAnsi="Times New Roman"/>
          <w:color w:val="000000" w:themeColor="text1"/>
        </w:rPr>
      </w:r>
      <w:r>
        <w:rPr>
          <w:rFonts w:cs="Times New Roman" w:ascii="Times New Roman" w:hAnsi="Times New Roman"/>
          <w:b/>
          <w:i/>
          <w:color w:val="000000" w:themeColor="text1"/>
        </w:rPr>
        <w:t>(</w:t>
      </w:r>
      <w:bookmarkStart w:id="64" w:name="__Fieldmark__474_441382956"/>
      <w:r>
        <w:rPr>
          <w:rFonts w:cs="Times New Roman" w:ascii="Times New Roman" w:hAnsi="Times New Roman"/>
          <w:b/>
          <w:i/>
          <w:color w:val="000000" w:themeColor="text1"/>
        </w:rPr>
        <w:t>52)</w:t>
      </w:r>
      <w:r>
        <w:rPr>
          <w:rFonts w:cs="Times New Roman" w:ascii="Times New Roman" w:hAnsi="Times New Roman"/>
          <w:color w:val="000000" w:themeColor="text1"/>
        </w:rPr>
      </w:r>
      <w:r>
        <w:fldChar w:fldCharType="end"/>
      </w:r>
      <w:bookmarkStart w:id="65" w:name="__Fieldmark__1070_124395177"/>
      <w:bookmarkEnd w:id="63"/>
      <w:bookmarkEnd w:id="64"/>
      <w:bookmarkEnd w:id="65"/>
      <w:r>
        <w:rPr>
          <w:rFonts w:cs="Times New Roman" w:ascii="Times New Roman" w:hAnsi="Times New Roman"/>
          <w:color w:val="000000" w:themeColor="text1"/>
        </w:rPr>
        <w:t xml:space="preserve">. In an AMBER simulation, the module SANDER reads in a series of input parameter, topology and coordinate files to output a *.mdcrd AMBER trajectory and a restart coordinate files </w:t>
      </w:r>
      <w:r>
        <w:fldChar w:fldCharType="begin"/>
      </w:r>
      <w:r>
        <w:instrText>ADDIN CSL_CITATION { "citationItems" : [ { "id" : "ITEM-1", "itemData" : { "author" : [ { "dropping-particle" : "", "family" : "Case", "given" : "D.A.", "non-dropping-particle" : "", "parse-names" : false, "suffix" : "" }, { "dropping-particle" : "", "family" : "Darden", "given" : "T.A.", "non-dropping-particle" : "", "parse-names" : false, "suffix" : "" }, { "dropping-particle" : "", "family" : "Cheatham III", "given" : "T.E.", "non-dropping-particle" : "", "parse-names" : false, "suffix" : "" }, { "dropping-particle" : "", "family" : "Simmerling", "given" : "C.L.", "non-dropping-particle" : "", "parse-names" : false, "suffix" : "" }, { "dropping-particle" : "", "family" : "Wang", "given" : "J.", "non-dropping-particle" : "", "parse-names" : false, "suffix" : "" }, { "dropping-particle" : "", "family" : "Duke", "given" : "R.E.", "non-dropping-particle" : "", "parse-names" : false, "suffix" : "" }, { "dropping-particle" : "", "family" : "Luo", "given" : "R.", "non-dropping-particle" : "", "parse-names" : false, "suffix" : "" }, { "dropping-particle" : "", "family" : "Walker", "given" : "R.C.", "non-dropping-particle" : "", "parse-names" : false, "suffix" : "" }, { "dropping-particle" : "", "family" : "Zhang", "given" : "W.", "non-dropping-particle" : "", "parse-names" : false, "suffix" : "" }, { "dropping-particle" : "", "family" : "Merz", "given" : "K.M.", "non-dropping-particle" : "", "parse-names" : false, "suffix" : "" }, { "dropping-particle" : "", "family" : "Roberts", "given" : "B.", "non-dropping-particle" : "", "parse-names" : false, "suffix" : "" }, { "dropping-particle" : "", "family" : "Wang", "given" : "B.", "non-dropping-particle" : "", "parse-names" : false, "suffix" : "" }, { "dropping-particle" : "", "family" : "Hayik", "given" : "S.", "non-dropping-particle" : "", "parse-names" : false, "suffix" : "" }, { "dropping-particle" : "", "family" : "Roitberg", "given" : "A.", "non-dropping-particle" : "", "parse-names" : false, "suffix" : "" }, { "dropping-particle" : "", "family" : "Seabra", "given" : "G.", "non-dropping-particle" : "", "parse-names" : false, "suffix" : "" }, { "dropping-particle" : "", "family" : "Kolossvary", "given" : "I.", "non-dropping-particle" : "", "parse-names" : false, "suffix" : "" }, { "dropping-particle" : "", "family" : "Wong", "given" : "K.F.", "non-dropping-particle" : "", "parse-names" : false, "suffix" : "" }, { "dropping-particle" : "", "family" : "Paesani", "given" : "F.", "non-dropping-particle" : "", "parse-names" : false, "suffix" : "" }, { "dropping-particle" : "", "family" : "Vanicek", "given" : "J.", "non-dropping-particle" : "", "parse-names" : false, "suffix" : "" }, { "dropping-particle" : "", "family" : "Liu", "given" : "J.", "non-dropping-particle" : "", "parse-names" : false, "suffix" : "" }, { "dropping-particle" : "", "family" : "Wu", "given" : "X.", "non-dropping-particle" : "", "parse-names" : false, "suffix" : "" }, { "dropping-particle" : "", "family" : "Brozell", "given" : "S.R.", "non-dropping-particle" : "", "parse-names" : false, "suffix" : "" }, { "dropping-particle" : "", "family" : "Steinbrecher", "given" : "T.", "non-dropping-particle" : "", "parse-names" : false, "suffix" : "" }, { "dropping-particle" : "", "family" : "Gohlke", "given" : "H.", "non-dropping-particle" : "", "parse-names" : false, "suffix" : "" }, { "dropping-particle" : "", "family" : "Cai", "given" : "Q.", "non-dropping-particle" : "", "parse-names" : false, "suffix" : "" }, { "dropping-particle" : "", "family" : "Ye", "given" : "X.", "non-dropping-particle" : "", "parse-names" : false, "suffix" : "" }, { "dropping-particle" : "", "family" : "Hsieh", "given" : "M.J.", "non-dropping-particle" : "", "parse-names" : false, "suffix" : "" }, { "dropping-particle" : "", "family" : "Cui", "given" : "G.", "non-dropping-particle" : "", "parse-names" : false, "suffix" : "" }, { "dropping-particle" : "", "family" : "Roe", "given" : "D.R.", "non-dropping-particle" : "", "parse-names" : false, "suffix" : "" }, { "dropping-particle" : "", "family" : "Mathews", "given" : "D.H.", "non-dropping-particle" : "", "parse-names" : false, "suffix" : "" }, { "dropping-particle" : "", "family" : "Seetin", "given" : "M.G.", "non-dropping-particle" : "", "parse-names" : false, "suffix" : "" }, { "dropping-particle" : "", "family" : "Sagui", "given" : "C.", "non-dropping-particle" : "", "parse-names" : false, "suffix" : "" }, { "dropping-particle" : "", "family" : "Babin", "given" : "V.", "non-dropping-particle" : "", "parse-names" : false, "suffix" : "" }, { "dropping-particle" : "", "family" : "Luchko", "given" : "T.", "non-dropping-particle" : "", "parse-names" : false, "suffix" : "" }, { "dropping-particle" : "", "family" : "Gusarov", "given" : "S.", "non-dropping-particle" : "", "parse-names" : false, "suffix" : "" }, { "dropping-particle" : "", "family" : "Kovalenko", "given" : "A.", "non-dropping-particle" : "", "parse-names" : false, "suffix" : "" }, { "dropping-particle" : "", "family" : "Kollman", "given" : "P.A.", "non-dropping-particle" : "", "parse-names" : false, "suffix" : "" } ], "container-title" : "University of California, San Francisco", "id" : "ITEM-1", "issued" : { "date-parts" : [ [ "2010" ] ] }, "title" : "Amber 11", "type" : "article-journal" }, "uris" : [ "http://www.mendeley.com/documents/?uuid=fd838a01-ec40-41c5-961b-4728ea081cfd" ] } ], "mendeley" : { "formattedCitation" : "&lt;b&gt;&lt;i&gt;(53)&lt;/i&gt;&lt;/b&gt;", "plainTextFormattedCitation" : "(53)", "previouslyFormattedCitation" : "&lt;b&gt;&lt;i&gt;(53)&lt;/i&gt;&lt;/b&gt;" }, "properties" : { "noteIndex" : 0 }, "schema" : "https://github.com/citation-style-language/schema/raw/master/csl-citation.json" }</w:instrText>
      </w:r>
      <w:r>
        <w:fldChar w:fldCharType="separate"/>
      </w:r>
      <w:bookmarkStart w:id="66" w:name="__Fieldmark__1291_1847998653"/>
      <w:r>
        <w:rPr>
          <w:rFonts w:cs="Times New Roman" w:ascii="Times New Roman" w:hAnsi="Times New Roman"/>
          <w:color w:val="000000" w:themeColor="text1"/>
        </w:rPr>
      </w:r>
      <w:r>
        <w:rPr>
          <w:rFonts w:cs="Times New Roman" w:ascii="Times New Roman" w:hAnsi="Times New Roman"/>
          <w:b/>
          <w:i/>
          <w:color w:val="000000" w:themeColor="text1"/>
        </w:rPr>
        <w:t>(</w:t>
      </w:r>
      <w:bookmarkStart w:id="67" w:name="__Fieldmark__482_441382956"/>
      <w:r>
        <w:rPr>
          <w:rFonts w:cs="Times New Roman" w:ascii="Times New Roman" w:hAnsi="Times New Roman"/>
          <w:b/>
          <w:i/>
          <w:color w:val="000000" w:themeColor="text1"/>
        </w:rPr>
        <w:t>53)</w:t>
      </w:r>
      <w:r>
        <w:rPr>
          <w:rFonts w:cs="Times New Roman" w:ascii="Times New Roman" w:hAnsi="Times New Roman"/>
          <w:color w:val="000000" w:themeColor="text1"/>
        </w:rPr>
      </w:r>
      <w:r>
        <w:fldChar w:fldCharType="end"/>
      </w:r>
      <w:bookmarkStart w:id="68" w:name="__Fieldmark__1083_124395177"/>
      <w:bookmarkEnd w:id="66"/>
      <w:bookmarkEnd w:id="67"/>
      <w:bookmarkEnd w:id="68"/>
      <w:r>
        <w:rPr>
          <w:rFonts w:cs="Times New Roman" w:ascii="Times New Roman" w:hAnsi="Times New Roman"/>
          <w:color w:val="000000" w:themeColor="text1"/>
        </w:rPr>
        <w:t>.</w:t>
      </w:r>
    </w:p>
    <w:p>
      <w:pPr>
        <w:pStyle w:val="ListParagraph"/>
        <w:numPr>
          <w:ilvl w:val="0"/>
          <w:numId w:val="6"/>
        </w:numPr>
        <w:suppressAutoHyphens w:val="true"/>
        <w:spacing w:lineRule="auto" w:line="360"/>
        <w:jc w:val="both"/>
        <w:rPr/>
      </w:pPr>
      <w:r>
        <w:rPr>
          <w:rFonts w:cs="Times New Roman" w:ascii="Times New Roman" w:hAnsi="Times New Roman"/>
          <w:i/>
          <w:color w:val="000000" w:themeColor="text1"/>
        </w:rPr>
        <w:t>GROMACS:</w:t>
      </w:r>
      <w:r>
        <w:rPr>
          <w:rFonts w:cs="Times New Roman" w:ascii="Times New Roman" w:hAnsi="Times New Roman"/>
          <w:color w:val="000000" w:themeColor="text1"/>
        </w:rPr>
        <w:t xml:space="preserve"> This MD software package currently has the reputation of being the most efficient at generating explicitly solvated simulations trajectories. Fast MD is extremely important for DNA minicircles, given that the simulation cell can contain more than 1,000,000 atoms. A similar forcefield</w:t>
      </w:r>
      <w:r>
        <w:rPr>
          <w:rFonts w:cs="Times New Roman" w:ascii="Times New Roman" w:hAnsi="Times New Roman"/>
          <w:color w:val="000000" w:themeColor="text1"/>
          <w:lang w:val="en-US"/>
        </w:rPr>
        <w:t xml:space="preserve"> (e.g. AMBER) as for the implicitly solvated calculations is used to maintain consistency between the two types of simulations. A perl script ‘ambgmx.pl’ is used to create GROMACS topology and coordinate files for AMBER forcefields </w:t>
      </w:r>
      <w:r>
        <w:fldChar w:fldCharType="begin"/>
      </w:r>
      <w:r>
        <w:instrText>ADDIN CSL_CITATION { "citationItems" : [ { "id" : "ITEM-1", "itemData" : { "DOI" : "10.1093/bioinformatics/btt055", "ISSN" : "1367-4811", "PMID" : "23407358", "abstract" : "MOTIVATION: Molecular simulation has historically been a low-throughput technique, but faster computers and increasing amounts of genomic and structural data are changing this by enabling large-scale automated simulation of, for instance, many conformers or mutants of biomolecules with or without a range of ligands. At the same time, advances in performance and scaling now make it possible to model complex biomolecular interaction and function in a manner directly testable by experiment. These applications share a need for fast and efficient software that can be deployed on massive scale in clusters, web servers, distributed computing or cloud resources. RESULTS: Here, we present a range of new simulation algorithms and features developed during the past 4 years, leading up to the GROMACS 4.5 software package. The software now automatically handles wide classes of biomolecules, such as proteins, nucleic acids and lipids, and comes with all commonly used force fields for these molecules built-in. GROMACS supports several implicit solvent models, as well as new free-energy algorithms, and the software now uses multithreading for efficient parallelization even on low-end systems, including windows-based workstations. Together with hand-tuned assembly kernels and state-of-the-art parallelization, this provides extremely high performance and cost efficiency for high-throughput as well as massively parallel simulations. AVAILABILITY: GROMACS is an open source and free software available from http://www.gromacs.org. SUPPLEMENTARY INFORMATION: Supplementary data are available at Bioinformatics online.", "author" : [ { "dropping-particle" : "", "family" : "Pronk", "given" : "Sander", "non-dropping-particle" : "", "parse-names" : false, "suffix" : "" }, { "dropping-particle" : "", "family" : "P\u00e1ll", "given" : "Szil\u00e1rd", "non-dropping-particle" : "", "parse-names" : false, "suffix" : "" }, { "dropping-particle" : "", "family" : "Schulz", "given" : "Roland", "non-dropping-particle" : "", "parse-names" : false, "suffix" : "" }, { "dropping-particle" : "", "family" : "Larsson", "given" : "Per", "non-dropping-particle" : "", "parse-names" : false, "suffix" : "" }, { "dropping-particle" : "", "family" : "Bjelkmar", "given" : "P\u00e4r", "non-dropping-particle" : "", "parse-names" : false, "suffix" : "" }, { "dropping-particle" : "", "family" : "Apostolov", "given" : "Rossen", "non-dropping-particle" : "", "parse-names" : false, "suffix" : "" }, { "dropping-particle" : "", "family" : "Shirts", "given" : "Michael R", "non-dropping-particle" : "", "parse-names" : false, "suffix" : "" }, { "dropping-particle" : "", "family" : "Smith", "given" : "Jeremy C", "non-dropping-particle" : "", "parse-names" : false, "suffix" : "" }, { "dropping-particle" : "", "family" : "Kasson", "given" : "Peter M", "non-dropping-particle" : "", "parse-names" : false, "suffix" : "" }, { "dropping-particle" : "", "family" : "Spoel", "given" : "David", "non-dropping-particle" : "van der", "parse-names" : false, "suffix" : "" }, { "dropping-particle" : "", "family" : "Hess", "given" : "Berk", "non-dropping-particle" : "", "parse-names" : false, "suffix" : "" }, { "dropping-particle" : "", "family" : "Lindahl", "given" : "Erik", "non-dropping-particle" : "", "parse-names" : false, "suffix" : "" } ], "container-title" : "Bioinformatics (Oxford, England)", "id" : "ITEM-1", "issue" : "7", "issued" : { "date-parts" : [ [ "2013", "4", "1" ] ] }, "page" : "845-854", "title" : "GROMACS 4.5: a high-throughput and highly parallel open source molecular simulation toolkit.", "type" : "article-journal", "volume" : "29" }, "uris" : [ "http://www.mendeley.com/documents/?uuid=d291db9e-b787-4117-8314-920c2d6eb696" ] } ], "mendeley" : { "formattedCitation" : "&lt;b&gt;&lt;i&gt;(25)&lt;/i&gt;&lt;/b&gt;", "plainTextFormattedCitation" : "(25)", "previouslyFormattedCitation" : "&lt;b&gt;&lt;i&gt;(25)&lt;/i&gt;&lt;/b&gt;" }, "properties" : { "noteIndex" : 0 }, "schema" : "https://github.com/citation-style-language/schema/raw/master/csl-citation.json" }</w:instrText>
      </w:r>
      <w:r>
        <w:fldChar w:fldCharType="separate"/>
      </w:r>
      <w:bookmarkStart w:id="69" w:name="__Fieldmark__1320_1847998653"/>
      <w:r>
        <w:rPr>
          <w:rFonts w:cs="Times New Roman" w:ascii="Times New Roman" w:hAnsi="Times New Roman"/>
          <w:color w:val="000000" w:themeColor="text1"/>
          <w:lang w:val="en-US"/>
        </w:rPr>
      </w:r>
      <w:r>
        <w:rPr>
          <w:rFonts w:cs="Times New Roman" w:ascii="Times New Roman" w:hAnsi="Times New Roman"/>
          <w:b/>
          <w:i/>
          <w:color w:val="000000" w:themeColor="text1"/>
          <w:lang w:val="en-US"/>
        </w:rPr>
        <w:t>(</w:t>
      </w:r>
      <w:bookmarkStart w:id="70" w:name="__Fieldmark__1124_124395177"/>
      <w:bookmarkStart w:id="71" w:name="__Fieldmark__494_441382956"/>
      <w:r>
        <w:rPr>
          <w:rFonts w:cs="Times New Roman" w:ascii="Times New Roman" w:hAnsi="Times New Roman"/>
          <w:b/>
          <w:i/>
          <w:color w:val="000000" w:themeColor="text1"/>
          <w:lang w:val="en-US"/>
        </w:rPr>
        <w:t>25)</w:t>
      </w:r>
      <w:r>
        <w:rPr>
          <w:rFonts w:cs="Times New Roman" w:ascii="Times New Roman" w:hAnsi="Times New Roman"/>
          <w:color w:val="000000" w:themeColor="text1"/>
          <w:lang w:val="en-US"/>
        </w:rPr>
      </w:r>
      <w:r>
        <w:fldChar w:fldCharType="end"/>
      </w:r>
      <w:bookmarkEnd w:id="69"/>
      <w:bookmarkEnd w:id="70"/>
      <w:bookmarkEnd w:id="71"/>
      <w:r>
        <w:rPr>
          <w:rFonts w:cs="Times New Roman" w:ascii="Times New Roman" w:hAnsi="Times New Roman"/>
          <w:color w:val="000000" w:themeColor="text1"/>
          <w:lang w:val="en-US"/>
        </w:rPr>
        <w:t>.</w:t>
      </w:r>
    </w:p>
    <w:p>
      <w:pPr>
        <w:pStyle w:val="ListParagraph"/>
        <w:numPr>
          <w:ilvl w:val="0"/>
          <w:numId w:val="6"/>
        </w:numPr>
        <w:suppressAutoHyphens w:val="true"/>
        <w:spacing w:lineRule="auto" w:line="360"/>
        <w:jc w:val="both"/>
        <w:rPr/>
      </w:pPr>
      <w:r>
        <w:rPr>
          <w:rFonts w:cs="Times New Roman" w:ascii="Times New Roman" w:hAnsi="Times New Roman"/>
          <w:i/>
          <w:color w:val="000000" w:themeColor="text1"/>
        </w:rPr>
        <w:t>Specialised forcefield and ions parameters:</w:t>
      </w:r>
      <w:r>
        <w:rPr>
          <w:rFonts w:cs="Times New Roman" w:ascii="Times New Roman" w:hAnsi="Times New Roman"/>
          <w:color w:val="000000" w:themeColor="text1"/>
        </w:rPr>
        <w:t xml:space="preserve"> 1) Circular structures require a slight modification to the AMBER libraries (we call this parameter set ‘ff99circ’) in which the end residues are omitted to prevent the xleap module adding them automatically 2) DNA simulations require the ‘parmbsc0’ modification for nucleic acid backbone dihedrals α and γ </w:t>
      </w:r>
      <w:r>
        <w:fldChar w:fldCharType="begin"/>
      </w:r>
      <w:r>
        <w:instrText>ADDIN CSL_CITATION { "citationItems" : [ { "id" : "ITEM-1", "itemData" : { "DOI" : "10.1529/biophysj.106.097782", "ISSN" : "0006-3495", "PMID" : "17351000", "abstract" : "We present here the parmbsc0 force field, a refinement of the AMBER parm99 force field, where emphasis has been made on the correct representation of the alpha/gamma concerted rotation in nucleic acids (NAs). The modified force field corrects overpopulations of the alpha/gamma = (g+,t) backbone that were seen in long (more than 10 ns) simulations with previous AMBER parameter sets (parm94-99). The force field has been derived by fitting to high-level quantum mechanical data and verified by comparison with very high-level quantum mechanical calculations and by a very extensive comparison between simulations and experimental data. The set of validation simulations includes two of the longest trajectories published to date for the DNA duplex (200 ns each) and the largest variety of NA structures studied to date (15 different NA families and 97 individual structures). The total simulation time used to validate the force field includes near 1 mus of state-of-the-art molecular dynamics simulations in aqueous solution.", "author" : [ { "dropping-particle" : "", "family" : "P\u00e9rez", "given" : "Alberto", "non-dropping-particle" : "", "parse-names" : false, "suffix" : "" }, { "dropping-particle" : "", "family" : "March\u00e1n", "given" : "Iv\u00e1n", "non-dropping-particle" : "", "parse-names" : false, "suffix" : "" }, { "dropping-particle" : "", "family" : "Svozil", "given" : "Daniel", "non-dropping-particle" : "", "parse-names" : false, "suffix" : "" }, { "dropping-particle" : "", "family" : "Sponer", "given" : "Jiri", "non-dropping-particle" : "", "parse-names" : false, "suffix" : "" }, { "dropping-particle" : "", "family" : "Cheatham", "given" : "Thomas E", "non-dropping-particle" : "", "parse-names" : false, "suffix" : "" }, { "dropping-particle" : "", "family" : "Laughton", "given" : "Charles A", "non-dropping-particle" : "", "parse-names" : false, "suffix" : "" }, { "dropping-particle" : "", "family" : "Orozco", "given" : "Modesto", "non-dropping-particle" : "", "parse-names" : false, "suffix" : "" } ], "container-title" : "Biophysical journal", "id" : "ITEM-1", "issue" : "11", "issued" : { "date-parts" : [ [ "2007", "6", "1" ] ] }, "page" : "3817-3829", "title" : "Refinement of the AMBER force field for nucleic acids: improving the description of alpha/gamma conformers.", "type" : "article-journal", "volume" : "92" }, "uris" : [ "http://www.mendeley.com/documents/?uuid=18af751a-191a-40fa-a6d1-430ece6e5479" ] } ], "mendeley" : { "formattedCitation" : "&lt;b&gt;&lt;i&gt;(28)&lt;/i&gt;&lt;/b&gt;", "plainTextFormattedCitation" : "(28)", "previouslyFormattedCitation" : "&lt;b&gt;&lt;i&gt;(28)&lt;/i&gt;&lt;/b&gt;" }, "properties" : { "noteIndex" : 0 }, "schema" : "https://github.com/citation-style-language/schema/raw/master/csl-citation.json" }</w:instrText>
      </w:r>
      <w:r>
        <w:fldChar w:fldCharType="separate"/>
      </w:r>
      <w:bookmarkStart w:id="72" w:name="__Fieldmark__1340_1847998653"/>
      <w:r>
        <w:rPr>
          <w:rFonts w:cs="Times New Roman" w:ascii="Times New Roman" w:hAnsi="Times New Roman"/>
          <w:color w:val="000000" w:themeColor="text1"/>
        </w:rPr>
      </w:r>
      <w:r>
        <w:rPr>
          <w:rFonts w:cs="Times New Roman" w:ascii="Times New Roman" w:hAnsi="Times New Roman"/>
          <w:b/>
          <w:i/>
          <w:color w:val="000000" w:themeColor="text1"/>
        </w:rPr>
        <w:t>(</w:t>
      </w:r>
      <w:bookmarkStart w:id="73" w:name="__Fieldmark__1156_124395177"/>
      <w:bookmarkStart w:id="74" w:name="__Fieldmark__504_441382956"/>
      <w:r>
        <w:rPr>
          <w:rFonts w:cs="Times New Roman" w:ascii="Times New Roman" w:hAnsi="Times New Roman"/>
          <w:b/>
          <w:i/>
          <w:color w:val="000000" w:themeColor="text1"/>
        </w:rPr>
        <w:t>28)</w:t>
      </w:r>
      <w:r>
        <w:rPr>
          <w:rFonts w:cs="Times New Roman" w:ascii="Times New Roman" w:hAnsi="Times New Roman"/>
          <w:color w:val="000000" w:themeColor="text1"/>
        </w:rPr>
      </w:r>
      <w:r>
        <w:fldChar w:fldCharType="end"/>
      </w:r>
      <w:bookmarkEnd w:id="72"/>
      <w:bookmarkEnd w:id="73"/>
      <w:bookmarkEnd w:id="74"/>
      <w:r>
        <w:rPr>
          <w:rFonts w:cs="Times New Roman" w:ascii="Times New Roman" w:hAnsi="Times New Roman"/>
          <w:color w:val="000000" w:themeColor="text1"/>
        </w:rPr>
        <w:t xml:space="preserve">, 3) we also use the ‘OL4’ modification for DNA backbone dihedral χ </w:t>
      </w:r>
      <w:r>
        <w:fldChar w:fldCharType="begin"/>
      </w:r>
      <w:r>
        <w:instrText>ADDIN CSL_CITATION { "citationItems" : [ { "id" : "ITEM-1", "itemData" : { "author" : [ { "dropping-particle" : "", "family" : "Krepl", "given" : "Miroslav", "non-dropping-particle" : "", "parse-names" : false, "suffix" : "" }, { "dropping-particle" : "", "family" : "Zgarbov\u00e1", "given" : "Marie", "non-dropping-particle" : "", "parse-names" : false, "suffix" : "" }, { "dropping-particle" : "", "family" : "Stadlbauer", "given" : "Petr", "non-dropping-particle" : "", "parse-names" : false, "suffix" : "" }, { "dropping-particle" : "", "family" : "Otyepka", "given" : "Michal", "non-dropping-particle" : "", "parse-names" : false, "suffix" : "" }, { "dropping-particle" : "", "family" : "Bana\u0301s\u030c", "given" : "Pavel", "non-dropping-particle" : "", "parse-names" : false, "suffix" : "" }, { "dropping-particle" : "", "family" : "Koc\u030ca", "given" : "Jaroslav", "non-dropping-particle" : "", "parse-names" : false, "suffix" : "" }, { "dropping-particle" : "", "family" : "Cheatham III", "given" : "Thomas E.", "non-dropping-particle" : "", "parse-names" : false, "suffix" : "" }, { "dropping-particle" : "", "family" : "Jurec\u030cka", "given" : "Petr", "non-dropping-particle" : "", "parse-names" : false, "suffix" : "" }, { "dropping-particle" : "", "family" : "Sponer", "given" : "Jir\u00ed", "non-dropping-particle" : "", "parse-names" : false, "suffix" : "" } ], "container-title" : "Journal of Chemical Theory and Computation", "id" : "ITEM-1", "issued" : { "date-parts" : [ [ "2012" ] ] }, "page" : "2506-2520", "title" : "Reference simulations of noncanonical nucleic acids with different \u03c7 variants of the AMBER forcefield: quadruplex DNA, quadruplex RNA, and Z-DNA", "type" : "article-journal", "volume" : "8" }, "uris" : [ "http://www.mendeley.com/documents/?uuid=ffc8d6a6-683c-42a1-bfec-953623ac97ce" ] } ], "mendeley" : { "formattedCitation" : "&lt;b&gt;&lt;i&gt;(29)&lt;/i&gt;&lt;/b&gt;", "plainTextFormattedCitation" : "(29)" }, "properties" : { "noteIndex" : 0 }, "schema" : "https://github.com/citation-style-language/schema/raw/master/csl-citation.json" }</w:instrText>
      </w:r>
      <w:r>
        <w:fldChar w:fldCharType="separate"/>
      </w:r>
      <w:bookmarkStart w:id="75" w:name="__Fieldmark__1349_1847998653"/>
      <w:r>
        <w:rPr>
          <w:rFonts w:cs="Times New Roman" w:ascii="Times New Roman" w:hAnsi="Times New Roman"/>
          <w:color w:val="000000" w:themeColor="text1"/>
        </w:rPr>
      </w:r>
      <w:r>
        <w:rPr>
          <w:rFonts w:cs="Times New Roman" w:ascii="Times New Roman" w:hAnsi="Times New Roman"/>
          <w:b/>
          <w:i/>
          <w:color w:val="000000" w:themeColor="text1"/>
        </w:rPr>
        <w:t>(29)</w:t>
      </w:r>
      <w:r>
        <w:rPr>
          <w:rFonts w:cs="Times New Roman" w:ascii="Times New Roman" w:hAnsi="Times New Roman"/>
          <w:color w:val="000000" w:themeColor="text1"/>
        </w:rPr>
      </w:r>
      <w:r>
        <w:fldChar w:fldCharType="end"/>
      </w:r>
      <w:bookmarkEnd w:id="75"/>
      <w:r>
        <w:rPr>
          <w:rFonts w:cs="Times New Roman" w:ascii="Times New Roman" w:hAnsi="Times New Roman"/>
          <w:color w:val="000000" w:themeColor="text1"/>
        </w:rPr>
        <w:t xml:space="preserve"> and 4) the ion modification for Na and Cl counterions of Smith and Dang </w:t>
      </w:r>
      <w:r>
        <w:fldChar w:fldCharType="begin"/>
      </w:r>
      <w:r>
        <w:instrText>ADDIN CSL_CITATION { "citationItems" : [ { "id" : "ITEM-1", "itemData" : { "DOI" : "10.1063/1.466363", "ISSN" : "00219606", "author" : [ { "dropping-particle" : "", "family" : "Smith", "given" : "David E.", "non-dropping-particle" : "", "parse-names" : false, "suffix" : "" }, { "dropping-particle" : "", "family" : "Dang", "given" : "Liem X.", "non-dropping-particle" : "", "parse-names" : false, "suffix" : "" } ], "container-title" : "The Journal of Chemical Physics", "id" : "ITEM-1", "issue" : "5", "issued" : { "date-parts" : [ [ "1994" ] ] }, "page" : "3757", "title" : "Computer simulations of NaCl association in polarizable water", "type" : "article-journal", "volume" : "100" }, "uris" : [ "http://www.mendeley.com/documents/?uuid=de2cb09f-ccf7-4b67-a828-7f0436289bfe" ] } ], "mendeley" : { "formattedCitation" : "&lt;b&gt;&lt;i&gt;(54)&lt;/i&gt;&lt;/b&gt;", "plainTextFormattedCitation" : "(54)", "previouslyFormattedCitation" : "&lt;b&gt;&lt;i&gt;(54)&lt;/i&gt;&lt;/b&gt;" }, "properties" : { "noteIndex" : 0 }, "schema" : "https://github.com/citation-style-language/schema/raw/master/csl-citation.json" }</w:instrText>
      </w:r>
      <w:r>
        <w:fldChar w:fldCharType="separate"/>
      </w:r>
      <w:bookmarkStart w:id="76" w:name="__Fieldmark__1359_1847998653"/>
      <w:r>
        <w:rPr>
          <w:rFonts w:cs="Times New Roman" w:ascii="Times New Roman" w:hAnsi="Times New Roman"/>
          <w:color w:val="000000" w:themeColor="text1"/>
        </w:rPr>
      </w:r>
      <w:r>
        <w:rPr>
          <w:rFonts w:cs="Times New Roman" w:ascii="Times New Roman" w:hAnsi="Times New Roman"/>
          <w:b/>
          <w:i/>
          <w:color w:val="000000" w:themeColor="text1"/>
        </w:rPr>
        <w:t>(</w:t>
      </w:r>
      <w:bookmarkStart w:id="77" w:name="__Fieldmark__531_441382956"/>
      <w:r>
        <w:rPr>
          <w:rFonts w:cs="Times New Roman" w:ascii="Times New Roman" w:hAnsi="Times New Roman"/>
          <w:b/>
          <w:i/>
          <w:color w:val="000000" w:themeColor="text1"/>
        </w:rPr>
        <w:t>54)</w:t>
      </w:r>
      <w:r>
        <w:rPr>
          <w:rFonts w:cs="Times New Roman" w:ascii="Times New Roman" w:hAnsi="Times New Roman"/>
          <w:color w:val="000000" w:themeColor="text1"/>
        </w:rPr>
      </w:r>
      <w:r>
        <w:fldChar w:fldCharType="end"/>
      </w:r>
      <w:bookmarkStart w:id="78" w:name="__Fieldmark__1188_124395177"/>
      <w:bookmarkEnd w:id="76"/>
      <w:bookmarkEnd w:id="77"/>
      <w:bookmarkEnd w:id="78"/>
      <w:r>
        <w:rPr>
          <w:rFonts w:cs="Times New Roman" w:ascii="Times New Roman" w:hAnsi="Times New Roman"/>
          <w:color w:val="000000" w:themeColor="text1"/>
        </w:rPr>
        <w:t xml:space="preserve">.  </w:t>
      </w:r>
    </w:p>
    <w:p>
      <w:pPr>
        <w:pStyle w:val="ListParagraph"/>
        <w:numPr>
          <w:ilvl w:val="0"/>
          <w:numId w:val="6"/>
        </w:numPr>
        <w:suppressAutoHyphens w:val="true"/>
        <w:spacing w:lineRule="auto" w:line="360"/>
        <w:jc w:val="both"/>
        <w:rPr/>
      </w:pPr>
      <w:r>
        <w:rPr>
          <w:rFonts w:cs="Times New Roman" w:ascii="Times New Roman" w:hAnsi="Times New Roman"/>
          <w:i/>
          <w:color w:val="000000" w:themeColor="text1"/>
        </w:rPr>
        <w:t xml:space="preserve">Visual Molecular Dynamics (VMD) </w:t>
      </w:r>
      <w:r>
        <w:fldChar w:fldCharType="begin"/>
      </w:r>
      <w:r>
        <w:instrText>ADDIN CSL_CITATION { "citationItems" : [ { "id" : "ITEM-1", "itemData" : { "DOI" : "10.1016/0263-7855(96)00018-5", "ISBN" : "1093-3263", "ISSN" : "02637855", "PMID" : "8744570", "author" : [ { "dropping-particle" : "", "family" : "Humphrey", "given" : "William", "non-dropping-particle" : "", "parse-names" : false, "suffix" : "" }, { "dropping-particle" : "", "family" : "Dalke", "given" : "Andrew", "non-dropping-particle" : "", "parse-names" : false, "suffix" : "" }, { "dropping-particle" : "", "family" : "Schulten", "given" : "Klaus", "non-dropping-particle" : "", "parse-names" : false, "suffix" : "" } ], "container-title" : "Journal of Molecular Graphic", "id" : "ITEM-1", "issue" : "February", "issued" : { "date-parts" : [ [ "1996" ] ] }, "page" : "33-38", "title" : "VMD: Visual Molecular Dynamics", "type" : "article-journal", "volume" : "14" }, "uris" : [ "http://www.mendeley.com/documents/?uuid=edd36ee8-03c0-4a08-bbf8-8d371ca37086" ] } ], "mendeley" : { "formattedCitation" : "&lt;b&gt;&lt;i&gt;(38)&lt;/i&gt;&lt;/b&gt;", "plainTextFormattedCitation" : "(38)", "previouslyFormattedCitation" : "&lt;b&gt;&lt;i&gt;(38)&lt;/i&gt;&lt;/b&gt;" }, "properties" : { "noteIndex" : 0 }, "schema" : "https://github.com/citation-style-language/schema/raw/master/csl-citation.json" }</w:instrText>
      </w:r>
      <w:r>
        <w:fldChar w:fldCharType="separate"/>
      </w:r>
      <w:bookmarkStart w:id="79" w:name="__Fieldmark__1371_1847998653"/>
      <w:r>
        <w:rPr>
          <w:rFonts w:cs="Times New Roman" w:ascii="Times New Roman" w:hAnsi="Times New Roman"/>
          <w:i/>
          <w:color w:val="000000" w:themeColor="text1"/>
        </w:rPr>
      </w:r>
      <w:r>
        <w:rPr>
          <w:rFonts w:cs="Times New Roman" w:ascii="Times New Roman" w:hAnsi="Times New Roman"/>
          <w:b/>
          <w:i/>
          <w:color w:val="000000" w:themeColor="text1"/>
        </w:rPr>
        <w:t>(</w:t>
      </w:r>
      <w:bookmarkStart w:id="80" w:name="__Fieldmark__1199_124395177"/>
      <w:bookmarkStart w:id="81" w:name="__Fieldmark__541_441382956"/>
      <w:r>
        <w:rPr>
          <w:rFonts w:cs="Times New Roman" w:ascii="Times New Roman" w:hAnsi="Times New Roman"/>
          <w:b/>
          <w:i/>
          <w:color w:val="000000" w:themeColor="text1"/>
        </w:rPr>
        <w:t>38)</w:t>
      </w:r>
      <w:r>
        <w:rPr>
          <w:rFonts w:cs="Times New Roman" w:ascii="Times New Roman" w:hAnsi="Times New Roman"/>
          <w:i/>
          <w:color w:val="000000" w:themeColor="text1"/>
        </w:rPr>
      </w:r>
      <w:r>
        <w:fldChar w:fldCharType="end"/>
      </w:r>
      <w:bookmarkEnd w:id="79"/>
      <w:bookmarkEnd w:id="80"/>
      <w:bookmarkEnd w:id="81"/>
      <w:r>
        <w:rPr>
          <w:rFonts w:cs="Times New Roman" w:ascii="Times New Roman" w:hAnsi="Times New Roman"/>
          <w:i/>
          <w:color w:val="000000" w:themeColor="text1"/>
        </w:rPr>
        <w:t>:</w:t>
      </w:r>
      <w:r>
        <w:rPr>
          <w:rFonts w:cs="Times New Roman" w:ascii="Times New Roman" w:hAnsi="Times New Roman"/>
          <w:color w:val="000000" w:themeColor="text1"/>
        </w:rPr>
        <w:t xml:space="preserve"> This visualisation software is fast and efficient, and is capable of reading molecular dynamics trajectory files of any format (e.g. NAMD, AMBER, GROMACS or etc.) and of rendering 3D images for dissemination in papers and in seminar presentations. For more complex tasks, ‘*.tcl’ scripts can be written to control the program via the ‘tk console’. We use a script that converts a GROMACS compressed trajectories into an AMBER trajectory that is compatible with PTRAJ for analysis of the conformations, while other researchers may prefer using VMD directly, or GROMACS analysis tools. </w:t>
      </w:r>
    </w:p>
    <w:p>
      <w:pPr>
        <w:pStyle w:val="Normal"/>
        <w:spacing w:lineRule="auto" w:line="360"/>
        <w:jc w:val="both"/>
        <w:rPr>
          <w:rFonts w:ascii="Times New Roman" w:hAnsi="Times New Roman" w:cs="Times New Roman"/>
        </w:rPr>
      </w:pPr>
      <w:r>
        <w:rPr>
          <w:rFonts w:cs="Times New Roman" w:ascii="Times New Roman" w:hAnsi="Times New Roman"/>
        </w:rPr>
      </w:r>
    </w:p>
    <w:p>
      <w:pPr>
        <w:pStyle w:val="Heading3"/>
        <w:spacing w:lineRule="auto" w:line="360"/>
        <w:jc w:val="both"/>
        <w:rPr>
          <w:rFonts w:ascii="Times New Roman" w:hAnsi="Times New Roman" w:cs="Times New Roman"/>
        </w:rPr>
      </w:pPr>
      <w:r>
        <w:rPr>
          <w:rFonts w:cs="Times New Roman" w:ascii="Times New Roman" w:hAnsi="Times New Roman"/>
        </w:rPr>
        <w:t>2.2) AMBERTOOLS Modules</w:t>
      </w:r>
    </w:p>
    <w:p>
      <w:pPr>
        <w:pStyle w:val="ListParagraph"/>
        <w:numPr>
          <w:ilvl w:val="0"/>
          <w:numId w:val="5"/>
        </w:numPr>
        <w:suppressAutoHyphens w:val="true"/>
        <w:spacing w:lineRule="auto" w:line="360"/>
        <w:jc w:val="both"/>
        <w:rPr/>
      </w:pPr>
      <w:r>
        <w:rPr>
          <w:rFonts w:cs="Times New Roman" w:ascii="Times New Roman" w:hAnsi="Times New Roman"/>
          <w:i/>
          <w:color w:val="000000" w:themeColor="text1"/>
        </w:rPr>
        <w:t>NAB (Nucleic Acid Builder):</w:t>
      </w:r>
      <w:r>
        <w:rPr>
          <w:rFonts w:cs="Times New Roman" w:ascii="Times New Roman" w:hAnsi="Times New Roman"/>
          <w:b/>
          <w:color w:val="000000" w:themeColor="text1"/>
        </w:rPr>
        <w:t xml:space="preserve"> </w:t>
      </w:r>
      <w:r>
        <w:rPr>
          <w:rFonts w:cs="Times New Roman" w:ascii="Times New Roman" w:hAnsi="Times New Roman"/>
          <w:color w:val="000000" w:themeColor="text1"/>
        </w:rPr>
        <w:t xml:space="preserve">This is a C-based high level programming language, which performs specific operations on the starting coordinates of nucleic acid structures. NAB is capable of importing standard reference frames of coordinates of nucleotides from an AMBER library, performing coordinate transformations and creating a PDB file containing all the coordinates atomic types for a starting structure </w:t>
      </w:r>
      <w:r>
        <w:fldChar w:fldCharType="begin"/>
      </w:r>
      <w:r>
        <w:instrText>ADDIN CSL_CITATION { "citationItems" : [ { "id" : "ITEM-1", "itemData" : { "author" : [ { "dropping-particle" : "", "family" : "Case", "given" : "D.A.", "non-dropping-particle" : "", "parse-names" : false, "suffix" : "" }, { "dropping-particle" : "", "family" : "Darden", "given" : "T.A.", "non-dropping-particle" : "", "parse-names" : false, "suffix" : "" }, { "dropping-particle" : "", "family" : "Cheatham III", "given" : "T.E.", "non-dropping-particle" : "", "parse-names" : false, "suffix" : "" }, { "dropping-particle" : "", "family" : "Simmerling", "given" : "C.L.", "non-dropping-particle" : "", "parse-names" : false, "suffix" : "" }, { "dropping-particle" : "", "family" : "Wang", "given" : "J.", "non-dropping-particle" : "", "parse-names" : false, "suffix" : "" }, { "dropping-particle" : "", "family" : "Duke", "given" : "R.E.", "non-dropping-particle" : "", "parse-names" : false, "suffix" : "" }, { "dropping-particle" : "", "family" : "Luo", "given" : "R.", "non-dropping-particle" : "", "parse-names" : false, "suffix" : "" }, { "dropping-particle" : "", "family" : "Walker", "given" : "R.C.", "non-dropping-particle" : "", "parse-names" : false, "suffix" : "" }, { "dropping-particle" : "", "family" : "Zhang", "given" : "W.", "non-dropping-particle" : "", "parse-names" : false, "suffix" : "" }, { "dropping-particle" : "", "family" : "Merz", "given" : "K.M.", "non-dropping-particle" : "", "parse-names" : false, "suffix" : "" }, { "dropping-particle" : "", "family" : "Roberts", "given" : "B.", "non-dropping-particle" : "", "parse-names" : false, "suffix" : "" }, { "dropping-particle" : "", "family" : "Wang", "given" : "B.", "non-dropping-particle" : "", "parse-names" : false, "suffix" : "" }, { "dropping-particle" : "", "family" : "Hayik", "given" : "S.", "non-dropping-particle" : "", "parse-names" : false, "suffix" : "" }, { "dropping-particle" : "", "family" : "Roitberg", "given" : "A.", "non-dropping-particle" : "", "parse-names" : false, "suffix" : "" }, { "dropping-particle" : "", "family" : "Seabra", "given" : "G.", "non-dropping-particle" : "", "parse-names" : false, "suffix" : "" }, { "dropping-particle" : "", "family" : "Kolossvary", "given" : "I.", "non-dropping-particle" : "", "parse-names" : false, "suffix" : "" }, { "dropping-particle" : "", "family" : "Wong", "given" : "K.F.", "non-dropping-particle" : "", "parse-names" : false, "suffix" : "" }, { "dropping-particle" : "", "family" : "Paesani", "given" : "F.", "non-dropping-particle" : "", "parse-names" : false, "suffix" : "" }, { "dropping-particle" : "", "family" : "Vanicek", "given" : "J.", "non-dropping-particle" : "", "parse-names" : false, "suffix" : "" }, { "dropping-particle" : "", "family" : "Liu", "given" : "J.", "non-dropping-particle" : "", "parse-names" : false, "suffix" : "" }, { "dropping-particle" : "", "family" : "Wu", "given" : "X.", "non-dropping-particle" : "", "parse-names" : false, "suffix" : "" }, { "dropping-particle" : "", "family" : "Brozell", "given" : "S.R.", "non-dropping-particle" : "", "parse-names" : false, "suffix" : "" }, { "dropping-particle" : "", "family" : "Steinbrecher", "given" : "T.", "non-dropping-particle" : "", "parse-names" : false, "suffix" : "" }, { "dropping-particle" : "", "family" : "Gohlke", "given" : "H.", "non-dropping-particle" : "", "parse-names" : false, "suffix" : "" }, { "dropping-particle" : "", "family" : "Cai", "given" : "Q.", "non-dropping-particle" : "", "parse-names" : false, "suffix" : "" }, { "dropping-particle" : "", "family" : "Ye", "given" : "X.", "non-dropping-particle" : "", "parse-names" : false, "suffix" : "" }, { "dropping-particle" : "", "family" : "Hsieh", "given" : "M.J.", "non-dropping-particle" : "", "parse-names" : false, "suffix" : "" }, { "dropping-particle" : "", "family" : "Cui", "given" : "G.", "non-dropping-particle" : "", "parse-names" : false, "suffix" : "" }, { "dropping-particle" : "", "family" : "Roe", "given" : "D.R.", "non-dropping-particle" : "", "parse-names" : false, "suffix" : "" }, { "dropping-particle" : "", "family" : "Mathews", "given" : "D.H.", "non-dropping-particle" : "", "parse-names" : false, "suffix" : "" }, { "dropping-particle" : "", "family" : "Seetin", "given" : "M.G.", "non-dropping-particle" : "", "parse-names" : false, "suffix" : "" }, { "dropping-particle" : "", "family" : "Sagui", "given" : "C.", "non-dropping-particle" : "", "parse-names" : false, "suffix" : "" }, { "dropping-particle" : "", "family" : "Babin", "given" : "V.", "non-dropping-particle" : "", "parse-names" : false, "suffix" : "" }, { "dropping-particle" : "", "family" : "Luchko", "given" : "T.", "non-dropping-particle" : "", "parse-names" : false, "suffix" : "" }, { "dropping-particle" : "", "family" : "Gusarov", "given" : "S.", "non-dropping-particle" : "", "parse-names" : false, "suffix" : "" }, { "dropping-particle" : "", "family" : "Kovalenko", "given" : "A.", "non-dropping-particle" : "", "parse-names" : false, "suffix" : "" }, { "dropping-particle" : "", "family" : "Kollman", "given" : "P.A.", "non-dropping-particle" : "", "parse-names" : false, "suffix" : "" } ], "container-title" : "University of California, San Francisco", "id" : "ITEM-1", "issued" : { "date-parts" : [ [ "2010" ] ] }, "title" : "Amber 11", "type" : "article-journal" }, "uris" : [ "http://www.mendeley.com/documents/?uuid=fd838a01-ec40-41c5-961b-4728ea081cfd" ] } ], "mendeley" : { "formattedCitation" : "&lt;b&gt;&lt;i&gt;(53)&lt;/i&gt;&lt;/b&gt;", "plainTextFormattedCitation" : "(53)", "previouslyFormattedCitation" : "&lt;b&gt;&lt;i&gt;(53)&lt;/i&gt;&lt;/b&gt;" }, "properties" : { "noteIndex" : 0 }, "schema" : "https://github.com/citation-style-language/schema/raw/master/csl-citation.json" }</w:instrText>
      </w:r>
      <w:r>
        <w:fldChar w:fldCharType="separate"/>
      </w:r>
      <w:bookmarkStart w:id="82" w:name="__Fieldmark__1404_1847998653"/>
      <w:r>
        <w:rPr>
          <w:rFonts w:cs="Times New Roman" w:ascii="Times New Roman" w:hAnsi="Times New Roman"/>
          <w:color w:val="000000" w:themeColor="text1"/>
        </w:rPr>
      </w:r>
      <w:r>
        <w:rPr>
          <w:rFonts w:cs="Times New Roman" w:ascii="Times New Roman" w:hAnsi="Times New Roman"/>
          <w:b/>
          <w:i/>
          <w:color w:val="000000" w:themeColor="text1"/>
        </w:rPr>
        <w:t>(</w:t>
      </w:r>
      <w:bookmarkStart w:id="83" w:name="__Fieldmark__1254_124395177"/>
      <w:bookmarkStart w:id="84" w:name="__Fieldmark__554_441382956"/>
      <w:r>
        <w:rPr>
          <w:rFonts w:cs="Times New Roman" w:ascii="Times New Roman" w:hAnsi="Times New Roman"/>
          <w:b/>
          <w:i/>
          <w:color w:val="000000" w:themeColor="text1"/>
        </w:rPr>
        <w:t>53)</w:t>
      </w:r>
      <w:r>
        <w:rPr>
          <w:rFonts w:cs="Times New Roman" w:ascii="Times New Roman" w:hAnsi="Times New Roman"/>
          <w:color w:val="000000" w:themeColor="text1"/>
        </w:rPr>
      </w:r>
      <w:r>
        <w:fldChar w:fldCharType="end"/>
      </w:r>
      <w:bookmarkEnd w:id="82"/>
      <w:bookmarkEnd w:id="83"/>
      <w:bookmarkEnd w:id="84"/>
      <w:r>
        <w:rPr>
          <w:rFonts w:cs="Times New Roman" w:ascii="Times New Roman" w:hAnsi="Times New Roman"/>
          <w:color w:val="000000" w:themeColor="text1"/>
        </w:rPr>
        <w:t xml:space="preserve">. We use NAB to build minicircles; but knots and more complex topologies are also possible. </w:t>
      </w:r>
    </w:p>
    <w:p>
      <w:pPr>
        <w:pStyle w:val="ListParagraph"/>
        <w:numPr>
          <w:ilvl w:val="0"/>
          <w:numId w:val="5"/>
        </w:numPr>
        <w:suppressAutoHyphens w:val="true"/>
        <w:spacing w:lineRule="auto" w:line="360"/>
        <w:jc w:val="both"/>
        <w:rPr>
          <w:rFonts w:ascii="Times New Roman" w:hAnsi="Times New Roman" w:cs="Times New Roman"/>
          <w:color w:val="000000" w:themeColor="text1"/>
        </w:rPr>
      </w:pPr>
      <w:r>
        <w:rPr>
          <w:rFonts w:cs="Times New Roman" w:ascii="Times New Roman" w:hAnsi="Times New Roman"/>
          <w:i/>
          <w:color w:val="000000" w:themeColor="text1"/>
        </w:rPr>
        <w:t>LEAP:</w:t>
      </w:r>
      <w:r>
        <w:rPr>
          <w:rFonts w:cs="Times New Roman" w:ascii="Times New Roman" w:hAnsi="Times New Roman"/>
          <w:b/>
          <w:color w:val="000000" w:themeColor="text1"/>
        </w:rPr>
        <w:t xml:space="preserve"> </w:t>
      </w:r>
      <w:r>
        <w:rPr>
          <w:rFonts w:cs="Times New Roman" w:ascii="Times New Roman" w:hAnsi="Times New Roman"/>
          <w:color w:val="000000" w:themeColor="text1"/>
        </w:rPr>
        <w:t>This module generates topology files containing the interatomic connectivities and the associated forcefield parameters (e.g. stretching, bending and dihedral angles and non-bonded interactions) from a PDB file created by NAB.</w:t>
      </w:r>
    </w:p>
    <w:p>
      <w:pPr>
        <w:pStyle w:val="ListParagraph"/>
        <w:numPr>
          <w:ilvl w:val="0"/>
          <w:numId w:val="5"/>
        </w:numPr>
        <w:suppressAutoHyphens w:val="true"/>
        <w:spacing w:lineRule="auto" w:line="360"/>
        <w:jc w:val="both"/>
        <w:rPr>
          <w:rFonts w:ascii="Times New Roman" w:hAnsi="Times New Roman" w:cs="Times New Roman"/>
          <w:color w:val="000000" w:themeColor="text1"/>
        </w:rPr>
      </w:pPr>
      <w:r>
        <w:rPr>
          <w:rFonts w:cs="Times New Roman" w:ascii="Times New Roman" w:hAnsi="Times New Roman"/>
          <w:i/>
          <w:color w:val="000000" w:themeColor="text1"/>
        </w:rPr>
        <w:t>PTRAJ:</w:t>
      </w:r>
      <w:r>
        <w:rPr>
          <w:rFonts w:cs="Times New Roman" w:ascii="Times New Roman" w:hAnsi="Times New Roman"/>
          <w:color w:val="000000" w:themeColor="text1"/>
        </w:rPr>
        <w:t xml:space="preserve"> This module is used for trajectory processing such as concatenation of MD trajectories and removing unwanted atoms or residues from the trajectories (e.g. stripping out the water molecules). This AMBER module also includes commands to measure distances between atoms or residues (e.g. for calculating distances between atoms that are engaged in complementary hydrogen bonds between base pairs), bending and dihedral angles, root mean square deviations between two structures and the radius of gyration.</w:t>
      </w:r>
    </w:p>
    <w:p>
      <w:pPr>
        <w:pStyle w:val="Normal"/>
        <w:spacing w:lineRule="auto" w:line="360"/>
        <w:jc w:val="both"/>
        <w:rPr>
          <w:rFonts w:ascii="Times New Roman" w:hAnsi="Times New Roman" w:cs="Times New Roman"/>
        </w:rPr>
      </w:pPr>
      <w:r>
        <w:rPr>
          <w:rFonts w:cs="Times New Roman" w:ascii="Times New Roman" w:hAnsi="Times New Roman"/>
        </w:rPr>
      </w:r>
    </w:p>
    <w:p>
      <w:pPr>
        <w:pStyle w:val="Heading3"/>
        <w:spacing w:lineRule="auto" w:line="360"/>
        <w:jc w:val="both"/>
        <w:rPr>
          <w:rFonts w:ascii="Times New Roman" w:hAnsi="Times New Roman" w:cs="Times New Roman"/>
        </w:rPr>
      </w:pPr>
      <w:r>
        <w:rPr>
          <w:rFonts w:cs="Times New Roman" w:ascii="Times New Roman" w:hAnsi="Times New Roman"/>
        </w:rPr>
        <w:t>2.3) Source Files</w:t>
      </w:r>
    </w:p>
    <w:p>
      <w:pPr>
        <w:pStyle w:val="Normal"/>
        <w:spacing w:lineRule="auto" w:line="360"/>
        <w:ind w:firstLine="540"/>
        <w:jc w:val="both"/>
        <w:rPr>
          <w:rFonts w:ascii="Times New Roman" w:hAnsi="Times New Roman" w:cs="Times New Roman"/>
          <w:color w:val="000000" w:themeColor="text1"/>
        </w:rPr>
      </w:pPr>
      <w:r>
        <w:rPr>
          <w:rFonts w:cs="Times New Roman" w:ascii="Times New Roman" w:hAnsi="Times New Roman"/>
          <w:b/>
          <w:color w:val="000000" w:themeColor="text1"/>
        </w:rPr>
        <w:t>Table 2</w:t>
      </w:r>
      <w:r>
        <w:rPr>
          <w:rFonts w:cs="Times New Roman" w:ascii="Times New Roman" w:hAnsi="Times New Roman"/>
          <w:color w:val="000000" w:themeColor="text1"/>
        </w:rPr>
        <w:t xml:space="preserve"> shows the list of input files used to prepare the start-up files for both the implicit and explicit solvent simulation protocols and the post-simulation analysis. To use these, AMBER, AMBERTOOLS, GROMACS, python (with NUMPY library) and perl software packages need to be installed.</w:t>
      </w:r>
    </w:p>
    <w:p>
      <w:pPr>
        <w:pStyle w:val="Heading2"/>
        <w:spacing w:lineRule="auto" w:line="360"/>
        <w:jc w:val="both"/>
        <w:rPr>
          <w:rFonts w:ascii="Times New Roman" w:hAnsi="Times New Roman" w:cs="Times New Roman"/>
        </w:rPr>
      </w:pPr>
      <w:r>
        <w:rPr>
          <w:rFonts w:cs="Times New Roman" w:ascii="Times New Roman" w:hAnsi="Times New Roman"/>
        </w:rPr>
        <w:t xml:space="preserve">3. Methods </w:t>
      </w:r>
    </w:p>
    <w:p>
      <w:pPr>
        <w:pStyle w:val="Heading3"/>
        <w:spacing w:lineRule="auto" w:line="360"/>
        <w:jc w:val="both"/>
        <w:rPr>
          <w:rFonts w:ascii="Times New Roman" w:hAnsi="Times New Roman" w:cs="Times New Roman"/>
        </w:rPr>
      </w:pPr>
      <w:r>
        <w:rPr>
          <w:rFonts w:cs="Times New Roman" w:ascii="Times New Roman" w:hAnsi="Times New Roman"/>
        </w:rPr>
        <w:t xml:space="preserve">3.1) Molecular Dynamics Simulations </w:t>
      </w:r>
    </w:p>
    <w:p>
      <w:pPr>
        <w:pStyle w:val="ListParagraph"/>
        <w:numPr>
          <w:ilvl w:val="0"/>
          <w:numId w:val="2"/>
        </w:numPr>
        <w:suppressAutoHyphens w:val="true"/>
        <w:spacing w:lineRule="auto" w:line="360"/>
        <w:jc w:val="both"/>
        <w:rPr>
          <w:rFonts w:ascii="Times New Roman" w:hAnsi="Times New Roman" w:cs="Times New Roman"/>
          <w:color w:val="000000" w:themeColor="text1"/>
        </w:rPr>
      </w:pPr>
      <w:r>
        <w:rPr>
          <w:rFonts w:cs="Times New Roman" w:ascii="Times New Roman" w:hAnsi="Times New Roman"/>
          <w:i/>
          <w:color w:val="000000" w:themeColor="text1"/>
        </w:rPr>
        <w:t xml:space="preserve">Build a circular DNA starting structure: </w:t>
      </w:r>
      <w:r>
        <w:rPr>
          <w:rFonts w:cs="Times New Roman" w:ascii="Times New Roman" w:hAnsi="Times New Roman"/>
          <w:color w:val="000000" w:themeColor="text1"/>
        </w:rPr>
        <w:t>Run the NAB script ‘circ.nab’ to perform these operations: 1) Determine the radius of the circle and the average twist/basepair from the number of base pairs, the ‘rise’ parameter value (~3.38 Å) and the linking number. 2) Each base pair coordinate is imported and placed its centre at the circle circumference, normal to the tangent. 3) A coordinate transformation is performed to twist the base pair by the specified average twist angle per base pair relative to its predecessor. 4) The whole circle is rotated about its centre to create a space for the next base pair. Repeating this process will create a planar circular DNA with a uniform twist angle used at the MD starting structure, for which a PDB file will be created. (</w:t>
      </w:r>
      <w:r>
        <w:rPr>
          <w:rFonts w:cs="Times New Roman" w:ascii="Times New Roman" w:hAnsi="Times New Roman"/>
          <w:i/>
          <w:color w:val="000000" w:themeColor="text1"/>
        </w:rPr>
        <w:t>see</w:t>
      </w:r>
      <w:r>
        <w:rPr>
          <w:rFonts w:cs="Times New Roman" w:ascii="Times New Roman" w:hAnsi="Times New Roman"/>
          <w:color w:val="000000" w:themeColor="text1"/>
        </w:rPr>
        <w:t xml:space="preserve"> </w:t>
      </w:r>
      <w:r>
        <w:rPr>
          <w:rFonts w:cs="Times New Roman" w:ascii="Times New Roman" w:hAnsi="Times New Roman"/>
          <w:b/>
          <w:color w:val="000000" w:themeColor="text1"/>
        </w:rPr>
        <w:t>Note 1</w:t>
      </w:r>
      <w:r>
        <w:rPr>
          <w:rFonts w:cs="Times New Roman" w:ascii="Times New Roman" w:hAnsi="Times New Roman"/>
          <w:color w:val="000000" w:themeColor="text1"/>
        </w:rPr>
        <w:t>)</w:t>
      </w:r>
    </w:p>
    <w:p>
      <w:pPr>
        <w:pStyle w:val="ListParagraph"/>
        <w:numPr>
          <w:ilvl w:val="0"/>
          <w:numId w:val="2"/>
        </w:numPr>
        <w:suppressAutoHyphens w:val="true"/>
        <w:spacing w:lineRule="auto" w:line="360"/>
        <w:jc w:val="both"/>
        <w:rPr/>
      </w:pPr>
      <w:r>
        <w:rPr>
          <w:rFonts w:cs="Times New Roman" w:ascii="Times New Roman" w:hAnsi="Times New Roman"/>
          <w:i/>
          <w:color w:val="000000" w:themeColor="text1"/>
        </w:rPr>
        <w:t>Creating topology and coordinate files:</w:t>
      </w:r>
      <w:r>
        <w:rPr>
          <w:rFonts w:cs="Times New Roman" w:ascii="Times New Roman" w:hAnsi="Times New Roman"/>
          <w:color w:val="000000" w:themeColor="text1"/>
        </w:rPr>
        <w:t xml:space="preserve"> Run the prepared LEAP script to perform the following operations: 1) load the forcefield parameter ‘ff99circ’ for circular DNA, all the preparation (all_nuc94bsc0_chiOL4.in </w:t>
      </w:r>
      <w:r>
        <w:fldChar w:fldCharType="begin"/>
      </w:r>
      <w:r>
        <w:instrText>ADDIN CSL_CITATION { "citationItems" : [ { "id" : "ITEM-1", "itemData" : { "author" : [ { "dropping-particle" : "", "family" : "Krepl", "given" : "Miroslav", "non-dropping-particle" : "", "parse-names" : false, "suffix" : "" }, { "dropping-particle" : "", "family" : "Zgarbov\u00e1", "given" : "Marie", "non-dropping-particle" : "", "parse-names" : false, "suffix" : "" }, { "dropping-particle" : "", "family" : "Stadlbauer", "given" : "Petr", "non-dropping-particle" : "", "parse-names" : false, "suffix" : "" }, { "dropping-particle" : "", "family" : "Otyepka", "given" : "Michal", "non-dropping-particle" : "", "parse-names" : false, "suffix" : "" }, { "dropping-particle" : "", "family" : "Bana\u0301s\u030c", "given" : "Pavel", "non-dropping-particle" : "", "parse-names" : false, "suffix" : "" }, { "dropping-particle" : "", "family" : "Koc\u030ca", "given" : "Jaroslav", "non-dropping-particle" : "", "parse-names" : false, "suffix" : "" }, { "dropping-particle" : "", "family" : "Cheatham III", "given" : "Thomas E.", "non-dropping-particle" : "", "parse-names" : false, "suffix" : "" }, { "dropping-particle" : "", "family" : "Jurec\u030cka", "given" : "Petr", "non-dropping-particle" : "", "parse-names" : false, "suffix" : "" }, { "dropping-particle" : "", "family" : "Sponer", "given" : "Jir\u00ed", "non-dropping-particle" : "", "parse-names" : false, "suffix" : "" } ], "container-title" : "Journal of Chemical Theory and Computation", "id" : "ITEM-1", "issued" : { "date-parts" : [ [ "2012" ] ] }, "page" : "2506-2520", "title" : "Reference simulations of noncanonical nucleic acids with different \u03c7 variants of the AMBER forcefield: quadruplex DNA, quadruplex RNA, and Z-DNA", "type" : "article-journal", "volume" : "8" }, "uris" : [ "http://www.mendeley.com/documents/?uuid=ffc8d6a6-683c-42a1-bfec-953623ac97ce" ] } ], "mendeley" : { "formattedCitation" : "&lt;b&gt;&lt;i&gt;(29)&lt;/i&gt;&lt;/b&gt;", "plainTextFormattedCitation" : "(29)", "previouslyFormattedCitation" : "&lt;b&gt;&lt;i&gt;(29)&lt;/i&gt;&lt;/b&gt;" }, "properties" : { "noteIndex" : 0 }, "schema" : "https://github.com/citation-style-language/schema/raw/master/csl-citation.json" }</w:instrText>
      </w:r>
      <w:r>
        <w:fldChar w:fldCharType="separate"/>
      </w:r>
      <w:bookmarkStart w:id="85" w:name="__Fieldmark__1459_1847998653"/>
      <w:r>
        <w:rPr>
          <w:rFonts w:cs="Times New Roman" w:ascii="Times New Roman" w:hAnsi="Times New Roman"/>
          <w:color w:val="000000" w:themeColor="text1"/>
        </w:rPr>
      </w:r>
      <w:r>
        <w:rPr>
          <w:rFonts w:cs="Times New Roman" w:ascii="Times New Roman" w:hAnsi="Times New Roman"/>
          <w:b/>
          <w:i/>
          <w:color w:val="000000" w:themeColor="text1"/>
        </w:rPr>
        <w:t>(</w:t>
      </w:r>
      <w:bookmarkStart w:id="86" w:name="__Fieldmark__1411_124395177"/>
      <w:bookmarkStart w:id="87" w:name="__Fieldmark__580_441382956"/>
      <w:r>
        <w:rPr>
          <w:rFonts w:cs="Times New Roman" w:ascii="Times New Roman" w:hAnsi="Times New Roman"/>
          <w:b/>
          <w:i/>
          <w:color w:val="000000" w:themeColor="text1"/>
        </w:rPr>
        <w:t>29)</w:t>
      </w:r>
      <w:r>
        <w:rPr>
          <w:rFonts w:cs="Times New Roman" w:ascii="Times New Roman" w:hAnsi="Times New Roman"/>
          <w:color w:val="000000" w:themeColor="text1"/>
        </w:rPr>
      </w:r>
      <w:r>
        <w:fldChar w:fldCharType="end"/>
      </w:r>
      <w:bookmarkEnd w:id="85"/>
      <w:bookmarkEnd w:id="86"/>
      <w:bookmarkEnd w:id="87"/>
      <w:r>
        <w:rPr>
          <w:rFonts w:cs="Times New Roman" w:ascii="Times New Roman" w:hAnsi="Times New Roman"/>
          <w:color w:val="000000" w:themeColor="text1"/>
        </w:rPr>
        <w:t xml:space="preserve">) and  forcefield modification files for backbone dihedrals (frcmod.parmbsc0 </w:t>
      </w:r>
      <w:r>
        <w:fldChar w:fldCharType="begin"/>
      </w:r>
      <w:r>
        <w:instrText>ADDIN CSL_CITATION { "citationItems" : [ { "id" : "ITEM-1", "itemData" : { "DOI" : "10.1529/biophysj.106.097782", "ISSN" : "0006-3495", "PMID" : "17351000", "abstract" : "We present here the parmbsc0 force field, a refinement of the AMBER parm99 force field, where emphasis has been made on the correct representation of the alpha/gamma concerted rotation in nucleic acids (NAs). The modified force field corrects overpopulations of the alpha/gamma = (g+,t) backbone that were seen in long (more than 10 ns) simulations with previous AMBER parameter sets (parm94-99). The force field has been derived by fitting to high-level quantum mechanical data and verified by comparison with very high-level quantum mechanical calculations and by a very extensive comparison between simulations and experimental data. The set of validation simulations includes two of the longest trajectories published to date for the DNA duplex (200 ns each) and the largest variety of NA structures studied to date (15 different NA families and 97 individual structures). The total simulation time used to validate the force field includes near 1 mus of state-of-the-art molecular dynamics simulations in aqueous solution.", "author" : [ { "dropping-particle" : "", "family" : "P\u00e9rez", "given" : "Alberto", "non-dropping-particle" : "", "parse-names" : false, "suffix" : "" }, { "dropping-particle" : "", "family" : "March\u00e1n", "given" : "Iv\u00e1n", "non-dropping-particle" : "", "parse-names" : false, "suffix" : "" }, { "dropping-particle" : "", "family" : "Svozil", "given" : "Daniel", "non-dropping-particle" : "", "parse-names" : false, "suffix" : "" }, { "dropping-particle" : "", "family" : "Sponer", "given" : "Jiri", "non-dropping-particle" : "", "parse-names" : false, "suffix" : "" }, { "dropping-particle" : "", "family" : "Cheatham", "given" : "Thomas E", "non-dropping-particle" : "", "parse-names" : false, "suffix" : "" }, { "dropping-particle" : "", "family" : "Laughton", "given" : "Charles A", "non-dropping-particle" : "", "parse-names" : false, "suffix" : "" }, { "dropping-particle" : "", "family" : "Orozco", "given" : "Modesto", "non-dropping-particle" : "", "parse-names" : false, "suffix" : "" } ], "container-title" : "Biophysical journal", "id" : "ITEM-1", "issue" : "11", "issued" : { "date-parts" : [ [ "2007", "6", "1" ] ] }, "page" : "3817-3829", "title" : "Refinement of the AMBER force field for nucleic acids: improving the description of alpha/gamma conformers.", "type" : "article-journal", "volume" : "92" }, "uris" : [ "http://www.mendeley.com/documents/?uuid=18af751a-191a-40fa-a6d1-430ece6e5479" ] } ], "mendeley" : { "formattedCitation" : "&lt;b&gt;&lt;i&gt;(28)&lt;/i&gt;&lt;/b&gt;", "plainTextFormattedCitation" : "(28)", "previouslyFormattedCitation" : "&lt;b&gt;&lt;i&gt;(28)&lt;/i&gt;&lt;/b&gt;" }, "properties" : { "noteIndex" : 0 }, "schema" : "https://github.com/citation-style-language/schema/raw/master/csl-citation.json" }</w:instrText>
      </w:r>
      <w:r>
        <w:fldChar w:fldCharType="separate"/>
      </w:r>
      <w:bookmarkStart w:id="88" w:name="__Fieldmark__1470_1847998653"/>
      <w:r>
        <w:rPr>
          <w:rFonts w:cs="Times New Roman" w:ascii="Times New Roman" w:hAnsi="Times New Roman"/>
          <w:color w:val="000000" w:themeColor="text1"/>
        </w:rPr>
      </w:r>
      <w:r>
        <w:rPr>
          <w:rFonts w:cs="Times New Roman" w:ascii="Times New Roman" w:hAnsi="Times New Roman"/>
          <w:b/>
          <w:i/>
          <w:color w:val="000000" w:themeColor="text1"/>
        </w:rPr>
        <w:t>(</w:t>
      </w:r>
      <w:bookmarkStart w:id="89" w:name="__Fieldmark__1424_124395177"/>
      <w:bookmarkStart w:id="90" w:name="__Fieldmark__587_441382956"/>
      <w:r>
        <w:rPr>
          <w:rFonts w:cs="Times New Roman" w:ascii="Times New Roman" w:hAnsi="Times New Roman"/>
          <w:b/>
          <w:i/>
          <w:color w:val="000000" w:themeColor="text1"/>
        </w:rPr>
        <w:t>28)</w:t>
      </w:r>
      <w:r>
        <w:rPr>
          <w:rFonts w:cs="Times New Roman" w:ascii="Times New Roman" w:hAnsi="Times New Roman"/>
          <w:color w:val="000000" w:themeColor="text1"/>
        </w:rPr>
      </w:r>
      <w:r>
        <w:fldChar w:fldCharType="end"/>
      </w:r>
      <w:bookmarkEnd w:id="88"/>
      <w:bookmarkEnd w:id="89"/>
      <w:bookmarkEnd w:id="90"/>
      <w:r>
        <w:rPr>
          <w:rFonts w:cs="Times New Roman" w:ascii="Times New Roman" w:hAnsi="Times New Roman"/>
          <w:color w:val="000000" w:themeColor="text1"/>
        </w:rPr>
        <w:t xml:space="preserve"> and frcmod.OL4.chi </w:t>
      </w:r>
      <w:r>
        <w:fldChar w:fldCharType="begin"/>
      </w:r>
      <w:r>
        <w:instrText>ADDIN CSL_CITATION { "citationItems" : [ { "id" : "ITEM-1", "itemData" : { "author" : [ { "dropping-particle" : "", "family" : "Krepl", "given" : "Miroslav", "non-dropping-particle" : "", "parse-names" : false, "suffix" : "" }, { "dropping-particle" : "", "family" : "Zgarbov\u00e1", "given" : "Marie", "non-dropping-particle" : "", "parse-names" : false, "suffix" : "" }, { "dropping-particle" : "", "family" : "Stadlbauer", "given" : "Petr", "non-dropping-particle" : "", "parse-names" : false, "suffix" : "" }, { "dropping-particle" : "", "family" : "Otyepka", "given" : "Michal", "non-dropping-particle" : "", "parse-names" : false, "suffix" : "" }, { "dropping-particle" : "", "family" : "Bana\u0301s\u030c", "given" : "Pavel", "non-dropping-particle" : "", "parse-names" : false, "suffix" : "" }, { "dropping-particle" : "", "family" : "Koc\u030ca", "given" : "Jaroslav", "non-dropping-particle" : "", "parse-names" : false, "suffix" : "" }, { "dropping-particle" : "", "family" : "Cheatham III", "given" : "Thomas E.", "non-dropping-particle" : "", "parse-names" : false, "suffix" : "" }, { "dropping-particle" : "", "family" : "Jurec\u030cka", "given" : "Petr", "non-dropping-particle" : "", "parse-names" : false, "suffix" : "" }, { "dropping-particle" : "", "family" : "Sponer", "given" : "Jir\u00ed", "non-dropping-particle" : "", "parse-names" : false, "suffix" : "" } ], "container-title" : "Journal of Chemical Theory and Computation", "id" : "ITEM-1", "issued" : { "date-parts" : [ [ "2012" ] ] }, "page" : "2506-2520", "title" : "Reference simulations of noncanonical nucleic acids with different \u03c7 variants of the AMBER forcefield: quadruplex DNA, quadruplex RNA, and Z-DNA", "type" : "article-journal", "volume" : "8" }, "uris" : [ "http://www.mendeley.com/documents/?uuid=ffc8d6a6-683c-42a1-bfec-953623ac97ce" ] } ], "mendeley" : { "formattedCitation" : "&lt;b&gt;&lt;i&gt;(29)&lt;/i&gt;&lt;/b&gt;", "plainTextFormattedCitation" : "(29)", "previouslyFormattedCitation" : "&lt;b&gt;&lt;i&gt;(29)&lt;/i&gt;&lt;/b&gt;" }, "properties" : { "noteIndex" : 0 }, "schema" : "https://github.com/citation-style-language/schema/raw/master/csl-citation.json" }</w:instrText>
      </w:r>
      <w:r>
        <w:fldChar w:fldCharType="separate"/>
      </w:r>
      <w:bookmarkStart w:id="91" w:name="__Fieldmark__1479_1847998653"/>
      <w:r>
        <w:rPr>
          <w:rFonts w:cs="Times New Roman" w:ascii="Times New Roman" w:hAnsi="Times New Roman"/>
          <w:color w:val="000000" w:themeColor="text1"/>
        </w:rPr>
      </w:r>
      <w:r>
        <w:rPr>
          <w:rFonts w:cs="Times New Roman" w:ascii="Times New Roman" w:hAnsi="Times New Roman"/>
          <w:b/>
          <w:i/>
          <w:color w:val="000000" w:themeColor="text1"/>
        </w:rPr>
        <w:t>(</w:t>
      </w:r>
      <w:bookmarkStart w:id="92" w:name="__Fieldmark__599_441382956"/>
      <w:r>
        <w:rPr>
          <w:rFonts w:cs="Times New Roman" w:ascii="Times New Roman" w:hAnsi="Times New Roman"/>
          <w:b/>
          <w:i/>
          <w:color w:val="000000" w:themeColor="text1"/>
        </w:rPr>
        <w:t>29)</w:t>
      </w:r>
      <w:r>
        <w:rPr>
          <w:rFonts w:cs="Times New Roman" w:ascii="Times New Roman" w:hAnsi="Times New Roman"/>
          <w:color w:val="000000" w:themeColor="text1"/>
        </w:rPr>
      </w:r>
      <w:r>
        <w:fldChar w:fldCharType="end"/>
      </w:r>
      <w:bookmarkStart w:id="93" w:name="__Fieldmark__1436_124395177"/>
      <w:bookmarkEnd w:id="91"/>
      <w:bookmarkEnd w:id="92"/>
      <w:bookmarkEnd w:id="93"/>
      <w:r>
        <w:rPr>
          <w:rFonts w:cs="Times New Roman" w:ascii="Times New Roman" w:hAnsi="Times New Roman"/>
          <w:color w:val="000000" w:themeColor="text1"/>
        </w:rPr>
        <w:t xml:space="preserve">), ions (dangion.dat </w:t>
      </w:r>
      <w:r>
        <w:fldChar w:fldCharType="begin"/>
      </w:r>
      <w:r>
        <w:instrText>ADDIN CSL_CITATION { "citationItems" : [ { "id" : "ITEM-1", "itemData" : { "DOI" : "10.1063/1.466363", "ISSN" : "00219606", "author" : [ { "dropping-particle" : "", "family" : "Smith", "given" : "David E.", "non-dropping-particle" : "", "parse-names" : false, "suffix" : "" }, { "dropping-particle" : "", "family" : "Dang", "given" : "Liem X.", "non-dropping-particle" : "", "parse-names" : false, "suffix" : "" } ], "container-title" : "The Journal of Chemical Physics", "id" : "ITEM-1", "issue" : "5", "issued" : { "date-parts" : [ [ "1994" ] ] }, "page" : "3757", "title" : "Computer simulations of NaCl association in polarizable water", "type" : "article-journal", "volume" : "100" }, "uris" : [ "http://www.mendeley.com/documents/?uuid=de2cb09f-ccf7-4b67-a828-7f0436289bfe" ] } ], "mendeley" : { "formattedCitation" : "&lt;b&gt;&lt;i&gt;(54)&lt;/i&gt;&lt;/b&gt;", "plainTextFormattedCitation" : "(54)", "previouslyFormattedCitation" : "&lt;b&gt;&lt;i&gt;(54)&lt;/i&gt;&lt;/b&gt;" }, "properties" : { "noteIndex" : 0 }, "schema" : "https://github.com/citation-style-language/schema/raw/master/csl-citation.json" }</w:instrText>
      </w:r>
      <w:r>
        <w:fldChar w:fldCharType="separate"/>
      </w:r>
      <w:bookmarkStart w:id="94" w:name="__Fieldmark__1489_1847998653"/>
      <w:r>
        <w:rPr>
          <w:rFonts w:cs="Times New Roman" w:ascii="Times New Roman" w:hAnsi="Times New Roman"/>
          <w:color w:val="000000" w:themeColor="text1"/>
        </w:rPr>
      </w:r>
      <w:r>
        <w:rPr>
          <w:rFonts w:cs="Times New Roman" w:ascii="Times New Roman" w:hAnsi="Times New Roman"/>
          <w:b/>
          <w:i/>
          <w:color w:val="000000" w:themeColor="text1"/>
        </w:rPr>
        <w:t>(</w:t>
      </w:r>
      <w:bookmarkStart w:id="95" w:name="__Fieldmark__607_441382956"/>
      <w:r>
        <w:rPr>
          <w:rFonts w:cs="Times New Roman" w:ascii="Times New Roman" w:hAnsi="Times New Roman"/>
          <w:b/>
          <w:i/>
          <w:color w:val="000000" w:themeColor="text1"/>
        </w:rPr>
        <w:t>54)</w:t>
      </w:r>
      <w:r>
        <w:rPr>
          <w:rFonts w:cs="Times New Roman" w:ascii="Times New Roman" w:hAnsi="Times New Roman"/>
          <w:color w:val="000000" w:themeColor="text1"/>
        </w:rPr>
      </w:r>
      <w:r>
        <w:fldChar w:fldCharType="end"/>
      </w:r>
      <w:bookmarkStart w:id="96" w:name="__Fieldmark__1446_124395177"/>
      <w:bookmarkEnd w:id="94"/>
      <w:bookmarkEnd w:id="95"/>
      <w:bookmarkEnd w:id="96"/>
      <w:r>
        <w:rPr>
          <w:rFonts w:cs="Times New Roman" w:ascii="Times New Roman" w:hAnsi="Times New Roman"/>
          <w:color w:val="000000" w:themeColor="text1"/>
        </w:rPr>
        <w:t xml:space="preserve">) and the modified DNA library (DNA_CI.lib) containing the updated version of DNA partial charges compatible with the ‘bsc0’ parameters </w:t>
      </w:r>
      <w:r>
        <w:fldChar w:fldCharType="begin"/>
      </w:r>
      <w:r>
        <w:instrText>ADDIN CSL_CITATION { "citationItems" : [ { "id" : "ITEM-1", "itemData" : { "DOI" : "10.1529/biophysj.106.097782", "ISSN" : "0006-3495", "PMID" : "17351000", "abstract" : "We present here the parmbsc0 force field, a refinement of the AMBER parm99 force field, where emphasis has been made on the correct representation of the alpha/gamma concerted rotation in nucleic acids (NAs). The modified force field corrects overpopulations of the alpha/gamma = (g+,t) backbone that were seen in long (more than 10 ns) simulations with previous AMBER parameter sets (parm94-99). The force field has been derived by fitting to high-level quantum mechanical data and verified by comparison with very high-level quantum mechanical calculations and by a very extensive comparison between simulations and experimental data. The set of validation simulations includes two of the longest trajectories published to date for the DNA duplex (200 ns each) and the largest variety of NA structures studied to date (15 different NA families and 97 individual structures). The total simulation time used to validate the force field includes near 1 mus of state-of-the-art molecular dynamics simulations in aqueous solution.", "author" : [ { "dropping-particle" : "", "family" : "P\u00e9rez", "given" : "Alberto", "non-dropping-particle" : "", "parse-names" : false, "suffix" : "" }, { "dropping-particle" : "", "family" : "March\u00e1n", "given" : "Iv\u00e1n", "non-dropping-particle" : "", "parse-names" : false, "suffix" : "" }, { "dropping-particle" : "", "family" : "Svozil", "given" : "Daniel", "non-dropping-particle" : "", "parse-names" : false, "suffix" : "" }, { "dropping-particle" : "", "family" : "Sponer", "given" : "Jiri", "non-dropping-particle" : "", "parse-names" : false, "suffix" : "" }, { "dropping-particle" : "", "family" : "Cheatham", "given" : "Thomas E", "non-dropping-particle" : "", "parse-names" : false, "suffix" : "" }, { "dropping-particle" : "", "family" : "Laughton", "given" : "Charles A", "non-dropping-particle" : "", "parse-names" : false, "suffix" : "" }, { "dropping-particle" : "", "family" : "Orozco", "given" : "Modesto", "non-dropping-particle" : "", "parse-names" : false, "suffix" : "" } ], "container-title" : "Biophysical journal", "id" : "ITEM-1", "issue" : "11", "issued" : { "date-parts" : [ [ "2007", "6", "1" ] ] }, "page" : "3817-3829", "title" : "Refinement of the AMBER force field for nucleic acids: improving the description of alpha/gamma conformers.", "type" : "article-journal", "volume" : "92" }, "uris" : [ "http://www.mendeley.com/documents/?uuid=18af751a-191a-40fa-a6d1-430ece6e5479" ] } ], "mendeley" : { "formattedCitation" : "&lt;b&gt;&lt;i&gt;(28)&lt;/i&gt;&lt;/b&gt;", "plainTextFormattedCitation" : "(28)", "previouslyFormattedCitation" : "&lt;b&gt;&lt;i&gt;(28)&lt;/i&gt;&lt;/b&gt;" }, "properties" : { "noteIndex" : 0 }, "schema" : "https://github.com/citation-style-language/schema/raw/master/csl-citation.json" }</w:instrText>
      </w:r>
      <w:r>
        <w:fldChar w:fldCharType="separate"/>
      </w:r>
      <w:bookmarkStart w:id="97" w:name="__Fieldmark__1499_1847998653"/>
      <w:r>
        <w:rPr>
          <w:rFonts w:cs="Times New Roman" w:ascii="Times New Roman" w:hAnsi="Times New Roman"/>
          <w:color w:val="000000" w:themeColor="text1"/>
        </w:rPr>
      </w:r>
      <w:r>
        <w:rPr>
          <w:rFonts w:cs="Times New Roman" w:ascii="Times New Roman" w:hAnsi="Times New Roman"/>
          <w:b/>
          <w:i/>
          <w:color w:val="000000" w:themeColor="text1"/>
        </w:rPr>
        <w:t>(</w:t>
      </w:r>
      <w:bookmarkStart w:id="98" w:name="__Fieldmark__615_441382956"/>
      <w:r>
        <w:rPr>
          <w:rFonts w:cs="Times New Roman" w:ascii="Times New Roman" w:hAnsi="Times New Roman"/>
          <w:b/>
          <w:i/>
          <w:color w:val="000000" w:themeColor="text1"/>
        </w:rPr>
        <w:t>28)</w:t>
      </w:r>
      <w:r>
        <w:rPr>
          <w:rFonts w:cs="Times New Roman" w:ascii="Times New Roman" w:hAnsi="Times New Roman"/>
          <w:color w:val="000000" w:themeColor="text1"/>
        </w:rPr>
      </w:r>
      <w:r>
        <w:fldChar w:fldCharType="end"/>
      </w:r>
      <w:bookmarkStart w:id="99" w:name="__Fieldmark__1454_124395177"/>
      <w:bookmarkEnd w:id="97"/>
      <w:bookmarkEnd w:id="98"/>
      <w:bookmarkEnd w:id="99"/>
      <w:r>
        <w:rPr>
          <w:rFonts w:cs="Times New Roman" w:ascii="Times New Roman" w:hAnsi="Times New Roman"/>
          <w:color w:val="000000" w:themeColor="text1"/>
        </w:rPr>
        <w:t>. 2) Map some of the atom names and types in the PDB files created by NAB to be compatible with LEAP by using the ‘addPdbAtomMap’ and ‘addAtomTypes’ LEAP commands (</w:t>
      </w:r>
      <w:r>
        <w:rPr>
          <w:rFonts w:cs="Times New Roman" w:ascii="Times New Roman" w:hAnsi="Times New Roman"/>
          <w:i/>
          <w:color w:val="000000" w:themeColor="text1"/>
        </w:rPr>
        <w:t>see</w:t>
      </w:r>
      <w:r>
        <w:rPr>
          <w:rFonts w:cs="Times New Roman" w:ascii="Times New Roman" w:hAnsi="Times New Roman"/>
          <w:color w:val="000000" w:themeColor="text1"/>
        </w:rPr>
        <w:t xml:space="preserve"> </w:t>
      </w:r>
      <w:r>
        <w:rPr>
          <w:rFonts w:cs="Times New Roman" w:ascii="Times New Roman" w:hAnsi="Times New Roman"/>
          <w:b/>
          <w:color w:val="000000" w:themeColor="text1"/>
        </w:rPr>
        <w:t>Note 2</w:t>
      </w:r>
      <w:r>
        <w:rPr>
          <w:rFonts w:cs="Times New Roman" w:ascii="Times New Roman" w:hAnsi="Times New Roman"/>
          <w:color w:val="000000" w:themeColor="text1"/>
        </w:rPr>
        <w:t>). 3) Load the PDB file of the circular DNA created by NAB. 4) Manually create two covalent bonds to connect two backbone strands of the DNA ends by using the ‘bond’ LEAP command. 5) Use ‘saveamberparm’ LEAP command to export a .prmtop topology file and an .inpcrd coordinate file for an implicitly solvated simulation. (</w:t>
      </w:r>
      <w:r>
        <w:rPr>
          <w:rFonts w:cs="Times New Roman" w:ascii="Times New Roman" w:hAnsi="Times New Roman"/>
          <w:i/>
          <w:color w:val="000000" w:themeColor="text1"/>
        </w:rPr>
        <w:t>see</w:t>
      </w:r>
      <w:r>
        <w:rPr>
          <w:rFonts w:cs="Times New Roman" w:ascii="Times New Roman" w:hAnsi="Times New Roman"/>
          <w:color w:val="000000" w:themeColor="text1"/>
        </w:rPr>
        <w:t xml:space="preserve"> </w:t>
      </w:r>
      <w:r>
        <w:rPr>
          <w:rFonts w:cs="Times New Roman" w:ascii="Times New Roman" w:hAnsi="Times New Roman"/>
          <w:b/>
          <w:color w:val="000000" w:themeColor="text1"/>
        </w:rPr>
        <w:t>Notes 3,4</w:t>
      </w:r>
      <w:r>
        <w:rPr>
          <w:rFonts w:cs="Times New Roman" w:ascii="Times New Roman" w:hAnsi="Times New Roman"/>
          <w:color w:val="000000" w:themeColor="text1"/>
        </w:rPr>
        <w:t>)</w:t>
      </w:r>
    </w:p>
    <w:p>
      <w:pPr>
        <w:pStyle w:val="ListParagraph"/>
        <w:numPr>
          <w:ilvl w:val="0"/>
          <w:numId w:val="2"/>
        </w:numPr>
        <w:suppressAutoHyphens w:val="true"/>
        <w:spacing w:lineRule="auto" w:line="360"/>
        <w:jc w:val="both"/>
        <w:rPr>
          <w:rFonts w:ascii="Times New Roman" w:hAnsi="Times New Roman" w:cs="Times New Roman"/>
          <w:color w:val="000000" w:themeColor="text1"/>
        </w:rPr>
      </w:pPr>
      <w:r>
        <w:rPr>
          <w:rFonts w:cs="Times New Roman" w:ascii="Times New Roman" w:hAnsi="Times New Roman"/>
          <w:i/>
          <w:color w:val="000000" w:themeColor="text1"/>
        </w:rPr>
        <w:t>Prepare AMBER input files for GB/SA implicit solvent simulations:</w:t>
      </w:r>
      <w:r>
        <w:rPr>
          <w:rFonts w:cs="Times New Roman" w:ascii="Times New Roman" w:hAnsi="Times New Roman"/>
          <w:color w:val="000000" w:themeColor="text1"/>
        </w:rPr>
        <w:t xml:space="preserve"> 1) </w:t>
      </w:r>
      <w:r>
        <w:rPr>
          <w:rFonts w:cs="Times New Roman" w:ascii="Times New Roman" w:hAnsi="Times New Roman"/>
          <w:i/>
          <w:color w:val="000000" w:themeColor="text1"/>
        </w:rPr>
        <w:t>two-stage minimisation</w:t>
      </w:r>
      <w:r>
        <w:rPr>
          <w:rFonts w:cs="Times New Roman" w:ascii="Times New Roman" w:hAnsi="Times New Roman"/>
          <w:color w:val="000000" w:themeColor="text1"/>
        </w:rPr>
        <w:t xml:space="preserve"> ‘min1.in’ with all-atom coordinate restraints (ntr=1) and ‘min2.in’ without coordinate restraints. 2) </w:t>
      </w:r>
      <w:r>
        <w:rPr>
          <w:rFonts w:cs="Times New Roman" w:ascii="Times New Roman" w:hAnsi="Times New Roman"/>
          <w:i/>
          <w:color w:val="000000" w:themeColor="text1"/>
        </w:rPr>
        <w:t>three-stage equilibration with all atom coordinate restraints</w:t>
      </w:r>
      <w:r>
        <w:rPr>
          <w:rFonts w:cs="Times New Roman" w:ascii="Times New Roman" w:hAnsi="Times New Roman"/>
          <w:color w:val="000000" w:themeColor="text1"/>
        </w:rPr>
        <w:t xml:space="preserve"> ‘md1.in’: system is heated from 100 K to the constant 300 K, ‘md2.in’ and ‘md3.in’: system is under the reduced restraint weight (</w:t>
      </w:r>
      <w:r>
        <w:rPr>
          <w:rFonts w:cs="Times New Roman" w:ascii="Times New Roman" w:hAnsi="Times New Roman"/>
          <w:i/>
          <w:color w:val="000000" w:themeColor="text1"/>
        </w:rPr>
        <w:t>see</w:t>
      </w:r>
      <w:r>
        <w:rPr>
          <w:rFonts w:cs="Times New Roman" w:ascii="Times New Roman" w:hAnsi="Times New Roman"/>
          <w:color w:val="000000" w:themeColor="text1"/>
        </w:rPr>
        <w:t xml:space="preserve"> </w:t>
      </w:r>
      <w:r>
        <w:rPr>
          <w:rFonts w:cs="Times New Roman" w:ascii="Times New Roman" w:hAnsi="Times New Roman"/>
          <w:b/>
          <w:color w:val="000000" w:themeColor="text1"/>
        </w:rPr>
        <w:t>Table 2</w:t>
      </w:r>
      <w:r>
        <w:rPr>
          <w:rFonts w:cs="Times New Roman" w:ascii="Times New Roman" w:hAnsi="Times New Roman"/>
          <w:color w:val="000000" w:themeColor="text1"/>
        </w:rPr>
        <w:t xml:space="preserve">). 3) </w:t>
      </w:r>
      <w:r>
        <w:rPr>
          <w:rFonts w:cs="Times New Roman" w:ascii="Times New Roman" w:hAnsi="Times New Roman"/>
          <w:i/>
          <w:color w:val="000000" w:themeColor="text1"/>
        </w:rPr>
        <w:t>productive MD run</w:t>
      </w:r>
      <w:r>
        <w:rPr>
          <w:rFonts w:cs="Times New Roman" w:ascii="Times New Roman" w:hAnsi="Times New Roman"/>
          <w:color w:val="000000" w:themeColor="text1"/>
        </w:rPr>
        <w:t xml:space="preserve"> ‘md4.in’ the all-atom restraints have been removed and the system is restrained through its complementary base pair hydrogen bonds using the NMR distance restraints facility in SANDER (nmropt=1, pencut=-0.001). (</w:t>
      </w:r>
      <w:r>
        <w:rPr>
          <w:rFonts w:cs="Times New Roman" w:ascii="Times New Roman" w:hAnsi="Times New Roman"/>
          <w:i/>
          <w:color w:val="000000" w:themeColor="text1"/>
        </w:rPr>
        <w:t>see</w:t>
      </w:r>
      <w:r>
        <w:rPr>
          <w:rFonts w:cs="Times New Roman" w:ascii="Times New Roman" w:hAnsi="Times New Roman"/>
          <w:color w:val="000000" w:themeColor="text1"/>
        </w:rPr>
        <w:t xml:space="preserve"> </w:t>
      </w:r>
      <w:r>
        <w:rPr>
          <w:rFonts w:cs="Times New Roman" w:ascii="Times New Roman" w:hAnsi="Times New Roman"/>
          <w:b/>
          <w:color w:val="000000" w:themeColor="text1"/>
        </w:rPr>
        <w:t>Note 5</w:t>
      </w:r>
      <w:r>
        <w:rPr>
          <w:rFonts w:cs="Times New Roman" w:ascii="Times New Roman" w:hAnsi="Times New Roman"/>
          <w:color w:val="000000" w:themeColor="text1"/>
        </w:rPr>
        <w:t>)</w:t>
      </w:r>
    </w:p>
    <w:p>
      <w:pPr>
        <w:pStyle w:val="ListParagraph"/>
        <w:numPr>
          <w:ilvl w:val="0"/>
          <w:numId w:val="2"/>
        </w:numPr>
        <w:suppressAutoHyphens w:val="true"/>
        <w:spacing w:lineRule="auto" w:line="360"/>
        <w:jc w:val="both"/>
        <w:rPr>
          <w:rFonts w:ascii="Times New Roman" w:hAnsi="Times New Roman" w:cs="Times New Roman"/>
          <w:color w:val="000000" w:themeColor="text1"/>
        </w:rPr>
      </w:pPr>
      <w:r>
        <w:rPr>
          <w:rFonts w:cs="Times New Roman" w:ascii="Times New Roman" w:hAnsi="Times New Roman"/>
          <w:i/>
          <w:color w:val="000000" w:themeColor="text1"/>
        </w:rPr>
        <w:t>Prepare an AMBER NMR distance restraints file:</w:t>
      </w:r>
      <w:r>
        <w:rPr>
          <w:rFonts w:cs="Times New Roman" w:ascii="Times New Roman" w:hAnsi="Times New Roman"/>
          <w:color w:val="000000" w:themeColor="text1"/>
        </w:rPr>
        <w:t xml:space="preserve"> To prepare the NMR restraint file, run the python script ‘genrst.py’ to read the DNA sequence and to generate an input file for the AMBER ‘makeDIST_RST’ command. This will create another file named ‘RST’ containing all the restraint information for the productive GB/SA MD run. (</w:t>
      </w:r>
      <w:r>
        <w:rPr>
          <w:rFonts w:cs="Times New Roman" w:ascii="Times New Roman" w:hAnsi="Times New Roman"/>
          <w:i/>
          <w:color w:val="000000" w:themeColor="text1"/>
        </w:rPr>
        <w:t>see</w:t>
      </w:r>
      <w:r>
        <w:rPr>
          <w:rFonts w:cs="Times New Roman" w:ascii="Times New Roman" w:hAnsi="Times New Roman"/>
          <w:color w:val="000000" w:themeColor="text1"/>
        </w:rPr>
        <w:t xml:space="preserve"> </w:t>
      </w:r>
      <w:r>
        <w:rPr>
          <w:rFonts w:cs="Times New Roman" w:ascii="Times New Roman" w:hAnsi="Times New Roman"/>
          <w:b/>
          <w:color w:val="000000" w:themeColor="text1"/>
        </w:rPr>
        <w:t>Note 6</w:t>
      </w:r>
      <w:r>
        <w:rPr>
          <w:rFonts w:cs="Times New Roman" w:ascii="Times New Roman" w:hAnsi="Times New Roman"/>
          <w:color w:val="000000" w:themeColor="text1"/>
        </w:rPr>
        <w:t xml:space="preserve">) </w:t>
      </w:r>
    </w:p>
    <w:p>
      <w:pPr>
        <w:pStyle w:val="ListParagraph"/>
        <w:numPr>
          <w:ilvl w:val="0"/>
          <w:numId w:val="2"/>
        </w:numPr>
        <w:suppressAutoHyphens w:val="true"/>
        <w:spacing w:lineRule="auto" w:line="360"/>
        <w:jc w:val="both"/>
        <w:rPr>
          <w:rFonts w:ascii="Times New Roman" w:hAnsi="Times New Roman" w:cs="Times New Roman"/>
          <w:color w:val="000000" w:themeColor="text1"/>
        </w:rPr>
      </w:pPr>
      <w:r>
        <w:rPr>
          <w:rFonts w:cs="Times New Roman" w:ascii="Times New Roman" w:hAnsi="Times New Roman"/>
          <w:i/>
          <w:color w:val="000000" w:themeColor="text1"/>
        </w:rPr>
        <w:t xml:space="preserve">AMBER GB/SA implicit solvent minimisation and equilibration: </w:t>
      </w:r>
      <w:r>
        <w:rPr>
          <w:rFonts w:cs="Times New Roman" w:ascii="Times New Roman" w:hAnsi="Times New Roman"/>
          <w:color w:val="000000" w:themeColor="text1"/>
        </w:rPr>
        <w:t xml:space="preserve">Run the first minimisation stage from the prepared AMBER topology, starting coordinate and ‘min1.in’ AMBER input files using the SANDER module. The final structure of ‘min1’ will be the starting structure for ‘min2’, for which the final structure will be the starting structure for ‘md1’. This procedure will be repeated so that the final structure of ‘md3’ equilibration stage will be the starting structure for the productive MD run. </w:t>
      </w:r>
    </w:p>
    <w:p>
      <w:pPr>
        <w:pStyle w:val="ListParagraph"/>
        <w:numPr>
          <w:ilvl w:val="0"/>
          <w:numId w:val="2"/>
        </w:numPr>
        <w:suppressAutoHyphens w:val="true"/>
        <w:spacing w:lineRule="auto" w:line="360"/>
        <w:jc w:val="both"/>
        <w:rPr>
          <w:rFonts w:ascii="Times New Roman" w:hAnsi="Times New Roman" w:cs="Times New Roman"/>
          <w:color w:val="000000" w:themeColor="text1"/>
        </w:rPr>
      </w:pPr>
      <w:r>
        <w:rPr>
          <w:rFonts w:cs="Times New Roman" w:ascii="Times New Roman" w:hAnsi="Times New Roman"/>
          <w:i/>
          <w:color w:val="000000" w:themeColor="text1"/>
        </w:rPr>
        <w:t xml:space="preserve">AMBER GB/SA implicit solvent productive run: </w:t>
      </w:r>
      <w:r>
        <w:rPr>
          <w:rFonts w:cs="Times New Roman" w:ascii="Times New Roman" w:hAnsi="Times New Roman"/>
          <w:color w:val="000000" w:themeColor="text1"/>
        </w:rPr>
        <w:t>From the final structure of ‘md3’, execute the ‘md4’ productive MD run in the GB/SA implicit solvent with all the hydrogen bonds restrained. If the simulation finishes before a sufficiently long trajectory has been obtained, it can be extended from the final structure using the AMBER restart and topology files. (</w:t>
      </w:r>
      <w:r>
        <w:rPr>
          <w:rFonts w:cs="Times New Roman" w:ascii="Times New Roman" w:hAnsi="Times New Roman"/>
          <w:i/>
          <w:color w:val="000000" w:themeColor="text1"/>
        </w:rPr>
        <w:t>see</w:t>
      </w:r>
      <w:r>
        <w:rPr>
          <w:rFonts w:cs="Times New Roman" w:ascii="Times New Roman" w:hAnsi="Times New Roman"/>
          <w:color w:val="000000" w:themeColor="text1"/>
        </w:rPr>
        <w:t xml:space="preserve"> </w:t>
      </w:r>
      <w:r>
        <w:rPr>
          <w:rFonts w:cs="Times New Roman" w:ascii="Times New Roman" w:hAnsi="Times New Roman"/>
          <w:b/>
          <w:color w:val="000000" w:themeColor="text1"/>
        </w:rPr>
        <w:t>Note 7</w:t>
      </w:r>
      <w:r>
        <w:rPr>
          <w:rFonts w:cs="Times New Roman" w:ascii="Times New Roman" w:hAnsi="Times New Roman"/>
          <w:color w:val="000000" w:themeColor="text1"/>
        </w:rPr>
        <w:t>)</w:t>
      </w:r>
    </w:p>
    <w:p>
      <w:pPr>
        <w:pStyle w:val="ListParagraph"/>
        <w:numPr>
          <w:ilvl w:val="0"/>
          <w:numId w:val="2"/>
        </w:numPr>
        <w:suppressAutoHyphens w:val="true"/>
        <w:spacing w:lineRule="auto" w:line="360"/>
        <w:jc w:val="both"/>
        <w:rPr>
          <w:rFonts w:ascii="Times New Roman" w:hAnsi="Times New Roman" w:cs="Times New Roman"/>
          <w:color w:val="000000" w:themeColor="text1"/>
        </w:rPr>
      </w:pPr>
      <w:r>
        <w:rPr>
          <w:rFonts w:cs="Times New Roman" w:ascii="Times New Roman" w:hAnsi="Times New Roman"/>
          <w:i/>
          <w:color w:val="000000" w:themeColor="text1"/>
        </w:rPr>
        <w:t>Cut and merge the trajectories of writhed DNA structures:</w:t>
      </w:r>
      <w:r>
        <w:rPr>
          <w:rFonts w:cs="Times New Roman" w:ascii="Times New Roman" w:hAnsi="Times New Roman"/>
          <w:color w:val="000000" w:themeColor="text1"/>
        </w:rPr>
        <w:t xml:space="preserve"> Use PTRAJ to concatenate the trajectories. Discard the first few nanoseconds (maybe 2-5 ns) of all the replicas, keeping only the snapshots where the writhe values become stable. If convenient, PTRAJ allows the user to merge all the replicas to create a single file containing the ensemble of writhed DNA structures of a given topoisomer for subsequent analysis.</w:t>
      </w:r>
    </w:p>
    <w:p>
      <w:pPr>
        <w:pStyle w:val="ListParagraph"/>
        <w:numPr>
          <w:ilvl w:val="0"/>
          <w:numId w:val="2"/>
        </w:numPr>
        <w:suppressAutoHyphens w:val="true"/>
        <w:spacing w:lineRule="auto" w:line="360"/>
        <w:jc w:val="both"/>
        <w:rPr>
          <w:rFonts w:ascii="Times New Roman" w:hAnsi="Times New Roman" w:cs="Times New Roman"/>
          <w:color w:val="000000" w:themeColor="text1"/>
        </w:rPr>
      </w:pPr>
      <w:r>
        <w:rPr>
          <w:rFonts w:cs="Times New Roman" w:ascii="Times New Roman" w:hAnsi="Times New Roman"/>
          <w:i/>
          <w:color w:val="000000" w:themeColor="text1"/>
        </w:rPr>
        <w:t>Clustering analysis and selection for the supercoiled DNA conformation to be explicitly solvated:</w:t>
      </w:r>
      <w:r>
        <w:rPr>
          <w:rFonts w:cs="Times New Roman" w:ascii="Times New Roman" w:hAnsi="Times New Roman"/>
          <w:color w:val="000000" w:themeColor="text1"/>
        </w:rPr>
        <w:t xml:space="preserve"> In PTRAJ, use the command ‘cluster’ with the option ‘averagelinkage’ to divide all the MD snapshots for each topoisomer into clusters (we typically generate around six clusters). Visualise the highly populated conformational clusters in VMD, and select a representative structure. Ensure that the chosen structure is free from structural disruptions, paying particular attention to the base stacking interactions (the hydrogen bond restraints prevent the formation of single stranded regions, but do not maintain stacking).</w:t>
      </w:r>
    </w:p>
    <w:p>
      <w:pPr>
        <w:pStyle w:val="ListParagraph"/>
        <w:numPr>
          <w:ilvl w:val="0"/>
          <w:numId w:val="2"/>
        </w:numPr>
        <w:suppressAutoHyphens w:val="true"/>
        <w:spacing w:lineRule="auto" w:line="360"/>
        <w:jc w:val="both"/>
        <w:rPr>
          <w:rFonts w:ascii="Times New Roman" w:hAnsi="Times New Roman" w:cs="Times New Roman"/>
          <w:color w:val="000000" w:themeColor="text1"/>
        </w:rPr>
      </w:pPr>
      <w:r>
        <w:rPr>
          <w:rFonts w:cs="Times New Roman" w:ascii="Times New Roman" w:hAnsi="Times New Roman"/>
          <w:i/>
          <w:color w:val="000000" w:themeColor="text1"/>
        </w:rPr>
        <w:t>Vacuum minimisation:</w:t>
      </w:r>
      <w:r>
        <w:rPr>
          <w:rFonts w:cs="Times New Roman" w:ascii="Times New Roman" w:hAnsi="Times New Roman"/>
          <w:color w:val="000000" w:themeColor="text1"/>
        </w:rPr>
        <w:t xml:space="preserve"> A representative structure of supercoiled DNA from a GB/SA simulation may contain regions where the minor groove is artificially narrow, especially at the plectoneme apices. This is an artefact of the approximate implicit solvent model, and therefore should be removed prior to adding counterions and water molecules. This minor groove compaction is relieved by a short minimisation run in vacuum (igb=0), as the electrostatic repulsion between backbone phosphate groups widens the minor groove.</w:t>
      </w:r>
    </w:p>
    <w:p>
      <w:pPr>
        <w:pStyle w:val="ListParagraph"/>
        <w:numPr>
          <w:ilvl w:val="0"/>
          <w:numId w:val="2"/>
        </w:numPr>
        <w:suppressAutoHyphens w:val="true"/>
        <w:spacing w:lineRule="auto" w:line="360"/>
        <w:jc w:val="both"/>
        <w:rPr>
          <w:rFonts w:ascii="Times New Roman" w:hAnsi="Times New Roman"/>
        </w:rPr>
      </w:pPr>
      <w:r>
        <w:rPr>
          <w:rFonts w:cs="Times New Roman" w:ascii="Times New Roman" w:hAnsi="Times New Roman"/>
          <w:i/>
          <w:color w:val="000000" w:themeColor="text1"/>
        </w:rPr>
        <w:t>File conversion from AMBER to GROMACS:</w:t>
      </w:r>
      <w:r>
        <w:rPr>
          <w:rFonts w:cs="Times New Roman" w:ascii="Times New Roman" w:hAnsi="Times New Roman"/>
          <w:color w:val="000000" w:themeColor="text1"/>
        </w:rPr>
        <w:t xml:space="preserve"> the GROMACS topology (.top) and coordinate (.gro) files can be created Using the </w:t>
      </w:r>
      <w:r>
        <w:rPr>
          <w:rFonts w:cs="Times New Roman" w:ascii="Times New Roman" w:hAnsi="Times New Roman"/>
          <w:i/>
          <w:color w:val="000000" w:themeColor="text1"/>
        </w:rPr>
        <w:t>perl</w:t>
      </w:r>
      <w:r>
        <w:rPr>
          <w:rFonts w:cs="Times New Roman" w:ascii="Times New Roman" w:hAnsi="Times New Roman"/>
          <w:color w:val="000000" w:themeColor="text1"/>
        </w:rPr>
        <w:t xml:space="preserve"> script ‘amb2gmx.pl’ (which is available from the GROMACS website) along with AMBER topology and coordinate files of the starting structure (without solvent). (</w:t>
      </w:r>
      <w:r>
        <w:rPr>
          <w:rFonts w:cs="Times New Roman" w:ascii="Times New Roman" w:hAnsi="Times New Roman"/>
          <w:i/>
          <w:color w:val="000000" w:themeColor="text1"/>
        </w:rPr>
        <w:t>see</w:t>
      </w:r>
      <w:r>
        <w:rPr>
          <w:rFonts w:cs="Times New Roman" w:ascii="Times New Roman" w:hAnsi="Times New Roman"/>
          <w:color w:val="000000" w:themeColor="text1"/>
        </w:rPr>
        <w:t xml:space="preserve"> </w:t>
      </w:r>
      <w:r>
        <w:rPr>
          <w:rFonts w:cs="Times New Roman" w:ascii="Times New Roman" w:hAnsi="Times New Roman"/>
          <w:b/>
          <w:color w:val="000000" w:themeColor="text1"/>
        </w:rPr>
        <w:t>Note 8,9</w:t>
      </w:r>
      <w:r>
        <w:rPr>
          <w:rFonts w:cs="Times New Roman" w:ascii="Times New Roman" w:hAnsi="Times New Roman"/>
          <w:color w:val="000000" w:themeColor="text1"/>
        </w:rPr>
        <w:t xml:space="preserve">) </w:t>
      </w:r>
    </w:p>
    <w:p>
      <w:pPr>
        <w:pStyle w:val="ListParagraph"/>
        <w:numPr>
          <w:ilvl w:val="0"/>
          <w:numId w:val="2"/>
        </w:numPr>
        <w:suppressAutoHyphens w:val="true"/>
        <w:spacing w:lineRule="auto" w:line="360"/>
        <w:jc w:val="both"/>
        <w:rPr/>
      </w:pPr>
      <w:r>
        <w:rPr>
          <w:rFonts w:cs="Times New Roman" w:ascii="Times New Roman" w:hAnsi="Times New Roman"/>
          <w:i/>
          <w:color w:val="000000" w:themeColor="text1"/>
        </w:rPr>
        <w:t>Prepare the GROMACS topology files (*.top) from modular files (.itp):</w:t>
      </w:r>
      <w:r>
        <w:rPr>
          <w:rFonts w:cs="Times New Roman" w:ascii="Times New Roman" w:hAnsi="Times New Roman"/>
          <w:color w:val="000000" w:themeColor="text1"/>
        </w:rPr>
        <w:t xml:space="preserve"> 1) ‘ffbsc0.itp’ specifies the type of forcefield to be chosen (e.g. AMBER, CHARMM or GROMOS, we use AMBER </w:t>
      </w:r>
      <w:r>
        <w:fldChar w:fldCharType="begin"/>
      </w:r>
      <w:r>
        <w:instrText>ADDIN CSL_CITATION { "citationItems" : [ { "id" : "ITEM-1", "itemData" : { "DOI" : "10.1529/biophysj.106.097782", "ISSN" : "0006-3495", "PMID" : "17351000", "abstract" : "We present here the parmbsc0 force field, a refinement of the AMBER parm99 force field, where emphasis has been made on the correct representation of the alpha/gamma concerted rotation in nucleic acids (NAs). The modified force field corrects overpopulations of the alpha/gamma = (g+,t) backbone that were seen in long (more than 10 ns) simulations with previous AMBER parameter sets (parm94-99). The force field has been derived by fitting to high-level quantum mechanical data and verified by comparison with very high-level quantum mechanical calculations and by a very extensive comparison between simulations and experimental data. The set of validation simulations includes two of the longest trajectories published to date for the DNA duplex (200 ns each) and the largest variety of NA structures studied to date (15 different NA families and 97 individual structures). The total simulation time used to validate the force field includes near 1 mus of state-of-the-art molecular dynamics simulations in aqueous solution.", "author" : [ { "dropping-particle" : "", "family" : "P\u00e9rez", "given" : "Alberto", "non-dropping-particle" : "", "parse-names" : false, "suffix" : "" }, { "dropping-particle" : "", "family" : "March\u00e1n", "given" : "Iv\u00e1n", "non-dropping-particle" : "", "parse-names" : false, "suffix" : "" }, { "dropping-particle" : "", "family" : "Svozil", "given" : "Daniel", "non-dropping-particle" : "", "parse-names" : false, "suffix" : "" }, { "dropping-particle" : "", "family" : "Sponer", "given" : "Jiri", "non-dropping-particle" : "", "parse-names" : false, "suffix" : "" }, { "dropping-particle" : "", "family" : "Cheatham", "given" : "Thomas E", "non-dropping-particle" : "", "parse-names" : false, "suffix" : "" }, { "dropping-particle" : "", "family" : "Laughton", "given" : "Charles A", "non-dropping-particle" : "", "parse-names" : false, "suffix" : "" }, { "dropping-particle" : "", "family" : "Orozco", "given" : "Modesto", "non-dropping-particle" : "", "parse-names" : false, "suffix" : "" } ], "container-title" : "Biophysical journal", "id" : "ITEM-1", "issue" : "11", "issued" : { "date-parts" : [ [ "2007", "6", "1" ] ] }, "page" : "3817-3829", "title" : "Refinement of the AMBER force field for nucleic acids: improving the description of alpha/gamma conformers.", "type" : "article-journal", "volume" : "92" }, "uris" : [ "http://www.mendeley.com/documents/?uuid=18af751a-191a-40fa-a6d1-430ece6e5479" ] } ], "mendeley" : { "formattedCitation" : "&lt;b&gt;&lt;i&gt;(28)&lt;/i&gt;&lt;/b&gt;", "plainTextFormattedCitation" : "(28)", "previouslyFormattedCitation" : "&lt;b&gt;&lt;i&gt;(28)&lt;/i&gt;&lt;/b&gt;" }, "properties" : { "noteIndex" : 0 }, "schema" : "https://github.com/citation-style-language/schema/raw/master/csl-citation.json" }</w:instrText>
      </w:r>
      <w:r>
        <w:fldChar w:fldCharType="separate"/>
      </w:r>
      <w:bookmarkStart w:id="100" w:name="__Fieldmark__1623_1847998653"/>
      <w:r>
        <w:rPr>
          <w:rFonts w:cs="Times New Roman" w:ascii="Times New Roman" w:hAnsi="Times New Roman"/>
          <w:color w:val="000000" w:themeColor="text1"/>
        </w:rPr>
      </w:r>
      <w:r>
        <w:rPr>
          <w:rFonts w:cs="Times New Roman" w:ascii="Times New Roman" w:hAnsi="Times New Roman"/>
          <w:b/>
          <w:i/>
          <w:color w:val="000000" w:themeColor="text1"/>
        </w:rPr>
        <w:t>(</w:t>
      </w:r>
      <w:bookmarkStart w:id="101" w:name="__Fieldmark__1731_124395177"/>
      <w:bookmarkStart w:id="102" w:name="__Fieldmark__696_441382956"/>
      <w:r>
        <w:rPr>
          <w:rFonts w:cs="Times New Roman" w:ascii="Times New Roman" w:hAnsi="Times New Roman"/>
          <w:b/>
          <w:i/>
          <w:color w:val="000000" w:themeColor="text1"/>
        </w:rPr>
        <w:t>28)</w:t>
      </w:r>
      <w:r>
        <w:rPr>
          <w:rFonts w:cs="Times New Roman" w:ascii="Times New Roman" w:hAnsi="Times New Roman"/>
          <w:color w:val="000000" w:themeColor="text1"/>
        </w:rPr>
      </w:r>
      <w:r>
        <w:fldChar w:fldCharType="end"/>
      </w:r>
      <w:bookmarkEnd w:id="100"/>
      <w:bookmarkEnd w:id="101"/>
      <w:bookmarkEnd w:id="102"/>
      <w:r>
        <w:rPr>
          <w:rFonts w:ascii="Times New Roman" w:hAnsi="Times New Roman"/>
        </w:rPr>
        <w:t>)</w:t>
      </w:r>
      <w:r>
        <w:rPr>
          <w:rFonts w:cs="Times New Roman" w:ascii="Times New Roman" w:hAnsi="Times New Roman"/>
          <w:color w:val="000000" w:themeColor="text1"/>
        </w:rPr>
        <w:t xml:space="preserve">, 2) ‘molecule.itp’ contains all the forcefield parameters of the molecule to be studied, 3) ‘tip3p.itp’ contains the topology of a TIP3P water molecule, 4) ‘ions.itp’ contains the topology of the chosen model of ions (Dang and Smith in our case </w:t>
      </w:r>
      <w:r>
        <w:fldChar w:fldCharType="begin"/>
      </w:r>
      <w:r>
        <w:instrText>ADDIN CSL_CITATION { "citationItems" : [ { "id" : "ITEM-1", "itemData" : { "DOI" : "10.1063/1.466363", "ISSN" : "00219606", "author" : [ { "dropping-particle" : "", "family" : "Smith", "given" : "David E.", "non-dropping-particle" : "", "parse-names" : false, "suffix" : "" }, { "dropping-particle" : "", "family" : "Dang", "given" : "Liem X.", "non-dropping-particle" : "", "parse-names" : false, "suffix" : "" } ], "container-title" : "The Journal of Chemical Physics", "id" : "ITEM-1", "issue" : "5", "issued" : { "date-parts" : [ [ "1994" ] ] }, "page" : "3757", "title" : "Computer simulations of NaCl association in polarizable water", "type" : "article-journal", "volume" : "100" }, "uris" : [ "http://www.mendeley.com/documents/?uuid=de2cb09f-ccf7-4b67-a828-7f0436289bfe" ] } ], "mendeley" : { "formattedCitation" : "&lt;b&gt;&lt;i&gt;(54)&lt;/i&gt;&lt;/b&gt;", "plainTextFormattedCitation" : "(54)", "previouslyFormattedCitation" : "&lt;b&gt;&lt;i&gt;(54)&lt;/i&gt;&lt;/b&gt;" }, "properties" : { "noteIndex" : 0 }, "schema" : "https://github.com/citation-style-language/schema/raw/master/csl-citation.json" }</w:instrText>
      </w:r>
      <w:r>
        <w:fldChar w:fldCharType="separate"/>
      </w:r>
      <w:bookmarkStart w:id="103" w:name="__Fieldmark__1642_1847998653"/>
      <w:r>
        <w:rPr>
          <w:rFonts w:cs="Times New Roman" w:ascii="Times New Roman" w:hAnsi="Times New Roman"/>
          <w:color w:val="000000" w:themeColor="text1"/>
        </w:rPr>
      </w:r>
      <w:r>
        <w:rPr>
          <w:rFonts w:cs="Times New Roman" w:ascii="Times New Roman" w:hAnsi="Times New Roman"/>
          <w:b/>
          <w:i/>
          <w:color w:val="000000" w:themeColor="text1"/>
        </w:rPr>
        <w:t>(54)</w:t>
      </w:r>
      <w:r>
        <w:rPr>
          <w:rFonts w:cs="Times New Roman" w:ascii="Times New Roman" w:hAnsi="Times New Roman"/>
          <w:color w:val="000000" w:themeColor="text1"/>
        </w:rPr>
      </w:r>
      <w:r>
        <w:fldChar w:fldCharType="end"/>
      </w:r>
      <w:bookmarkEnd w:id="103"/>
      <w:r>
        <w:rPr>
          <w:rFonts w:cs="Times New Roman" w:ascii="Times New Roman" w:hAnsi="Times New Roman"/>
          <w:color w:val="000000" w:themeColor="text1"/>
        </w:rPr>
        <w:t>) and 5) ‘posre.itp’ contains force constants for coordinate restraints used during the equilibration. The *.itp files will be specify as necessary inside the *.top files to build the final topology as a structural modular parts.</w:t>
      </w:r>
    </w:p>
    <w:p>
      <w:pPr>
        <w:pStyle w:val="ListParagraph"/>
        <w:numPr>
          <w:ilvl w:val="0"/>
          <w:numId w:val="2"/>
        </w:numPr>
        <w:suppressAutoHyphens w:val="true"/>
        <w:spacing w:lineRule="auto" w:line="360"/>
        <w:jc w:val="both"/>
        <w:rPr>
          <w:rFonts w:ascii="Times New Roman" w:hAnsi="Times New Roman" w:cs="Times New Roman"/>
          <w:color w:val="000000" w:themeColor="text1"/>
        </w:rPr>
      </w:pPr>
      <w:r>
        <w:rPr>
          <w:rFonts w:cs="Times New Roman" w:ascii="Times New Roman" w:hAnsi="Times New Roman"/>
          <w:i/>
          <w:color w:val="000000" w:themeColor="text1"/>
        </w:rPr>
        <w:t>Explicit water solvation in GROMACS:</w:t>
      </w:r>
      <w:r>
        <w:rPr>
          <w:rFonts w:cs="Times New Roman" w:ascii="Times New Roman" w:hAnsi="Times New Roman"/>
          <w:color w:val="000000" w:themeColor="text1"/>
        </w:rPr>
        <w:t xml:space="preserve"> from the GROMACS topology and coordinate files created by ‘amb2gmx.pl’, the following commands should be executed to solvate the molecule in explicit water: 1) By using ‘editconf’, the structure is centred within a triclinic box and its principal axis is set to be parallel to the box axis (with the option ‘-princ’). 2) ‘genbox’ is used to generate a coordinate file of the molecule in a TIP3P water box ‘molecule.w.gro’ with the option to load the reference coordinates of water molecules (-cs spc216.gro) (</w:t>
      </w:r>
      <w:r>
        <w:rPr>
          <w:rFonts w:cs="Times New Roman" w:ascii="Times New Roman" w:hAnsi="Times New Roman"/>
          <w:i/>
          <w:color w:val="000000" w:themeColor="text1"/>
        </w:rPr>
        <w:t>see</w:t>
      </w:r>
      <w:r>
        <w:rPr>
          <w:rFonts w:cs="Times New Roman" w:ascii="Times New Roman" w:hAnsi="Times New Roman"/>
          <w:color w:val="000000" w:themeColor="text1"/>
        </w:rPr>
        <w:t xml:space="preserve"> </w:t>
      </w:r>
      <w:r>
        <w:rPr>
          <w:rFonts w:cs="Times New Roman" w:ascii="Times New Roman" w:hAnsi="Times New Roman"/>
          <w:b/>
          <w:color w:val="000000" w:themeColor="text1"/>
        </w:rPr>
        <w:t>Note 10</w:t>
      </w:r>
      <w:r>
        <w:rPr>
          <w:rFonts w:cs="Times New Roman" w:ascii="Times New Roman" w:hAnsi="Times New Roman"/>
          <w:color w:val="000000" w:themeColor="text1"/>
        </w:rPr>
        <w:t xml:space="preserve">). 3) A run input file ‘molecule.w.tpr’ is generated from ‘molecule.w.gro’ and a topology file ‘molecule.w.top’ containing ‘ffbsc0.itp’, ‘molecule.itp’, ‘tip3p.itp’, ‘ions.itp’, and the exact number of water molecules is assigned using the ‘grompp’ command. </w:t>
      </w:r>
    </w:p>
    <w:p>
      <w:pPr>
        <w:pStyle w:val="ListParagraph"/>
        <w:numPr>
          <w:ilvl w:val="0"/>
          <w:numId w:val="2"/>
        </w:numPr>
        <w:suppressAutoHyphens w:val="true"/>
        <w:spacing w:lineRule="auto" w:line="360"/>
        <w:jc w:val="both"/>
        <w:rPr>
          <w:rFonts w:ascii="Times New Roman" w:hAnsi="Times New Roman"/>
        </w:rPr>
      </w:pPr>
      <w:r>
        <w:rPr>
          <w:rFonts w:cs="Times New Roman" w:ascii="Times New Roman" w:hAnsi="Times New Roman"/>
          <w:i/>
          <w:color w:val="000000" w:themeColor="text1"/>
        </w:rPr>
        <w:t>Explicit ion solvation in GROMACS:</w:t>
      </w:r>
      <w:r>
        <w:rPr>
          <w:rFonts w:cs="Times New Roman" w:ascii="Times New Roman" w:hAnsi="Times New Roman"/>
          <w:color w:val="000000" w:themeColor="text1"/>
        </w:rPr>
        <w:t xml:space="preserve"> 1) The ‘genion’ command with the option ‘-norandom’ (</w:t>
      </w:r>
      <w:r>
        <w:rPr>
          <w:rFonts w:cs="Times New Roman" w:ascii="Times New Roman" w:hAnsi="Times New Roman"/>
          <w:i/>
          <w:color w:val="000000" w:themeColor="text1"/>
        </w:rPr>
        <w:t>not</w:t>
      </w:r>
      <w:r>
        <w:rPr>
          <w:rFonts w:cs="Times New Roman" w:ascii="Times New Roman" w:hAnsi="Times New Roman"/>
          <w:color w:val="000000" w:themeColor="text1"/>
        </w:rPr>
        <w:t xml:space="preserve"> included in GROMACS 5) is used to introduce a number of positive monovalent Na+ counterions, which replace water molecules around the negatively charged phosphate groups. This creates a coordinate file ‘molecule.wp.gro’, in which the system is electrically neutralised. 2) A run input file ‘molecule.wp.tpr’ is generated by the ‘grompp’ command from the files ‘molecule.wp.gro’ and the topology file ‘molecule.wp.top’. This contains all the necessary .itp files and the number of water molecules and ions corresponding to ‘molecule.wp.gro’ (see step 11). 3) If a salt concentration higher than minimal is required, then additional positive and negative ions are introduced. This uses the options ‘-nn {number of negative ions}’ and ‘-np {number of positive ions}’ in the ‘genion’ command. The number of positive and negative ions required to emulate a specific salt concentration can be calculated from 0.0018×(salt concentration in molar)×(number of water molecules in the water box). The output coordinate file is named ‘molecule.wnr.gro’ 4) A new run input file ‘molecule.wnr.tpr’ is generated from ‘molecule.wnr.gro’ and the topology file ‘molecule.wnr.top’, which contains the final numbers of water molecules and ions. </w:t>
      </w:r>
    </w:p>
    <w:p>
      <w:pPr>
        <w:pStyle w:val="ListParagraph"/>
        <w:numPr>
          <w:ilvl w:val="0"/>
          <w:numId w:val="2"/>
        </w:numPr>
        <w:suppressAutoHyphens w:val="true"/>
        <w:spacing w:lineRule="auto" w:line="360"/>
        <w:jc w:val="both"/>
        <w:rPr/>
      </w:pPr>
      <w:r>
        <w:rPr>
          <w:rFonts w:cs="Times New Roman" w:ascii="Times New Roman" w:hAnsi="Times New Roman"/>
          <w:i/>
          <w:color w:val="000000" w:themeColor="text1"/>
        </w:rPr>
        <w:t>Prepare the .mdp input files for GROMACS explicit solvent simulations:</w:t>
      </w:r>
      <w:r>
        <w:rPr>
          <w:rFonts w:cs="Times New Roman" w:ascii="Times New Roman" w:hAnsi="Times New Roman"/>
          <w:color w:val="000000" w:themeColor="text1"/>
        </w:rPr>
        <w:t xml:space="preserve"> the parameters for the  multistep equilibration protocols were designed based on the standard simulation protocols for relaxing DNA </w:t>
      </w:r>
      <w:r>
        <w:fldChar w:fldCharType="begin"/>
      </w:r>
      <w:r>
        <w:instrText>ADDIN CSL_CITATION { "citationItems" : [ { "id" : "ITEM-1", "itemData" : { "DOI" : "10.1021/ja970601z", "ISSN" : "0002-7863", "author" : [ { "dropping-particle" : "", "family" : "Shields", "given" : "George C.", "non-dropping-particle" : "", "parse-names" : false, "suffix" : "" }, { "dropping-particle" : "", "family" : "Laughton", "given" : "Charles A.", "non-dropping-particle" : "", "parse-names" : false, "suffix" : "" }, { "dropping-particle" : "", "family" : "Orozco", "given" : "Modesto", "non-dropping-particle" : "", "parse-names" : false, "suffix" : "" } ], "container-title" : "Journal of the American Chemical Society", "id" : "ITEM-1", "issue" : "32", "issued" : { "date-parts" : [ [ "1997", "8" ] ] }, "page" : "7463-7469", "title" : "Molecular Dynamics Simulations of the d(T\u00b7A\u00b7T) Triple Helix", "type" : "article-journal", "volume" : "119" }, "uris" : [ "http://www.mendeley.com/documents/?uuid=4998be20-58dc-4526-8a61-7984e5946217" ] } ], "mendeley" : { "formattedCitation" : "&lt;b&gt;&lt;i&gt;(55)&lt;/i&gt;&lt;/b&gt;", "plainTextFormattedCitation" : "(55)", "previouslyFormattedCitation" : "&lt;b&gt;&lt;i&gt;(55)&lt;/i&gt;&lt;/b&gt;" }, "properties" : { "noteIndex" : 0 }, "schema" : "https://github.com/citation-style-language/schema/raw/master/csl-citation.json" }</w:instrText>
      </w:r>
      <w:r>
        <w:fldChar w:fldCharType="separate"/>
      </w:r>
      <w:bookmarkStart w:id="104" w:name="__Fieldmark__1724_1847998653"/>
      <w:r>
        <w:rPr>
          <w:rFonts w:cs="Times New Roman" w:ascii="Times New Roman" w:hAnsi="Times New Roman"/>
          <w:color w:val="000000" w:themeColor="text1"/>
        </w:rPr>
      </w:r>
      <w:r>
        <w:rPr>
          <w:rFonts w:cs="Times New Roman" w:ascii="Times New Roman" w:hAnsi="Times New Roman"/>
          <w:b/>
          <w:i/>
          <w:color w:val="000000" w:themeColor="text1"/>
        </w:rPr>
        <w:t>(</w:t>
      </w:r>
      <w:bookmarkStart w:id="105" w:name="__Fieldmark__1959_124395177"/>
      <w:bookmarkStart w:id="106" w:name="__Fieldmark__741_441382956"/>
      <w:r>
        <w:rPr>
          <w:rFonts w:cs="Times New Roman" w:ascii="Times New Roman" w:hAnsi="Times New Roman"/>
          <w:b/>
          <w:i/>
          <w:color w:val="000000" w:themeColor="text1"/>
        </w:rPr>
        <w:t>55)</w:t>
      </w:r>
      <w:r>
        <w:rPr>
          <w:rFonts w:cs="Times New Roman" w:ascii="Times New Roman" w:hAnsi="Times New Roman"/>
          <w:color w:val="000000" w:themeColor="text1"/>
        </w:rPr>
      </w:r>
      <w:r>
        <w:fldChar w:fldCharType="end"/>
      </w:r>
      <w:bookmarkEnd w:id="104"/>
      <w:bookmarkEnd w:id="105"/>
      <w:bookmarkEnd w:id="106"/>
      <w:r>
        <w:rPr>
          <w:rFonts w:cs="Times New Roman" w:ascii="Times New Roman" w:hAnsi="Times New Roman"/>
          <w:color w:val="000000" w:themeColor="text1"/>
        </w:rPr>
        <w:t xml:space="preserve"> (</w:t>
      </w:r>
      <w:r>
        <w:rPr>
          <w:rFonts w:cs="Times New Roman" w:ascii="Times New Roman" w:hAnsi="Times New Roman"/>
          <w:i/>
          <w:color w:val="000000" w:themeColor="text1"/>
        </w:rPr>
        <w:t>see</w:t>
      </w:r>
      <w:r>
        <w:rPr>
          <w:rFonts w:cs="Times New Roman" w:ascii="Times New Roman" w:hAnsi="Times New Roman"/>
          <w:color w:val="000000" w:themeColor="text1"/>
        </w:rPr>
        <w:t xml:space="preserve"> </w:t>
      </w:r>
      <w:r>
        <w:rPr>
          <w:rFonts w:cs="Times New Roman" w:ascii="Times New Roman" w:hAnsi="Times New Roman"/>
          <w:b/>
          <w:color w:val="000000" w:themeColor="text1"/>
        </w:rPr>
        <w:t>Table 3</w:t>
      </w:r>
      <w:r>
        <w:rPr>
          <w:rFonts w:cs="Times New Roman" w:ascii="Times New Roman" w:hAnsi="Times New Roman"/>
          <w:color w:val="000000" w:themeColor="text1"/>
        </w:rPr>
        <w:t>), but with additional steps to relieve any additional conformational stress associated with the closed topology. This system undergoes a four-stage minimisation and eight-stage equilibration prior to the production run.</w:t>
      </w:r>
    </w:p>
    <w:p>
      <w:pPr>
        <w:pStyle w:val="ListParagraph"/>
        <w:numPr>
          <w:ilvl w:val="0"/>
          <w:numId w:val="2"/>
        </w:numPr>
        <w:suppressAutoHyphens w:val="true"/>
        <w:spacing w:lineRule="auto" w:line="360"/>
        <w:jc w:val="both"/>
        <w:rPr>
          <w:rFonts w:ascii="Times New Roman" w:hAnsi="Times New Roman"/>
        </w:rPr>
      </w:pPr>
      <w:r>
        <w:rPr>
          <w:rFonts w:cs="Times New Roman" w:ascii="Times New Roman" w:hAnsi="Times New Roman"/>
          <w:i/>
          <w:color w:val="000000" w:themeColor="text1"/>
        </w:rPr>
        <w:t xml:space="preserve">Prepare the topology files for GROMACS explicit solvent simulations: </w:t>
      </w:r>
      <w:r>
        <w:rPr>
          <w:rFonts w:cs="Times New Roman" w:ascii="Times New Roman" w:hAnsi="Times New Roman"/>
          <w:color w:val="000000" w:themeColor="text1"/>
        </w:rPr>
        <w:t>The equilibration proceeds from the run input file</w:t>
      </w:r>
      <w:r>
        <w:rPr>
          <w:rFonts w:cs="Times New Roman" w:ascii="Times New Roman" w:hAnsi="Times New Roman"/>
          <w:color w:val="FF0000"/>
        </w:rPr>
        <w:t xml:space="preserve"> </w:t>
      </w:r>
      <w:r>
        <w:rPr>
          <w:rFonts w:cs="Times New Roman" w:ascii="Times New Roman" w:hAnsi="Times New Roman"/>
          <w:color w:val="000000" w:themeColor="text1"/>
        </w:rPr>
        <w:t xml:space="preserve">‘molecule.wnr.tpr’. For each relaxation stage requiring all-atom coordinate restraints, a coordinate restraint file (e.g. ‘posre.itp’) needs to be generated using the ‘genrestr’ command. This will be included in the topology file corresponding to each minimization and equilibration (e.g. ‘molecule.min1.top’ for minimisation stage 1). </w:t>
      </w:r>
    </w:p>
    <w:p>
      <w:pPr>
        <w:pStyle w:val="ListParagraph"/>
        <w:numPr>
          <w:ilvl w:val="0"/>
          <w:numId w:val="2"/>
        </w:numPr>
        <w:suppressAutoHyphens w:val="true"/>
        <w:spacing w:lineRule="auto" w:line="360"/>
        <w:jc w:val="both"/>
        <w:rPr>
          <w:rFonts w:ascii="Times New Roman" w:hAnsi="Times New Roman" w:cs="Times New Roman"/>
          <w:color w:val="000000" w:themeColor="text1"/>
        </w:rPr>
      </w:pPr>
      <w:r>
        <w:rPr>
          <w:rFonts w:cs="Times New Roman" w:ascii="Times New Roman" w:hAnsi="Times New Roman"/>
          <w:i/>
          <w:color w:val="000000" w:themeColor="text1"/>
        </w:rPr>
        <w:t xml:space="preserve">Run GROMACS explicit solvent simulations: </w:t>
      </w:r>
      <w:r>
        <w:rPr>
          <w:rFonts w:cs="Times New Roman" w:ascii="Times New Roman" w:hAnsi="Times New Roman"/>
          <w:color w:val="000000" w:themeColor="text1"/>
        </w:rPr>
        <w:t>For each minimisation and equilibration stage the ‘mdrun’ command is executed, which produces the updated restart coordinate file (e.g. ‘molecule.min1.gro’ the minimisation stage 1 etc). The command is then used to ‘grompp’ create a run input file (e.g. ‘molecule.min2.tpr’), which is executed by ‘mdrun’ in the next stage. Minimisation and equilibration continues through to the end of equilibration stage 8. Then, the productive MD run starts, in which all the coordinate restraints are lifted and DNA is free to move under the explicit solvent environment. (</w:t>
      </w:r>
      <w:r>
        <w:rPr>
          <w:rFonts w:cs="Times New Roman" w:ascii="Times New Roman" w:hAnsi="Times New Roman"/>
          <w:i/>
          <w:color w:val="000000" w:themeColor="text1"/>
        </w:rPr>
        <w:t>see</w:t>
      </w:r>
      <w:r>
        <w:rPr>
          <w:rFonts w:cs="Times New Roman" w:ascii="Times New Roman" w:hAnsi="Times New Roman"/>
          <w:color w:val="000000" w:themeColor="text1"/>
        </w:rPr>
        <w:t xml:space="preserve"> </w:t>
      </w:r>
      <w:r>
        <w:rPr>
          <w:rFonts w:cs="Times New Roman" w:ascii="Times New Roman" w:hAnsi="Times New Roman"/>
          <w:b/>
          <w:color w:val="000000" w:themeColor="text1"/>
        </w:rPr>
        <w:t>Notes 11,12</w:t>
      </w:r>
      <w:r>
        <w:rPr>
          <w:rFonts w:cs="Times New Roman" w:ascii="Times New Roman" w:hAnsi="Times New Roman"/>
          <w:color w:val="000000" w:themeColor="text1"/>
        </w:rPr>
        <w:t>).</w:t>
      </w:r>
    </w:p>
    <w:p>
      <w:pPr>
        <w:pStyle w:val="ListParagraph"/>
        <w:numPr>
          <w:ilvl w:val="0"/>
          <w:numId w:val="2"/>
        </w:numPr>
        <w:suppressAutoHyphens w:val="true"/>
        <w:spacing w:lineRule="auto" w:line="360"/>
        <w:jc w:val="both"/>
        <w:rPr>
          <w:rFonts w:ascii="Times New Roman" w:hAnsi="Times New Roman"/>
        </w:rPr>
      </w:pPr>
      <w:r>
        <w:rPr>
          <w:rFonts w:cs="Times New Roman" w:ascii="Times New Roman" w:hAnsi="Times New Roman"/>
          <w:i/>
          <w:color w:val="000000" w:themeColor="text1"/>
        </w:rPr>
        <w:t xml:space="preserve">Processing the GROMACS MD trajectories: </w:t>
      </w:r>
      <w:r>
        <w:rPr>
          <w:rFonts w:cs="Times New Roman" w:ascii="Times New Roman" w:hAnsi="Times New Roman"/>
          <w:color w:val="000000" w:themeColor="text1"/>
        </w:rPr>
        <w:t>After the productive MD simulation run finishes, we process the trajectory data by using ‘trjconv’ command. 1) It is often the case that it is only solute structure that is of interest. Fully solvated trajectory files are usually inconveniently large, which means they can be slow to transfer between the supercomputer and local workstations (where much of the visualisation and analysis will be performed), they can be difficult to store, and can cause problems with memory during visualisation. The water molecules and ions can be removed from the trajectory by specifying the atomic index numbers (turn on the option ‘-n’ of ‘trjconv’) (</w:t>
      </w:r>
      <w:r>
        <w:rPr>
          <w:rFonts w:cs="Times New Roman" w:ascii="Times New Roman" w:hAnsi="Times New Roman"/>
          <w:i/>
          <w:color w:val="000000" w:themeColor="text1"/>
        </w:rPr>
        <w:t>see</w:t>
      </w:r>
      <w:r>
        <w:rPr>
          <w:rFonts w:cs="Times New Roman" w:ascii="Times New Roman" w:hAnsi="Times New Roman"/>
          <w:color w:val="000000" w:themeColor="text1"/>
        </w:rPr>
        <w:t xml:space="preserve"> </w:t>
      </w:r>
      <w:r>
        <w:rPr>
          <w:rFonts w:cs="Times New Roman" w:ascii="Times New Roman" w:hAnsi="Times New Roman"/>
          <w:b/>
          <w:color w:val="000000" w:themeColor="text1"/>
        </w:rPr>
        <w:t>Note 13</w:t>
      </w:r>
      <w:r>
        <w:rPr>
          <w:rFonts w:cs="Times New Roman" w:ascii="Times New Roman" w:hAnsi="Times New Roman"/>
          <w:color w:val="000000" w:themeColor="text1"/>
        </w:rPr>
        <w:t>). 2) If required, it is also possible to reduce the time frames sampled in the trajectory using the option ‘-dt’. (</w:t>
      </w:r>
      <w:r>
        <w:rPr>
          <w:rFonts w:cs="Times New Roman" w:ascii="Times New Roman" w:hAnsi="Times New Roman"/>
          <w:i/>
          <w:color w:val="000000" w:themeColor="text1"/>
        </w:rPr>
        <w:t>see</w:t>
      </w:r>
      <w:r>
        <w:rPr>
          <w:rFonts w:cs="Times New Roman" w:ascii="Times New Roman" w:hAnsi="Times New Roman"/>
          <w:color w:val="000000" w:themeColor="text1"/>
        </w:rPr>
        <w:t xml:space="preserve"> </w:t>
      </w:r>
      <w:r>
        <w:rPr>
          <w:rFonts w:cs="Times New Roman" w:ascii="Times New Roman" w:hAnsi="Times New Roman"/>
          <w:b/>
          <w:color w:val="000000" w:themeColor="text1"/>
        </w:rPr>
        <w:t xml:space="preserve">Note 14). </w:t>
      </w:r>
      <w:r>
        <w:rPr>
          <w:rFonts w:cs="Times New Roman" w:ascii="Times New Roman" w:hAnsi="Times New Roman"/>
          <w:color w:val="000000" w:themeColor="text1"/>
        </w:rPr>
        <w:t>It is also possible to specify that only the solute molecules are output in the trajectories, however, as it is sometimes desirable to analyse the water molecule positions, particularly when structure defects are present, by default we save the water molecule co-ordinates and discard them only when we are sure they are not needed.</w:t>
      </w:r>
    </w:p>
    <w:p>
      <w:pPr>
        <w:pStyle w:val="ListParagraph"/>
        <w:numPr>
          <w:ilvl w:val="0"/>
          <w:numId w:val="2"/>
        </w:numPr>
        <w:suppressAutoHyphens w:val="true"/>
        <w:spacing w:lineRule="auto" w:line="360"/>
        <w:jc w:val="both"/>
        <w:rPr>
          <w:rFonts w:ascii="Times New Roman" w:hAnsi="Times New Roman" w:cs="Times New Roman"/>
          <w:color w:val="000000" w:themeColor="text1"/>
        </w:rPr>
      </w:pPr>
      <w:r>
        <w:rPr>
          <w:rFonts w:cs="Times New Roman" w:ascii="Times New Roman" w:hAnsi="Times New Roman"/>
          <w:i/>
          <w:color w:val="000000" w:themeColor="text1"/>
        </w:rPr>
        <w:t xml:space="preserve">Convert GROMACS trajectories back to AMBER *.mdcrd format: </w:t>
      </w:r>
      <w:r>
        <w:rPr>
          <w:rFonts w:cs="Times New Roman" w:ascii="Times New Roman" w:hAnsi="Times New Roman"/>
          <w:color w:val="000000" w:themeColor="text1"/>
        </w:rPr>
        <w:t xml:space="preserve">To use PTRAJ for data analysis, is it first necessary to convert the GROMACS trajectories into AMBER format. VMD is one of the software tools that is conveniently able to load most MD trajectory formats, and can interconvert between the different formats according to the preferences of the user. </w:t>
      </w:r>
    </w:p>
    <w:p>
      <w:pPr>
        <w:pStyle w:val="ListParagraph"/>
        <w:numPr>
          <w:ilvl w:val="0"/>
          <w:numId w:val="2"/>
        </w:numPr>
        <w:suppressAutoHyphens w:val="true"/>
        <w:spacing w:lineRule="auto" w:line="360"/>
        <w:jc w:val="both"/>
        <w:rPr>
          <w:rFonts w:ascii="Times New Roman" w:hAnsi="Times New Roman" w:cs="Times New Roman"/>
          <w:color w:val="000000" w:themeColor="text1"/>
        </w:rPr>
      </w:pPr>
      <w:r>
        <w:rPr>
          <w:rFonts w:cs="Times New Roman" w:ascii="Times New Roman" w:hAnsi="Times New Roman"/>
          <w:i/>
          <w:color w:val="000000" w:themeColor="text1"/>
        </w:rPr>
        <w:t>Repeat the process from stage 1 to run more simulations of other topoisomers or different minicircles sizes or sequences.</w:t>
      </w:r>
    </w:p>
    <w:p>
      <w:pPr>
        <w:pStyle w:val="Normal"/>
        <w:spacing w:lineRule="auto" w:line="360"/>
        <w:jc w:val="both"/>
        <w:rPr>
          <w:rFonts w:ascii="Times New Roman" w:hAnsi="Times New Roman" w:cs="Times New Roman"/>
          <w:color w:val="000000" w:themeColor="text1"/>
        </w:rPr>
      </w:pPr>
      <w:r>
        <w:rPr>
          <w:rFonts w:cs="Times New Roman" w:ascii="Times New Roman" w:hAnsi="Times New Roman"/>
          <w:color w:val="000000" w:themeColor="text1"/>
        </w:rPr>
      </w:r>
    </w:p>
    <w:p>
      <w:pPr>
        <w:pStyle w:val="Heading3"/>
        <w:spacing w:lineRule="auto" w:line="360"/>
        <w:jc w:val="both"/>
        <w:rPr>
          <w:rFonts w:ascii="Times New Roman" w:hAnsi="Times New Roman" w:cs="Times New Roman"/>
          <w:color w:val="000000" w:themeColor="text1"/>
        </w:rPr>
      </w:pPr>
      <w:bookmarkStart w:id="107" w:name="_Toc294362862"/>
      <w:bookmarkEnd w:id="107"/>
      <w:r>
        <w:rPr>
          <w:rFonts w:cs="Times New Roman" w:ascii="Times New Roman" w:hAnsi="Times New Roman"/>
          <w:color w:val="000000" w:themeColor="text1"/>
        </w:rPr>
        <w:t>3.2) Conformational Analysis</w:t>
      </w:r>
    </w:p>
    <w:p>
      <w:pPr>
        <w:pStyle w:val="ListParagraph"/>
        <w:numPr>
          <w:ilvl w:val="0"/>
          <w:numId w:val="4"/>
        </w:numPr>
        <w:suppressAutoHyphens w:val="true"/>
        <w:spacing w:lineRule="auto" w:line="360"/>
        <w:jc w:val="both"/>
        <w:rPr>
          <w:rFonts w:ascii="Times New Roman" w:hAnsi="Times New Roman" w:cs="Times New Roman"/>
          <w:color w:val="000000" w:themeColor="text1"/>
        </w:rPr>
      </w:pPr>
      <w:r>
        <w:rPr>
          <w:rFonts w:cs="Times New Roman" w:ascii="Times New Roman" w:hAnsi="Times New Roman"/>
          <w:i/>
          <w:color w:val="000000" w:themeColor="text1"/>
        </w:rPr>
        <w:t xml:space="preserve">Calculating the Radius of gyration from the implicitly solvated trajectories: </w:t>
      </w:r>
      <w:r>
        <w:rPr>
          <w:rFonts w:cs="Times New Roman" w:ascii="Times New Roman" w:hAnsi="Times New Roman"/>
          <w:color w:val="000000" w:themeColor="text1"/>
        </w:rPr>
        <w:t>The ‘radgyr’ command implemented in the AMBERTOOLS’s PTRAJ module is able to calculate the radius of gyration from a series of MD trajectory snapshots. We use implicitly solvated trajectories to calculate this quantity, because the frictional term associated with inclusion of explicit water impedes conformational fluctuations of the minicircle, effectively freezing the DNA into a single writhed conformation. The radius of gyration calculated from implicitly solvated trajectories of different topoisomers is a useful physical parameter that can be compared with the experimentally measured mobilities of the corresponding supercoiled minicircle topoisomers within polyacrylamide gels. (</w:t>
      </w:r>
      <w:r>
        <w:rPr>
          <w:rFonts w:cs="Times New Roman" w:ascii="Times New Roman" w:hAnsi="Times New Roman"/>
          <w:i/>
          <w:color w:val="000000" w:themeColor="text1"/>
        </w:rPr>
        <w:t>see</w:t>
      </w:r>
      <w:r>
        <w:rPr>
          <w:rFonts w:cs="Times New Roman" w:ascii="Times New Roman" w:hAnsi="Times New Roman"/>
          <w:color w:val="000000" w:themeColor="text1"/>
        </w:rPr>
        <w:t xml:space="preserve"> </w:t>
      </w:r>
      <w:r>
        <w:rPr>
          <w:rFonts w:cs="Times New Roman" w:ascii="Times New Roman" w:hAnsi="Times New Roman"/>
          <w:b/>
          <w:color w:val="000000" w:themeColor="text1"/>
        </w:rPr>
        <w:t>Note 15</w:t>
      </w:r>
      <w:r>
        <w:rPr>
          <w:rFonts w:cs="Times New Roman" w:ascii="Times New Roman" w:hAnsi="Times New Roman"/>
          <w:color w:val="000000" w:themeColor="text1"/>
        </w:rPr>
        <w:t>)</w:t>
      </w:r>
    </w:p>
    <w:p>
      <w:pPr>
        <w:pStyle w:val="ListParagraph"/>
        <w:numPr>
          <w:ilvl w:val="0"/>
          <w:numId w:val="4"/>
        </w:numPr>
        <w:suppressAutoHyphens w:val="true"/>
        <w:spacing w:lineRule="auto" w:line="360"/>
        <w:jc w:val="both"/>
        <w:rPr>
          <w:rFonts w:ascii="Times New Roman" w:hAnsi="Times New Roman" w:cs="Times New Roman"/>
          <w:color w:val="000000" w:themeColor="text1"/>
        </w:rPr>
      </w:pPr>
      <w:r>
        <w:rPr>
          <w:rFonts w:cs="Times New Roman" w:ascii="Times New Roman" w:hAnsi="Times New Roman"/>
          <w:i/>
          <w:color w:val="000000" w:themeColor="text1"/>
        </w:rPr>
        <w:t>Calculation of the DNA minicircle writhe using by the python script WrLINE:</w:t>
      </w:r>
      <w:r>
        <w:rPr>
          <w:rFonts w:cs="Times New Roman" w:ascii="Times New Roman" w:hAnsi="Times New Roman"/>
          <w:color w:val="000000" w:themeColor="text1"/>
        </w:rPr>
        <w:t xml:space="preserve"> To calculate the writhe, the script takes as input the AMBER topology and trajectory files. The user needs to specify the number of base pairs and the number of MD snapshots within the ‘WrLINE.py’ script. The output consists of a time series of writhe values (</w:t>
      </w:r>
      <w:r>
        <w:rPr>
          <w:rFonts w:cs="Times New Roman" w:ascii="Times New Roman" w:hAnsi="Times New Roman"/>
          <w:i/>
          <w:color w:val="000000" w:themeColor="text1"/>
        </w:rPr>
        <w:t>see</w:t>
      </w:r>
      <w:r>
        <w:rPr>
          <w:rFonts w:cs="Times New Roman" w:ascii="Times New Roman" w:hAnsi="Times New Roman"/>
          <w:color w:val="000000" w:themeColor="text1"/>
        </w:rPr>
        <w:t xml:space="preserve"> </w:t>
      </w:r>
      <w:r>
        <w:rPr>
          <w:rFonts w:cs="Times New Roman" w:ascii="Times New Roman" w:hAnsi="Times New Roman"/>
          <w:b/>
          <w:color w:val="000000" w:themeColor="text1"/>
        </w:rPr>
        <w:t>Note 16</w:t>
      </w:r>
      <w:r>
        <w:rPr>
          <w:rFonts w:cs="Times New Roman" w:ascii="Times New Roman" w:hAnsi="Times New Roman"/>
          <w:color w:val="000000" w:themeColor="text1"/>
        </w:rPr>
        <w:t>).</w:t>
      </w:r>
    </w:p>
    <w:p>
      <w:pPr>
        <w:pStyle w:val="ListParagraph"/>
        <w:numPr>
          <w:ilvl w:val="0"/>
          <w:numId w:val="4"/>
        </w:numPr>
        <w:suppressAutoHyphens w:val="true"/>
        <w:spacing w:lineRule="auto" w:line="360"/>
        <w:jc w:val="both"/>
        <w:rPr>
          <w:rFonts w:ascii="Times New Roman" w:hAnsi="Times New Roman" w:cs="Times New Roman"/>
          <w:color w:val="000000" w:themeColor="text1"/>
        </w:rPr>
      </w:pPr>
      <w:r>
        <w:rPr>
          <w:rFonts w:cs="Times New Roman" w:ascii="Times New Roman" w:hAnsi="Times New Roman"/>
          <w:i/>
          <w:color w:val="000000" w:themeColor="text1"/>
        </w:rPr>
        <w:t>Create traces from MD trajectories to be compared with cryo-EM/ET or AFM:</w:t>
      </w:r>
      <w:r>
        <w:rPr>
          <w:rFonts w:cs="Times New Roman" w:ascii="Times New Roman" w:hAnsi="Times New Roman"/>
          <w:color w:val="000000" w:themeColor="text1"/>
        </w:rPr>
        <w:t xml:space="preserve"> To create a 3D trace of the minicircle shape, use PTRAJ to strip all the atoms from the MD trajectory, except the 20 C1’ carbon atoms that are approximately equally spaced from their neighbours, to represent the writhed structure (The number 20 is the arbitrary number of points used by our experimental collaborators to represent the cryo-ET computational trace). (</w:t>
      </w:r>
      <w:r>
        <w:rPr>
          <w:rFonts w:cs="Times New Roman" w:ascii="Times New Roman" w:hAnsi="Times New Roman"/>
          <w:i/>
          <w:color w:val="000000" w:themeColor="text1"/>
        </w:rPr>
        <w:t>see</w:t>
      </w:r>
      <w:r>
        <w:rPr>
          <w:rFonts w:cs="Times New Roman" w:ascii="Times New Roman" w:hAnsi="Times New Roman"/>
          <w:color w:val="000000" w:themeColor="text1"/>
        </w:rPr>
        <w:t xml:space="preserve"> </w:t>
      </w:r>
      <w:r>
        <w:rPr>
          <w:rFonts w:cs="Times New Roman" w:ascii="Times New Roman" w:hAnsi="Times New Roman"/>
          <w:b/>
          <w:color w:val="000000" w:themeColor="text1"/>
        </w:rPr>
        <w:t>Note 17</w:t>
      </w:r>
      <w:r>
        <w:rPr>
          <w:rFonts w:cs="Times New Roman" w:ascii="Times New Roman" w:hAnsi="Times New Roman"/>
          <w:color w:val="000000" w:themeColor="text1"/>
        </w:rPr>
        <w:t xml:space="preserve">) While AFM and cryoEM give only 2D (not 3D) information, the trace is nevertheless useful for comparing with these experimental data. </w:t>
      </w:r>
    </w:p>
    <w:p>
      <w:pPr>
        <w:pStyle w:val="ListParagraph"/>
        <w:numPr>
          <w:ilvl w:val="0"/>
          <w:numId w:val="4"/>
        </w:numPr>
        <w:suppressAutoHyphens w:val="true"/>
        <w:spacing w:lineRule="auto" w:line="360"/>
        <w:jc w:val="both"/>
        <w:rPr>
          <w:rFonts w:ascii="Times New Roman" w:hAnsi="Times New Roman" w:cs="Times New Roman"/>
          <w:color w:val="000000" w:themeColor="text1"/>
        </w:rPr>
      </w:pPr>
      <w:r>
        <w:rPr>
          <w:rFonts w:cs="Times New Roman" w:ascii="Times New Roman" w:hAnsi="Times New Roman"/>
          <w:i/>
          <w:color w:val="000000" w:themeColor="text1"/>
        </w:rPr>
        <w:t>Calculate the RMSD between the explicitly solvated DNA to cryo-ET traces:</w:t>
      </w:r>
      <w:r>
        <w:rPr>
          <w:rFonts w:cs="Times New Roman" w:ascii="Times New Roman" w:hAnsi="Times New Roman"/>
          <w:color w:val="000000" w:themeColor="text1"/>
        </w:rPr>
        <w:t xml:space="preserve"> Given a set of computational traces obtained from cryo-ET density maps, it is possible to quantify the level of agreement between the experiments and the simulations by using the ‘rms’ command in PTRAJ to calculate the root mean square deviation (RMSD) values for all pairs of the discrete points that constitute the MD and cryo-ET traces. We assign the MD trace that gives the smallest RMSD value with any of the cryo-ET traces to be the ‘best representative’ atomistic structure for the supercoiled DNA. </w:t>
      </w:r>
    </w:p>
    <w:p>
      <w:pPr>
        <w:pStyle w:val="Heading2"/>
        <w:spacing w:lineRule="auto" w:line="360"/>
        <w:ind w:left="0" w:hanging="0"/>
        <w:jc w:val="both"/>
        <w:rPr>
          <w:rFonts w:ascii="Times New Roman" w:hAnsi="Times New Roman" w:cs="Times New Roman"/>
          <w:color w:val="000000" w:themeColor="text1"/>
        </w:rPr>
      </w:pPr>
      <w:bookmarkStart w:id="108" w:name="_Toc294362861"/>
      <w:r>
        <w:rPr>
          <w:rFonts w:cs="Times New Roman" w:ascii="Times New Roman" w:hAnsi="Times New Roman"/>
        </w:rPr>
        <w:t xml:space="preserve">4. </w:t>
      </w:r>
      <w:bookmarkEnd w:id="108"/>
      <w:r>
        <w:rPr>
          <w:rFonts w:cs="Times New Roman" w:ascii="Times New Roman" w:hAnsi="Times New Roman"/>
          <w:color w:val="000000" w:themeColor="text1"/>
        </w:rPr>
        <w:t>Notes</w:t>
      </w:r>
    </w:p>
    <w:p>
      <w:pPr>
        <w:pStyle w:val="ListParagraph"/>
        <w:numPr>
          <w:ilvl w:val="0"/>
          <w:numId w:val="3"/>
        </w:numPr>
        <w:suppressAutoHyphens w:val="true"/>
        <w:spacing w:lineRule="auto" w:line="360"/>
        <w:jc w:val="both"/>
        <w:rPr>
          <w:rFonts w:ascii="Times New Roman" w:hAnsi="Times New Roman" w:cs="Times New Roman"/>
          <w:color w:val="000000" w:themeColor="text1"/>
        </w:rPr>
      </w:pPr>
      <w:r>
        <w:rPr>
          <w:rFonts w:cs="Times New Roman" w:ascii="Times New Roman" w:hAnsi="Times New Roman"/>
          <w:color w:val="000000" w:themeColor="text1"/>
        </w:rPr>
        <w:t>To build a DNA starting structure, a script containing commands and operations on the coordinates of DNA base pairs can be written by using the NAB scripting language, which is implemented in AMBERTOOLS. This is then compiled as an executable file. Given the required number of base pairs, the radius of DNA the circle can be specified (this is calculated from the rise), a circle can be drawn from that point and the average local twist angle can be given. For example, for a 336 bp DNA, with the linking number Lk = 30 and the ‘rise’ parameter (the optimal stacking distance between basepairs) of 3.38 Å, the circle has the average twist angle between two neighbouring basepairs of (30×360°) / 336 = 32.14°.</w:t>
      </w:r>
    </w:p>
    <w:p>
      <w:pPr>
        <w:pStyle w:val="ListParagraph"/>
        <w:numPr>
          <w:ilvl w:val="0"/>
          <w:numId w:val="3"/>
        </w:numPr>
        <w:suppressAutoHyphens w:val="true"/>
        <w:spacing w:lineRule="auto" w:line="360"/>
        <w:jc w:val="both"/>
        <w:rPr>
          <w:rFonts w:ascii="Times New Roman" w:hAnsi="Times New Roman" w:cs="Times New Roman"/>
          <w:color w:val="000000" w:themeColor="text1"/>
        </w:rPr>
      </w:pPr>
      <w:r>
        <w:rPr>
          <w:rFonts w:cs="Times New Roman" w:ascii="Times New Roman" w:hAnsi="Times New Roman"/>
          <w:color w:val="000000" w:themeColor="text1"/>
        </w:rPr>
        <w:t>Either XLEAP (the graphical version of LEAP) or TLEAP (the text-based version) can be used to create the basic start-up files topology and co-ordinate files for an AMBER MD simulation. To ensure that the atom naming conventions are compatible with the output from NAB, the ‘addPdbAtomMap’ command should be used to map the following atomic nomenclatures: {{OP1 O1P}{OP2 O2P}{H5’ H5’1}{H5’’ H5’2}{H2’ H2’1}{ H2’’ H2’2}}, and two additional ringed carbon atom types “C1” and “C2” are defined by ‘addAtomTypes {{“C1” “C” “sp2”}{“C2” “C” “sp2”}}’.</w:t>
      </w:r>
    </w:p>
    <w:p>
      <w:pPr>
        <w:pStyle w:val="ListParagraph"/>
        <w:numPr>
          <w:ilvl w:val="0"/>
          <w:numId w:val="3"/>
        </w:numPr>
        <w:suppressAutoHyphens w:val="true"/>
        <w:spacing w:lineRule="auto" w:line="360"/>
        <w:jc w:val="both"/>
        <w:rPr>
          <w:rFonts w:ascii="Times New Roman" w:hAnsi="Times New Roman" w:cs="Times New Roman"/>
          <w:color w:val="000000" w:themeColor="text1"/>
        </w:rPr>
      </w:pPr>
      <w:r>
        <w:rPr>
          <w:rFonts w:cs="Times New Roman" w:ascii="Times New Roman" w:hAnsi="Times New Roman"/>
          <w:color w:val="000000" w:themeColor="text1"/>
        </w:rPr>
        <w:t>The coordinate file (.inpcrd in AMBER7 or later) contains all of the  position and velocity information for the system necessary to restart the simulation and continue a dynamics run. The topology file (.mdcrd in AMBER7 or later) contains all the necessary physical chemical information for describing each atom and its interactions (mass, radius, partial charge and etc.) and covalent bonding  (e.g. stretching, bending and dihedral force constants)</w:t>
      </w:r>
    </w:p>
    <w:p>
      <w:pPr>
        <w:pStyle w:val="ListParagraph"/>
        <w:numPr>
          <w:ilvl w:val="0"/>
          <w:numId w:val="3"/>
        </w:numPr>
        <w:suppressAutoHyphens w:val="true"/>
        <w:spacing w:lineRule="auto" w:line="360"/>
        <w:jc w:val="both"/>
        <w:rPr>
          <w:rFonts w:ascii="Times New Roman" w:hAnsi="Times New Roman" w:cs="Times New Roman"/>
          <w:color w:val="000000" w:themeColor="text1"/>
        </w:rPr>
      </w:pPr>
      <w:r>
        <w:rPr>
          <w:rFonts w:cs="Times New Roman" w:ascii="Times New Roman" w:hAnsi="Times New Roman"/>
          <w:color w:val="000000" w:themeColor="text1"/>
        </w:rPr>
        <w:t xml:space="preserve">With the information from topology and coordinate (restart) files, a PDB file of a molecule can be reconstructed using the AMBER utility script ‘ambpdb’. This operation can be useful for visualising the molecule to quickly check the starting co-ordinates, or to check progress during the simulation (as restart files are continuously output as the MD progresses), or as a way of identifying problems if a simulation crashes. </w:t>
      </w:r>
    </w:p>
    <w:p>
      <w:pPr>
        <w:pStyle w:val="ListParagraph"/>
        <w:numPr>
          <w:ilvl w:val="0"/>
          <w:numId w:val="3"/>
        </w:numPr>
        <w:suppressAutoHyphens w:val="true"/>
        <w:spacing w:lineRule="auto" w:line="360"/>
        <w:jc w:val="both"/>
        <w:rPr>
          <w:rFonts w:ascii="Times New Roman" w:hAnsi="Times New Roman" w:cs="Times New Roman"/>
          <w:color w:val="000000" w:themeColor="text1"/>
        </w:rPr>
      </w:pPr>
      <w:r>
        <w:rPr>
          <w:rFonts w:cs="Times New Roman" w:ascii="Times New Roman" w:hAnsi="Times New Roman"/>
          <w:color w:val="000000" w:themeColor="text1"/>
        </w:rPr>
        <w:t xml:space="preserve">In the absence of friction from the hydrodynamic interactions associated with explicit water molecules, we use either all-atom or NMR distance restraints between complementary base pairs to prevent structural disruptions within the DNA, which could be due to approximated solvent model, as this generally destabilises the DNA. All of the restraints are removed only when explicit solvent is used, which is the only time that we can observed defects involving broken hydrogen bonds. The option ‘pencut=-0.001’ is set to have a negative value in order to print out all the energy associated with the distance deviation from the NMR restraints. </w:t>
      </w:r>
    </w:p>
    <w:p>
      <w:pPr>
        <w:pStyle w:val="ListParagraph"/>
        <w:numPr>
          <w:ilvl w:val="0"/>
          <w:numId w:val="3"/>
        </w:numPr>
        <w:suppressAutoHyphens w:val="true"/>
        <w:spacing w:lineRule="auto" w:line="360"/>
        <w:jc w:val="both"/>
        <w:rPr>
          <w:rFonts w:ascii="Times New Roman" w:hAnsi="Times New Roman" w:cs="Times New Roman"/>
          <w:color w:val="000000" w:themeColor="text1"/>
        </w:rPr>
      </w:pPr>
      <w:r>
        <w:rPr>
          <w:rFonts w:cs="Times New Roman" w:ascii="Times New Roman" w:hAnsi="Times New Roman"/>
          <w:color w:val="000000" w:themeColor="text1"/>
        </w:rPr>
        <w:t xml:space="preserve">The input file for NMR restraint generation contains eight columns for each line representing a distance restraint: ‘1 ADE N1 8 THY H3 1.70 2.10’ the first six columns identify residue numbers, residue types and atomic types of a pair of restrained atoms, and the last two columns describe the restraint boundaries.  </w:t>
      </w:r>
    </w:p>
    <w:p>
      <w:pPr>
        <w:pStyle w:val="ListParagraph"/>
        <w:numPr>
          <w:ilvl w:val="0"/>
          <w:numId w:val="3"/>
        </w:numPr>
        <w:suppressAutoHyphens w:val="true"/>
        <w:spacing w:lineRule="auto" w:line="360"/>
        <w:jc w:val="both"/>
        <w:rPr>
          <w:rFonts w:ascii="Times New Roman" w:hAnsi="Times New Roman" w:cs="Times New Roman"/>
          <w:color w:val="000000" w:themeColor="text1"/>
        </w:rPr>
      </w:pPr>
      <w:r>
        <w:rPr>
          <w:rFonts w:cs="Times New Roman" w:ascii="Times New Roman" w:hAnsi="Times New Roman"/>
          <w:color w:val="000000" w:themeColor="text1"/>
        </w:rPr>
        <w:t>To obtain replica trajectories to improve conformational sampling, simply run ‘md4’ but assigning a new set of velocities to the DNA from the restart file (irest=1, ntx=5). Running dynamics using an independent set of initial starting velocities will cause the trajectories to diverge in conformational space, even if the initial atomic co-ordinates are the same.</w:t>
      </w:r>
    </w:p>
    <w:p>
      <w:pPr>
        <w:pStyle w:val="ListParagraph"/>
        <w:numPr>
          <w:ilvl w:val="0"/>
          <w:numId w:val="3"/>
        </w:numPr>
        <w:suppressAutoHyphens w:val="true"/>
        <w:spacing w:lineRule="auto" w:line="360"/>
        <w:jc w:val="both"/>
        <w:rPr>
          <w:rFonts w:ascii="Times New Roman" w:hAnsi="Times New Roman" w:cs="Times New Roman"/>
          <w:color w:val="000000" w:themeColor="text1"/>
        </w:rPr>
      </w:pPr>
      <w:r>
        <w:rPr>
          <w:rFonts w:cs="Times New Roman" w:ascii="Times New Roman" w:hAnsi="Times New Roman"/>
          <w:color w:val="000000" w:themeColor="text1"/>
        </w:rPr>
        <w:t>In order to explicitly solvate the 336 bp supercoiled DNA minicircles, a large water box containing around 700,000 water molecules (over 2,000,000 atoms) is required. AMBER is not currently capable of simulating systems containing more than 1,000,000 atoms. Thus, GROMACS is used to carry out these large systems. On our supercomputer resources, GROMACS is currently the most efficient MD engine for explicitly solvated calculations.</w:t>
      </w:r>
    </w:p>
    <w:p>
      <w:pPr>
        <w:pStyle w:val="ListParagraph"/>
        <w:numPr>
          <w:ilvl w:val="0"/>
          <w:numId w:val="3"/>
        </w:numPr>
        <w:suppressAutoHyphens w:val="true"/>
        <w:spacing w:lineRule="auto" w:line="360"/>
        <w:jc w:val="both"/>
        <w:rPr>
          <w:rFonts w:ascii="Times New Roman" w:hAnsi="Times New Roman" w:cs="Times New Roman"/>
          <w:color w:val="000000" w:themeColor="text1"/>
        </w:rPr>
      </w:pPr>
      <w:r>
        <w:rPr>
          <w:rFonts w:cs="Times New Roman" w:ascii="Times New Roman" w:hAnsi="Times New Roman"/>
          <w:color w:val="000000" w:themeColor="text1"/>
        </w:rPr>
        <w:t xml:space="preserve">For smaller systems (e.g. minicircles containing around 100 base pairs), we are able to carry out the explicitly solvated MD simulations in AMBER. Additional LEAP commands are added to solvate the circular starting DNA structure in an explicit solution: 1) including a TIP3P water box by using ‘solvatebox’ command, 2) neutralising the system by a number of positive monovalent counterions (Na+, K+ or etc.) by using ‘addions’ command, 3) adding further ions to emulate a specified salt concentration. </w:t>
      </w:r>
    </w:p>
    <w:p>
      <w:pPr>
        <w:pStyle w:val="ListParagraph"/>
        <w:numPr>
          <w:ilvl w:val="0"/>
          <w:numId w:val="3"/>
        </w:numPr>
        <w:suppressAutoHyphens w:val="true"/>
        <w:spacing w:lineRule="auto" w:line="360"/>
        <w:jc w:val="both"/>
        <w:rPr>
          <w:rFonts w:ascii="Times New Roman" w:hAnsi="Times New Roman" w:cs="Times New Roman"/>
          <w:color w:val="000000" w:themeColor="text1"/>
        </w:rPr>
      </w:pPr>
      <w:r>
        <w:rPr>
          <w:rFonts w:cs="Times New Roman" w:ascii="Times New Roman" w:hAnsi="Times New Roman"/>
          <w:color w:val="000000" w:themeColor="text1"/>
        </w:rPr>
        <w:t xml:space="preserve">For a short explicit solvent simulation (10-20 ns) of a 336 bp supercoiled minicircle that involve no major changes in DNA writhe, a triclinic or rectangular waterbox with 30-40 Å solution buffer is an optimal choice to prevent clashing of a pair of DNA segments from neighbouring periodic box. </w:t>
      </w:r>
    </w:p>
    <w:p>
      <w:pPr>
        <w:pStyle w:val="ListParagraph"/>
        <w:numPr>
          <w:ilvl w:val="0"/>
          <w:numId w:val="3"/>
        </w:numPr>
        <w:suppressAutoHyphens w:val="true"/>
        <w:spacing w:lineRule="auto" w:line="360"/>
        <w:jc w:val="both"/>
        <w:rPr>
          <w:rFonts w:ascii="Times New Roman" w:hAnsi="Times New Roman" w:cs="Times New Roman"/>
          <w:color w:val="000000" w:themeColor="text1"/>
        </w:rPr>
      </w:pPr>
      <w:r>
        <w:rPr>
          <w:rFonts w:cs="Times New Roman" w:ascii="Times New Roman" w:hAnsi="Times New Roman"/>
          <w:color w:val="000000" w:themeColor="text1"/>
        </w:rPr>
        <w:t>In productive MD runs within GROMACS, the trajectory files with full precision produced by ‘mdrun’ are in the ‘*.trr’ format (option ‘-o’). Alternatively, to significantly reduce the file size, the option ‘-x’ can be used to output the compressed MD trajectory in the ‘*.xtc’ format.</w:t>
      </w:r>
    </w:p>
    <w:p>
      <w:pPr>
        <w:pStyle w:val="ListParagraph"/>
        <w:numPr>
          <w:ilvl w:val="0"/>
          <w:numId w:val="3"/>
        </w:numPr>
        <w:suppressAutoHyphens w:val="true"/>
        <w:spacing w:lineRule="auto" w:line="360"/>
        <w:jc w:val="both"/>
        <w:rPr>
          <w:rFonts w:ascii="Times New Roman" w:hAnsi="Times New Roman" w:cs="Times New Roman"/>
          <w:color w:val="000000" w:themeColor="text1"/>
        </w:rPr>
      </w:pPr>
      <w:r>
        <w:rPr>
          <w:rFonts w:cs="Times New Roman" w:ascii="Times New Roman" w:hAnsi="Times New Roman"/>
          <w:color w:val="000000" w:themeColor="text1"/>
          <w:lang w:val="en-US"/>
        </w:rPr>
        <w:t>Many supercomputing systems have their own time limit for running a job, which is typically between 12 and 48 hours. Therefore, if one needs to produce a long MD trajectory (e.g. 100ns), simulations need to be conducted by continuously resubmitting the job from the restart files produced by a previous run. When the trajectory reaches the length required (or the user runs out of patience!), all the separate trajectories can be catenated using the GROMACS command ‘trjcat’.</w:t>
      </w:r>
    </w:p>
    <w:p>
      <w:pPr>
        <w:pStyle w:val="ListParagraph"/>
        <w:numPr>
          <w:ilvl w:val="0"/>
          <w:numId w:val="3"/>
        </w:numPr>
        <w:suppressAutoHyphens w:val="true"/>
        <w:spacing w:lineRule="auto" w:line="360"/>
        <w:jc w:val="both"/>
        <w:rPr>
          <w:rFonts w:ascii="Times New Roman" w:hAnsi="Times New Roman" w:cs="Times New Roman"/>
          <w:color w:val="000000" w:themeColor="text1"/>
        </w:rPr>
      </w:pPr>
      <w:r>
        <w:rPr>
          <w:rFonts w:cs="Times New Roman" w:ascii="Times New Roman" w:hAnsi="Times New Roman"/>
          <w:color w:val="000000" w:themeColor="text1"/>
        </w:rPr>
        <w:t>The GROMACS module ‘make_ndx’ is a tool for obtaining the atomic index numbers of any specified groups (e.g. DNA, water, ions, non-water), corresponding to the index numbers in the *.gro coordinate files</w:t>
      </w:r>
      <w:r>
        <w:rPr>
          <w:rFonts w:cs="Times New Roman" w:ascii="Times New Roman" w:hAnsi="Times New Roman"/>
          <w:color w:val="000000" w:themeColor="text1"/>
          <w:lang w:val="en-US"/>
        </w:rPr>
        <w:t>. Indices produced by ‘make_ndx’ serves as input files for any GROMACS commands performed on specific groups of atoms.</w:t>
      </w:r>
    </w:p>
    <w:p>
      <w:pPr>
        <w:pStyle w:val="ListParagraph"/>
        <w:numPr>
          <w:ilvl w:val="0"/>
          <w:numId w:val="3"/>
        </w:numPr>
        <w:suppressAutoHyphens w:val="true"/>
        <w:spacing w:lineRule="auto" w:line="360"/>
        <w:jc w:val="both"/>
        <w:rPr>
          <w:rFonts w:ascii="Times New Roman" w:hAnsi="Times New Roman" w:cs="Times New Roman"/>
          <w:color w:val="000000" w:themeColor="text1"/>
        </w:rPr>
      </w:pPr>
      <w:r>
        <w:rPr>
          <w:rFonts w:cs="Times New Roman" w:ascii="Times New Roman" w:hAnsi="Times New Roman"/>
          <w:color w:val="000000" w:themeColor="text1"/>
          <w:lang w:val="en-US"/>
        </w:rPr>
        <w:t>In the frequent instance when sections of the solute “jump out” of the primary periodic water box, this can spoil the visualisation and create errors in conformational analysis. Using ‘trjconv’ with the option ‘-pbc’ can repair this problem. (For further details, please consult GROMACS manual)</w:t>
      </w:r>
    </w:p>
    <w:p>
      <w:pPr>
        <w:pStyle w:val="ListParagraph"/>
        <w:numPr>
          <w:ilvl w:val="0"/>
          <w:numId w:val="3"/>
        </w:numPr>
        <w:suppressAutoHyphens w:val="true"/>
        <w:spacing w:lineRule="auto" w:line="360"/>
        <w:jc w:val="both"/>
        <w:rPr>
          <w:rFonts w:ascii="Times New Roman" w:hAnsi="Times New Roman" w:cs="Times New Roman"/>
          <w:color w:val="000000" w:themeColor="text1"/>
        </w:rPr>
      </w:pPr>
      <w:r>
        <w:rPr>
          <w:rFonts w:cs="Times New Roman" w:ascii="Times New Roman" w:hAnsi="Times New Roman"/>
          <w:color w:val="000000" w:themeColor="text1"/>
          <w:lang w:val="en-US"/>
        </w:rPr>
        <w:t xml:space="preserve">Errors can occur when comparing the radius of gyration calculated from the ensemble of implicitly solvated MD snapshots of supercoiled DNA minicircles with experimental data due to need to impose hydrogen bond restraints when using approximate solvent models. The artificial hydrogen bonding restraints prevent the DNA relieving torsional or bending stress through structural disruptions and defect formation. These errors are most severe for highly supercoiled minicircles that are under the most torsional stress. Therefore, it is most important to perform explicitly solvated calculations for topoisomers at higher superhelical densities.  </w:t>
      </w:r>
    </w:p>
    <w:p>
      <w:pPr>
        <w:pStyle w:val="ListParagraph"/>
        <w:numPr>
          <w:ilvl w:val="0"/>
          <w:numId w:val="3"/>
        </w:numPr>
        <w:suppressAutoHyphens w:val="true"/>
        <w:spacing w:lineRule="auto" w:line="360"/>
        <w:jc w:val="both"/>
        <w:rPr>
          <w:rFonts w:ascii="Times New Roman" w:hAnsi="Times New Roman" w:cs="Times New Roman"/>
          <w:color w:val="000000" w:themeColor="text1"/>
        </w:rPr>
      </w:pPr>
      <w:r>
        <w:rPr>
          <w:rFonts w:cs="Times New Roman" w:ascii="Times New Roman" w:hAnsi="Times New Roman"/>
          <w:color w:val="000000" w:themeColor="text1"/>
          <w:lang w:val="en-US"/>
        </w:rPr>
        <w:t>The PTRAJ module and the NUMPY python library are required in order to run the ‘WrLINE.py’ script.</w:t>
      </w:r>
    </w:p>
    <w:p>
      <w:pPr>
        <w:pStyle w:val="ListParagraph"/>
        <w:numPr>
          <w:ilvl w:val="0"/>
          <w:numId w:val="3"/>
        </w:numPr>
        <w:suppressAutoHyphens w:val="true"/>
        <w:spacing w:lineRule="auto" w:line="360"/>
        <w:jc w:val="both"/>
        <w:rPr>
          <w:rFonts w:ascii="Times New Roman" w:hAnsi="Times New Roman" w:cs="Times New Roman"/>
          <w:color w:val="000000" w:themeColor="text1"/>
        </w:rPr>
      </w:pPr>
      <w:r>
        <w:rPr>
          <w:rFonts w:cs="Times New Roman" w:ascii="Times New Roman" w:hAnsi="Times New Roman"/>
          <w:color w:val="000000" w:themeColor="text1"/>
          <w:lang w:val="en-US"/>
        </w:rPr>
        <w:t xml:space="preserve">To pick 20 representative atoms from MD trajectories to be compared with the cryo-ET traces of 336 bp minicircles (1 point represents 16.8 basepairs), for example, C1’ atoms can be picked from the basepair 17, 34, 51, 68, 84, …, 336.  </w:t>
      </w:r>
    </w:p>
    <w:p>
      <w:pPr>
        <w:pStyle w:val="Normal"/>
        <w:spacing w:lineRule="auto" w:line="360"/>
        <w:ind w:left="360" w:hanging="0"/>
        <w:jc w:val="both"/>
        <w:rPr>
          <w:rFonts w:ascii="Times New Roman" w:hAnsi="Times New Roman" w:cs="Times New Roman"/>
          <w:color w:val="000000" w:themeColor="text1"/>
        </w:rPr>
      </w:pPr>
      <w:r>
        <w:rPr>
          <w:rFonts w:cs="Times New Roman" w:ascii="Times New Roman" w:hAnsi="Times New Roman"/>
          <w:color w:val="000000" w:themeColor="text1"/>
        </w:rPr>
      </w:r>
    </w:p>
    <w:p>
      <w:pPr>
        <w:pStyle w:val="Normal"/>
        <w:spacing w:lineRule="auto" w:line="360"/>
        <w:ind w:left="360" w:hanging="0"/>
        <w:jc w:val="both"/>
        <w:rPr>
          <w:rFonts w:ascii="Times New Roman" w:hAnsi="Times New Roman" w:cs="Times New Roman"/>
          <w:color w:val="000000" w:themeColor="text1"/>
        </w:rPr>
      </w:pPr>
      <w:r>
        <w:rPr>
          <w:rFonts w:cs="Times New Roman" w:ascii="Times New Roman" w:hAnsi="Times New Roman"/>
          <w:color w:val="000000" w:themeColor="text1"/>
        </w:rPr>
        <w:t>Specimen inputs files and scripts to build the DNA structures, perform the simulations and analysis described are provided as Supplementary Information in the file “Source.zip”.</w:t>
      </w:r>
    </w:p>
    <w:p>
      <w:pPr>
        <w:pStyle w:val="Heading2"/>
        <w:spacing w:lineRule="auto" w:line="360"/>
        <w:jc w:val="both"/>
        <w:rPr>
          <w:rFonts w:ascii="Times New Roman" w:hAnsi="Times New Roman" w:cs="Times New Roman"/>
        </w:rPr>
      </w:pPr>
      <w:bookmarkStart w:id="109" w:name="_Toc294362865"/>
      <w:bookmarkEnd w:id="109"/>
      <w:r>
        <w:rPr>
          <w:rFonts w:cs="Times New Roman" w:ascii="Times New Roman" w:hAnsi="Times New Roman"/>
        </w:rPr>
        <w:t>5. References</w:t>
      </w:r>
    </w:p>
    <w:p>
      <w:pPr>
        <w:pStyle w:val="NormalWeb"/>
        <w:ind w:left="640" w:hanging="640"/>
        <w:rPr/>
      </w:pPr>
      <w:r>
        <w:fldChar w:fldCharType="begin"/>
      </w:r>
      <w:r>
        <w:instrText>ADDIN Mendeley Bibliography CSL_BIBLIOGRAPHY</w:instrText>
      </w:r>
      <w:r>
        <w:fldChar w:fldCharType="separate"/>
      </w:r>
      <w:bookmarkStart w:id="110" w:name="__Fieldmark__2013_1847998653"/>
      <w:r>
        <w:rPr/>
      </w:r>
      <w:r>
        <w:rPr>
          <w:rFonts w:ascii="Times New Roman" w:hAnsi="Times New Roman"/>
          <w:sz w:val="24"/>
        </w:rPr>
        <w:t xml:space="preserve">1. </w:t>
        <w:tab/>
        <w:t>A.D. Bates and A. Maxwell (2005) DNA Topology, Oxford University Press.</w:t>
      </w:r>
      <w:bookmarkEnd w:id="110"/>
      <w:r>
        <w:rPr>
          <w:rFonts w:ascii="Times New Roman" w:hAnsi="Times New Roman"/>
          <w:sz w:val="24"/>
        </w:rPr>
      </w:r>
      <w:r>
        <w:fldChar w:fldCharType="end"/>
      </w:r>
    </w:p>
    <w:p>
      <w:pPr>
        <w:pStyle w:val="NormalWeb"/>
        <w:ind w:left="640" w:hanging="640"/>
        <w:rPr>
          <w:rFonts w:ascii="Times New Roman" w:hAnsi="Times New Roman"/>
          <w:sz w:val="24"/>
        </w:rPr>
      </w:pPr>
      <w:r>
        <w:rPr>
          <w:rFonts w:ascii="Times New Roman" w:hAnsi="Times New Roman"/>
          <w:sz w:val="24"/>
        </w:rPr>
        <w:t xml:space="preserve">2. </w:t>
        <w:tab/>
        <w:t>J. Dekker, M. a Marti-Renom, and L. a Mirny (2013) Exploring the three-dimensional organization of genomes: interpreting chromatin interaction data., Nature reviews. Genetics. 14, 390–403.</w:t>
      </w:r>
    </w:p>
    <w:p>
      <w:pPr>
        <w:pStyle w:val="NormalWeb"/>
        <w:ind w:left="640" w:hanging="640"/>
        <w:rPr>
          <w:rFonts w:ascii="Times New Roman" w:hAnsi="Times New Roman"/>
          <w:sz w:val="24"/>
        </w:rPr>
      </w:pPr>
      <w:r>
        <w:rPr>
          <w:rFonts w:ascii="Times New Roman" w:hAnsi="Times New Roman"/>
          <w:sz w:val="24"/>
        </w:rPr>
        <w:t xml:space="preserve">3. </w:t>
        <w:tab/>
        <w:t>I. Williamson, S. Berlivet, R. Eskeland, et al. (2014) Spatial genome organization: contrasting views from chromosome conformation capture and fluorescence in situ hybridization, Genes &amp; Development. 28, 2778–2791.</w:t>
      </w:r>
    </w:p>
    <w:p>
      <w:pPr>
        <w:pStyle w:val="NormalWeb"/>
        <w:ind w:left="640" w:hanging="640"/>
        <w:rPr>
          <w:rFonts w:ascii="Times New Roman" w:hAnsi="Times New Roman"/>
          <w:sz w:val="24"/>
        </w:rPr>
      </w:pPr>
      <w:r>
        <w:rPr>
          <w:rFonts w:ascii="Times New Roman" w:hAnsi="Times New Roman"/>
          <w:sz w:val="24"/>
        </w:rPr>
        <w:t xml:space="preserve">4. </w:t>
        <w:tab/>
        <w:t>F. Benedetti, A. Japaridze, J. Dorier, et al. (2015) Effects of physiological self-crowding of DNA on shape and biological properties of DNA molecules with various levels of supercoiling, Nucleic Acids Research. 43, 2390–2399.</w:t>
      </w:r>
    </w:p>
    <w:p>
      <w:pPr>
        <w:pStyle w:val="NormalWeb"/>
        <w:ind w:left="640" w:hanging="640"/>
        <w:rPr>
          <w:rFonts w:ascii="Times New Roman" w:hAnsi="Times New Roman"/>
          <w:sz w:val="24"/>
        </w:rPr>
      </w:pPr>
      <w:r>
        <w:rPr>
          <w:rFonts w:ascii="Times New Roman" w:hAnsi="Times New Roman"/>
          <w:sz w:val="24"/>
        </w:rPr>
        <w:t xml:space="preserve">5. </w:t>
        <w:tab/>
        <w:t>H.R. Drew, J.R. Weeks, and A.A. Travers (1985) Negative supercoiling induces spontaneous unwinding of a bacterial promoter, EMBO Journal. 4, 1025 –1032.</w:t>
      </w:r>
    </w:p>
    <w:p>
      <w:pPr>
        <w:pStyle w:val="NormalWeb"/>
        <w:ind w:left="640" w:hanging="640"/>
        <w:rPr>
          <w:rFonts w:ascii="Times New Roman" w:hAnsi="Times New Roman"/>
          <w:sz w:val="24"/>
        </w:rPr>
      </w:pPr>
      <w:r>
        <w:rPr>
          <w:rFonts w:ascii="Times New Roman" w:hAnsi="Times New Roman"/>
          <w:sz w:val="24"/>
        </w:rPr>
        <w:t xml:space="preserve">6. </w:t>
        <w:tab/>
        <w:t>F. Kouzine, D. Levens, and L. Baranello (2014) DNA topology and transcription., Nucleus. 5, 195–202.</w:t>
      </w:r>
    </w:p>
    <w:p>
      <w:pPr>
        <w:pStyle w:val="NormalWeb"/>
        <w:ind w:left="640" w:hanging="640"/>
        <w:rPr>
          <w:rFonts w:ascii="Times New Roman" w:hAnsi="Times New Roman"/>
          <w:sz w:val="24"/>
        </w:rPr>
      </w:pPr>
      <w:r>
        <w:rPr>
          <w:rFonts w:ascii="Times New Roman" w:hAnsi="Times New Roman"/>
          <w:sz w:val="24"/>
        </w:rPr>
        <w:t xml:space="preserve">7. </w:t>
        <w:tab/>
        <w:t>I.K. Pemberton, G. Muskhelishvili, A.A. Travers, et al. (2002) FIS modulates the kinetics of successive interactions of RNA polymerase with the core and upstream regions of the tyrT promoter, Journal of Molecular Biology. 318, 651–663.</w:t>
      </w:r>
    </w:p>
    <w:p>
      <w:pPr>
        <w:pStyle w:val="NormalWeb"/>
        <w:ind w:left="640" w:hanging="640"/>
        <w:rPr>
          <w:rFonts w:ascii="Times New Roman" w:hAnsi="Times New Roman"/>
          <w:sz w:val="24"/>
        </w:rPr>
      </w:pPr>
      <w:r>
        <w:rPr>
          <w:rFonts w:ascii="Times New Roman" w:hAnsi="Times New Roman"/>
          <w:sz w:val="24"/>
        </w:rPr>
        <w:t xml:space="preserve">8. </w:t>
        <w:tab/>
        <w:t>J.M. Fogg, G.L. Randall, B.M. Pettitt, et al. (2012) Bullied no more: when and how DNA shoves proteins around., Quarterly reviews of biophysics. 45, 257–299.</w:t>
      </w:r>
    </w:p>
    <w:p>
      <w:pPr>
        <w:pStyle w:val="NormalWeb"/>
        <w:ind w:left="640" w:hanging="640"/>
        <w:rPr>
          <w:rFonts w:ascii="Times New Roman" w:hAnsi="Times New Roman"/>
          <w:sz w:val="24"/>
        </w:rPr>
      </w:pPr>
      <w:r>
        <w:rPr>
          <w:rFonts w:ascii="Times New Roman" w:hAnsi="Times New Roman"/>
          <w:sz w:val="24"/>
        </w:rPr>
        <w:t xml:space="preserve">9. </w:t>
        <w:tab/>
        <w:t>W.K. Olson, A.A. Gorin, X.-J. Lu, et al. (1998) DNA sequence-dependent deformability deduced from protein–DNA crystal complexes, Proceedings of the National Academy of Science USA. 95, 11163–11168.</w:t>
      </w:r>
    </w:p>
    <w:p>
      <w:pPr>
        <w:pStyle w:val="NormalWeb"/>
        <w:ind w:left="640" w:hanging="640"/>
        <w:rPr>
          <w:rFonts w:ascii="Times New Roman" w:hAnsi="Times New Roman"/>
          <w:sz w:val="24"/>
        </w:rPr>
      </w:pPr>
      <w:r>
        <w:rPr>
          <w:rFonts w:ascii="Times New Roman" w:hAnsi="Times New Roman"/>
          <w:sz w:val="24"/>
        </w:rPr>
        <w:t xml:space="preserve">10. </w:t>
        <w:tab/>
        <w:t>N.M. Luscombe, S.E. Austin, H.M. Berman, et al. (2000) An overview of the structures of protein-DNA complexes., Genome biology. 1, REVIEWS001.</w:t>
      </w:r>
    </w:p>
    <w:p>
      <w:pPr>
        <w:pStyle w:val="NormalWeb"/>
        <w:ind w:left="640" w:hanging="640"/>
        <w:rPr>
          <w:rFonts w:ascii="Times New Roman" w:hAnsi="Times New Roman"/>
          <w:sz w:val="24"/>
        </w:rPr>
      </w:pPr>
      <w:r>
        <w:rPr>
          <w:rFonts w:ascii="Times New Roman" w:hAnsi="Times New Roman"/>
          <w:sz w:val="24"/>
        </w:rPr>
        <w:t xml:space="preserve">11. </w:t>
        <w:tab/>
        <w:t>T.J. Richmond and C.A. Davey (2003) The structure of DNA in the nucleosome core, Nature. 423, 145–150.</w:t>
      </w:r>
    </w:p>
    <w:p>
      <w:pPr>
        <w:pStyle w:val="NormalWeb"/>
        <w:ind w:left="640" w:hanging="640"/>
        <w:rPr>
          <w:rFonts w:ascii="Times New Roman" w:hAnsi="Times New Roman"/>
          <w:sz w:val="24"/>
        </w:rPr>
      </w:pPr>
      <w:r>
        <w:rPr>
          <w:rFonts w:ascii="Times New Roman" w:hAnsi="Times New Roman"/>
          <w:sz w:val="24"/>
        </w:rPr>
        <w:t xml:space="preserve">12. </w:t>
        <w:tab/>
        <w:t>Q. Du, A. Kotlyar, and A. Vologodskii (2008) Kinking the double helix by bending deformation, Nucleic Acids Research. 36, 1120–1128.</w:t>
      </w:r>
    </w:p>
    <w:p>
      <w:pPr>
        <w:pStyle w:val="NormalWeb"/>
        <w:ind w:left="640" w:hanging="640"/>
        <w:rPr>
          <w:rFonts w:ascii="Times New Roman" w:hAnsi="Times New Roman"/>
          <w:sz w:val="24"/>
        </w:rPr>
      </w:pPr>
      <w:r>
        <w:rPr>
          <w:rFonts w:ascii="Times New Roman" w:hAnsi="Times New Roman"/>
          <w:sz w:val="24"/>
        </w:rPr>
        <w:t xml:space="preserve">13. </w:t>
        <w:tab/>
        <w:t>T.A. Lionberger, D. Demurtas, G. Witz, et al. (2011) Cooperative kinking at distant sites in mechanically stressed DNA., Nucleic acids research. 39, 9820–9832.</w:t>
      </w:r>
    </w:p>
    <w:p>
      <w:pPr>
        <w:pStyle w:val="NormalWeb"/>
        <w:ind w:left="640" w:hanging="640"/>
        <w:rPr>
          <w:rFonts w:ascii="Times New Roman" w:hAnsi="Times New Roman"/>
          <w:sz w:val="24"/>
        </w:rPr>
      </w:pPr>
      <w:r>
        <w:rPr>
          <w:rFonts w:ascii="Times New Roman" w:hAnsi="Times New Roman"/>
          <w:sz w:val="24"/>
        </w:rPr>
        <w:t xml:space="preserve">14. </w:t>
        <w:tab/>
        <w:t>J.M. Fogg, N. Kolmakova, I. Rees, et al. (2006) Exploring writhe in supercoiled minicircle DNA., Journal of physics. Condensed matter : an Institute of Physics journal. 18, S145–S159.</w:t>
      </w:r>
    </w:p>
    <w:p>
      <w:pPr>
        <w:pStyle w:val="NormalWeb"/>
        <w:ind w:left="640" w:hanging="640"/>
        <w:rPr>
          <w:rFonts w:ascii="Times New Roman" w:hAnsi="Times New Roman"/>
          <w:sz w:val="24"/>
        </w:rPr>
      </w:pPr>
      <w:r>
        <w:rPr>
          <w:rFonts w:ascii="Times New Roman" w:hAnsi="Times New Roman"/>
          <w:sz w:val="24"/>
        </w:rPr>
        <w:t xml:space="preserve">15. </w:t>
        <w:tab/>
        <w:t>L.S. Shlyakhtenko, V.N. Potaman, R.R. Sinden, et al. (1998) Structure and dynamics of supercoil-stabilized DNA cruciforms., Journal of molecular biology. 280, 61–72.</w:t>
      </w:r>
    </w:p>
    <w:p>
      <w:pPr>
        <w:pStyle w:val="NormalWeb"/>
        <w:ind w:left="640" w:hanging="640"/>
        <w:rPr>
          <w:rFonts w:ascii="Times New Roman" w:hAnsi="Times New Roman"/>
          <w:sz w:val="24"/>
        </w:rPr>
      </w:pPr>
      <w:r>
        <w:rPr>
          <w:rFonts w:ascii="Times New Roman" w:hAnsi="Times New Roman"/>
          <w:sz w:val="24"/>
        </w:rPr>
        <w:t xml:space="preserve">16. </w:t>
        <w:tab/>
        <w:t>T. Schmatko, P. Muller, and M. Maaloum (2014) Surface charge effects on the 2D conformation of supercoiled DNA., Soft matter. 10, 2520–9.</w:t>
      </w:r>
    </w:p>
    <w:p>
      <w:pPr>
        <w:pStyle w:val="NormalWeb"/>
        <w:ind w:left="640" w:hanging="640"/>
        <w:rPr>
          <w:rFonts w:ascii="Times New Roman" w:hAnsi="Times New Roman"/>
          <w:sz w:val="24"/>
        </w:rPr>
      </w:pPr>
      <w:r>
        <w:rPr>
          <w:rFonts w:ascii="Times New Roman" w:hAnsi="Times New Roman"/>
          <w:sz w:val="24"/>
        </w:rPr>
        <w:t xml:space="preserve">17. </w:t>
        <w:tab/>
        <w:t>J. Bednar, P. Furrer, A. Stasiak, et al. (1994) The Twist, Writhe and Overall Shape of Supercoiled DNA Change During Counterion-induced Transition from a Loosely to a Tightly Interwound Superhelix, Journal of molecular biology. 235, 825–847.</w:t>
      </w:r>
    </w:p>
    <w:p>
      <w:pPr>
        <w:pStyle w:val="NormalWeb"/>
        <w:ind w:left="640" w:hanging="640"/>
        <w:rPr>
          <w:rFonts w:ascii="Times New Roman" w:hAnsi="Times New Roman"/>
          <w:sz w:val="24"/>
        </w:rPr>
      </w:pPr>
      <w:r>
        <w:rPr>
          <w:rFonts w:ascii="Times New Roman" w:hAnsi="Times New Roman"/>
          <w:sz w:val="24"/>
        </w:rPr>
        <w:t xml:space="preserve">18. </w:t>
        <w:tab/>
        <w:t>A. Amzallag, C. Vaillant, M. Jacob, et al. (2006) 3D reconstruction and comparison of shapes of DNA minicircles observed by cryo-electron microscopy., Nucleic acids research. 34, e125.</w:t>
      </w:r>
    </w:p>
    <w:p>
      <w:pPr>
        <w:pStyle w:val="NormalWeb"/>
        <w:ind w:left="640" w:hanging="640"/>
        <w:rPr>
          <w:rFonts w:ascii="Times New Roman" w:hAnsi="Times New Roman"/>
          <w:sz w:val="24"/>
        </w:rPr>
      </w:pPr>
      <w:r>
        <w:rPr>
          <w:rFonts w:ascii="Times New Roman" w:hAnsi="Times New Roman"/>
          <w:sz w:val="24"/>
        </w:rPr>
        <w:t xml:space="preserve">19. </w:t>
        <w:tab/>
        <w:t>R.N. Irobalieva, J.M. Fogg, D.J. Catanese, et al. (2015) Structural diversity of supercoiled DNA, Submitted to Nature Communication.</w:t>
      </w:r>
    </w:p>
    <w:p>
      <w:pPr>
        <w:pStyle w:val="NormalWeb"/>
        <w:ind w:left="640" w:hanging="640"/>
        <w:rPr>
          <w:rFonts w:ascii="Times New Roman" w:hAnsi="Times New Roman"/>
          <w:sz w:val="24"/>
        </w:rPr>
      </w:pPr>
      <w:r>
        <w:rPr>
          <w:rFonts w:ascii="Times New Roman" w:hAnsi="Times New Roman"/>
          <w:sz w:val="24"/>
        </w:rPr>
        <w:t xml:space="preserve">20. </w:t>
        <w:tab/>
        <w:t>D.L. Beveridge, T.E. Cheatham, and M. Mezei (2012) The ABCs of molecular dynamics simulations on B-DNA, circa 2012, Journal of Biosciences. 37, 379–397.</w:t>
      </w:r>
    </w:p>
    <w:p>
      <w:pPr>
        <w:pStyle w:val="NormalWeb"/>
        <w:ind w:left="640" w:hanging="640"/>
        <w:rPr>
          <w:rFonts w:ascii="Times New Roman" w:hAnsi="Times New Roman"/>
          <w:sz w:val="24"/>
        </w:rPr>
      </w:pPr>
      <w:r>
        <w:rPr>
          <w:rFonts w:ascii="Times New Roman" w:hAnsi="Times New Roman"/>
          <w:sz w:val="24"/>
        </w:rPr>
        <w:t xml:space="preserve">21. </w:t>
        <w:tab/>
        <w:t>J.S. Mitchell, C.A. Laughton, and S.A. Harris (2011) Atomistic simulations reveal bubbles, kinks and wrinkles in supercoiled DNA, Nucleic Acids Research. 39, 3928–3938.</w:t>
      </w:r>
    </w:p>
    <w:p>
      <w:pPr>
        <w:pStyle w:val="NormalWeb"/>
        <w:ind w:left="640" w:hanging="640"/>
        <w:rPr>
          <w:rFonts w:ascii="Times New Roman" w:hAnsi="Times New Roman"/>
          <w:sz w:val="24"/>
        </w:rPr>
      </w:pPr>
      <w:r>
        <w:rPr>
          <w:rFonts w:ascii="Times New Roman" w:hAnsi="Times New Roman"/>
          <w:sz w:val="24"/>
        </w:rPr>
        <w:t xml:space="preserve">22. </w:t>
        <w:tab/>
        <w:t>S.A. Harris, C.A. Laughton, and T.B. Liverpool (2008) Mapping the phase diagram of the writhe of DNA nanocircles using atomistic molecular dynamics simulations., Nucleic acids research. 36, 21–29.</w:t>
      </w:r>
    </w:p>
    <w:p>
      <w:pPr>
        <w:pStyle w:val="NormalWeb"/>
        <w:ind w:left="640" w:hanging="640"/>
        <w:rPr>
          <w:rFonts w:ascii="Times New Roman" w:hAnsi="Times New Roman"/>
          <w:sz w:val="24"/>
        </w:rPr>
      </w:pPr>
      <w:r>
        <w:rPr>
          <w:rFonts w:ascii="Times New Roman" w:hAnsi="Times New Roman"/>
          <w:sz w:val="24"/>
        </w:rPr>
        <w:t xml:space="preserve">23. </w:t>
        <w:tab/>
        <w:t>T.B. Liverpool, S.A. Harris, and C.A. Laughton (2008) Supercoiling and denaturation of DNA loops, Physical Review Letters. 100, 238103.</w:t>
      </w:r>
    </w:p>
    <w:p>
      <w:pPr>
        <w:pStyle w:val="NormalWeb"/>
        <w:ind w:left="640" w:hanging="640"/>
        <w:rPr>
          <w:rFonts w:ascii="Times New Roman" w:hAnsi="Times New Roman"/>
          <w:sz w:val="24"/>
        </w:rPr>
      </w:pPr>
      <w:r>
        <w:rPr>
          <w:rFonts w:ascii="Times New Roman" w:hAnsi="Times New Roman"/>
          <w:sz w:val="24"/>
        </w:rPr>
        <w:t xml:space="preserve">24. </w:t>
        <w:tab/>
        <w:t>A. Gray, O.G. Harlen, S.A. Harris, et al. (2015) In pursuit of an accurate spatial and temporal model of biomolecules at the atomistic level: a perspective on computer simulation, Acta Crystallographica D. D71, 162–172.</w:t>
      </w:r>
    </w:p>
    <w:p>
      <w:pPr>
        <w:pStyle w:val="NormalWeb"/>
        <w:ind w:left="640" w:hanging="640"/>
        <w:rPr>
          <w:rFonts w:ascii="Times New Roman" w:hAnsi="Times New Roman"/>
          <w:sz w:val="24"/>
        </w:rPr>
      </w:pPr>
      <w:r>
        <w:rPr>
          <w:rFonts w:ascii="Times New Roman" w:hAnsi="Times New Roman"/>
          <w:sz w:val="24"/>
        </w:rPr>
        <w:t xml:space="preserve">25. </w:t>
        <w:tab/>
        <w:t>S. Pronk, S. Páll, R. Schulz, et al. (2013) GROMACS 4.5: a high-throughput and highly parallel open source molecular simulation toolkit., Bioinformatics (Oxford, England). 29, 845–854.</w:t>
      </w:r>
    </w:p>
    <w:p>
      <w:pPr>
        <w:pStyle w:val="NormalWeb"/>
        <w:ind w:left="640" w:hanging="640"/>
        <w:rPr>
          <w:rFonts w:ascii="Times New Roman" w:hAnsi="Times New Roman"/>
          <w:sz w:val="24"/>
        </w:rPr>
      </w:pPr>
      <w:r>
        <w:rPr>
          <w:rFonts w:ascii="Times New Roman" w:hAnsi="Times New Roman"/>
          <w:sz w:val="24"/>
        </w:rPr>
        <w:t xml:space="preserve">26. </w:t>
        <w:tab/>
        <w:t>D.A. Case, T.E. Cheatham, T. Darden, et al. (2005) The Amber biomolecular simulation programs., Journal of computational chemistry. 26, 1668–88.</w:t>
      </w:r>
    </w:p>
    <w:p>
      <w:pPr>
        <w:pStyle w:val="NormalWeb"/>
        <w:ind w:left="640" w:hanging="640"/>
        <w:rPr>
          <w:rFonts w:ascii="Times New Roman" w:hAnsi="Times New Roman"/>
          <w:sz w:val="24"/>
        </w:rPr>
      </w:pPr>
      <w:r>
        <w:rPr>
          <w:rFonts w:ascii="Times New Roman" w:hAnsi="Times New Roman"/>
          <w:sz w:val="24"/>
        </w:rPr>
        <w:t xml:space="preserve">27. </w:t>
        <w:tab/>
        <w:t>J.C. Phillips, R. Braun, W. Wang, et al. (2005) Scalable molecular dynamics with NAMD, Journal of Computational Chemistry. 26, 1781–1802.</w:t>
      </w:r>
    </w:p>
    <w:p>
      <w:pPr>
        <w:pStyle w:val="NormalWeb"/>
        <w:ind w:left="640" w:hanging="640"/>
        <w:rPr>
          <w:rFonts w:ascii="Times New Roman" w:hAnsi="Times New Roman"/>
          <w:sz w:val="24"/>
        </w:rPr>
      </w:pPr>
      <w:r>
        <w:rPr>
          <w:rFonts w:ascii="Times New Roman" w:hAnsi="Times New Roman"/>
          <w:sz w:val="24"/>
        </w:rPr>
        <w:t xml:space="preserve">28. </w:t>
        <w:tab/>
        <w:t>A. Pérez, I. Marchán, D. Svozil, et al. (2007) Refinement of the AMBER force field for nucleic acids: improving the description of alpha/gamma conformers., Biophysical journal. 92, 3817–3829.</w:t>
      </w:r>
    </w:p>
    <w:p>
      <w:pPr>
        <w:pStyle w:val="NormalWeb"/>
        <w:ind w:left="640" w:hanging="640"/>
        <w:rPr>
          <w:rFonts w:ascii="Times New Roman" w:hAnsi="Times New Roman"/>
          <w:sz w:val="24"/>
        </w:rPr>
      </w:pPr>
      <w:r>
        <w:rPr>
          <w:rFonts w:ascii="Times New Roman" w:hAnsi="Times New Roman"/>
          <w:sz w:val="24"/>
        </w:rPr>
        <w:t xml:space="preserve">29. </w:t>
        <w:tab/>
        <w:t>M. Krepl, M. Zgarbová, P. Stadlbauer, et al. (2012) Reference simulations of noncanonical nucleic acids with different χ variants of the AMBER forcefield: quadruplex DNA, quadruplex RNA, and Z-DNA, Journal of Chemical Theory and Computation. 8, 2506–2520.</w:t>
      </w:r>
    </w:p>
    <w:p>
      <w:pPr>
        <w:pStyle w:val="NormalWeb"/>
        <w:ind w:left="640" w:hanging="640"/>
        <w:rPr>
          <w:rFonts w:ascii="Times New Roman" w:hAnsi="Times New Roman"/>
          <w:sz w:val="24"/>
        </w:rPr>
      </w:pPr>
      <w:r>
        <w:rPr>
          <w:rFonts w:ascii="Times New Roman" w:hAnsi="Times New Roman"/>
          <w:sz w:val="24"/>
        </w:rPr>
        <w:t xml:space="preserve">30. </w:t>
        <w:tab/>
        <w:t>M. Zgarbova, F.J. Luque, S. Jir, et al. (2013) Toward Improved Description of DNA Backbone: Revisiting Epsilon and Zeta Torsion Force Field Parameters, Journal of Chemical Theory and Computation. 9, 2339–2354.</w:t>
      </w:r>
    </w:p>
    <w:p>
      <w:pPr>
        <w:pStyle w:val="NormalWeb"/>
        <w:ind w:left="640" w:hanging="640"/>
        <w:rPr>
          <w:rFonts w:ascii="Times New Roman" w:hAnsi="Times New Roman"/>
          <w:sz w:val="24"/>
        </w:rPr>
      </w:pPr>
      <w:r>
        <w:rPr>
          <w:rFonts w:ascii="Times New Roman" w:hAnsi="Times New Roman"/>
          <w:sz w:val="24"/>
        </w:rPr>
        <w:t xml:space="preserve">31. </w:t>
        <w:tab/>
        <w:t>K. Vanommeslaeghe, E. Hatcher, C. Acharya, et al. (2009) CHARMM General Force Field: A force field for drug-like molecules compatible with the CHARMM all-atom additive biological force fields, Journal of computational chemistry. 31, 671–690.</w:t>
      </w:r>
    </w:p>
    <w:p>
      <w:pPr>
        <w:pStyle w:val="NormalWeb"/>
        <w:ind w:left="640" w:hanging="640"/>
        <w:rPr>
          <w:rFonts w:ascii="Times New Roman" w:hAnsi="Times New Roman"/>
          <w:sz w:val="24"/>
        </w:rPr>
      </w:pPr>
      <w:r>
        <w:rPr>
          <w:rFonts w:ascii="Times New Roman" w:hAnsi="Times New Roman"/>
          <w:sz w:val="24"/>
        </w:rPr>
        <w:t xml:space="preserve">32. </w:t>
        <w:tab/>
        <w:t>A. Pérez, F.J. Luque, and M. Orozco (2007) Dynamics of B-DNA on the microsecond time scale., Journal of the American Chemical Society. 129, 14739–45.</w:t>
      </w:r>
    </w:p>
    <w:p>
      <w:pPr>
        <w:pStyle w:val="NormalWeb"/>
        <w:ind w:left="640" w:hanging="640"/>
        <w:rPr>
          <w:rFonts w:ascii="Times New Roman" w:hAnsi="Times New Roman"/>
          <w:sz w:val="24"/>
        </w:rPr>
      </w:pPr>
      <w:r>
        <w:rPr>
          <w:rFonts w:ascii="Times New Roman" w:hAnsi="Times New Roman"/>
          <w:sz w:val="24"/>
        </w:rPr>
        <w:t xml:space="preserve">33. </w:t>
        <w:tab/>
        <w:t>K. Hart, N. Foloppe, C.M. Baker, et al. (2012) Optimization of the CHARMM additive force field for DNA: Improved treatment of the BI/BII conformational equilibrium, Journal of Chemical Theory and Computation. 8, 348–362.</w:t>
      </w:r>
    </w:p>
    <w:p>
      <w:pPr>
        <w:pStyle w:val="NormalWeb"/>
        <w:ind w:left="640" w:hanging="640"/>
        <w:rPr>
          <w:rFonts w:ascii="Times New Roman" w:hAnsi="Times New Roman"/>
          <w:sz w:val="24"/>
        </w:rPr>
      </w:pPr>
      <w:r>
        <w:rPr>
          <w:rFonts w:ascii="Times New Roman" w:hAnsi="Times New Roman"/>
          <w:sz w:val="24"/>
        </w:rPr>
        <w:t xml:space="preserve">34. </w:t>
        <w:tab/>
        <w:t>J. Yoo and A. Aksimentiev (2013) In situ structure and dynamics of DNA origami determined through molecular dynamics simulations., Proceedings of the National Academy of Sciences of the United States of America. 110, 20099–104.</w:t>
      </w:r>
    </w:p>
    <w:p>
      <w:pPr>
        <w:pStyle w:val="NormalWeb"/>
        <w:ind w:left="640" w:hanging="640"/>
        <w:rPr>
          <w:rFonts w:ascii="Times New Roman" w:hAnsi="Times New Roman"/>
          <w:sz w:val="24"/>
        </w:rPr>
      </w:pPr>
      <w:r>
        <w:rPr>
          <w:rFonts w:ascii="Times New Roman" w:hAnsi="Times New Roman"/>
          <w:sz w:val="24"/>
        </w:rPr>
        <w:t xml:space="preserve">35. </w:t>
        <w:tab/>
        <w:t>F.H.C. Crick and A. Klug (1975) Kinky Helix, Nature. 255, 530–533.</w:t>
      </w:r>
    </w:p>
    <w:p>
      <w:pPr>
        <w:pStyle w:val="NormalWeb"/>
        <w:ind w:left="640" w:hanging="640"/>
        <w:rPr>
          <w:rFonts w:ascii="Times New Roman" w:hAnsi="Times New Roman"/>
          <w:sz w:val="24"/>
        </w:rPr>
      </w:pPr>
      <w:r>
        <w:rPr>
          <w:rFonts w:ascii="Times New Roman" w:hAnsi="Times New Roman"/>
          <w:sz w:val="24"/>
        </w:rPr>
        <w:t xml:space="preserve">36. </w:t>
        <w:tab/>
        <w:t>F. Lankas, R. Lavery, and J.H. Maddocks (2006) Kinking occurs during molecular dynamics simulations of small DNA minicircles., Structure (London, England : 1993). 14, 1527–1534.</w:t>
      </w:r>
    </w:p>
    <w:p>
      <w:pPr>
        <w:pStyle w:val="NormalWeb"/>
        <w:ind w:left="640" w:hanging="640"/>
        <w:rPr>
          <w:rFonts w:ascii="Times New Roman" w:hAnsi="Times New Roman"/>
          <w:sz w:val="24"/>
        </w:rPr>
      </w:pPr>
      <w:r>
        <w:rPr>
          <w:rFonts w:ascii="Times New Roman" w:hAnsi="Times New Roman"/>
          <w:sz w:val="24"/>
        </w:rPr>
        <w:t xml:space="preserve">37. </w:t>
        <w:tab/>
        <w:t>D. Ackermann, G. Rasched, S. Verma, et al. (2010) Assembly of dsDNA nanocircles into dimeric and oligomeric aggregates., Chemical communications (Cambridge, England). 46, 4154–4156.</w:t>
      </w:r>
    </w:p>
    <w:p>
      <w:pPr>
        <w:pStyle w:val="NormalWeb"/>
        <w:ind w:left="640" w:hanging="640"/>
        <w:rPr>
          <w:rFonts w:ascii="Times New Roman" w:hAnsi="Times New Roman"/>
          <w:sz w:val="24"/>
        </w:rPr>
      </w:pPr>
      <w:r>
        <w:rPr>
          <w:rFonts w:ascii="Times New Roman" w:hAnsi="Times New Roman"/>
          <w:sz w:val="24"/>
        </w:rPr>
        <w:t xml:space="preserve">38. </w:t>
        <w:tab/>
        <w:t>W. Humphrey, A. Dalke, and K. Schulten (1996) VMD: Visual Molecular Dynamics, Journal of Molecular Graphic. 14, 33–38.</w:t>
      </w:r>
    </w:p>
    <w:p>
      <w:pPr>
        <w:pStyle w:val="NormalWeb"/>
        <w:ind w:left="640" w:hanging="640"/>
        <w:rPr>
          <w:rFonts w:ascii="Times New Roman" w:hAnsi="Times New Roman"/>
          <w:sz w:val="24"/>
        </w:rPr>
      </w:pPr>
      <w:r>
        <w:rPr>
          <w:rFonts w:ascii="Times New Roman" w:hAnsi="Times New Roman"/>
          <w:sz w:val="24"/>
        </w:rPr>
        <w:t xml:space="preserve">39. </w:t>
        <w:tab/>
        <w:t>R. Lavery, M. Moakher, J.H. Maddocks, et al. (2009) Conformational analysis of nucleic acids revisited: Curves+., Nucleic acids research. 37, 5917–5929.</w:t>
      </w:r>
    </w:p>
    <w:p>
      <w:pPr>
        <w:pStyle w:val="NormalWeb"/>
        <w:ind w:left="640" w:hanging="640"/>
        <w:rPr>
          <w:rFonts w:ascii="Times New Roman" w:hAnsi="Times New Roman"/>
          <w:sz w:val="24"/>
        </w:rPr>
      </w:pPr>
      <w:r>
        <w:rPr>
          <w:rFonts w:ascii="Times New Roman" w:hAnsi="Times New Roman"/>
          <w:sz w:val="24"/>
        </w:rPr>
        <w:t xml:space="preserve">40. </w:t>
        <w:tab/>
        <w:t>X.-J. Lu and W.K. Olson (2008) 3DNA: a versatile, integrated software system for the analysis, rebuilding and visualization of three-dimensional nucleic-acid structures., Nature protocols. 3, 1213–1227.</w:t>
      </w:r>
    </w:p>
    <w:p>
      <w:pPr>
        <w:pStyle w:val="NormalWeb"/>
        <w:ind w:left="640" w:hanging="640"/>
        <w:rPr>
          <w:rFonts w:ascii="Times New Roman" w:hAnsi="Times New Roman"/>
          <w:sz w:val="24"/>
        </w:rPr>
      </w:pPr>
      <w:r>
        <w:rPr>
          <w:rFonts w:ascii="Times New Roman" w:hAnsi="Times New Roman"/>
          <w:sz w:val="24"/>
        </w:rPr>
        <w:t xml:space="preserve">41. </w:t>
        <w:tab/>
        <w:t>T. Sutthibutpong, S.A. Harris, and A. Noy (2015) Comparison of Molecular Contours for Measuring Writhe in Atomistic Supercoiled DNA, Journal of Chemical Theory and Computation. 150521070539002.</w:t>
      </w:r>
    </w:p>
    <w:p>
      <w:pPr>
        <w:pStyle w:val="NormalWeb"/>
        <w:ind w:left="640" w:hanging="640"/>
        <w:rPr>
          <w:rFonts w:ascii="Times New Roman" w:hAnsi="Times New Roman"/>
          <w:sz w:val="24"/>
        </w:rPr>
      </w:pPr>
      <w:r>
        <w:rPr>
          <w:rFonts w:ascii="Times New Roman" w:hAnsi="Times New Roman"/>
          <w:sz w:val="24"/>
        </w:rPr>
        <w:t xml:space="preserve">42. </w:t>
        <w:tab/>
        <w:t>R.O. Dror, R.M. Dirks, J.P. Grossman, et al. (2012) Biomolecular Simulation: A Computational Microscope for Molecular Biology, Annual Review of Biophysics. 41, 429–452.</w:t>
      </w:r>
    </w:p>
    <w:p>
      <w:pPr>
        <w:pStyle w:val="NormalWeb"/>
        <w:ind w:left="640" w:hanging="640"/>
        <w:rPr>
          <w:rFonts w:ascii="Times New Roman" w:hAnsi="Times New Roman"/>
          <w:sz w:val="24"/>
        </w:rPr>
      </w:pPr>
      <w:r>
        <w:rPr>
          <w:rFonts w:ascii="Times New Roman" w:hAnsi="Times New Roman"/>
          <w:sz w:val="24"/>
        </w:rPr>
        <w:t xml:space="preserve">43. </w:t>
        <w:tab/>
        <w:t>A.W. Goetz, M.J. Williamson, D. Xu, et al. (2012) Routine microsecond molecular dynamics simulations with amber - part i: Generalized born, J. Chem. Theory Comput. 8, 1542–1555.</w:t>
      </w:r>
    </w:p>
    <w:p>
      <w:pPr>
        <w:pStyle w:val="NormalWeb"/>
        <w:ind w:left="640" w:hanging="640"/>
        <w:rPr>
          <w:rFonts w:ascii="Times New Roman" w:hAnsi="Times New Roman"/>
          <w:sz w:val="24"/>
        </w:rPr>
      </w:pPr>
      <w:r>
        <w:rPr>
          <w:rFonts w:ascii="Times New Roman" w:hAnsi="Times New Roman"/>
          <w:sz w:val="24"/>
        </w:rPr>
        <w:t xml:space="preserve">44. </w:t>
        <w:tab/>
        <w:t>A. Mukhopadhyay, A.T. Fenley, I.S. Tolokh, et al. (2012) Charge Hydration Asymmetry : The Basic Principle and How To Use It To Test and Improve Water Models Charge hydration asymmetry : the basic principle and how to use it to test and improve water models, Journal of Physical Chemistry B. 116, 9776–9783.</w:t>
      </w:r>
    </w:p>
    <w:p>
      <w:pPr>
        <w:pStyle w:val="NormalWeb"/>
        <w:ind w:left="640" w:hanging="640"/>
        <w:rPr>
          <w:rFonts w:ascii="Times New Roman" w:hAnsi="Times New Roman"/>
          <w:sz w:val="24"/>
        </w:rPr>
      </w:pPr>
      <w:r>
        <w:rPr>
          <w:rFonts w:ascii="Times New Roman" w:hAnsi="Times New Roman"/>
          <w:sz w:val="24"/>
        </w:rPr>
        <w:t xml:space="preserve">45. </w:t>
        <w:tab/>
        <w:t>A. Mukhopadhyay, B.H. Aguilar, I.S. Tolokh, et al. (2014) Introducing Charge Hydration Asymmetry into the Generalized Born Model, Journal of Chemical Theory and Computation. 10, 1788 – 1794.</w:t>
      </w:r>
    </w:p>
    <w:p>
      <w:pPr>
        <w:pStyle w:val="NormalWeb"/>
        <w:ind w:left="640" w:hanging="640"/>
        <w:rPr>
          <w:rFonts w:ascii="Times New Roman" w:hAnsi="Times New Roman"/>
          <w:sz w:val="24"/>
        </w:rPr>
      </w:pPr>
      <w:r>
        <w:rPr>
          <w:rFonts w:ascii="Times New Roman" w:hAnsi="Times New Roman"/>
          <w:sz w:val="24"/>
        </w:rPr>
        <w:t xml:space="preserve">46. </w:t>
        <w:tab/>
        <w:t>D.E. Shaw, M.M. Deneroff, R.O. Dror, et al. (2008) Anton, a special-purpose machine for molecular dynamics simulation, Communications of the ACM. 51, 91–97.</w:t>
      </w:r>
    </w:p>
    <w:p>
      <w:pPr>
        <w:pStyle w:val="NormalWeb"/>
        <w:ind w:left="640" w:hanging="640"/>
        <w:rPr>
          <w:rFonts w:ascii="Times New Roman" w:hAnsi="Times New Roman"/>
          <w:sz w:val="24"/>
        </w:rPr>
      </w:pPr>
      <w:r>
        <w:rPr>
          <w:rFonts w:ascii="Times New Roman" w:hAnsi="Times New Roman"/>
          <w:sz w:val="24"/>
        </w:rPr>
        <w:t xml:space="preserve">47. </w:t>
        <w:tab/>
        <w:t>S. Piana, K. Lindorff-Larsen, and D.E. Shaw (2012) Protein folding kinetics and thermodynamics from atomistic simulation, Proceedings of the National Academy of Sciences. 109, 17845–17850.</w:t>
      </w:r>
    </w:p>
    <w:p>
      <w:pPr>
        <w:pStyle w:val="NormalWeb"/>
        <w:ind w:left="640" w:hanging="640"/>
        <w:rPr>
          <w:rFonts w:ascii="Times New Roman" w:hAnsi="Times New Roman"/>
          <w:sz w:val="24"/>
        </w:rPr>
      </w:pPr>
      <w:r>
        <w:rPr>
          <w:rFonts w:ascii="Times New Roman" w:hAnsi="Times New Roman"/>
          <w:sz w:val="24"/>
        </w:rPr>
        <w:t xml:space="preserve">48. </w:t>
        <w:tab/>
        <w:t>D.E. Shaw, J.P. Grossman, J.A. Bank, et al. (2014) Anton 2: Raising the Bar for Performance and Programmability in a Special-Purpose Molecular Dynamics Supercomputer, SC14: International Conference for High Performance Computing, Networking, Storage and Analysis. 41–53.</w:t>
      </w:r>
    </w:p>
    <w:p>
      <w:pPr>
        <w:pStyle w:val="NormalWeb"/>
        <w:ind w:left="640" w:hanging="640"/>
        <w:rPr>
          <w:rFonts w:ascii="Times New Roman" w:hAnsi="Times New Roman"/>
          <w:sz w:val="24"/>
        </w:rPr>
      </w:pPr>
      <w:r>
        <w:rPr>
          <w:rFonts w:ascii="Times New Roman" w:hAnsi="Times New Roman"/>
          <w:sz w:val="24"/>
        </w:rPr>
        <w:t xml:space="preserve">49. </w:t>
        <w:tab/>
        <w:t>N. Zhao, J.M. Fogg, L. Zechiedrich, et al. (2011) Transfection of shRNA-encoding Minivector DNA of a few hundred base pairs to regulate gene expression in lymphoma cells., Gene therapy. 18, 220–224.</w:t>
      </w:r>
    </w:p>
    <w:p>
      <w:pPr>
        <w:pStyle w:val="NormalWeb"/>
        <w:ind w:left="640" w:hanging="640"/>
        <w:rPr>
          <w:rFonts w:ascii="Times New Roman" w:hAnsi="Times New Roman"/>
          <w:sz w:val="24"/>
        </w:rPr>
      </w:pPr>
      <w:r>
        <w:rPr>
          <w:rFonts w:ascii="Times New Roman" w:hAnsi="Times New Roman"/>
          <w:sz w:val="24"/>
        </w:rPr>
        <w:t xml:space="preserve">50. </w:t>
        <w:tab/>
        <w:t>D.J. Catanese, J.M. Fogg, D.E. Schrock, et al. (2012) Supercoiled Minivector DNA resists shear forces associated with gene therapy delivery., Gene therapy. 19, 94–100.</w:t>
      </w:r>
    </w:p>
    <w:p>
      <w:pPr>
        <w:pStyle w:val="NormalWeb"/>
        <w:ind w:left="640" w:hanging="640"/>
        <w:rPr>
          <w:rFonts w:ascii="Times New Roman" w:hAnsi="Times New Roman"/>
          <w:sz w:val="24"/>
        </w:rPr>
      </w:pPr>
      <w:r>
        <w:rPr>
          <w:rFonts w:ascii="Times New Roman" w:hAnsi="Times New Roman"/>
          <w:sz w:val="24"/>
        </w:rPr>
        <w:t xml:space="preserve">51. </w:t>
        <w:tab/>
        <w:t>Y. Shibata, P. Kumar, R. Layer, et al. (2012) Extrachromosomal microDNAs and chromosomal microdeletions in normal tissues, Science (New York, N.Y.). 336, 82–86.</w:t>
      </w:r>
    </w:p>
    <w:p>
      <w:pPr>
        <w:pStyle w:val="NormalWeb"/>
        <w:ind w:left="640" w:hanging="640"/>
        <w:rPr>
          <w:rFonts w:ascii="Times New Roman" w:hAnsi="Times New Roman"/>
          <w:sz w:val="24"/>
        </w:rPr>
      </w:pPr>
      <w:r>
        <w:rPr>
          <w:rFonts w:ascii="Times New Roman" w:hAnsi="Times New Roman"/>
          <w:sz w:val="24"/>
        </w:rPr>
        <w:t xml:space="preserve">52. </w:t>
        <w:tab/>
        <w:t>V. Tsui and D.A. Case (2000) Theory and Applications of the Generalized Born Solvation Model in, Biopolymers. 56, 275–291.</w:t>
      </w:r>
    </w:p>
    <w:p>
      <w:pPr>
        <w:pStyle w:val="NormalWeb"/>
        <w:ind w:left="640" w:hanging="640"/>
        <w:rPr>
          <w:rFonts w:ascii="Times New Roman" w:hAnsi="Times New Roman"/>
          <w:sz w:val="24"/>
        </w:rPr>
      </w:pPr>
      <w:r>
        <w:rPr>
          <w:rFonts w:ascii="Times New Roman" w:hAnsi="Times New Roman"/>
          <w:sz w:val="24"/>
        </w:rPr>
        <w:t xml:space="preserve">53. </w:t>
        <w:tab/>
        <w:t>D.A. Case, T.A. Darden, T.E. Cheatham III, et al. (2010) Amber 11, University of California, San Francisco.</w:t>
      </w:r>
    </w:p>
    <w:p>
      <w:pPr>
        <w:pStyle w:val="NormalWeb"/>
        <w:ind w:left="640" w:hanging="640"/>
        <w:rPr>
          <w:rFonts w:ascii="Times New Roman" w:hAnsi="Times New Roman"/>
          <w:sz w:val="24"/>
        </w:rPr>
      </w:pPr>
      <w:r>
        <w:rPr>
          <w:rFonts w:ascii="Times New Roman" w:hAnsi="Times New Roman"/>
          <w:sz w:val="24"/>
        </w:rPr>
        <w:t xml:space="preserve">54. </w:t>
        <w:tab/>
        <w:t>D.E. Smith and L.X. Dang (1994) Computer simulations of NaCl association in polarizable water, The Journal of Chemical Physics. 100, 3757.</w:t>
      </w:r>
    </w:p>
    <w:p>
      <w:pPr>
        <w:pStyle w:val="NormalWeb"/>
        <w:ind w:left="640" w:hanging="640"/>
        <w:rPr>
          <w:rFonts w:ascii="Times New Roman" w:hAnsi="Times New Roman"/>
          <w:sz w:val="24"/>
        </w:rPr>
      </w:pPr>
      <w:r>
        <w:rPr>
          <w:rFonts w:ascii="Times New Roman" w:hAnsi="Times New Roman"/>
          <w:sz w:val="24"/>
        </w:rPr>
        <w:t xml:space="preserve">55. </w:t>
        <w:tab/>
        <w:t xml:space="preserve">G.C. Shields, C.A. Laughton, and M. Orozco (1997) Molecular Dynamics Simulations of the d(T·A·T) Triple Helix, Journal of the American Chemical Society. 119, 7463–7469. </w:t>
      </w:r>
    </w:p>
    <w:p>
      <w:pPr>
        <w:pStyle w:val="NormalWeb"/>
        <w:ind w:left="640" w:hanging="640"/>
        <w:rPr>
          <w:rFonts w:ascii="Times New Roman" w:hAnsi="Times New Roman"/>
        </w:rPr>
      </w:pPr>
      <w:r>
        <w:rPr>
          <w:rFonts w:ascii="Times New Roman" w:hAnsi="Times New Roman"/>
        </w:rPr>
      </w:r>
    </w:p>
    <w:p>
      <w:pPr>
        <w:pStyle w:val="NormalWeb"/>
        <w:ind w:left="640" w:hanging="640"/>
        <w:rPr>
          <w:rFonts w:ascii="Times New Roman" w:hAnsi="Times New Roman"/>
        </w:rPr>
      </w:pPr>
      <w:r>
        <w:rPr>
          <w:rFonts w:ascii="Times New Roman" w:hAnsi="Times New Roman"/>
        </w:rPr>
      </w:r>
    </w:p>
    <w:p>
      <w:pPr>
        <w:pStyle w:val="NormalWeb"/>
        <w:ind w:left="640" w:hanging="640"/>
        <w:rPr>
          <w:rFonts w:ascii="Times New Roman" w:hAnsi="Times New Roman"/>
        </w:rPr>
      </w:pPr>
      <w:r>
        <w:rPr>
          <w:rFonts w:ascii="Times New Roman" w:hAnsi="Times New Roman"/>
        </w:rPr>
      </w:r>
    </w:p>
    <w:p>
      <w:pPr>
        <w:pStyle w:val="NormalWeb"/>
        <w:ind w:left="640" w:hanging="640"/>
        <w:rPr>
          <w:rFonts w:ascii="Times New Roman" w:hAnsi="Times New Roman"/>
        </w:rPr>
      </w:pPr>
      <w:r>
        <w:rPr>
          <w:rFonts w:ascii="Times New Roman" w:hAnsi="Times New Roman"/>
        </w:rPr>
      </w:r>
    </w:p>
    <w:p>
      <w:pPr>
        <w:pStyle w:val="NormalWeb"/>
        <w:ind w:left="640" w:hanging="640"/>
        <w:rPr>
          <w:rFonts w:ascii="Times New Roman" w:hAnsi="Times New Roman"/>
        </w:rPr>
      </w:pPr>
      <w:r>
        <w:rPr>
          <w:rFonts w:ascii="Times New Roman" w:hAnsi="Times New Roman"/>
        </w:rPr>
      </w:r>
    </w:p>
    <w:p>
      <w:pPr>
        <w:pStyle w:val="NormalWeb"/>
        <w:ind w:left="640" w:hanging="640"/>
        <w:rPr>
          <w:rFonts w:ascii="Times New Roman" w:hAnsi="Times New Roman"/>
        </w:rPr>
      </w:pPr>
      <w:r>
        <w:rPr>
          <w:rFonts w:ascii="Times New Roman" w:hAnsi="Times New Roman"/>
        </w:rPr>
      </w:r>
    </w:p>
    <w:p>
      <w:pPr>
        <w:pStyle w:val="NormalWeb"/>
        <w:ind w:left="640" w:hanging="640"/>
        <w:rPr>
          <w:rFonts w:ascii="Times New Roman" w:hAnsi="Times New Roman"/>
        </w:rPr>
      </w:pPr>
      <w:r>
        <w:rPr>
          <w:rFonts w:ascii="Times New Roman" w:hAnsi="Times New Roman"/>
        </w:rPr>
      </w:r>
    </w:p>
    <w:p>
      <w:pPr>
        <w:pStyle w:val="NormalWeb"/>
        <w:ind w:left="640" w:hanging="640"/>
        <w:rPr>
          <w:rFonts w:ascii="Times New Roman" w:hAnsi="Times New Roman"/>
        </w:rPr>
      </w:pPr>
      <w:r>
        <w:rPr>
          <w:rFonts w:ascii="Times New Roman" w:hAnsi="Times New Roman"/>
        </w:rPr>
      </w:r>
    </w:p>
    <w:p>
      <w:pPr>
        <w:pStyle w:val="NormalWeb"/>
        <w:ind w:left="640" w:hanging="640"/>
        <w:rPr>
          <w:rFonts w:ascii="Times New Roman" w:hAnsi="Times New Roman"/>
        </w:rPr>
      </w:pPr>
      <w:r>
        <w:rPr>
          <w:rFonts w:ascii="Times New Roman" w:hAnsi="Times New Roman"/>
        </w:rPr>
      </w:r>
    </w:p>
    <w:p>
      <w:pPr>
        <w:pStyle w:val="NormalWeb"/>
        <w:ind w:left="640" w:hanging="640"/>
        <w:rPr>
          <w:rFonts w:ascii="Times New Roman" w:hAnsi="Times New Roman"/>
        </w:rPr>
      </w:pPr>
      <w:r>
        <w:rPr>
          <w:rFonts w:ascii="Times New Roman" w:hAnsi="Times New Roman"/>
        </w:rPr>
      </w:r>
    </w:p>
    <w:p>
      <w:pPr>
        <w:pStyle w:val="NormalWeb"/>
        <w:ind w:left="640" w:hanging="640"/>
        <w:rPr>
          <w:rFonts w:ascii="Times New Roman" w:hAnsi="Times New Roman"/>
        </w:rPr>
      </w:pPr>
      <w:r>
        <w:rPr>
          <w:rFonts w:ascii="Times New Roman" w:hAnsi="Times New Roman"/>
        </w:rPr>
      </w:r>
    </w:p>
    <w:p>
      <w:pPr>
        <w:pStyle w:val="NormalWeb"/>
        <w:ind w:left="640" w:hanging="640"/>
        <w:rPr>
          <w:rFonts w:ascii="Times New Roman" w:hAnsi="Times New Roman"/>
        </w:rPr>
      </w:pPr>
      <w:r>
        <w:rPr>
          <w:rFonts w:ascii="Times New Roman" w:hAnsi="Times New Roman"/>
        </w:rPr>
      </w:r>
    </w:p>
    <w:p>
      <w:pPr>
        <w:pStyle w:val="NormalWeb"/>
        <w:ind w:left="640" w:hanging="640"/>
        <w:rPr>
          <w:rFonts w:ascii="Times New Roman" w:hAnsi="Times New Roman"/>
        </w:rPr>
      </w:pPr>
      <w:r>
        <w:rPr>
          <w:rFonts w:ascii="Times New Roman" w:hAnsi="Times New Roman"/>
        </w:rPr>
      </w:r>
    </w:p>
    <w:p>
      <w:pPr>
        <w:pStyle w:val="Heading2"/>
        <w:spacing w:lineRule="auto" w:line="360"/>
        <w:jc w:val="both"/>
        <w:rPr/>
      </w:pPr>
      <w:r>
        <w:rPr>
          <w:rFonts w:cs="Times New Roman" w:ascii="Times New Roman" w:hAnsi="Times New Roman"/>
          <w:szCs w:val="28"/>
        </w:rPr>
        <w:t>Figure</w:t>
      </w:r>
      <w:r>
        <w:rPr>
          <w:rFonts w:cs="Times New Roman" w:ascii="Times New Roman" w:hAnsi="Times New Roman"/>
          <w:szCs w:val="28"/>
        </w:rPr>
        <w:t>s</w:t>
      </w:r>
    </w:p>
    <w:p>
      <w:pPr>
        <w:pStyle w:val="Normal"/>
        <w:spacing w:lineRule="auto" w:line="360"/>
        <w:jc w:val="both"/>
        <w:rPr>
          <w:rFonts w:ascii="Times New Roman" w:hAnsi="Times New Roman" w:cs="Times New Roman"/>
          <w:szCs w:val="28"/>
        </w:rPr>
      </w:pPr>
      <w:r>
        <w:rPr/>
        <w:drawing>
          <wp:anchor behindDoc="0" distT="0" distB="0" distL="0" distR="0" simplePos="0" locked="0" layoutInCell="1" allowOverlap="1" relativeHeight="2">
            <wp:simplePos x="0" y="0"/>
            <wp:positionH relativeFrom="column">
              <wp:align>center</wp:align>
            </wp:positionH>
            <wp:positionV relativeFrom="paragraph">
              <wp:align>top</wp:align>
            </wp:positionV>
            <wp:extent cx="4676775" cy="539623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4676775" cy="5396230"/>
                    </a:xfrm>
                    <a:prstGeom prst="rect">
                      <a:avLst/>
                    </a:prstGeom>
                    <a:noFill/>
                    <a:ln w="9525">
                      <a:noFill/>
                      <a:miter lim="800000"/>
                      <a:headEnd/>
                      <a:tailEnd/>
                    </a:ln>
                  </pic:spPr>
                </pic:pic>
              </a:graphicData>
            </a:graphic>
          </wp:anchor>
        </w:drawing>
      </w:r>
    </w:p>
    <w:p>
      <w:pPr>
        <w:pStyle w:val="Normal"/>
        <w:spacing w:lineRule="auto" w:line="360"/>
        <w:jc w:val="both"/>
        <w:rPr>
          <w:rFonts w:ascii="Times New Roman" w:hAnsi="Times New Roman" w:cs="Times New Roman"/>
          <w:szCs w:val="28"/>
        </w:rPr>
      </w:pPr>
      <w:r>
        <w:rPr/>
      </w:r>
    </w:p>
    <w:p>
      <w:pPr>
        <w:pStyle w:val="Normal"/>
        <w:spacing w:lineRule="auto" w:line="360"/>
        <w:jc w:val="both"/>
        <w:rPr>
          <w:rFonts w:ascii="Times New Roman" w:hAnsi="Times New Roman" w:cs="Times New Roman"/>
          <w:b/>
          <w:b/>
          <w:color w:val="000000" w:themeColor="text1"/>
          <w:szCs w:val="24"/>
        </w:rPr>
      </w:pPr>
      <w:r>
        <w:rPr>
          <w:rFonts w:cs="Times New Roman" w:ascii="Times New Roman" w:hAnsi="Times New Roman"/>
          <w:b/>
          <w:color w:val="000000" w:themeColor="text1"/>
          <w:szCs w:val="24"/>
        </w:rPr>
        <w:t xml:space="preserve">Figure 1 </w:t>
      </w:r>
      <w:r>
        <w:rPr>
          <w:rFonts w:cs="Times New Roman" w:ascii="Times New Roman" w:hAnsi="Times New Roman"/>
          <w:color w:val="000000" w:themeColor="text1"/>
          <w:szCs w:val="24"/>
        </w:rPr>
        <w:t>Flow diagram providing an overview of DNA minicircle simulation protocols</w:t>
      </w:r>
      <w:r>
        <w:rPr>
          <w:rFonts w:cs="Times New Roman" w:ascii="Times New Roman" w:hAnsi="Times New Roman"/>
          <w:color w:val="000000" w:themeColor="text1"/>
        </w:rPr>
        <w:t>. T</w:t>
      </w:r>
      <w:r>
        <w:rPr>
          <w:rFonts w:cs="Times New Roman" w:ascii="Times New Roman" w:hAnsi="Times New Roman"/>
          <w:color w:val="000000" w:themeColor="text1"/>
          <w:szCs w:val="24"/>
        </w:rPr>
        <w:t>he</w:t>
      </w:r>
      <w:r>
        <w:rPr>
          <w:rFonts w:cs="Times New Roman" w:ascii="Times New Roman" w:hAnsi="Times New Roman"/>
          <w:color w:val="000000" w:themeColor="text1"/>
        </w:rPr>
        <w:t xml:space="preserve"> diagram shows </w:t>
      </w:r>
      <w:r>
        <w:rPr>
          <w:rFonts w:cs="Times New Roman" w:ascii="Times New Roman" w:hAnsi="Times New Roman"/>
          <w:b/>
          <w:color w:val="000000" w:themeColor="text1"/>
        </w:rPr>
        <w:t>(</w:t>
      </w:r>
      <w:r>
        <w:rPr>
          <w:rFonts w:cs="Times New Roman" w:ascii="Times New Roman" w:hAnsi="Times New Roman"/>
          <w:b/>
          <w:i/>
          <w:color w:val="000000" w:themeColor="text1"/>
        </w:rPr>
        <w:t>top</w:t>
      </w:r>
      <w:r>
        <w:rPr>
          <w:rFonts w:cs="Times New Roman" w:ascii="Times New Roman" w:hAnsi="Times New Roman"/>
          <w:b/>
          <w:color w:val="000000" w:themeColor="text1"/>
        </w:rPr>
        <w:t>)</w:t>
      </w:r>
      <w:r>
        <w:rPr>
          <w:rFonts w:cs="Times New Roman" w:ascii="Times New Roman" w:hAnsi="Times New Roman"/>
          <w:color w:val="000000" w:themeColor="text1"/>
          <w:szCs w:val="24"/>
        </w:rPr>
        <w:t xml:space="preserve"> </w:t>
      </w:r>
      <w:r>
        <w:rPr>
          <w:rFonts w:cs="Times New Roman" w:ascii="Times New Roman" w:hAnsi="Times New Roman"/>
          <w:color w:val="000000" w:themeColor="text1"/>
        </w:rPr>
        <w:t>the</w:t>
      </w:r>
      <w:r>
        <w:rPr>
          <w:rFonts w:cs="Times New Roman" w:ascii="Times New Roman" w:hAnsi="Times New Roman"/>
          <w:color w:val="000000" w:themeColor="text1"/>
          <w:szCs w:val="24"/>
        </w:rPr>
        <w:t xml:space="preserve"> preparation (steps 1-4) and running (steps 5-7) of AMBER GB/SA implicit solvent simulations for a ~300 bp supercoiled DNA minicircle</w:t>
      </w:r>
      <w:r>
        <w:rPr>
          <w:rFonts w:cs="Times New Roman" w:ascii="Times New Roman" w:hAnsi="Times New Roman"/>
          <w:color w:val="000000" w:themeColor="text1"/>
        </w:rPr>
        <w:t>, and</w:t>
      </w:r>
      <w:r>
        <w:rPr>
          <w:rFonts w:cs="Times New Roman" w:ascii="Times New Roman" w:hAnsi="Times New Roman"/>
          <w:b/>
          <w:color w:val="000000" w:themeColor="text1"/>
          <w:szCs w:val="24"/>
        </w:rPr>
        <w:t xml:space="preserve"> </w:t>
      </w:r>
      <w:r>
        <w:rPr>
          <w:rFonts w:cs="Times New Roman" w:ascii="Times New Roman" w:hAnsi="Times New Roman"/>
          <w:b/>
          <w:color w:val="000000" w:themeColor="text1"/>
        </w:rPr>
        <w:t>(</w:t>
      </w:r>
      <w:r>
        <w:rPr>
          <w:rFonts w:cs="Times New Roman" w:ascii="Times New Roman" w:hAnsi="Times New Roman"/>
          <w:b/>
          <w:i/>
          <w:color w:val="000000" w:themeColor="text1"/>
        </w:rPr>
        <w:t>bottom</w:t>
      </w:r>
      <w:r>
        <w:rPr>
          <w:rFonts w:cs="Times New Roman" w:ascii="Times New Roman" w:hAnsi="Times New Roman"/>
          <w:b/>
          <w:color w:val="000000" w:themeColor="text1"/>
        </w:rPr>
        <w:t>)</w:t>
      </w:r>
      <w:r>
        <w:rPr>
          <w:rFonts w:cs="Times New Roman" w:ascii="Times New Roman" w:hAnsi="Times New Roman"/>
          <w:color w:val="000000" w:themeColor="text1"/>
          <w:szCs w:val="24"/>
        </w:rPr>
        <w:t xml:space="preserve"> the preparation (steps 8-15) and running (steps 16-18) steps of GROMACS explicit solvent simulation of a ~300 bp supercoiled DNA minicircle. The flow diagram also shows the types of analysis performed on both the implicitly and explicitly solvated MD trajectories. A conditional statement is made for the size of DNA minicircle. If the minicircle sequence is shorter than 150 basepairs, the implicit solvent GB/SA simulations need not be performed (skip steps 5-9) as the DNA cannot writhe.</w:t>
      </w:r>
    </w:p>
    <w:p>
      <w:pPr>
        <w:pStyle w:val="Normal"/>
        <w:spacing w:lineRule="auto" w:line="360"/>
        <w:jc w:val="both"/>
        <w:rPr>
          <w:rFonts w:ascii="Times New Roman" w:hAnsi="Times New Roman" w:cs="Times New Roman"/>
          <w:b/>
          <w:b/>
          <w:color w:val="000000" w:themeColor="text1"/>
          <w:szCs w:val="24"/>
        </w:rPr>
      </w:pPr>
      <w:r>
        <w:rPr>
          <w:rFonts w:cs="Times New Roman" w:ascii="Times New Roman" w:hAnsi="Times New Roman"/>
          <w:b/>
          <w:color w:val="000000" w:themeColor="text1"/>
          <w:szCs w:val="24"/>
        </w:rPr>
      </w:r>
    </w:p>
    <w:p>
      <w:pPr>
        <w:pStyle w:val="Normal"/>
        <w:spacing w:lineRule="auto" w:line="360"/>
        <w:jc w:val="both"/>
        <w:rPr>
          <w:rFonts w:ascii="Times New Roman" w:hAnsi="Times New Roman" w:cs="Times New Roman"/>
          <w:b/>
          <w:b/>
          <w:color w:val="000000" w:themeColor="text1"/>
          <w:szCs w:val="24"/>
        </w:rPr>
      </w:pPr>
      <w:r>
        <w:rPr/>
        <w:drawing>
          <wp:anchor behindDoc="0" distT="0" distB="0" distL="0" distR="0" simplePos="0" locked="0" layoutInCell="1" allowOverlap="1" relativeHeight="3">
            <wp:simplePos x="0" y="0"/>
            <wp:positionH relativeFrom="column">
              <wp:align>center</wp:align>
            </wp:positionH>
            <wp:positionV relativeFrom="paragraph">
              <wp:align>top</wp:align>
            </wp:positionV>
            <wp:extent cx="5182870" cy="213360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5182870" cy="2133600"/>
                    </a:xfrm>
                    <a:prstGeom prst="rect">
                      <a:avLst/>
                    </a:prstGeom>
                    <a:noFill/>
                    <a:ln w="9525">
                      <a:noFill/>
                      <a:miter lim="800000"/>
                      <a:headEnd/>
                      <a:tailEnd/>
                    </a:ln>
                  </pic:spPr>
                </pic:pic>
              </a:graphicData>
            </a:graphic>
          </wp:anchor>
        </w:drawing>
      </w:r>
    </w:p>
    <w:p>
      <w:pPr>
        <w:pStyle w:val="Normal"/>
        <w:spacing w:lineRule="auto" w:line="360"/>
        <w:jc w:val="both"/>
        <w:rPr>
          <w:rFonts w:ascii="Times New Roman" w:hAnsi="Times New Roman" w:cs="Times New Roman"/>
          <w:b/>
          <w:b/>
          <w:color w:val="000000" w:themeColor="text1"/>
          <w:szCs w:val="24"/>
        </w:rPr>
      </w:pPr>
      <w:r>
        <w:rPr>
          <w:rFonts w:cs="Times New Roman" w:ascii="Times New Roman" w:hAnsi="Times New Roman"/>
          <w:b/>
          <w:color w:val="000000" w:themeColor="text1"/>
          <w:szCs w:val="24"/>
        </w:rPr>
        <w:t>Figure 2</w:t>
      </w:r>
      <w:r>
        <w:rPr>
          <w:rFonts w:cs="Times New Roman" w:ascii="Times New Roman" w:hAnsi="Times New Roman"/>
          <w:color w:val="000000" w:themeColor="text1"/>
          <w:szCs w:val="24"/>
        </w:rPr>
        <w:t xml:space="preserve"> </w:t>
      </w:r>
      <w:r>
        <w:rPr>
          <w:rFonts w:cs="Times New Roman" w:ascii="Times New Roman" w:hAnsi="Times New Roman"/>
          <w:b/>
          <w:color w:val="000000" w:themeColor="text1"/>
          <w:szCs w:val="24"/>
        </w:rPr>
        <w:t>a)</w:t>
      </w:r>
      <w:r>
        <w:rPr>
          <w:rFonts w:cs="Times New Roman" w:ascii="Times New Roman" w:hAnsi="Times New Roman"/>
          <w:color w:val="000000" w:themeColor="text1"/>
          <w:szCs w:val="24"/>
        </w:rPr>
        <w:t xml:space="preserve"> Schematic diagram showing the construction of an </w:t>
      </w:r>
      <w:r>
        <w:rPr>
          <w:rFonts w:cs="Times New Roman" w:ascii="Times New Roman" w:hAnsi="Times New Roman"/>
          <w:i/>
          <w:color w:val="000000" w:themeColor="text1"/>
          <w:szCs w:val="24"/>
        </w:rPr>
        <w:t>N</w:t>
      </w:r>
      <w:r>
        <w:rPr>
          <w:rFonts w:cs="Times New Roman" w:ascii="Times New Roman" w:hAnsi="Times New Roman"/>
          <w:color w:val="000000" w:themeColor="text1"/>
          <w:szCs w:val="24"/>
        </w:rPr>
        <w:t xml:space="preserve">-basepair planar circular DNA structure using the NAB program ‘circ.nab’: (left) the first basepair is placed at the circumference of a circle of radius </w:t>
      </w:r>
      <w:r>
        <w:rPr>
          <w:rFonts w:cs="Times New Roman" w:ascii="Times New Roman" w:hAnsi="Times New Roman"/>
          <w:i/>
          <w:color w:val="000000" w:themeColor="text1"/>
          <w:szCs w:val="24"/>
        </w:rPr>
        <w:t>R</w:t>
      </w:r>
      <w:r>
        <w:rPr>
          <w:rFonts w:cs="Times New Roman" w:ascii="Times New Roman" w:hAnsi="Times New Roman"/>
          <w:color w:val="000000" w:themeColor="text1"/>
          <w:szCs w:val="24"/>
        </w:rPr>
        <w:t xml:space="preserve"> = (3.38 Å) / 2sin(π/</w:t>
      </w:r>
      <w:r>
        <w:rPr>
          <w:rFonts w:cs="Times New Roman" w:ascii="Times New Roman" w:hAnsi="Times New Roman"/>
          <w:i/>
          <w:color w:val="000000" w:themeColor="text1"/>
          <w:szCs w:val="24"/>
        </w:rPr>
        <w:t>N</w:t>
      </w:r>
      <w:r>
        <w:rPr>
          <w:rFonts w:cs="Times New Roman" w:ascii="Times New Roman" w:hAnsi="Times New Roman"/>
          <w:color w:val="000000" w:themeColor="text1"/>
          <w:szCs w:val="24"/>
        </w:rPr>
        <w:t xml:space="preserve">), and is oriented perpendicular to the tangent line, (middle) the system is rotated by an angle α =  2π / </w:t>
      </w:r>
      <w:r>
        <w:rPr>
          <w:rFonts w:cs="Times New Roman" w:ascii="Times New Roman" w:hAnsi="Times New Roman"/>
          <w:i/>
          <w:color w:val="000000" w:themeColor="text1"/>
          <w:szCs w:val="24"/>
        </w:rPr>
        <w:t>N</w:t>
      </w:r>
      <w:r>
        <w:rPr>
          <w:rFonts w:cs="Times New Roman" w:ascii="Times New Roman" w:hAnsi="Times New Roman"/>
          <w:color w:val="000000" w:themeColor="text1"/>
          <w:szCs w:val="24"/>
        </w:rPr>
        <w:t xml:space="preserve">. The second basepair is then added to replace the first basepair and is rotated by the twist angle θ = 2π×Lk / </w:t>
      </w:r>
      <w:r>
        <w:rPr>
          <w:rFonts w:cs="Times New Roman" w:ascii="Times New Roman" w:hAnsi="Times New Roman"/>
          <w:i/>
          <w:color w:val="000000" w:themeColor="text1"/>
          <w:szCs w:val="24"/>
        </w:rPr>
        <w:t>N</w:t>
      </w:r>
      <w:r>
        <w:rPr>
          <w:rFonts w:cs="Times New Roman" w:ascii="Times New Roman" w:hAnsi="Times New Roman"/>
          <w:color w:val="000000" w:themeColor="text1"/>
          <w:szCs w:val="24"/>
        </w:rPr>
        <w:t xml:space="preserve"> and (right) the same process is repeated until a full DNA circle is made. </w:t>
      </w:r>
      <w:r>
        <w:rPr>
          <w:rFonts w:cs="Times New Roman" w:ascii="Times New Roman" w:hAnsi="Times New Roman"/>
          <w:b/>
          <w:color w:val="000000" w:themeColor="text1"/>
          <w:szCs w:val="24"/>
        </w:rPr>
        <w:t>b)</w:t>
      </w:r>
      <w:r>
        <w:rPr>
          <w:rFonts w:cs="Times New Roman" w:ascii="Times New Roman" w:hAnsi="Times New Roman"/>
          <w:color w:val="000000" w:themeColor="text1"/>
          <w:szCs w:val="24"/>
        </w:rPr>
        <w:t xml:space="preserve"> Hybrid implicit/explicit solvation: (left-middle) A planar circular 336 bp DNA minicircle at ΔLk = -2 adopted a writhed conformation in AMBER GB/SA implicit solvent. (right) A selected writhed structure was then solvated in 0.1M NaCl and TIP3P water box by using GROMACS. </w:t>
      </w:r>
      <w:r>
        <w:rPr>
          <w:rFonts w:cs="Times New Roman" w:ascii="Times New Roman" w:hAnsi="Times New Roman"/>
          <w:b/>
          <w:color w:val="000000" w:themeColor="text1"/>
          <w:szCs w:val="24"/>
        </w:rPr>
        <w:t>c)</w:t>
      </w:r>
      <w:r>
        <w:rPr>
          <w:rFonts w:cs="Times New Roman" w:ascii="Times New Roman" w:hAnsi="Times New Roman"/>
          <w:color w:val="000000" w:themeColor="text1"/>
          <w:szCs w:val="24"/>
        </w:rPr>
        <w:t xml:space="preserve"> Examples of DNA defects occurred when subjected to high bending and superhelical stress.</w:t>
      </w:r>
    </w:p>
    <w:p>
      <w:pPr>
        <w:pStyle w:val="Normal"/>
        <w:spacing w:lineRule="auto" w:line="360"/>
        <w:jc w:val="both"/>
        <w:rPr>
          <w:rFonts w:ascii="Times New Roman" w:hAnsi="Times New Roman" w:cs="Times New Roman"/>
          <w:color w:val="FF0000"/>
          <w:szCs w:val="24"/>
          <w:lang w:val="en-US"/>
        </w:rPr>
      </w:pPr>
      <w:r>
        <w:rPr>
          <w:rFonts w:cs="Times New Roman" w:ascii="Times New Roman" w:hAnsi="Times New Roman"/>
          <w:color w:val="FF0000"/>
          <w:szCs w:val="24"/>
          <w:lang w:val="en-US"/>
        </w:rPr>
      </w:r>
    </w:p>
    <w:p>
      <w:pPr>
        <w:pStyle w:val="Normal"/>
        <w:spacing w:lineRule="auto" w:line="360"/>
        <w:jc w:val="both"/>
        <w:rPr>
          <w:rFonts w:ascii="Times New Roman" w:hAnsi="Times New Roman" w:cs="Times New Roman"/>
          <w:b/>
          <w:b/>
          <w:color w:val="000000" w:themeColor="text1"/>
          <w:szCs w:val="24"/>
        </w:rPr>
      </w:pPr>
      <w:r>
        <w:rPr/>
      </w:r>
    </w:p>
    <w:p>
      <w:pPr>
        <w:pStyle w:val="Normal"/>
        <w:spacing w:lineRule="auto" w:line="360"/>
        <w:jc w:val="both"/>
        <w:rPr>
          <w:rFonts w:ascii="Times New Roman" w:hAnsi="Times New Roman" w:cs="Times New Roman"/>
          <w:b/>
          <w:b/>
          <w:color w:val="000000" w:themeColor="text1"/>
          <w:szCs w:val="24"/>
        </w:rPr>
      </w:pPr>
      <w:r>
        <w:rPr/>
      </w:r>
    </w:p>
    <w:p>
      <w:pPr>
        <w:pStyle w:val="Normal"/>
        <w:spacing w:lineRule="auto" w:line="360"/>
        <w:jc w:val="both"/>
        <w:rPr>
          <w:rFonts w:ascii="Times New Roman" w:hAnsi="Times New Roman" w:cs="Times New Roman"/>
          <w:b/>
          <w:b/>
          <w:color w:val="000000" w:themeColor="text1"/>
          <w:szCs w:val="24"/>
        </w:rPr>
      </w:pPr>
      <w:r>
        <w:rPr/>
      </w:r>
    </w:p>
    <w:p>
      <w:pPr>
        <w:pStyle w:val="Normal"/>
        <w:spacing w:lineRule="auto" w:line="360"/>
        <w:jc w:val="both"/>
        <w:rPr>
          <w:rFonts w:ascii="Times New Roman" w:hAnsi="Times New Roman" w:cs="Times New Roman"/>
          <w:b/>
          <w:b/>
          <w:color w:val="000000" w:themeColor="text1"/>
          <w:szCs w:val="24"/>
        </w:rPr>
      </w:pPr>
      <w:r>
        <w:rPr/>
      </w:r>
    </w:p>
    <w:p>
      <w:pPr>
        <w:pStyle w:val="Normal"/>
        <w:spacing w:lineRule="auto" w:line="360"/>
        <w:jc w:val="both"/>
        <w:rPr>
          <w:rFonts w:ascii="Times New Roman" w:hAnsi="Times New Roman" w:cs="Times New Roman"/>
          <w:b/>
          <w:b/>
          <w:color w:val="000000" w:themeColor="text1"/>
          <w:szCs w:val="24"/>
        </w:rPr>
      </w:pPr>
      <w:r>
        <w:rPr/>
      </w:r>
    </w:p>
    <w:p>
      <w:pPr>
        <w:pStyle w:val="Normal"/>
        <w:spacing w:lineRule="auto" w:line="360"/>
        <w:jc w:val="both"/>
        <w:rPr>
          <w:rFonts w:ascii="Times New Roman" w:hAnsi="Times New Roman" w:cs="Times New Roman"/>
          <w:b/>
          <w:b/>
          <w:color w:val="000000" w:themeColor="text1"/>
          <w:szCs w:val="24"/>
        </w:rPr>
      </w:pPr>
      <w:r>
        <w:rPr/>
      </w:r>
    </w:p>
    <w:p>
      <w:pPr>
        <w:pStyle w:val="Normal"/>
        <w:spacing w:lineRule="auto" w:line="360"/>
        <w:jc w:val="both"/>
        <w:rPr>
          <w:rFonts w:ascii="Times New Roman" w:hAnsi="Times New Roman" w:cs="Times New Roman"/>
          <w:b/>
          <w:b/>
          <w:color w:val="000000" w:themeColor="text1"/>
          <w:szCs w:val="24"/>
        </w:rPr>
      </w:pPr>
      <w:r>
        <w:rPr/>
      </w:r>
    </w:p>
    <w:p>
      <w:pPr>
        <w:pStyle w:val="Normal"/>
        <w:spacing w:lineRule="auto" w:line="360"/>
        <w:jc w:val="both"/>
        <w:rPr>
          <w:rFonts w:ascii="Times New Roman" w:hAnsi="Times New Roman" w:cs="Times New Roman"/>
          <w:b/>
          <w:b/>
          <w:color w:val="000000" w:themeColor="text1"/>
          <w:szCs w:val="24"/>
        </w:rPr>
      </w:pPr>
      <w:r>
        <w:rPr/>
      </w:r>
    </w:p>
    <w:p>
      <w:pPr>
        <w:pStyle w:val="Normal"/>
        <w:spacing w:lineRule="auto" w:line="360"/>
        <w:jc w:val="both"/>
        <w:rPr>
          <w:rFonts w:ascii="Times New Roman" w:hAnsi="Times New Roman" w:cs="Times New Roman"/>
          <w:b/>
          <w:b/>
          <w:color w:val="000000" w:themeColor="text1"/>
          <w:szCs w:val="24"/>
        </w:rPr>
      </w:pPr>
      <w:r>
        <w:rPr/>
      </w:r>
    </w:p>
    <w:p>
      <w:pPr>
        <w:pStyle w:val="Normal"/>
        <w:spacing w:lineRule="auto" w:line="360"/>
        <w:jc w:val="both"/>
        <w:rPr>
          <w:rFonts w:ascii="Times New Roman" w:hAnsi="Times New Roman" w:cs="Times New Roman"/>
          <w:b/>
          <w:b/>
          <w:color w:val="000000" w:themeColor="text1"/>
          <w:szCs w:val="24"/>
        </w:rPr>
      </w:pPr>
      <w:r>
        <w:rPr/>
        <w:drawing>
          <wp:anchor behindDoc="0" distT="0" distB="0" distL="0" distR="0" simplePos="0" locked="0" layoutInCell="1" allowOverlap="1" relativeHeight="4">
            <wp:simplePos x="0" y="0"/>
            <wp:positionH relativeFrom="column">
              <wp:posOffset>330835</wp:posOffset>
            </wp:positionH>
            <wp:positionV relativeFrom="paragraph">
              <wp:posOffset>141605</wp:posOffset>
            </wp:positionV>
            <wp:extent cx="4317365" cy="2878455"/>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4317365" cy="2878455"/>
                    </a:xfrm>
                    <a:prstGeom prst="rect">
                      <a:avLst/>
                    </a:prstGeom>
                    <a:noFill/>
                    <a:ln w="9525">
                      <a:noFill/>
                      <a:miter lim="800000"/>
                      <a:headEnd/>
                      <a:tailEnd/>
                    </a:ln>
                  </pic:spPr>
                </pic:pic>
              </a:graphicData>
            </a:graphic>
          </wp:anchor>
        </w:drawing>
      </w:r>
    </w:p>
    <w:p>
      <w:pPr>
        <w:pStyle w:val="Normal"/>
        <w:spacing w:lineRule="auto" w:line="360"/>
        <w:jc w:val="both"/>
        <w:rPr>
          <w:rFonts w:ascii="Times New Roman" w:hAnsi="Times New Roman" w:cs="Times New Roman"/>
          <w:b/>
          <w:b/>
          <w:color w:val="000000" w:themeColor="text1"/>
          <w:szCs w:val="24"/>
        </w:rPr>
      </w:pPr>
      <w:r>
        <w:rPr/>
      </w:r>
    </w:p>
    <w:p>
      <w:pPr>
        <w:pStyle w:val="Normal"/>
        <w:spacing w:lineRule="auto" w:line="360"/>
        <w:jc w:val="both"/>
        <w:rPr>
          <w:rFonts w:ascii="Times New Roman" w:hAnsi="Times New Roman" w:cs="Times New Roman"/>
          <w:b/>
          <w:b/>
          <w:color w:val="000000" w:themeColor="text1"/>
          <w:szCs w:val="24"/>
        </w:rPr>
      </w:pPr>
      <w:r>
        <w:rPr/>
      </w:r>
    </w:p>
    <w:p>
      <w:pPr>
        <w:pStyle w:val="Normal"/>
        <w:spacing w:lineRule="auto" w:line="360"/>
        <w:jc w:val="both"/>
        <w:rPr>
          <w:rFonts w:ascii="Times New Roman" w:hAnsi="Times New Roman" w:cs="Times New Roman"/>
          <w:b/>
          <w:b/>
          <w:color w:val="000000" w:themeColor="text1"/>
          <w:szCs w:val="24"/>
        </w:rPr>
      </w:pPr>
      <w:r>
        <w:rPr/>
      </w:r>
    </w:p>
    <w:p>
      <w:pPr>
        <w:pStyle w:val="Normal"/>
        <w:spacing w:lineRule="auto" w:line="360"/>
        <w:jc w:val="both"/>
        <w:rPr>
          <w:rFonts w:ascii="Times New Roman" w:hAnsi="Times New Roman" w:cs="Times New Roman"/>
          <w:b/>
          <w:b/>
          <w:color w:val="000000" w:themeColor="text1"/>
          <w:szCs w:val="24"/>
        </w:rPr>
      </w:pPr>
      <w:r>
        <w:rPr/>
      </w:r>
    </w:p>
    <w:p>
      <w:pPr>
        <w:pStyle w:val="Normal"/>
        <w:spacing w:lineRule="auto" w:line="360"/>
        <w:jc w:val="both"/>
        <w:rPr>
          <w:rFonts w:ascii="Times New Roman" w:hAnsi="Times New Roman" w:cs="Times New Roman"/>
          <w:b/>
          <w:b/>
          <w:color w:val="000000" w:themeColor="text1"/>
          <w:szCs w:val="24"/>
        </w:rPr>
      </w:pPr>
      <w:r>
        <w:rPr/>
      </w:r>
    </w:p>
    <w:p>
      <w:pPr>
        <w:pStyle w:val="Normal"/>
        <w:spacing w:lineRule="auto" w:line="360"/>
        <w:jc w:val="both"/>
        <w:rPr>
          <w:rFonts w:ascii="Times New Roman" w:hAnsi="Times New Roman" w:cs="Times New Roman"/>
          <w:b/>
          <w:b/>
          <w:color w:val="000000" w:themeColor="text1"/>
          <w:szCs w:val="24"/>
        </w:rPr>
      </w:pPr>
      <w:r>
        <w:rPr/>
      </w:r>
    </w:p>
    <w:p>
      <w:pPr>
        <w:pStyle w:val="Normal"/>
        <w:spacing w:lineRule="auto" w:line="360"/>
        <w:jc w:val="both"/>
        <w:rPr>
          <w:rFonts w:ascii="Times New Roman" w:hAnsi="Times New Roman" w:cs="Times New Roman"/>
          <w:b/>
          <w:b/>
          <w:color w:val="000000" w:themeColor="text1"/>
          <w:szCs w:val="24"/>
        </w:rPr>
      </w:pPr>
      <w:r>
        <w:rPr/>
      </w:r>
    </w:p>
    <w:p>
      <w:pPr>
        <w:pStyle w:val="Normal"/>
        <w:spacing w:lineRule="auto" w:line="360"/>
        <w:jc w:val="both"/>
        <w:rPr>
          <w:rFonts w:ascii="Times New Roman" w:hAnsi="Times New Roman" w:cs="Times New Roman"/>
          <w:b/>
          <w:b/>
          <w:color w:val="000000" w:themeColor="text1"/>
          <w:szCs w:val="24"/>
        </w:rPr>
      </w:pPr>
      <w:r>
        <w:rPr/>
      </w:r>
    </w:p>
    <w:p>
      <w:pPr>
        <w:pStyle w:val="Normal"/>
        <w:spacing w:lineRule="auto" w:line="360"/>
        <w:jc w:val="both"/>
        <w:rPr>
          <w:rFonts w:ascii="Times New Roman" w:hAnsi="Times New Roman" w:cs="Times New Roman"/>
          <w:color w:val="000000" w:themeColor="text1"/>
          <w:szCs w:val="24"/>
          <w:lang w:val="en-US"/>
        </w:rPr>
      </w:pPr>
      <w:r>
        <w:rPr>
          <w:rFonts w:cs="Times New Roman" w:ascii="Times New Roman" w:hAnsi="Times New Roman"/>
          <w:b/>
          <w:color w:val="000000" w:themeColor="text1"/>
          <w:szCs w:val="24"/>
        </w:rPr>
        <w:t>Figure 3</w:t>
      </w:r>
      <w:r>
        <w:rPr>
          <w:rFonts w:cs="Times New Roman" w:ascii="Times New Roman" w:hAnsi="Times New Roman"/>
          <w:color w:val="000000" w:themeColor="text1"/>
          <w:szCs w:val="24"/>
        </w:rPr>
        <w:t xml:space="preserve"> </w:t>
      </w:r>
      <w:r>
        <w:rPr>
          <w:rFonts w:cs="Times New Roman" w:ascii="Times New Roman" w:hAnsi="Times New Roman"/>
          <w:b/>
          <w:color w:val="000000" w:themeColor="text1"/>
          <w:szCs w:val="24"/>
        </w:rPr>
        <w:t>a)</w:t>
      </w:r>
      <w:r>
        <w:rPr>
          <w:rFonts w:cs="Times New Roman" w:ascii="Times New Roman" w:hAnsi="Times New Roman"/>
          <w:color w:val="000000" w:themeColor="text1"/>
          <w:szCs w:val="24"/>
        </w:rPr>
        <w:t xml:space="preserve"> Three sample DNA minicircle structures of the ‘opened’, ‘figure-8’ and ‘handcuff’ conformation. The ‘opened’ minicircle possesses the largest radius of gyration compared to the other two, while the ‘handcuff’ minicircle has the smallest radius of gyration and is the most compact structure. </w:t>
      </w:r>
      <w:r>
        <w:rPr>
          <w:rFonts w:cs="Times New Roman" w:ascii="Times New Roman" w:hAnsi="Times New Roman"/>
          <w:b/>
          <w:color w:val="000000" w:themeColor="text1"/>
          <w:szCs w:val="24"/>
        </w:rPr>
        <w:t>b)</w:t>
      </w:r>
      <w:r>
        <w:rPr>
          <w:rFonts w:cs="Times New Roman" w:ascii="Times New Roman" w:hAnsi="Times New Roman"/>
          <w:color w:val="000000" w:themeColor="text1"/>
          <w:szCs w:val="24"/>
        </w:rPr>
        <w:t xml:space="preserve"> A writhed DNA minicircle structure viewed from two different angles, showing the change in the number of apparent crossing points from different viewpoints. </w:t>
      </w:r>
      <w:r>
        <w:rPr>
          <w:rFonts w:cs="Times New Roman" w:ascii="Times New Roman" w:hAnsi="Times New Roman"/>
          <w:b/>
          <w:color w:val="000000" w:themeColor="text1"/>
          <w:szCs w:val="24"/>
        </w:rPr>
        <w:t>c)</w:t>
      </w:r>
      <w:r>
        <w:rPr>
          <w:rFonts w:cs="Times New Roman" w:ascii="Times New Roman" w:hAnsi="Times New Roman"/>
          <w:color w:val="000000" w:themeColor="text1"/>
          <w:szCs w:val="24"/>
        </w:rPr>
        <w:t xml:space="preserve"> DNA writhing calculation: a helical path (blue) is extracted from the atomistic structure of a minicircle DNA. The smoothed central helical axis (red) is then calculated by using ‘WrLINE.py’ python script. From this helical axis path </w:t>
      </w:r>
      <w:r>
        <w:rPr>
          <w:rFonts w:cs="Times New Roman" w:ascii="Times New Roman" w:hAnsi="Times New Roman"/>
          <w:i/>
          <w:color w:val="000000" w:themeColor="text1"/>
          <w:szCs w:val="24"/>
        </w:rPr>
        <w:t>s</w:t>
      </w:r>
      <w:r>
        <w:rPr>
          <w:rFonts w:cs="Times New Roman" w:ascii="Times New Roman" w:hAnsi="Times New Roman"/>
          <w:color w:val="000000" w:themeColor="text1"/>
          <w:szCs w:val="24"/>
        </w:rPr>
        <w:t xml:space="preserve"> writhe can be calculated by integration of the coiling of </w:t>
      </w:r>
      <w:r>
        <w:rPr>
          <w:rFonts w:cs="Times New Roman" w:ascii="Times New Roman" w:hAnsi="Times New Roman"/>
          <w:i/>
          <w:color w:val="000000" w:themeColor="text1"/>
          <w:szCs w:val="24"/>
        </w:rPr>
        <w:t>s</w:t>
      </w:r>
      <w:r>
        <w:rPr>
          <w:rFonts w:cs="Times New Roman" w:ascii="Times New Roman" w:hAnsi="Times New Roman"/>
          <w:color w:val="000000" w:themeColor="text1"/>
          <w:szCs w:val="24"/>
        </w:rPr>
        <w:t xml:space="preserve"> about itself (</w:t>
      </w:r>
      <w:r>
        <w:rPr>
          <w:rFonts w:cs="Times New Roman" w:ascii="Times New Roman" w:hAnsi="Times New Roman"/>
          <w:i/>
          <w:color w:val="000000" w:themeColor="text1"/>
          <w:szCs w:val="24"/>
        </w:rPr>
        <w:t>s’</w:t>
      </w:r>
      <w:r>
        <w:rPr>
          <w:rFonts w:cs="Times New Roman" w:ascii="Times New Roman" w:hAnsi="Times New Roman"/>
          <w:color w:val="000000" w:themeColor="text1"/>
          <w:szCs w:val="24"/>
        </w:rPr>
        <w:t xml:space="preserve">). </w:t>
      </w:r>
    </w:p>
    <w:p>
      <w:pPr>
        <w:pStyle w:val="Normal"/>
        <w:spacing w:lineRule="auto" w:line="360"/>
        <w:jc w:val="both"/>
        <w:rPr>
          <w:rFonts w:ascii="Times New Roman" w:hAnsi="Times New Roman" w:cs="Times New Roman"/>
          <w:color w:val="FF0000"/>
          <w:szCs w:val="24"/>
        </w:rPr>
      </w:pPr>
      <w:r>
        <w:rPr>
          <w:rFonts w:cs="Times New Roman" w:ascii="Times New Roman" w:hAnsi="Times New Roman"/>
          <w:color w:val="FF0000"/>
          <w:szCs w:val="24"/>
        </w:rPr>
      </w:r>
    </w:p>
    <w:p>
      <w:pPr>
        <w:pStyle w:val="Normal"/>
        <w:spacing w:lineRule="auto" w:line="360"/>
        <w:jc w:val="both"/>
        <w:rPr>
          <w:rFonts w:ascii="Times New Roman" w:hAnsi="Times New Roman" w:cs="Times New Roman"/>
          <w:color w:val="FF0000"/>
          <w:szCs w:val="24"/>
        </w:rPr>
      </w:pPr>
      <w:r>
        <w:rPr>
          <w:rFonts w:cs="Times New Roman" w:ascii="Times New Roman" w:hAnsi="Times New Roman"/>
          <w:color w:val="FF0000"/>
          <w:szCs w:val="24"/>
        </w:rPr>
      </w:r>
    </w:p>
    <w:p>
      <w:pPr>
        <w:pStyle w:val="Normal"/>
        <w:spacing w:lineRule="auto" w:line="360"/>
        <w:jc w:val="both"/>
        <w:rPr>
          <w:rFonts w:ascii="Times New Roman" w:hAnsi="Times New Roman" w:cs="Times New Roman"/>
          <w:color w:val="FF0000"/>
          <w:szCs w:val="24"/>
        </w:rPr>
      </w:pPr>
      <w:r>
        <w:rPr>
          <w:rFonts w:cs="Times New Roman" w:ascii="Times New Roman" w:hAnsi="Times New Roman"/>
          <w:color w:val="FF0000"/>
          <w:szCs w:val="24"/>
        </w:rPr>
      </w:r>
    </w:p>
    <w:p>
      <w:pPr>
        <w:pStyle w:val="Normal"/>
        <w:spacing w:lineRule="auto" w:line="360"/>
        <w:jc w:val="both"/>
        <w:rPr>
          <w:rFonts w:ascii="Times New Roman" w:hAnsi="Times New Roman" w:cs="Times New Roman"/>
          <w:color w:val="FF0000"/>
          <w:szCs w:val="24"/>
        </w:rPr>
      </w:pPr>
      <w:r>
        <w:rPr>
          <w:rFonts w:cs="Times New Roman" w:ascii="Times New Roman" w:hAnsi="Times New Roman"/>
          <w:color w:val="FF0000"/>
          <w:szCs w:val="24"/>
        </w:rPr>
      </w:r>
    </w:p>
    <w:p>
      <w:pPr>
        <w:pStyle w:val="Normal"/>
        <w:spacing w:lineRule="auto" w:line="360"/>
        <w:jc w:val="both"/>
        <w:rPr>
          <w:rFonts w:ascii="Times New Roman" w:hAnsi="Times New Roman" w:cs="Times New Roman"/>
          <w:color w:val="FF0000"/>
          <w:szCs w:val="24"/>
        </w:rPr>
      </w:pPr>
      <w:r>
        <w:rPr>
          <w:rFonts w:cs="Times New Roman" w:ascii="Times New Roman" w:hAnsi="Times New Roman"/>
          <w:color w:val="FF0000"/>
          <w:szCs w:val="24"/>
        </w:rPr>
      </w:r>
    </w:p>
    <w:p>
      <w:pPr>
        <w:pStyle w:val="Normal"/>
        <w:spacing w:lineRule="auto" w:line="360"/>
        <w:jc w:val="both"/>
        <w:rPr>
          <w:rFonts w:ascii="Times New Roman" w:hAnsi="Times New Roman" w:cs="Times New Roman"/>
          <w:color w:val="FF0000"/>
          <w:szCs w:val="24"/>
        </w:rPr>
      </w:pPr>
      <w:r>
        <w:rPr>
          <w:rFonts w:cs="Times New Roman" w:ascii="Times New Roman" w:hAnsi="Times New Roman"/>
          <w:color w:val="FF0000"/>
          <w:szCs w:val="24"/>
        </w:rPr>
      </w:r>
    </w:p>
    <w:p>
      <w:pPr>
        <w:pStyle w:val="Normal"/>
        <w:spacing w:lineRule="auto" w:line="360"/>
        <w:jc w:val="both"/>
        <w:rPr>
          <w:rFonts w:ascii="Times New Roman" w:hAnsi="Times New Roman" w:cs="Times New Roman"/>
          <w:color w:val="FF0000"/>
          <w:szCs w:val="24"/>
        </w:rPr>
      </w:pPr>
      <w:r>
        <w:rPr>
          <w:rFonts w:cs="Times New Roman" w:ascii="Times New Roman" w:hAnsi="Times New Roman"/>
          <w:color w:val="FF0000"/>
          <w:szCs w:val="24"/>
        </w:rPr>
      </w:r>
    </w:p>
    <w:p>
      <w:pPr>
        <w:pStyle w:val="Normal"/>
        <w:spacing w:lineRule="auto" w:line="360"/>
        <w:jc w:val="both"/>
        <w:rPr>
          <w:rFonts w:ascii="Times New Roman" w:hAnsi="Times New Roman" w:cs="Times New Roman"/>
          <w:color w:val="FF0000"/>
          <w:szCs w:val="24"/>
        </w:rPr>
      </w:pPr>
      <w:r>
        <w:rPr>
          <w:rFonts w:cs="Times New Roman" w:ascii="Times New Roman" w:hAnsi="Times New Roman"/>
          <w:color w:val="FF0000"/>
          <w:szCs w:val="24"/>
        </w:rPr>
      </w:r>
    </w:p>
    <w:p>
      <w:pPr>
        <w:pStyle w:val="Normal"/>
        <w:spacing w:lineRule="auto" w:line="360"/>
        <w:jc w:val="both"/>
        <w:rPr>
          <w:rFonts w:ascii="Times New Roman" w:hAnsi="Times New Roman" w:cs="Times New Roman"/>
          <w:color w:val="FF0000"/>
          <w:szCs w:val="24"/>
        </w:rPr>
      </w:pPr>
      <w:r>
        <w:rPr>
          <w:rFonts w:cs="Times New Roman" w:ascii="Times New Roman" w:hAnsi="Times New Roman"/>
          <w:color w:val="FF0000"/>
          <w:szCs w:val="24"/>
        </w:rPr>
      </w:r>
    </w:p>
    <w:p>
      <w:pPr>
        <w:pStyle w:val="Normal"/>
        <w:spacing w:lineRule="auto" w:line="360"/>
        <w:jc w:val="both"/>
        <w:rPr>
          <w:rFonts w:ascii="Times New Roman" w:hAnsi="Times New Roman" w:cs="Times New Roman"/>
          <w:color w:val="FF0000"/>
          <w:szCs w:val="24"/>
        </w:rPr>
      </w:pPr>
      <w:r>
        <w:rPr>
          <w:rFonts w:cs="Times New Roman" w:ascii="Times New Roman" w:hAnsi="Times New Roman"/>
          <w:color w:val="FF0000"/>
          <w:szCs w:val="24"/>
        </w:rPr>
      </w:r>
    </w:p>
    <w:p>
      <w:pPr>
        <w:pStyle w:val="Normal"/>
        <w:spacing w:lineRule="auto" w:line="360"/>
        <w:jc w:val="both"/>
        <w:rPr>
          <w:rFonts w:ascii="Times New Roman" w:hAnsi="Times New Roman" w:cs="Times New Roman"/>
          <w:color w:val="FF0000"/>
          <w:szCs w:val="24"/>
        </w:rPr>
      </w:pPr>
      <w:r>
        <w:rPr>
          <w:rFonts w:cs="Times New Roman" w:ascii="Times New Roman" w:hAnsi="Times New Roman"/>
          <w:color w:val="FF0000"/>
          <w:szCs w:val="24"/>
        </w:rPr>
        <w:drawing>
          <wp:anchor behindDoc="0" distT="0" distB="0" distL="0" distR="0" simplePos="0" locked="0" layoutInCell="1" allowOverlap="1" relativeHeight="5">
            <wp:simplePos x="0" y="0"/>
            <wp:positionH relativeFrom="column">
              <wp:align>center</wp:align>
            </wp:positionH>
            <wp:positionV relativeFrom="paragraph">
              <wp:align>top</wp:align>
            </wp:positionV>
            <wp:extent cx="4317365" cy="2158365"/>
            <wp:effectExtent l="0" t="0" r="0" b="0"/>
            <wp:wrapSquare wrapText="larges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tretch>
                      <a:fillRect/>
                    </a:stretch>
                  </pic:blipFill>
                  <pic:spPr bwMode="auto">
                    <a:xfrm>
                      <a:off x="0" y="0"/>
                      <a:ext cx="4317365" cy="2158365"/>
                    </a:xfrm>
                    <a:prstGeom prst="rect">
                      <a:avLst/>
                    </a:prstGeom>
                    <a:noFill/>
                    <a:ln w="9525">
                      <a:noFill/>
                      <a:miter lim="800000"/>
                      <a:headEnd/>
                      <a:tailEnd/>
                    </a:ln>
                  </pic:spPr>
                </pic:pic>
              </a:graphicData>
            </a:graphic>
          </wp:anchor>
        </w:drawing>
      </w:r>
    </w:p>
    <w:p>
      <w:pPr>
        <w:pStyle w:val="Normal"/>
        <w:spacing w:lineRule="auto" w:line="360"/>
        <w:jc w:val="both"/>
        <w:rPr/>
      </w:pPr>
      <w:r>
        <w:rPr>
          <w:rFonts w:cs="Times New Roman" w:ascii="Times New Roman" w:hAnsi="Times New Roman"/>
          <w:b/>
          <w:color w:val="000000" w:themeColor="text1"/>
          <w:szCs w:val="24"/>
        </w:rPr>
        <w:t>Figure 4 a)</w:t>
      </w:r>
      <w:r>
        <w:rPr>
          <w:rFonts w:cs="Times New Roman" w:ascii="Times New Roman" w:hAnsi="Times New Roman"/>
          <w:color w:val="000000" w:themeColor="text1"/>
          <w:szCs w:val="24"/>
        </w:rPr>
        <w:t xml:space="preserve"> Time averages of writhe (purple) and radius of gyration (maroon) over the last 10 ns of the implicitly solvated DNA minicircles at seven different ΔLks. Orange marks indicate the relative mobility (down the vertical axis) of the seven minicircle topoisomers determined by gel electrophoresis experiments </w:t>
      </w:r>
      <w:r>
        <w:fldChar w:fldCharType="begin"/>
      </w:r>
      <w:r>
        <w:instrText>ADDIN CSL_CITATION { "citationItems" : [ { "id" : "ITEM-1", "itemData" : { "author" : [ { "dropping-particle" : "", "family" : "Irobalieva", "given" : "Rossitza N", "non-dropping-particle" : "", "parse-names" : false, "suffix" : "" }, { "dropping-particle" : "", "family" : "Fogg", "given" : "Jonathan M", "non-dropping-particle" : "", "parse-names" : false, "suffix" : "" }, { "dropping-particle" : "", "family" : "Catanese", "given" : "Daniel J", "non-dropping-particle" : "", "parse-names" : false, "suffix" : "" }, { "dropping-particle" : "", "family" : "Sutthibutpong", "given" : "Thana", "non-dropping-particle" : "", "parse-names" : false, "suffix" : "" }, { "dropping-particle" : "", "family" : "Chen", "given" : "Muyuan", "non-dropping-particle" : "", "parse-names" : false, "suffix" : "" }, { "dropping-particle" : "", "family" : "Barker", "given" : "Anna K", "non-dropping-particle" : "", "parse-names" : false, "suffix" : "" }, { "dropping-particle" : "", "family" : "Ludtke", "given" : "Steven J", "non-dropping-particle" : "", "parse-names" : false, "suffix" : "" }, { "dropping-particle" : "", "family" : "Harris", "given" : "Sarah A", "non-dropping-particle" : "", "parse-names" : false, "suffix" : "" }, { "dropping-particle" : "", "family" : "Schmid", "given" : "Michael F", "non-dropping-particle" : "", "parse-names" : false, "suffix" : "" }, { "dropping-particle" : "", "family" : "Zechiedrich", "given" : "Lynn", "non-dropping-particle" : "", "parse-names" : false, "suffix" : "" } ], "container-title" : "Submitted to Nature Communication", "id" : "ITEM-1", "issued" : { "date-parts" : [ [ "2015" ] ] }, "title" : "Structural diversity of supercoiled DNA", "type" : "article-journal" }, "uris" : [ "http://www.mendeley.com/documents/?uuid=68a59a93-125c-41b3-ad26-1f579ebf0f31" ] } ], "mendeley" : { "formattedCitation" : "&lt;b&gt;&lt;i&gt;(19)&lt;/i&gt;&lt;/b&gt;", "plainTextFormattedCitation" : "(19)", "previouslyFormattedCitation" : "&lt;b&gt;&lt;i&gt;(19)&lt;/i&gt;&lt;/b&gt;" }, "properties" : { "noteIndex" : 0 }, "schema" : "https://github.com/citation-style-language/schema/raw/master/csl-citation.json" }</w:instrText>
      </w:r>
      <w:r>
        <w:fldChar w:fldCharType="separate"/>
      </w:r>
      <w:bookmarkStart w:id="111" w:name="__Fieldmark__2500_1847998653"/>
      <w:r>
        <w:rPr>
          <w:rFonts w:cs="Times New Roman" w:ascii="Times New Roman" w:hAnsi="Times New Roman"/>
          <w:color w:val="000000" w:themeColor="text1"/>
          <w:szCs w:val="24"/>
        </w:rPr>
      </w:r>
      <w:r>
        <w:rPr>
          <w:rFonts w:cs="Times New Roman" w:ascii="Times New Roman" w:hAnsi="Times New Roman"/>
          <w:b/>
          <w:i/>
          <w:color w:val="000000" w:themeColor="text1"/>
          <w:szCs w:val="24"/>
        </w:rPr>
        <w:t>(19)</w:t>
      </w:r>
      <w:r>
        <w:rPr>
          <w:rFonts w:cs="Times New Roman" w:ascii="Times New Roman" w:hAnsi="Times New Roman"/>
          <w:color w:val="000000" w:themeColor="text1"/>
          <w:szCs w:val="24"/>
        </w:rPr>
      </w:r>
      <w:r>
        <w:fldChar w:fldCharType="end"/>
      </w:r>
      <w:bookmarkEnd w:id="111"/>
      <w:r>
        <w:rPr>
          <w:rFonts w:cs="Times New Roman" w:ascii="Times New Roman" w:hAnsi="Times New Roman"/>
          <w:color w:val="000000" w:themeColor="text1"/>
          <w:szCs w:val="24"/>
        </w:rPr>
        <w:t>.</w:t>
      </w:r>
      <w:r>
        <w:rPr>
          <w:rFonts w:cs="Times New Roman" w:ascii="Times New Roman" w:hAnsi="Times New Roman"/>
          <w:color w:val="000000" w:themeColor="text1"/>
          <w:szCs w:val="24"/>
          <w:lang w:val="en-US"/>
        </w:rPr>
        <w:t xml:space="preserve"> </w:t>
      </w:r>
      <w:r>
        <w:rPr>
          <w:rFonts w:cs="Times New Roman" w:ascii="Times New Roman" w:hAnsi="Times New Roman"/>
          <w:b/>
          <w:color w:val="000000" w:themeColor="text1"/>
          <w:szCs w:val="24"/>
        </w:rPr>
        <w:t xml:space="preserve">b) </w:t>
      </w:r>
      <w:r>
        <w:rPr>
          <w:rFonts w:cs="Times New Roman" w:ascii="Times New Roman" w:hAnsi="Times New Roman"/>
          <w:color w:val="000000" w:themeColor="text1"/>
          <w:szCs w:val="24"/>
        </w:rPr>
        <w:t>An atomistic structure of a ΔLk = -2 DNA minicircle, obtained from an explicity solvated MD simulations. The structure is superimposed into a cryo-ET density map and visualised by VMD.</w:t>
      </w:r>
    </w:p>
    <w:p>
      <w:pPr>
        <w:pStyle w:val="Heading2"/>
        <w:spacing w:lineRule="auto" w:line="360"/>
        <w:jc w:val="both"/>
        <w:rPr>
          <w:rFonts w:ascii="Times New Roman" w:hAnsi="Times New Roman" w:cs="Times New Roman"/>
          <w:color w:val="000000" w:themeColor="text1"/>
          <w:szCs w:val="28"/>
        </w:rPr>
      </w:pPr>
      <w:r>
        <w:rPr/>
      </w:r>
    </w:p>
    <w:p>
      <w:pPr>
        <w:pStyle w:val="Heading2"/>
        <w:spacing w:lineRule="auto" w:line="360"/>
        <w:jc w:val="both"/>
        <w:rPr>
          <w:rFonts w:ascii="Times New Roman" w:hAnsi="Times New Roman" w:cs="Times New Roman"/>
          <w:color w:val="000000" w:themeColor="text1"/>
          <w:szCs w:val="28"/>
        </w:rPr>
      </w:pPr>
      <w:r>
        <w:rPr/>
      </w:r>
    </w:p>
    <w:p>
      <w:pPr>
        <w:pStyle w:val="Heading2"/>
        <w:spacing w:lineRule="auto" w:line="360"/>
        <w:jc w:val="both"/>
        <w:rPr>
          <w:rFonts w:ascii="Times New Roman" w:hAnsi="Times New Roman" w:cs="Times New Roman"/>
          <w:color w:val="000000" w:themeColor="text1"/>
          <w:szCs w:val="28"/>
        </w:rPr>
      </w:pPr>
      <w:r>
        <w:rPr/>
      </w:r>
    </w:p>
    <w:p>
      <w:pPr>
        <w:pStyle w:val="Heading2"/>
        <w:spacing w:lineRule="auto" w:line="360"/>
        <w:jc w:val="both"/>
        <w:rPr>
          <w:rFonts w:ascii="Times New Roman" w:hAnsi="Times New Roman" w:cs="Times New Roman"/>
          <w:color w:val="000000" w:themeColor="text1"/>
          <w:szCs w:val="28"/>
        </w:rPr>
      </w:pPr>
      <w:r>
        <w:rPr/>
      </w:r>
    </w:p>
    <w:p>
      <w:pPr>
        <w:pStyle w:val="Heading2"/>
        <w:spacing w:lineRule="auto" w:line="360"/>
        <w:jc w:val="both"/>
        <w:rPr>
          <w:rFonts w:ascii="Times New Roman" w:hAnsi="Times New Roman" w:cs="Times New Roman"/>
          <w:color w:val="000000" w:themeColor="text1"/>
          <w:szCs w:val="28"/>
        </w:rPr>
      </w:pPr>
      <w:r>
        <w:rPr/>
      </w:r>
    </w:p>
    <w:p>
      <w:pPr>
        <w:pStyle w:val="Heading2"/>
        <w:spacing w:lineRule="auto" w:line="360"/>
        <w:jc w:val="both"/>
        <w:rPr>
          <w:rFonts w:ascii="Times New Roman" w:hAnsi="Times New Roman" w:cs="Times New Roman"/>
          <w:color w:val="000000" w:themeColor="text1"/>
          <w:szCs w:val="28"/>
        </w:rPr>
      </w:pPr>
      <w:r>
        <w:rPr/>
      </w:r>
    </w:p>
    <w:p>
      <w:pPr>
        <w:pStyle w:val="Heading2"/>
        <w:spacing w:lineRule="auto" w:line="360"/>
        <w:jc w:val="both"/>
        <w:rPr>
          <w:rFonts w:ascii="Times New Roman" w:hAnsi="Times New Roman" w:cs="Times New Roman"/>
          <w:color w:val="000000" w:themeColor="text1"/>
          <w:szCs w:val="28"/>
        </w:rPr>
      </w:pPr>
      <w:r>
        <w:rPr/>
      </w:r>
    </w:p>
    <w:p>
      <w:pPr>
        <w:pStyle w:val="Heading2"/>
        <w:spacing w:lineRule="auto" w:line="360"/>
        <w:jc w:val="both"/>
        <w:rPr>
          <w:rFonts w:ascii="Times New Roman" w:hAnsi="Times New Roman" w:cs="Times New Roman"/>
          <w:color w:val="000000" w:themeColor="text1"/>
          <w:szCs w:val="28"/>
        </w:rPr>
      </w:pPr>
      <w:r>
        <w:rPr/>
      </w:r>
    </w:p>
    <w:p>
      <w:pPr>
        <w:pStyle w:val="Heading2"/>
        <w:spacing w:lineRule="auto" w:line="360"/>
        <w:jc w:val="both"/>
        <w:rPr>
          <w:rFonts w:ascii="Times New Roman" w:hAnsi="Times New Roman" w:cs="Times New Roman"/>
          <w:color w:val="000000" w:themeColor="text1"/>
          <w:szCs w:val="28"/>
        </w:rPr>
      </w:pPr>
      <w:r>
        <w:rPr/>
      </w:r>
    </w:p>
    <w:p>
      <w:pPr>
        <w:pStyle w:val="Heading2"/>
        <w:spacing w:lineRule="auto" w:line="360"/>
        <w:jc w:val="both"/>
        <w:rPr>
          <w:rFonts w:ascii="Times New Roman" w:hAnsi="Times New Roman" w:cs="Times New Roman"/>
          <w:color w:val="000000" w:themeColor="text1"/>
          <w:szCs w:val="28"/>
        </w:rPr>
      </w:pPr>
      <w:r>
        <w:rPr/>
      </w:r>
    </w:p>
    <w:p>
      <w:pPr>
        <w:pStyle w:val="Heading2"/>
        <w:spacing w:lineRule="auto" w:line="360"/>
        <w:jc w:val="both"/>
        <w:rPr>
          <w:rFonts w:ascii="Times New Roman" w:hAnsi="Times New Roman" w:cs="Times New Roman"/>
          <w:color w:val="000000" w:themeColor="text1"/>
          <w:szCs w:val="28"/>
        </w:rPr>
      </w:pPr>
      <w:r>
        <w:rPr/>
      </w:r>
    </w:p>
    <w:p>
      <w:pPr>
        <w:pStyle w:val="Heading2"/>
        <w:spacing w:lineRule="auto" w:line="360"/>
        <w:jc w:val="both"/>
        <w:rPr>
          <w:rFonts w:ascii="Times New Roman" w:hAnsi="Times New Roman" w:cs="Times New Roman"/>
          <w:color w:val="000000" w:themeColor="text1"/>
          <w:szCs w:val="28"/>
        </w:rPr>
      </w:pPr>
      <w:r>
        <w:rPr/>
      </w:r>
    </w:p>
    <w:p>
      <w:pPr>
        <w:pStyle w:val="Heading2"/>
        <w:spacing w:lineRule="auto" w:line="360"/>
        <w:jc w:val="both"/>
        <w:rPr>
          <w:rFonts w:ascii="Times New Roman" w:hAnsi="Times New Roman" w:cs="Times New Roman"/>
          <w:color w:val="000000" w:themeColor="text1"/>
          <w:szCs w:val="28"/>
        </w:rPr>
      </w:pPr>
      <w:r>
        <w:rPr/>
      </w:r>
    </w:p>
    <w:p>
      <w:pPr>
        <w:pStyle w:val="Heading2"/>
        <w:spacing w:lineRule="auto" w:line="360"/>
        <w:jc w:val="both"/>
        <w:rPr>
          <w:rFonts w:ascii="Times New Roman" w:hAnsi="Times New Roman" w:cs="Times New Roman"/>
          <w:color w:val="000000" w:themeColor="text1"/>
          <w:szCs w:val="28"/>
        </w:rPr>
      </w:pPr>
      <w:r>
        <w:rPr/>
      </w:r>
    </w:p>
    <w:p>
      <w:pPr>
        <w:pStyle w:val="Heading2"/>
        <w:spacing w:lineRule="auto" w:line="360"/>
        <w:jc w:val="both"/>
        <w:rPr>
          <w:rFonts w:ascii="Times New Roman" w:hAnsi="Times New Roman" w:cs="Times New Roman"/>
          <w:color w:val="000000" w:themeColor="text1"/>
          <w:szCs w:val="28"/>
        </w:rPr>
      </w:pPr>
      <w:r>
        <w:rPr/>
      </w:r>
    </w:p>
    <w:p>
      <w:pPr>
        <w:pStyle w:val="Heading2"/>
        <w:spacing w:lineRule="auto" w:line="360"/>
        <w:jc w:val="both"/>
        <w:rPr>
          <w:rFonts w:ascii="Times New Roman" w:hAnsi="Times New Roman" w:cs="Times New Roman"/>
          <w:color w:val="000000" w:themeColor="text1"/>
          <w:szCs w:val="28"/>
        </w:rPr>
      </w:pPr>
      <w:r>
        <w:rPr/>
      </w:r>
    </w:p>
    <w:p>
      <w:pPr>
        <w:pStyle w:val="Heading2"/>
        <w:spacing w:lineRule="auto" w:line="360"/>
        <w:jc w:val="both"/>
        <w:rPr>
          <w:rFonts w:ascii="Times New Roman" w:hAnsi="Times New Roman" w:cs="Times New Roman"/>
          <w:color w:val="000000" w:themeColor="text1"/>
          <w:szCs w:val="28"/>
        </w:rPr>
      </w:pPr>
      <w:r>
        <w:rPr/>
      </w:r>
    </w:p>
    <w:p>
      <w:pPr>
        <w:pStyle w:val="Heading2"/>
        <w:spacing w:lineRule="auto" w:line="360"/>
        <w:ind w:hanging="0"/>
        <w:jc w:val="both"/>
        <w:rPr/>
      </w:pPr>
      <w:r>
        <w:rPr>
          <w:rFonts w:cs="Times New Roman" w:ascii="Times New Roman" w:hAnsi="Times New Roman"/>
          <w:color w:val="000000" w:themeColor="text1"/>
          <w:szCs w:val="28"/>
        </w:rPr>
        <w:t>Tables</w:t>
      </w:r>
    </w:p>
    <w:tbl>
      <w:tblPr>
        <w:tblStyle w:val="TableGrid"/>
        <w:tblW w:w="8194" w:type="dxa"/>
        <w:jc w:val="center"/>
        <w:tblInd w:w="0" w:type="dxa"/>
        <w:tblCellMar>
          <w:top w:w="0" w:type="dxa"/>
          <w:left w:w="108" w:type="dxa"/>
          <w:bottom w:w="0" w:type="dxa"/>
          <w:right w:w="108" w:type="dxa"/>
        </w:tblCellMar>
        <w:tblLook w:val="04a0" w:noVBand="1" w:noHBand="0" w:lastColumn="0" w:firstColumn="1" w:lastRow="0" w:firstRow="1"/>
      </w:tblPr>
      <w:tblGrid>
        <w:gridCol w:w="3135"/>
        <w:gridCol w:w="1701"/>
        <w:gridCol w:w="1701"/>
        <w:gridCol w:w="1656"/>
      </w:tblGrid>
      <w:tr>
        <w:trPr/>
        <w:tc>
          <w:tcPr>
            <w:tcW w:w="3135" w:type="dxa"/>
            <w:tcBorders/>
            <w:shd w:fill="auto" w:val="clear"/>
            <w:tcMar>
              <w:left w:w="108" w:type="dxa"/>
            </w:tcMar>
          </w:tcPr>
          <w:p>
            <w:pPr>
              <w:pStyle w:val="Normal"/>
              <w:spacing w:lineRule="auto" w:line="240"/>
              <w:jc w:val="center"/>
              <w:rPr>
                <w:rFonts w:ascii="Times New Roman" w:hAnsi="Times New Roman" w:cs="Times New Roman"/>
                <w:b/>
                <w:b/>
                <w:color w:val="000000" w:themeColor="text1"/>
                <w:sz w:val="22"/>
                <w:szCs w:val="22"/>
              </w:rPr>
            </w:pPr>
            <w:r>
              <w:rPr>
                <w:rFonts w:cs="Times New Roman" w:ascii="Times New Roman" w:hAnsi="Times New Roman"/>
                <w:b/>
                <w:color w:val="000000" w:themeColor="text1"/>
                <w:sz w:val="22"/>
                <w:szCs w:val="22"/>
              </w:rPr>
            </w:r>
          </w:p>
          <w:p>
            <w:pPr>
              <w:pStyle w:val="Normal"/>
              <w:spacing w:lineRule="auto" w:line="240" w:before="0" w:after="120"/>
              <w:jc w:val="center"/>
              <w:rPr>
                <w:rFonts w:ascii="Times New Roman" w:hAnsi="Times New Roman" w:cs="Times New Roman"/>
                <w:b/>
                <w:b/>
                <w:color w:val="000000" w:themeColor="text1"/>
                <w:sz w:val="22"/>
                <w:szCs w:val="22"/>
              </w:rPr>
            </w:pPr>
            <w:r>
              <w:rPr>
                <w:rFonts w:cs="Times New Roman" w:ascii="Times New Roman" w:hAnsi="Times New Roman"/>
                <w:b/>
                <w:color w:val="000000" w:themeColor="text1"/>
                <w:sz w:val="22"/>
                <w:szCs w:val="22"/>
              </w:rPr>
              <w:t>Simulations</w:t>
            </w:r>
          </w:p>
        </w:tc>
        <w:tc>
          <w:tcPr>
            <w:tcW w:w="1701" w:type="dxa"/>
            <w:tcBorders/>
            <w:shd w:fill="auto" w:val="clear"/>
            <w:tcMar>
              <w:left w:w="108" w:type="dxa"/>
            </w:tcMar>
          </w:tcPr>
          <w:p>
            <w:pPr>
              <w:pStyle w:val="Normal"/>
              <w:spacing w:lineRule="auto" w:line="240"/>
              <w:jc w:val="center"/>
              <w:rPr>
                <w:rFonts w:ascii="Times New Roman" w:hAnsi="Times New Roman" w:cs="Times New Roman"/>
                <w:b/>
                <w:b/>
                <w:color w:val="000000" w:themeColor="text1"/>
                <w:sz w:val="22"/>
                <w:szCs w:val="22"/>
              </w:rPr>
            </w:pPr>
            <w:r>
              <w:rPr>
                <w:rFonts w:cs="Times New Roman" w:ascii="Times New Roman" w:hAnsi="Times New Roman"/>
                <w:b/>
                <w:color w:val="000000" w:themeColor="text1"/>
                <w:sz w:val="22"/>
                <w:szCs w:val="22"/>
              </w:rPr>
            </w:r>
          </w:p>
          <w:p>
            <w:pPr>
              <w:pStyle w:val="Normal"/>
              <w:spacing w:lineRule="auto" w:line="240" w:before="0" w:after="120"/>
              <w:jc w:val="center"/>
              <w:rPr>
                <w:rFonts w:ascii="Times New Roman" w:hAnsi="Times New Roman" w:cs="Times New Roman"/>
                <w:b/>
                <w:b/>
                <w:color w:val="000000" w:themeColor="text1"/>
                <w:sz w:val="22"/>
                <w:szCs w:val="22"/>
              </w:rPr>
            </w:pPr>
            <w:r>
              <w:rPr>
                <w:rFonts w:cs="Times New Roman" w:ascii="Times New Roman" w:hAnsi="Times New Roman"/>
                <w:b/>
                <w:color w:val="000000" w:themeColor="text1"/>
                <w:sz w:val="22"/>
                <w:szCs w:val="22"/>
              </w:rPr>
              <w:t>108 bp Explicit</w:t>
            </w:r>
          </w:p>
        </w:tc>
        <w:tc>
          <w:tcPr>
            <w:tcW w:w="1701" w:type="dxa"/>
            <w:tcBorders/>
            <w:shd w:fill="auto" w:val="clear"/>
            <w:tcMar>
              <w:left w:w="108" w:type="dxa"/>
            </w:tcMar>
          </w:tcPr>
          <w:p>
            <w:pPr>
              <w:pStyle w:val="Normal"/>
              <w:spacing w:lineRule="auto" w:line="240"/>
              <w:jc w:val="center"/>
              <w:rPr>
                <w:rFonts w:ascii="Times New Roman" w:hAnsi="Times New Roman" w:cs="Times New Roman"/>
                <w:b/>
                <w:b/>
                <w:color w:val="000000" w:themeColor="text1"/>
                <w:sz w:val="22"/>
                <w:szCs w:val="22"/>
              </w:rPr>
            </w:pPr>
            <w:r>
              <w:rPr>
                <w:rFonts w:cs="Times New Roman" w:ascii="Times New Roman" w:hAnsi="Times New Roman"/>
                <w:b/>
                <w:color w:val="000000" w:themeColor="text1"/>
                <w:sz w:val="22"/>
                <w:szCs w:val="22"/>
              </w:rPr>
            </w:r>
          </w:p>
          <w:p>
            <w:pPr>
              <w:pStyle w:val="Normal"/>
              <w:spacing w:lineRule="auto" w:line="240" w:before="0" w:after="120"/>
              <w:jc w:val="center"/>
              <w:rPr>
                <w:rFonts w:ascii="Times New Roman" w:hAnsi="Times New Roman" w:cs="Times New Roman"/>
                <w:b/>
                <w:b/>
                <w:color w:val="000000" w:themeColor="text1"/>
                <w:sz w:val="22"/>
                <w:szCs w:val="22"/>
              </w:rPr>
            </w:pPr>
            <w:r>
              <w:rPr>
                <w:rFonts w:cs="Times New Roman" w:ascii="Times New Roman" w:hAnsi="Times New Roman"/>
                <w:b/>
                <w:color w:val="000000" w:themeColor="text1"/>
                <w:sz w:val="22"/>
                <w:szCs w:val="22"/>
              </w:rPr>
              <w:t>336 bp Implicit</w:t>
            </w:r>
          </w:p>
        </w:tc>
        <w:tc>
          <w:tcPr>
            <w:tcW w:w="1656" w:type="dxa"/>
            <w:tcBorders/>
            <w:shd w:fill="auto" w:val="clear"/>
            <w:tcMar>
              <w:left w:w="108" w:type="dxa"/>
            </w:tcMar>
          </w:tcPr>
          <w:p>
            <w:pPr>
              <w:pStyle w:val="Normal"/>
              <w:spacing w:lineRule="auto" w:line="240"/>
              <w:jc w:val="center"/>
              <w:rPr>
                <w:rFonts w:ascii="Times New Roman" w:hAnsi="Times New Roman" w:cs="Times New Roman"/>
                <w:b/>
                <w:b/>
                <w:color w:val="000000" w:themeColor="text1"/>
                <w:sz w:val="22"/>
                <w:szCs w:val="22"/>
              </w:rPr>
            </w:pPr>
            <w:r>
              <w:rPr>
                <w:rFonts w:cs="Times New Roman" w:ascii="Times New Roman" w:hAnsi="Times New Roman"/>
                <w:b/>
                <w:color w:val="000000" w:themeColor="text1"/>
                <w:sz w:val="22"/>
                <w:szCs w:val="22"/>
              </w:rPr>
            </w:r>
          </w:p>
          <w:p>
            <w:pPr>
              <w:pStyle w:val="Normal"/>
              <w:spacing w:lineRule="auto" w:line="240" w:before="0" w:after="120"/>
              <w:jc w:val="center"/>
              <w:rPr>
                <w:rFonts w:ascii="Times New Roman" w:hAnsi="Times New Roman" w:cs="Times New Roman"/>
                <w:b/>
                <w:b/>
                <w:color w:val="000000" w:themeColor="text1"/>
                <w:sz w:val="22"/>
                <w:szCs w:val="22"/>
              </w:rPr>
            </w:pPr>
            <w:r>
              <w:rPr>
                <w:rFonts w:cs="Times New Roman" w:ascii="Times New Roman" w:hAnsi="Times New Roman"/>
                <w:b/>
                <w:color w:val="000000" w:themeColor="text1"/>
                <w:sz w:val="22"/>
                <w:szCs w:val="22"/>
              </w:rPr>
              <w:t>336 bp Explicit</w:t>
            </w:r>
          </w:p>
        </w:tc>
      </w:tr>
      <w:tr>
        <w:trPr/>
        <w:tc>
          <w:tcPr>
            <w:tcW w:w="3135" w:type="dxa"/>
            <w:tcBorders/>
            <w:shd w:fill="auto" w:val="clear"/>
            <w:tcMar>
              <w:left w:w="108" w:type="dxa"/>
            </w:tcMar>
          </w:tcPr>
          <w:p>
            <w:pPr>
              <w:pStyle w:val="Normal"/>
              <w:spacing w:lineRule="auto" w:line="240"/>
              <w:jc w:val="center"/>
              <w:rPr>
                <w:rFonts w:ascii="Times New Roman" w:hAnsi="Times New Roman" w:cs="Times New Roman"/>
                <w:color w:val="000000" w:themeColor="text1"/>
                <w:sz w:val="22"/>
                <w:szCs w:val="22"/>
              </w:rPr>
            </w:pPr>
            <w:r>
              <w:rPr>
                <w:rFonts w:cs="Times New Roman" w:ascii="Times New Roman" w:hAnsi="Times New Roman"/>
                <w:color w:val="000000" w:themeColor="text1"/>
                <w:sz w:val="22"/>
                <w:szCs w:val="22"/>
              </w:rPr>
            </w:r>
          </w:p>
          <w:p>
            <w:pPr>
              <w:pStyle w:val="Normal"/>
              <w:spacing w:lineRule="auto" w:line="240"/>
              <w:jc w:val="center"/>
              <w:rPr>
                <w:rFonts w:ascii="Times New Roman" w:hAnsi="Times New Roman" w:cs="Times New Roman"/>
                <w:color w:val="000000" w:themeColor="text1"/>
                <w:sz w:val="22"/>
                <w:szCs w:val="22"/>
              </w:rPr>
            </w:pPr>
            <w:r>
              <w:rPr>
                <w:rFonts w:cs="Times New Roman" w:ascii="Times New Roman" w:hAnsi="Times New Roman"/>
                <w:color w:val="000000" w:themeColor="text1"/>
                <w:sz w:val="22"/>
                <w:szCs w:val="22"/>
              </w:rPr>
              <w:t>GB/SA</w:t>
            </w:r>
          </w:p>
          <w:p>
            <w:pPr>
              <w:pStyle w:val="Normal"/>
              <w:spacing w:lineRule="auto" w:line="240"/>
              <w:jc w:val="center"/>
              <w:rPr>
                <w:rFonts w:ascii="Times New Roman" w:hAnsi="Times New Roman" w:cs="Times New Roman"/>
                <w:color w:val="000000" w:themeColor="text1"/>
                <w:sz w:val="22"/>
                <w:szCs w:val="22"/>
              </w:rPr>
            </w:pPr>
            <w:r>
              <w:rPr>
                <w:rFonts w:cs="Times New Roman" w:ascii="Times New Roman" w:hAnsi="Times New Roman"/>
                <w:color w:val="000000" w:themeColor="text1"/>
                <w:sz w:val="22"/>
                <w:szCs w:val="22"/>
              </w:rPr>
              <w:t>Number of atoms</w:t>
            </w:r>
          </w:p>
          <w:p>
            <w:pPr>
              <w:pStyle w:val="Normal"/>
              <w:spacing w:lineRule="auto" w:line="240"/>
              <w:jc w:val="center"/>
              <w:rPr>
                <w:rFonts w:ascii="Times New Roman" w:hAnsi="Times New Roman" w:cs="Times New Roman"/>
                <w:color w:val="000000" w:themeColor="text1"/>
                <w:sz w:val="22"/>
                <w:szCs w:val="22"/>
              </w:rPr>
            </w:pPr>
            <w:r>
              <w:rPr>
                <w:rFonts w:cs="Times New Roman" w:ascii="Times New Roman" w:hAnsi="Times New Roman"/>
                <w:color w:val="000000" w:themeColor="text1"/>
                <w:sz w:val="22"/>
                <w:szCs w:val="22"/>
              </w:rPr>
              <w:t>Number of nucleotide residues</w:t>
            </w:r>
          </w:p>
          <w:p>
            <w:pPr>
              <w:pStyle w:val="Normal"/>
              <w:spacing w:lineRule="auto" w:line="240"/>
              <w:jc w:val="center"/>
              <w:rPr>
                <w:rFonts w:ascii="Times New Roman" w:hAnsi="Times New Roman" w:cs="Times New Roman"/>
                <w:color w:val="000000" w:themeColor="text1"/>
                <w:sz w:val="22"/>
                <w:szCs w:val="22"/>
              </w:rPr>
            </w:pPr>
            <w:r>
              <w:rPr>
                <w:rFonts w:cs="Times New Roman" w:ascii="Times New Roman" w:hAnsi="Times New Roman"/>
                <w:color w:val="000000" w:themeColor="text1"/>
                <w:sz w:val="22"/>
                <w:szCs w:val="22"/>
              </w:rPr>
              <w:t>Number of water residues</w:t>
            </w:r>
          </w:p>
          <w:p>
            <w:pPr>
              <w:pStyle w:val="Normal"/>
              <w:spacing w:lineRule="auto" w:line="240"/>
              <w:jc w:val="center"/>
              <w:rPr>
                <w:rFonts w:ascii="Times New Roman" w:hAnsi="Times New Roman" w:cs="Times New Roman"/>
                <w:color w:val="000000" w:themeColor="text1"/>
                <w:sz w:val="22"/>
                <w:szCs w:val="22"/>
              </w:rPr>
            </w:pPr>
            <w:r>
              <w:rPr>
                <w:rFonts w:cs="Times New Roman" w:ascii="Times New Roman" w:hAnsi="Times New Roman"/>
                <w:color w:val="000000" w:themeColor="text1"/>
                <w:sz w:val="22"/>
                <w:szCs w:val="22"/>
              </w:rPr>
              <w:t>Number of ionic residues</w:t>
            </w:r>
          </w:p>
          <w:p>
            <w:pPr>
              <w:pStyle w:val="Normal"/>
              <w:spacing w:lineRule="auto" w:line="240"/>
              <w:jc w:val="center"/>
              <w:rPr>
                <w:rFonts w:ascii="Times New Roman" w:hAnsi="Times New Roman" w:cs="Times New Roman"/>
                <w:color w:val="000000" w:themeColor="text1"/>
                <w:sz w:val="22"/>
                <w:szCs w:val="22"/>
              </w:rPr>
            </w:pPr>
            <w:r>
              <w:rPr>
                <w:rFonts w:cs="Times New Roman" w:ascii="Times New Roman" w:hAnsi="Times New Roman"/>
                <w:color w:val="000000" w:themeColor="text1"/>
                <w:sz w:val="22"/>
                <w:szCs w:val="22"/>
              </w:rPr>
              <w:t>HPC system</w:t>
            </w:r>
          </w:p>
          <w:p>
            <w:pPr>
              <w:pStyle w:val="Normal"/>
              <w:spacing w:lineRule="auto" w:line="240"/>
              <w:jc w:val="center"/>
              <w:rPr>
                <w:rFonts w:ascii="Times New Roman" w:hAnsi="Times New Roman" w:cs="Times New Roman"/>
                <w:color w:val="000000" w:themeColor="text1"/>
                <w:sz w:val="22"/>
                <w:szCs w:val="22"/>
              </w:rPr>
            </w:pPr>
            <w:r>
              <w:rPr>
                <w:rFonts w:cs="Times New Roman" w:ascii="Times New Roman" w:hAnsi="Times New Roman"/>
                <w:color w:val="000000" w:themeColor="text1"/>
                <w:sz w:val="22"/>
                <w:szCs w:val="22"/>
              </w:rPr>
              <w:t>Number of processors used</w:t>
            </w:r>
          </w:p>
          <w:p>
            <w:pPr>
              <w:pStyle w:val="Normal"/>
              <w:spacing w:lineRule="auto" w:line="240"/>
              <w:jc w:val="center"/>
              <w:rPr>
                <w:rFonts w:ascii="Times New Roman" w:hAnsi="Times New Roman" w:cs="Times New Roman"/>
                <w:color w:val="000000" w:themeColor="text1"/>
                <w:sz w:val="22"/>
                <w:szCs w:val="22"/>
              </w:rPr>
            </w:pPr>
            <w:r>
              <w:rPr>
                <w:rFonts w:cs="Times New Roman" w:ascii="Times New Roman" w:hAnsi="Times New Roman"/>
                <w:color w:val="000000" w:themeColor="text1"/>
                <w:sz w:val="22"/>
                <w:szCs w:val="22"/>
              </w:rPr>
              <w:t>Speed (ns/day)</w:t>
            </w:r>
          </w:p>
          <w:p>
            <w:pPr>
              <w:pStyle w:val="Normal"/>
              <w:spacing w:lineRule="auto" w:line="240" w:before="0" w:after="120"/>
              <w:jc w:val="center"/>
              <w:rPr>
                <w:rFonts w:ascii="Times New Roman" w:hAnsi="Times New Roman" w:cs="Times New Roman"/>
                <w:color w:val="000000" w:themeColor="text1"/>
                <w:sz w:val="22"/>
                <w:szCs w:val="22"/>
              </w:rPr>
            </w:pPr>
            <w:r>
              <w:rPr>
                <w:rFonts w:cs="Times New Roman" w:ascii="Times New Roman" w:hAnsi="Times New Roman"/>
                <w:color w:val="000000" w:themeColor="text1"/>
                <w:sz w:val="22"/>
                <w:szCs w:val="22"/>
              </w:rPr>
            </w:r>
          </w:p>
        </w:tc>
        <w:tc>
          <w:tcPr>
            <w:tcW w:w="1701" w:type="dxa"/>
            <w:tcBorders/>
            <w:shd w:fill="auto" w:val="clear"/>
            <w:tcMar>
              <w:left w:w="108" w:type="dxa"/>
            </w:tcMar>
          </w:tcPr>
          <w:p>
            <w:pPr>
              <w:pStyle w:val="Normal"/>
              <w:spacing w:lineRule="auto" w:line="240"/>
              <w:jc w:val="center"/>
              <w:rPr>
                <w:rFonts w:ascii="Times New Roman" w:hAnsi="Times New Roman" w:cs="Times New Roman"/>
                <w:color w:val="000000" w:themeColor="text1"/>
                <w:sz w:val="22"/>
                <w:szCs w:val="22"/>
              </w:rPr>
            </w:pPr>
            <w:r>
              <w:rPr>
                <w:rFonts w:cs="Times New Roman" w:ascii="Times New Roman" w:hAnsi="Times New Roman"/>
                <w:color w:val="000000" w:themeColor="text1"/>
                <w:sz w:val="22"/>
                <w:szCs w:val="22"/>
              </w:rPr>
            </w:r>
          </w:p>
          <w:p>
            <w:pPr>
              <w:pStyle w:val="Normal"/>
              <w:spacing w:lineRule="auto" w:line="240"/>
              <w:jc w:val="center"/>
              <w:rPr>
                <w:rFonts w:ascii="Times New Roman" w:hAnsi="Times New Roman" w:cs="Times New Roman"/>
                <w:color w:val="000000" w:themeColor="text1"/>
                <w:sz w:val="22"/>
                <w:szCs w:val="22"/>
              </w:rPr>
            </w:pPr>
            <w:r>
              <w:rPr>
                <w:rFonts w:cs="Times New Roman" w:ascii="Times New Roman" w:hAnsi="Times New Roman"/>
                <w:color w:val="000000" w:themeColor="text1"/>
                <w:sz w:val="22"/>
                <w:szCs w:val="22"/>
              </w:rPr>
              <w:t>No</w:t>
            </w:r>
          </w:p>
          <w:p>
            <w:pPr>
              <w:pStyle w:val="Normal"/>
              <w:spacing w:lineRule="auto" w:line="240"/>
              <w:jc w:val="center"/>
              <w:rPr>
                <w:rFonts w:ascii="Times New Roman" w:hAnsi="Times New Roman" w:cs="Times New Roman"/>
                <w:color w:val="000000" w:themeColor="text1"/>
                <w:sz w:val="22"/>
                <w:szCs w:val="22"/>
              </w:rPr>
            </w:pPr>
            <w:r>
              <w:rPr>
                <w:rFonts w:cs="Times New Roman" w:ascii="Times New Roman" w:hAnsi="Times New Roman"/>
                <w:color w:val="000000" w:themeColor="text1"/>
                <w:sz w:val="22"/>
                <w:szCs w:val="22"/>
              </w:rPr>
              <w:t>~ 450,000</w:t>
            </w:r>
          </w:p>
          <w:p>
            <w:pPr>
              <w:pStyle w:val="Normal"/>
              <w:spacing w:lineRule="auto" w:line="240"/>
              <w:jc w:val="center"/>
              <w:rPr>
                <w:rFonts w:ascii="Times New Roman" w:hAnsi="Times New Roman" w:cs="Times New Roman"/>
                <w:color w:val="000000" w:themeColor="text1"/>
                <w:sz w:val="22"/>
                <w:szCs w:val="22"/>
              </w:rPr>
            </w:pPr>
            <w:r>
              <w:rPr>
                <w:rFonts w:cs="Times New Roman" w:ascii="Times New Roman" w:hAnsi="Times New Roman"/>
                <w:color w:val="000000" w:themeColor="text1"/>
                <w:sz w:val="22"/>
                <w:szCs w:val="22"/>
              </w:rPr>
              <w:t>216</w:t>
            </w:r>
          </w:p>
          <w:p>
            <w:pPr>
              <w:pStyle w:val="Normal"/>
              <w:spacing w:lineRule="auto" w:line="240"/>
              <w:jc w:val="center"/>
              <w:rPr>
                <w:rFonts w:ascii="Times New Roman" w:hAnsi="Times New Roman" w:cs="Times New Roman"/>
                <w:color w:val="000000" w:themeColor="text1"/>
                <w:sz w:val="22"/>
                <w:szCs w:val="22"/>
              </w:rPr>
            </w:pPr>
            <w:r>
              <w:rPr>
                <w:rFonts w:cs="Times New Roman" w:ascii="Times New Roman" w:hAnsi="Times New Roman"/>
                <w:color w:val="000000" w:themeColor="text1"/>
                <w:sz w:val="22"/>
                <w:szCs w:val="22"/>
              </w:rPr>
              <w:t>~ 150,000</w:t>
            </w:r>
          </w:p>
          <w:p>
            <w:pPr>
              <w:pStyle w:val="Normal"/>
              <w:spacing w:lineRule="auto" w:line="240"/>
              <w:jc w:val="center"/>
              <w:rPr>
                <w:rFonts w:ascii="Times New Roman" w:hAnsi="Times New Roman" w:cs="Times New Roman"/>
                <w:color w:val="000000" w:themeColor="text1"/>
                <w:sz w:val="22"/>
                <w:szCs w:val="22"/>
              </w:rPr>
            </w:pPr>
            <w:r>
              <w:rPr>
                <w:rFonts w:cs="Times New Roman" w:ascii="Times New Roman" w:hAnsi="Times New Roman"/>
                <w:color w:val="000000" w:themeColor="text1"/>
                <w:sz w:val="22"/>
                <w:szCs w:val="22"/>
              </w:rPr>
              <w:t>~ 750</w:t>
            </w:r>
          </w:p>
          <w:p>
            <w:pPr>
              <w:pStyle w:val="Normal"/>
              <w:spacing w:lineRule="auto" w:line="240"/>
              <w:jc w:val="center"/>
              <w:rPr>
                <w:rFonts w:ascii="Times New Roman" w:hAnsi="Times New Roman" w:cs="Times New Roman"/>
                <w:color w:val="000000" w:themeColor="text1"/>
                <w:sz w:val="22"/>
                <w:szCs w:val="22"/>
              </w:rPr>
            </w:pPr>
            <w:r>
              <w:rPr>
                <w:rFonts w:cs="Times New Roman" w:ascii="Times New Roman" w:hAnsi="Times New Roman"/>
                <w:color w:val="000000" w:themeColor="text1"/>
                <w:sz w:val="22"/>
                <w:szCs w:val="22"/>
              </w:rPr>
              <w:t>ARC1/ARC2</w:t>
            </w:r>
          </w:p>
          <w:p>
            <w:pPr>
              <w:pStyle w:val="Normal"/>
              <w:spacing w:lineRule="auto" w:line="240"/>
              <w:jc w:val="center"/>
              <w:rPr>
                <w:rFonts w:ascii="Times New Roman" w:hAnsi="Times New Roman" w:cs="Times New Roman"/>
                <w:color w:val="000000" w:themeColor="text1"/>
                <w:sz w:val="22"/>
                <w:szCs w:val="22"/>
              </w:rPr>
            </w:pPr>
            <w:r>
              <w:rPr>
                <w:rFonts w:cs="Times New Roman" w:ascii="Times New Roman" w:hAnsi="Times New Roman"/>
                <w:color w:val="000000" w:themeColor="text1"/>
                <w:sz w:val="22"/>
                <w:szCs w:val="22"/>
              </w:rPr>
              <w:t>32</w:t>
            </w:r>
          </w:p>
          <w:p>
            <w:pPr>
              <w:pStyle w:val="Normal"/>
              <w:spacing w:lineRule="auto" w:line="240" w:before="0" w:after="120"/>
              <w:jc w:val="center"/>
              <w:rPr>
                <w:rFonts w:ascii="Times New Roman" w:hAnsi="Times New Roman" w:cs="Times New Roman"/>
                <w:color w:val="000000" w:themeColor="text1"/>
                <w:sz w:val="22"/>
                <w:szCs w:val="22"/>
              </w:rPr>
            </w:pPr>
            <w:r>
              <w:rPr>
                <w:rFonts w:cs="Times New Roman" w:ascii="Times New Roman" w:hAnsi="Times New Roman"/>
                <w:color w:val="000000" w:themeColor="text1"/>
                <w:sz w:val="22"/>
                <w:szCs w:val="22"/>
              </w:rPr>
              <w:t>~ 1</w:t>
            </w:r>
          </w:p>
        </w:tc>
        <w:tc>
          <w:tcPr>
            <w:tcW w:w="1701" w:type="dxa"/>
            <w:tcBorders/>
            <w:shd w:fill="auto" w:val="clear"/>
            <w:tcMar>
              <w:left w:w="108" w:type="dxa"/>
            </w:tcMar>
          </w:tcPr>
          <w:p>
            <w:pPr>
              <w:pStyle w:val="Normal"/>
              <w:spacing w:lineRule="auto" w:line="240"/>
              <w:jc w:val="center"/>
              <w:rPr>
                <w:rFonts w:ascii="Times New Roman" w:hAnsi="Times New Roman" w:cs="Times New Roman"/>
                <w:color w:val="000000" w:themeColor="text1"/>
                <w:sz w:val="22"/>
                <w:szCs w:val="22"/>
              </w:rPr>
            </w:pPr>
            <w:r>
              <w:rPr>
                <w:rFonts w:cs="Times New Roman" w:ascii="Times New Roman" w:hAnsi="Times New Roman"/>
                <w:color w:val="000000" w:themeColor="text1"/>
                <w:sz w:val="22"/>
                <w:szCs w:val="22"/>
              </w:rPr>
            </w:r>
          </w:p>
          <w:p>
            <w:pPr>
              <w:pStyle w:val="Normal"/>
              <w:spacing w:lineRule="auto" w:line="240"/>
              <w:jc w:val="center"/>
              <w:rPr>
                <w:rFonts w:ascii="Times New Roman" w:hAnsi="Times New Roman" w:cs="Times New Roman"/>
                <w:color w:val="000000" w:themeColor="text1"/>
                <w:sz w:val="22"/>
                <w:szCs w:val="22"/>
              </w:rPr>
            </w:pPr>
            <w:r>
              <w:rPr>
                <w:rFonts w:cs="Times New Roman" w:ascii="Times New Roman" w:hAnsi="Times New Roman"/>
                <w:color w:val="000000" w:themeColor="text1"/>
                <w:sz w:val="22"/>
                <w:szCs w:val="22"/>
              </w:rPr>
              <w:t>Yes</w:t>
            </w:r>
          </w:p>
          <w:p>
            <w:pPr>
              <w:pStyle w:val="Normal"/>
              <w:spacing w:lineRule="auto" w:line="240"/>
              <w:jc w:val="center"/>
              <w:rPr>
                <w:rFonts w:ascii="Times New Roman" w:hAnsi="Times New Roman" w:cs="Times New Roman"/>
                <w:color w:val="000000" w:themeColor="text1"/>
                <w:sz w:val="22"/>
                <w:szCs w:val="22"/>
              </w:rPr>
            </w:pPr>
            <w:r>
              <w:rPr>
                <w:rFonts w:cs="Times New Roman" w:ascii="Times New Roman" w:hAnsi="Times New Roman"/>
                <w:color w:val="000000" w:themeColor="text1"/>
                <w:sz w:val="22"/>
                <w:szCs w:val="22"/>
              </w:rPr>
              <w:t>21,373</w:t>
            </w:r>
          </w:p>
          <w:p>
            <w:pPr>
              <w:pStyle w:val="Normal"/>
              <w:spacing w:lineRule="auto" w:line="240"/>
              <w:jc w:val="center"/>
              <w:rPr>
                <w:rFonts w:ascii="Times New Roman" w:hAnsi="Times New Roman" w:cs="Times New Roman"/>
                <w:color w:val="000000" w:themeColor="text1"/>
                <w:sz w:val="22"/>
                <w:szCs w:val="22"/>
              </w:rPr>
            </w:pPr>
            <w:r>
              <w:rPr>
                <w:rFonts w:cs="Times New Roman" w:ascii="Times New Roman" w:hAnsi="Times New Roman"/>
                <w:color w:val="000000" w:themeColor="text1"/>
                <w:sz w:val="22"/>
                <w:szCs w:val="22"/>
              </w:rPr>
              <w:t>672</w:t>
            </w:r>
          </w:p>
          <w:p>
            <w:pPr>
              <w:pStyle w:val="Normal"/>
              <w:spacing w:lineRule="auto" w:line="240"/>
              <w:jc w:val="center"/>
              <w:rPr>
                <w:rFonts w:ascii="Times New Roman" w:hAnsi="Times New Roman" w:cs="Times New Roman"/>
                <w:color w:val="000000" w:themeColor="text1"/>
                <w:sz w:val="22"/>
                <w:szCs w:val="22"/>
              </w:rPr>
            </w:pPr>
            <w:r>
              <w:rPr>
                <w:rFonts w:cs="Times New Roman" w:ascii="Times New Roman" w:hAnsi="Times New Roman"/>
                <w:color w:val="000000" w:themeColor="text1"/>
                <w:sz w:val="22"/>
                <w:szCs w:val="22"/>
              </w:rPr>
              <w:t>-</w:t>
            </w:r>
          </w:p>
          <w:p>
            <w:pPr>
              <w:pStyle w:val="Normal"/>
              <w:spacing w:lineRule="auto" w:line="240"/>
              <w:jc w:val="center"/>
              <w:rPr>
                <w:rFonts w:ascii="Times New Roman" w:hAnsi="Times New Roman" w:cs="Times New Roman"/>
                <w:color w:val="000000" w:themeColor="text1"/>
                <w:sz w:val="22"/>
                <w:szCs w:val="22"/>
              </w:rPr>
            </w:pPr>
            <w:r>
              <w:rPr>
                <w:rFonts w:cs="Times New Roman" w:ascii="Times New Roman" w:hAnsi="Times New Roman"/>
                <w:color w:val="000000" w:themeColor="text1"/>
                <w:sz w:val="22"/>
                <w:szCs w:val="22"/>
              </w:rPr>
              <w:t>-</w:t>
            </w:r>
          </w:p>
          <w:p>
            <w:pPr>
              <w:pStyle w:val="Normal"/>
              <w:spacing w:lineRule="auto" w:line="240"/>
              <w:jc w:val="center"/>
              <w:rPr>
                <w:rFonts w:ascii="Times New Roman" w:hAnsi="Times New Roman" w:cs="Times New Roman"/>
                <w:color w:val="000000" w:themeColor="text1"/>
                <w:sz w:val="22"/>
                <w:szCs w:val="22"/>
              </w:rPr>
            </w:pPr>
            <w:r>
              <w:rPr>
                <w:rFonts w:cs="Times New Roman" w:ascii="Times New Roman" w:hAnsi="Times New Roman"/>
                <w:color w:val="000000" w:themeColor="text1"/>
                <w:sz w:val="22"/>
                <w:szCs w:val="22"/>
              </w:rPr>
              <w:t>ARC1/ARC2</w:t>
            </w:r>
          </w:p>
          <w:p>
            <w:pPr>
              <w:pStyle w:val="Normal"/>
              <w:spacing w:lineRule="auto" w:line="240"/>
              <w:jc w:val="center"/>
              <w:rPr>
                <w:rFonts w:ascii="Times New Roman" w:hAnsi="Times New Roman" w:cs="Times New Roman"/>
                <w:color w:val="000000" w:themeColor="text1"/>
                <w:sz w:val="22"/>
                <w:szCs w:val="22"/>
              </w:rPr>
            </w:pPr>
            <w:r>
              <w:rPr>
                <w:rFonts w:cs="Times New Roman" w:ascii="Times New Roman" w:hAnsi="Times New Roman"/>
                <w:color w:val="000000" w:themeColor="text1"/>
                <w:sz w:val="22"/>
                <w:szCs w:val="22"/>
              </w:rPr>
              <w:t>32</w:t>
            </w:r>
          </w:p>
          <w:p>
            <w:pPr>
              <w:pStyle w:val="Normal"/>
              <w:spacing w:lineRule="auto" w:line="240"/>
              <w:jc w:val="center"/>
              <w:rPr>
                <w:rFonts w:ascii="Times New Roman" w:hAnsi="Times New Roman" w:cs="Times New Roman"/>
                <w:color w:val="000000" w:themeColor="text1"/>
                <w:sz w:val="22"/>
                <w:szCs w:val="22"/>
              </w:rPr>
            </w:pPr>
            <w:r>
              <w:rPr>
                <w:rFonts w:cs="Times New Roman" w:ascii="Times New Roman" w:hAnsi="Times New Roman"/>
                <w:color w:val="000000" w:themeColor="text1"/>
                <w:sz w:val="22"/>
                <w:szCs w:val="22"/>
              </w:rPr>
              <w:t>~ 1</w:t>
            </w:r>
          </w:p>
          <w:p>
            <w:pPr>
              <w:pStyle w:val="Normal"/>
              <w:spacing w:lineRule="auto" w:line="240" w:before="0" w:after="120"/>
              <w:jc w:val="center"/>
              <w:rPr>
                <w:rFonts w:ascii="Times New Roman" w:hAnsi="Times New Roman" w:cs="Times New Roman"/>
                <w:color w:val="000000" w:themeColor="text1"/>
                <w:sz w:val="22"/>
                <w:szCs w:val="22"/>
              </w:rPr>
            </w:pPr>
            <w:r>
              <w:rPr>
                <w:rFonts w:cs="Times New Roman" w:ascii="Times New Roman" w:hAnsi="Times New Roman"/>
                <w:color w:val="000000" w:themeColor="text1"/>
                <w:sz w:val="22"/>
                <w:szCs w:val="22"/>
              </w:rPr>
            </w:r>
          </w:p>
        </w:tc>
        <w:tc>
          <w:tcPr>
            <w:tcW w:w="1656" w:type="dxa"/>
            <w:tcBorders/>
            <w:shd w:fill="auto" w:val="clear"/>
            <w:tcMar>
              <w:left w:w="108" w:type="dxa"/>
            </w:tcMar>
          </w:tcPr>
          <w:p>
            <w:pPr>
              <w:pStyle w:val="Normal"/>
              <w:spacing w:lineRule="auto" w:line="240"/>
              <w:jc w:val="center"/>
              <w:rPr>
                <w:rFonts w:ascii="Times New Roman" w:hAnsi="Times New Roman" w:cs="Times New Roman"/>
                <w:color w:val="000000" w:themeColor="text1"/>
                <w:sz w:val="22"/>
                <w:szCs w:val="22"/>
              </w:rPr>
            </w:pPr>
            <w:r>
              <w:rPr>
                <w:rFonts w:cs="Times New Roman" w:ascii="Times New Roman" w:hAnsi="Times New Roman"/>
                <w:color w:val="000000" w:themeColor="text1"/>
                <w:sz w:val="22"/>
                <w:szCs w:val="22"/>
              </w:rPr>
            </w:r>
          </w:p>
          <w:p>
            <w:pPr>
              <w:pStyle w:val="Normal"/>
              <w:spacing w:lineRule="auto" w:line="240"/>
              <w:jc w:val="center"/>
              <w:rPr>
                <w:rFonts w:ascii="Times New Roman" w:hAnsi="Times New Roman" w:cs="Times New Roman"/>
                <w:color w:val="000000" w:themeColor="text1"/>
                <w:sz w:val="22"/>
                <w:szCs w:val="22"/>
              </w:rPr>
            </w:pPr>
            <w:r>
              <w:rPr>
                <w:rFonts w:cs="Times New Roman" w:ascii="Times New Roman" w:hAnsi="Times New Roman"/>
                <w:color w:val="000000" w:themeColor="text1"/>
                <w:sz w:val="22"/>
                <w:szCs w:val="22"/>
              </w:rPr>
              <w:t>No</w:t>
            </w:r>
          </w:p>
          <w:p>
            <w:pPr>
              <w:pStyle w:val="Normal"/>
              <w:spacing w:lineRule="auto" w:line="240"/>
              <w:jc w:val="center"/>
              <w:rPr>
                <w:rFonts w:ascii="Times New Roman" w:hAnsi="Times New Roman" w:cs="Times New Roman"/>
                <w:color w:val="000000" w:themeColor="text1"/>
                <w:sz w:val="22"/>
                <w:szCs w:val="22"/>
              </w:rPr>
            </w:pPr>
            <w:r>
              <w:rPr>
                <w:rFonts w:cs="Times New Roman" w:ascii="Times New Roman" w:hAnsi="Times New Roman"/>
                <w:color w:val="000000" w:themeColor="text1"/>
                <w:sz w:val="22"/>
                <w:szCs w:val="22"/>
              </w:rPr>
              <w:t>~ 2,100,000</w:t>
            </w:r>
          </w:p>
          <w:p>
            <w:pPr>
              <w:pStyle w:val="Normal"/>
              <w:spacing w:lineRule="auto" w:line="240"/>
              <w:jc w:val="center"/>
              <w:rPr>
                <w:rFonts w:ascii="Times New Roman" w:hAnsi="Times New Roman" w:cs="Times New Roman"/>
                <w:color w:val="000000" w:themeColor="text1"/>
                <w:sz w:val="22"/>
                <w:szCs w:val="22"/>
              </w:rPr>
            </w:pPr>
            <w:r>
              <w:rPr>
                <w:rFonts w:cs="Times New Roman" w:ascii="Times New Roman" w:hAnsi="Times New Roman"/>
                <w:color w:val="000000" w:themeColor="text1"/>
                <w:sz w:val="22"/>
                <w:szCs w:val="22"/>
              </w:rPr>
              <w:t>672</w:t>
            </w:r>
          </w:p>
          <w:p>
            <w:pPr>
              <w:pStyle w:val="Normal"/>
              <w:spacing w:lineRule="auto" w:line="240"/>
              <w:jc w:val="center"/>
              <w:rPr>
                <w:rFonts w:ascii="Times New Roman" w:hAnsi="Times New Roman" w:cs="Times New Roman"/>
                <w:color w:val="000000" w:themeColor="text1"/>
                <w:sz w:val="22"/>
                <w:szCs w:val="22"/>
              </w:rPr>
            </w:pPr>
            <w:r>
              <w:rPr>
                <w:rFonts w:cs="Times New Roman" w:ascii="Times New Roman" w:hAnsi="Times New Roman"/>
                <w:color w:val="000000" w:themeColor="text1"/>
                <w:sz w:val="22"/>
                <w:szCs w:val="22"/>
              </w:rPr>
              <w:t>~ 700,000</w:t>
            </w:r>
          </w:p>
          <w:p>
            <w:pPr>
              <w:pStyle w:val="Normal"/>
              <w:spacing w:lineRule="auto" w:line="240"/>
              <w:jc w:val="center"/>
              <w:rPr>
                <w:rFonts w:ascii="Times New Roman" w:hAnsi="Times New Roman" w:cs="Times New Roman"/>
                <w:color w:val="000000" w:themeColor="text1"/>
                <w:sz w:val="22"/>
                <w:szCs w:val="22"/>
              </w:rPr>
            </w:pPr>
            <w:r>
              <w:rPr>
                <w:rFonts w:cs="Times New Roman" w:ascii="Times New Roman" w:hAnsi="Times New Roman"/>
                <w:color w:val="000000" w:themeColor="text1"/>
                <w:sz w:val="22"/>
                <w:szCs w:val="22"/>
              </w:rPr>
              <w:t>~ 3,200</w:t>
            </w:r>
          </w:p>
          <w:p>
            <w:pPr>
              <w:pStyle w:val="Normal"/>
              <w:spacing w:lineRule="auto" w:line="240"/>
              <w:jc w:val="center"/>
              <w:rPr>
                <w:rFonts w:ascii="Times New Roman" w:hAnsi="Times New Roman" w:cs="Times New Roman"/>
                <w:color w:val="000000" w:themeColor="text1"/>
                <w:sz w:val="22"/>
                <w:szCs w:val="22"/>
              </w:rPr>
            </w:pPr>
            <w:r>
              <w:rPr>
                <w:rFonts w:cs="Times New Roman" w:ascii="Times New Roman" w:hAnsi="Times New Roman"/>
                <w:color w:val="000000" w:themeColor="text1"/>
                <w:sz w:val="22"/>
                <w:szCs w:val="22"/>
              </w:rPr>
              <w:t>ARCHER</w:t>
            </w:r>
          </w:p>
          <w:p>
            <w:pPr>
              <w:pStyle w:val="Normal"/>
              <w:spacing w:lineRule="auto" w:line="240"/>
              <w:jc w:val="center"/>
              <w:rPr>
                <w:rFonts w:ascii="Times New Roman" w:hAnsi="Times New Roman" w:cs="Times New Roman"/>
                <w:color w:val="000000" w:themeColor="text1"/>
                <w:sz w:val="22"/>
                <w:szCs w:val="22"/>
              </w:rPr>
            </w:pPr>
            <w:r>
              <w:rPr>
                <w:rFonts w:cs="Times New Roman" w:ascii="Times New Roman" w:hAnsi="Times New Roman"/>
                <w:color w:val="000000" w:themeColor="text1"/>
                <w:sz w:val="22"/>
                <w:szCs w:val="22"/>
              </w:rPr>
              <w:t>256</w:t>
            </w:r>
          </w:p>
          <w:p>
            <w:pPr>
              <w:pStyle w:val="Normal"/>
              <w:spacing w:lineRule="auto" w:line="240"/>
              <w:jc w:val="center"/>
              <w:rPr>
                <w:rFonts w:ascii="Times New Roman" w:hAnsi="Times New Roman" w:cs="Times New Roman"/>
                <w:color w:val="000000" w:themeColor="text1"/>
                <w:sz w:val="22"/>
                <w:szCs w:val="22"/>
              </w:rPr>
            </w:pPr>
            <w:r>
              <w:rPr>
                <w:rFonts w:cs="Times New Roman" w:ascii="Times New Roman" w:hAnsi="Times New Roman"/>
                <w:color w:val="000000" w:themeColor="text1"/>
                <w:sz w:val="22"/>
                <w:szCs w:val="22"/>
              </w:rPr>
              <w:t>~ 5</w:t>
            </w:r>
          </w:p>
          <w:p>
            <w:pPr>
              <w:pStyle w:val="Normal"/>
              <w:spacing w:lineRule="auto" w:line="240" w:before="0" w:after="120"/>
              <w:jc w:val="center"/>
              <w:rPr>
                <w:rFonts w:ascii="Times New Roman" w:hAnsi="Times New Roman" w:cs="Times New Roman"/>
                <w:color w:val="000000" w:themeColor="text1"/>
                <w:sz w:val="22"/>
                <w:szCs w:val="22"/>
              </w:rPr>
            </w:pPr>
            <w:r>
              <w:rPr>
                <w:rFonts w:cs="Times New Roman" w:ascii="Times New Roman" w:hAnsi="Times New Roman"/>
                <w:color w:val="000000" w:themeColor="text1"/>
                <w:sz w:val="22"/>
                <w:szCs w:val="22"/>
              </w:rPr>
            </w:r>
          </w:p>
        </w:tc>
      </w:tr>
    </w:tbl>
    <w:p>
      <w:pPr>
        <w:pStyle w:val="Normal"/>
        <w:spacing w:lineRule="auto" w:line="360"/>
        <w:jc w:val="both"/>
        <w:rPr/>
      </w:pPr>
      <w:r>
        <w:rPr>
          <w:rFonts w:cs="Times New Roman" w:ascii="Times New Roman" w:hAnsi="Times New Roman"/>
          <w:b/>
          <w:color w:val="000000" w:themeColor="text1"/>
          <w:szCs w:val="24"/>
        </w:rPr>
        <w:t>Table 1</w:t>
      </w:r>
      <w:r>
        <w:rPr>
          <w:rFonts w:cs="Times New Roman" w:ascii="Times New Roman" w:hAnsi="Times New Roman"/>
          <w:color w:val="000000" w:themeColor="text1"/>
          <w:szCs w:val="24"/>
        </w:rPr>
        <w:t xml:space="preserve"> Comparison between implicit and explicit solvation of a 336 bp DNA minicircle system for the use of generalised born Surface approximation (GB/SA), numbers of atoms, numbers of nucleotide residues, numbers of water residues, numbers of ionic residues, numbers of processors working in parallel and simulation speed in ns/day.</w:t>
      </w:r>
    </w:p>
    <w:p>
      <w:pPr>
        <w:pStyle w:val="Normal"/>
        <w:spacing w:lineRule="auto" w:line="360"/>
        <w:jc w:val="both"/>
        <w:rPr>
          <w:rFonts w:ascii="Times New Roman" w:hAnsi="Times New Roman" w:cs="Times New Roman"/>
          <w:color w:val="000000" w:themeColor="text1"/>
          <w:szCs w:val="24"/>
        </w:rPr>
      </w:pPr>
      <w:r>
        <w:rPr/>
      </w:r>
    </w:p>
    <w:p>
      <w:pPr>
        <w:pStyle w:val="Normal"/>
        <w:spacing w:lineRule="auto" w:line="360"/>
        <w:jc w:val="both"/>
        <w:rPr>
          <w:rFonts w:ascii="Times New Roman" w:hAnsi="Times New Roman" w:cs="Times New Roman"/>
          <w:color w:val="000000" w:themeColor="text1"/>
          <w:szCs w:val="24"/>
        </w:rPr>
      </w:pPr>
      <w:r>
        <w:rPr/>
      </w:r>
    </w:p>
    <w:p>
      <w:pPr>
        <w:pStyle w:val="Normal"/>
        <w:spacing w:lineRule="auto" w:line="360"/>
        <w:jc w:val="both"/>
        <w:rPr>
          <w:rFonts w:ascii="Times New Roman" w:hAnsi="Times New Roman" w:cs="Times New Roman"/>
          <w:color w:val="000000" w:themeColor="text1"/>
          <w:szCs w:val="24"/>
        </w:rPr>
      </w:pPr>
      <w:r>
        <w:rPr/>
      </w:r>
    </w:p>
    <w:p>
      <w:pPr>
        <w:pStyle w:val="Normal"/>
        <w:spacing w:lineRule="auto" w:line="360"/>
        <w:jc w:val="both"/>
        <w:rPr>
          <w:rFonts w:ascii="Times New Roman" w:hAnsi="Times New Roman" w:cs="Times New Roman"/>
          <w:color w:val="000000" w:themeColor="text1"/>
          <w:szCs w:val="24"/>
        </w:rPr>
      </w:pPr>
      <w:r>
        <w:rPr/>
      </w:r>
    </w:p>
    <w:p>
      <w:pPr>
        <w:pStyle w:val="Normal"/>
        <w:spacing w:lineRule="auto" w:line="360"/>
        <w:jc w:val="both"/>
        <w:rPr>
          <w:rFonts w:ascii="Times New Roman" w:hAnsi="Times New Roman" w:cs="Times New Roman"/>
          <w:color w:val="000000" w:themeColor="text1"/>
          <w:szCs w:val="24"/>
        </w:rPr>
      </w:pPr>
      <w:r>
        <w:rPr/>
      </w:r>
    </w:p>
    <w:p>
      <w:pPr>
        <w:pStyle w:val="Normal"/>
        <w:spacing w:lineRule="auto" w:line="360"/>
        <w:jc w:val="both"/>
        <w:rPr>
          <w:rFonts w:ascii="Times New Roman" w:hAnsi="Times New Roman" w:cs="Times New Roman"/>
          <w:color w:val="000000" w:themeColor="text1"/>
          <w:szCs w:val="24"/>
        </w:rPr>
      </w:pPr>
      <w:r>
        <w:rPr/>
      </w:r>
    </w:p>
    <w:p>
      <w:pPr>
        <w:pStyle w:val="Normal"/>
        <w:spacing w:lineRule="auto" w:line="360"/>
        <w:jc w:val="both"/>
        <w:rPr>
          <w:rFonts w:ascii="Times New Roman" w:hAnsi="Times New Roman" w:cs="Times New Roman"/>
          <w:color w:val="000000" w:themeColor="text1"/>
          <w:szCs w:val="24"/>
        </w:rPr>
      </w:pPr>
      <w:r>
        <w:rPr/>
      </w:r>
    </w:p>
    <w:p>
      <w:pPr>
        <w:pStyle w:val="Normal"/>
        <w:spacing w:lineRule="auto" w:line="360"/>
        <w:jc w:val="both"/>
        <w:rPr>
          <w:rFonts w:ascii="Times New Roman" w:hAnsi="Times New Roman" w:cs="Times New Roman"/>
          <w:color w:val="000000" w:themeColor="text1"/>
          <w:szCs w:val="24"/>
        </w:rPr>
      </w:pPr>
      <w:r>
        <w:rPr/>
      </w:r>
    </w:p>
    <w:p>
      <w:pPr>
        <w:pStyle w:val="Normal"/>
        <w:spacing w:lineRule="auto" w:line="360"/>
        <w:jc w:val="both"/>
        <w:rPr>
          <w:rFonts w:ascii="Times New Roman" w:hAnsi="Times New Roman" w:cs="Times New Roman"/>
          <w:color w:val="000000" w:themeColor="text1"/>
          <w:szCs w:val="24"/>
        </w:rPr>
      </w:pPr>
      <w:r>
        <w:rPr/>
      </w:r>
    </w:p>
    <w:p>
      <w:pPr>
        <w:pStyle w:val="Normal"/>
        <w:spacing w:lineRule="auto" w:line="360"/>
        <w:jc w:val="both"/>
        <w:rPr>
          <w:rFonts w:ascii="Times New Roman" w:hAnsi="Times New Roman" w:cs="Times New Roman"/>
          <w:color w:val="000000" w:themeColor="text1"/>
          <w:szCs w:val="24"/>
        </w:rPr>
      </w:pPr>
      <w:r>
        <w:rPr/>
      </w:r>
    </w:p>
    <w:p>
      <w:pPr>
        <w:pStyle w:val="Normal"/>
        <w:spacing w:lineRule="auto" w:line="360"/>
        <w:jc w:val="both"/>
        <w:rPr>
          <w:rFonts w:ascii="Times New Roman" w:hAnsi="Times New Roman" w:cs="Times New Roman"/>
          <w:color w:val="000000" w:themeColor="text1"/>
          <w:szCs w:val="24"/>
        </w:rPr>
      </w:pPr>
      <w:r>
        <w:rPr/>
      </w:r>
    </w:p>
    <w:p>
      <w:pPr>
        <w:pStyle w:val="Normal"/>
        <w:spacing w:lineRule="auto" w:line="360"/>
        <w:jc w:val="both"/>
        <w:rPr>
          <w:rFonts w:ascii="Times New Roman" w:hAnsi="Times New Roman" w:cs="Times New Roman"/>
          <w:color w:val="000000" w:themeColor="text1"/>
          <w:szCs w:val="24"/>
        </w:rPr>
      </w:pPr>
      <w:r>
        <w:rPr/>
      </w:r>
    </w:p>
    <w:p>
      <w:pPr>
        <w:pStyle w:val="Normal"/>
        <w:spacing w:lineRule="auto" w:line="360"/>
        <w:jc w:val="both"/>
        <w:rPr>
          <w:rFonts w:ascii="Times New Roman" w:hAnsi="Times New Roman" w:cs="Times New Roman"/>
          <w:color w:val="000000" w:themeColor="text1"/>
          <w:szCs w:val="24"/>
        </w:rPr>
      </w:pPr>
      <w:bookmarkStart w:id="112" w:name="_GoBack"/>
      <w:bookmarkStart w:id="113" w:name="_GoBack"/>
      <w:bookmarkEnd w:id="113"/>
      <w:r>
        <w:rPr/>
      </w:r>
    </w:p>
    <w:tbl>
      <w:tblPr>
        <w:tblStyle w:val="TableGrid"/>
        <w:tblW w:w="8378" w:type="dxa"/>
        <w:jc w:val="left"/>
        <w:tblInd w:w="0" w:type="dxa"/>
        <w:tblCellMar>
          <w:top w:w="0" w:type="dxa"/>
          <w:left w:w="108" w:type="dxa"/>
          <w:bottom w:w="0" w:type="dxa"/>
          <w:right w:w="108" w:type="dxa"/>
        </w:tblCellMar>
        <w:tblLook w:val="04a0" w:noVBand="1" w:noHBand="0" w:lastColumn="0" w:firstColumn="1" w:lastRow="0" w:firstRow="1"/>
      </w:tblPr>
      <w:tblGrid>
        <w:gridCol w:w="2234"/>
        <w:gridCol w:w="6143"/>
      </w:tblGrid>
      <w:tr>
        <w:trPr/>
        <w:tc>
          <w:tcPr>
            <w:tcW w:w="2234" w:type="dxa"/>
            <w:tcBorders/>
            <w:shd w:fill="auto" w:val="clear"/>
            <w:tcMar>
              <w:left w:w="108" w:type="dxa"/>
            </w:tcMar>
          </w:tcPr>
          <w:p>
            <w:pPr>
              <w:pStyle w:val="Normal"/>
              <w:spacing w:lineRule="auto" w:line="276"/>
              <w:jc w:val="center"/>
              <w:rPr>
                <w:rFonts w:ascii="Times New Roman" w:hAnsi="Times New Roman"/>
                <w:sz w:val="18"/>
                <w:szCs w:val="18"/>
              </w:rPr>
            </w:pPr>
            <w:r>
              <w:rPr>
                <w:rFonts w:ascii="Times New Roman" w:hAnsi="Times New Roman"/>
                <w:sz w:val="18"/>
                <w:szCs w:val="18"/>
              </w:rPr>
            </w:r>
          </w:p>
          <w:p>
            <w:pPr>
              <w:pStyle w:val="Normal"/>
              <w:spacing w:lineRule="auto" w:line="276" w:before="0" w:after="120"/>
              <w:jc w:val="center"/>
              <w:rPr>
                <w:rFonts w:ascii="Times New Roman" w:hAnsi="Times New Roman"/>
                <w:b/>
                <w:b/>
                <w:sz w:val="18"/>
                <w:szCs w:val="18"/>
              </w:rPr>
            </w:pPr>
            <w:r>
              <w:rPr>
                <w:rFonts w:ascii="Times New Roman" w:hAnsi="Times New Roman"/>
                <w:b/>
                <w:sz w:val="18"/>
                <w:szCs w:val="18"/>
              </w:rPr>
              <w:t>Categories</w:t>
            </w:r>
          </w:p>
        </w:tc>
        <w:tc>
          <w:tcPr>
            <w:tcW w:w="6143" w:type="dxa"/>
            <w:tcBorders/>
            <w:shd w:fill="auto" w:val="clear"/>
            <w:tcMar>
              <w:left w:w="108" w:type="dxa"/>
            </w:tcMar>
          </w:tcPr>
          <w:p>
            <w:pPr>
              <w:pStyle w:val="Normal"/>
              <w:spacing w:lineRule="auto" w:line="276"/>
              <w:jc w:val="center"/>
              <w:rPr>
                <w:rFonts w:ascii="Times New Roman" w:hAnsi="Times New Roman"/>
                <w:sz w:val="18"/>
                <w:szCs w:val="18"/>
              </w:rPr>
            </w:pPr>
            <w:r>
              <w:rPr>
                <w:rFonts w:ascii="Times New Roman" w:hAnsi="Times New Roman"/>
                <w:sz w:val="18"/>
                <w:szCs w:val="18"/>
              </w:rPr>
            </w:r>
          </w:p>
          <w:p>
            <w:pPr>
              <w:pStyle w:val="Normal"/>
              <w:spacing w:lineRule="auto" w:line="276" w:before="0" w:after="120"/>
              <w:jc w:val="center"/>
              <w:rPr>
                <w:rFonts w:ascii="Times New Roman" w:hAnsi="Times New Roman"/>
                <w:b/>
                <w:b/>
                <w:sz w:val="18"/>
                <w:szCs w:val="18"/>
              </w:rPr>
            </w:pPr>
            <w:r>
              <w:rPr>
                <w:rFonts w:ascii="Times New Roman" w:hAnsi="Times New Roman"/>
                <w:b/>
                <w:sz w:val="18"/>
                <w:szCs w:val="18"/>
              </w:rPr>
              <w:t>Files</w:t>
            </w:r>
          </w:p>
        </w:tc>
      </w:tr>
      <w:tr>
        <w:trPr/>
        <w:tc>
          <w:tcPr>
            <w:tcW w:w="2234" w:type="dxa"/>
            <w:tcBorders/>
            <w:shd w:fill="auto" w:val="clear"/>
            <w:tcMar>
              <w:left w:w="108" w:type="dxa"/>
            </w:tcMar>
          </w:tcPr>
          <w:p>
            <w:pPr>
              <w:pStyle w:val="Normal"/>
              <w:spacing w:lineRule="auto" w:line="276"/>
              <w:rPr>
                <w:rFonts w:ascii="Times New Roman" w:hAnsi="Times New Roman"/>
                <w:sz w:val="18"/>
                <w:szCs w:val="18"/>
              </w:rPr>
            </w:pPr>
            <w:r>
              <w:rPr>
                <w:rFonts w:ascii="Times New Roman" w:hAnsi="Times New Roman"/>
                <w:sz w:val="18"/>
                <w:szCs w:val="18"/>
              </w:rPr>
            </w:r>
          </w:p>
          <w:p>
            <w:pPr>
              <w:pStyle w:val="Normal"/>
              <w:spacing w:lineRule="auto" w:line="276" w:before="0" w:after="120"/>
              <w:rPr>
                <w:rFonts w:ascii="Times New Roman" w:hAnsi="Times New Roman"/>
                <w:sz w:val="18"/>
                <w:szCs w:val="18"/>
              </w:rPr>
            </w:pPr>
            <w:r>
              <w:rPr>
                <w:rFonts w:ascii="Times New Roman" w:hAnsi="Times New Roman"/>
                <w:sz w:val="18"/>
                <w:szCs w:val="18"/>
              </w:rPr>
              <w:t>a) AMBER GB/SA preparation</w:t>
            </w:r>
          </w:p>
        </w:tc>
        <w:tc>
          <w:tcPr>
            <w:tcW w:w="6143" w:type="dxa"/>
            <w:tcBorders/>
            <w:shd w:fill="auto" w:val="clear"/>
            <w:tcMar>
              <w:left w:w="108" w:type="dxa"/>
            </w:tcMar>
          </w:tcPr>
          <w:p>
            <w:pPr>
              <w:pStyle w:val="ListParagraph"/>
              <w:spacing w:lineRule="auto" w:line="276"/>
              <w:rPr>
                <w:rFonts w:ascii="Times New Roman" w:hAnsi="Times New Roman"/>
                <w:sz w:val="18"/>
                <w:szCs w:val="18"/>
              </w:rPr>
            </w:pPr>
            <w:r>
              <w:rPr>
                <w:rFonts w:ascii="Times New Roman" w:hAnsi="Times New Roman"/>
                <w:sz w:val="18"/>
                <w:szCs w:val="18"/>
              </w:rPr>
            </w:r>
          </w:p>
          <w:p>
            <w:pPr>
              <w:pStyle w:val="ListParagraph"/>
              <w:numPr>
                <w:ilvl w:val="0"/>
                <w:numId w:val="1"/>
              </w:numPr>
              <w:spacing w:lineRule="auto" w:line="276"/>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circ.nab’: create a PDB file of DNA minicircle</w:t>
            </w:r>
            <w:r>
              <w:rPr>
                <w:rFonts w:ascii="Wingdings" w:hAnsi="Wingdings"/>
                <w:sz w:val="18"/>
                <w:szCs w:val="18"/>
              </w:rPr>
              <w:t></w:t>
            </w:r>
          </w:p>
          <w:p>
            <w:pPr>
              <w:pStyle w:val="ListParagraph"/>
              <w:numPr>
                <w:ilvl w:val="0"/>
                <w:numId w:val="1"/>
              </w:numPr>
              <w:spacing w:lineRule="auto" w:line="276"/>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leapscript_imp’: generate AMBER topology and starting coordinate files</w:t>
            </w:r>
          </w:p>
          <w:p>
            <w:pPr>
              <w:pStyle w:val="ListParagraph"/>
              <w:numPr>
                <w:ilvl w:val="0"/>
                <w:numId w:val="1"/>
              </w:numPr>
              <w:spacing w:lineRule="auto" w:line="276"/>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leaprc.ff99circ’: a forcefield parameter set specially used for DNA minicircles (DNA with no ends)</w:t>
            </w:r>
          </w:p>
          <w:p>
            <w:pPr>
              <w:pStyle w:val="ListParagraph"/>
              <w:numPr>
                <w:ilvl w:val="0"/>
                <w:numId w:val="1"/>
              </w:numPr>
              <w:spacing w:lineRule="auto" w:line="276"/>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all_nuc94bsc0_chiOL4.in’, ‘frcmod.parmbsc0’ and ‘frcmod.OL4.chi’: forcefield modification files for the dihedral parameters</w:t>
            </w:r>
          </w:p>
          <w:p>
            <w:pPr>
              <w:pStyle w:val="ListParagraph"/>
              <w:numPr>
                <w:ilvl w:val="0"/>
                <w:numId w:val="1"/>
              </w:numPr>
              <w:spacing w:lineRule="auto" w:line="276" w:before="0" w:after="120"/>
              <w:contextualSpacing/>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dangions.dat’: a forcefield modification file for the ion electrostatic parameter</w:t>
            </w:r>
          </w:p>
        </w:tc>
      </w:tr>
      <w:tr>
        <w:trPr/>
        <w:tc>
          <w:tcPr>
            <w:tcW w:w="2234" w:type="dxa"/>
            <w:tcBorders/>
            <w:shd w:fill="auto" w:val="clear"/>
            <w:tcMar>
              <w:left w:w="108" w:type="dxa"/>
            </w:tcMar>
          </w:tcPr>
          <w:p>
            <w:pPr>
              <w:pStyle w:val="Normal"/>
              <w:spacing w:lineRule="auto" w:line="276"/>
              <w:rPr>
                <w:rFonts w:ascii="Times New Roman" w:hAnsi="Times New Roman"/>
                <w:sz w:val="18"/>
                <w:szCs w:val="18"/>
              </w:rPr>
            </w:pPr>
            <w:r>
              <w:rPr>
                <w:rFonts w:ascii="Times New Roman" w:hAnsi="Times New Roman"/>
                <w:sz w:val="18"/>
                <w:szCs w:val="18"/>
              </w:rPr>
            </w:r>
          </w:p>
          <w:p>
            <w:pPr>
              <w:pStyle w:val="Normal"/>
              <w:spacing w:lineRule="auto" w:line="276" w:before="0" w:after="120"/>
              <w:rPr>
                <w:rFonts w:ascii="Times New Roman" w:hAnsi="Times New Roman"/>
                <w:sz w:val="18"/>
                <w:szCs w:val="18"/>
              </w:rPr>
            </w:pPr>
            <w:r>
              <w:rPr>
                <w:rFonts w:ascii="Times New Roman" w:hAnsi="Times New Roman"/>
                <w:sz w:val="18"/>
                <w:szCs w:val="18"/>
              </w:rPr>
              <w:t xml:space="preserve">b) AMBER GB/SA simulation </w:t>
            </w:r>
          </w:p>
        </w:tc>
        <w:tc>
          <w:tcPr>
            <w:tcW w:w="6143" w:type="dxa"/>
            <w:tcBorders/>
            <w:shd w:fill="auto" w:val="clear"/>
            <w:tcMar>
              <w:left w:w="108" w:type="dxa"/>
            </w:tcMar>
          </w:tcPr>
          <w:p>
            <w:pPr>
              <w:pStyle w:val="Normal"/>
              <w:spacing w:lineRule="auto" w:line="276"/>
              <w:rPr>
                <w:rFonts w:ascii="Times New Roman" w:hAnsi="Times New Roman"/>
                <w:sz w:val="18"/>
                <w:szCs w:val="18"/>
              </w:rPr>
            </w:pPr>
            <w:r>
              <w:rPr>
                <w:rFonts w:ascii="Times New Roman" w:hAnsi="Times New Roman"/>
                <w:sz w:val="18"/>
                <w:szCs w:val="18"/>
              </w:rPr>
            </w:r>
          </w:p>
          <w:p>
            <w:pPr>
              <w:pStyle w:val="ListParagraph"/>
              <w:numPr>
                <w:ilvl w:val="0"/>
                <w:numId w:val="1"/>
              </w:numPr>
              <w:spacing w:lineRule="auto" w:line="276"/>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molecule.prmtop’ and ‘molecule.inpcrd’: AMBER topology and starting coordinate files</w:t>
            </w:r>
          </w:p>
          <w:p>
            <w:pPr>
              <w:pStyle w:val="ListParagraph"/>
              <w:numPr>
                <w:ilvl w:val="0"/>
                <w:numId w:val="1"/>
              </w:numPr>
              <w:spacing w:lineRule="auto" w:line="276"/>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min1.in’ and ‘min2.in’: input parameters for minimisation in GB/SA implicit solvent</w:t>
            </w:r>
          </w:p>
          <w:p>
            <w:pPr>
              <w:pStyle w:val="ListParagraph"/>
              <w:numPr>
                <w:ilvl w:val="0"/>
                <w:numId w:val="1"/>
              </w:numPr>
              <w:spacing w:lineRule="auto" w:line="276"/>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md1.in’, ‘md2.in’ and ‘md3.in’: input parameters for equilibration in GB/SA implicit solvent with all atom coordinate restraints</w:t>
            </w:r>
          </w:p>
          <w:p>
            <w:pPr>
              <w:pStyle w:val="ListParagraph"/>
              <w:numPr>
                <w:ilvl w:val="0"/>
                <w:numId w:val="1"/>
              </w:numPr>
              <w:spacing w:lineRule="auto" w:line="276"/>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md4.in’: input parameters for a productive MD run in GB/SA implicit solvent with NMR distance restraints on hydrogen bonds</w:t>
            </w:r>
          </w:p>
          <w:p>
            <w:pPr>
              <w:pStyle w:val="ListParagraph"/>
              <w:numPr>
                <w:ilvl w:val="0"/>
                <w:numId w:val="1"/>
              </w:numPr>
              <w:spacing w:lineRule="auto" w:line="276"/>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RST’: all the information on the NMR restraints</w:t>
            </w:r>
          </w:p>
          <w:p>
            <w:pPr>
              <w:pStyle w:val="ListParagraph"/>
              <w:numPr>
                <w:ilvl w:val="0"/>
                <w:numId w:val="1"/>
              </w:numPr>
              <w:spacing w:lineRule="auto" w:line="276" w:before="0" w:after="120"/>
              <w:contextualSpacing/>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gbsa.sh’: shell commands to execute the minimisation, equilibration and productive MD runs within AMBER GB/SA implicit solvent</w:t>
            </w:r>
          </w:p>
        </w:tc>
      </w:tr>
      <w:tr>
        <w:trPr/>
        <w:tc>
          <w:tcPr>
            <w:tcW w:w="2234" w:type="dxa"/>
            <w:tcBorders/>
            <w:shd w:fill="auto" w:val="clear"/>
            <w:tcMar>
              <w:left w:w="108" w:type="dxa"/>
            </w:tcMar>
          </w:tcPr>
          <w:p>
            <w:pPr>
              <w:pStyle w:val="Normal"/>
              <w:spacing w:lineRule="auto" w:line="276"/>
              <w:rPr>
                <w:rFonts w:ascii="Times New Roman" w:hAnsi="Times New Roman"/>
                <w:sz w:val="18"/>
                <w:szCs w:val="18"/>
              </w:rPr>
            </w:pPr>
            <w:r>
              <w:rPr>
                <w:rFonts w:ascii="Times New Roman" w:hAnsi="Times New Roman"/>
                <w:sz w:val="18"/>
                <w:szCs w:val="18"/>
              </w:rPr>
            </w:r>
          </w:p>
          <w:p>
            <w:pPr>
              <w:pStyle w:val="Normal"/>
              <w:spacing w:lineRule="auto" w:line="276" w:before="0" w:after="120"/>
              <w:rPr>
                <w:rFonts w:ascii="Times New Roman" w:hAnsi="Times New Roman"/>
                <w:sz w:val="18"/>
                <w:szCs w:val="18"/>
              </w:rPr>
            </w:pPr>
            <w:r>
              <w:rPr>
                <w:rFonts w:ascii="Times New Roman" w:hAnsi="Times New Roman"/>
                <w:sz w:val="18"/>
                <w:szCs w:val="18"/>
              </w:rPr>
              <w:t>c) GROMACS explicit solvent preparation</w:t>
            </w:r>
          </w:p>
        </w:tc>
        <w:tc>
          <w:tcPr>
            <w:tcW w:w="6143" w:type="dxa"/>
            <w:tcBorders/>
            <w:shd w:fill="auto" w:val="clear"/>
            <w:tcMar>
              <w:left w:w="108" w:type="dxa"/>
            </w:tcMar>
          </w:tcPr>
          <w:p>
            <w:pPr>
              <w:pStyle w:val="Normal"/>
              <w:spacing w:lineRule="auto" w:line="276"/>
              <w:rPr>
                <w:rFonts w:ascii="Times New Roman" w:hAnsi="Times New Roman"/>
                <w:sz w:val="18"/>
                <w:szCs w:val="18"/>
              </w:rPr>
            </w:pPr>
            <w:r>
              <w:rPr>
                <w:rFonts w:ascii="Times New Roman" w:hAnsi="Times New Roman"/>
                <w:sz w:val="18"/>
                <w:szCs w:val="18"/>
              </w:rPr>
            </w:r>
          </w:p>
          <w:p>
            <w:pPr>
              <w:pStyle w:val="ListParagraph"/>
              <w:numPr>
                <w:ilvl w:val="0"/>
                <w:numId w:val="1"/>
              </w:numPr>
              <w:spacing w:lineRule="auto" w:line="276"/>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amb2gmx_dihe.pl’: perl script to convert the AMBER topology and coordinate files into GROMACS format</w:t>
            </w:r>
          </w:p>
          <w:p>
            <w:pPr>
              <w:pStyle w:val="ListParagraph"/>
              <w:numPr>
                <w:ilvl w:val="0"/>
                <w:numId w:val="1"/>
              </w:numPr>
              <w:spacing w:lineRule="auto" w:line="276"/>
              <w:rPr>
                <w:rFonts w:ascii="Times New Roman" w:hAnsi="Times New Roman"/>
                <w:sz w:val="18"/>
                <w:szCs w:val="18"/>
              </w:rPr>
            </w:pPr>
            <w:r>
              <w:rPr>
                <w:rFonts w:ascii="Times New Roman" w:hAnsi="Times New Roman"/>
                <w:sz w:val="18"/>
                <w:szCs w:val="18"/>
                <w:lang w:val="en-US"/>
              </w:rPr>
              <w:t>‘</w:t>
            </w:r>
            <w:r>
              <w:rPr>
                <w:rFonts w:ascii="Times New Roman" w:hAnsi="Times New Roman"/>
                <w:sz w:val="18"/>
                <w:szCs w:val="18"/>
                <w:lang w:val="en-US"/>
              </w:rPr>
              <w:t>ffbsc0.itp’, ‘tip3p.itp’ and ‘ions.itp’</w:t>
            </w:r>
            <w:r>
              <w:rPr>
                <w:rFonts w:ascii="Times New Roman" w:hAnsi="Times New Roman"/>
                <w:sz w:val="18"/>
                <w:szCs w:val="18"/>
              </w:rPr>
              <w:t>: ff99bsc0 forcefield for DNA, TIP3P water and ion models in GROMACS topology file format</w:t>
            </w:r>
          </w:p>
          <w:p>
            <w:pPr>
              <w:pStyle w:val="ListParagraph"/>
              <w:numPr>
                <w:ilvl w:val="0"/>
                <w:numId w:val="1"/>
              </w:numPr>
              <w:spacing w:lineRule="auto" w:line="276" w:before="0" w:after="120"/>
              <w:contextualSpacing/>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molecule.w.top’, ‘molecule.wp.top’, and ‘molecule.wnr.top’: GROMACS topology files for the system with water, counter-ions and monovalent salt ions under no artificial restraints</w:t>
            </w:r>
          </w:p>
        </w:tc>
      </w:tr>
      <w:tr>
        <w:trPr/>
        <w:tc>
          <w:tcPr>
            <w:tcW w:w="2234" w:type="dxa"/>
            <w:tcBorders/>
            <w:shd w:fill="auto" w:val="clear"/>
            <w:tcMar>
              <w:left w:w="108" w:type="dxa"/>
            </w:tcMar>
          </w:tcPr>
          <w:p>
            <w:pPr>
              <w:pStyle w:val="Normal"/>
              <w:spacing w:lineRule="auto" w:line="276"/>
              <w:rPr>
                <w:rFonts w:ascii="Times New Roman" w:hAnsi="Times New Roman"/>
                <w:sz w:val="18"/>
                <w:szCs w:val="18"/>
              </w:rPr>
            </w:pPr>
            <w:r>
              <w:rPr>
                <w:rFonts w:ascii="Times New Roman" w:hAnsi="Times New Roman"/>
                <w:sz w:val="18"/>
                <w:szCs w:val="18"/>
              </w:rPr>
            </w:r>
          </w:p>
          <w:p>
            <w:pPr>
              <w:pStyle w:val="Normal"/>
              <w:spacing w:lineRule="auto" w:line="276" w:before="0" w:after="120"/>
              <w:rPr>
                <w:rFonts w:ascii="Times New Roman" w:hAnsi="Times New Roman"/>
                <w:sz w:val="18"/>
                <w:szCs w:val="18"/>
              </w:rPr>
            </w:pPr>
            <w:r>
              <w:rPr>
                <w:rFonts w:ascii="Times New Roman" w:hAnsi="Times New Roman"/>
                <w:sz w:val="18"/>
                <w:szCs w:val="18"/>
              </w:rPr>
              <w:t>d) GROMACS explicit solvent simulation</w:t>
            </w:r>
          </w:p>
        </w:tc>
        <w:tc>
          <w:tcPr>
            <w:tcW w:w="6143" w:type="dxa"/>
            <w:tcBorders/>
            <w:shd w:fill="auto" w:val="clear"/>
            <w:tcMar>
              <w:left w:w="108" w:type="dxa"/>
            </w:tcMar>
          </w:tcPr>
          <w:p>
            <w:pPr>
              <w:pStyle w:val="Normal"/>
              <w:spacing w:lineRule="auto" w:line="276"/>
              <w:rPr>
                <w:rFonts w:ascii="Times New Roman" w:hAnsi="Times New Roman"/>
                <w:sz w:val="18"/>
                <w:szCs w:val="18"/>
              </w:rPr>
            </w:pPr>
            <w:r>
              <w:rPr>
                <w:rFonts w:ascii="Times New Roman" w:hAnsi="Times New Roman"/>
                <w:sz w:val="18"/>
                <w:szCs w:val="18"/>
              </w:rPr>
            </w:r>
          </w:p>
          <w:p>
            <w:pPr>
              <w:pStyle w:val="ListParagraph"/>
              <w:numPr>
                <w:ilvl w:val="0"/>
                <w:numId w:val="1"/>
              </w:numPr>
              <w:spacing w:lineRule="auto" w:line="276"/>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molecule.wpr.top’: the GROMACS topology file for the system with water and ions under coordinate position restraints</w:t>
            </w:r>
          </w:p>
          <w:p>
            <w:pPr>
              <w:pStyle w:val="ListParagraph"/>
              <w:numPr>
                <w:ilvl w:val="0"/>
                <w:numId w:val="1"/>
              </w:numPr>
              <w:spacing w:lineRule="auto" w:line="276"/>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em.mdp’, ‘eq.mdp’ and ‘md.mdp’: input parameter files for minimisation, equilibration and productive MD runs</w:t>
            </w:r>
          </w:p>
          <w:p>
            <w:pPr>
              <w:pStyle w:val="ListParagraph"/>
              <w:numPr>
                <w:ilvl w:val="0"/>
                <w:numId w:val="1"/>
              </w:numPr>
              <w:spacing w:lineRule="auto" w:line="276"/>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posre.itp’: a topology file containing information of coordinate position restraints</w:t>
            </w:r>
          </w:p>
          <w:p>
            <w:pPr>
              <w:pStyle w:val="ListParagraph"/>
              <w:numPr>
                <w:ilvl w:val="0"/>
                <w:numId w:val="1"/>
              </w:numPr>
              <w:spacing w:lineRule="auto" w:line="276"/>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gmxmd.sh’: shell commands to execute the minimisation, equilibration and productive MD runs within GRAMACS explicit solvent</w:t>
            </w:r>
          </w:p>
          <w:p>
            <w:pPr>
              <w:pStyle w:val="ListParagraph"/>
              <w:numPr>
                <w:ilvl w:val="0"/>
                <w:numId w:val="1"/>
              </w:numPr>
              <w:spacing w:lineRule="auto" w:line="276" w:before="0" w:after="120"/>
              <w:contextualSpacing/>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xtc2crd.tcl’: a tcl script for the VMD program to convert a GROMACS *.xtc compressed trajectory file into the AMBER *.mdcrd format</w:t>
            </w:r>
          </w:p>
        </w:tc>
      </w:tr>
      <w:tr>
        <w:trPr/>
        <w:tc>
          <w:tcPr>
            <w:tcW w:w="2234" w:type="dxa"/>
            <w:tcBorders/>
            <w:shd w:fill="auto" w:val="clear"/>
            <w:tcMar>
              <w:left w:w="108" w:type="dxa"/>
            </w:tcMar>
          </w:tcPr>
          <w:p>
            <w:pPr>
              <w:pStyle w:val="Normal"/>
              <w:spacing w:lineRule="auto" w:line="276"/>
              <w:rPr>
                <w:rFonts w:ascii="Times New Roman" w:hAnsi="Times New Roman"/>
                <w:sz w:val="18"/>
                <w:szCs w:val="18"/>
              </w:rPr>
            </w:pPr>
            <w:r>
              <w:rPr>
                <w:rFonts w:ascii="Times New Roman" w:hAnsi="Times New Roman"/>
                <w:sz w:val="18"/>
                <w:szCs w:val="18"/>
              </w:rPr>
            </w:r>
          </w:p>
          <w:p>
            <w:pPr>
              <w:pStyle w:val="Normal"/>
              <w:spacing w:lineRule="auto" w:line="276" w:before="0" w:after="120"/>
              <w:rPr>
                <w:rFonts w:ascii="Times New Roman" w:hAnsi="Times New Roman"/>
                <w:sz w:val="18"/>
                <w:szCs w:val="18"/>
              </w:rPr>
            </w:pPr>
            <w:r>
              <w:rPr>
                <w:rFonts w:ascii="Times New Roman" w:hAnsi="Times New Roman"/>
                <w:sz w:val="18"/>
                <w:szCs w:val="18"/>
              </w:rPr>
              <w:t>e) WrLINE</w:t>
            </w:r>
          </w:p>
        </w:tc>
        <w:tc>
          <w:tcPr>
            <w:tcW w:w="6143" w:type="dxa"/>
            <w:tcBorders/>
            <w:shd w:fill="auto" w:val="clear"/>
            <w:tcMar>
              <w:left w:w="108" w:type="dxa"/>
            </w:tcMar>
          </w:tcPr>
          <w:p>
            <w:pPr>
              <w:pStyle w:val="Normal"/>
              <w:spacing w:lineRule="auto" w:line="276"/>
              <w:rPr>
                <w:rFonts w:ascii="Times New Roman" w:hAnsi="Times New Roman"/>
                <w:sz w:val="18"/>
                <w:szCs w:val="18"/>
              </w:rPr>
            </w:pPr>
            <w:r>
              <w:rPr>
                <w:rFonts w:ascii="Times New Roman" w:hAnsi="Times New Roman"/>
                <w:sz w:val="18"/>
                <w:szCs w:val="18"/>
              </w:rPr>
            </w:r>
          </w:p>
          <w:p>
            <w:pPr>
              <w:pStyle w:val="ListParagraph"/>
              <w:numPr>
                <w:ilvl w:val="0"/>
                <w:numId w:val="1"/>
              </w:numPr>
              <w:spacing w:lineRule="auto" w:line="276" w:before="0" w:after="120"/>
              <w:contextualSpacing/>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WrLINE.py’: to run a package of PTRAJ and python scripts for the writhe measurement from AMBER topology and coordinate files</w:t>
            </w:r>
          </w:p>
        </w:tc>
      </w:tr>
    </w:tbl>
    <w:p>
      <w:pPr>
        <w:pStyle w:val="Normal"/>
        <w:spacing w:lineRule="auto" w:line="360"/>
        <w:jc w:val="both"/>
        <w:rPr/>
      </w:pPr>
      <w:r>
        <w:rPr>
          <w:rFonts w:cs="Times New Roman" w:ascii="Times New Roman" w:hAnsi="Times New Roman"/>
          <w:b/>
          <w:color w:val="000000" w:themeColor="text1"/>
          <w:szCs w:val="24"/>
        </w:rPr>
        <w:t>Table 2</w:t>
      </w:r>
      <w:r>
        <w:rPr>
          <w:rFonts w:cs="Times New Roman" w:ascii="Times New Roman" w:hAnsi="Times New Roman"/>
          <w:color w:val="000000" w:themeColor="text1"/>
          <w:szCs w:val="24"/>
        </w:rPr>
        <w:t xml:space="preserve"> List of the files used in a) preparing the minicircle DNA structures for GB/SA simulations, b) running the AMBER GB/SA implicit solvent simulations, c) preparing the GROMACS explicit solvent simulation, d) running the GROMACS explicit solvent simulations and e) measuring writhe values by WrLINE.</w:t>
      </w:r>
    </w:p>
    <w:tbl>
      <w:tblPr>
        <w:tblStyle w:val="TableGrid"/>
        <w:tblW w:w="8378" w:type="dxa"/>
        <w:jc w:val="left"/>
        <w:tblInd w:w="0" w:type="dxa"/>
        <w:tblCellMar>
          <w:top w:w="0" w:type="dxa"/>
          <w:left w:w="108" w:type="dxa"/>
          <w:bottom w:w="0" w:type="dxa"/>
          <w:right w:w="108" w:type="dxa"/>
        </w:tblCellMar>
        <w:tblLook w:val="04a0" w:noVBand="1" w:noHBand="0" w:lastColumn="0" w:firstColumn="1" w:lastRow="0" w:firstRow="1"/>
      </w:tblPr>
      <w:tblGrid>
        <w:gridCol w:w="2373"/>
        <w:gridCol w:w="4049"/>
        <w:gridCol w:w="1956"/>
      </w:tblGrid>
      <w:tr>
        <w:trPr>
          <w:trHeight w:val="328" w:hRule="atLeast"/>
        </w:trPr>
        <w:tc>
          <w:tcPr>
            <w:tcW w:w="2373" w:type="dxa"/>
            <w:tcBorders/>
            <w:shd w:fill="auto" w:val="clear"/>
            <w:tcMar>
              <w:left w:w="108" w:type="dxa"/>
            </w:tcMar>
          </w:tcPr>
          <w:p>
            <w:pPr>
              <w:pStyle w:val="Normal"/>
              <w:spacing w:lineRule="auto" w:line="240"/>
              <w:jc w:val="center"/>
              <w:rPr>
                <w:rFonts w:ascii="Times New Roman" w:hAnsi="Times New Roman" w:cs="Times New Roman"/>
                <w:b/>
                <w:b/>
                <w:color w:val="000000" w:themeColor="text1"/>
                <w:sz w:val="22"/>
                <w:szCs w:val="26"/>
              </w:rPr>
            </w:pPr>
            <w:r>
              <w:rPr>
                <w:rFonts w:cs="Times New Roman" w:ascii="Times New Roman" w:hAnsi="Times New Roman"/>
                <w:b/>
                <w:color w:val="000000" w:themeColor="text1"/>
                <w:sz w:val="22"/>
                <w:szCs w:val="26"/>
              </w:rPr>
            </w:r>
          </w:p>
          <w:p>
            <w:pPr>
              <w:pStyle w:val="Normal"/>
              <w:spacing w:lineRule="auto" w:line="240" w:before="0" w:after="120"/>
              <w:jc w:val="center"/>
              <w:rPr>
                <w:rFonts w:ascii="Times New Roman" w:hAnsi="Times New Roman" w:cs="Times New Roman"/>
                <w:b/>
                <w:b/>
                <w:color w:val="000000" w:themeColor="text1"/>
                <w:sz w:val="22"/>
                <w:szCs w:val="26"/>
              </w:rPr>
            </w:pPr>
            <w:r>
              <w:rPr>
                <w:rFonts w:cs="Times New Roman" w:ascii="Times New Roman" w:hAnsi="Times New Roman"/>
                <w:b/>
                <w:color w:val="000000" w:themeColor="text1"/>
                <w:sz w:val="22"/>
                <w:szCs w:val="26"/>
              </w:rPr>
              <w:t>Stages</w:t>
            </w:r>
          </w:p>
        </w:tc>
        <w:tc>
          <w:tcPr>
            <w:tcW w:w="4049" w:type="dxa"/>
            <w:tcBorders/>
            <w:shd w:fill="auto" w:val="clear"/>
            <w:tcMar>
              <w:left w:w="108" w:type="dxa"/>
            </w:tcMar>
          </w:tcPr>
          <w:p>
            <w:pPr>
              <w:pStyle w:val="Normal"/>
              <w:spacing w:lineRule="auto" w:line="240"/>
              <w:jc w:val="center"/>
              <w:rPr>
                <w:rFonts w:ascii="Times New Roman" w:hAnsi="Times New Roman" w:cs="Times New Roman"/>
                <w:b/>
                <w:b/>
                <w:color w:val="000000" w:themeColor="text1"/>
                <w:sz w:val="22"/>
                <w:szCs w:val="26"/>
              </w:rPr>
            </w:pPr>
            <w:r>
              <w:rPr>
                <w:rFonts w:cs="Times New Roman" w:ascii="Times New Roman" w:hAnsi="Times New Roman"/>
                <w:b/>
                <w:color w:val="000000" w:themeColor="text1"/>
                <w:sz w:val="22"/>
                <w:szCs w:val="26"/>
              </w:rPr>
            </w:r>
          </w:p>
          <w:p>
            <w:pPr>
              <w:pStyle w:val="Normal"/>
              <w:spacing w:lineRule="auto" w:line="240" w:before="0" w:after="120"/>
              <w:jc w:val="center"/>
              <w:rPr>
                <w:rFonts w:ascii="Times New Roman" w:hAnsi="Times New Roman" w:cs="Times New Roman"/>
                <w:b/>
                <w:b/>
                <w:color w:val="000000" w:themeColor="text1"/>
                <w:sz w:val="22"/>
                <w:szCs w:val="26"/>
              </w:rPr>
            </w:pPr>
            <w:r>
              <w:rPr>
                <w:rFonts w:cs="Times New Roman" w:ascii="Times New Roman" w:hAnsi="Times New Roman"/>
                <w:b/>
                <w:color w:val="000000" w:themeColor="text1"/>
                <w:sz w:val="22"/>
                <w:szCs w:val="26"/>
              </w:rPr>
              <w:t>Restraints</w:t>
            </w:r>
          </w:p>
        </w:tc>
        <w:tc>
          <w:tcPr>
            <w:tcW w:w="1956" w:type="dxa"/>
            <w:tcBorders/>
            <w:shd w:fill="auto" w:val="clear"/>
            <w:tcMar>
              <w:left w:w="108" w:type="dxa"/>
            </w:tcMar>
          </w:tcPr>
          <w:p>
            <w:pPr>
              <w:pStyle w:val="Normal"/>
              <w:spacing w:lineRule="auto" w:line="240"/>
              <w:jc w:val="center"/>
              <w:rPr>
                <w:rFonts w:ascii="Times New Roman" w:hAnsi="Times New Roman" w:cs="Times New Roman"/>
                <w:b/>
                <w:b/>
                <w:color w:val="000000" w:themeColor="text1"/>
                <w:sz w:val="20"/>
              </w:rPr>
            </w:pPr>
            <w:r>
              <w:rPr>
                <w:rFonts w:cs="Times New Roman" w:ascii="Times New Roman" w:hAnsi="Times New Roman"/>
                <w:b/>
                <w:color w:val="000000" w:themeColor="text1"/>
                <w:sz w:val="20"/>
              </w:rPr>
            </w:r>
          </w:p>
          <w:p>
            <w:pPr>
              <w:pStyle w:val="Normal"/>
              <w:spacing w:lineRule="auto" w:line="240" w:before="0" w:after="120"/>
              <w:jc w:val="center"/>
              <w:rPr>
                <w:rFonts w:ascii="Times New Roman" w:hAnsi="Times New Roman" w:cs="Times New Roman"/>
                <w:b/>
                <w:b/>
                <w:color w:val="000000" w:themeColor="text1"/>
                <w:sz w:val="20"/>
              </w:rPr>
            </w:pPr>
            <w:r>
              <w:rPr>
                <w:rFonts w:cs="Times New Roman" w:ascii="Times New Roman" w:hAnsi="Times New Roman"/>
                <w:b/>
                <w:color w:val="000000" w:themeColor="text1"/>
                <w:sz w:val="20"/>
              </w:rPr>
              <w:t>Durations</w:t>
            </w:r>
          </w:p>
        </w:tc>
      </w:tr>
      <w:tr>
        <w:trPr/>
        <w:tc>
          <w:tcPr>
            <w:tcW w:w="2373" w:type="dxa"/>
            <w:tcBorders>
              <w:bottom w:val="nil"/>
              <w:insideH w:val="nil"/>
            </w:tcBorders>
            <w:shd w:fill="auto" w:val="clear"/>
            <w:tcMar>
              <w:left w:w="108" w:type="dxa"/>
            </w:tcMar>
          </w:tcPr>
          <w:p>
            <w:pPr>
              <w:pStyle w:val="Normal"/>
              <w:spacing w:lineRule="auto" w:line="240"/>
              <w:jc w:val="center"/>
              <w:rPr>
                <w:rFonts w:ascii="Times New Roman" w:hAnsi="Times New Roman" w:cs="Times New Roman"/>
                <w:b/>
                <w:b/>
                <w:color w:val="000000" w:themeColor="text1"/>
                <w:sz w:val="20"/>
              </w:rPr>
            </w:pPr>
            <w:r>
              <w:rPr>
                <w:rFonts w:cs="Times New Roman" w:ascii="Times New Roman" w:hAnsi="Times New Roman"/>
                <w:b/>
                <w:color w:val="000000" w:themeColor="text1"/>
                <w:sz w:val="20"/>
              </w:rPr>
            </w:r>
          </w:p>
          <w:p>
            <w:pPr>
              <w:pStyle w:val="Normal"/>
              <w:spacing w:lineRule="auto" w:line="240" w:before="0" w:after="120"/>
              <w:jc w:val="center"/>
              <w:rPr>
                <w:rFonts w:ascii="Times New Roman" w:hAnsi="Times New Roman" w:cs="Times New Roman"/>
                <w:b/>
                <w:b/>
                <w:color w:val="000000" w:themeColor="text1"/>
                <w:sz w:val="20"/>
              </w:rPr>
            </w:pPr>
            <w:r>
              <w:rPr>
                <w:rFonts w:cs="Times New Roman" w:ascii="Times New Roman" w:hAnsi="Times New Roman"/>
                <w:b/>
                <w:color w:val="000000" w:themeColor="text1"/>
                <w:sz w:val="20"/>
              </w:rPr>
              <w:t>Mininisation 1</w:t>
            </w:r>
          </w:p>
        </w:tc>
        <w:tc>
          <w:tcPr>
            <w:tcW w:w="4049" w:type="dxa"/>
            <w:tcBorders>
              <w:bottom w:val="nil"/>
              <w:insideH w:val="nil"/>
            </w:tcBorders>
            <w:shd w:fill="auto" w:val="clear"/>
            <w:tcMar>
              <w:left w:w="108" w:type="dxa"/>
            </w:tcMar>
          </w:tcPr>
          <w:p>
            <w:pPr>
              <w:pStyle w:val="Normal"/>
              <w:spacing w:lineRule="auto" w:line="24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r>
          </w:p>
          <w:p>
            <w:pPr>
              <w:pStyle w:val="Normal"/>
              <w:spacing w:lineRule="auto" w:line="240" w:before="0" w:after="12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t xml:space="preserve"> </w:t>
            </w:r>
            <w:r>
              <w:rPr>
                <w:rFonts w:cs="Times New Roman" w:ascii="Times New Roman" w:hAnsi="Times New Roman"/>
                <w:color w:val="000000" w:themeColor="text1"/>
                <w:sz w:val="20"/>
              </w:rPr>
              <w:t>k = 50.0 kCal/mol/Å</w:t>
            </w:r>
            <w:r>
              <w:rPr>
                <w:rFonts w:cs="Times New Roman" w:ascii="Times New Roman" w:hAnsi="Times New Roman"/>
                <w:color w:val="000000" w:themeColor="text1"/>
                <w:sz w:val="20"/>
                <w:vertAlign w:val="superscript"/>
              </w:rPr>
              <w:t>2</w:t>
            </w:r>
          </w:p>
        </w:tc>
        <w:tc>
          <w:tcPr>
            <w:tcW w:w="1956" w:type="dxa"/>
            <w:tcBorders>
              <w:bottom w:val="nil"/>
              <w:insideH w:val="nil"/>
            </w:tcBorders>
            <w:shd w:fill="auto" w:val="clear"/>
            <w:tcMar>
              <w:left w:w="108" w:type="dxa"/>
            </w:tcMar>
          </w:tcPr>
          <w:p>
            <w:pPr>
              <w:pStyle w:val="Normal"/>
              <w:spacing w:lineRule="auto" w:line="24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r>
          </w:p>
          <w:p>
            <w:pPr>
              <w:pStyle w:val="Normal"/>
              <w:spacing w:lineRule="auto" w:line="240" w:before="0" w:after="12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t>10000 cycles</w:t>
            </w:r>
          </w:p>
        </w:tc>
      </w:tr>
      <w:tr>
        <w:trPr>
          <w:trHeight w:val="424" w:hRule="atLeast"/>
        </w:trPr>
        <w:tc>
          <w:tcPr>
            <w:tcW w:w="2373" w:type="dxa"/>
            <w:tcBorders>
              <w:top w:val="nil"/>
              <w:bottom w:val="nil"/>
              <w:insideH w:val="nil"/>
            </w:tcBorders>
            <w:shd w:fill="auto" w:val="clear"/>
            <w:tcMar>
              <w:left w:w="108" w:type="dxa"/>
            </w:tcMar>
          </w:tcPr>
          <w:p>
            <w:pPr>
              <w:pStyle w:val="Normal"/>
              <w:spacing w:lineRule="auto" w:line="240" w:before="0" w:after="120"/>
              <w:jc w:val="center"/>
              <w:rPr>
                <w:rFonts w:ascii="Times New Roman" w:hAnsi="Times New Roman" w:cs="Times New Roman"/>
                <w:b/>
                <w:b/>
                <w:color w:val="000000" w:themeColor="text1"/>
                <w:sz w:val="20"/>
              </w:rPr>
            </w:pPr>
            <w:r>
              <w:rPr>
                <w:rFonts w:cs="Times New Roman" w:ascii="Times New Roman" w:hAnsi="Times New Roman"/>
                <w:b/>
                <w:color w:val="000000" w:themeColor="text1"/>
                <w:sz w:val="20"/>
              </w:rPr>
              <w:t>Mininisation 2</w:t>
            </w:r>
          </w:p>
        </w:tc>
        <w:tc>
          <w:tcPr>
            <w:tcW w:w="4049" w:type="dxa"/>
            <w:tcBorders>
              <w:top w:val="nil"/>
              <w:bottom w:val="nil"/>
              <w:insideH w:val="nil"/>
            </w:tcBorders>
            <w:shd w:fill="auto" w:val="clear"/>
            <w:tcMar>
              <w:left w:w="108" w:type="dxa"/>
            </w:tcMar>
          </w:tcPr>
          <w:p>
            <w:pPr>
              <w:pStyle w:val="Normal"/>
              <w:spacing w:lineRule="auto" w:line="240" w:before="0" w:after="12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t>No restraints</w:t>
            </w:r>
          </w:p>
        </w:tc>
        <w:tc>
          <w:tcPr>
            <w:tcW w:w="1956" w:type="dxa"/>
            <w:tcBorders>
              <w:top w:val="nil"/>
              <w:bottom w:val="nil"/>
              <w:insideH w:val="nil"/>
            </w:tcBorders>
            <w:shd w:fill="auto" w:val="clear"/>
            <w:tcMar>
              <w:left w:w="108" w:type="dxa"/>
            </w:tcMar>
          </w:tcPr>
          <w:p>
            <w:pPr>
              <w:pStyle w:val="Normal"/>
              <w:spacing w:lineRule="auto" w:line="240" w:before="0" w:after="12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t>10000 cycles</w:t>
            </w:r>
          </w:p>
        </w:tc>
      </w:tr>
      <w:tr>
        <w:trPr/>
        <w:tc>
          <w:tcPr>
            <w:tcW w:w="2373" w:type="dxa"/>
            <w:tcBorders>
              <w:top w:val="nil"/>
              <w:bottom w:val="nil"/>
              <w:insideH w:val="nil"/>
            </w:tcBorders>
            <w:shd w:fill="auto" w:val="clear"/>
            <w:tcMar>
              <w:left w:w="108" w:type="dxa"/>
            </w:tcMar>
          </w:tcPr>
          <w:p>
            <w:pPr>
              <w:pStyle w:val="Normal"/>
              <w:spacing w:lineRule="auto" w:line="240" w:before="0" w:after="120"/>
              <w:jc w:val="center"/>
              <w:rPr>
                <w:rFonts w:ascii="Times New Roman" w:hAnsi="Times New Roman" w:cs="Times New Roman"/>
                <w:b/>
                <w:b/>
                <w:color w:val="000000" w:themeColor="text1"/>
                <w:sz w:val="20"/>
              </w:rPr>
            </w:pPr>
            <w:r>
              <w:rPr>
                <w:rFonts w:cs="Times New Roman" w:ascii="Times New Roman" w:hAnsi="Times New Roman"/>
                <w:b/>
                <w:color w:val="000000" w:themeColor="text1"/>
                <w:sz w:val="20"/>
              </w:rPr>
              <w:t>Equilibration 1</w:t>
            </w:r>
          </w:p>
        </w:tc>
        <w:tc>
          <w:tcPr>
            <w:tcW w:w="4049" w:type="dxa"/>
            <w:tcBorders>
              <w:top w:val="nil"/>
              <w:bottom w:val="nil"/>
              <w:insideH w:val="nil"/>
            </w:tcBorders>
            <w:shd w:fill="auto" w:val="clear"/>
            <w:tcMar>
              <w:left w:w="108" w:type="dxa"/>
            </w:tcMar>
          </w:tcPr>
          <w:p>
            <w:pPr>
              <w:pStyle w:val="Normal"/>
              <w:spacing w:lineRule="auto" w:line="240" w:before="0" w:after="12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t>k = 50.0 kCal/mol/Å</w:t>
            </w:r>
            <w:r>
              <w:rPr>
                <w:rFonts w:cs="Times New Roman" w:ascii="Times New Roman" w:hAnsi="Times New Roman"/>
                <w:color w:val="000000" w:themeColor="text1"/>
                <w:sz w:val="20"/>
                <w:vertAlign w:val="superscript"/>
              </w:rPr>
              <w:t>2</w:t>
            </w:r>
            <w:r>
              <w:rPr>
                <w:rFonts w:cs="Times New Roman" w:ascii="Times New Roman" w:hAnsi="Times New Roman"/>
                <w:color w:val="000000" w:themeColor="text1"/>
                <w:sz w:val="20"/>
              </w:rPr>
              <w:t>, T=100-300K</w:t>
            </w:r>
          </w:p>
        </w:tc>
        <w:tc>
          <w:tcPr>
            <w:tcW w:w="1956" w:type="dxa"/>
            <w:tcBorders>
              <w:top w:val="nil"/>
              <w:bottom w:val="nil"/>
              <w:insideH w:val="nil"/>
            </w:tcBorders>
            <w:shd w:fill="auto" w:val="clear"/>
            <w:tcMar>
              <w:left w:w="108" w:type="dxa"/>
            </w:tcMar>
          </w:tcPr>
          <w:p>
            <w:pPr>
              <w:pStyle w:val="Normal"/>
              <w:spacing w:lineRule="auto" w:line="240" w:before="0" w:after="12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t>10 ps</w:t>
            </w:r>
          </w:p>
        </w:tc>
      </w:tr>
      <w:tr>
        <w:trPr/>
        <w:tc>
          <w:tcPr>
            <w:tcW w:w="2373" w:type="dxa"/>
            <w:tcBorders>
              <w:top w:val="nil"/>
              <w:bottom w:val="nil"/>
              <w:insideH w:val="nil"/>
            </w:tcBorders>
            <w:shd w:fill="auto" w:val="clear"/>
            <w:tcMar>
              <w:left w:w="108" w:type="dxa"/>
            </w:tcMar>
          </w:tcPr>
          <w:p>
            <w:pPr>
              <w:pStyle w:val="Normal"/>
              <w:spacing w:lineRule="auto" w:line="240" w:before="0" w:after="120"/>
              <w:jc w:val="center"/>
              <w:rPr>
                <w:rFonts w:ascii="Times New Roman" w:hAnsi="Times New Roman" w:cs="Times New Roman"/>
                <w:b/>
                <w:b/>
                <w:color w:val="000000" w:themeColor="text1"/>
                <w:sz w:val="20"/>
              </w:rPr>
            </w:pPr>
            <w:r>
              <w:rPr>
                <w:rFonts w:cs="Times New Roman" w:ascii="Times New Roman" w:hAnsi="Times New Roman"/>
                <w:b/>
                <w:color w:val="000000" w:themeColor="text1"/>
                <w:sz w:val="20"/>
              </w:rPr>
              <w:t>Equilibration 2</w:t>
            </w:r>
          </w:p>
        </w:tc>
        <w:tc>
          <w:tcPr>
            <w:tcW w:w="4049" w:type="dxa"/>
            <w:tcBorders>
              <w:top w:val="nil"/>
              <w:bottom w:val="nil"/>
              <w:insideH w:val="nil"/>
            </w:tcBorders>
            <w:shd w:fill="auto" w:val="clear"/>
            <w:tcMar>
              <w:left w:w="108" w:type="dxa"/>
            </w:tcMar>
          </w:tcPr>
          <w:p>
            <w:pPr>
              <w:pStyle w:val="Normal"/>
              <w:spacing w:lineRule="auto" w:line="240" w:before="0" w:after="12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t>k = 10.0 kCal/mol/Å</w:t>
            </w:r>
            <w:r>
              <w:rPr>
                <w:rFonts w:cs="Times New Roman" w:ascii="Times New Roman" w:hAnsi="Times New Roman"/>
                <w:color w:val="000000" w:themeColor="text1"/>
                <w:sz w:val="20"/>
                <w:vertAlign w:val="superscript"/>
              </w:rPr>
              <w:t>2</w:t>
            </w:r>
            <w:r>
              <w:rPr>
                <w:rFonts w:cs="Times New Roman" w:ascii="Times New Roman" w:hAnsi="Times New Roman"/>
                <w:color w:val="000000" w:themeColor="text1"/>
                <w:sz w:val="20"/>
              </w:rPr>
              <w:t>, T = 300K</w:t>
            </w:r>
          </w:p>
        </w:tc>
        <w:tc>
          <w:tcPr>
            <w:tcW w:w="1956" w:type="dxa"/>
            <w:tcBorders>
              <w:top w:val="nil"/>
              <w:bottom w:val="nil"/>
              <w:insideH w:val="nil"/>
            </w:tcBorders>
            <w:shd w:fill="auto" w:val="clear"/>
            <w:tcMar>
              <w:left w:w="108" w:type="dxa"/>
            </w:tcMar>
          </w:tcPr>
          <w:p>
            <w:pPr>
              <w:pStyle w:val="Normal"/>
              <w:spacing w:lineRule="auto" w:line="240" w:before="0" w:after="12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t>100 ps</w:t>
            </w:r>
          </w:p>
        </w:tc>
      </w:tr>
      <w:tr>
        <w:trPr/>
        <w:tc>
          <w:tcPr>
            <w:tcW w:w="2373" w:type="dxa"/>
            <w:tcBorders>
              <w:top w:val="nil"/>
              <w:bottom w:val="nil"/>
              <w:insideH w:val="nil"/>
            </w:tcBorders>
            <w:shd w:fill="auto" w:val="clear"/>
            <w:tcMar>
              <w:left w:w="108" w:type="dxa"/>
            </w:tcMar>
          </w:tcPr>
          <w:p>
            <w:pPr>
              <w:pStyle w:val="Normal"/>
              <w:spacing w:lineRule="auto" w:line="240" w:before="0" w:after="120"/>
              <w:jc w:val="center"/>
              <w:rPr>
                <w:rFonts w:ascii="Times New Roman" w:hAnsi="Times New Roman" w:cs="Times New Roman"/>
                <w:b/>
                <w:b/>
                <w:color w:val="000000" w:themeColor="text1"/>
                <w:sz w:val="20"/>
              </w:rPr>
            </w:pPr>
            <w:r>
              <w:rPr>
                <w:rFonts w:cs="Times New Roman" w:ascii="Times New Roman" w:hAnsi="Times New Roman"/>
                <w:b/>
                <w:color w:val="000000" w:themeColor="text1"/>
                <w:sz w:val="20"/>
              </w:rPr>
              <w:t>Equilibration 3</w:t>
            </w:r>
          </w:p>
        </w:tc>
        <w:tc>
          <w:tcPr>
            <w:tcW w:w="4049" w:type="dxa"/>
            <w:tcBorders>
              <w:top w:val="nil"/>
              <w:bottom w:val="nil"/>
              <w:insideH w:val="nil"/>
            </w:tcBorders>
            <w:shd w:fill="auto" w:val="clear"/>
            <w:tcMar>
              <w:left w:w="108" w:type="dxa"/>
            </w:tcMar>
          </w:tcPr>
          <w:p>
            <w:pPr>
              <w:pStyle w:val="Normal"/>
              <w:spacing w:lineRule="auto" w:line="240" w:before="0" w:after="12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t>k = 1.0 kCal/mol/Å</w:t>
            </w:r>
            <w:r>
              <w:rPr>
                <w:rFonts w:cs="Times New Roman" w:ascii="Times New Roman" w:hAnsi="Times New Roman"/>
                <w:color w:val="000000" w:themeColor="text1"/>
                <w:sz w:val="20"/>
                <w:vertAlign w:val="superscript"/>
              </w:rPr>
              <w:t>2</w:t>
            </w:r>
            <w:r>
              <w:rPr>
                <w:rFonts w:cs="Times New Roman" w:ascii="Times New Roman" w:hAnsi="Times New Roman"/>
                <w:color w:val="000000" w:themeColor="text1"/>
                <w:sz w:val="20"/>
              </w:rPr>
              <w:t>, T = 300K</w:t>
            </w:r>
          </w:p>
        </w:tc>
        <w:tc>
          <w:tcPr>
            <w:tcW w:w="1956" w:type="dxa"/>
            <w:tcBorders>
              <w:top w:val="nil"/>
              <w:bottom w:val="nil"/>
              <w:insideH w:val="nil"/>
            </w:tcBorders>
            <w:shd w:fill="auto" w:val="clear"/>
            <w:tcMar>
              <w:left w:w="108" w:type="dxa"/>
            </w:tcMar>
          </w:tcPr>
          <w:p>
            <w:pPr>
              <w:pStyle w:val="Normal"/>
              <w:spacing w:lineRule="auto" w:line="240" w:before="0" w:after="12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t>200 ps</w:t>
            </w:r>
          </w:p>
        </w:tc>
      </w:tr>
      <w:tr>
        <w:trPr>
          <w:trHeight w:val="378" w:hRule="atLeast"/>
        </w:trPr>
        <w:tc>
          <w:tcPr>
            <w:tcW w:w="2373" w:type="dxa"/>
            <w:tcBorders>
              <w:top w:val="nil"/>
            </w:tcBorders>
            <w:shd w:fill="auto" w:val="clear"/>
            <w:tcMar>
              <w:left w:w="108" w:type="dxa"/>
            </w:tcMar>
          </w:tcPr>
          <w:p>
            <w:pPr>
              <w:pStyle w:val="Normal"/>
              <w:spacing w:lineRule="auto" w:line="240"/>
              <w:jc w:val="center"/>
              <w:rPr>
                <w:rFonts w:ascii="Times New Roman" w:hAnsi="Times New Roman" w:cs="Times New Roman"/>
                <w:b/>
                <w:b/>
                <w:color w:val="000000" w:themeColor="text1"/>
                <w:sz w:val="20"/>
              </w:rPr>
            </w:pPr>
            <w:r>
              <w:rPr>
                <w:rFonts w:cs="Times New Roman" w:ascii="Times New Roman" w:hAnsi="Times New Roman"/>
                <w:b/>
                <w:color w:val="000000" w:themeColor="text1"/>
                <w:sz w:val="20"/>
              </w:rPr>
              <w:t>Productive Runs</w:t>
            </w:r>
          </w:p>
          <w:p>
            <w:pPr>
              <w:pStyle w:val="Normal"/>
              <w:spacing w:lineRule="auto" w:line="240" w:before="0" w:after="120"/>
              <w:jc w:val="center"/>
              <w:rPr>
                <w:rFonts w:ascii="Times New Roman" w:hAnsi="Times New Roman" w:cs="Times New Roman"/>
                <w:b/>
                <w:b/>
                <w:color w:val="000000" w:themeColor="text1"/>
                <w:sz w:val="20"/>
              </w:rPr>
            </w:pPr>
            <w:r>
              <w:rPr>
                <w:rFonts w:cs="Times New Roman" w:ascii="Times New Roman" w:hAnsi="Times New Roman"/>
                <w:b/>
                <w:color w:val="000000" w:themeColor="text1"/>
                <w:sz w:val="20"/>
              </w:rPr>
            </w:r>
          </w:p>
        </w:tc>
        <w:tc>
          <w:tcPr>
            <w:tcW w:w="4049" w:type="dxa"/>
            <w:tcBorders>
              <w:top w:val="nil"/>
            </w:tcBorders>
            <w:shd w:fill="auto" w:val="clear"/>
            <w:tcMar>
              <w:left w:w="108" w:type="dxa"/>
            </w:tcMar>
          </w:tcPr>
          <w:p>
            <w:pPr>
              <w:pStyle w:val="Normal"/>
              <w:spacing w:lineRule="auto" w:line="240"/>
              <w:jc w:val="center"/>
              <w:rPr>
                <w:rFonts w:ascii="Times New Roman" w:hAnsi="Times New Roman" w:cs="Times New Roman"/>
                <w:color w:val="000000" w:themeColor="text1"/>
                <w:sz w:val="20"/>
              </w:rPr>
            </w:pPr>
            <w:r>
              <w:rPr>
                <w:rFonts w:cs="Times New Roman" w:ascii="Times New Roman" w:hAnsi="Times New Roman"/>
                <w:b/>
                <w:i/>
                <w:color w:val="000000" w:themeColor="text1"/>
                <w:sz w:val="20"/>
              </w:rPr>
              <w:t>NMR</w:t>
            </w:r>
            <w:r>
              <w:rPr>
                <w:rFonts w:cs="Times New Roman" w:ascii="Times New Roman" w:hAnsi="Times New Roman"/>
                <w:color w:val="000000" w:themeColor="text1"/>
                <w:sz w:val="20"/>
              </w:rPr>
              <w:t>, k = 1.0 kCal/mol/Å</w:t>
            </w:r>
            <w:r>
              <w:rPr>
                <w:rFonts w:cs="Times New Roman" w:ascii="Times New Roman" w:hAnsi="Times New Roman"/>
                <w:color w:val="000000" w:themeColor="text1"/>
                <w:sz w:val="20"/>
                <w:vertAlign w:val="superscript"/>
              </w:rPr>
              <w:t>2</w:t>
            </w:r>
          </w:p>
          <w:p>
            <w:pPr>
              <w:pStyle w:val="Normal"/>
              <w:spacing w:lineRule="auto" w:line="240" w:before="0" w:after="12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r>
          </w:p>
        </w:tc>
        <w:tc>
          <w:tcPr>
            <w:tcW w:w="1956" w:type="dxa"/>
            <w:tcBorders>
              <w:top w:val="nil"/>
            </w:tcBorders>
            <w:shd w:fill="auto" w:val="clear"/>
            <w:tcMar>
              <w:left w:w="108" w:type="dxa"/>
            </w:tcMar>
          </w:tcPr>
          <w:p>
            <w:pPr>
              <w:pStyle w:val="Normal"/>
              <w:spacing w:lineRule="auto" w:line="24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t>10-100 ns</w:t>
            </w:r>
          </w:p>
          <w:p>
            <w:pPr>
              <w:pStyle w:val="Normal"/>
              <w:spacing w:lineRule="auto" w:line="240" w:before="0" w:after="12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r>
          </w:p>
        </w:tc>
      </w:tr>
    </w:tbl>
    <w:p>
      <w:pPr>
        <w:pStyle w:val="Normal"/>
        <w:spacing w:lineRule="auto" w:line="360"/>
        <w:jc w:val="both"/>
        <w:rPr/>
      </w:pPr>
      <w:r>
        <w:rPr>
          <w:rFonts w:cs="Times New Roman" w:ascii="Times New Roman" w:hAnsi="Times New Roman"/>
          <w:b/>
          <w:color w:val="000000" w:themeColor="text1"/>
          <w:szCs w:val="24"/>
        </w:rPr>
        <w:t>Table 3</w:t>
      </w:r>
      <w:r>
        <w:rPr>
          <w:rFonts w:cs="Times New Roman" w:ascii="Times New Roman" w:hAnsi="Times New Roman"/>
          <w:color w:val="000000" w:themeColor="text1"/>
          <w:szCs w:val="24"/>
        </w:rPr>
        <w:t xml:space="preserve"> Force constants and time durations used in each stage of the AMBER GB/SA implicit solvent simulation protocols</w:t>
      </w:r>
    </w:p>
    <w:p>
      <w:pPr>
        <w:pStyle w:val="Normal"/>
        <w:rPr>
          <w:rFonts w:ascii="Times New Roman" w:hAnsi="Times New Roman" w:cs="Times New Roman"/>
          <w:sz w:val="20"/>
        </w:rPr>
      </w:pPr>
      <w:r>
        <w:rPr>
          <w:rFonts w:cs="Times New Roman" w:ascii="Times New Roman" w:hAnsi="Times New Roman"/>
          <w:sz w:val="20"/>
        </w:rPr>
      </w:r>
    </w:p>
    <w:tbl>
      <w:tblPr>
        <w:tblStyle w:val="TableGrid"/>
        <w:tblW w:w="8378" w:type="dxa"/>
        <w:jc w:val="left"/>
        <w:tblInd w:w="0" w:type="dxa"/>
        <w:tblCellMar>
          <w:top w:w="0" w:type="dxa"/>
          <w:left w:w="108" w:type="dxa"/>
          <w:bottom w:w="0" w:type="dxa"/>
          <w:right w:w="108" w:type="dxa"/>
        </w:tblCellMar>
        <w:tblLook w:val="04a0" w:noVBand="1" w:noHBand="0" w:lastColumn="0" w:firstColumn="1" w:lastRow="0" w:firstRow="1"/>
      </w:tblPr>
      <w:tblGrid>
        <w:gridCol w:w="2335"/>
        <w:gridCol w:w="4018"/>
        <w:gridCol w:w="2025"/>
      </w:tblGrid>
      <w:tr>
        <w:trPr>
          <w:trHeight w:val="328" w:hRule="atLeast"/>
        </w:trPr>
        <w:tc>
          <w:tcPr>
            <w:tcW w:w="2335" w:type="dxa"/>
            <w:tcBorders/>
            <w:shd w:fill="auto" w:val="clear"/>
            <w:tcMar>
              <w:left w:w="108" w:type="dxa"/>
            </w:tcMar>
          </w:tcPr>
          <w:p>
            <w:pPr>
              <w:pStyle w:val="Normal"/>
              <w:spacing w:lineRule="auto" w:line="240"/>
              <w:jc w:val="center"/>
              <w:rPr>
                <w:rFonts w:ascii="Times New Roman" w:hAnsi="Times New Roman" w:cs="Times New Roman"/>
                <w:b/>
                <w:b/>
                <w:color w:val="000000" w:themeColor="text1"/>
                <w:sz w:val="22"/>
                <w:szCs w:val="26"/>
              </w:rPr>
            </w:pPr>
            <w:r>
              <w:rPr>
                <w:rFonts w:cs="Times New Roman" w:ascii="Times New Roman" w:hAnsi="Times New Roman"/>
                <w:b/>
                <w:color w:val="000000" w:themeColor="text1"/>
                <w:sz w:val="22"/>
                <w:szCs w:val="26"/>
              </w:rPr>
            </w:r>
          </w:p>
          <w:p>
            <w:pPr>
              <w:pStyle w:val="Normal"/>
              <w:spacing w:lineRule="auto" w:line="240" w:before="0" w:after="120"/>
              <w:jc w:val="center"/>
              <w:rPr>
                <w:rFonts w:ascii="Times New Roman" w:hAnsi="Times New Roman" w:cs="Times New Roman"/>
                <w:b/>
                <w:b/>
                <w:color w:val="000000" w:themeColor="text1"/>
                <w:sz w:val="22"/>
                <w:szCs w:val="26"/>
              </w:rPr>
            </w:pPr>
            <w:r>
              <w:rPr>
                <w:rFonts w:cs="Times New Roman" w:ascii="Times New Roman" w:hAnsi="Times New Roman"/>
                <w:b/>
                <w:color w:val="000000" w:themeColor="text1"/>
                <w:sz w:val="22"/>
                <w:szCs w:val="26"/>
              </w:rPr>
              <w:t>Stages</w:t>
            </w:r>
          </w:p>
        </w:tc>
        <w:tc>
          <w:tcPr>
            <w:tcW w:w="4018" w:type="dxa"/>
            <w:tcBorders/>
            <w:shd w:fill="auto" w:val="clear"/>
            <w:tcMar>
              <w:left w:w="108" w:type="dxa"/>
            </w:tcMar>
          </w:tcPr>
          <w:p>
            <w:pPr>
              <w:pStyle w:val="Normal"/>
              <w:spacing w:lineRule="auto" w:line="240"/>
              <w:jc w:val="center"/>
              <w:rPr>
                <w:rFonts w:ascii="Times New Roman" w:hAnsi="Times New Roman" w:cs="Times New Roman"/>
                <w:b/>
                <w:b/>
                <w:color w:val="000000" w:themeColor="text1"/>
                <w:sz w:val="22"/>
                <w:szCs w:val="26"/>
              </w:rPr>
            </w:pPr>
            <w:r>
              <w:rPr>
                <w:rFonts w:cs="Times New Roman" w:ascii="Times New Roman" w:hAnsi="Times New Roman"/>
                <w:b/>
                <w:color w:val="000000" w:themeColor="text1"/>
                <w:sz w:val="22"/>
                <w:szCs w:val="26"/>
              </w:rPr>
            </w:r>
          </w:p>
          <w:p>
            <w:pPr>
              <w:pStyle w:val="Normal"/>
              <w:spacing w:lineRule="auto" w:line="240" w:before="0" w:after="120"/>
              <w:jc w:val="center"/>
              <w:rPr>
                <w:rFonts w:ascii="Times New Roman" w:hAnsi="Times New Roman" w:cs="Times New Roman"/>
                <w:b/>
                <w:b/>
                <w:color w:val="000000" w:themeColor="text1"/>
                <w:sz w:val="22"/>
                <w:szCs w:val="26"/>
              </w:rPr>
            </w:pPr>
            <w:r>
              <w:rPr>
                <w:rFonts w:cs="Times New Roman" w:ascii="Times New Roman" w:hAnsi="Times New Roman"/>
                <w:b/>
                <w:color w:val="000000" w:themeColor="text1"/>
                <w:sz w:val="22"/>
                <w:szCs w:val="26"/>
              </w:rPr>
              <w:t>Restraints</w:t>
            </w:r>
          </w:p>
        </w:tc>
        <w:tc>
          <w:tcPr>
            <w:tcW w:w="2025" w:type="dxa"/>
            <w:tcBorders/>
            <w:shd w:fill="auto" w:val="clear"/>
            <w:tcMar>
              <w:left w:w="108" w:type="dxa"/>
            </w:tcMar>
          </w:tcPr>
          <w:p>
            <w:pPr>
              <w:pStyle w:val="Normal"/>
              <w:spacing w:lineRule="auto" w:line="240"/>
              <w:jc w:val="center"/>
              <w:rPr>
                <w:rFonts w:ascii="Times New Roman" w:hAnsi="Times New Roman" w:cs="Times New Roman"/>
                <w:b/>
                <w:b/>
                <w:color w:val="000000" w:themeColor="text1"/>
                <w:sz w:val="22"/>
                <w:szCs w:val="26"/>
              </w:rPr>
            </w:pPr>
            <w:r>
              <w:rPr>
                <w:rFonts w:cs="Times New Roman" w:ascii="Times New Roman" w:hAnsi="Times New Roman"/>
                <w:b/>
                <w:color w:val="000000" w:themeColor="text1"/>
                <w:sz w:val="22"/>
                <w:szCs w:val="26"/>
              </w:rPr>
            </w:r>
          </w:p>
          <w:p>
            <w:pPr>
              <w:pStyle w:val="Normal"/>
              <w:spacing w:lineRule="auto" w:line="240" w:before="0" w:after="120"/>
              <w:jc w:val="center"/>
              <w:rPr>
                <w:rFonts w:ascii="Times New Roman" w:hAnsi="Times New Roman" w:cs="Times New Roman"/>
                <w:b/>
                <w:b/>
                <w:color w:val="000000" w:themeColor="text1"/>
                <w:sz w:val="22"/>
                <w:szCs w:val="26"/>
              </w:rPr>
            </w:pPr>
            <w:r>
              <w:rPr>
                <w:rFonts w:cs="Times New Roman" w:ascii="Times New Roman" w:hAnsi="Times New Roman"/>
                <w:b/>
                <w:color w:val="000000" w:themeColor="text1"/>
                <w:sz w:val="22"/>
                <w:szCs w:val="26"/>
              </w:rPr>
              <w:t>Durations</w:t>
            </w:r>
          </w:p>
        </w:tc>
      </w:tr>
      <w:tr>
        <w:trPr/>
        <w:tc>
          <w:tcPr>
            <w:tcW w:w="2335" w:type="dxa"/>
            <w:tcBorders>
              <w:bottom w:val="nil"/>
              <w:insideH w:val="nil"/>
            </w:tcBorders>
            <w:shd w:fill="auto" w:val="clear"/>
            <w:tcMar>
              <w:left w:w="108" w:type="dxa"/>
            </w:tcMar>
          </w:tcPr>
          <w:p>
            <w:pPr>
              <w:pStyle w:val="Normal"/>
              <w:spacing w:lineRule="auto" w:line="240"/>
              <w:jc w:val="center"/>
              <w:rPr>
                <w:rFonts w:ascii="Times New Roman" w:hAnsi="Times New Roman" w:cs="Times New Roman"/>
                <w:b/>
                <w:b/>
                <w:color w:val="000000" w:themeColor="text1"/>
                <w:sz w:val="20"/>
              </w:rPr>
            </w:pPr>
            <w:r>
              <w:rPr>
                <w:rFonts w:cs="Times New Roman" w:ascii="Times New Roman" w:hAnsi="Times New Roman"/>
                <w:b/>
                <w:color w:val="000000" w:themeColor="text1"/>
                <w:sz w:val="20"/>
              </w:rPr>
            </w:r>
          </w:p>
          <w:p>
            <w:pPr>
              <w:pStyle w:val="Normal"/>
              <w:spacing w:lineRule="auto" w:line="240" w:before="0" w:after="120"/>
              <w:jc w:val="center"/>
              <w:rPr>
                <w:rFonts w:ascii="Times New Roman" w:hAnsi="Times New Roman" w:cs="Times New Roman"/>
                <w:b/>
                <w:b/>
                <w:color w:val="000000" w:themeColor="text1"/>
                <w:sz w:val="20"/>
              </w:rPr>
            </w:pPr>
            <w:r>
              <w:rPr>
                <w:rFonts w:cs="Times New Roman" w:ascii="Times New Roman" w:hAnsi="Times New Roman"/>
                <w:b/>
                <w:color w:val="000000" w:themeColor="text1"/>
                <w:sz w:val="20"/>
              </w:rPr>
              <w:t>Mininisation 1</w:t>
            </w:r>
          </w:p>
        </w:tc>
        <w:tc>
          <w:tcPr>
            <w:tcW w:w="4018" w:type="dxa"/>
            <w:tcBorders>
              <w:bottom w:val="nil"/>
              <w:insideH w:val="nil"/>
            </w:tcBorders>
            <w:shd w:fill="auto" w:val="clear"/>
            <w:tcMar>
              <w:left w:w="108" w:type="dxa"/>
            </w:tcMar>
          </w:tcPr>
          <w:p>
            <w:pPr>
              <w:pStyle w:val="Normal"/>
              <w:spacing w:lineRule="auto" w:line="24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r>
          </w:p>
          <w:p>
            <w:pPr>
              <w:pStyle w:val="Normal"/>
              <w:spacing w:lineRule="auto" w:line="240" w:before="0" w:after="12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t xml:space="preserve"> </w:t>
            </w:r>
            <w:r>
              <w:rPr>
                <w:rFonts w:cs="Times New Roman" w:ascii="Times New Roman" w:hAnsi="Times New Roman"/>
                <w:color w:val="000000" w:themeColor="text1"/>
                <w:sz w:val="20"/>
              </w:rPr>
              <w:t>k = 500.0 kCal/mol/Å</w:t>
            </w:r>
            <w:r>
              <w:rPr>
                <w:rFonts w:cs="Times New Roman" w:ascii="Times New Roman" w:hAnsi="Times New Roman"/>
                <w:color w:val="000000" w:themeColor="text1"/>
                <w:sz w:val="20"/>
                <w:vertAlign w:val="superscript"/>
              </w:rPr>
              <w:t>2</w:t>
            </w:r>
          </w:p>
        </w:tc>
        <w:tc>
          <w:tcPr>
            <w:tcW w:w="2025" w:type="dxa"/>
            <w:tcBorders>
              <w:bottom w:val="nil"/>
              <w:insideH w:val="nil"/>
            </w:tcBorders>
            <w:shd w:fill="auto" w:val="clear"/>
            <w:tcMar>
              <w:left w:w="108" w:type="dxa"/>
            </w:tcMar>
          </w:tcPr>
          <w:p>
            <w:pPr>
              <w:pStyle w:val="Normal"/>
              <w:spacing w:lineRule="auto" w:line="24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r>
          </w:p>
          <w:p>
            <w:pPr>
              <w:pStyle w:val="Normal"/>
              <w:spacing w:lineRule="auto" w:line="240" w:before="0" w:after="12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t>10000 cycles</w:t>
            </w:r>
          </w:p>
        </w:tc>
      </w:tr>
      <w:tr>
        <w:trPr/>
        <w:tc>
          <w:tcPr>
            <w:tcW w:w="2335" w:type="dxa"/>
            <w:tcBorders>
              <w:top w:val="nil"/>
              <w:bottom w:val="nil"/>
              <w:insideH w:val="nil"/>
            </w:tcBorders>
            <w:shd w:fill="auto" w:val="clear"/>
            <w:tcMar>
              <w:left w:w="108" w:type="dxa"/>
            </w:tcMar>
          </w:tcPr>
          <w:p>
            <w:pPr>
              <w:pStyle w:val="Normal"/>
              <w:spacing w:lineRule="auto" w:line="240" w:before="0" w:after="120"/>
              <w:jc w:val="center"/>
              <w:rPr>
                <w:rFonts w:ascii="Times New Roman" w:hAnsi="Times New Roman" w:cs="Times New Roman"/>
                <w:b/>
                <w:b/>
                <w:color w:val="000000" w:themeColor="text1"/>
                <w:sz w:val="20"/>
              </w:rPr>
            </w:pPr>
            <w:r>
              <w:rPr>
                <w:rFonts w:cs="Times New Roman" w:ascii="Times New Roman" w:hAnsi="Times New Roman"/>
                <w:b/>
                <w:color w:val="000000" w:themeColor="text1"/>
                <w:sz w:val="20"/>
              </w:rPr>
              <w:t>Mininisation 2</w:t>
            </w:r>
          </w:p>
        </w:tc>
        <w:tc>
          <w:tcPr>
            <w:tcW w:w="4018" w:type="dxa"/>
            <w:tcBorders>
              <w:top w:val="nil"/>
              <w:bottom w:val="nil"/>
              <w:insideH w:val="nil"/>
            </w:tcBorders>
            <w:shd w:fill="auto" w:val="clear"/>
            <w:tcMar>
              <w:left w:w="108" w:type="dxa"/>
            </w:tcMar>
          </w:tcPr>
          <w:p>
            <w:pPr>
              <w:pStyle w:val="Normal"/>
              <w:spacing w:lineRule="auto" w:line="240" w:before="0" w:after="12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t>k = 50.0 kCal/mol/Å</w:t>
            </w:r>
            <w:r>
              <w:rPr>
                <w:rFonts w:cs="Times New Roman" w:ascii="Times New Roman" w:hAnsi="Times New Roman"/>
                <w:color w:val="000000" w:themeColor="text1"/>
                <w:sz w:val="20"/>
                <w:vertAlign w:val="superscript"/>
              </w:rPr>
              <w:t>2</w:t>
            </w:r>
          </w:p>
        </w:tc>
        <w:tc>
          <w:tcPr>
            <w:tcW w:w="2025" w:type="dxa"/>
            <w:tcBorders>
              <w:top w:val="nil"/>
              <w:bottom w:val="nil"/>
              <w:insideH w:val="nil"/>
            </w:tcBorders>
            <w:shd w:fill="auto" w:val="clear"/>
            <w:tcMar>
              <w:left w:w="108" w:type="dxa"/>
            </w:tcMar>
          </w:tcPr>
          <w:p>
            <w:pPr>
              <w:pStyle w:val="Normal"/>
              <w:spacing w:lineRule="auto" w:line="240" w:before="0" w:after="12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t>10000 cycles</w:t>
            </w:r>
          </w:p>
        </w:tc>
      </w:tr>
      <w:tr>
        <w:trPr/>
        <w:tc>
          <w:tcPr>
            <w:tcW w:w="2335" w:type="dxa"/>
            <w:tcBorders>
              <w:top w:val="nil"/>
              <w:bottom w:val="nil"/>
              <w:insideH w:val="nil"/>
            </w:tcBorders>
            <w:shd w:fill="auto" w:val="clear"/>
            <w:tcMar>
              <w:left w:w="108" w:type="dxa"/>
            </w:tcMar>
          </w:tcPr>
          <w:p>
            <w:pPr>
              <w:pStyle w:val="Normal"/>
              <w:spacing w:lineRule="auto" w:line="240" w:before="0" w:after="120"/>
              <w:jc w:val="center"/>
              <w:rPr>
                <w:rFonts w:ascii="Times New Roman" w:hAnsi="Times New Roman" w:cs="Times New Roman"/>
                <w:b/>
                <w:b/>
                <w:color w:val="000000" w:themeColor="text1"/>
                <w:sz w:val="20"/>
              </w:rPr>
            </w:pPr>
            <w:r>
              <w:rPr>
                <w:rFonts w:cs="Times New Roman" w:ascii="Times New Roman" w:hAnsi="Times New Roman"/>
                <w:b/>
                <w:color w:val="000000" w:themeColor="text1"/>
                <w:sz w:val="20"/>
              </w:rPr>
              <w:t>Mininisation 3</w:t>
            </w:r>
          </w:p>
        </w:tc>
        <w:tc>
          <w:tcPr>
            <w:tcW w:w="4018" w:type="dxa"/>
            <w:tcBorders>
              <w:top w:val="nil"/>
              <w:bottom w:val="nil"/>
              <w:insideH w:val="nil"/>
            </w:tcBorders>
            <w:shd w:fill="auto" w:val="clear"/>
            <w:tcMar>
              <w:left w:w="108" w:type="dxa"/>
            </w:tcMar>
          </w:tcPr>
          <w:p>
            <w:pPr>
              <w:pStyle w:val="Normal"/>
              <w:spacing w:lineRule="auto" w:line="240" w:before="0" w:after="12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t>k = 25.0 kCal/mol/Å</w:t>
            </w:r>
            <w:r>
              <w:rPr>
                <w:rFonts w:cs="Times New Roman" w:ascii="Times New Roman" w:hAnsi="Times New Roman"/>
                <w:color w:val="000000" w:themeColor="text1"/>
                <w:sz w:val="20"/>
                <w:vertAlign w:val="superscript"/>
              </w:rPr>
              <w:t>2</w:t>
            </w:r>
          </w:p>
        </w:tc>
        <w:tc>
          <w:tcPr>
            <w:tcW w:w="2025" w:type="dxa"/>
            <w:tcBorders>
              <w:top w:val="nil"/>
              <w:bottom w:val="nil"/>
              <w:insideH w:val="nil"/>
            </w:tcBorders>
            <w:shd w:fill="auto" w:val="clear"/>
            <w:tcMar>
              <w:left w:w="108" w:type="dxa"/>
            </w:tcMar>
          </w:tcPr>
          <w:p>
            <w:pPr>
              <w:pStyle w:val="Normal"/>
              <w:spacing w:lineRule="auto" w:line="240" w:before="0" w:after="12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t>10000 cycles</w:t>
            </w:r>
          </w:p>
        </w:tc>
      </w:tr>
      <w:tr>
        <w:trPr>
          <w:trHeight w:val="424" w:hRule="atLeast"/>
        </w:trPr>
        <w:tc>
          <w:tcPr>
            <w:tcW w:w="2335" w:type="dxa"/>
            <w:tcBorders>
              <w:top w:val="nil"/>
              <w:bottom w:val="nil"/>
              <w:insideH w:val="nil"/>
            </w:tcBorders>
            <w:shd w:fill="auto" w:val="clear"/>
            <w:tcMar>
              <w:left w:w="108" w:type="dxa"/>
            </w:tcMar>
          </w:tcPr>
          <w:p>
            <w:pPr>
              <w:pStyle w:val="Normal"/>
              <w:spacing w:lineRule="auto" w:line="240" w:before="0" w:after="120"/>
              <w:jc w:val="center"/>
              <w:rPr>
                <w:rFonts w:ascii="Times New Roman" w:hAnsi="Times New Roman" w:cs="Times New Roman"/>
                <w:b/>
                <w:b/>
                <w:color w:val="000000" w:themeColor="text1"/>
                <w:sz w:val="20"/>
              </w:rPr>
            </w:pPr>
            <w:r>
              <w:rPr>
                <w:rFonts w:cs="Times New Roman" w:ascii="Times New Roman" w:hAnsi="Times New Roman"/>
                <w:b/>
                <w:color w:val="000000" w:themeColor="text1"/>
                <w:sz w:val="20"/>
              </w:rPr>
              <w:t>Mininisation 4</w:t>
            </w:r>
          </w:p>
        </w:tc>
        <w:tc>
          <w:tcPr>
            <w:tcW w:w="4018" w:type="dxa"/>
            <w:tcBorders>
              <w:top w:val="nil"/>
              <w:bottom w:val="nil"/>
              <w:insideH w:val="nil"/>
            </w:tcBorders>
            <w:shd w:fill="auto" w:val="clear"/>
            <w:tcMar>
              <w:left w:w="108" w:type="dxa"/>
            </w:tcMar>
          </w:tcPr>
          <w:p>
            <w:pPr>
              <w:pStyle w:val="Normal"/>
              <w:spacing w:lineRule="auto" w:line="240" w:before="0" w:after="12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t>No restraints</w:t>
            </w:r>
          </w:p>
        </w:tc>
        <w:tc>
          <w:tcPr>
            <w:tcW w:w="2025" w:type="dxa"/>
            <w:tcBorders>
              <w:top w:val="nil"/>
              <w:bottom w:val="nil"/>
              <w:insideH w:val="nil"/>
            </w:tcBorders>
            <w:shd w:fill="auto" w:val="clear"/>
            <w:tcMar>
              <w:left w:w="108" w:type="dxa"/>
            </w:tcMar>
          </w:tcPr>
          <w:p>
            <w:pPr>
              <w:pStyle w:val="Normal"/>
              <w:spacing w:lineRule="auto" w:line="240" w:before="0" w:after="12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t>10000 cycles</w:t>
            </w:r>
          </w:p>
        </w:tc>
      </w:tr>
      <w:tr>
        <w:trPr/>
        <w:tc>
          <w:tcPr>
            <w:tcW w:w="2335" w:type="dxa"/>
            <w:tcBorders>
              <w:top w:val="nil"/>
              <w:bottom w:val="nil"/>
              <w:insideH w:val="nil"/>
            </w:tcBorders>
            <w:shd w:fill="auto" w:val="clear"/>
            <w:tcMar>
              <w:left w:w="108" w:type="dxa"/>
            </w:tcMar>
          </w:tcPr>
          <w:p>
            <w:pPr>
              <w:pStyle w:val="Normal"/>
              <w:spacing w:lineRule="auto" w:line="240" w:before="0" w:after="120"/>
              <w:jc w:val="center"/>
              <w:rPr>
                <w:rFonts w:ascii="Times New Roman" w:hAnsi="Times New Roman" w:cs="Times New Roman"/>
                <w:b/>
                <w:b/>
                <w:color w:val="000000" w:themeColor="text1"/>
                <w:sz w:val="20"/>
              </w:rPr>
            </w:pPr>
            <w:r>
              <w:rPr>
                <w:rFonts w:cs="Times New Roman" w:ascii="Times New Roman" w:hAnsi="Times New Roman"/>
                <w:b/>
                <w:color w:val="000000" w:themeColor="text1"/>
                <w:sz w:val="20"/>
              </w:rPr>
              <w:t>Equilibration 1</w:t>
            </w:r>
          </w:p>
        </w:tc>
        <w:tc>
          <w:tcPr>
            <w:tcW w:w="4018" w:type="dxa"/>
            <w:tcBorders>
              <w:top w:val="nil"/>
              <w:bottom w:val="nil"/>
              <w:insideH w:val="nil"/>
            </w:tcBorders>
            <w:shd w:fill="auto" w:val="clear"/>
            <w:tcMar>
              <w:left w:w="108" w:type="dxa"/>
            </w:tcMar>
          </w:tcPr>
          <w:p>
            <w:pPr>
              <w:pStyle w:val="Normal"/>
              <w:spacing w:lineRule="auto" w:line="240" w:before="0" w:after="12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t>k = 500.0 kCal/mol/Å</w:t>
            </w:r>
            <w:r>
              <w:rPr>
                <w:rFonts w:cs="Times New Roman" w:ascii="Times New Roman" w:hAnsi="Times New Roman"/>
                <w:color w:val="000000" w:themeColor="text1"/>
                <w:sz w:val="20"/>
                <w:vertAlign w:val="superscript"/>
              </w:rPr>
              <w:t>2</w:t>
            </w:r>
            <w:r>
              <w:rPr>
                <w:rFonts w:cs="Times New Roman" w:ascii="Times New Roman" w:hAnsi="Times New Roman"/>
                <w:color w:val="000000" w:themeColor="text1"/>
                <w:sz w:val="20"/>
              </w:rPr>
              <w:t>, T = 100K</w:t>
            </w:r>
          </w:p>
        </w:tc>
        <w:tc>
          <w:tcPr>
            <w:tcW w:w="2025" w:type="dxa"/>
            <w:tcBorders>
              <w:top w:val="nil"/>
              <w:bottom w:val="nil"/>
              <w:insideH w:val="nil"/>
            </w:tcBorders>
            <w:shd w:fill="auto" w:val="clear"/>
            <w:tcMar>
              <w:left w:w="108" w:type="dxa"/>
            </w:tcMar>
          </w:tcPr>
          <w:p>
            <w:pPr>
              <w:pStyle w:val="Normal"/>
              <w:spacing w:lineRule="auto" w:line="240" w:before="0" w:after="12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t>10 ps</w:t>
            </w:r>
          </w:p>
        </w:tc>
      </w:tr>
      <w:tr>
        <w:trPr/>
        <w:tc>
          <w:tcPr>
            <w:tcW w:w="2335" w:type="dxa"/>
            <w:tcBorders>
              <w:top w:val="nil"/>
              <w:bottom w:val="nil"/>
              <w:insideH w:val="nil"/>
            </w:tcBorders>
            <w:shd w:fill="auto" w:val="clear"/>
            <w:tcMar>
              <w:left w:w="108" w:type="dxa"/>
            </w:tcMar>
          </w:tcPr>
          <w:p>
            <w:pPr>
              <w:pStyle w:val="Normal"/>
              <w:spacing w:lineRule="auto" w:line="240" w:before="0" w:after="120"/>
              <w:jc w:val="center"/>
              <w:rPr>
                <w:rFonts w:ascii="Times New Roman" w:hAnsi="Times New Roman" w:cs="Times New Roman"/>
                <w:b/>
                <w:b/>
                <w:color w:val="000000" w:themeColor="text1"/>
                <w:sz w:val="20"/>
              </w:rPr>
            </w:pPr>
            <w:r>
              <w:rPr>
                <w:rFonts w:cs="Times New Roman" w:ascii="Times New Roman" w:hAnsi="Times New Roman"/>
                <w:b/>
                <w:color w:val="000000" w:themeColor="text1"/>
                <w:sz w:val="20"/>
              </w:rPr>
              <w:t>Equilibration 2</w:t>
            </w:r>
          </w:p>
        </w:tc>
        <w:tc>
          <w:tcPr>
            <w:tcW w:w="4018" w:type="dxa"/>
            <w:tcBorders>
              <w:top w:val="nil"/>
              <w:bottom w:val="nil"/>
              <w:insideH w:val="nil"/>
            </w:tcBorders>
            <w:shd w:fill="auto" w:val="clear"/>
            <w:tcMar>
              <w:left w:w="108" w:type="dxa"/>
            </w:tcMar>
          </w:tcPr>
          <w:p>
            <w:pPr>
              <w:pStyle w:val="Normal"/>
              <w:spacing w:lineRule="auto" w:line="240" w:before="0" w:after="12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t>k = 50.0 kCal/mol/Å</w:t>
            </w:r>
            <w:r>
              <w:rPr>
                <w:rFonts w:cs="Times New Roman" w:ascii="Times New Roman" w:hAnsi="Times New Roman"/>
                <w:color w:val="000000" w:themeColor="text1"/>
                <w:sz w:val="20"/>
                <w:vertAlign w:val="superscript"/>
              </w:rPr>
              <w:t>2</w:t>
            </w:r>
            <w:r>
              <w:rPr>
                <w:rFonts w:cs="Times New Roman" w:ascii="Times New Roman" w:hAnsi="Times New Roman"/>
                <w:color w:val="000000" w:themeColor="text1"/>
                <w:sz w:val="20"/>
              </w:rPr>
              <w:t>, T=100-300K</w:t>
            </w:r>
          </w:p>
        </w:tc>
        <w:tc>
          <w:tcPr>
            <w:tcW w:w="2025" w:type="dxa"/>
            <w:tcBorders>
              <w:top w:val="nil"/>
              <w:bottom w:val="nil"/>
              <w:insideH w:val="nil"/>
            </w:tcBorders>
            <w:shd w:fill="auto" w:val="clear"/>
            <w:tcMar>
              <w:left w:w="108" w:type="dxa"/>
            </w:tcMar>
          </w:tcPr>
          <w:p>
            <w:pPr>
              <w:pStyle w:val="Normal"/>
              <w:spacing w:lineRule="auto" w:line="240" w:before="0" w:after="12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t>10 ps</w:t>
            </w:r>
          </w:p>
        </w:tc>
      </w:tr>
      <w:tr>
        <w:trPr/>
        <w:tc>
          <w:tcPr>
            <w:tcW w:w="2335" w:type="dxa"/>
            <w:tcBorders>
              <w:top w:val="nil"/>
              <w:bottom w:val="nil"/>
              <w:insideH w:val="nil"/>
            </w:tcBorders>
            <w:shd w:fill="auto" w:val="clear"/>
            <w:tcMar>
              <w:left w:w="108" w:type="dxa"/>
            </w:tcMar>
          </w:tcPr>
          <w:p>
            <w:pPr>
              <w:pStyle w:val="Normal"/>
              <w:spacing w:lineRule="auto" w:line="240" w:before="0" w:after="120"/>
              <w:jc w:val="center"/>
              <w:rPr>
                <w:rFonts w:ascii="Times New Roman" w:hAnsi="Times New Roman" w:cs="Times New Roman"/>
                <w:b/>
                <w:b/>
                <w:color w:val="000000" w:themeColor="text1"/>
                <w:sz w:val="20"/>
              </w:rPr>
            </w:pPr>
            <w:r>
              <w:rPr>
                <w:rFonts w:cs="Times New Roman" w:ascii="Times New Roman" w:hAnsi="Times New Roman"/>
                <w:b/>
                <w:color w:val="000000" w:themeColor="text1"/>
                <w:sz w:val="20"/>
              </w:rPr>
              <w:t>Equilibration 3</w:t>
            </w:r>
          </w:p>
        </w:tc>
        <w:tc>
          <w:tcPr>
            <w:tcW w:w="4018" w:type="dxa"/>
            <w:tcBorders>
              <w:top w:val="nil"/>
              <w:bottom w:val="nil"/>
              <w:insideH w:val="nil"/>
            </w:tcBorders>
            <w:shd w:fill="auto" w:val="clear"/>
            <w:tcMar>
              <w:left w:w="108" w:type="dxa"/>
            </w:tcMar>
          </w:tcPr>
          <w:p>
            <w:pPr>
              <w:pStyle w:val="Normal"/>
              <w:spacing w:lineRule="auto" w:line="240" w:before="0" w:after="12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t>k = 50.0 kCal/mol/Å</w:t>
            </w:r>
            <w:r>
              <w:rPr>
                <w:rFonts w:cs="Times New Roman" w:ascii="Times New Roman" w:hAnsi="Times New Roman"/>
                <w:color w:val="000000" w:themeColor="text1"/>
                <w:sz w:val="20"/>
                <w:vertAlign w:val="superscript"/>
              </w:rPr>
              <w:t>2</w:t>
            </w:r>
            <w:r>
              <w:rPr>
                <w:rFonts w:cs="Times New Roman" w:ascii="Times New Roman" w:hAnsi="Times New Roman"/>
                <w:color w:val="000000" w:themeColor="text1"/>
                <w:sz w:val="20"/>
              </w:rPr>
              <w:t>, T = 300K</w:t>
            </w:r>
          </w:p>
        </w:tc>
        <w:tc>
          <w:tcPr>
            <w:tcW w:w="2025" w:type="dxa"/>
            <w:tcBorders>
              <w:top w:val="nil"/>
              <w:bottom w:val="nil"/>
              <w:insideH w:val="nil"/>
            </w:tcBorders>
            <w:shd w:fill="auto" w:val="clear"/>
            <w:tcMar>
              <w:left w:w="108" w:type="dxa"/>
            </w:tcMar>
          </w:tcPr>
          <w:p>
            <w:pPr>
              <w:pStyle w:val="Normal"/>
              <w:spacing w:lineRule="auto" w:line="240" w:before="0" w:after="12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t>10 ps</w:t>
            </w:r>
          </w:p>
        </w:tc>
      </w:tr>
      <w:tr>
        <w:trPr/>
        <w:tc>
          <w:tcPr>
            <w:tcW w:w="2335" w:type="dxa"/>
            <w:tcBorders>
              <w:top w:val="nil"/>
              <w:bottom w:val="nil"/>
              <w:insideH w:val="nil"/>
            </w:tcBorders>
            <w:shd w:fill="auto" w:val="clear"/>
            <w:tcMar>
              <w:left w:w="108" w:type="dxa"/>
            </w:tcMar>
          </w:tcPr>
          <w:p>
            <w:pPr>
              <w:pStyle w:val="Normal"/>
              <w:spacing w:lineRule="auto" w:line="240" w:before="0" w:after="120"/>
              <w:jc w:val="center"/>
              <w:rPr>
                <w:rFonts w:ascii="Times New Roman" w:hAnsi="Times New Roman" w:cs="Times New Roman"/>
                <w:b/>
                <w:b/>
                <w:color w:val="000000" w:themeColor="text1"/>
                <w:sz w:val="20"/>
              </w:rPr>
            </w:pPr>
            <w:r>
              <w:rPr>
                <w:rFonts w:cs="Times New Roman" w:ascii="Times New Roman" w:hAnsi="Times New Roman"/>
                <w:b/>
                <w:color w:val="000000" w:themeColor="text1"/>
                <w:sz w:val="20"/>
              </w:rPr>
              <w:t>Equilibration 4</w:t>
            </w:r>
          </w:p>
        </w:tc>
        <w:tc>
          <w:tcPr>
            <w:tcW w:w="4018" w:type="dxa"/>
            <w:tcBorders>
              <w:top w:val="nil"/>
              <w:bottom w:val="nil"/>
              <w:insideH w:val="nil"/>
            </w:tcBorders>
            <w:shd w:fill="auto" w:val="clear"/>
            <w:tcMar>
              <w:left w:w="108" w:type="dxa"/>
            </w:tcMar>
          </w:tcPr>
          <w:p>
            <w:pPr>
              <w:pStyle w:val="Normal"/>
              <w:spacing w:lineRule="auto" w:line="240" w:before="0" w:after="12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t>k = 25.0 kCal/mol/Å</w:t>
            </w:r>
            <w:r>
              <w:rPr>
                <w:rFonts w:cs="Times New Roman" w:ascii="Times New Roman" w:hAnsi="Times New Roman"/>
                <w:color w:val="000000" w:themeColor="text1"/>
                <w:sz w:val="20"/>
                <w:vertAlign w:val="superscript"/>
              </w:rPr>
              <w:t>2</w:t>
            </w:r>
            <w:r>
              <w:rPr>
                <w:rFonts w:cs="Times New Roman" w:ascii="Times New Roman" w:hAnsi="Times New Roman"/>
                <w:color w:val="000000" w:themeColor="text1"/>
                <w:sz w:val="20"/>
              </w:rPr>
              <w:t>, T = 300K</w:t>
            </w:r>
          </w:p>
        </w:tc>
        <w:tc>
          <w:tcPr>
            <w:tcW w:w="2025" w:type="dxa"/>
            <w:tcBorders>
              <w:top w:val="nil"/>
              <w:bottom w:val="nil"/>
              <w:insideH w:val="nil"/>
            </w:tcBorders>
            <w:shd w:fill="auto" w:val="clear"/>
            <w:tcMar>
              <w:left w:w="108" w:type="dxa"/>
            </w:tcMar>
          </w:tcPr>
          <w:p>
            <w:pPr>
              <w:pStyle w:val="Normal"/>
              <w:spacing w:lineRule="auto" w:line="240" w:before="0" w:after="12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t>10 ps</w:t>
            </w:r>
          </w:p>
        </w:tc>
      </w:tr>
      <w:tr>
        <w:trPr/>
        <w:tc>
          <w:tcPr>
            <w:tcW w:w="2335" w:type="dxa"/>
            <w:tcBorders>
              <w:top w:val="nil"/>
              <w:bottom w:val="nil"/>
              <w:insideH w:val="nil"/>
            </w:tcBorders>
            <w:shd w:fill="auto" w:val="clear"/>
            <w:tcMar>
              <w:left w:w="108" w:type="dxa"/>
            </w:tcMar>
          </w:tcPr>
          <w:p>
            <w:pPr>
              <w:pStyle w:val="Normal"/>
              <w:spacing w:lineRule="auto" w:line="240" w:before="0" w:after="120"/>
              <w:jc w:val="center"/>
              <w:rPr>
                <w:rFonts w:ascii="Times New Roman" w:hAnsi="Times New Roman" w:cs="Times New Roman"/>
                <w:b/>
                <w:b/>
                <w:color w:val="000000" w:themeColor="text1"/>
                <w:sz w:val="20"/>
              </w:rPr>
            </w:pPr>
            <w:r>
              <w:rPr>
                <w:rFonts w:cs="Times New Roman" w:ascii="Times New Roman" w:hAnsi="Times New Roman"/>
                <w:b/>
                <w:color w:val="000000" w:themeColor="text1"/>
                <w:sz w:val="20"/>
              </w:rPr>
              <w:t>Equilibration 5</w:t>
            </w:r>
          </w:p>
        </w:tc>
        <w:tc>
          <w:tcPr>
            <w:tcW w:w="4018" w:type="dxa"/>
            <w:tcBorders>
              <w:top w:val="nil"/>
              <w:bottom w:val="nil"/>
              <w:insideH w:val="nil"/>
            </w:tcBorders>
            <w:shd w:fill="auto" w:val="clear"/>
            <w:tcMar>
              <w:left w:w="108" w:type="dxa"/>
            </w:tcMar>
          </w:tcPr>
          <w:p>
            <w:pPr>
              <w:pStyle w:val="Normal"/>
              <w:spacing w:lineRule="auto" w:line="240" w:before="0" w:after="12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t>k = 10.0 kCal/mol/Å</w:t>
            </w:r>
            <w:r>
              <w:rPr>
                <w:rFonts w:cs="Times New Roman" w:ascii="Times New Roman" w:hAnsi="Times New Roman"/>
                <w:color w:val="000000" w:themeColor="text1"/>
                <w:sz w:val="20"/>
                <w:vertAlign w:val="superscript"/>
              </w:rPr>
              <w:t>2</w:t>
            </w:r>
            <w:r>
              <w:rPr>
                <w:rFonts w:cs="Times New Roman" w:ascii="Times New Roman" w:hAnsi="Times New Roman"/>
                <w:color w:val="000000" w:themeColor="text1"/>
                <w:sz w:val="20"/>
              </w:rPr>
              <w:t>, T = 300K</w:t>
            </w:r>
          </w:p>
        </w:tc>
        <w:tc>
          <w:tcPr>
            <w:tcW w:w="2025" w:type="dxa"/>
            <w:tcBorders>
              <w:top w:val="nil"/>
              <w:bottom w:val="nil"/>
              <w:insideH w:val="nil"/>
            </w:tcBorders>
            <w:shd w:fill="auto" w:val="clear"/>
            <w:tcMar>
              <w:left w:w="108" w:type="dxa"/>
            </w:tcMar>
          </w:tcPr>
          <w:p>
            <w:pPr>
              <w:pStyle w:val="Normal"/>
              <w:spacing w:lineRule="auto" w:line="240" w:before="0" w:after="12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t>10 ps</w:t>
            </w:r>
          </w:p>
        </w:tc>
      </w:tr>
      <w:tr>
        <w:trPr/>
        <w:tc>
          <w:tcPr>
            <w:tcW w:w="2335" w:type="dxa"/>
            <w:tcBorders>
              <w:top w:val="nil"/>
              <w:bottom w:val="nil"/>
              <w:insideH w:val="nil"/>
            </w:tcBorders>
            <w:shd w:fill="auto" w:val="clear"/>
            <w:tcMar>
              <w:left w:w="108" w:type="dxa"/>
            </w:tcMar>
          </w:tcPr>
          <w:p>
            <w:pPr>
              <w:pStyle w:val="Normal"/>
              <w:spacing w:lineRule="auto" w:line="240" w:before="0" w:after="120"/>
              <w:jc w:val="center"/>
              <w:rPr>
                <w:rFonts w:ascii="Times New Roman" w:hAnsi="Times New Roman" w:cs="Times New Roman"/>
                <w:b/>
                <w:b/>
                <w:color w:val="000000" w:themeColor="text1"/>
                <w:sz w:val="20"/>
              </w:rPr>
            </w:pPr>
            <w:r>
              <w:rPr>
                <w:rFonts w:cs="Times New Roman" w:ascii="Times New Roman" w:hAnsi="Times New Roman"/>
                <w:b/>
                <w:color w:val="000000" w:themeColor="text1"/>
                <w:sz w:val="20"/>
              </w:rPr>
              <w:t>Equilibration 6</w:t>
            </w:r>
          </w:p>
        </w:tc>
        <w:tc>
          <w:tcPr>
            <w:tcW w:w="4018" w:type="dxa"/>
            <w:tcBorders>
              <w:top w:val="nil"/>
              <w:bottom w:val="nil"/>
              <w:insideH w:val="nil"/>
            </w:tcBorders>
            <w:shd w:fill="auto" w:val="clear"/>
            <w:tcMar>
              <w:left w:w="108" w:type="dxa"/>
            </w:tcMar>
          </w:tcPr>
          <w:p>
            <w:pPr>
              <w:pStyle w:val="Normal"/>
              <w:spacing w:lineRule="auto" w:line="240" w:before="0" w:after="12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t>k = 5.0 kCal/mol/Å</w:t>
            </w:r>
            <w:r>
              <w:rPr>
                <w:rFonts w:cs="Times New Roman" w:ascii="Times New Roman" w:hAnsi="Times New Roman"/>
                <w:color w:val="000000" w:themeColor="text1"/>
                <w:sz w:val="20"/>
                <w:vertAlign w:val="superscript"/>
              </w:rPr>
              <w:t>2</w:t>
            </w:r>
            <w:r>
              <w:rPr>
                <w:rFonts w:cs="Times New Roman" w:ascii="Times New Roman" w:hAnsi="Times New Roman"/>
                <w:color w:val="000000" w:themeColor="text1"/>
                <w:sz w:val="20"/>
              </w:rPr>
              <w:t>, T = 300K</w:t>
            </w:r>
          </w:p>
        </w:tc>
        <w:tc>
          <w:tcPr>
            <w:tcW w:w="2025" w:type="dxa"/>
            <w:tcBorders>
              <w:top w:val="nil"/>
              <w:bottom w:val="nil"/>
              <w:insideH w:val="nil"/>
            </w:tcBorders>
            <w:shd w:fill="auto" w:val="clear"/>
            <w:tcMar>
              <w:left w:w="108" w:type="dxa"/>
            </w:tcMar>
          </w:tcPr>
          <w:p>
            <w:pPr>
              <w:pStyle w:val="Normal"/>
              <w:spacing w:lineRule="auto" w:line="240" w:before="0" w:after="12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t>10 ps</w:t>
            </w:r>
          </w:p>
        </w:tc>
      </w:tr>
      <w:tr>
        <w:trPr/>
        <w:tc>
          <w:tcPr>
            <w:tcW w:w="2335" w:type="dxa"/>
            <w:tcBorders>
              <w:top w:val="nil"/>
              <w:bottom w:val="nil"/>
              <w:insideH w:val="nil"/>
            </w:tcBorders>
            <w:shd w:fill="auto" w:val="clear"/>
            <w:tcMar>
              <w:left w:w="108" w:type="dxa"/>
            </w:tcMar>
          </w:tcPr>
          <w:p>
            <w:pPr>
              <w:pStyle w:val="Normal"/>
              <w:spacing w:lineRule="auto" w:line="240" w:before="0" w:after="120"/>
              <w:jc w:val="center"/>
              <w:rPr>
                <w:rFonts w:ascii="Times New Roman" w:hAnsi="Times New Roman" w:cs="Times New Roman"/>
                <w:b/>
                <w:b/>
                <w:color w:val="000000" w:themeColor="text1"/>
                <w:sz w:val="20"/>
              </w:rPr>
            </w:pPr>
            <w:r>
              <w:rPr>
                <w:rFonts w:cs="Times New Roman" w:ascii="Times New Roman" w:hAnsi="Times New Roman"/>
                <w:b/>
                <w:color w:val="000000" w:themeColor="text1"/>
                <w:sz w:val="20"/>
              </w:rPr>
              <w:t>Equilibration 7</w:t>
            </w:r>
          </w:p>
        </w:tc>
        <w:tc>
          <w:tcPr>
            <w:tcW w:w="4018" w:type="dxa"/>
            <w:tcBorders>
              <w:top w:val="nil"/>
              <w:bottom w:val="nil"/>
              <w:insideH w:val="nil"/>
            </w:tcBorders>
            <w:shd w:fill="auto" w:val="clear"/>
            <w:tcMar>
              <w:left w:w="108" w:type="dxa"/>
            </w:tcMar>
          </w:tcPr>
          <w:p>
            <w:pPr>
              <w:pStyle w:val="Normal"/>
              <w:spacing w:lineRule="auto" w:line="240" w:before="0" w:after="12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t>k = 2.5 kCal/mol/Å</w:t>
            </w:r>
            <w:r>
              <w:rPr>
                <w:rFonts w:cs="Times New Roman" w:ascii="Times New Roman" w:hAnsi="Times New Roman"/>
                <w:color w:val="000000" w:themeColor="text1"/>
                <w:sz w:val="20"/>
                <w:vertAlign w:val="superscript"/>
              </w:rPr>
              <w:t>2</w:t>
            </w:r>
            <w:r>
              <w:rPr>
                <w:rFonts w:cs="Times New Roman" w:ascii="Times New Roman" w:hAnsi="Times New Roman"/>
                <w:color w:val="000000" w:themeColor="text1"/>
                <w:sz w:val="20"/>
              </w:rPr>
              <w:t>, T = 300K</w:t>
            </w:r>
          </w:p>
        </w:tc>
        <w:tc>
          <w:tcPr>
            <w:tcW w:w="2025" w:type="dxa"/>
            <w:tcBorders>
              <w:top w:val="nil"/>
              <w:bottom w:val="nil"/>
              <w:insideH w:val="nil"/>
            </w:tcBorders>
            <w:shd w:fill="auto" w:val="clear"/>
            <w:tcMar>
              <w:left w:w="108" w:type="dxa"/>
            </w:tcMar>
          </w:tcPr>
          <w:p>
            <w:pPr>
              <w:pStyle w:val="Normal"/>
              <w:spacing w:lineRule="auto" w:line="240" w:before="0" w:after="12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t>10 ps</w:t>
            </w:r>
          </w:p>
        </w:tc>
      </w:tr>
      <w:tr>
        <w:trPr>
          <w:trHeight w:val="378" w:hRule="atLeast"/>
        </w:trPr>
        <w:tc>
          <w:tcPr>
            <w:tcW w:w="2335" w:type="dxa"/>
            <w:tcBorders>
              <w:top w:val="nil"/>
            </w:tcBorders>
            <w:shd w:fill="auto" w:val="clear"/>
            <w:tcMar>
              <w:left w:w="108" w:type="dxa"/>
            </w:tcMar>
          </w:tcPr>
          <w:p>
            <w:pPr>
              <w:pStyle w:val="Normal"/>
              <w:spacing w:lineRule="auto" w:line="240"/>
              <w:jc w:val="center"/>
              <w:rPr>
                <w:rFonts w:ascii="Times New Roman" w:hAnsi="Times New Roman" w:cs="Times New Roman"/>
                <w:b/>
                <w:b/>
                <w:color w:val="000000" w:themeColor="text1"/>
                <w:sz w:val="20"/>
              </w:rPr>
            </w:pPr>
            <w:r>
              <w:rPr>
                <w:rFonts w:cs="Times New Roman" w:ascii="Times New Roman" w:hAnsi="Times New Roman"/>
                <w:b/>
                <w:color w:val="000000" w:themeColor="text1"/>
                <w:sz w:val="20"/>
              </w:rPr>
              <w:t>Equilibration 8</w:t>
            </w:r>
          </w:p>
          <w:p>
            <w:pPr>
              <w:pStyle w:val="Normal"/>
              <w:spacing w:lineRule="auto" w:line="240"/>
              <w:jc w:val="center"/>
              <w:rPr>
                <w:rFonts w:ascii="Times New Roman" w:hAnsi="Times New Roman" w:cs="Times New Roman"/>
                <w:b/>
                <w:b/>
                <w:color w:val="000000" w:themeColor="text1"/>
                <w:sz w:val="20"/>
              </w:rPr>
            </w:pPr>
            <w:r>
              <w:rPr>
                <w:rFonts w:cs="Times New Roman" w:ascii="Times New Roman" w:hAnsi="Times New Roman"/>
                <w:b/>
                <w:color w:val="000000" w:themeColor="text1"/>
                <w:sz w:val="20"/>
              </w:rPr>
              <w:t>Productive Runs</w:t>
            </w:r>
          </w:p>
          <w:p>
            <w:pPr>
              <w:pStyle w:val="Normal"/>
              <w:spacing w:lineRule="auto" w:line="240" w:before="0" w:after="120"/>
              <w:jc w:val="center"/>
              <w:rPr>
                <w:rFonts w:ascii="Times New Roman" w:hAnsi="Times New Roman" w:cs="Times New Roman"/>
                <w:b/>
                <w:b/>
                <w:color w:val="000000" w:themeColor="text1"/>
                <w:sz w:val="20"/>
              </w:rPr>
            </w:pPr>
            <w:r>
              <w:rPr>
                <w:rFonts w:cs="Times New Roman" w:ascii="Times New Roman" w:hAnsi="Times New Roman"/>
                <w:b/>
                <w:color w:val="000000" w:themeColor="text1"/>
                <w:sz w:val="20"/>
              </w:rPr>
            </w:r>
          </w:p>
        </w:tc>
        <w:tc>
          <w:tcPr>
            <w:tcW w:w="4018" w:type="dxa"/>
            <w:tcBorders>
              <w:top w:val="nil"/>
            </w:tcBorders>
            <w:shd w:fill="auto" w:val="clear"/>
            <w:tcMar>
              <w:left w:w="108" w:type="dxa"/>
            </w:tcMar>
          </w:tcPr>
          <w:p>
            <w:pPr>
              <w:pStyle w:val="Normal"/>
              <w:spacing w:lineRule="auto" w:line="24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t>k = 1.0 kCal/mol/Å</w:t>
            </w:r>
            <w:r>
              <w:rPr>
                <w:rFonts w:cs="Times New Roman" w:ascii="Times New Roman" w:hAnsi="Times New Roman"/>
                <w:color w:val="000000" w:themeColor="text1"/>
                <w:sz w:val="20"/>
                <w:vertAlign w:val="superscript"/>
              </w:rPr>
              <w:t>2</w:t>
            </w:r>
            <w:r>
              <w:rPr>
                <w:rFonts w:cs="Times New Roman" w:ascii="Times New Roman" w:hAnsi="Times New Roman"/>
                <w:color w:val="000000" w:themeColor="text1"/>
                <w:sz w:val="20"/>
              </w:rPr>
              <w:t>, T = 300K</w:t>
            </w:r>
          </w:p>
          <w:p>
            <w:pPr>
              <w:pStyle w:val="Normal"/>
              <w:spacing w:lineRule="auto" w:line="24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t>(none)</w:t>
            </w:r>
          </w:p>
          <w:p>
            <w:pPr>
              <w:pStyle w:val="Normal"/>
              <w:spacing w:lineRule="auto" w:line="240" w:before="0" w:after="12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r>
          </w:p>
        </w:tc>
        <w:tc>
          <w:tcPr>
            <w:tcW w:w="2025" w:type="dxa"/>
            <w:tcBorders>
              <w:top w:val="nil"/>
            </w:tcBorders>
            <w:shd w:fill="auto" w:val="clear"/>
            <w:tcMar>
              <w:left w:w="108" w:type="dxa"/>
            </w:tcMar>
          </w:tcPr>
          <w:p>
            <w:pPr>
              <w:pStyle w:val="Normal"/>
              <w:spacing w:lineRule="auto" w:line="24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t>10 ps</w:t>
            </w:r>
          </w:p>
          <w:p>
            <w:pPr>
              <w:pStyle w:val="Normal"/>
              <w:spacing w:lineRule="auto" w:line="24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t>10-100 ns</w:t>
            </w:r>
          </w:p>
          <w:p>
            <w:pPr>
              <w:pStyle w:val="Normal"/>
              <w:spacing w:lineRule="auto" w:line="240" w:before="0" w:after="120"/>
              <w:jc w:val="center"/>
              <w:rPr>
                <w:rFonts w:ascii="Times New Roman" w:hAnsi="Times New Roman" w:cs="Times New Roman"/>
                <w:color w:val="000000" w:themeColor="text1"/>
                <w:sz w:val="20"/>
              </w:rPr>
            </w:pPr>
            <w:r>
              <w:rPr>
                <w:rFonts w:cs="Times New Roman" w:ascii="Times New Roman" w:hAnsi="Times New Roman"/>
                <w:color w:val="000000" w:themeColor="text1"/>
                <w:sz w:val="20"/>
              </w:rPr>
            </w:r>
          </w:p>
        </w:tc>
      </w:tr>
    </w:tbl>
    <w:p>
      <w:pPr>
        <w:pStyle w:val="Normal"/>
        <w:spacing w:lineRule="auto" w:line="360"/>
        <w:jc w:val="both"/>
        <w:rPr>
          <w:rFonts w:ascii="Times New Roman" w:hAnsi="Times New Roman" w:cs="Times New Roman"/>
          <w:szCs w:val="24"/>
        </w:rPr>
      </w:pPr>
      <w:r>
        <w:rPr>
          <w:rFonts w:cs="Times New Roman" w:ascii="Times New Roman" w:hAnsi="Times New Roman"/>
          <w:b/>
          <w:color w:val="000000" w:themeColor="text1"/>
          <w:szCs w:val="24"/>
        </w:rPr>
        <w:t>Table 4</w:t>
      </w:r>
      <w:r>
        <w:rPr>
          <w:rFonts w:cs="Times New Roman" w:ascii="Times New Roman" w:hAnsi="Times New Roman"/>
          <w:color w:val="000000" w:themeColor="text1"/>
          <w:szCs w:val="24"/>
        </w:rPr>
        <w:t xml:space="preserve"> Force constants and time durations used in each stage of the GROMACS explicit solvent simulation protocols</w:t>
      </w:r>
    </w:p>
    <w:p>
      <w:pPr>
        <w:pStyle w:val="Normal"/>
        <w:jc w:val="center"/>
        <w:rPr>
          <w:rFonts w:ascii="Times New Roman" w:hAnsi="Times New Roman" w:cs="Times New Roman"/>
          <w:szCs w:val="24"/>
        </w:rPr>
      </w:pPr>
      <w:r>
        <w:rPr/>
      </w:r>
    </w:p>
    <w:p>
      <w:pPr>
        <w:pStyle w:val="NormalWeb"/>
        <w:spacing w:before="280" w:after="280"/>
        <w:ind w:left="640" w:hanging="640"/>
        <w:rPr/>
      </w:pPr>
      <w:r>
        <w:rPr/>
      </w:r>
    </w:p>
    <w:sectPr>
      <w:headerReference w:type="default" r:id="rId6"/>
      <w:type w:val="nextPage"/>
      <w:pgSz w:w="11906" w:h="16838"/>
      <w:pgMar w:left="2448" w:right="1296" w:header="720" w:top="1440" w:footer="0" w:bottom="1152" w:gutter="0"/>
      <w:pgNumType w:start="1"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ucida Grande">
    <w:charset w:val="01"/>
    <w:family w:val="roman"/>
    <w:pitch w:val="variable"/>
  </w:font>
  <w:font w:name="Times New Roman">
    <w:charset w:val="01"/>
    <w:family w:val="roman"/>
    <w:pitch w:val="variable"/>
  </w:font>
  <w:font w:name="Liberation Sans">
    <w:altName w:val="Arial"/>
    <w:charset w:val="01"/>
    <w:family w:val="swiss"/>
    <w:pitch w:val="variable"/>
  </w:font>
  <w:font w:name="Courier New">
    <w:charset w:val="01"/>
    <w:family w:val="roman"/>
    <w:pitch w:val="variable"/>
  </w:font>
  <w:font w:name="Times">
    <w:altName w:val="Times New Roman"/>
    <w:charset w:val="01"/>
    <w:family w:val="roman"/>
    <w:pitch w:val="variable"/>
  </w:font>
  <w:font w:name="Symbol">
    <w:charset w:val="01"/>
    <w:family w:val="roman"/>
    <w:pitch w:val="variable"/>
  </w:font>
  <w:font w:name="Wingdings">
    <w:charset w:val="01"/>
    <w:family w:val="roman"/>
    <w:pitch w:val="variable"/>
  </w:font>
  <w:font w:name="Symbol">
    <w:charset w:val="02"/>
    <w:family w:val="auto"/>
    <w:pitch w:val="variable"/>
  </w:font>
  <w:font w:name="Courier New">
    <w:charset w:val="01"/>
    <w:family w:val="modern"/>
    <w:pitch w:val="fixed"/>
  </w:font>
  <w:font w:name="Wingdings">
    <w:charset w:val="02"/>
    <w:family w:val="auto"/>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left" w:pos="6200" w:leader="none"/>
      </w:tabs>
      <w:spacing w:before="0" w:after="120"/>
      <w:rPr/>
    </w:pPr>
    <w:r>
      <w:rPr/>
      <w:t xml:space="preserve">- </w:t>
    </w:r>
    <w:r>
      <w:rPr/>
      <w:fldChar w:fldCharType="begin"/>
    </w:r>
    <w:r>
      <w:instrText> PAGE </w:instrText>
    </w:r>
    <w:r>
      <w:fldChar w:fldCharType="separate"/>
    </w:r>
    <w:r>
      <w:t>32</w:t>
    </w:r>
    <w:r>
      <w:fldChar w:fldCharType="end"/>
    </w:r>
    <w:r>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decimal"/>
      <w:lvlText w:val="%1."/>
      <w:lvlJc w:val="left"/>
      <w:pPr>
        <w:ind w:left="720" w:hanging="360"/>
      </w:pPr>
      <w:rPr>
        <w:rFonts w:ascii="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embedSystemFonts/>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GB"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Times New Roman" w:cs="Arial"/>
        <w:lang w:val="en-GB" w:eastAsia="en-US" w:bidi="ar-SA"/>
      </w:rPr>
    </w:rPrDefault>
    <w:pPrDefault>
      <w:pPr/>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qFormat="1"/>
    <w:lsdException w:name="caption" w:semiHidden="1" w:unhideWhenUsed="1" w:qFormat="1"/>
    <w:lsdException w:name="table of figures" w:uiPriority="99"/>
    <w:lsdException w:name="annotation reference" w:uiPriority="99"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semiHidden="1"/>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semiHidden="1" w:unhideWhenUsed="1"/>
    <w:lsdException w:name="Colorful Shading Accent 6" w:uiPriority="39"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atentStyles>
  <w:style w:type="paragraph" w:styleId="Normal" w:default="1">
    <w:name w:val="Normal"/>
    <w:qFormat/>
    <w:rsid w:val="00223c7f"/>
    <w:pPr>
      <w:widowControl/>
      <w:suppressAutoHyphens w:val="true"/>
      <w:bidi w:val="0"/>
      <w:spacing w:lineRule="atLeast" w:line="360" w:before="0" w:after="120"/>
      <w:jc w:val="left"/>
    </w:pPr>
    <w:rPr>
      <w:rFonts w:ascii="Arial" w:hAnsi="Arial" w:eastAsia="Times New Roman" w:cs="Arial"/>
      <w:color w:val="auto"/>
      <w:sz w:val="24"/>
      <w:szCs w:val="20"/>
      <w:lang w:eastAsia="en-GB" w:val="en-GB" w:bidi="ar-SA"/>
    </w:rPr>
  </w:style>
  <w:style w:type="paragraph" w:styleId="Heading1">
    <w:name w:val="Heading 1"/>
    <w:basedOn w:val="Normal"/>
    <w:next w:val="Normal"/>
    <w:link w:val="Heading1Char"/>
    <w:qFormat/>
    <w:pPr>
      <w:keepNext/>
      <w:keepLines/>
      <w:pageBreakBefore/>
      <w:spacing w:before="720" w:after="240"/>
      <w:jc w:val="center"/>
      <w:outlineLvl w:val="0"/>
    </w:pPr>
    <w:rPr>
      <w:b/>
      <w:sz w:val="28"/>
    </w:rPr>
  </w:style>
  <w:style w:type="paragraph" w:styleId="Heading2">
    <w:name w:val="Heading 2"/>
    <w:basedOn w:val="Heading1"/>
    <w:next w:val="Normal"/>
    <w:qFormat/>
    <w:pPr>
      <w:pageBreakBefore w:val="false"/>
      <w:spacing w:before="360" w:after="240"/>
      <w:ind w:left="540" w:hanging="540"/>
      <w:jc w:val="left"/>
      <w:outlineLvl w:val="1"/>
    </w:pPr>
    <w:rPr/>
  </w:style>
  <w:style w:type="paragraph" w:styleId="Heading3">
    <w:name w:val="Heading 3"/>
    <w:basedOn w:val="Heading2"/>
    <w:next w:val="Normal"/>
    <w:qFormat/>
    <w:pPr>
      <w:spacing w:before="120" w:after="120"/>
      <w:outlineLvl w:val="2"/>
    </w:pPr>
    <w:rPr>
      <w:sz w:val="26"/>
    </w:rPr>
  </w:style>
  <w:style w:type="paragraph" w:styleId="Heading4">
    <w:name w:val="Heading 4"/>
    <w:basedOn w:val="Heading3"/>
    <w:next w:val="Normal"/>
    <w:qFormat/>
    <w:pPr>
      <w:outlineLvl w:val="3"/>
    </w:pPr>
    <w:rPr>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sz w:val="20"/>
    </w:rPr>
  </w:style>
  <w:style w:type="paragraph" w:styleId="Heading8">
    <w:name w:val="Heading 8"/>
    <w:basedOn w:val="Normal"/>
    <w:next w:val="Normal"/>
    <w:qFormat/>
    <w:rsid w:val="00c473ff"/>
    <w:pPr>
      <w:keepLines/>
      <w:spacing w:lineRule="atLeast" w:line="240" w:before="240" w:after="240"/>
      <w:outlineLvl w:val="7"/>
    </w:pPr>
    <w:rPr/>
  </w:style>
  <w:style w:type="paragraph" w:styleId="Heading9">
    <w:name w:val="Heading 9"/>
    <w:basedOn w:val="Normal"/>
    <w:next w:val="Normal"/>
    <w:qFormat/>
    <w:pPr>
      <w:spacing w:before="240" w:after="60"/>
      <w:outlineLvl w:val="8"/>
    </w:pPr>
    <w:rPr>
      <w:i/>
      <w:sz w:val="18"/>
    </w:rPr>
  </w:style>
  <w:style w:type="character" w:styleId="DefaultParagraphFont" w:default="1">
    <w:name w:val="Default Paragraph Font"/>
    <w:uiPriority w:val="1"/>
    <w:semiHidden/>
    <w:unhideWhenUsed/>
    <w:qFormat/>
    <w:rPr/>
  </w:style>
  <w:style w:type="character" w:styleId="Footnotereference">
    <w:name w:val="footnote reference"/>
    <w:basedOn w:val="DefaultParagraphFont"/>
    <w:semiHidden/>
    <w:qFormat/>
    <w:rPr>
      <w:sz w:val="16"/>
    </w:rPr>
  </w:style>
  <w:style w:type="character" w:styleId="Endnotereference">
    <w:name w:val="endnote reference"/>
    <w:basedOn w:val="DefaultParagraphFont"/>
    <w:semiHidden/>
    <w:qFormat/>
    <w:rPr>
      <w:vertAlign w:val="superscript"/>
    </w:rPr>
  </w:style>
  <w:style w:type="character" w:styleId="Pagenumber">
    <w:name w:val="page number"/>
    <w:basedOn w:val="DefaultParagraphFont"/>
    <w:qFormat/>
    <w:rPr/>
  </w:style>
  <w:style w:type="character" w:styleId="InternetLink">
    <w:name w:val="Internet Link"/>
    <w:basedOn w:val="DefaultParagraphFont"/>
    <w:uiPriority w:val="99"/>
    <w:unhideWhenUsed/>
    <w:rsid w:val="00fe4621"/>
    <w:rPr>
      <w:color w:val="0000FF"/>
      <w:u w:val="single"/>
    </w:rPr>
  </w:style>
  <w:style w:type="character" w:styleId="SignatureChar" w:customStyle="1">
    <w:name w:val="Signature Char"/>
    <w:basedOn w:val="DefaultParagraphFont"/>
    <w:link w:val="Signature"/>
    <w:qFormat/>
    <w:rsid w:val="00ab6233"/>
    <w:rPr>
      <w:sz w:val="24"/>
    </w:rPr>
  </w:style>
  <w:style w:type="character" w:styleId="DocumentMapChar" w:customStyle="1">
    <w:name w:val="Document Map Char"/>
    <w:basedOn w:val="DefaultParagraphFont"/>
    <w:link w:val="DocumentMap"/>
    <w:qFormat/>
    <w:rsid w:val="0067552a"/>
    <w:rPr>
      <w:rFonts w:ascii="Lucida Grande" w:hAnsi="Lucida Grande" w:cs="Lucida Grande"/>
      <w:sz w:val="24"/>
      <w:szCs w:val="24"/>
      <w:lang w:eastAsia="en-GB"/>
    </w:rPr>
  </w:style>
  <w:style w:type="character" w:styleId="BalloonTextChar" w:customStyle="1">
    <w:name w:val="Balloon Text Char"/>
    <w:basedOn w:val="DefaultParagraphFont"/>
    <w:link w:val="BalloonText"/>
    <w:qFormat/>
    <w:rsid w:val="00632794"/>
    <w:rPr>
      <w:rFonts w:ascii="Lucida Grande" w:hAnsi="Lucida Grande" w:cs="Lucida Grande"/>
      <w:sz w:val="18"/>
      <w:szCs w:val="18"/>
      <w:lang w:eastAsia="en-GB"/>
    </w:rPr>
  </w:style>
  <w:style w:type="character" w:styleId="Annotationreference">
    <w:name w:val="annotation reference"/>
    <w:basedOn w:val="DefaultParagraphFont"/>
    <w:uiPriority w:val="99"/>
    <w:qFormat/>
    <w:rsid w:val="00dc6446"/>
    <w:rPr>
      <w:sz w:val="16"/>
      <w:szCs w:val="16"/>
    </w:rPr>
  </w:style>
  <w:style w:type="character" w:styleId="CommentTextChar" w:customStyle="1">
    <w:name w:val="Comment Text Char"/>
    <w:basedOn w:val="DefaultParagraphFont"/>
    <w:link w:val="CommentText"/>
    <w:qFormat/>
    <w:rsid w:val="00dc6446"/>
    <w:rPr>
      <w:lang w:eastAsia="en-GB"/>
    </w:rPr>
  </w:style>
  <w:style w:type="character" w:styleId="CommentSubjectChar" w:customStyle="1">
    <w:name w:val="Comment Subject Char"/>
    <w:basedOn w:val="CommentTextChar"/>
    <w:link w:val="CommentSubject"/>
    <w:qFormat/>
    <w:rsid w:val="00dc6446"/>
    <w:rPr>
      <w:b/>
      <w:bCs/>
      <w:lang w:eastAsia="en-GB"/>
    </w:rPr>
  </w:style>
  <w:style w:type="character" w:styleId="Heading1Char" w:customStyle="1">
    <w:name w:val="Heading 1 Char"/>
    <w:basedOn w:val="DefaultParagraphFont"/>
    <w:link w:val="Heading1"/>
    <w:qFormat/>
    <w:rsid w:val="00855c5e"/>
    <w:rPr>
      <w:b/>
      <w:sz w:val="28"/>
      <w:lang w:eastAsia="en-GB"/>
    </w:rPr>
  </w:style>
  <w:style w:type="character" w:styleId="ListLabel1">
    <w:name w:val="ListLabel 1"/>
    <w:qFormat/>
    <w:rPr>
      <w:rFonts w:cs="Courier New"/>
    </w:rPr>
  </w:style>
  <w:style w:type="character" w:styleId="ListLabel2">
    <w:name w:val="ListLabel 2"/>
    <w:qFormat/>
    <w:rPr>
      <w:rFonts w:ascii="Times New Roman" w:hAnsi="Times New Roman" w:cs="Times New Roman"/>
    </w:rPr>
  </w:style>
  <w:style w:type="character" w:styleId="FootnoteCharacters">
    <w:name w:val="Footnote Characters"/>
    <w:qFormat/>
    <w:rPr/>
  </w:style>
  <w:style w:type="paragraph" w:styleId="Heading">
    <w:name w:val="Heading"/>
    <w:basedOn w:val="Normal"/>
    <w:next w:val="TextBody"/>
    <w:qFormat/>
    <w:pPr>
      <w:keepNext/>
      <w:spacing w:before="240" w:after="120"/>
    </w:pPr>
    <w:rPr>
      <w:rFonts w:ascii="Liberation Sans" w:hAnsi="Liberation Sans" w:eastAsia="Droid Sans Fallback" w:cs="Free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Contents4">
    <w:name w:val="Contents 4"/>
    <w:basedOn w:val="Contents3"/>
    <w:uiPriority w:val="39"/>
    <w:pPr>
      <w:ind w:left="2160" w:hanging="0"/>
    </w:pPr>
    <w:rPr/>
  </w:style>
  <w:style w:type="paragraph" w:styleId="Contents3">
    <w:name w:val="Contents 3"/>
    <w:basedOn w:val="Contents2"/>
    <w:uiPriority w:val="39"/>
    <w:pPr>
      <w:ind w:left="1620" w:hanging="0"/>
    </w:pPr>
    <w:rPr/>
  </w:style>
  <w:style w:type="paragraph" w:styleId="Contents2">
    <w:name w:val="Contents 2"/>
    <w:basedOn w:val="Contents1"/>
    <w:uiPriority w:val="39"/>
    <w:pPr>
      <w:keepNext/>
      <w:ind w:left="1080" w:hanging="0"/>
    </w:pPr>
    <w:rPr>
      <w:b w:val="false"/>
    </w:rPr>
  </w:style>
  <w:style w:type="paragraph" w:styleId="Contents1">
    <w:name w:val="Contents 1"/>
    <w:basedOn w:val="Normal"/>
    <w:uiPriority w:val="39"/>
    <w:pPr>
      <w:keepNext/>
      <w:keepLines/>
      <w:tabs>
        <w:tab w:val="right" w:pos="8150" w:leader="dot"/>
      </w:tabs>
      <w:spacing w:lineRule="atLeast" w:line="280" w:before="120" w:after="40"/>
      <w:ind w:left="540" w:right="576" w:hanging="540"/>
    </w:pPr>
    <w:rPr>
      <w:b/>
    </w:rPr>
  </w:style>
  <w:style w:type="paragraph" w:styleId="Index4">
    <w:name w:val="index 4"/>
    <w:semiHidden/>
    <w:qFormat/>
    <w:pPr>
      <w:widowControl w:val="false"/>
      <w:suppressAutoHyphens w:val="true"/>
      <w:ind w:left="1152" w:hanging="0"/>
    </w:pPr>
    <w:rPr>
      <w:rFonts w:ascii="Arial" w:hAnsi="Arial" w:eastAsia="Times New Roman" w:cs="Arial"/>
      <w:color w:val="auto"/>
      <w:sz w:val="24"/>
      <w:szCs w:val="20"/>
      <w:lang w:val="en-GB" w:eastAsia="en-US" w:bidi="ar-SA"/>
    </w:rPr>
  </w:style>
  <w:style w:type="paragraph" w:styleId="Index3">
    <w:name w:val="index 3"/>
    <w:semiHidden/>
    <w:qFormat/>
    <w:pPr>
      <w:widowControl w:val="false"/>
      <w:suppressAutoHyphens w:val="true"/>
      <w:ind w:left="810" w:hanging="270"/>
    </w:pPr>
    <w:rPr>
      <w:rFonts w:ascii="Arial" w:hAnsi="Arial" w:eastAsia="Times New Roman" w:cs="Arial"/>
      <w:color w:val="auto"/>
      <w:sz w:val="24"/>
      <w:szCs w:val="20"/>
      <w:lang w:val="en-GB" w:eastAsia="en-US" w:bidi="ar-SA"/>
    </w:rPr>
  </w:style>
  <w:style w:type="paragraph" w:styleId="Index2">
    <w:name w:val="index 2"/>
    <w:semiHidden/>
    <w:qFormat/>
    <w:pPr>
      <w:widowControl w:val="false"/>
      <w:suppressAutoHyphens w:val="true"/>
      <w:ind w:left="540" w:hanging="252"/>
    </w:pPr>
    <w:rPr>
      <w:rFonts w:ascii="Arial" w:hAnsi="Arial" w:eastAsia="Times New Roman" w:cs="Arial"/>
      <w:color w:val="auto"/>
      <w:sz w:val="24"/>
      <w:szCs w:val="20"/>
      <w:lang w:val="en-GB" w:eastAsia="en-US" w:bidi="ar-SA"/>
    </w:rPr>
  </w:style>
  <w:style w:type="paragraph" w:styleId="Index1">
    <w:name w:val="index 1"/>
    <w:basedOn w:val="Normal"/>
    <w:semiHidden/>
    <w:qFormat/>
    <w:pPr>
      <w:keepLines/>
      <w:spacing w:lineRule="atLeast" w:line="240"/>
      <w:ind w:left="270" w:hanging="270"/>
    </w:pPr>
    <w:rPr/>
  </w:style>
  <w:style w:type="paragraph" w:styleId="Header">
    <w:name w:val="Header"/>
    <w:basedOn w:val="Normal"/>
    <w:rsid w:val="00246bf6"/>
    <w:pPr>
      <w:widowControl/>
      <w:bidi w:val="0"/>
      <w:spacing w:lineRule="atLeast" w:line="240"/>
      <w:jc w:val="center"/>
    </w:pPr>
    <w:rPr>
      <w:sz w:val="24"/>
      <w:lang w:eastAsia="en-GB"/>
    </w:rPr>
  </w:style>
  <w:style w:type="paragraph" w:styleId="Footnotetext">
    <w:name w:val="footnote text"/>
    <w:basedOn w:val="Normal"/>
    <w:semiHidden/>
    <w:qFormat/>
    <w:rsid w:val="00283ed5"/>
    <w:pPr>
      <w:spacing w:lineRule="atLeast" w:line="240" w:before="240" w:after="120"/>
      <w:ind w:left="432" w:hanging="432"/>
    </w:pPr>
    <w:rPr/>
  </w:style>
  <w:style w:type="paragraph" w:styleId="NormalIndent">
    <w:name w:val="Normal Indent"/>
    <w:basedOn w:val="Normal"/>
    <w:qFormat/>
    <w:pPr>
      <w:ind w:left="720" w:hanging="0"/>
    </w:pPr>
    <w:rPr/>
  </w:style>
  <w:style w:type="paragraph" w:styleId="Leftaligned" w:customStyle="1">
    <w:name w:val="left-aligned"/>
    <w:basedOn w:val="Normal"/>
    <w:qFormat/>
    <w:rsid w:val="00367014"/>
    <w:pPr/>
    <w:rPr/>
  </w:style>
  <w:style w:type="paragraph" w:styleId="Centred" w:customStyle="1">
    <w:name w:val="centred"/>
    <w:basedOn w:val="Normal"/>
    <w:qFormat/>
    <w:rsid w:val="006e4ef4"/>
    <w:pPr>
      <w:jc w:val="center"/>
    </w:pPr>
    <w:rPr/>
  </w:style>
  <w:style w:type="paragraph" w:styleId="Rightaligned" w:customStyle="1">
    <w:name w:val="right-aligned"/>
    <w:basedOn w:val="Normal"/>
    <w:qFormat/>
    <w:pPr>
      <w:jc w:val="right"/>
    </w:pPr>
    <w:rPr/>
  </w:style>
  <w:style w:type="paragraph" w:styleId="Figurecaption" w:customStyle="1">
    <w:name w:val="figure caption"/>
    <w:basedOn w:val="Normal"/>
    <w:next w:val="Normal"/>
    <w:qFormat/>
    <w:pPr>
      <w:keepLines/>
      <w:spacing w:lineRule="atLeast" w:line="240" w:before="240" w:after="120"/>
      <w:ind w:left="547" w:hanging="547"/>
    </w:pPr>
    <w:rPr/>
  </w:style>
  <w:style w:type="paragraph" w:styleId="Typedblock" w:customStyle="1">
    <w:name w:val="typed block"/>
    <w:basedOn w:val="Normal"/>
    <w:qFormat/>
    <w:pPr>
      <w:keepLines/>
    </w:pPr>
    <w:rPr>
      <w:rFonts w:ascii="Courier New" w:hAnsi="Courier New"/>
    </w:rPr>
  </w:style>
  <w:style w:type="paragraph" w:styleId="Hangingindent" w:customStyle="1">
    <w:name w:val="hanging indent"/>
    <w:basedOn w:val="Normal"/>
    <w:qFormat/>
    <w:rsid w:val="00c473ff"/>
    <w:pPr>
      <w:ind w:left="576" w:hanging="576"/>
    </w:pPr>
    <w:rPr/>
  </w:style>
  <w:style w:type="paragraph" w:styleId="Title1" w:customStyle="1">
    <w:name w:val="Title1"/>
    <w:basedOn w:val="Normal"/>
    <w:qFormat/>
    <w:pPr>
      <w:spacing w:before="960" w:after="360"/>
      <w:jc w:val="center"/>
    </w:pPr>
    <w:rPr>
      <w:b/>
      <w:sz w:val="28"/>
    </w:rPr>
  </w:style>
  <w:style w:type="paragraph" w:styleId="Subtitle1" w:customStyle="1">
    <w:name w:val="Subtitle1"/>
    <w:basedOn w:val="Title1"/>
    <w:next w:val="Centred"/>
    <w:qFormat/>
    <w:rsid w:val="00ab6233"/>
    <w:pPr>
      <w:spacing w:before="360" w:after="360"/>
    </w:pPr>
    <w:rPr>
      <w:sz w:val="24"/>
    </w:rPr>
  </w:style>
  <w:style w:type="paragraph" w:styleId="Heading0" w:customStyle="1">
    <w:name w:val="heading 0"/>
    <w:basedOn w:val="Normal"/>
    <w:next w:val="Heading1"/>
    <w:qFormat/>
    <w:pPr>
      <w:pageBreakBefore/>
      <w:spacing w:lineRule="atLeast" w:line="480" w:before="1680" w:after="480"/>
      <w:jc w:val="center"/>
    </w:pPr>
    <w:rPr>
      <w:b/>
      <w:sz w:val="28"/>
    </w:rPr>
  </w:style>
  <w:style w:type="paragraph" w:styleId="Tablecaption" w:customStyle="1">
    <w:name w:val="table caption"/>
    <w:basedOn w:val="Normal"/>
    <w:next w:val="Normal"/>
    <w:qFormat/>
    <w:pPr>
      <w:keepNext/>
      <w:keepLines/>
      <w:spacing w:lineRule="atLeast" w:line="240" w:before="240" w:after="120"/>
      <w:ind w:left="540" w:hanging="540"/>
    </w:pPr>
    <w:rPr/>
  </w:style>
  <w:style w:type="paragraph" w:styleId="Tall" w:customStyle="1">
    <w:name w:val="tall"/>
    <w:basedOn w:val="Centred"/>
    <w:qFormat/>
    <w:pPr>
      <w:keepNext/>
      <w:keepLines/>
      <w:spacing w:lineRule="exact" w:line="660" w:before="0" w:after="144"/>
    </w:pPr>
    <w:rPr/>
  </w:style>
  <w:style w:type="paragraph" w:styleId="Figuredescription" w:customStyle="1">
    <w:name w:val="figure description"/>
    <w:basedOn w:val="Figurecaption"/>
    <w:next w:val="Normal"/>
    <w:qFormat/>
    <w:pPr>
      <w:spacing w:before="0" w:after="120"/>
      <w:ind w:left="547" w:hanging="0"/>
    </w:pPr>
    <w:rPr/>
  </w:style>
  <w:style w:type="paragraph" w:styleId="Footer">
    <w:name w:val="Footer"/>
    <w:basedOn w:val="Normal"/>
    <w:rsid w:val="00283ed5"/>
    <w:pPr>
      <w:tabs>
        <w:tab w:val="center" w:pos="4153" w:leader="none"/>
        <w:tab w:val="right" w:pos="8306" w:leader="none"/>
      </w:tabs>
    </w:pPr>
    <w:rPr/>
  </w:style>
  <w:style w:type="paragraph" w:styleId="Tabledescription" w:customStyle="1">
    <w:name w:val="table description"/>
    <w:basedOn w:val="Tablecaption"/>
    <w:next w:val="Normal"/>
    <w:qFormat/>
    <w:pPr>
      <w:spacing w:before="0" w:after="120"/>
      <w:ind w:left="540" w:hanging="0"/>
    </w:pPr>
    <w:rPr/>
  </w:style>
  <w:style w:type="paragraph" w:styleId="Caption1">
    <w:name w:val="caption"/>
    <w:basedOn w:val="Normal"/>
    <w:unhideWhenUsed/>
    <w:qFormat/>
    <w:rsid w:val="00fd1047"/>
    <w:pPr>
      <w:keepLines/>
      <w:spacing w:lineRule="atLeast" w:line="240" w:before="240" w:after="120"/>
      <w:ind w:left="547" w:hanging="547"/>
    </w:pPr>
    <w:rPr>
      <w:b/>
      <w:bCs/>
      <w:szCs w:val="24"/>
    </w:rPr>
  </w:style>
  <w:style w:type="paragraph" w:styleId="Tableoffigures">
    <w:name w:val="table of figures"/>
    <w:basedOn w:val="Contents1"/>
    <w:next w:val="Normal"/>
    <w:uiPriority w:val="99"/>
    <w:qFormat/>
    <w:rsid w:val="00d84bd0"/>
    <w:pPr>
      <w:keepNext/>
      <w:ind w:left="547" w:right="576" w:hanging="547"/>
    </w:pPr>
    <w:rPr/>
  </w:style>
  <w:style w:type="paragraph" w:styleId="Description" w:customStyle="1">
    <w:name w:val="Description"/>
    <w:basedOn w:val="Figuredescription"/>
    <w:next w:val="Normal"/>
    <w:qFormat/>
    <w:rsid w:val="009c35db"/>
    <w:pPr/>
    <w:rPr/>
  </w:style>
  <w:style w:type="paragraph" w:styleId="Signature">
    <w:name w:val="Signature"/>
    <w:basedOn w:val="Normal"/>
    <w:link w:val="SignatureChar"/>
    <w:rsid w:val="00ab6233"/>
    <w:pPr>
      <w:ind w:left="4252" w:hanging="0"/>
    </w:pPr>
    <w:rPr/>
  </w:style>
  <w:style w:type="paragraph" w:styleId="DocumentMap">
    <w:name w:val="Document Map"/>
    <w:basedOn w:val="Normal"/>
    <w:link w:val="DocumentMapChar"/>
    <w:qFormat/>
    <w:rsid w:val="0067552a"/>
    <w:pPr/>
    <w:rPr>
      <w:rFonts w:ascii="Lucida Grande" w:hAnsi="Lucida Grande" w:cs="Lucida Grande"/>
      <w:szCs w:val="24"/>
    </w:rPr>
  </w:style>
  <w:style w:type="paragraph" w:styleId="NormalWeb">
    <w:name w:val="Normal (Web)"/>
    <w:basedOn w:val="Normal"/>
    <w:uiPriority w:val="99"/>
    <w:unhideWhenUsed/>
    <w:qFormat/>
    <w:rsid w:val="00a8616d"/>
    <w:pPr>
      <w:spacing w:lineRule="auto" w:line="240" w:beforeAutospacing="1" w:afterAutospacing="1"/>
    </w:pPr>
    <w:rPr>
      <w:rFonts w:ascii="Times" w:hAnsi="Times" w:eastAsia="ＭＳ 明朝" w:cs="Times New Roman" w:eastAsiaTheme="minorEastAsia"/>
      <w:sz w:val="20"/>
      <w:lang w:eastAsia="en-US"/>
    </w:rPr>
  </w:style>
  <w:style w:type="paragraph" w:styleId="BalloonText">
    <w:name w:val="Balloon Text"/>
    <w:basedOn w:val="Normal"/>
    <w:link w:val="BalloonTextChar"/>
    <w:qFormat/>
    <w:rsid w:val="00632794"/>
    <w:pPr>
      <w:spacing w:lineRule="auto" w:line="240" w:before="0" w:after="0"/>
    </w:pPr>
    <w:rPr>
      <w:rFonts w:ascii="Lucida Grande" w:hAnsi="Lucida Grande" w:cs="Lucida Grande"/>
      <w:sz w:val="18"/>
      <w:szCs w:val="18"/>
    </w:rPr>
  </w:style>
  <w:style w:type="paragraph" w:styleId="ListParagraph">
    <w:name w:val="List Paragraph"/>
    <w:basedOn w:val="Normal"/>
    <w:uiPriority w:val="72"/>
    <w:qFormat/>
    <w:rsid w:val="00c85a63"/>
    <w:pPr>
      <w:spacing w:before="0" w:after="120"/>
      <w:ind w:left="720" w:hanging="0"/>
      <w:contextualSpacing/>
    </w:pPr>
    <w:rPr/>
  </w:style>
  <w:style w:type="paragraph" w:styleId="Annotationtext">
    <w:name w:val="annotation text"/>
    <w:basedOn w:val="Normal"/>
    <w:link w:val="CommentTextChar"/>
    <w:qFormat/>
    <w:rsid w:val="00dc6446"/>
    <w:pPr>
      <w:spacing w:lineRule="auto" w:line="240"/>
    </w:pPr>
    <w:rPr>
      <w:sz w:val="20"/>
    </w:rPr>
  </w:style>
  <w:style w:type="paragraph" w:styleId="Annotationsubject">
    <w:name w:val="annotation subject"/>
    <w:basedOn w:val="Annotationtext"/>
    <w:link w:val="CommentSubjectChar"/>
    <w:qFormat/>
    <w:rsid w:val="00dc6446"/>
    <w:pPr/>
    <w:rPr>
      <w:b/>
      <w:bCs/>
    </w:rPr>
  </w:style>
  <w:style w:type="paragraph" w:styleId="Revision">
    <w:name w:val="Revision"/>
    <w:uiPriority w:val="71"/>
    <w:qFormat/>
    <w:rsid w:val="008a249b"/>
    <w:pPr>
      <w:widowControl/>
      <w:suppressAutoHyphens w:val="true"/>
      <w:bidi w:val="0"/>
      <w:jc w:val="left"/>
    </w:pPr>
    <w:rPr>
      <w:rFonts w:ascii="Arial" w:hAnsi="Arial" w:eastAsia="Times New Roman" w:cs="Arial"/>
      <w:color w:val="auto"/>
      <w:sz w:val="24"/>
      <w:szCs w:val="20"/>
      <w:lang w:eastAsia="en-GB" w:val="en-GB" w:bidi="ar-SA"/>
    </w:rPr>
  </w:style>
  <w:style w:type="paragraph" w:styleId="Quotations">
    <w:name w:val="Quotations"/>
    <w:basedOn w:val="Normal"/>
    <w:qFormat/>
    <w:pPr/>
    <w:rPr/>
  </w:style>
  <w:style w:type="paragraph" w:styleId="Title">
    <w:name w:val="Title"/>
    <w:basedOn w:val="Heading"/>
    <w:qFormat/>
    <w:pPr/>
    <w:rPr/>
  </w:style>
  <w:style w:type="paragraph" w:styleId="Subtitle">
    <w:name w:val="Subtitle"/>
    <w:basedOn w:val="Heading"/>
    <w:qFormat/>
    <w:pPr/>
    <w:rPr/>
  </w:style>
  <w:style w:type="numbering" w:styleId="NoList" w:default="1">
    <w:name w:val="No List"/>
    <w:uiPriority w:val="99"/>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59"/>
    <w:rsid w:val="00cf0c48"/>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header" Target="header1.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7FC65-1D3A-5C42-BFA0-8EA423E5E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Application>LibreOffice/4.4.6.3$Linux_X86_64 LibreOffice_project/40m0$Build-3</Application>
  <Paragraphs>277</Paragraphs>
  <Company>University of Leeds</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2015-09-08T15:54:00Z</dcterms:created>
  <dc:creator>Thana Sutthibutpong</dc:creator>
  <dc:description>For Microsoft Word 2007.
Uses styles to conform to Leeds University regulations.</dc:description>
  <dc:language>en-GB</dc:language>
  <cp:lastPrinted>2015-09-07T16:34:00Z</cp:lastPrinted>
  <dcterms:modified xsi:type="dcterms:W3CDTF">2016-10-11T10:46:46Z</dcterms:modified>
  <cp:revision>12</cp:revision>
  <dc:title>Leeds Thesis Template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University of Leeds</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Mendeley Citation Style_1">
    <vt:lpwstr>http://www.zotero.org/styles/springerprotocols</vt:lpwstr>
  </property>
  <property fmtid="{D5CDD505-2E9C-101B-9397-08002B2CF9AE}" pid="8" name="Mendeley Document_1">
    <vt:lpwstr>True</vt:lpwstr>
  </property>
  <property fmtid="{D5CDD505-2E9C-101B-9397-08002B2CF9AE}" pid="9" name="Mendeley Recent Style Id 0_1">
    <vt:lpwstr>http://www.zotero.org/styles/american-political-science-association</vt:lpwstr>
  </property>
  <property fmtid="{D5CDD505-2E9C-101B-9397-08002B2CF9AE}" pid="10" name="Mendeley Recent Style Id 1_1">
    <vt:lpwstr>http://www.zotero.org/styles/apa</vt:lpwstr>
  </property>
  <property fmtid="{D5CDD505-2E9C-101B-9397-08002B2CF9AE}" pid="11" name="Mendeley Recent Style Id 2_1">
    <vt:lpwstr>http://www.zotero.org/styles/american-sociological-association</vt:lpwstr>
  </property>
  <property fmtid="{D5CDD505-2E9C-101B-9397-08002B2CF9AE}" pid="12" name="Mendeley Recent Style Id 3_1">
    <vt:lpwstr>http://www.zotero.org/styles/harvard1</vt:lpwstr>
  </property>
  <property fmtid="{D5CDD505-2E9C-101B-9397-08002B2CF9AE}" pid="13" name="Mendeley Recent Style Id 4_1">
    <vt:lpwstr>http://www.zotero.org/styles/ieee</vt:lpwstr>
  </property>
  <property fmtid="{D5CDD505-2E9C-101B-9397-08002B2CF9AE}" pid="14" name="Mendeley Recent Style Id 5_1">
    <vt:lpwstr>http://www.zotero.org/styles/modern-humanities-research-association</vt:lpwstr>
  </property>
  <property fmtid="{D5CDD505-2E9C-101B-9397-08002B2CF9AE}" pid="15" name="Mendeley Recent Style Id 6_1">
    <vt:lpwstr>http://www.zotero.org/styles/modern-language-association</vt:lpwstr>
  </property>
  <property fmtid="{D5CDD505-2E9C-101B-9397-08002B2CF9AE}" pid="16" name="Mendeley Recent Style Id 7_1">
    <vt:lpwstr>http://www.zotero.org/styles/nature</vt:lpwstr>
  </property>
  <property fmtid="{D5CDD505-2E9C-101B-9397-08002B2CF9AE}" pid="17" name="Mendeley Recent Style Id 8_1">
    <vt:lpwstr>http://www.zotero.org/styles/nucleic-acids-research</vt:lpwstr>
  </property>
  <property fmtid="{D5CDD505-2E9C-101B-9397-08002B2CF9AE}" pid="18" name="Mendeley Recent Style Id 9_1">
    <vt:lpwstr>http://www.zotero.org/styles/springerprotocols</vt:lpwstr>
  </property>
  <property fmtid="{D5CDD505-2E9C-101B-9397-08002B2CF9AE}" pid="19" name="Mendeley Recent Style Name 0_1">
    <vt:lpwstr>American Political Science Association</vt:lpwstr>
  </property>
  <property fmtid="{D5CDD505-2E9C-101B-9397-08002B2CF9AE}" pid="20" name="Mendeley Recent Style Name 1_1">
    <vt:lpwstr>American Psychological Association 6th edition</vt:lpwstr>
  </property>
  <property fmtid="{D5CDD505-2E9C-101B-9397-08002B2CF9AE}" pid="21" name="Mendeley Recent Style Name 2_1">
    <vt:lpwstr>American Sociological Association</vt:lpwstr>
  </property>
  <property fmtid="{D5CDD505-2E9C-101B-9397-08002B2CF9AE}" pid="22" name="Mendeley Recent Style Name 3_1">
    <vt:lpwstr>Harvard Reference format 1 (author-date)</vt:lpwstr>
  </property>
  <property fmtid="{D5CDD505-2E9C-101B-9397-08002B2CF9AE}" pid="23" name="Mendeley Recent Style Name 4_1">
    <vt:lpwstr>IEEE</vt:lpwstr>
  </property>
  <property fmtid="{D5CDD505-2E9C-101B-9397-08002B2CF9AE}" pid="24" name="Mendeley Recent Style Name 5_1">
    <vt:lpwstr>Modern Humanities Research Association 3rd edition (note with bibliography)</vt:lpwstr>
  </property>
  <property fmtid="{D5CDD505-2E9C-101B-9397-08002B2CF9AE}" pid="25" name="Mendeley Recent Style Name 6_1">
    <vt:lpwstr>Modern Language Association 7th edition</vt:lpwstr>
  </property>
  <property fmtid="{D5CDD505-2E9C-101B-9397-08002B2CF9AE}" pid="26" name="Mendeley Recent Style Name 7_1">
    <vt:lpwstr>Nature</vt:lpwstr>
  </property>
  <property fmtid="{D5CDD505-2E9C-101B-9397-08002B2CF9AE}" pid="27" name="Mendeley Recent Style Name 8_1">
    <vt:lpwstr>Nucleic Acids Research</vt:lpwstr>
  </property>
  <property fmtid="{D5CDD505-2E9C-101B-9397-08002B2CF9AE}" pid="28" name="Mendeley Recent Style Name 9_1">
    <vt:lpwstr>SpringerProtocols</vt:lpwstr>
  </property>
  <property fmtid="{D5CDD505-2E9C-101B-9397-08002B2CF9AE}" pid="29" name="Mendeley User Name_1">
    <vt:lpwstr>pyts@leeds.ac.uk@www.mendeley.com</vt:lpwstr>
  </property>
  <property fmtid="{D5CDD505-2E9C-101B-9397-08002B2CF9AE}" pid="30" name="ScaleCrop">
    <vt:bool>0</vt:bool>
  </property>
  <property fmtid="{D5CDD505-2E9C-101B-9397-08002B2CF9AE}" pid="31" name="ShareDoc">
    <vt:bool>0</vt:bool>
  </property>
</Properties>
</file>