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6B87" w14:textId="77777777" w:rsidR="00C30004" w:rsidRPr="00DA27E1" w:rsidRDefault="00C30004" w:rsidP="00C30004">
      <w:pPr>
        <w:rPr>
          <w:rFonts w:cs="Times New Roman"/>
          <w:b/>
          <w:sz w:val="28"/>
          <w:lang w:val="en-GB"/>
        </w:rPr>
      </w:pPr>
      <w:bookmarkStart w:id="0" w:name="_Toc40367773"/>
      <w:bookmarkStart w:id="1" w:name="_Toc40367998"/>
      <w:bookmarkStart w:id="2" w:name="_Toc41990002"/>
      <w:bookmarkStart w:id="3" w:name="_GoBack"/>
      <w:bookmarkEnd w:id="3"/>
      <w:r w:rsidRPr="00DA27E1">
        <w:rPr>
          <w:rFonts w:cs="Times New Roman"/>
          <w:b/>
          <w:sz w:val="28"/>
          <w:lang w:val="en-GB"/>
        </w:rPr>
        <w:t xml:space="preserve">Dropout during a 12-week, Transitional, Exercise-based Cardiac Rehabilitation Program: a Mixed-methods Prospective Cohort Study  </w:t>
      </w:r>
    </w:p>
    <w:p w14:paraId="7DBFC9D8" w14:textId="77777777" w:rsidR="00C30004" w:rsidRPr="00DA27E1" w:rsidRDefault="00C30004" w:rsidP="00C30004">
      <w:pPr>
        <w:rPr>
          <w:rFonts w:cs="Times New Roman"/>
          <w:lang w:val="en-GB"/>
        </w:rPr>
      </w:pPr>
    </w:p>
    <w:p w14:paraId="41AF5F53" w14:textId="77777777" w:rsidR="00C30004" w:rsidRPr="00DA27E1" w:rsidRDefault="00C30004" w:rsidP="00C30004">
      <w:pPr>
        <w:rPr>
          <w:rFonts w:cs="Times New Roman"/>
          <w:lang w:val="en-GB"/>
        </w:rPr>
      </w:pPr>
      <w:r w:rsidRPr="00DA27E1">
        <w:rPr>
          <w:rFonts w:cs="Times New Roman"/>
          <w:lang w:val="en-GB"/>
        </w:rPr>
        <w:t>Authors</w:t>
      </w:r>
    </w:p>
    <w:p w14:paraId="7FE8D6BA" w14:textId="77777777" w:rsidR="00C30004" w:rsidRPr="00DA27E1" w:rsidRDefault="00C30004" w:rsidP="00C30004">
      <w:pPr>
        <w:rPr>
          <w:i/>
          <w:vertAlign w:val="superscript"/>
          <w:lang w:val="en-GB"/>
        </w:rPr>
      </w:pPr>
      <w:r w:rsidRPr="00DA27E1">
        <w:rPr>
          <w:i/>
          <w:lang w:val="en-GB"/>
        </w:rPr>
        <w:t>Charlotte Greve Sommer</w:t>
      </w:r>
      <w:r w:rsidRPr="00DA27E1">
        <w:rPr>
          <w:i/>
          <w:vertAlign w:val="superscript"/>
          <w:lang w:val="en-GB"/>
        </w:rPr>
        <w:t>1</w:t>
      </w:r>
      <w:r w:rsidRPr="00DA27E1">
        <w:rPr>
          <w:i/>
          <w:lang w:val="en-GB"/>
        </w:rPr>
        <w:t>, Lars Bo Jørgensen</w:t>
      </w:r>
      <w:r w:rsidRPr="00DA27E1">
        <w:rPr>
          <w:i/>
          <w:vertAlign w:val="superscript"/>
          <w:lang w:val="en-GB"/>
        </w:rPr>
        <w:t>1,2,3</w:t>
      </w:r>
      <w:r w:rsidRPr="00DA27E1">
        <w:rPr>
          <w:i/>
          <w:lang w:val="en-GB"/>
        </w:rPr>
        <w:t>, Birgitte Blume</w:t>
      </w:r>
      <w:r w:rsidRPr="00DA27E1">
        <w:rPr>
          <w:i/>
          <w:vertAlign w:val="superscript"/>
          <w:lang w:val="en-GB"/>
        </w:rPr>
        <w:t>1</w:t>
      </w:r>
      <w:r w:rsidRPr="00DA27E1">
        <w:rPr>
          <w:i/>
          <w:lang w:val="en-GB"/>
        </w:rPr>
        <w:t>, Tom Møller</w:t>
      </w:r>
      <w:r w:rsidRPr="00DA27E1">
        <w:rPr>
          <w:i/>
          <w:vertAlign w:val="superscript"/>
          <w:lang w:val="en-GB"/>
        </w:rPr>
        <w:t>4</w:t>
      </w:r>
      <w:r w:rsidRPr="00DA27E1">
        <w:rPr>
          <w:i/>
          <w:lang w:val="en-GB"/>
        </w:rPr>
        <w:t>, Søren Thorgaard Skou</w:t>
      </w:r>
      <w:r w:rsidRPr="00DA27E1">
        <w:rPr>
          <w:i/>
          <w:vertAlign w:val="superscript"/>
          <w:lang w:val="en-GB"/>
        </w:rPr>
        <w:t>2,3</w:t>
      </w:r>
      <w:r w:rsidRPr="00DA27E1">
        <w:rPr>
          <w:i/>
          <w:lang w:val="en-GB"/>
        </w:rPr>
        <w:t>, Alexander Harrison</w:t>
      </w:r>
      <w:r w:rsidRPr="00DA27E1">
        <w:rPr>
          <w:i/>
          <w:vertAlign w:val="superscript"/>
          <w:lang w:val="en-GB"/>
        </w:rPr>
        <w:t>5</w:t>
      </w:r>
      <w:r w:rsidRPr="00DA27E1">
        <w:rPr>
          <w:i/>
          <w:lang w:val="en-GB"/>
        </w:rPr>
        <w:t>, Lars Hermann Tang</w:t>
      </w:r>
      <w:r w:rsidRPr="00DA27E1">
        <w:rPr>
          <w:i/>
          <w:vertAlign w:val="superscript"/>
          <w:lang w:val="en-GB"/>
        </w:rPr>
        <w:t>2,6</w:t>
      </w:r>
    </w:p>
    <w:p w14:paraId="2282AD23" w14:textId="77777777" w:rsidR="00C30004" w:rsidRPr="00DA27E1" w:rsidRDefault="00C30004" w:rsidP="00C30004">
      <w:pPr>
        <w:rPr>
          <w:i/>
          <w:lang w:val="en-GB"/>
        </w:rPr>
      </w:pPr>
    </w:p>
    <w:p w14:paraId="0A38CC18" w14:textId="77777777" w:rsidR="00C30004" w:rsidRPr="00DA27E1" w:rsidRDefault="00C30004" w:rsidP="00C30004">
      <w:pPr>
        <w:rPr>
          <w:i/>
          <w:lang w:val="en-GB"/>
        </w:rPr>
      </w:pPr>
      <w:r w:rsidRPr="00DA27E1">
        <w:rPr>
          <w:i/>
          <w:lang w:val="en-GB"/>
        </w:rPr>
        <w:t>Affiliations</w:t>
      </w:r>
    </w:p>
    <w:p w14:paraId="3FFA66EC" w14:textId="77777777" w:rsidR="00C30004" w:rsidRPr="00DA27E1" w:rsidRDefault="00C30004" w:rsidP="00C30004">
      <w:pPr>
        <w:pStyle w:val="PlainText"/>
        <w:rPr>
          <w:rFonts w:ascii="Times New Roman" w:eastAsiaTheme="minorHAnsi" w:hAnsi="Times New Roman"/>
          <w:i/>
          <w:sz w:val="24"/>
          <w:szCs w:val="22"/>
          <w:lang w:val="en-GB" w:eastAsia="en-US"/>
        </w:rPr>
      </w:pPr>
      <w:r w:rsidRPr="00DA27E1">
        <w:rPr>
          <w:rFonts w:asciiTheme="minorHAnsi" w:hAnsiTheme="minorHAnsi" w:cstheme="minorHAnsi"/>
          <w:i/>
          <w:sz w:val="24"/>
          <w:szCs w:val="24"/>
          <w:vertAlign w:val="superscript"/>
          <w:lang w:val="en-GB"/>
        </w:rPr>
        <w:t>1</w:t>
      </w:r>
      <w:r w:rsidRPr="00DA27E1">
        <w:rPr>
          <w:rFonts w:ascii="Times New Roman" w:eastAsiaTheme="minorHAnsi" w:hAnsi="Times New Roman"/>
          <w:i/>
          <w:sz w:val="24"/>
          <w:szCs w:val="22"/>
          <w:lang w:val="en-GB" w:eastAsia="en-US"/>
        </w:rPr>
        <w:t>Department of Occupational Therapy and Physiotherapy, Zealand University Hospital, Denmark</w:t>
      </w:r>
    </w:p>
    <w:p w14:paraId="044B3A0A" w14:textId="77777777" w:rsidR="00C30004" w:rsidRPr="00DA27E1" w:rsidRDefault="00C30004" w:rsidP="00C30004">
      <w:pPr>
        <w:spacing w:before="240"/>
        <w:rPr>
          <w:rFonts w:cstheme="minorHAnsi"/>
          <w:i/>
          <w:szCs w:val="24"/>
          <w:lang w:val="en-GB"/>
        </w:rPr>
      </w:pPr>
      <w:r w:rsidRPr="00DA27E1">
        <w:rPr>
          <w:rFonts w:cstheme="minorHAnsi"/>
          <w:i/>
          <w:szCs w:val="24"/>
          <w:vertAlign w:val="superscript"/>
          <w:lang w:val="en-GB"/>
        </w:rPr>
        <w:t xml:space="preserve">2 </w:t>
      </w:r>
      <w:r w:rsidRPr="00DA27E1">
        <w:rPr>
          <w:rFonts w:cstheme="minorHAnsi"/>
          <w:i/>
          <w:szCs w:val="24"/>
          <w:lang w:val="en-GB"/>
        </w:rPr>
        <w:t>Department of Physiotherapy and Occupational Therapy, Næstved-Slagelse-Ringsted Hospitals, Region Zealand, Denmark</w:t>
      </w:r>
    </w:p>
    <w:p w14:paraId="54FE3DFD" w14:textId="77777777" w:rsidR="00C30004" w:rsidRPr="00DA27E1" w:rsidRDefault="00C30004" w:rsidP="00C30004">
      <w:pPr>
        <w:rPr>
          <w:rFonts w:eastAsia="Times New Roman" w:cstheme="minorHAnsi"/>
          <w:i/>
          <w:szCs w:val="24"/>
          <w:lang w:val="en-GB"/>
        </w:rPr>
      </w:pPr>
      <w:r w:rsidRPr="00DA27E1">
        <w:rPr>
          <w:rFonts w:cstheme="minorHAnsi"/>
          <w:i/>
          <w:szCs w:val="24"/>
          <w:vertAlign w:val="superscript"/>
          <w:lang w:val="en-GB"/>
        </w:rPr>
        <w:t xml:space="preserve">3 </w:t>
      </w:r>
      <w:r w:rsidRPr="00DA27E1">
        <w:rPr>
          <w:rFonts w:eastAsia="Times New Roman" w:cstheme="minorHAnsi"/>
          <w:i/>
          <w:szCs w:val="24"/>
          <w:lang w:val="en-GB"/>
        </w:rPr>
        <w:t>Research Unit for Musculoskeletal Function and Physiotherapy, Department of Sports Science and Clinical Biomechanics, University of Southern Denmark, Odense, Denmark</w:t>
      </w:r>
    </w:p>
    <w:p w14:paraId="389D0121" w14:textId="77777777" w:rsidR="00C30004" w:rsidRPr="00DA27E1" w:rsidRDefault="00C30004" w:rsidP="00C30004">
      <w:pPr>
        <w:rPr>
          <w:rFonts w:eastAsia="Times New Roman" w:cstheme="minorHAnsi"/>
          <w:i/>
          <w:szCs w:val="24"/>
          <w:lang w:val="en-GB"/>
        </w:rPr>
      </w:pPr>
      <w:r w:rsidRPr="00DA27E1">
        <w:rPr>
          <w:i/>
          <w:vertAlign w:val="superscript"/>
          <w:lang w:val="en-GB"/>
        </w:rPr>
        <w:t>4</w:t>
      </w:r>
      <w:r w:rsidRPr="00DA27E1">
        <w:rPr>
          <w:rFonts w:eastAsia="Times New Roman" w:cstheme="minorHAnsi"/>
          <w:i/>
          <w:szCs w:val="24"/>
          <w:lang w:val="en-GB"/>
        </w:rPr>
        <w:t xml:space="preserve"> The University Hospitals Centre for Health Research (UCSF), Copenhagen University Hospital, </w:t>
      </w:r>
      <w:proofErr w:type="spellStart"/>
      <w:r w:rsidRPr="00DA27E1">
        <w:rPr>
          <w:rFonts w:eastAsia="Times New Roman" w:cstheme="minorHAnsi"/>
          <w:i/>
          <w:szCs w:val="24"/>
          <w:lang w:val="en-GB"/>
        </w:rPr>
        <w:t>Rigshospitalet</w:t>
      </w:r>
      <w:proofErr w:type="spellEnd"/>
      <w:r w:rsidRPr="00DA27E1">
        <w:rPr>
          <w:rFonts w:eastAsia="Times New Roman" w:cstheme="minorHAnsi"/>
          <w:i/>
          <w:szCs w:val="24"/>
          <w:lang w:val="en-GB"/>
        </w:rPr>
        <w:t>, Department, 9701, Copenhagen, Denmark</w:t>
      </w:r>
    </w:p>
    <w:p w14:paraId="7A41303E" w14:textId="77777777" w:rsidR="00C30004" w:rsidRPr="00DA27E1" w:rsidRDefault="00C30004" w:rsidP="00C30004">
      <w:pPr>
        <w:rPr>
          <w:rFonts w:eastAsia="Times New Roman" w:cstheme="minorHAnsi"/>
          <w:i/>
          <w:szCs w:val="24"/>
          <w:lang w:val="en-GB"/>
        </w:rPr>
      </w:pPr>
      <w:r w:rsidRPr="00DA27E1">
        <w:rPr>
          <w:i/>
          <w:iCs/>
          <w:vertAlign w:val="superscript"/>
          <w:lang w:val="en-GB"/>
        </w:rPr>
        <w:t>5</w:t>
      </w:r>
      <w:r w:rsidRPr="00DA27E1">
        <w:rPr>
          <w:i/>
          <w:iCs/>
          <w:lang w:val="en-GB"/>
        </w:rPr>
        <w:t>Department of Health Sciences, University of York, England, United Kingdom</w:t>
      </w:r>
    </w:p>
    <w:p w14:paraId="31E4B1E3" w14:textId="77777777" w:rsidR="00C30004" w:rsidRPr="00DA27E1" w:rsidRDefault="00C30004" w:rsidP="00C30004">
      <w:pPr>
        <w:rPr>
          <w:rFonts w:cstheme="minorHAnsi"/>
          <w:i/>
          <w:szCs w:val="24"/>
          <w:lang w:val="en-GB"/>
        </w:rPr>
      </w:pPr>
      <w:r w:rsidRPr="00DA27E1">
        <w:rPr>
          <w:i/>
          <w:vertAlign w:val="superscript"/>
          <w:lang w:val="en-GB"/>
        </w:rPr>
        <w:t>6</w:t>
      </w:r>
      <w:r w:rsidRPr="00DA27E1">
        <w:rPr>
          <w:rFonts w:cstheme="minorHAnsi"/>
          <w:i/>
          <w:szCs w:val="24"/>
          <w:vertAlign w:val="superscript"/>
          <w:lang w:val="en-GB"/>
        </w:rPr>
        <w:t xml:space="preserve"> </w:t>
      </w:r>
      <w:r w:rsidRPr="00DA27E1">
        <w:rPr>
          <w:rFonts w:cstheme="minorHAnsi"/>
          <w:i/>
          <w:szCs w:val="24"/>
          <w:lang w:val="en-GB"/>
        </w:rPr>
        <w:t>Department of Regional Health Research, University of Southern Denmark, Denmark</w:t>
      </w:r>
    </w:p>
    <w:p w14:paraId="2D891294" w14:textId="77777777" w:rsidR="00C30004" w:rsidRPr="00DA27E1" w:rsidRDefault="00C30004" w:rsidP="00C30004">
      <w:pPr>
        <w:rPr>
          <w:lang w:val="en-GB"/>
        </w:rPr>
      </w:pPr>
    </w:p>
    <w:p w14:paraId="7E9A8BAF" w14:textId="77777777" w:rsidR="00C30004" w:rsidRPr="00276EB3" w:rsidRDefault="00C30004" w:rsidP="00C30004">
      <w:r w:rsidRPr="00276EB3">
        <w:t xml:space="preserve">Corresponding author: </w:t>
      </w:r>
      <w:r w:rsidRPr="00276EB3">
        <w:rPr>
          <w:i/>
        </w:rPr>
        <w:t xml:space="preserve">Charlotte Greve Sommer, Sygehusvej 10, 4000 Roskilde, Denmark, </w:t>
      </w:r>
      <w:r w:rsidR="00DA39EF">
        <w:fldChar w:fldCharType="begin"/>
      </w:r>
      <w:r w:rsidR="00DA39EF">
        <w:instrText xml:space="preserve"> HYPERLINK "mailto:chasom@regionsjaelland.dk" </w:instrText>
      </w:r>
      <w:r w:rsidR="00DA39EF">
        <w:fldChar w:fldCharType="separate"/>
      </w:r>
      <w:r w:rsidRPr="00276EB3">
        <w:rPr>
          <w:rStyle w:val="Hyperlink"/>
          <w:i/>
          <w:color w:val="auto"/>
        </w:rPr>
        <w:t>chasom@regionsjaelland.dk</w:t>
      </w:r>
      <w:r w:rsidR="00DA39EF">
        <w:rPr>
          <w:rStyle w:val="Hyperlink"/>
          <w:i/>
          <w:color w:val="auto"/>
        </w:rPr>
        <w:fldChar w:fldCharType="end"/>
      </w:r>
      <w:r w:rsidRPr="00276EB3">
        <w:rPr>
          <w:i/>
        </w:rPr>
        <w:t>, +45 61384918</w:t>
      </w:r>
      <w:r w:rsidRPr="00276EB3">
        <w:t xml:space="preserve"> </w:t>
      </w:r>
    </w:p>
    <w:p w14:paraId="09EDA333" w14:textId="77777777" w:rsidR="00C30004" w:rsidRPr="00276EB3" w:rsidRDefault="00C30004" w:rsidP="00C30004"/>
    <w:p w14:paraId="7C9AA148" w14:textId="77777777" w:rsidR="00C30004" w:rsidRPr="00DA27E1" w:rsidRDefault="00C30004" w:rsidP="00C30004">
      <w:pPr>
        <w:rPr>
          <w:lang w:val="en-GB"/>
        </w:rPr>
      </w:pPr>
      <w:r w:rsidRPr="00DA27E1">
        <w:rPr>
          <w:lang w:val="en-GB"/>
        </w:rPr>
        <w:t>Word count: 3,995</w:t>
      </w:r>
    </w:p>
    <w:p w14:paraId="532A4B7B" w14:textId="77777777" w:rsidR="00C30004" w:rsidRPr="00DA27E1" w:rsidRDefault="00C30004" w:rsidP="00C30004">
      <w:pPr>
        <w:rPr>
          <w:lang w:val="en-GB"/>
        </w:rPr>
      </w:pPr>
    </w:p>
    <w:p w14:paraId="189E7F22" w14:textId="77777777" w:rsidR="00C30004" w:rsidRPr="00DA27E1" w:rsidRDefault="00C30004" w:rsidP="00C30004">
      <w:pPr>
        <w:rPr>
          <w:lang w:val="en-GB"/>
        </w:rPr>
      </w:pPr>
      <w:r w:rsidRPr="00DA27E1">
        <w:rPr>
          <w:b/>
          <w:lang w:val="en-GB"/>
        </w:rPr>
        <w:t>Keywords</w:t>
      </w:r>
      <w:r w:rsidRPr="00DA27E1">
        <w:rPr>
          <w:lang w:val="en-GB"/>
        </w:rPr>
        <w:t>: Cardiac rehabilitation, Cross-sectoral, Adherence, Transition phase, Dropout, Exercise</w:t>
      </w:r>
    </w:p>
    <w:p w14:paraId="38B481F3" w14:textId="77777777" w:rsidR="00C30004" w:rsidRPr="00DA27E1" w:rsidRDefault="00C30004" w:rsidP="00AF4D30">
      <w:pPr>
        <w:spacing w:line="360" w:lineRule="auto"/>
        <w:rPr>
          <w:rFonts w:cs="Times New Roman"/>
          <w:b/>
          <w:szCs w:val="28"/>
          <w:lang w:val="en-GB"/>
        </w:rPr>
      </w:pPr>
    </w:p>
    <w:p w14:paraId="5F43B1E8" w14:textId="77777777" w:rsidR="00C30004" w:rsidRPr="00DA27E1" w:rsidRDefault="00C30004" w:rsidP="00AF4D30">
      <w:pPr>
        <w:spacing w:line="360" w:lineRule="auto"/>
        <w:rPr>
          <w:rFonts w:cs="Times New Roman"/>
          <w:b/>
          <w:szCs w:val="28"/>
          <w:lang w:val="en-GB"/>
        </w:rPr>
      </w:pPr>
    </w:p>
    <w:p w14:paraId="36A5F6B5" w14:textId="77777777" w:rsidR="00C30004" w:rsidRPr="00DA27E1" w:rsidRDefault="00C30004" w:rsidP="00AF4D30">
      <w:pPr>
        <w:spacing w:line="360" w:lineRule="auto"/>
        <w:rPr>
          <w:rFonts w:cs="Times New Roman"/>
          <w:b/>
          <w:szCs w:val="28"/>
          <w:lang w:val="en-GB"/>
        </w:rPr>
      </w:pPr>
    </w:p>
    <w:p w14:paraId="181C5B30" w14:textId="77777777" w:rsidR="00C30004" w:rsidRPr="00DA27E1" w:rsidRDefault="00C30004" w:rsidP="00AF4D30">
      <w:pPr>
        <w:spacing w:line="360" w:lineRule="auto"/>
        <w:rPr>
          <w:rFonts w:cs="Times New Roman"/>
          <w:b/>
          <w:szCs w:val="28"/>
          <w:lang w:val="en-GB"/>
        </w:rPr>
      </w:pPr>
    </w:p>
    <w:p w14:paraId="0F7EEB67" w14:textId="77777777" w:rsidR="00C30004" w:rsidRPr="00DA27E1" w:rsidRDefault="00C30004" w:rsidP="00AF4D30">
      <w:pPr>
        <w:spacing w:line="360" w:lineRule="auto"/>
        <w:rPr>
          <w:rFonts w:cs="Times New Roman"/>
          <w:b/>
          <w:szCs w:val="28"/>
          <w:lang w:val="en-GB"/>
        </w:rPr>
      </w:pPr>
    </w:p>
    <w:p w14:paraId="248393C5" w14:textId="4921E728" w:rsidR="00AF4D30" w:rsidRPr="00DA27E1" w:rsidRDefault="00AF4D30" w:rsidP="00AF4D30">
      <w:pPr>
        <w:spacing w:line="360" w:lineRule="auto"/>
        <w:rPr>
          <w:rFonts w:cs="Times New Roman"/>
          <w:b/>
          <w:szCs w:val="28"/>
          <w:lang w:val="en-GB"/>
        </w:rPr>
      </w:pPr>
      <w:r w:rsidRPr="00DA27E1">
        <w:rPr>
          <w:rFonts w:cs="Times New Roman"/>
          <w:b/>
          <w:szCs w:val="28"/>
          <w:lang w:val="en-GB"/>
        </w:rPr>
        <w:lastRenderedPageBreak/>
        <w:t>Abstract</w:t>
      </w:r>
    </w:p>
    <w:p w14:paraId="2202C992" w14:textId="7EE24F6F" w:rsidR="00EA7D99" w:rsidRPr="00DA27E1" w:rsidRDefault="00AF4D30" w:rsidP="00AF4D30">
      <w:pPr>
        <w:spacing w:line="480" w:lineRule="auto"/>
        <w:rPr>
          <w:rFonts w:cs="Times New Roman"/>
          <w:lang w:val="en-GB"/>
        </w:rPr>
      </w:pPr>
      <w:r w:rsidRPr="00DA27E1">
        <w:rPr>
          <w:rFonts w:cs="Times New Roman"/>
          <w:b/>
          <w:szCs w:val="28"/>
          <w:lang w:val="en-GB"/>
        </w:rPr>
        <w:t>Aim</w:t>
      </w:r>
      <w:r w:rsidRPr="00DA27E1">
        <w:rPr>
          <w:rFonts w:cs="Times New Roman"/>
          <w:szCs w:val="28"/>
          <w:lang w:val="en-GB"/>
        </w:rPr>
        <w:t xml:space="preserve">: </w:t>
      </w:r>
      <w:r w:rsidR="00380D1A" w:rsidRPr="00DA27E1">
        <w:rPr>
          <w:rFonts w:cs="Times New Roman"/>
          <w:lang w:val="en-GB"/>
        </w:rPr>
        <w:t>Investigate the dropout rate during a 12-week transitional exercise-based cardiac rehabilitation (exCR) program focusing on a halfway transition phase between hospital and the municipality based cardiac rehabilitation. Secondly, investigate patient characteristics associated with dropout at the transition.</w:t>
      </w:r>
    </w:p>
    <w:p w14:paraId="3ED51C70" w14:textId="6475CE42" w:rsidR="00AF4D30" w:rsidRPr="00DA27E1" w:rsidRDefault="00AF4D30" w:rsidP="00AF4D30">
      <w:pPr>
        <w:spacing w:line="480" w:lineRule="auto"/>
        <w:rPr>
          <w:rFonts w:cs="Times New Roman"/>
          <w:szCs w:val="28"/>
          <w:lang w:val="en-GB"/>
        </w:rPr>
      </w:pPr>
      <w:r w:rsidRPr="00DA27E1">
        <w:rPr>
          <w:rFonts w:cs="Times New Roman"/>
          <w:b/>
          <w:szCs w:val="28"/>
          <w:lang w:val="en-GB"/>
        </w:rPr>
        <w:t>Methods</w:t>
      </w:r>
      <w:r w:rsidRPr="00DA27E1">
        <w:rPr>
          <w:rFonts w:cs="Times New Roman"/>
          <w:szCs w:val="28"/>
          <w:lang w:val="en-GB"/>
        </w:rPr>
        <w:t xml:space="preserve">: Patients with coronary heart disease, heart failure or heart valve surgery </w:t>
      </w:r>
      <w:r w:rsidR="00497922" w:rsidRPr="00DA27E1">
        <w:rPr>
          <w:rFonts w:cs="Times New Roman"/>
          <w:szCs w:val="28"/>
          <w:lang w:val="en-GB"/>
        </w:rPr>
        <w:t xml:space="preserve">referred to </w:t>
      </w:r>
      <w:r w:rsidR="000708BD" w:rsidRPr="00DA27E1">
        <w:rPr>
          <w:rFonts w:cs="Times New Roman"/>
          <w:szCs w:val="28"/>
          <w:lang w:val="en-GB"/>
        </w:rPr>
        <w:t>exCR</w:t>
      </w:r>
      <w:r w:rsidRPr="00DA27E1">
        <w:rPr>
          <w:rFonts w:cs="Times New Roman"/>
          <w:szCs w:val="28"/>
          <w:lang w:val="en-GB"/>
        </w:rPr>
        <w:t xml:space="preserve"> were included in a prospective cohort study conducted between 1.3.2018-28.2.2019 at Zealand University Hospital. ExCR was initiated at the hospital with a ha</w:t>
      </w:r>
      <w:r w:rsidR="00530641" w:rsidRPr="00DA27E1">
        <w:rPr>
          <w:rFonts w:cs="Times New Roman"/>
          <w:szCs w:val="28"/>
          <w:lang w:val="en-GB"/>
        </w:rPr>
        <w:t xml:space="preserve">lfway transitional </w:t>
      </w:r>
      <w:r w:rsidRPr="00DA27E1">
        <w:rPr>
          <w:rFonts w:cs="Times New Roman"/>
          <w:szCs w:val="28"/>
          <w:lang w:val="en-GB"/>
        </w:rPr>
        <w:t xml:space="preserve">to local health care </w:t>
      </w:r>
      <w:r w:rsidR="00DE36D4" w:rsidRPr="00DA27E1">
        <w:rPr>
          <w:rFonts w:cs="Times New Roman"/>
          <w:szCs w:val="28"/>
          <w:lang w:val="en-GB"/>
        </w:rPr>
        <w:t>centres</w:t>
      </w:r>
      <w:r w:rsidRPr="00DA27E1">
        <w:rPr>
          <w:rFonts w:cs="Times New Roman"/>
          <w:szCs w:val="28"/>
          <w:lang w:val="en-GB"/>
        </w:rPr>
        <w:t xml:space="preserve"> in the municipalities. </w:t>
      </w:r>
      <w:r w:rsidR="00380D1A" w:rsidRPr="00DA27E1">
        <w:rPr>
          <w:rFonts w:cs="Times New Roman"/>
          <w:szCs w:val="28"/>
          <w:lang w:val="en-GB"/>
        </w:rPr>
        <w:t>Dropouts were identified every third week through telephone interviews</w:t>
      </w:r>
      <w:r w:rsidRPr="00DA27E1">
        <w:rPr>
          <w:rFonts w:cs="Times New Roman"/>
          <w:szCs w:val="28"/>
          <w:lang w:val="en-GB"/>
        </w:rPr>
        <w:t xml:space="preserve">. </w:t>
      </w:r>
      <w:r w:rsidR="00F72EF9" w:rsidRPr="00DA27E1">
        <w:rPr>
          <w:rFonts w:cs="Times New Roman"/>
          <w:szCs w:val="28"/>
          <w:lang w:val="en-GB"/>
        </w:rPr>
        <w:t xml:space="preserve">A </w:t>
      </w:r>
      <w:r w:rsidR="000C1583" w:rsidRPr="00DA27E1">
        <w:rPr>
          <w:rFonts w:cs="Times New Roman"/>
          <w:szCs w:val="28"/>
          <w:lang w:val="en-GB"/>
        </w:rPr>
        <w:t xml:space="preserve">Kaplan-Meier time-to-event analysis </w:t>
      </w:r>
      <w:r w:rsidRPr="00DA27E1">
        <w:rPr>
          <w:rFonts w:cs="Times New Roman"/>
          <w:szCs w:val="28"/>
          <w:lang w:val="en-GB"/>
        </w:rPr>
        <w:t xml:space="preserve">was used to investigate time to dropout, while </w:t>
      </w:r>
      <w:r w:rsidR="00662B30" w:rsidRPr="00DA27E1">
        <w:rPr>
          <w:lang w:val="en-GB"/>
        </w:rPr>
        <w:t xml:space="preserve">multiple logistic regression </w:t>
      </w:r>
      <w:r w:rsidRPr="00DA27E1">
        <w:rPr>
          <w:rFonts w:cs="Times New Roman"/>
          <w:szCs w:val="28"/>
          <w:lang w:val="en-GB"/>
        </w:rPr>
        <w:t>assess</w:t>
      </w:r>
      <w:r w:rsidR="00CE2F72" w:rsidRPr="00DA27E1">
        <w:rPr>
          <w:rFonts w:cs="Times New Roman"/>
          <w:szCs w:val="28"/>
          <w:lang w:val="en-GB"/>
        </w:rPr>
        <w:t>ed</w:t>
      </w:r>
      <w:r w:rsidRPr="00DA27E1">
        <w:rPr>
          <w:rFonts w:cs="Times New Roman"/>
          <w:szCs w:val="28"/>
          <w:lang w:val="en-GB"/>
        </w:rPr>
        <w:t xml:space="preserve"> associations between </w:t>
      </w:r>
      <w:r w:rsidRPr="00DA27E1">
        <w:rPr>
          <w:lang w:val="en-GB"/>
        </w:rPr>
        <w:t>patient characteristics</w:t>
      </w:r>
      <w:r w:rsidRPr="00DA27E1" w:rsidDel="00404D42">
        <w:rPr>
          <w:rFonts w:cs="Times New Roman"/>
          <w:szCs w:val="28"/>
          <w:lang w:val="en-GB"/>
        </w:rPr>
        <w:t xml:space="preserve"> </w:t>
      </w:r>
      <w:r w:rsidRPr="00DA27E1">
        <w:rPr>
          <w:rFonts w:cs="Times New Roman"/>
          <w:szCs w:val="28"/>
          <w:lang w:val="en-GB"/>
        </w:rPr>
        <w:t>and dropout</w:t>
      </w:r>
      <w:r w:rsidR="008C1475" w:rsidRPr="00DA27E1">
        <w:rPr>
          <w:rFonts w:cs="Times New Roman"/>
          <w:szCs w:val="28"/>
          <w:lang w:val="en-GB"/>
        </w:rPr>
        <w:t xml:space="preserve"> at</w:t>
      </w:r>
      <w:r w:rsidRPr="00DA27E1">
        <w:rPr>
          <w:rFonts w:cs="Times New Roman"/>
          <w:szCs w:val="28"/>
          <w:lang w:val="en-GB"/>
        </w:rPr>
        <w:t xml:space="preserve"> the transition.</w:t>
      </w:r>
    </w:p>
    <w:p w14:paraId="4AB1D18D" w14:textId="208F0284" w:rsidR="00CE6D24" w:rsidRPr="00DA27E1" w:rsidRDefault="00AF4D30" w:rsidP="00AF4D30">
      <w:pPr>
        <w:spacing w:line="480" w:lineRule="auto"/>
        <w:rPr>
          <w:rFonts w:cs="Times New Roman"/>
          <w:b/>
          <w:szCs w:val="28"/>
          <w:lang w:val="en-GB"/>
        </w:rPr>
      </w:pPr>
      <w:r w:rsidRPr="00DA27E1">
        <w:rPr>
          <w:rFonts w:cs="Times New Roman"/>
          <w:b/>
          <w:szCs w:val="28"/>
          <w:lang w:val="en-GB"/>
        </w:rPr>
        <w:t>Results:</w:t>
      </w:r>
      <w:r w:rsidRPr="00DA27E1">
        <w:rPr>
          <w:rFonts w:cs="Times New Roman"/>
          <w:szCs w:val="28"/>
          <w:lang w:val="en-GB"/>
        </w:rPr>
        <w:t xml:space="preserve"> </w:t>
      </w:r>
      <w:r w:rsidR="008A2382" w:rsidRPr="00DA27E1">
        <w:rPr>
          <w:rFonts w:cs="Times New Roman"/>
          <w:lang w:val="en-GB"/>
        </w:rPr>
        <w:t xml:space="preserve">Of 560 patients eligible for exCR, 279 participated in the study. </w:t>
      </w:r>
      <w:r w:rsidR="001E4643" w:rsidRPr="00DA27E1">
        <w:rPr>
          <w:rFonts w:cs="Times New Roman"/>
          <w:lang w:val="en-GB"/>
        </w:rPr>
        <w:t>Fourteen</w:t>
      </w:r>
      <w:r w:rsidR="008A2382" w:rsidRPr="00DA27E1">
        <w:rPr>
          <w:rFonts w:cs="Times New Roman"/>
          <w:lang w:val="en-GB"/>
        </w:rPr>
        <w:t xml:space="preserve"> patients were lost to follow up and 103 dropped out, resulting in a dropout rate of 39% (95% CI: 33% to 45%). Of the 103 dropouts, 72 patients (70%) dropped out at the transition.</w:t>
      </w:r>
      <w:r w:rsidR="00CE2F72" w:rsidRPr="00DA27E1">
        <w:rPr>
          <w:rFonts w:cs="Times New Roman"/>
          <w:lang w:val="en-GB"/>
        </w:rPr>
        <w:t xml:space="preserve"> In the adjusted analysis,</w:t>
      </w:r>
      <w:r w:rsidR="008A2382" w:rsidRPr="00DA27E1">
        <w:rPr>
          <w:rFonts w:cs="Times New Roman"/>
          <w:lang w:val="en-GB"/>
        </w:rPr>
        <w:t xml:space="preserve"> </w:t>
      </w:r>
      <w:r w:rsidR="00CE2F72" w:rsidRPr="00DA27E1">
        <w:rPr>
          <w:rFonts w:cs="Times New Roman"/>
          <w:lang w:val="en-GB"/>
        </w:rPr>
        <w:t>p</w:t>
      </w:r>
      <w:r w:rsidR="008A2382" w:rsidRPr="00DA27E1">
        <w:rPr>
          <w:rFonts w:cs="Times New Roman"/>
          <w:lang w:val="en-GB"/>
        </w:rPr>
        <w:t xml:space="preserve">atients attached to the </w:t>
      </w:r>
      <w:r w:rsidR="00DE36D4" w:rsidRPr="00DA27E1">
        <w:rPr>
          <w:rFonts w:cs="Times New Roman"/>
          <w:lang w:val="en-GB"/>
        </w:rPr>
        <w:t>labour</w:t>
      </w:r>
      <w:r w:rsidR="008A2382" w:rsidRPr="00DA27E1">
        <w:rPr>
          <w:rFonts w:cs="Times New Roman"/>
          <w:lang w:val="en-GB"/>
        </w:rPr>
        <w:t xml:space="preserve"> market were associated with dropout at the transition </w:t>
      </w:r>
      <w:r w:rsidR="00CB760B" w:rsidRPr="00DA27E1">
        <w:rPr>
          <w:rFonts w:cs="Times New Roman"/>
          <w:lang w:val="en-GB"/>
        </w:rPr>
        <w:t>(OR=6.31 (95% CI: 2.04 to 19.54))</w:t>
      </w:r>
      <w:r w:rsidR="00CE2F72" w:rsidRPr="00DA27E1">
        <w:rPr>
          <w:rFonts w:cs="Times New Roman"/>
          <w:lang w:val="en-GB"/>
        </w:rPr>
        <w:t>.</w:t>
      </w:r>
      <w:r w:rsidR="008A2382" w:rsidRPr="00DA27E1">
        <w:rPr>
          <w:rFonts w:cs="Times New Roman"/>
          <w:lang w:val="en-GB"/>
        </w:rPr>
        <w:t xml:space="preserve"> Further, odds of dropping out at transition were reduced for each extra exercise session attended </w:t>
      </w:r>
      <w:r w:rsidR="00CE6D24" w:rsidRPr="00DA27E1">
        <w:rPr>
          <w:rFonts w:cs="Times New Roman"/>
          <w:lang w:val="en-GB"/>
        </w:rPr>
        <w:t>(OR=0.79 (95% CI: 0.66 to 0.94)).</w:t>
      </w:r>
    </w:p>
    <w:p w14:paraId="4454122A" w14:textId="1E8935BC" w:rsidR="00AF4D30" w:rsidRPr="00DA27E1" w:rsidRDefault="00AF4D30" w:rsidP="000E5557">
      <w:pPr>
        <w:spacing w:line="480" w:lineRule="auto"/>
        <w:rPr>
          <w:rFonts w:cs="Times New Roman"/>
          <w:szCs w:val="28"/>
          <w:lang w:val="en-GB"/>
        </w:rPr>
      </w:pPr>
      <w:r w:rsidRPr="00DA27E1">
        <w:rPr>
          <w:rFonts w:cs="Times New Roman"/>
          <w:b/>
          <w:szCs w:val="28"/>
          <w:lang w:val="en-GB"/>
        </w:rPr>
        <w:t>Conclusion</w:t>
      </w:r>
      <w:r w:rsidRPr="00DA27E1">
        <w:rPr>
          <w:rFonts w:cs="Times New Roman"/>
          <w:szCs w:val="28"/>
          <w:lang w:val="en-GB"/>
        </w:rPr>
        <w:t xml:space="preserve">: </w:t>
      </w:r>
      <w:r w:rsidR="00530641" w:rsidRPr="00DA27E1">
        <w:rPr>
          <w:rFonts w:cs="Times New Roman"/>
          <w:lang w:val="en-GB"/>
        </w:rPr>
        <w:t>The transition phase constitutes</w:t>
      </w:r>
      <w:r w:rsidR="00530641" w:rsidRPr="00DA27E1" w:rsidDel="006C7FEA">
        <w:rPr>
          <w:rFonts w:cs="Times New Roman"/>
          <w:lang w:val="en-GB"/>
        </w:rPr>
        <w:t xml:space="preserve"> </w:t>
      </w:r>
      <w:r w:rsidR="00530641" w:rsidRPr="00DA27E1">
        <w:rPr>
          <w:rFonts w:cs="Times New Roman"/>
          <w:lang w:val="en-GB"/>
        </w:rPr>
        <w:t xml:space="preserve">a critical dropout period in exCR, in which increased attention on patient adherence is needed. </w:t>
      </w:r>
      <w:r w:rsidR="00380D1A" w:rsidRPr="00DA27E1">
        <w:rPr>
          <w:rFonts w:cs="Times New Roman"/>
          <w:lang w:val="en-GB"/>
        </w:rPr>
        <w:t>In clinical practice, communication and strategies addressing patient retention across settings could be essential to prevent dropout in transitional exCR.</w:t>
      </w:r>
      <w:r w:rsidRPr="00DA27E1">
        <w:rPr>
          <w:rFonts w:cs="Times New Roman"/>
          <w:szCs w:val="28"/>
          <w:lang w:val="en-GB"/>
        </w:rPr>
        <w:br w:type="page"/>
      </w:r>
    </w:p>
    <w:p w14:paraId="26E02DAB" w14:textId="00BCB588" w:rsidR="00485169" w:rsidRPr="00DA27E1" w:rsidRDefault="00485169" w:rsidP="0094111C">
      <w:pPr>
        <w:spacing w:line="480" w:lineRule="auto"/>
        <w:rPr>
          <w:rFonts w:cs="Times New Roman"/>
          <w:lang w:val="en-GB"/>
        </w:rPr>
      </w:pPr>
      <w:r w:rsidRPr="00DA27E1">
        <w:rPr>
          <w:rFonts w:cs="Times New Roman"/>
          <w:b/>
          <w:sz w:val="28"/>
          <w:lang w:val="en-GB"/>
        </w:rPr>
        <w:lastRenderedPageBreak/>
        <w:t>Introduction</w:t>
      </w:r>
      <w:bookmarkEnd w:id="0"/>
      <w:bookmarkEnd w:id="1"/>
      <w:bookmarkEnd w:id="2"/>
    </w:p>
    <w:p w14:paraId="3C0039BA" w14:textId="0EC12465" w:rsidR="00D760EC" w:rsidRPr="00DA27E1" w:rsidRDefault="00485169" w:rsidP="0094111C">
      <w:pPr>
        <w:spacing w:line="480" w:lineRule="auto"/>
        <w:rPr>
          <w:rFonts w:cs="Times New Roman"/>
          <w:szCs w:val="24"/>
          <w:lang w:val="en-GB"/>
        </w:rPr>
      </w:pPr>
      <w:r w:rsidRPr="00DA27E1">
        <w:rPr>
          <w:rFonts w:cs="Times New Roman"/>
          <w:szCs w:val="24"/>
          <w:lang w:val="en-GB"/>
        </w:rPr>
        <w:t xml:space="preserve">The benefits of </w:t>
      </w:r>
      <w:r w:rsidR="00F015B0" w:rsidRPr="00DA27E1">
        <w:rPr>
          <w:rFonts w:cs="Times New Roman"/>
          <w:szCs w:val="24"/>
          <w:lang w:val="en-GB"/>
        </w:rPr>
        <w:t xml:space="preserve">cardiac </w:t>
      </w:r>
      <w:r w:rsidRPr="00DA27E1">
        <w:rPr>
          <w:rFonts w:cs="Times New Roman"/>
          <w:szCs w:val="24"/>
          <w:lang w:val="en-GB"/>
        </w:rPr>
        <w:t xml:space="preserve">rehabilitation </w:t>
      </w:r>
      <w:r w:rsidR="00DC3606" w:rsidRPr="00DA27E1">
        <w:rPr>
          <w:rFonts w:cs="Times New Roman"/>
          <w:szCs w:val="24"/>
          <w:lang w:val="en-GB"/>
        </w:rPr>
        <w:t>are</w:t>
      </w:r>
      <w:r w:rsidR="008C4C3F" w:rsidRPr="00DA27E1">
        <w:rPr>
          <w:rFonts w:cs="Times New Roman"/>
          <w:szCs w:val="24"/>
          <w:lang w:val="en-GB"/>
        </w:rPr>
        <w:t xml:space="preserve"> </w:t>
      </w:r>
      <w:r w:rsidR="00504B2B" w:rsidRPr="00DA27E1">
        <w:rPr>
          <w:rFonts w:cs="Times New Roman"/>
          <w:szCs w:val="24"/>
          <w:lang w:val="en-GB"/>
        </w:rPr>
        <w:t xml:space="preserve">well </w:t>
      </w:r>
      <w:r w:rsidRPr="00DA27E1">
        <w:rPr>
          <w:rFonts w:cs="Times New Roman"/>
          <w:szCs w:val="24"/>
          <w:lang w:val="en-GB"/>
        </w:rPr>
        <w:t>established</w:t>
      </w:r>
      <w:r w:rsidR="00FA4DEF" w:rsidRPr="00DA27E1">
        <w:rPr>
          <w:rFonts w:cs="Times New Roman"/>
          <w:szCs w:val="24"/>
          <w:lang w:val="en-GB"/>
        </w:rPr>
        <w:t>, including</w:t>
      </w:r>
      <w:r w:rsidR="00463350" w:rsidRPr="00DA27E1">
        <w:rPr>
          <w:rFonts w:cs="Times New Roman"/>
          <w:szCs w:val="24"/>
          <w:lang w:val="en-GB"/>
        </w:rPr>
        <w:t xml:space="preserve"> </w:t>
      </w:r>
      <w:r w:rsidR="007B4AC9" w:rsidRPr="00DA27E1">
        <w:rPr>
          <w:rFonts w:cs="Times New Roman"/>
          <w:szCs w:val="24"/>
          <w:lang w:val="en-GB"/>
        </w:rPr>
        <w:t>reduction</w:t>
      </w:r>
      <w:r w:rsidR="00E13C93" w:rsidRPr="00DA27E1">
        <w:rPr>
          <w:rFonts w:cs="Times New Roman"/>
          <w:szCs w:val="24"/>
          <w:lang w:val="en-GB"/>
        </w:rPr>
        <w:t>s</w:t>
      </w:r>
      <w:r w:rsidR="007B4AC9" w:rsidRPr="00DA27E1">
        <w:rPr>
          <w:rFonts w:cs="Times New Roman"/>
          <w:szCs w:val="24"/>
          <w:lang w:val="en-GB"/>
        </w:rPr>
        <w:t xml:space="preserve"> in cardiovascular mortality</w:t>
      </w:r>
      <w:r w:rsidR="00504B2B" w:rsidRPr="00DA27E1">
        <w:rPr>
          <w:rFonts w:cs="Times New Roman"/>
          <w:szCs w:val="24"/>
          <w:lang w:val="en-GB"/>
        </w:rPr>
        <w:t xml:space="preserve"> and</w:t>
      </w:r>
      <w:r w:rsidR="007B4AC9" w:rsidRPr="00DA27E1">
        <w:rPr>
          <w:rFonts w:cs="Times New Roman"/>
          <w:szCs w:val="24"/>
          <w:lang w:val="en-GB"/>
        </w:rPr>
        <w:t xml:space="preserve"> </w:t>
      </w:r>
      <w:r w:rsidR="00FA30CC" w:rsidRPr="00DA27E1">
        <w:rPr>
          <w:rFonts w:cs="Times New Roman"/>
          <w:szCs w:val="24"/>
          <w:lang w:val="en-GB"/>
        </w:rPr>
        <w:t>re-hospitalization</w:t>
      </w:r>
      <w:r w:rsidR="00504B2B" w:rsidRPr="00DA27E1">
        <w:rPr>
          <w:rFonts w:cs="Times New Roman"/>
          <w:szCs w:val="24"/>
          <w:lang w:val="en-GB"/>
        </w:rPr>
        <w:t xml:space="preserve"> </w:t>
      </w:r>
      <w:r w:rsidR="0081701F"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nGQ3MeyE","properties":{"formattedCitation":"(1,2)","plainCitation":"(1,2)","noteIndex":0},"citationItems":[{"id":7,"uris":["http://zotero.org/users/6176940/items/W5NYFUJK"],"uri":["http://zotero.org/users/6176940/items/W5NYFUJK"],"itemData":{"id":7,"type":"article-journal","abstract":"BACKGROUND: Overviews are a new approach to summarising evidence and synthesising results from related systematic reviews. OBJECTIVES: To conduct an overview of Cochrane systematic reviews to provide a contemporary review of the evidence for delivery of cardiac rehabilitation, to identify opportunities for merging or splitting existing Cochrane reviews, and to identify current evidence gaps to inform new cardiac rehabilitation systematic review titles. METHODS: We searched The Cochrane Database of Systematic Reviews (2014, Issue 10) to identify systematic reviews that addressed the objectives of this overview. We assessed the quality of included reviews using the Revised Assessment of Multiple Systematic Reviews (R-AMSTAR) measurement tool and the quality of the evidence for reported outcomes using the GRADE framework. The focus of the data presentation was descriptive with detailed tabular presentations of review level and trial level characteristics and results. MAIN RESULTS: We found six Cochrane systematic reviews and judged them to be of high methodological quality. They included 148 randomised controlled trials (RCTs) in 98,093 participants. Compared with usual care alone, the addition of exercise-based cardiac rehabilitation in low-risk people after myocardial infarction or percutaneous coronary intervention or with heart failure appeared to have no impact on mortality, but did reduce hospital admissions and improved health-related quality of life. Psychological- and education-based interventions alone appeared to have little or no impact on mortality or morbidity but may have improved health-related quality of life. Home- and centre-based programmes were equally effective in improving quality of life outcomes at similar healthcare costs. Selected interventions can increase the uptake of cardiac rehabilitation programmes whilst there is currently only weak evidence to support interventions that improve adherence to cardiac rehabilitation programmes. The quality of the primary RCTs in the included systematic reviews was variable, and limitations in the methodological quality of the RCTs led to downgrading of the quality of the evidence, which varied widely by review and by outcome. AUTHORS' CONCLUSIONS: Exercise-based cardiac rehabilitation is an effective and safe therapy to be used in the management of clinically stable people following myocardial infarction or percutaneous coronary intervention or who have heart failure. Future RCTs of cardiac rehabilitation need to improve their reporting methods and reflect the real world practice better including the recruitment of higher risk people and consideration of contemporary models of cardiac rehabilitation delivery, and identify effective interventions for enhancing adherence to rehabilitation.","archive_location":"25503364","container-title":"Cochrane Database Syst Rev","DOI":"10.1002/14651858.CD011273.pub2","ISSN":"1469-493X (Electronic) 1361-6137 (Linking)","issue":"12","note":"edition: 2014/12/17","page":"CD011273","title":"Cardiac rehabilitation for people with heart disease: an overview of Cochrane systematic reviews","author":[{"family":"Anderson","given":"L."},{"family":"Taylor","given":"R. S."}],"issued":{"date-parts":[["2014",12,12]]}}},{"id":137,"uris":["http://zotero.org/users/6176940/items/GNI6ISFB"],"uri":["http://zotero.org/users/6176940/items/GNI6ISFB"],"itemData":{"id":137,"type":"article-journal","abstract":"BACKGROUND: Exercise-based cardiac rehabilitation may benefit heart valve surgery patients. We conducted a systematic review to assess the evidence for the use of exercise-based intervention programmes following heart valve surgery. OBJECTIVES: To assess the benefits and harms of exercise-based cardiac rehabilitation compared with no exercise training intervention, or treatment as usual, in adults following heart valve surgery. We considered programmes including exercise training with or without another intervention (such as a psycho-educational component). SEARCH METHODS: We searched: the Cochrane Central Register of Controlled Trials (CENTRAL); the Database of Abstracts of Reviews of Effects (DARE); MEDLINE (Ovid); EMBASE (Ovid); CINAHL (EBSCO); PsycINFO (Ovid); LILACS (Bireme); and Conference Proceedings Citation Index-S (CPCI-S) on Web of Science (Thomson Reuters) on 23 March 2015. We handsearched Web of Science, bibliographies of systematic reviews and trial registers (ClinicalTrials.gov, Controlled-trials.com, and The World Health Organization International Clinical Trials Registry Platform). SELECTION CRITERIA: We included randomised clinical trials that investigated exercise-based interventions compared with no exercise intervention control. The trial participants comprised adults aged 18 years or older who had undergone heart valve surgery for heart valve disease (from any cause) and received either heart valve replacement, or heart valve repair. DATA COLLECTION AND ANALYSIS: Two authors independently extracted data. We assessed the risk of systematic errors ('bias') by evaluation of bias risk domains. Clinical and statistical heterogeneity were assessed. Meta-analyses were undertaken using both fixed-effect and random-effects models. We used the GRADE approach to assess the quality of evidence. We sought to assess the risk of random errors with trial sequential analysis. MAIN RESULTS: We included two trials from 1987 and 2004 with a total 148 participants who have had heart valve surgery. Both trials had a high risk of bias.There was insufficient evidence at 3 to 6 months follow-up to judge the effect of exercise-based cardiac rehabilitation compared to no exercise on mortality (RR 4.46 (95% confidence interval (CI) 0.22 to 90.78); participants = 104; studies = 1; quality of evidence: very low) and on serious adverse events (RR 1.15 (95% CI 0.37 to 3.62); participants = 148; studies = 2; quality of evidence: very low). Included trials did not report on health-related quality of life (HRQoL), and the secondary outcomes of New York Heart Association class, left ventricular ejection fraction and cost. We did find that, compared with control (no exercise), exercise-based rehabilitation may increase exercise capacity (SMD -0.47, 95% CI -0.81 to -0.13; participants = 140; studies = 2, quality of evidence: moderate). There was insufficient evidence at 12 months follow-up for the return to work outcome (RR 0.55 (95% CI 0.19 to 1.56); participants = 44; studies = 1; quality of evidence: low). Due to limited information, trial sequential analysis could not be performed as planned. AUTHORS' CONCLUSIONS: Our findings suggest that exercise-based rehabilitation for adults after heart valve surgery, compared with no exercise, may improve exercise capacity. Due to a lack of evidence, we cannot evaluate the impact on other outcomes. Further high-quality randomised clinical trials are needed in order to assess the impact of exercise-based rehabilitation on patient-relevant outcomes, including mortality and quality of life.","archive_location":"26998683","container-title":"Cochrane Database Syst Rev","DOI":"10.1002/14651858.CD010876.pub2","ISSN":"1361-6137","language":"eng","note":"edition: 2016/03/22","page":"Cd010876","source":"NLM","title":"Exercise-based cardiac rehabilitation for adults after heart valve surgery","volume":"3","author":[{"family":"Sibilitz","given":"K. L."},{"family":"Berg","given":"S. K."},{"family":"Tang","given":"L. H."},{"family":"Risom","given":"S. S."},{"family":"Gluud","given":"C."},{"family":"Lindschou","given":"J."},{"family":"Kober","given":"L."},{"family":"Hassager","given":"C."},{"family":"Taylor","given":"R. S."},{"family":"Zwisler","given":"A. D."}],"issued":{"date-parts":[["2016",3,21]]}}}],"schema":"https://github.com/citation-style-language/schema/raw/master/csl-citation.json"} </w:instrText>
      </w:r>
      <w:r w:rsidR="0081701F" w:rsidRPr="00DA27E1">
        <w:rPr>
          <w:rFonts w:cs="Times New Roman"/>
          <w:szCs w:val="24"/>
          <w:lang w:val="en-GB"/>
        </w:rPr>
        <w:fldChar w:fldCharType="separate"/>
      </w:r>
      <w:r w:rsidR="00EA059B" w:rsidRPr="00DA27E1">
        <w:rPr>
          <w:rFonts w:cs="Times New Roman"/>
          <w:lang w:val="en-GB"/>
        </w:rPr>
        <w:t>(1,2)</w:t>
      </w:r>
      <w:r w:rsidR="0081701F" w:rsidRPr="00DA27E1">
        <w:rPr>
          <w:rFonts w:cs="Times New Roman"/>
          <w:szCs w:val="24"/>
          <w:lang w:val="en-GB"/>
        </w:rPr>
        <w:fldChar w:fldCharType="end"/>
      </w:r>
      <w:r w:rsidR="00EF1295" w:rsidRPr="00DA27E1">
        <w:rPr>
          <w:rFonts w:cs="Times New Roman"/>
          <w:szCs w:val="24"/>
          <w:lang w:val="en-GB"/>
        </w:rPr>
        <w:t>.</w:t>
      </w:r>
      <w:r w:rsidR="006C7695" w:rsidRPr="00DA27E1">
        <w:rPr>
          <w:rFonts w:cs="Times New Roman"/>
          <w:szCs w:val="24"/>
          <w:lang w:val="en-GB"/>
        </w:rPr>
        <w:t xml:space="preserve"> </w:t>
      </w:r>
      <w:r w:rsidR="006272C0" w:rsidRPr="00DA27E1">
        <w:rPr>
          <w:rFonts w:cs="Times New Roman"/>
          <w:szCs w:val="24"/>
          <w:lang w:val="en-GB"/>
        </w:rPr>
        <w:t xml:space="preserve">Despite </w:t>
      </w:r>
      <w:r w:rsidR="00DC1E25" w:rsidRPr="00DA27E1">
        <w:rPr>
          <w:rFonts w:cs="Times New Roman"/>
          <w:szCs w:val="24"/>
          <w:lang w:val="en-GB"/>
        </w:rPr>
        <w:t xml:space="preserve">the </w:t>
      </w:r>
      <w:r w:rsidR="006272C0" w:rsidRPr="00DA27E1">
        <w:rPr>
          <w:rFonts w:cs="Times New Roman"/>
          <w:szCs w:val="24"/>
          <w:lang w:val="en-GB"/>
        </w:rPr>
        <w:t>evidence</w:t>
      </w:r>
      <w:r w:rsidR="00124D27" w:rsidRPr="00DA27E1">
        <w:rPr>
          <w:rFonts w:cs="Times New Roman"/>
          <w:szCs w:val="24"/>
          <w:lang w:val="en-GB"/>
        </w:rPr>
        <w:t>,</w:t>
      </w:r>
      <w:r w:rsidR="005103CF" w:rsidRPr="00DA27E1">
        <w:rPr>
          <w:rFonts w:cs="Times New Roman"/>
          <w:szCs w:val="24"/>
          <w:lang w:val="en-GB"/>
        </w:rPr>
        <w:t xml:space="preserve"> </w:t>
      </w:r>
      <w:r w:rsidR="000006E7" w:rsidRPr="00DA27E1">
        <w:rPr>
          <w:rFonts w:cs="Times New Roman"/>
          <w:szCs w:val="24"/>
          <w:lang w:val="en-GB"/>
        </w:rPr>
        <w:t xml:space="preserve">uptake </w:t>
      </w:r>
      <w:r w:rsidR="009C214C" w:rsidRPr="00DA27E1">
        <w:rPr>
          <w:rFonts w:cs="Times New Roman"/>
          <w:szCs w:val="24"/>
          <w:lang w:val="en-GB"/>
        </w:rPr>
        <w:t>of</w:t>
      </w:r>
      <w:r w:rsidR="005103CF" w:rsidRPr="00DA27E1">
        <w:rPr>
          <w:rFonts w:cs="Times New Roman"/>
          <w:szCs w:val="24"/>
          <w:lang w:val="en-GB"/>
        </w:rPr>
        <w:t xml:space="preserve"> </w:t>
      </w:r>
      <w:r w:rsidR="006272C0" w:rsidRPr="00DA27E1">
        <w:rPr>
          <w:rFonts w:cs="Times New Roman"/>
          <w:szCs w:val="24"/>
          <w:lang w:val="en-GB"/>
        </w:rPr>
        <w:t>cardiac rehabilitation</w:t>
      </w:r>
      <w:r w:rsidR="005103CF" w:rsidRPr="00DA27E1">
        <w:rPr>
          <w:rFonts w:cs="Times New Roman"/>
          <w:szCs w:val="24"/>
          <w:lang w:val="en-GB"/>
        </w:rPr>
        <w:t xml:space="preserve"> </w:t>
      </w:r>
      <w:r w:rsidR="00DC1E25" w:rsidRPr="00DA27E1">
        <w:rPr>
          <w:rFonts w:cs="Times New Roman"/>
          <w:szCs w:val="24"/>
          <w:lang w:val="en-GB"/>
        </w:rPr>
        <w:t xml:space="preserve">remains </w:t>
      </w:r>
      <w:r w:rsidR="006272C0" w:rsidRPr="00DA27E1">
        <w:rPr>
          <w:rFonts w:cs="Times New Roman"/>
          <w:szCs w:val="24"/>
          <w:lang w:val="en-GB"/>
        </w:rPr>
        <w:t>low</w:t>
      </w:r>
      <w:r w:rsidR="0081701F" w:rsidRPr="00DA27E1">
        <w:rPr>
          <w:rFonts w:cs="Times New Roman"/>
          <w:szCs w:val="24"/>
          <w:lang w:val="en-GB"/>
        </w:rPr>
        <w:t xml:space="preserve"> </w:t>
      </w:r>
      <w:r w:rsidR="0081701F"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fHGVmIc6","properties":{"formattedCitation":"(3,4)","plainCitation":"(3,4)","noteIndex":0},"citationItems":[{"id":24,"uris":["http://zotero.org/users/6176940/items/6W5JUUI8"],"uri":["http://zotero.org/users/6176940/items/6W5JUUI8"],"itemData":{"id":24,"type":"article-journal","abstract":"BACKGROUND: Cardiac rehabilitation (CR) programmes support patients to achieve professionally recommended cardiovascular prevention targets and thus good clinical status and improved quality of life and prognosis. Information on CR service delivery in Europe is sketchy. DESIGN: Postal survey of national CR-related organizations in European countries. METHODS: The European Cardiac Rehabilitation Inventory Survey assessed topics including national guidelines, legislation and funding mechanisms, phases of CR provided and characteristic of included patients. RESULTS: Responses were available for 28 of 39 (72%) countries; 61% had national CR associations; 57% national professional guidelines. Most countries (86%) had phase I (acute inhospital) CR, but with differing service availability. Only 29% reported provision to more than 80% patients. Phase II was also available, but 15 countries reported provision levels below 30%. Almost half (46%) had national legislation regarding phase II CR; three-quarters had government funding. Phase III was less supported: although available in most countries, 11 could not provide estimates of numbers participating. Thirteen reported that all costs were met by patients. CONCLUSION: Fewer than half of eligible cardiovascular patients benefit from CR in most European countries. Deficits include absent or inadequate legislation, funding, professional guidelines and information systems in many countries. Priorities for improvement include promoting national laws and guidelines specific for CR and increasing both CR programme participation rates and CR infrastructure. The European Association of Cardiovascular Prevention and Rehabilitation can have an important coordinating role in sharing expertise among national CR-related agencies. Ultimately, such cooperation can accelerate CR delivery to the benefit of cardiac patients across Europe.","archive_location":"20300001","container-title":"Eur J Cardiovasc Prev Rehabil","DOI":"10.1097/HJR.0b013e328334f42d","ISSN":"1741-8267","issue":"4","language":"eng","note":"edition: 2010/03/20","page":"410-8","source":"NLM","title":"Cardiac rehabilitation in Europe: results from the European Cardiac Rehabilitation Inventory Survey","volume":"17","author":[{"family":"Bjarnason-Wehrens","given":"B."},{"family":"McGee","given":"H."},{"family":"Zwisler","given":"A. D."},{"family":"Piepoli","given":"M. F."},{"family":"Benzer","given":"W."},{"family":"Schmid","given":"J. P."},{"family":"Dendale","given":"P."},{"family":"Pogosova","given":"N. G."},{"family":"Zdrenghea","given":"D."},{"family":"Niebauer","given":"J."},{"family":"Mendes","given":"M."}],"issued":{"date-parts":[["2010",8]]}}},{"id":30,"uris":["http://zotero.org/users/6176940/items/AUBRGJ4Z"],"uri":["http://zotero.org/users/6176940/items/AUBRGJ4Z"],"itemData":{"id":30,"type":"article-journal","language":"English","title":"The National Audit of Cardiac Rehabilitation | Quality and Outcomes Report 2018","URL":"https://www.bhf.org.uk/informationsupport/publications/statistics/national-audit-of-cardiac-rehabilitation-quality-and-outcomes-report-2018","author":[{"literal":"British Heart Foundation"}],"accessed":{"date-parts":[["2021",2,22]]},"issued":{"date-parts":[["2018"]]}}}],"schema":"https://github.com/citation-style-language/schema/raw/master/csl-citation.json"} </w:instrText>
      </w:r>
      <w:r w:rsidR="0081701F" w:rsidRPr="00DA27E1">
        <w:rPr>
          <w:rFonts w:cs="Times New Roman"/>
          <w:szCs w:val="24"/>
          <w:lang w:val="en-GB"/>
        </w:rPr>
        <w:fldChar w:fldCharType="separate"/>
      </w:r>
      <w:r w:rsidR="00EA059B" w:rsidRPr="00DA27E1">
        <w:rPr>
          <w:rFonts w:cs="Times New Roman"/>
          <w:lang w:val="en-GB"/>
        </w:rPr>
        <w:t>(3,4)</w:t>
      </w:r>
      <w:r w:rsidR="0081701F" w:rsidRPr="00DA27E1">
        <w:rPr>
          <w:rFonts w:cs="Times New Roman"/>
          <w:szCs w:val="24"/>
          <w:lang w:val="en-GB"/>
        </w:rPr>
        <w:fldChar w:fldCharType="end"/>
      </w:r>
      <w:r w:rsidR="00767238" w:rsidRPr="00DA27E1">
        <w:rPr>
          <w:rFonts w:cs="Times New Roman"/>
          <w:szCs w:val="24"/>
          <w:lang w:val="en-GB"/>
        </w:rPr>
        <w:t xml:space="preserve">. </w:t>
      </w:r>
      <w:r w:rsidR="001B75D2" w:rsidRPr="00DA27E1">
        <w:rPr>
          <w:rFonts w:cs="Times New Roman"/>
          <w:szCs w:val="24"/>
          <w:lang w:val="en-GB"/>
        </w:rPr>
        <w:t xml:space="preserve">In </w:t>
      </w:r>
      <w:r w:rsidR="00A02501" w:rsidRPr="00DA27E1">
        <w:rPr>
          <w:rFonts w:cs="Times New Roman"/>
          <w:szCs w:val="24"/>
          <w:lang w:val="en-GB"/>
        </w:rPr>
        <w:t>Europe</w:t>
      </w:r>
      <w:r w:rsidR="00616E6D" w:rsidRPr="00DA27E1">
        <w:rPr>
          <w:rFonts w:cs="Times New Roman"/>
          <w:szCs w:val="24"/>
          <w:lang w:val="en-GB"/>
        </w:rPr>
        <w:t>,</w:t>
      </w:r>
      <w:r w:rsidR="00A02501" w:rsidRPr="00DA27E1">
        <w:rPr>
          <w:rFonts w:cs="Times New Roman"/>
          <w:szCs w:val="24"/>
          <w:lang w:val="en-GB"/>
        </w:rPr>
        <w:t xml:space="preserve"> </w:t>
      </w:r>
      <w:r w:rsidR="00DC1E25" w:rsidRPr="00DA27E1">
        <w:rPr>
          <w:rFonts w:cs="Times New Roman"/>
          <w:szCs w:val="24"/>
          <w:lang w:val="en-GB"/>
        </w:rPr>
        <w:t>only half of</w:t>
      </w:r>
      <w:r w:rsidR="00157159" w:rsidRPr="00DA27E1">
        <w:rPr>
          <w:rFonts w:cs="Times New Roman"/>
          <w:szCs w:val="24"/>
          <w:lang w:val="en-GB"/>
        </w:rPr>
        <w:t xml:space="preserve"> all</w:t>
      </w:r>
      <w:r w:rsidR="00DC1E25" w:rsidRPr="00DA27E1">
        <w:rPr>
          <w:rFonts w:cs="Times New Roman"/>
          <w:szCs w:val="24"/>
          <w:lang w:val="en-GB"/>
        </w:rPr>
        <w:t xml:space="preserve"> eligible cardiac patients </w:t>
      </w:r>
      <w:r w:rsidR="002E0F2E" w:rsidRPr="00DA27E1">
        <w:rPr>
          <w:rFonts w:cs="Times New Roman"/>
          <w:szCs w:val="24"/>
          <w:lang w:val="en-GB"/>
        </w:rPr>
        <w:t>participate</w:t>
      </w:r>
      <w:r w:rsidR="00DC1E25" w:rsidRPr="00DA27E1">
        <w:rPr>
          <w:rFonts w:cs="Times New Roman"/>
          <w:szCs w:val="24"/>
          <w:lang w:val="en-GB"/>
        </w:rPr>
        <w:t xml:space="preserve"> in rehabilitation with some</w:t>
      </w:r>
      <w:r w:rsidR="002F101E" w:rsidRPr="00DA27E1">
        <w:rPr>
          <w:rFonts w:cs="Times New Roman"/>
          <w:szCs w:val="24"/>
          <w:lang w:val="en-GB"/>
        </w:rPr>
        <w:t xml:space="preserve"> countries</w:t>
      </w:r>
      <w:r w:rsidR="00DC1E25" w:rsidRPr="00DA27E1">
        <w:rPr>
          <w:rFonts w:cs="Times New Roman"/>
          <w:szCs w:val="24"/>
          <w:lang w:val="en-GB"/>
        </w:rPr>
        <w:t xml:space="preserve"> </w:t>
      </w:r>
      <w:r w:rsidR="00DD1EF4" w:rsidRPr="00DA27E1">
        <w:rPr>
          <w:rFonts w:cs="Times New Roman"/>
          <w:szCs w:val="24"/>
          <w:lang w:val="en-GB"/>
        </w:rPr>
        <w:t xml:space="preserve">having an </w:t>
      </w:r>
      <w:r w:rsidR="002F101E" w:rsidRPr="00DA27E1">
        <w:rPr>
          <w:rFonts w:cs="Times New Roman"/>
          <w:szCs w:val="24"/>
          <w:lang w:val="en-GB"/>
        </w:rPr>
        <w:t>even lower</w:t>
      </w:r>
      <w:r w:rsidR="00DD1EF4" w:rsidRPr="00DA27E1">
        <w:rPr>
          <w:rFonts w:cs="Times New Roman"/>
          <w:szCs w:val="24"/>
          <w:lang w:val="en-GB"/>
        </w:rPr>
        <w:t xml:space="preserve"> participation rate</w:t>
      </w:r>
      <w:r w:rsidR="009E644B" w:rsidRPr="00DA27E1">
        <w:rPr>
          <w:rFonts w:cs="Times New Roman"/>
          <w:szCs w:val="24"/>
          <w:lang w:val="en-GB"/>
        </w:rPr>
        <w:t xml:space="preserve"> </w:t>
      </w:r>
      <w:r w:rsidR="009E644B"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ac8AwxBq","properties":{"formattedCitation":"(3,4)","plainCitation":"(3,4)","noteIndex":0},"citationItems":[{"id":24,"uris":["http://zotero.org/users/6176940/items/6W5JUUI8"],"uri":["http://zotero.org/users/6176940/items/6W5JUUI8"],"itemData":{"id":24,"type":"article-journal","abstract":"BACKGROUND: Cardiac rehabilitation (CR) programmes support patients to achieve professionally recommended cardiovascular prevention targets and thus good clinical status and improved quality of life and prognosis. Information on CR service delivery in Europe is sketchy. DESIGN: Postal survey of national CR-related organizations in European countries. METHODS: The European Cardiac Rehabilitation Inventory Survey assessed topics including national guidelines, legislation and funding mechanisms, phases of CR provided and characteristic of included patients. RESULTS: Responses were available for 28 of 39 (72%) countries; 61% had national CR associations; 57% national professional guidelines. Most countries (86%) had phase I (acute inhospital) CR, but with differing service availability. Only 29% reported provision to more than 80% patients. Phase II was also available, but 15 countries reported provision levels below 30%. Almost half (46%) had national legislation regarding phase II CR; three-quarters had government funding. Phase III was less supported: although available in most countries, 11 could not provide estimates of numbers participating. Thirteen reported that all costs were met by patients. CONCLUSION: Fewer than half of eligible cardiovascular patients benefit from CR in most European countries. Deficits include absent or inadequate legislation, funding, professional guidelines and information systems in many countries. Priorities for improvement include promoting national laws and guidelines specific for CR and increasing both CR programme participation rates and CR infrastructure. The European Association of Cardiovascular Prevention and Rehabilitation can have an important coordinating role in sharing expertise among national CR-related agencies. Ultimately, such cooperation can accelerate CR delivery to the benefit of cardiac patients across Europe.","archive_location":"20300001","container-title":"Eur J Cardiovasc Prev Rehabil","DOI":"10.1097/HJR.0b013e328334f42d","ISSN":"1741-8267","issue":"4","language":"eng","note":"edition: 2010/03/20","page":"410-8","source":"NLM","title":"Cardiac rehabilitation in Europe: results from the European Cardiac Rehabilitation Inventory Survey","volume":"17","author":[{"family":"Bjarnason-Wehrens","given":"B."},{"family":"McGee","given":"H."},{"family":"Zwisler","given":"A. D."},{"family":"Piepoli","given":"M. F."},{"family":"Benzer","given":"W."},{"family":"Schmid","given":"J. P."},{"family":"Dendale","given":"P."},{"family":"Pogosova","given":"N. G."},{"family":"Zdrenghea","given":"D."},{"family":"Niebauer","given":"J."},{"family":"Mendes","given":"M."}],"issued":{"date-parts":[["2010",8]]}}},{"id":30,"uris":["http://zotero.org/users/6176940/items/AUBRGJ4Z"],"uri":["http://zotero.org/users/6176940/items/AUBRGJ4Z"],"itemData":{"id":30,"type":"article-journal","language":"English","title":"The National Audit of Cardiac Rehabilitation | Quality and Outcomes Report 2018","URL":"https://www.bhf.org.uk/informationsupport/publications/statistics/national-audit-of-cardiac-rehabilitation-quality-and-outcomes-report-2018","author":[{"literal":"British Heart Foundation"}],"accessed":{"date-parts":[["2021",2,22]]},"issued":{"date-parts":[["2018"]]}}}],"schema":"https://github.com/citation-style-language/schema/raw/master/csl-citation.json"} </w:instrText>
      </w:r>
      <w:r w:rsidR="009E644B" w:rsidRPr="00DA27E1">
        <w:rPr>
          <w:rFonts w:cs="Times New Roman"/>
          <w:szCs w:val="24"/>
          <w:lang w:val="en-GB"/>
        </w:rPr>
        <w:fldChar w:fldCharType="separate"/>
      </w:r>
      <w:r w:rsidR="00EA059B" w:rsidRPr="00DA27E1">
        <w:rPr>
          <w:rFonts w:cs="Times New Roman"/>
          <w:lang w:val="en-GB"/>
        </w:rPr>
        <w:t>(3,4)</w:t>
      </w:r>
      <w:r w:rsidR="009E644B" w:rsidRPr="00DA27E1">
        <w:rPr>
          <w:rFonts w:cs="Times New Roman"/>
          <w:szCs w:val="24"/>
          <w:lang w:val="en-GB"/>
        </w:rPr>
        <w:fldChar w:fldCharType="end"/>
      </w:r>
      <w:r w:rsidR="00C6013D" w:rsidRPr="00DA27E1">
        <w:rPr>
          <w:rFonts w:cs="Times New Roman"/>
          <w:szCs w:val="24"/>
          <w:lang w:val="en-GB"/>
        </w:rPr>
        <w:t xml:space="preserve">. </w:t>
      </w:r>
      <w:r w:rsidR="00992DAC" w:rsidRPr="00DA27E1">
        <w:rPr>
          <w:rFonts w:cs="Times New Roman"/>
          <w:szCs w:val="24"/>
          <w:lang w:val="en-GB"/>
        </w:rPr>
        <w:t xml:space="preserve">Another challenge is high </w:t>
      </w:r>
      <w:r w:rsidR="000006E7" w:rsidRPr="00DA27E1">
        <w:rPr>
          <w:rFonts w:cs="Times New Roman"/>
          <w:szCs w:val="24"/>
          <w:lang w:val="en-GB"/>
        </w:rPr>
        <w:t>dropout rate</w:t>
      </w:r>
      <w:r w:rsidR="00A60E2B" w:rsidRPr="00DA27E1">
        <w:rPr>
          <w:rFonts w:cs="Times New Roman"/>
          <w:szCs w:val="24"/>
          <w:lang w:val="en-GB"/>
        </w:rPr>
        <w:t>s</w:t>
      </w:r>
      <w:r w:rsidR="004E7074" w:rsidRPr="00DA27E1">
        <w:rPr>
          <w:rFonts w:cs="Times New Roman"/>
          <w:szCs w:val="24"/>
          <w:lang w:val="en-GB"/>
        </w:rPr>
        <w:t>,</w:t>
      </w:r>
      <w:r w:rsidR="000006E7" w:rsidRPr="00DA27E1">
        <w:rPr>
          <w:rFonts w:cs="Times New Roman"/>
          <w:szCs w:val="24"/>
          <w:lang w:val="en-GB"/>
        </w:rPr>
        <w:t xml:space="preserve"> </w:t>
      </w:r>
      <w:r w:rsidR="004E7074" w:rsidRPr="00DA27E1">
        <w:rPr>
          <w:rFonts w:cs="Times New Roman"/>
          <w:szCs w:val="24"/>
          <w:lang w:val="en-GB"/>
        </w:rPr>
        <w:t xml:space="preserve">with 20% to </w:t>
      </w:r>
      <w:r w:rsidR="003D5277" w:rsidRPr="00DA27E1">
        <w:rPr>
          <w:rFonts w:cs="Times New Roman"/>
          <w:szCs w:val="24"/>
          <w:lang w:val="en-GB"/>
        </w:rPr>
        <w:t>56</w:t>
      </w:r>
      <w:r w:rsidR="004E7074" w:rsidRPr="00DA27E1">
        <w:rPr>
          <w:rFonts w:cs="Times New Roman"/>
          <w:szCs w:val="24"/>
          <w:lang w:val="en-GB"/>
        </w:rPr>
        <w:t xml:space="preserve">% of patients dropping out during the </w:t>
      </w:r>
      <w:r w:rsidR="00157159" w:rsidRPr="00DA27E1">
        <w:rPr>
          <w:rFonts w:cs="Times New Roman"/>
          <w:szCs w:val="24"/>
          <w:lang w:val="en-GB"/>
        </w:rPr>
        <w:t xml:space="preserve">rehabilitation </w:t>
      </w:r>
      <w:r w:rsidR="004E7074" w:rsidRPr="00DA27E1">
        <w:rPr>
          <w:rFonts w:cs="Times New Roman"/>
          <w:szCs w:val="24"/>
          <w:lang w:val="en-GB"/>
        </w:rPr>
        <w:t xml:space="preserve">period </w:t>
      </w:r>
      <w:r w:rsidR="004E7074"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J0skUSt5","properties":{"formattedCitation":"(4\\uc0\\u8211{}6)","plainCitation":"(4–6)","noteIndex":0},"citationItems":[{"id":30,"uris":["http://zotero.org/users/6176940/items/AUBRGJ4Z"],"uri":["http://zotero.org/users/6176940/items/AUBRGJ4Z"],"itemData":{"id":30,"type":"article-journal","language":"English","title":"The National Audit of Cardiac Rehabilitation | Quality and Outcomes Report 2018","URL":"https://www.bhf.org.uk/informationsupport/publications/statistics/national-audit-of-cardiac-rehabilitation-quality-and-outcomes-report-2018","author":[{"literal":"British Heart Foundation"}],"accessed":{"date-parts":[["2021",2,22]]},"issued":{"date-parts":[["2018"]]}}},{"id":47,"uris":["http://zotero.org/users/6176940/items/YEU5CTRS"],"uri":["http://zotero.org/users/6176940/items/YEU5CTRS"],"itemData":{"id":47,"type":"article-journal","abstract":"BACKGROUND: Cardiac rehabilitation (CR) is associated with mortality and morbidity benefits. Treatment adherence rates of 20% to 60% for patients with diabetes and obesity undermines CR effectiveness. Identification of factors that account for poorer adherence to CR in these populations is needed. METHODS: Data from 12 003 CR patients from 1995 to 2010 were analyzed. Differences in characteristics were compared between groups of patients classified by the presence or absence of diabetes mellitus and obesity. Sequential logistic regression was conducted to examine the extent to which biopsychosocial factors account for the higher likelihood of CR non-adherence. RESULTS: The proportion of CR non-adherence was 44% for patients without obesity or diabetes, 52% for patients with diabetes and no obesity, 56% for patients with obesity and no diabetes and 59% for patients with diabetes and obesity. After adjustment for all baseline factors, the presence of obesity or diabetes remained associated with an increased risk of CR nonadherence compared to no obesity or no diabetes (diabetes only [odds ratio (OR) 1.22; 95% confidence interval (CI) 1.08-1.38; p=0.001]; obesity only [OR 1.19; 95% CI 1.04-1.36; p=0.01]). The presence of both diabetes and obesity and their relationship to CR nonadherence is not significant (OR 1.14, 95% CI 0.947-1.37; p=0.16) after adjusting for body fat percentage and waist circumference. CONCLUSIONS: Diabetes and obesity were independent determinants of CR program nonadherence. The influence of having both diabetes and obesity was moderated by waist circumference and body fat percentage. Patients with diabetes mellitus, obesity or both may require greater attention and consideration with respect to CR delivery.","archive_location":"24070842","container-title":"Can J Diabetes","DOI":"10.1016/j.jcjd.2013.03.370","ISSN":"1499-2671","issue":"3","language":"eng","note":"edition: 2013/09/28","page":"189-94","source":"NLM","title":"Predicting exercise adherence for patients with obesity and diabetes referred to a cardiac rehabilitation and secondary prevention program","volume":"37","author":[{"family":"Forhan","given":"M."},{"family":"Zagorski","given":"B. M."},{"family":"Marzonlini","given":"S."},{"family":"Oh","given":"P."},{"family":"Alter","given":"D. A."}],"issued":{"date-parts":[["2013",6]]}}},{"id":150,"uris":["http://zotero.org/users/6176940/items/E6WGZPXD"],"uri":["http://zotero.org/users/6176940/items/E6WGZPXD"],"itemData":{"id":150,"type":"article-journal","abstract":"BACKGROUND: Cardiovascular disease is a leading cause of morbidity worldwide. Cardiac rehabilitation (CR) is a comprehensive secondary prevention approach, with established benefits in reducing morbidity in high-income countries (HICs). The objectives of this review were to summarise what is known about the benefits of CR, including consideration of cost-effectiveness, in addition to rates of CR participation and adherence in high-, as well as low- and middle-income countries (LMICs). METHODS: A literature search of Medline, Excerpta Medica Database (EMBASE), and Google Scholar was conducted for published articles from database inception to October 2013. The search was first directed to identify meta-analyses and reviews reporting on the benefits of CR. Then, the search was focussed to identify articles reporting CR participation and dropout rates. Full-text versions of relevant abstracts were summarised qualitatively. RESULTS: Based on meta-analysis, CR significantly reduced all-cause mortality by 13%-26%, cardiac mortality by 20%-36%, myocardial re-infarction by 25%-47%, and risk factors. CR is cost-effective in HICs. In LMICs, CR is demonstrated to reduce risk factors, with no studies on mortality or cost-effectiveness. Based on available data, CR participation rates are &lt;50% in the majority of countries, with documented dropout rates up to 56% and 82% in high- and middle-income countries, respectively. CONCLUSIONS: CR is a beneficial intervention for heart patients in high and LMICs, but is underutilised with low participation and adherence rates worldwide. While more research is needed in LMICs, strategies shown to increase participation and program adherence should be implemented.","archive_location":"25534902","container-title":"Heart Lung Circ","DOI":"10.1016/j.hlc.2014.11.013","ISSN":"1443-9506 (Print) 1443-9506","issue":"5","language":"eng","note":"edition: 2014/12/24","page":"510-20","source":"NLM","title":"Narrative review comparing the benefits of and participation in cardiac rehabilitation in high-, middle- and low-income countries","volume":"24","author":[{"family":"Turk-Adawi","given":"K. I."},{"family":"Grace","given":"S. L."}],"issued":{"date-parts":[["2015",5]]}}}],"schema":"https://github.com/citation-style-language/schema/raw/master/csl-citation.json"} </w:instrText>
      </w:r>
      <w:r w:rsidR="004E7074" w:rsidRPr="00DA27E1">
        <w:rPr>
          <w:rFonts w:cs="Times New Roman"/>
          <w:szCs w:val="24"/>
          <w:lang w:val="en-GB"/>
        </w:rPr>
        <w:fldChar w:fldCharType="separate"/>
      </w:r>
      <w:r w:rsidR="00EA059B" w:rsidRPr="00DA27E1">
        <w:rPr>
          <w:rFonts w:cs="Times New Roman"/>
          <w:szCs w:val="24"/>
          <w:lang w:val="en-GB"/>
        </w:rPr>
        <w:t>(4–6)</w:t>
      </w:r>
      <w:r w:rsidR="004E7074" w:rsidRPr="00DA27E1">
        <w:rPr>
          <w:rFonts w:cs="Times New Roman"/>
          <w:szCs w:val="24"/>
          <w:lang w:val="en-GB"/>
        </w:rPr>
        <w:fldChar w:fldCharType="end"/>
      </w:r>
      <w:r w:rsidR="00B921C1" w:rsidRPr="00DA27E1">
        <w:rPr>
          <w:rFonts w:cs="Times New Roman"/>
          <w:szCs w:val="24"/>
          <w:lang w:val="en-GB"/>
        </w:rPr>
        <w:t>.</w:t>
      </w:r>
      <w:r w:rsidR="00473449" w:rsidRPr="00DA27E1">
        <w:rPr>
          <w:rFonts w:cs="Times New Roman"/>
          <w:szCs w:val="24"/>
          <w:lang w:val="en-GB"/>
        </w:rPr>
        <w:t xml:space="preserve"> </w:t>
      </w:r>
      <w:r w:rsidR="00044619" w:rsidRPr="00DA27E1">
        <w:rPr>
          <w:rFonts w:cs="Times New Roman"/>
          <w:szCs w:val="24"/>
          <w:lang w:val="en-GB"/>
        </w:rPr>
        <w:t>In</w:t>
      </w:r>
      <w:r w:rsidR="005C51E9" w:rsidRPr="00DA27E1">
        <w:rPr>
          <w:rFonts w:cs="Times New Roman"/>
          <w:szCs w:val="24"/>
          <w:lang w:val="en-GB"/>
        </w:rPr>
        <w:t xml:space="preserve"> exercise-based cardiac rehabilitation (exCR)</w:t>
      </w:r>
      <w:r w:rsidR="00044619" w:rsidRPr="00DA27E1">
        <w:rPr>
          <w:rFonts w:cs="Times New Roman"/>
          <w:szCs w:val="24"/>
          <w:lang w:val="en-GB"/>
        </w:rPr>
        <w:t xml:space="preserve"> </w:t>
      </w:r>
      <w:r w:rsidR="001835B5" w:rsidRPr="00DA27E1">
        <w:rPr>
          <w:rFonts w:cs="Times New Roman"/>
          <w:szCs w:val="24"/>
          <w:lang w:val="en-GB"/>
        </w:rPr>
        <w:t xml:space="preserve">a </w:t>
      </w:r>
      <w:r w:rsidR="00044619" w:rsidRPr="00DA27E1">
        <w:rPr>
          <w:rFonts w:cs="Times New Roman"/>
          <w:szCs w:val="24"/>
          <w:lang w:val="en-GB"/>
        </w:rPr>
        <w:t>dose-response relationship between number of attended exercise sessions and mortality</w:t>
      </w:r>
      <w:r w:rsidR="000130C3" w:rsidRPr="00DA27E1">
        <w:rPr>
          <w:rFonts w:cs="Times New Roman"/>
          <w:szCs w:val="24"/>
          <w:lang w:val="en-GB"/>
        </w:rPr>
        <w:t xml:space="preserve"> has been</w:t>
      </w:r>
      <w:r w:rsidR="001835B5" w:rsidRPr="00DA27E1">
        <w:rPr>
          <w:rFonts w:cs="Times New Roman"/>
          <w:szCs w:val="24"/>
          <w:lang w:val="en-GB"/>
        </w:rPr>
        <w:t xml:space="preserve"> documented</w:t>
      </w:r>
      <w:r w:rsidR="00106B61" w:rsidRPr="00DA27E1">
        <w:rPr>
          <w:rFonts w:cs="Times New Roman"/>
          <w:szCs w:val="24"/>
          <w:lang w:val="en-GB"/>
        </w:rPr>
        <w:t xml:space="preserve"> </w:t>
      </w:r>
      <w:r w:rsidR="00106B61"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hblRnKXj","properties":{"formattedCitation":"(7\\uc0\\u8211{}9)","plainCitation":"(7–9)","noteIndex":0},"citationItems":[{"id":180,"uris":["http://zotero.org/users/6176940/items/GXDS2BC6"],"uri":["http://zotero.org/users/6176940/items/GXDS2BC6"],"itemData":{"id":180,"type":"article-journal","container-title":"Mayo Clinic Proceedings","DOI":"10.1016/j.mayocp.2017.07.019","ISSN":"00256196","issue":"11","journalAbbreviation":"Mayo Clinic Proceedings","language":"en","page":"1644-1659","source":"DOI.org (Crossref)","title":"Effect of Cardiac Rehabilitation Dose on Mortality and Morbidity: A Systematic Review and Meta-regression Analysis","title-short":"Effect of Cardiac Rehabilitation Dose on Mortality and Morbidity","volume":"92","author":[{"family":"Santiago de Araújo Pio","given":"Carolina"},{"family":"Marzolini","given":"Susan"},{"family":"Pakosh","given":"Maureen"},{"family":"Grace","given":"Sherry L."}],"issued":{"date-parts":[["2017",11]]}}},{"id":16,"uris":["http://zotero.org/users/6176940/items/CZE54U42"],"uri":["http://zotero.org/users/6176940/items/CZE54U42"],"itemData":{"id":16,"type":"article-journal","abstract":"OBJECTIVE: To investigate whether attendance at cardiac rehabilitation (CR) independently predicts all-cause mortality over 14 years and whether there is a dose-response relationship between the proportion of CR sessions attended and long-term mortality. DESIGN: Retrospective cohort study. SETTING: CR programmes in Victoria, Australia PATIENTS: The sample comprised 544 men and women eligible for CR following myocardial infarction, coronary artery bypass surgery or percutaneous interventions. Participants were tracked 4 months after hospital discharge to ascertain CR attendance status. MAIN OUTCOME MEASURES: All-cause mortality at 14 years ascertained through linkage to the Australian National Death Index. RESULTS: In total, 281 (52%) men and women attended at least one CR session. There were few significant differences between non-attenders and attenders. After adjustment for age, sex, diagnosis, employment, diabetes and family history, the mortality risk for non-attenders was 58% greater than for attenders (HR=1.58, 95% CI 1.16 to 2.15). Participants who attended &lt;25% of sessions had a mortality risk more than twice that of participants attending ≥ 75% of sessions (OR=2.57, 95% CI 1.04 to 6.38). This association was attenuated after adjusting for current smoking (OR=2.06, 95% CI 0.80 to 5.29). CONCLUSIONS: This study provides further evidence for the long-term benefits of CR in a contemporary, heterogeneous population. While a dose-response relationship may exist between the number of sessions attended and long-term mortality, this relationship does not occur independently of smoking differences. CR practitioners should encourage smokers to attend CR and provide support for smoking cessation.","archive_location":"23213175","container-title":"Heart","DOI":"10.1136/heartjnl-2012-303022","ISSN":"1355-6037","issue":"9","language":"eng","note":"edition: 2012/12/06","page":"620-5","source":"NLM","title":"Attendance at cardiac rehabilitation is associated with lower all-cause mortality after 14 years of follow-up","volume":"99","author":[{"family":"Beauchamp","given":"A."},{"family":"Worcester","given":"M."},{"family":"Ng","given":"A."},{"family":"Murphy","given":"B."},{"family":"Tatoulis","given":"J."},{"family":"Grigg","given":"L."},{"family":"Newman","given":"R."},{"family":"Goble","given":"A."}],"issued":{"date-parts":[["2013",5]]}}},{"id":177,"uris":["http://zotero.org/users/6176940/items/NU9PSTSJ"],"uri":["http://zotero.org/users/6176940/items/NU9PSTSJ"],"itemData":{"id":177,"type":"article-journal","container-title":"European Journal of Preventive Cardiology","DOI":"10.1177/2047487314545279","ISSN":"2047-4873, 2047-4881","issue":"8","journalAbbreviation":"Eur J Prev Cardiolog","language":"en","page":"979-986","source":"DOI.org (Crossref)","title":"Cardiac rehabilitation referral, attendance and mortality in women","volume":"22","author":[{"family":"Colbert","given":"Jillian D"},{"family":"Martin","given":"Billie-Jean"},{"family":"Haykowsky","given":"Mark J"},{"family":"Hauer","given":"Trina L"},{"family":"Austford","given":"Leslie D"},{"family":"Arena","given":"Ross A"},{"family":"Knudtson","given":"Merril L"},{"family":"Meldrum","given":"Donald AN"},{"family":"Aggarwal","given":"Sandeep G"},{"family":"Stone","given":"James A"}],"issued":{"date-parts":[["2015",8]]}}}],"schema":"https://github.com/citation-style-language/schema/raw/master/csl-citation.json"} </w:instrText>
      </w:r>
      <w:r w:rsidR="00106B61" w:rsidRPr="00DA27E1">
        <w:rPr>
          <w:rFonts w:cs="Times New Roman"/>
          <w:szCs w:val="24"/>
          <w:lang w:val="en-GB"/>
        </w:rPr>
        <w:fldChar w:fldCharType="separate"/>
      </w:r>
      <w:r w:rsidR="00EA059B" w:rsidRPr="00DA27E1">
        <w:rPr>
          <w:rFonts w:cs="Times New Roman"/>
          <w:szCs w:val="24"/>
          <w:lang w:val="en-GB"/>
        </w:rPr>
        <w:t>(7–9)</w:t>
      </w:r>
      <w:r w:rsidR="00106B61" w:rsidRPr="00DA27E1">
        <w:rPr>
          <w:rFonts w:cs="Times New Roman"/>
          <w:szCs w:val="24"/>
          <w:lang w:val="en-GB"/>
        </w:rPr>
        <w:fldChar w:fldCharType="end"/>
      </w:r>
      <w:r w:rsidR="00944A8D" w:rsidRPr="00DA27E1">
        <w:rPr>
          <w:rFonts w:cs="Times New Roman"/>
          <w:szCs w:val="24"/>
          <w:lang w:val="en-GB"/>
        </w:rPr>
        <w:t xml:space="preserve">, highlighting </w:t>
      </w:r>
      <w:r w:rsidR="0091024E" w:rsidRPr="00DA27E1">
        <w:rPr>
          <w:rFonts w:cs="Times New Roman"/>
          <w:szCs w:val="24"/>
          <w:lang w:val="en-GB"/>
        </w:rPr>
        <w:t>the importance of</w:t>
      </w:r>
      <w:r w:rsidR="00944A8D" w:rsidRPr="00DA27E1">
        <w:rPr>
          <w:rFonts w:cs="Times New Roman"/>
          <w:szCs w:val="24"/>
          <w:lang w:val="en-GB"/>
        </w:rPr>
        <w:t xml:space="preserve"> retaining patients for as many sessions as possible</w:t>
      </w:r>
      <w:r w:rsidR="004E7074" w:rsidRPr="00DA27E1">
        <w:rPr>
          <w:rFonts w:cs="Times New Roman"/>
          <w:szCs w:val="24"/>
          <w:lang w:val="en-GB"/>
        </w:rPr>
        <w:t>.</w:t>
      </w:r>
    </w:p>
    <w:p w14:paraId="39B1A407" w14:textId="6B47AA9F" w:rsidR="000B6E2D" w:rsidRPr="00DA27E1" w:rsidRDefault="00380D1A" w:rsidP="00925D73">
      <w:pPr>
        <w:spacing w:line="480" w:lineRule="auto"/>
        <w:rPr>
          <w:rFonts w:cs="Times New Roman"/>
          <w:szCs w:val="24"/>
          <w:lang w:val="en-GB"/>
        </w:rPr>
      </w:pPr>
      <w:r w:rsidRPr="00DA27E1">
        <w:rPr>
          <w:lang w:val="en-GB"/>
        </w:rPr>
        <w:t>A large number of factors have showed to increase the likelihood for dropping out in exCR with some of the most evident barriers to completion being gender, age and cardiac diagnosis, but including also body mass index, family status, occupational status, education level, smoking, accessibility to cardiac rehabilitation facilities, anxiety/depression symptoms and lower exercise capacity</w:t>
      </w:r>
      <w:r w:rsidRPr="00DA27E1">
        <w:rPr>
          <w:rFonts w:cs="Times New Roman"/>
          <w:i/>
          <w:sz w:val="22"/>
          <w:lang w:val="en-GB"/>
        </w:rPr>
        <w:t xml:space="preserve"> </w:t>
      </w:r>
      <w:r w:rsidR="007D0D48"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KE4KdqKV","properties":{"formattedCitation":"(4,10\\uc0\\u8211{}13)","plainCitation":"(4,10–13)","noteIndex":0},"citationItems":[{"id":231,"uris":["http://zotero.org/users/6176940/items/ISABFQ5B"],"uri":["http://zotero.org/users/6176940/items/ISABFQ5B"],"itemData":{"id":231,"type":"article-journal","container-title":"Canadian Journal of Cardiology","DOI":"10.1016/j.cjca.2016.01.036","ISSN":"0828282X","issue":"11","journalAbbreviation":"Canadian Journal of Cardiology","language":"en","page":"1316-1324","source":"DOI.org (Crossref)","title":"Sex Differences in Cardiac Rehabilitation Adherence: A Meta-analysis","title-short":"Sex Differences in Cardiac Rehabilitation Adherence","volume":"32","author":[{"family":"Oosenbrug","given":"Eric"},{"family":"Marinho","given":"Raquel Pedercini"},{"family":"Zhang","given":"Jie"},{"family":"Marzolini","given":"Susan"},{"family":"Colella","given":"Tracey J.F."},{"family":"Pakosh","given":"Maureen"},{"family":"Grace","given":"Sherry L."}],"issued":{"date-parts":[["2016",11]]}}},{"id":123,"uris":["http://zotero.org/users/6176940/items/X67LU7EU"],"uri":["http://zotero.org/users/6176940/items/X67LU7EU"],"itemData":{"id":123,"type":"article-journal","abstract":"BACKGROUND: Although evidence exists for the efficacy of cardiac rehabilitation programmes to reduce morbidity and mortality among patients with cardiovascular disease, cardiac rehabilitation programmes are underused. We aimed systematically to review the evidence from prospective cohort studies on factors associated with non-participation in and/or dropping out from cardiac rehabilitation programmes. METHODS: MedLine, Embase, Scopus, Open Grey and Cochrane Database were searched for relevant publications from inception to February 2018. Search terms included (a) coronary heart disease and other cardiac conditions; (b) cardiac rehabilitation and secondary prevention; and (c) non-participation in and/or dropout. Databases were searched following the PRISMA statement. Study selection, data extraction and the assessment of study quality were performed in duplicate. RESULTS: We selected 43 studies with a total of 63,425 patients from 10 different countries that met the inclusion criteria. Factors associated with non-participation in and dropout from cardiac rehabilitation were grouped into six broad categories: intrapersonal factors, clinical factors, interpersonal factors, logistical factors, cardiac rehabilitation programme factors and health system factors. We found that clinical factors, logistical factors and health system factors were the main factors assessed for non-participation in cardiac rehabilitation. We also found differences between the factors associated with non-participation and dropout. CONCLUSIONS: Several factors were determinant for non-participation in and dropout from cardiac rehabilitation. These findings could be useful to clinicians and policymakers for developing interventions aimed at improving participation and completion of cardiac rehabilitation, such as E-health or home-based delivery programmes. Trial Registration: International Prospective Register of Systematic Reviews (PROSPERO) identifier: CRD42016032973.","archive_location":"29909641","container-title":"Eur J Cardiovasc Nurs","DOI":"10.1177/1474515118783157","ISSN":"1474-5151","issue":"1","language":"eng","note":"edition: 2018/06/19","page":"38-47","source":"NLM","title":"Factors associated with non-participation in and dropout from cardiac rehabilitation programmes: a systematic review of prospective cohort studies","volume":"18","author":[{"family":"Resurreccion","given":"D. M."},{"family":"Moreno-Peral","given":"P."},{"family":"Gomez-Herranz","given":"M."},{"family":"Rubio-Valera","given":"M."},{"family":"Pastor","given":"L."},{"family":"Caldas de Almeida","given":"J. M."},{"family":"Motrico","given":"E."}],"issued":{"date-parts":[["2019",1]]}}},{"id":144,"uris":["http://zotero.org/users/6176940/items/BVYIIKBS"],"uri":["http://zotero.org/users/6176940/items/BVYIIKBS"],"itemData":{"id":144,"type":"article-journal","abstract":"OBJECTIVES: Cardiac rehabilitation (CR) programs have been shown to reduce mortality and morbidity rates among coronary heart disease patients, but adherence to these classes has been found to be poor. This review aims to summarize and integrate research findings investigating the possible sociodemographic, medical, and psychological variables that influence patient adherence to CR programs. It also aims to address the methodological failings of past reviews conducted in this area. METHODS: Several databases were systematically searched for studies published between 1990 and 2009. Studies examining CR program adherence or completion, using data based on participant's actual recorded attendance were included. RESULTS: Eighteen studies were identified that met inclusion criteria. Low mood, participant's age, and certain cardiac risk factors were found to be most consistently associated with poor adherence to CR. A good understanding of the consequences of heart disease was found to be associated with good adherence. Results were relatively inconsistent across studies because of differences in methods used. CONCLUSIONS: Certain risk factors for poor adherence to CR should be assessed and monitored by health professionals. Future studies should address the methodological difficulties present in previous research. Recommendations are made for standardizing methods in future research.","archive_location":"21076307","container-title":"J Cardiovasc Nurs","DOI":"10.1097/JCN.0b013e3181ef6b04","ISSN":"0889-4655","issue":"3","language":"eng","note":"edition: 2010/11/16","page":"202-9","source":"NLM","title":"Medical, psychological, and sociodemographic factors associated with adherence to cardiac rehabilitation programs: a systematic review","volume":"26","author":[{"family":"Taylor","given":"G. H."},{"family":"Wilson","given":"S. L."},{"family":"Sharp","given":"J."}],"issued":{"date-parts":[["2011",5]]}}},{"id":127,"uris":["http://zotero.org/users/6176940/items/PQ36K7PF"],"uri":["http://zotero.org/users/6176940/items/PQ36K7PF"],"itemData":{"id":127,"type":"article-journal","abstract":"Acute myocardial infarction (AMI) is an important health problem. Cardiac rehabilitation (CR) programs following AMI have shown to be effective in reducing mortality. We aim to systematically review the existing literature that analyzes the factors that affect participation and adherence to cardiac rehabilitation programs. We reviewed Medline, EMBASE and Cochrane databases from 01/01/2004 to June 2016 using predefined inclusion and exclusion criteria. We classified the results into factors affecting participation and factors influencing adherence to CR programs. We included 29 studies, and there was a general agreement in those factors predicting participation and adherence to CR programs. These factors can be classified into person-related factors and aspects related to CR programs. Older participants, women, patients with comorbidities, unemployed and uncoupled persons, less educated people and those with lower income had a lower participation. A similar pattern was observed for CR adherence. Also, those potential participants who live farther from CR facilities, do not have transportation, or do not drive, attended less to CR programs. These factors were very similar when analyzing adherence to CR programs. These aspects were similar in Europe and the USA. These results clearly show that participation in CR programs follows a determined pattern that is very homogeneous in different settings. Health professionals should also be aware of patients reluctant to participate in CR programs and adapt their messages and redesign CR programs, to promote participation and adherence.","archive":"PubMed","archive_location":"27557484","container-title":"International journal of cardiology","DOI":"10.1016/j.ijcard.2016.08.120","ISSN":"1874-1754","journalAbbreviation":"Int J Cardiol","language":"eng","note":"edition: 2016/08/13","page":"436-443","title":"Participation and adherence to cardiac rehabilitation programs. A systematic review","volume":"223","author":[{"family":"Ruano-Ravina","given":"Alberto"},{"family":"Pena-Gil","given":"Carlos"},{"family":"Abu-Assi","given":"Emad"},{"family":"Raposeiras","given":"Sergio"},{"family":"Hof","given":"Arnoud","non-dropping-particle":"van 't"},{"family":"Meindersma","given":"Esther"},{"family":"Bossano Prescott","given":"Eva Irene"},{"family":"González-Juanatey","given":"Jose Ramón"}],"issued":{"date-parts":[["2016"]]}}},{"id":30,"uris":["http://zotero.org/users/6176940/items/AUBRGJ4Z"],"uri":["http://zotero.org/users/6176940/items/AUBRGJ4Z"],"itemData":{"id":30,"type":"article-journal","language":"English","title":"The National Audit of Cardiac Rehabilitation | Quality and Outcomes Report 2018","URL":"https://www.bhf.org.uk/informationsupport/publications/statistics/national-audit-of-cardiac-rehabilitation-quality-and-outcomes-report-2018","author":[{"literal":"British Heart Foundation"}],"accessed":{"date-parts":[["2021",2,22]]},"issued":{"date-parts":[["2018"]]}}}],"schema":"https://github.com/citation-style-language/schema/raw/master/csl-citation.json"} </w:instrText>
      </w:r>
      <w:r w:rsidR="007D0D48" w:rsidRPr="00DA27E1">
        <w:rPr>
          <w:rFonts w:cs="Times New Roman"/>
          <w:szCs w:val="24"/>
          <w:lang w:val="en-GB"/>
        </w:rPr>
        <w:fldChar w:fldCharType="separate"/>
      </w:r>
      <w:r w:rsidR="00EA059B" w:rsidRPr="00DA27E1">
        <w:rPr>
          <w:rFonts w:cs="Times New Roman"/>
          <w:szCs w:val="24"/>
          <w:lang w:val="en-GB"/>
        </w:rPr>
        <w:t>(4,10–13)</w:t>
      </w:r>
      <w:r w:rsidR="007D0D48" w:rsidRPr="00DA27E1">
        <w:rPr>
          <w:rFonts w:cs="Times New Roman"/>
          <w:szCs w:val="24"/>
          <w:lang w:val="en-GB"/>
        </w:rPr>
        <w:fldChar w:fldCharType="end"/>
      </w:r>
      <w:r w:rsidR="003D5BCD" w:rsidRPr="00DA27E1">
        <w:rPr>
          <w:rFonts w:cs="Times New Roman"/>
          <w:szCs w:val="24"/>
          <w:lang w:val="en-GB"/>
        </w:rPr>
        <w:t xml:space="preserve">. </w:t>
      </w:r>
      <w:proofErr w:type="spellStart"/>
      <w:r w:rsidR="003D5BCD" w:rsidRPr="00DA27E1">
        <w:rPr>
          <w:rFonts w:cs="Times New Roman"/>
          <w:szCs w:val="24"/>
          <w:lang w:val="en-GB"/>
        </w:rPr>
        <w:t>Beswick</w:t>
      </w:r>
      <w:proofErr w:type="spellEnd"/>
      <w:r w:rsidR="003D5BCD" w:rsidRPr="00DA27E1">
        <w:rPr>
          <w:rFonts w:cs="Times New Roman"/>
          <w:szCs w:val="24"/>
          <w:lang w:val="en-GB"/>
        </w:rPr>
        <w:t xml:space="preserve"> et al. in 2004 summarize the many possible reasons identified by health professionals and patients into three overall categories </w:t>
      </w:r>
      <w:r w:rsidR="003D5BCD"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WbNQMrWs","properties":{"formattedCitation":"(14)","plainCitation":"(14)","noteIndex":0},"citationItems":[{"id":186,"uris":["http://zotero.org/users/6176940/items/QPSBRTIV"],"uri":["http://zotero.org/users/6176940/items/QPSBRTIV"],"itemData":{"id":186,"type":"article-journal","container-title":"Health Technology Assessment","DOI":"10.3310/hta8410","ISSN":"1366-5278, 2046-4924","issue":"41","journalAbbreviation":"Health Technol Assess","language":"en","source":"DOI.org (Crossref)","title":"Provision, uptake and cost of cardiac rehabilitation programmes: improving services to under-represented groups","title-short":"Provision, uptake and cost of cardiac rehabilitation programmes","URL":"https://www.journalslibrary.nihr.ac.uk/hta/hta8410/","volume":"8","author":[{"family":"Beswick","given":"A"},{"family":"Rees","given":"K"},{"family":"Griebsch","given":"I"},{"family":"Taylor","given":"F"},{"family":"Burke","given":"M"},{"family":"West","given":"R"},{"family":"Victory","given":"J"},{"family":"Brown","given":"J"},{"family":"Taylor","given":"R"},{"family":"Ebrahim","given":"S"}],"accessed":{"date-parts":[["2021",2,22]]},"issued":{"date-parts":[["2004",10]]}}}],"schema":"https://github.com/citation-style-language/schema/raw/master/csl-citation.json"} </w:instrText>
      </w:r>
      <w:r w:rsidR="003D5BCD" w:rsidRPr="00DA27E1">
        <w:rPr>
          <w:rFonts w:cs="Times New Roman"/>
          <w:szCs w:val="24"/>
          <w:lang w:val="en-GB"/>
        </w:rPr>
        <w:fldChar w:fldCharType="separate"/>
      </w:r>
      <w:r w:rsidR="00EA059B" w:rsidRPr="00DA27E1">
        <w:rPr>
          <w:rFonts w:cs="Times New Roman"/>
          <w:lang w:val="en-GB"/>
        </w:rPr>
        <w:t>(14)</w:t>
      </w:r>
      <w:r w:rsidR="003D5BCD" w:rsidRPr="00DA27E1">
        <w:rPr>
          <w:rFonts w:cs="Times New Roman"/>
          <w:szCs w:val="24"/>
          <w:lang w:val="en-GB"/>
        </w:rPr>
        <w:fldChar w:fldCharType="end"/>
      </w:r>
      <w:r w:rsidR="003D5BCD" w:rsidRPr="00DA27E1">
        <w:rPr>
          <w:rFonts w:cs="Times New Roman"/>
          <w:szCs w:val="24"/>
          <w:lang w:val="en-GB"/>
        </w:rPr>
        <w:t xml:space="preserve">. Patient factors concerning e.g. lack of interest or work commitments for the patients, professional factors regarding e.g. attitudes or referral issues among the health professionals and service factors relating to e.g. location of and accessibility to the healthcare </w:t>
      </w:r>
      <w:r w:rsidR="00DE36D4" w:rsidRPr="00DA27E1">
        <w:rPr>
          <w:rFonts w:cs="Times New Roman"/>
          <w:szCs w:val="24"/>
          <w:lang w:val="en-GB"/>
        </w:rPr>
        <w:t>centre</w:t>
      </w:r>
      <w:r w:rsidR="003D5BCD" w:rsidRPr="00DA27E1">
        <w:rPr>
          <w:rFonts w:cs="Times New Roman"/>
          <w:szCs w:val="24"/>
          <w:lang w:val="en-GB"/>
        </w:rPr>
        <w:t xml:space="preserve"> </w:t>
      </w:r>
      <w:r w:rsidR="003D5BCD"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jdSABnlE","properties":{"formattedCitation":"(14)","plainCitation":"(14)","noteIndex":0},"citationItems":[{"id":186,"uris":["http://zotero.org/users/6176940/items/QPSBRTIV"],"uri":["http://zotero.org/users/6176940/items/QPSBRTIV"],"itemData":{"id":186,"type":"article-journal","container-title":"Health Technology Assessment","DOI":"10.3310/hta8410","ISSN":"1366-5278, 2046-4924","issue":"41","journalAbbreviation":"Health Technol Assess","language":"en","source":"DOI.org (Crossref)","title":"Provision, uptake and cost of cardiac rehabilitation programmes: improving services to under-represented groups","title-short":"Provision, uptake and cost of cardiac rehabilitation programmes","URL":"https://www.journalslibrary.nihr.ac.uk/hta/hta8410/","volume":"8","author":[{"family":"Beswick","given":"A"},{"family":"Rees","given":"K"},{"family":"Griebsch","given":"I"},{"family":"Taylor","given":"F"},{"family":"Burke","given":"M"},{"family":"West","given":"R"},{"family":"Victory","given":"J"},{"family":"Brown","given":"J"},{"family":"Taylor","given":"R"},{"family":"Ebrahim","given":"S"}],"accessed":{"date-parts":[["2021",2,22]]},"issued":{"date-parts":[["2004",10]]}}}],"schema":"https://github.com/citation-style-language/schema/raw/master/csl-citation.json"} </w:instrText>
      </w:r>
      <w:r w:rsidR="003D5BCD" w:rsidRPr="00DA27E1">
        <w:rPr>
          <w:rFonts w:cs="Times New Roman"/>
          <w:szCs w:val="24"/>
          <w:lang w:val="en-GB"/>
        </w:rPr>
        <w:fldChar w:fldCharType="separate"/>
      </w:r>
      <w:r w:rsidR="00EA059B" w:rsidRPr="00DA27E1">
        <w:rPr>
          <w:rFonts w:cs="Times New Roman"/>
          <w:lang w:val="en-GB"/>
        </w:rPr>
        <w:t>(14)</w:t>
      </w:r>
      <w:r w:rsidR="003D5BCD" w:rsidRPr="00DA27E1">
        <w:rPr>
          <w:rFonts w:cs="Times New Roman"/>
          <w:szCs w:val="24"/>
          <w:lang w:val="en-GB"/>
        </w:rPr>
        <w:fldChar w:fldCharType="end"/>
      </w:r>
      <w:r w:rsidR="003D5BCD" w:rsidRPr="00DA27E1">
        <w:rPr>
          <w:rFonts w:cs="Times New Roman"/>
          <w:szCs w:val="24"/>
          <w:lang w:val="en-GB"/>
        </w:rPr>
        <w:t>.</w:t>
      </w:r>
    </w:p>
    <w:p w14:paraId="3C5BB777" w14:textId="66B3ED08" w:rsidR="008A2382" w:rsidRPr="00DA27E1" w:rsidRDefault="000D0C8C" w:rsidP="00A50549">
      <w:pPr>
        <w:autoSpaceDE w:val="0"/>
        <w:autoSpaceDN w:val="0"/>
        <w:adjustRightInd w:val="0"/>
        <w:spacing w:line="480" w:lineRule="auto"/>
        <w:rPr>
          <w:rFonts w:cs="Times New Roman"/>
          <w:szCs w:val="24"/>
          <w:lang w:val="en-GB"/>
        </w:rPr>
      </w:pPr>
      <w:r w:rsidRPr="00DA27E1">
        <w:rPr>
          <w:rFonts w:cs="Times New Roman"/>
          <w:szCs w:val="24"/>
          <w:lang w:val="en-GB"/>
        </w:rPr>
        <w:t>In relation to service factors th</w:t>
      </w:r>
      <w:r w:rsidR="00240095" w:rsidRPr="00DA27E1">
        <w:rPr>
          <w:rFonts w:cs="Times New Roman"/>
          <w:szCs w:val="24"/>
          <w:lang w:val="en-GB"/>
        </w:rPr>
        <w:t xml:space="preserve">e organization </w:t>
      </w:r>
      <w:r w:rsidR="00A132DE" w:rsidRPr="00DA27E1">
        <w:rPr>
          <w:rFonts w:cs="Times New Roman"/>
          <w:szCs w:val="24"/>
          <w:lang w:val="en-GB"/>
        </w:rPr>
        <w:t xml:space="preserve">of </w:t>
      </w:r>
      <w:r w:rsidR="005C5238" w:rsidRPr="00DA27E1">
        <w:rPr>
          <w:rFonts w:cs="Times New Roman"/>
          <w:szCs w:val="24"/>
          <w:lang w:val="en-GB"/>
        </w:rPr>
        <w:t>cardiac rehabilitation</w:t>
      </w:r>
      <w:r w:rsidR="00A132DE" w:rsidRPr="00DA27E1">
        <w:rPr>
          <w:rFonts w:cs="Times New Roman"/>
          <w:szCs w:val="24"/>
          <w:lang w:val="en-GB"/>
        </w:rPr>
        <w:t xml:space="preserve"> </w:t>
      </w:r>
      <w:r w:rsidR="005C5238" w:rsidRPr="00DA27E1">
        <w:rPr>
          <w:rFonts w:cs="Times New Roman"/>
          <w:szCs w:val="24"/>
          <w:lang w:val="en-GB"/>
        </w:rPr>
        <w:t>has</w:t>
      </w:r>
      <w:r w:rsidR="00A132DE" w:rsidRPr="00DA27E1">
        <w:rPr>
          <w:rFonts w:cs="Times New Roman"/>
          <w:szCs w:val="24"/>
          <w:lang w:val="en-GB"/>
        </w:rPr>
        <w:t xml:space="preserve"> changed </w:t>
      </w:r>
      <w:r w:rsidR="00D65665" w:rsidRPr="00DA27E1">
        <w:rPr>
          <w:rFonts w:cs="Times New Roman"/>
          <w:szCs w:val="24"/>
          <w:lang w:val="en-GB"/>
        </w:rPr>
        <w:t>during</w:t>
      </w:r>
      <w:r w:rsidR="00A132DE" w:rsidRPr="00DA27E1">
        <w:rPr>
          <w:rFonts w:cs="Times New Roman"/>
          <w:szCs w:val="24"/>
          <w:lang w:val="en-GB"/>
        </w:rPr>
        <w:t xml:space="preserve"> re</w:t>
      </w:r>
      <w:r w:rsidR="00880D5C" w:rsidRPr="00DA27E1">
        <w:rPr>
          <w:rFonts w:cs="Times New Roman"/>
          <w:szCs w:val="24"/>
          <w:lang w:val="en-GB"/>
        </w:rPr>
        <w:t>cent years</w:t>
      </w:r>
      <w:r w:rsidR="00094FA8" w:rsidRPr="00DA27E1">
        <w:rPr>
          <w:rFonts w:cs="Times New Roman"/>
          <w:szCs w:val="24"/>
          <w:lang w:val="en-GB"/>
        </w:rPr>
        <w:t xml:space="preserve"> </w:t>
      </w:r>
      <w:r w:rsidR="00094FA8"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eb5CPz2c","properties":{"formattedCitation":"(15)","plainCitation":"(15)","noteIndex":0},"citationItems":[{"id":126,"uris":["http://zotero.org/users/6176940/items/VMTRTF3Y"],"uri":["http://zotero.org/users/6176940/items/VMTRTF3Y"],"itemData":{"id":126,"type":"report","title":"Moving Care to the Community: An International Perspective","URL":"https://www.issuelab.org/resource/moving-care-to-the-community-an-international-perspective.html","author":[{"literal":"Royal College of Nursing Policy and International Department"}],"accessed":{"date-parts":[["2021",2,22]]},"issued":{"date-parts":[["2013"]]}}}],"schema":"https://github.com/citation-style-language/schema/raw/master/csl-citation.json"} </w:instrText>
      </w:r>
      <w:r w:rsidR="00094FA8" w:rsidRPr="00DA27E1">
        <w:rPr>
          <w:rFonts w:cs="Times New Roman"/>
          <w:szCs w:val="24"/>
          <w:lang w:val="en-GB"/>
        </w:rPr>
        <w:fldChar w:fldCharType="separate"/>
      </w:r>
      <w:r w:rsidR="00EA059B" w:rsidRPr="00DA27E1">
        <w:rPr>
          <w:rFonts w:cs="Times New Roman"/>
          <w:lang w:val="en-GB"/>
        </w:rPr>
        <w:t>(15)</w:t>
      </w:r>
      <w:r w:rsidR="00094FA8" w:rsidRPr="00DA27E1">
        <w:rPr>
          <w:rFonts w:cs="Times New Roman"/>
          <w:szCs w:val="24"/>
          <w:lang w:val="en-GB"/>
        </w:rPr>
        <w:fldChar w:fldCharType="end"/>
      </w:r>
      <w:r w:rsidR="00A132DE" w:rsidRPr="00DA27E1">
        <w:rPr>
          <w:rFonts w:cs="Times New Roman"/>
          <w:szCs w:val="24"/>
          <w:lang w:val="en-GB"/>
        </w:rPr>
        <w:t>.</w:t>
      </w:r>
      <w:r w:rsidR="00880D5C" w:rsidRPr="00DA27E1">
        <w:rPr>
          <w:rFonts w:cs="Times New Roman"/>
          <w:szCs w:val="24"/>
          <w:lang w:val="en-GB"/>
        </w:rPr>
        <w:t xml:space="preserve"> </w:t>
      </w:r>
      <w:r w:rsidR="008A2382" w:rsidRPr="00DA27E1">
        <w:rPr>
          <w:rFonts w:cs="Times New Roman"/>
          <w:szCs w:val="24"/>
          <w:lang w:val="en-GB"/>
        </w:rPr>
        <w:t xml:space="preserve">An international trend has been to move patient care outside the hospitals, either to community-based </w:t>
      </w:r>
      <w:r w:rsidR="00DE36D4" w:rsidRPr="00DA27E1">
        <w:rPr>
          <w:rFonts w:cs="Times New Roman"/>
          <w:szCs w:val="24"/>
          <w:lang w:val="en-GB"/>
        </w:rPr>
        <w:t>centres</w:t>
      </w:r>
      <w:r w:rsidR="008A2382" w:rsidRPr="00DA27E1">
        <w:rPr>
          <w:rFonts w:cs="Times New Roman"/>
          <w:szCs w:val="24"/>
          <w:lang w:val="en-GB"/>
        </w:rPr>
        <w:t xml:space="preserve">, to the patients’ homes or GP clinics </w:t>
      </w:r>
      <w:r w:rsidR="008A2382"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fVbIBiZA","properties":{"formattedCitation":"(15)","plainCitation":"(15)","noteIndex":0},"citationItems":[{"id":126,"uris":["http://zotero.org/users/6176940/items/VMTRTF3Y"],"uri":["http://zotero.org/users/6176940/items/VMTRTF3Y"],"itemData":{"id":126,"type":"report","title":"Moving Care to the Community: An International Perspective","URL":"https://www.issuelab.org/resource/moving-care-to-the-community-an-international-perspective.html","author":[{"literal":"Royal College of Nursing Policy and International Department"}],"accessed":{"date-parts":[["2021",2,22]]},"issued":{"date-parts":[["2013"]]}}}],"schema":"https://github.com/citation-style-language/schema/raw/master/csl-citation.json"} </w:instrText>
      </w:r>
      <w:r w:rsidR="008A2382" w:rsidRPr="00DA27E1">
        <w:rPr>
          <w:rFonts w:cs="Times New Roman"/>
          <w:szCs w:val="24"/>
          <w:lang w:val="en-GB"/>
        </w:rPr>
        <w:fldChar w:fldCharType="separate"/>
      </w:r>
      <w:r w:rsidR="00EA059B" w:rsidRPr="00DA27E1">
        <w:rPr>
          <w:rFonts w:cs="Times New Roman"/>
          <w:lang w:val="en-GB"/>
        </w:rPr>
        <w:t>(15)</w:t>
      </w:r>
      <w:r w:rsidR="008A2382" w:rsidRPr="00DA27E1">
        <w:rPr>
          <w:rFonts w:cs="Times New Roman"/>
          <w:szCs w:val="24"/>
          <w:lang w:val="en-GB"/>
        </w:rPr>
        <w:fldChar w:fldCharType="end"/>
      </w:r>
      <w:r w:rsidR="008A2382" w:rsidRPr="00DA27E1">
        <w:rPr>
          <w:rFonts w:cs="Times New Roman"/>
          <w:szCs w:val="24"/>
          <w:lang w:val="en-GB"/>
        </w:rPr>
        <w:t xml:space="preserve">. The rationale is to increase accessibility to rehabilitation by moving the health services closer to patients in an attempt to increase the completion rates and prevent dropout from cardiac rehabilitation </w:t>
      </w:r>
      <w:r w:rsidR="008A2382"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YKpdDjpG","properties":{"formattedCitation":"(11,13)","plainCitation":"(11,13)","noteIndex":0},"citationItems":[{"id":123,"uris":["http://zotero.org/users/6176940/items/X67LU7EU"],"uri":["http://zotero.org/users/6176940/items/X67LU7EU"],"itemData":{"id":123,"type":"article-journal","abstract":"BACKGROUND: Although evidence exists for the efficacy of cardiac rehabilitation programmes to reduce morbidity and mortality among patients with cardiovascular disease, cardiac rehabilitation programmes are underused. We aimed systematically to review the evidence from prospective cohort studies on factors associated with non-participation in and/or dropping out from cardiac rehabilitation programmes. METHODS: MedLine, Embase, Scopus, Open Grey and Cochrane Database were searched for relevant publications from inception to February 2018. Search terms included (a) coronary heart disease and other cardiac conditions; (b) cardiac rehabilitation and secondary prevention; and (c) non-participation in and/or dropout. Databases were searched following the PRISMA statement. Study selection, data extraction and the assessment of study quality were performed in duplicate. RESULTS: We selected 43 studies with a total of 63,425 patients from 10 different countries that met the inclusion criteria. Factors associated with non-participation in and dropout from cardiac rehabilitation were grouped into six broad categories: intrapersonal factors, clinical factors, interpersonal factors, logistical factors, cardiac rehabilitation programme factors and health system factors. We found that clinical factors, logistical factors and health system factors were the main factors assessed for non-participation in cardiac rehabilitation. We also found differences between the factors associated with non-participation and dropout. CONCLUSIONS: Several factors were determinant for non-participation in and dropout from cardiac rehabilitation. These findings could be useful to clinicians and policymakers for developing interventions aimed at improving participation and completion of cardiac rehabilitation, such as E-health or home-based delivery programmes. Trial Registration: International Prospective Register of Systematic Reviews (PROSPERO) identifier: CRD42016032973.","archive_location":"29909641","container-title":"Eur J Cardiovasc Nurs","DOI":"10.1177/1474515118783157","ISSN":"1474-5151","issue":"1","language":"eng","note":"edition: 2018/06/19","page":"38-47","source":"NLM","title":"Factors associated with non-participation in and dropout from cardiac rehabilitation programmes: a systematic review of prospective cohort studies","volume":"18","author":[{"family":"Resurreccion","given":"D. M."},{"family":"Moreno-Peral","given":"P."},{"family":"Gomez-Herranz","given":"M."},{"family":"Rubio-Valera","given":"M."},{"family":"Pastor","given":"L."},{"family":"Caldas de Almeida","given":"J. M."},{"family":"Motrico","given":"E."}],"issued":{"date-parts":[["2019",1]]}}},{"id":127,"uris":["http://zotero.org/users/6176940/items/PQ36K7PF"],"uri":["http://zotero.org/users/6176940/items/PQ36K7PF"],"itemData":{"id":127,"type":"article-journal","abstract":"Acute myocardial infarction (AMI) is an important health problem. Cardiac rehabilitation (CR) programs following AMI have shown to be effective in reducing mortality. We aim to systematically review the existing literature that analyzes the factors that affect participation and adherence to cardiac rehabilitation programs. We reviewed Medline, EMBASE and Cochrane databases from 01/01/2004 to June 2016 using predefined inclusion and exclusion criteria. We classified the results into factors affecting participation and factors influencing adherence to CR programs. We included 29 studies, and there was a general agreement in those factors predicting participation and adherence to CR programs. These factors can be classified into person-related factors and aspects related to CR programs. Older participants, women, patients with comorbidities, unemployed and uncoupled persons, less educated people and those with lower income had a lower participation. A similar pattern was observed for CR adherence. Also, those potential participants who live farther from CR facilities, do not have transportation, or do not drive, attended less to CR programs. These factors were very similar when analyzing adherence to CR programs. These aspects were similar in Europe and the USA. These results clearly show that participation in CR programs follows a determined pattern that is very homogeneous in different settings. Health professionals should also be aware of patients reluctant to participate in CR programs and adapt their messages and redesign CR programs, to promote participation and adherence.","archive":"PubMed","archive_location":"27557484","container-title":"International journal of cardiology","DOI":"10.1016/j.ijcard.2016.08.120","ISSN":"1874-1754","journalAbbreviation":"Int J Cardiol","language":"eng","note":"edition: 2016/08/13","page":"436-443","title":"Participation and adherence to cardiac rehabilitation programs. A systematic review","volume":"223","author":[{"family":"Ruano-Ravina","given":"Alberto"},{"family":"Pena-Gil","given":"Carlos"},{"family":"Abu-Assi","given":"Emad"},{"family":"Raposeiras","given":"Sergio"},{"family":"Hof","given":"Arnoud","non-dropping-particle":"van 't"},{"family":"Meindersma","given":"Esther"},{"family":"Bossano Prescott","given":"Eva Irene"},{"family":"González-Juanatey","given":"Jose Ramón"}],"issued":{"date-parts":[["2016"]]}}}],"schema":"https://github.com/citation-style-language/schema/raw/master/csl-citation.json"} </w:instrText>
      </w:r>
      <w:r w:rsidR="008A2382" w:rsidRPr="00DA27E1">
        <w:rPr>
          <w:rFonts w:cs="Times New Roman"/>
          <w:szCs w:val="24"/>
          <w:lang w:val="en-GB"/>
        </w:rPr>
        <w:fldChar w:fldCharType="separate"/>
      </w:r>
      <w:r w:rsidR="00EA059B" w:rsidRPr="00DA27E1">
        <w:rPr>
          <w:rFonts w:cs="Times New Roman"/>
          <w:lang w:val="en-GB"/>
        </w:rPr>
        <w:t>(11,13)</w:t>
      </w:r>
      <w:r w:rsidR="008A2382" w:rsidRPr="00DA27E1">
        <w:rPr>
          <w:rFonts w:cs="Times New Roman"/>
          <w:szCs w:val="24"/>
          <w:lang w:val="en-GB"/>
        </w:rPr>
        <w:fldChar w:fldCharType="end"/>
      </w:r>
      <w:r w:rsidR="008A2382" w:rsidRPr="00DA27E1">
        <w:rPr>
          <w:rFonts w:cs="Times New Roman"/>
          <w:szCs w:val="24"/>
          <w:lang w:val="en-GB"/>
        </w:rPr>
        <w:t xml:space="preserve">. </w:t>
      </w:r>
      <w:r w:rsidR="00380D1A" w:rsidRPr="00DA27E1">
        <w:rPr>
          <w:rFonts w:cs="Times New Roman"/>
          <w:lang w:val="en-GB"/>
        </w:rPr>
        <w:t>In 2007, the responsibility for CR services in Denmark shifted from a regional level (responsible for hospital management) to a shared responsibility between regional and local community level (administrative entities called municipalities)</w:t>
      </w:r>
      <w:r w:rsidR="0068429A" w:rsidRPr="00DA27E1">
        <w:rPr>
          <w:rFonts w:cs="Times New Roman"/>
          <w:lang w:val="en-GB"/>
        </w:rPr>
        <w:t xml:space="preserve"> </w:t>
      </w:r>
      <w:r w:rsidR="009C5548" w:rsidRPr="00DA27E1">
        <w:rPr>
          <w:rFonts w:cs="Times New Roman"/>
          <w:lang w:val="en-GB"/>
        </w:rPr>
        <w:fldChar w:fldCharType="begin"/>
      </w:r>
      <w:r w:rsidR="00EA059B" w:rsidRPr="00DA27E1">
        <w:rPr>
          <w:rFonts w:cs="Times New Roman"/>
          <w:lang w:val="en-GB"/>
        </w:rPr>
        <w:instrText xml:space="preserve"> ADDIN ZOTERO_ITEM CSL_CITATION {"citationID":"8XoEdGPj","properties":{"formattedCitation":"(16)","plainCitation":"(16)","noteIndex":0},"citationItems":[{"id":243,"uris":["http://zotero.org/users/6176940/items/E6ZGUYBG"],"uri":["http://zotero.org/users/6176940/items/E6ZGUYBG"],"itemData":{"id":243,"type":"report","title":"Copenhagen Vejledning om kommunalrehabilitering [Guide to rehabilitation in municipalities]","author":[{"family":"Ministry of the Interior and Health","given":""}],"issued":{"date-parts":[["2011"]]}}}],"schema":"https://github.com/citation-style-language/schema/raw/master/csl-citation.json"} </w:instrText>
      </w:r>
      <w:r w:rsidR="009C5548" w:rsidRPr="00DA27E1">
        <w:rPr>
          <w:rFonts w:cs="Times New Roman"/>
          <w:lang w:val="en-GB"/>
        </w:rPr>
        <w:fldChar w:fldCharType="separate"/>
      </w:r>
      <w:r w:rsidR="00EA059B" w:rsidRPr="00DA27E1">
        <w:rPr>
          <w:rFonts w:cs="Times New Roman"/>
          <w:lang w:val="en-GB"/>
        </w:rPr>
        <w:t>(16)</w:t>
      </w:r>
      <w:r w:rsidR="009C5548" w:rsidRPr="00DA27E1">
        <w:rPr>
          <w:rFonts w:cs="Times New Roman"/>
          <w:lang w:val="en-GB"/>
        </w:rPr>
        <w:fldChar w:fldCharType="end"/>
      </w:r>
      <w:r w:rsidR="001F6B63" w:rsidRPr="00DA27E1">
        <w:rPr>
          <w:rFonts w:cs="Times New Roman"/>
          <w:lang w:val="en-GB"/>
        </w:rPr>
        <w:t xml:space="preserve">. Hence, </w:t>
      </w:r>
      <w:r w:rsidR="001F6B63" w:rsidRPr="00DA27E1">
        <w:rPr>
          <w:rFonts w:cs="Times New Roman"/>
          <w:szCs w:val="24"/>
          <w:lang w:val="en-GB"/>
        </w:rPr>
        <w:t>i</w:t>
      </w:r>
      <w:r w:rsidR="008A2382" w:rsidRPr="00DA27E1">
        <w:rPr>
          <w:rFonts w:cs="Times New Roman"/>
          <w:szCs w:val="24"/>
          <w:lang w:val="en-GB"/>
        </w:rPr>
        <w:t xml:space="preserve">n Denmark, exCR is delivered in all of the 98 municipalities, only specialized services are provided at the hospitals. </w:t>
      </w:r>
      <w:r w:rsidR="001F6B63" w:rsidRPr="00DA27E1">
        <w:rPr>
          <w:rFonts w:cs="Times New Roman"/>
          <w:szCs w:val="24"/>
          <w:lang w:val="en-GB"/>
        </w:rPr>
        <w:t>T</w:t>
      </w:r>
      <w:r w:rsidR="008A2382" w:rsidRPr="00DA27E1">
        <w:rPr>
          <w:rFonts w:cs="Times New Roman"/>
          <w:szCs w:val="24"/>
          <w:lang w:val="en-GB"/>
        </w:rPr>
        <w:t>he majority of patients without specialized needs will</w:t>
      </w:r>
      <w:r w:rsidR="001F6B63" w:rsidRPr="00DA27E1">
        <w:rPr>
          <w:rFonts w:cs="Times New Roman"/>
          <w:szCs w:val="24"/>
          <w:lang w:val="en-GB"/>
        </w:rPr>
        <w:t xml:space="preserve"> therefore</w:t>
      </w:r>
      <w:r w:rsidR="008A2382" w:rsidRPr="00DA27E1">
        <w:rPr>
          <w:rFonts w:cs="Times New Roman"/>
          <w:szCs w:val="24"/>
          <w:lang w:val="en-GB"/>
        </w:rPr>
        <w:t xml:space="preserve"> have a transition from the hospital to the municipality </w:t>
      </w:r>
      <w:r w:rsidR="008A2382"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KvP0CPIo","properties":{"formattedCitation":"(17)","plainCitation":"(17)","noteIndex":0},"citationItems":[{"id":83,"uris":["http://zotero.org/users/6176940/items/CF9UY8VV"],"uri":["http://zotero.org/users/6176940/items/CF9UY8VV"],"itemData":{"id":83,"type":"article-journal","abstract":"A politically initiated national clinical guideline was launched in Denmark in 2013 to improve quality and equality of cardiac rehabilitation (CR) services. The guideline is to be implemented in both hospital and community (municipality) settings due to shared responsibility for provision of CR services. Little is known about implementation outcomes of a guideline in these two settings. We aimed to study this by determining the extent to which Danish CR services in hospitals and municipalities adhered to national recommendations following the launch of the guideline. The study employed an observational, longitudinal design. Data were gathered by a questionnaire survey to compare CR services at baseline, measured in 2013 immediately before the guideline was launched, with CR services at a two-year follow up in 2015. All Danish hospital departments offering CR services (N = 36) and all municipalities (N = 98) were included. Data were analysed using inferential statistics. Hospitals reported improvement of both content and quality of CR services. Municipalities reported no change in content of services, and lower level of fulfilment of one quality aspect. The results suggest that the guideline had different impact in hospitals and municipalities and that the differences in content and quality of services between the two settings increased in the study period, thus contradicting the guideline s aim of uniform, evidence-based content of CR services across settings.","archive_location":"30093082","container-title":"Health Policy","DOI":"10.1016/j.healthpol.2018.07.015","ISSN":"0168-8510","issue":"9","language":"eng","note":"edition: 2018/08/11","page":"1043-1051","source":"NLM","title":"Implementation of a politically initiated national clinical guideline for cardiac rehabilitation in hospitals and municipalities in Denmark","volume":"122","author":[{"family":"Lindstrom Egholm","given":"C."},{"family":"Rossau","given":"H. K."},{"family":"Nilsen","given":"P."},{"family":"Bunkenborg","given":"G."},{"family":"Rod","given":"M. H."},{"family":"Doherty","given":"P."},{"family":"Bartels","given":"P."},{"family":"Helmark","given":"L."},{"family":"Zwisler","given":"A. D."}],"issued":{"date-parts":[["2018",9]]}}}],"schema":"https://github.com/citation-style-language/schema/raw/master/csl-citation.json"} </w:instrText>
      </w:r>
      <w:r w:rsidR="008A2382" w:rsidRPr="00DA27E1">
        <w:rPr>
          <w:rFonts w:cs="Times New Roman"/>
          <w:szCs w:val="24"/>
          <w:lang w:val="en-GB"/>
        </w:rPr>
        <w:fldChar w:fldCharType="separate"/>
      </w:r>
      <w:r w:rsidR="00EA059B" w:rsidRPr="00DA27E1">
        <w:rPr>
          <w:rFonts w:cs="Times New Roman"/>
          <w:lang w:val="en-GB"/>
        </w:rPr>
        <w:t>(17)</w:t>
      </w:r>
      <w:r w:rsidR="008A2382" w:rsidRPr="00DA27E1">
        <w:rPr>
          <w:rFonts w:cs="Times New Roman"/>
          <w:szCs w:val="24"/>
          <w:lang w:val="en-GB"/>
        </w:rPr>
        <w:fldChar w:fldCharType="end"/>
      </w:r>
      <w:r w:rsidR="008A2382" w:rsidRPr="00DA27E1">
        <w:rPr>
          <w:rFonts w:cs="Times New Roman"/>
          <w:szCs w:val="24"/>
          <w:lang w:val="en-GB"/>
        </w:rPr>
        <w:fldChar w:fldCharType="begin"/>
      </w:r>
      <w:r w:rsidR="00686367" w:rsidRPr="00DA27E1">
        <w:rPr>
          <w:rFonts w:cs="Times New Roman"/>
          <w:szCs w:val="24"/>
          <w:lang w:val="en-GB"/>
        </w:rPr>
        <w:instrText xml:space="preserve"> ADDIN ZOTERO_ITEM CSL_CITATION {"citationID":"5k5JxbMP","properties":{"formattedCitation":"(16)","plainCitation":"(16)","dontUpdate":true,"noteIndex":0},"citationItems":[{"id":83,"uris":["http://zotero.org/users/6176940/items/CF9UY8VV"],"uri":["http://zotero.org/users/6176940/items/CF9UY8VV"],"itemData":{"id":83,"type":"article-journal","abstract":"A politically initiated national clinical guideline was launched in Denmark in 2013 to improve quality and equality of cardiac rehabilitation (CR) services. The guideline is to be implemented in both hospital and community (municipality) settings due to shared responsibility for provision of CR services. Little is known about implementation outcomes of a guideline in these two settings. We aimed to study this by determining the extent to which Danish CR services in hospitals and municipalities adhered to national recommendations following the launch of the guideline. The study employed an observational, longitudinal design. Data were gathered by a questionnaire survey to compare CR services at baseline, measured in 2013 immediately before the guideline was launched, with CR services at a two-year follow up in 2015. All Danish hospital departments offering CR services (N = 36) and all municipalities (N = 98) were included. Data were analysed using inferential statistics. Hospitals reported improvement of both content and quality of CR services. Municipalities reported no change in content of services, and lower level of fulfilment of one quality aspect. The results suggest that the guideline had different impact in hospitals and municipalities and that the differences in content and quality of services between the two settings increased in the study period, thus contradicting the guideline s aim of uniform, evidence-based content of CR services across settings.","archive_location":"30093082","container-title":"Health Policy","DOI":"10.1016/j.healthpol.2018.07.015","ISSN":"0168-8510","issue":"9","language":"eng","note":"edition: 2018/08/11","page":"1043-1051","source":"NLM","title":"Implementation of a politically initiated national clinical guideline for cardiac rehabilitation in hospitals and municipalities in Denmark","volume":"122","author":[{"family":"Lindstrom Egholm","given":"C."},{"family":"Rossau","given":"H. K."},{"family":"Nilsen","given":"P."},{"family":"Bunkenborg","given":"G."},{"family":"Rod","given":"M. H."},{"family":"Doherty","given":"P."},{"family":"Bartels","given":"P."},{"family":"Helmark","given":"L."},{"family":"Zwisler","given":"A. D."}],"issued":{"date-parts":[["2018",9]]}}}],"schema":"https://github.com/citation-style-language/schema/raw/master/csl-citation.json"} </w:instrText>
      </w:r>
      <w:r w:rsidR="008A2382" w:rsidRPr="00DA27E1">
        <w:rPr>
          <w:rFonts w:cs="Times New Roman"/>
          <w:szCs w:val="24"/>
          <w:lang w:val="en-GB"/>
        </w:rPr>
        <w:fldChar w:fldCharType="end"/>
      </w:r>
      <w:r w:rsidR="008A2382" w:rsidRPr="00DA27E1">
        <w:rPr>
          <w:rFonts w:cs="Times New Roman"/>
          <w:szCs w:val="24"/>
          <w:lang w:val="en-GB"/>
        </w:rPr>
        <w:t xml:space="preserve">. In Denmark this transition happened either at the beginning of the exCR program </w:t>
      </w:r>
      <w:r w:rsidR="007C2A88" w:rsidRPr="00DA27E1">
        <w:rPr>
          <w:rFonts w:cs="Times New Roman"/>
          <w:szCs w:val="24"/>
          <w:lang w:val="en-GB"/>
        </w:rPr>
        <w:t>(phase II)</w:t>
      </w:r>
      <w:r w:rsidR="008A2382" w:rsidRPr="00DA27E1">
        <w:rPr>
          <w:rFonts w:cs="Times New Roman"/>
          <w:szCs w:val="24"/>
          <w:lang w:val="en-GB"/>
        </w:rPr>
        <w:t xml:space="preserve"> or halfway through </w:t>
      </w:r>
      <w:r w:rsidR="008A2382"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KS08rGhF","properties":{"formattedCitation":"(18)","plainCitation":"(18)","noteIndex":0},"citationItems":[{"id":120,"uris":["http://zotero.org/users/6176940/items/SRGX9FCS"],"uri":["http://zotero.org/users/6176940/items/SRGX9FCS"],"itemData":{"id":120,"type":"report","title":"Forløbsprogram for Kroniske Hjertesygdomme [Disease Management Programme for Chronic Heart Diseases]","URL":"https://www.regionsjaelland.dk/Sundhed/patient-i-region-sjaelland/Sundhedsaftalen/Forebyggelse/Forloebsprogrammer/Documents/Forl%C3%B8bsprogram%20hjerte%20040718.pdf","author":[{"literal":"Region Sjælland KKR Sjælland [Region Zealand and the 17 municipalities]"}],"accessed":{"date-parts":[["2021",2,22]]},"issued":{"date-parts":[["2016"]]}}}],"schema":"https://github.com/citation-style-language/schema/raw/master/csl-citation.json"} </w:instrText>
      </w:r>
      <w:r w:rsidR="008A2382" w:rsidRPr="00DA27E1">
        <w:rPr>
          <w:rFonts w:cs="Times New Roman"/>
          <w:szCs w:val="24"/>
          <w:lang w:val="en-GB"/>
        </w:rPr>
        <w:fldChar w:fldCharType="separate"/>
      </w:r>
      <w:r w:rsidR="00EA059B" w:rsidRPr="00DA27E1">
        <w:rPr>
          <w:rFonts w:cs="Times New Roman"/>
          <w:lang w:val="en-GB"/>
        </w:rPr>
        <w:t>(18)</w:t>
      </w:r>
      <w:r w:rsidR="008A2382" w:rsidRPr="00DA27E1">
        <w:rPr>
          <w:rFonts w:cs="Times New Roman"/>
          <w:szCs w:val="24"/>
          <w:lang w:val="en-GB"/>
        </w:rPr>
        <w:fldChar w:fldCharType="end"/>
      </w:r>
      <w:r w:rsidR="008A2382" w:rsidRPr="00DA27E1">
        <w:rPr>
          <w:rFonts w:cs="Times New Roman"/>
          <w:szCs w:val="24"/>
          <w:lang w:val="en-GB"/>
        </w:rPr>
        <w:t>. Overall, surprisingly little information is available on the impact of having a transition phase.</w:t>
      </w:r>
    </w:p>
    <w:p w14:paraId="0B5FB378" w14:textId="7DDE87AA" w:rsidR="0073249F" w:rsidRPr="00DA27E1" w:rsidRDefault="00380D1A" w:rsidP="00A50549">
      <w:pPr>
        <w:spacing w:line="480" w:lineRule="auto"/>
        <w:rPr>
          <w:rFonts w:cs="Times New Roman"/>
          <w:szCs w:val="24"/>
          <w:lang w:val="en-GB"/>
        </w:rPr>
      </w:pPr>
      <w:r w:rsidRPr="00DA27E1">
        <w:rPr>
          <w:rFonts w:cs="Times New Roman"/>
          <w:szCs w:val="24"/>
          <w:lang w:val="en-GB"/>
        </w:rPr>
        <w:t xml:space="preserve">Knowledge on how transition influences the rehabilitation pathway and if the likelihood for dropping out in the transition phase also is associated with the commonly reported patient characteristics known to influence dropout in traditional exCR </w:t>
      </w:r>
      <w:r w:rsidR="001E4473"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JLqlNhIV","properties":{"formattedCitation":"(4,10\\uc0\\u8211{}13)","plainCitation":"(4,10–13)","noteIndex":0},"citationItems":[{"id":30,"uris":["http://zotero.org/users/6176940/items/AUBRGJ4Z"],"uri":["http://zotero.org/users/6176940/items/AUBRGJ4Z"],"itemData":{"id":30,"type":"article-journal","language":"English","title":"The National Audit of Cardiac Rehabilitation | Quality and Outcomes Report 2018","URL":"https://www.bhf.org.uk/informationsupport/publications/statistics/national-audit-of-cardiac-rehabilitation-quality-and-outcomes-report-2018","author":[{"literal":"British Heart Foundation"}],"accessed":{"date-parts":[["2021",2,22]]},"issued":{"date-parts":[["2018"]]}}},{"id":231,"uris":["http://zotero.org/users/6176940/items/ISABFQ5B"],"uri":["http://zotero.org/users/6176940/items/ISABFQ5B"],"itemData":{"id":231,"type":"article-journal","container-title":"Canadian Journal of Cardiology","DOI":"10.1016/j.cjca.2016.01.036","ISSN":"0828282X","issue":"11","journalAbbreviation":"Canadian Journal of Cardiology","language":"en","page":"1316-1324","source":"DOI.org (Crossref)","title":"Sex Differences in Cardiac Rehabilitation Adherence: A Meta-analysis","title-short":"Sex Differences in Cardiac Rehabilitation Adherence","volume":"32","author":[{"family":"Oosenbrug","given":"Eric"},{"family":"Marinho","given":"Raquel Pedercini"},{"family":"Zhang","given":"Jie"},{"family":"Marzolini","given":"Susan"},{"family":"Colella","given":"Tracey J.F."},{"family":"Pakosh","given":"Maureen"},{"family":"Grace","given":"Sherry L."}],"issued":{"date-parts":[["2016",11]]}}},{"id":123,"uris":["http://zotero.org/users/6176940/items/X67LU7EU"],"uri":["http://zotero.org/users/6176940/items/X67LU7EU"],"itemData":{"id":123,"type":"article-journal","abstract":"BACKGROUND: Although evidence exists for the efficacy of cardiac rehabilitation programmes to reduce morbidity and mortality among patients with cardiovascular disease, cardiac rehabilitation programmes are underused. We aimed systematically to review the evidence from prospective cohort studies on factors associated with non-participation in and/or dropping out from cardiac rehabilitation programmes. METHODS: MedLine, Embase, Scopus, Open Grey and Cochrane Database were searched for relevant publications from inception to February 2018. Search terms included (a) coronary heart disease and other cardiac conditions; (b) cardiac rehabilitation and secondary prevention; and (c) non-participation in and/or dropout. Databases were searched following the PRISMA statement. Study selection, data extraction and the assessment of study quality were performed in duplicate. RESULTS: We selected 43 studies with a total of 63,425 patients from 10 different countries that met the inclusion criteria. Factors associated with non-participation in and dropout from cardiac rehabilitation were grouped into six broad categories: intrapersonal factors, clinical factors, interpersonal factors, logistical factors, cardiac rehabilitation programme factors and health system factors. We found that clinical factors, logistical factors and health system factors were the main factors assessed for non-participation in cardiac rehabilitation. We also found differences between the factors associated with non-participation and dropout. CONCLUSIONS: Several factors were determinant for non-participation in and dropout from cardiac rehabilitation. These findings could be useful to clinicians and policymakers for developing interventions aimed at improving participation and completion of cardiac rehabilitation, such as E-health or home-based delivery programmes. Trial Registration: International Prospective Register of Systematic Reviews (PROSPERO) identifier: CRD42016032973.","archive_location":"29909641","container-title":"Eur J Cardiovasc Nurs","DOI":"10.1177/1474515118783157","ISSN":"1474-5151","issue":"1","language":"eng","note":"edition: 2018/06/19","page":"38-47","source":"NLM","title":"Factors associated with non-participation in and dropout from cardiac rehabilitation programmes: a systematic review of prospective cohort studies","volume":"18","author":[{"family":"Resurreccion","given":"D. M."},{"family":"Moreno-Peral","given":"P."},{"family":"Gomez-Herranz","given":"M."},{"family":"Rubio-Valera","given":"M."},{"family":"Pastor","given":"L."},{"family":"Caldas de Almeida","given":"J. M."},{"family":"Motrico","given":"E."}],"issued":{"date-parts":[["2019",1]]}}},{"id":144,"uris":["http://zotero.org/users/6176940/items/BVYIIKBS"],"uri":["http://zotero.org/users/6176940/items/BVYIIKBS"],"itemData":{"id":144,"type":"article-journal","abstract":"OBJECTIVES: Cardiac rehabilitation (CR) programs have been shown to reduce mortality and morbidity rates among coronary heart disease patients, but adherence to these classes has been found to be poor. This review aims to summarize and integrate research findings investigating the possible sociodemographic, medical, and psychological variables that influence patient adherence to CR programs. It also aims to address the methodological failings of past reviews conducted in this area. METHODS: Several databases were systematically searched for studies published between 1990 and 2009. Studies examining CR program adherence or completion, using data based on participant's actual recorded attendance were included. RESULTS: Eighteen studies were identified that met inclusion criteria. Low mood, participant's age, and certain cardiac risk factors were found to be most consistently associated with poor adherence to CR. A good understanding of the consequences of heart disease was found to be associated with good adherence. Results were relatively inconsistent across studies because of differences in methods used. CONCLUSIONS: Certain risk factors for poor adherence to CR should be assessed and monitored by health professionals. Future studies should address the methodological difficulties present in previous research. Recommendations are made for standardizing methods in future research.","archive_location":"21076307","container-title":"J Cardiovasc Nurs","DOI":"10.1097/JCN.0b013e3181ef6b04","ISSN":"0889-4655","issue":"3","language":"eng","note":"edition: 2010/11/16","page":"202-9","source":"NLM","title":"Medical, psychological, and sociodemographic factors associated with adherence to cardiac rehabilitation programs: a systematic review","volume":"26","author":[{"family":"Taylor","given":"G. H."},{"family":"Wilson","given":"S. L."},{"family":"Sharp","given":"J."}],"issued":{"date-parts":[["2011",5]]}}},{"id":127,"uris":["http://zotero.org/users/6176940/items/PQ36K7PF"],"uri":["http://zotero.org/users/6176940/items/PQ36K7PF"],"itemData":{"id":127,"type":"article-journal","abstract":"Acute myocardial infarction (AMI) is an important health problem. Cardiac rehabilitation (CR) programs following AMI have shown to be effective in reducing mortality. We aim to systematically review the existing literature that analyzes the factors that affect participation and adherence to cardiac rehabilitation programs. We reviewed Medline, EMBASE and Cochrane databases from 01/01/2004 to June 2016 using predefined inclusion and exclusion criteria. We classified the results into factors affecting participation and factors influencing adherence to CR programs. We included 29 studies, and there was a general agreement in those factors predicting participation and adherence to CR programs. These factors can be classified into person-related factors and aspects related to CR programs. Older participants, women, patients with comorbidities, unemployed and uncoupled persons, less educated people and those with lower income had a lower participation. A similar pattern was observed for CR adherence. Also, those potential participants who live farther from CR facilities, do not have transportation, or do not drive, attended less to CR programs. These factors were very similar when analyzing adherence to CR programs. These aspects were similar in Europe and the USA. These results clearly show that participation in CR programs follows a determined pattern that is very homogeneous in different settings. Health professionals should also be aware of patients reluctant to participate in CR programs and adapt their messages and redesign CR programs, to promote participation and adherence.","archive":"PubMed","archive_location":"27557484","container-title":"International journal of cardiology","DOI":"10.1016/j.ijcard.2016.08.120","ISSN":"1874-1754","journalAbbreviation":"Int J Cardiol","language":"eng","note":"edition: 2016/08/13","page":"436-443","title":"Participation and adherence to cardiac rehabilitation programs. A systematic review","volume":"223","author":[{"family":"Ruano-Ravina","given":"Alberto"},{"family":"Pena-Gil","given":"Carlos"},{"family":"Abu-Assi","given":"Emad"},{"family":"Raposeiras","given":"Sergio"},{"family":"Hof","given":"Arnoud","non-dropping-particle":"van 't"},{"family":"Meindersma","given":"Esther"},{"family":"Bossano Prescott","given":"Eva Irene"},{"family":"González-Juanatey","given":"Jose Ramón"}],"issued":{"date-parts":[["2016"]]}}}],"schema":"https://github.com/citation-style-language/schema/raw/master/csl-citation.json"} </w:instrText>
      </w:r>
      <w:r w:rsidR="001E4473" w:rsidRPr="00DA27E1">
        <w:rPr>
          <w:rFonts w:cs="Times New Roman"/>
          <w:szCs w:val="24"/>
          <w:lang w:val="en-GB"/>
        </w:rPr>
        <w:fldChar w:fldCharType="separate"/>
      </w:r>
      <w:r w:rsidR="00EA059B" w:rsidRPr="00DA27E1">
        <w:rPr>
          <w:rFonts w:cs="Times New Roman"/>
          <w:szCs w:val="24"/>
          <w:lang w:val="en-GB"/>
        </w:rPr>
        <w:t>(4,10–13)</w:t>
      </w:r>
      <w:r w:rsidR="001E4473" w:rsidRPr="00DA27E1">
        <w:rPr>
          <w:rFonts w:cs="Times New Roman"/>
          <w:szCs w:val="24"/>
          <w:lang w:val="en-GB"/>
        </w:rPr>
        <w:fldChar w:fldCharType="end"/>
      </w:r>
      <w:r w:rsidR="00D57276" w:rsidRPr="00DA27E1">
        <w:rPr>
          <w:rFonts w:cs="Times New Roman"/>
          <w:szCs w:val="24"/>
          <w:lang w:val="en-GB"/>
        </w:rPr>
        <w:t xml:space="preserve"> </w:t>
      </w:r>
      <w:r w:rsidRPr="00DA27E1">
        <w:rPr>
          <w:rFonts w:cs="Times New Roman"/>
          <w:szCs w:val="24"/>
          <w:lang w:val="en-GB"/>
        </w:rPr>
        <w:t>is, to our knowledge, not available for exCR - or for other patient groups.</w:t>
      </w:r>
    </w:p>
    <w:p w14:paraId="73CA7B8D" w14:textId="1DE74669" w:rsidR="00171DD5" w:rsidRPr="00DA27E1" w:rsidRDefault="0073249F" w:rsidP="0073249F">
      <w:pPr>
        <w:spacing w:line="480" w:lineRule="auto"/>
        <w:rPr>
          <w:rFonts w:cs="Times New Roman"/>
          <w:szCs w:val="24"/>
          <w:lang w:val="en-GB"/>
        </w:rPr>
      </w:pPr>
      <w:r w:rsidRPr="00DA27E1">
        <w:rPr>
          <w:rFonts w:cs="Times New Roman"/>
          <w:szCs w:val="24"/>
          <w:lang w:val="en-GB"/>
        </w:rPr>
        <w:t xml:space="preserve">Several studies have provided knowledge on how to promote enrolment in cardiac rehabilitation, but how to decrease dropout from the program are still needed </w:t>
      </w:r>
      <w:r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b58fx7nq","properties":{"formattedCitation":"(19)","plainCitation":"(19)","noteIndex":0},"citationItems":[{"id":133,"uris":["http://zotero.org/users/6176940/items/AZBRPITP"],"uri":["http://zotero.org/users/6176940/items/AZBRPITP"],"itemData":{"id":133,"type":"article-journal","abstract":"BACKGROUND: International clinical practice guidelines routinely recommend that cardiac patients participate in rehabilitation programmes for comprehensive secondary prevention. However, data show that only a small proportion of these patients utilise rehabilitation. OBJECTIVES: First, to assess interventions provided to increase patient enrolment in, adherence to, and completion of cardiac rehabilitation. Second, to assess intervention costs and associated harms, as well as interventions intended to promote equitable CR utilisation in vulnerable patient subpopulations. SEARCH METHODS: Review authors performed a search on 10 July 2018, to identify studies published since publication of the previous systematic review. We searched the Cochrane Central Register of Controlled Trials (CENTRAL); the National Health Service (NHS) Centre for Reviews and Dissemination (CRD) databases (Health Technology Assessment (HTA) and Database of Abstracts of Reviews of Effects (DARE)), in the Cochrane Library (Wiley); MEDLINE (Ovid); Embase (Elsevier); the Cumulative Index to Nursing and Allied Health Literature (CINAHL) (EBSCOhost); and Conference Proceedings Citation Index - Science (CPCI-S) on Web of Science (Clarivate Analytics). We checked the reference lists of relevant systematic reviews for additional studies and also searched two clinical trial registers. We applied no language restrictions. SELECTION CRITERIA: We included randomised controlled trials (RCTs) in adults with myocardial infarction, with angina, undergoing coronary artery bypass graft surgery or percutaneous coronary intervention, or with heart failure who were eligible for cardiac rehabilitation. Interventions had to aim to increase utilisation of comprehensive phase II cardiac rehabilitation. We included only studies that measured one or more of our primary outcomes. Secondary outcomes were harms and costs, and we focused on equity. DATA COLLECTION AND ANALYSIS: Two review authors independently screened the titles and abstracts of all identified references for eligibility, and we obtained full papers of potentially relevant trials. Two review authors independently considered these trials for inclusion, assessed included studies for risk of bias, and extracted trial data independently. We resolved disagreements through consultation with a third review author. We performed random-effects meta-regression for each outcome and explored prespecified study characteristics. MAIN RESULTS: Overall, we included 26 studies with 5299 participants (29 comparisons). Participants were primarily male (64.2%). Ten (38.5%) studies included patients with heart failure. We assessed most studies as having low or unclear risk of bias. Sixteen studies (3164 participants) reported interventions to improve enrolment in cardiac rehabilitation, 11 studies (2319 participants) reported interventions to improve adherence to cardiac rehabilitation, and seven studies (1567 participants) reported interventions to increase programme completion. Researchers tested a variety of interventions to increase utilisation of cardiac rehabilitation. In many studies, this consisted of contacts made by a healthcare provider during or shortly after an acute care hospitalisation.Low-quality evidence shows an effect of interventions on increasing programme enrolment (19 comparisons; risk ratio (RR) 1.27, 95% confidence interval (CI) 1.13 to 1.42). Meta-regression revealed that the intervention deliverer (nurse or allied healthcare provider; P = 0.02) and the delivery format (face-to-face; P = 0.01) were influential in increasing enrolment. Low-quality evidence shows interventions to increase adherence were effective (nine comparisons; standardised mean difference (SMD) 0.38, 95% CI 0.20 to 0.55), particularly when they were delivered remotely, such as in home-based programs (SMD 0.56, 95% CI 0.37 to 0.76). Moderate-quality evidence shows interventions to increase programme completion were also effective (eight comparisons; RR 1.13, 95% CI 1.02 to 1.25), but those applied in multi-centre studies were less effective than those given in single-centre studies, leading to questions regarding generalisability. A moderate level of statistical heterogeneity across intervention studies reflects heterogeneity in intervention approaches. There was no evidence of small-study bias for enrolment (insufficient studies to test for this in the other outcomes).With regard to secondary outcomes, no studies reported on harms associated with the interventions. Only two studies reported costs. In terms of equity, trialists tested interventions designed to improve utilisation among women and older patients. Evidence is insufficient for quantitative assessment of whether women-tailored programmes were associated with increased utilisation, and studies that assess motivating women are needed. For older participants, again while quantitative assessment could not be undertaken, peer navigation may improve enrolment. AUTHORS' CONCLUSIONS: Interventions may increase cardiac rehabilitation enrolment, adherence and completion; however the quality of evidence was low to moderate due to heterogeneity of the interventions used, among other factors. Effects on enrolment were larger in studies targeting healthcare providers, training nurses, or allied healthcare providers to intervene face-to-face; effects on adherence were larger in studies that tested remote interventions. More research is needed, particularly to discover the best ways to increase programme completion.","archive_location":"30706942","container-title":"Cochrane Database Syst Rev","DOI":"10.1002/14651858.CD007131.pub4","ISSN":"1469-493X (Electronic) 1361-6137 (Linking)","note":"edition: 2019/02/02","page":"CD007131","title":"Interventions to promote patient utilisation of cardiac rehabilitation","volume":"2","author":[{"family":"Santiago de Araujo Pio","given":"C."},{"family":"Chaves","given":"G. S."},{"family":"Davies","given":"P."},{"family":"Taylor","given":"R. S."},{"family":"Grace","given":"S. L."}],"issued":{"date-parts":[["2019",2,1]]}}}],"schema":"https://github.com/citation-style-language/schema/raw/master/csl-citation.json"} </w:instrText>
      </w:r>
      <w:r w:rsidRPr="00DA27E1">
        <w:rPr>
          <w:rFonts w:cs="Times New Roman"/>
          <w:szCs w:val="24"/>
          <w:lang w:val="en-GB"/>
        </w:rPr>
        <w:fldChar w:fldCharType="separate"/>
      </w:r>
      <w:r w:rsidR="00EA059B" w:rsidRPr="00DA27E1">
        <w:rPr>
          <w:rFonts w:cs="Times New Roman"/>
          <w:lang w:val="en-GB"/>
        </w:rPr>
        <w:t>(19)</w:t>
      </w:r>
      <w:r w:rsidRPr="00DA27E1">
        <w:rPr>
          <w:rFonts w:cs="Times New Roman"/>
          <w:szCs w:val="24"/>
          <w:lang w:val="en-GB"/>
        </w:rPr>
        <w:fldChar w:fldCharType="end"/>
      </w:r>
      <w:r w:rsidRPr="00DA27E1">
        <w:rPr>
          <w:rFonts w:cs="Times New Roman"/>
          <w:szCs w:val="24"/>
          <w:lang w:val="en-GB"/>
        </w:rPr>
        <w:t xml:space="preserve">. </w:t>
      </w:r>
      <w:r w:rsidR="006E61F8" w:rsidRPr="00DA27E1">
        <w:rPr>
          <w:rFonts w:cs="Times New Roman"/>
          <w:szCs w:val="28"/>
          <w:lang w:val="en-GB"/>
        </w:rPr>
        <w:t xml:space="preserve">Yet this is </w:t>
      </w:r>
      <w:r w:rsidR="00D82CCB" w:rsidRPr="00DA27E1">
        <w:rPr>
          <w:rFonts w:cs="Times New Roman"/>
          <w:szCs w:val="28"/>
          <w:lang w:val="en-GB"/>
        </w:rPr>
        <w:t xml:space="preserve">of importance to support </w:t>
      </w:r>
      <w:r w:rsidR="00A97C1D" w:rsidRPr="00DA27E1">
        <w:rPr>
          <w:rFonts w:cs="Times New Roman"/>
          <w:szCs w:val="28"/>
          <w:lang w:val="en-GB"/>
        </w:rPr>
        <w:t xml:space="preserve">development of </w:t>
      </w:r>
      <w:r w:rsidR="00D82CCB" w:rsidRPr="00DA27E1">
        <w:rPr>
          <w:rFonts w:cs="Times New Roman"/>
          <w:szCs w:val="28"/>
          <w:lang w:val="en-GB"/>
        </w:rPr>
        <w:t xml:space="preserve">organizational strategies to </w:t>
      </w:r>
      <w:r w:rsidR="00A97C1D" w:rsidRPr="00DA27E1">
        <w:rPr>
          <w:rFonts w:cs="Times New Roman"/>
          <w:szCs w:val="28"/>
          <w:lang w:val="en-GB"/>
        </w:rPr>
        <w:t>increase</w:t>
      </w:r>
      <w:r w:rsidR="00D82CCB" w:rsidRPr="00DA27E1">
        <w:rPr>
          <w:rFonts w:cs="Times New Roman"/>
          <w:szCs w:val="28"/>
          <w:lang w:val="en-GB"/>
        </w:rPr>
        <w:t xml:space="preserve"> patient participation</w:t>
      </w:r>
      <w:r w:rsidR="00A33030" w:rsidRPr="00DA27E1">
        <w:rPr>
          <w:rFonts w:cs="Times New Roman"/>
          <w:szCs w:val="28"/>
          <w:lang w:val="en-GB"/>
        </w:rPr>
        <w:t xml:space="preserve"> and retention</w:t>
      </w:r>
      <w:r w:rsidR="00D82CCB" w:rsidRPr="00DA27E1">
        <w:rPr>
          <w:rFonts w:cs="Times New Roman"/>
          <w:szCs w:val="28"/>
          <w:lang w:val="en-GB"/>
        </w:rPr>
        <w:t xml:space="preserve"> in rehabilitation</w:t>
      </w:r>
      <w:r w:rsidR="006E61F8" w:rsidRPr="00DA27E1">
        <w:rPr>
          <w:rFonts w:cs="Times New Roman"/>
          <w:szCs w:val="28"/>
          <w:lang w:val="en-GB"/>
        </w:rPr>
        <w:t xml:space="preserve"> which</w:t>
      </w:r>
      <w:r w:rsidR="00AD3E54" w:rsidRPr="00DA27E1">
        <w:rPr>
          <w:rFonts w:cs="Times New Roman"/>
          <w:szCs w:val="28"/>
          <w:lang w:val="en-GB"/>
        </w:rPr>
        <w:t>,</w:t>
      </w:r>
      <w:r w:rsidR="00F725DA" w:rsidRPr="00DA27E1">
        <w:rPr>
          <w:rFonts w:cs="Times New Roman"/>
          <w:szCs w:val="28"/>
          <w:lang w:val="en-GB"/>
        </w:rPr>
        <w:t xml:space="preserve"> judging by the low completion rates in exCR</w:t>
      </w:r>
      <w:r w:rsidR="00AD3E54" w:rsidRPr="00DA27E1">
        <w:rPr>
          <w:rFonts w:cs="Times New Roman"/>
          <w:szCs w:val="28"/>
          <w:lang w:val="en-GB"/>
        </w:rPr>
        <w:t>,</w:t>
      </w:r>
      <w:r w:rsidR="00F725DA" w:rsidRPr="00DA27E1">
        <w:rPr>
          <w:rFonts w:cs="Times New Roman"/>
          <w:szCs w:val="28"/>
          <w:lang w:val="en-GB"/>
        </w:rPr>
        <w:t xml:space="preserve"> </w:t>
      </w:r>
      <w:r w:rsidR="00B20C2A" w:rsidRPr="00DA27E1">
        <w:rPr>
          <w:rFonts w:cs="Times New Roman"/>
          <w:szCs w:val="28"/>
          <w:lang w:val="en-GB"/>
        </w:rPr>
        <w:t>are</w:t>
      </w:r>
      <w:r w:rsidR="006E61F8" w:rsidRPr="00DA27E1">
        <w:rPr>
          <w:rFonts w:cs="Times New Roman"/>
          <w:szCs w:val="28"/>
          <w:lang w:val="en-GB"/>
        </w:rPr>
        <w:t xml:space="preserve"> highly </w:t>
      </w:r>
      <w:r w:rsidR="00B20C2A" w:rsidRPr="00DA27E1">
        <w:rPr>
          <w:rFonts w:cs="Times New Roman"/>
          <w:szCs w:val="28"/>
          <w:lang w:val="en-GB"/>
        </w:rPr>
        <w:t>needed</w:t>
      </w:r>
      <w:r w:rsidR="009E644B" w:rsidRPr="00DA27E1">
        <w:rPr>
          <w:rFonts w:cs="Times New Roman"/>
          <w:szCs w:val="28"/>
          <w:lang w:val="en-GB"/>
        </w:rPr>
        <w:t xml:space="preserve"> </w:t>
      </w:r>
      <w:r w:rsidR="009E644B" w:rsidRPr="00DA27E1">
        <w:rPr>
          <w:rFonts w:cs="Times New Roman"/>
          <w:szCs w:val="28"/>
          <w:lang w:val="en-GB"/>
        </w:rPr>
        <w:fldChar w:fldCharType="begin"/>
      </w:r>
      <w:r w:rsidR="00EA059B" w:rsidRPr="00DA27E1">
        <w:rPr>
          <w:rFonts w:cs="Times New Roman"/>
          <w:szCs w:val="28"/>
          <w:lang w:val="en-GB"/>
        </w:rPr>
        <w:instrText xml:space="preserve"> ADDIN ZOTERO_ITEM CSL_CITATION {"citationID":"QHy5N589","properties":{"formattedCitation":"(3,4)","plainCitation":"(3,4)","noteIndex":0},"citationItems":[{"id":24,"uris":["http://zotero.org/users/6176940/items/6W5JUUI8"],"uri":["http://zotero.org/users/6176940/items/6W5JUUI8"],"itemData":{"id":24,"type":"article-journal","abstract":"BACKGROUND: Cardiac rehabilitation (CR) programmes support patients to achieve professionally recommended cardiovascular prevention targets and thus good clinical status and improved quality of life and prognosis. Information on CR service delivery in Europe is sketchy. DESIGN: Postal survey of national CR-related organizations in European countries. METHODS: The European Cardiac Rehabilitation Inventory Survey assessed topics including national guidelines, legislation and funding mechanisms, phases of CR provided and characteristic of included patients. RESULTS: Responses were available for 28 of 39 (72%) countries; 61% had national CR associations; 57% national professional guidelines. Most countries (86%) had phase I (acute inhospital) CR, but with differing service availability. Only 29% reported provision to more than 80% patients. Phase II was also available, but 15 countries reported provision levels below 30%. Almost half (46%) had national legislation regarding phase II CR; three-quarters had government funding. Phase III was less supported: although available in most countries, 11 could not provide estimates of numbers participating. Thirteen reported that all costs were met by patients. CONCLUSION: Fewer than half of eligible cardiovascular patients benefit from CR in most European countries. Deficits include absent or inadequate legislation, funding, professional guidelines and information systems in many countries. Priorities for improvement include promoting national laws and guidelines specific for CR and increasing both CR programme participation rates and CR infrastructure. The European Association of Cardiovascular Prevention and Rehabilitation can have an important coordinating role in sharing expertise among national CR-related agencies. Ultimately, such cooperation can accelerate CR delivery to the benefit of cardiac patients across Europe.","archive_location":"20300001","container-title":"Eur J Cardiovasc Prev Rehabil","DOI":"10.1097/HJR.0b013e328334f42d","ISSN":"1741-8267","issue":"4","language":"eng","note":"edition: 2010/03/20","page":"410-8","source":"NLM","title":"Cardiac rehabilitation in Europe: results from the European Cardiac Rehabilitation Inventory Survey","volume":"17","author":[{"family":"Bjarnason-Wehrens","given":"B."},{"family":"McGee","given":"H."},{"family":"Zwisler","given":"A. D."},{"family":"Piepoli","given":"M. F."},{"family":"Benzer","given":"W."},{"family":"Schmid","given":"J. P."},{"family":"Dendale","given":"P."},{"family":"Pogosova","given":"N. G."},{"family":"Zdrenghea","given":"D."},{"family":"Niebauer","given":"J."},{"family":"Mendes","given":"M."}],"issued":{"date-parts":[["2010",8]]}}},{"id":30,"uris":["http://zotero.org/users/6176940/items/AUBRGJ4Z"],"uri":["http://zotero.org/users/6176940/items/AUBRGJ4Z"],"itemData":{"id":30,"type":"article-journal","language":"English","title":"The National Audit of Cardiac Rehabilitation | Quality and Outcomes Report 2018","URL":"https://www.bhf.org.uk/informationsupport/publications/statistics/national-audit-of-cardiac-rehabilitation-quality-and-outcomes-report-2018","author":[{"literal":"British Heart Foundation"}],"accessed":{"date-parts":[["2021",2,22]]},"issued":{"date-parts":[["2018"]]}}}],"schema":"https://github.com/citation-style-language/schema/raw/master/csl-citation.json"} </w:instrText>
      </w:r>
      <w:r w:rsidR="009E644B" w:rsidRPr="00DA27E1">
        <w:rPr>
          <w:rFonts w:cs="Times New Roman"/>
          <w:szCs w:val="28"/>
          <w:lang w:val="en-GB"/>
        </w:rPr>
        <w:fldChar w:fldCharType="separate"/>
      </w:r>
      <w:r w:rsidR="00EA059B" w:rsidRPr="00DA27E1">
        <w:rPr>
          <w:rFonts w:cs="Times New Roman"/>
          <w:lang w:val="en-GB"/>
        </w:rPr>
        <w:t>(3,4)</w:t>
      </w:r>
      <w:r w:rsidR="009E644B" w:rsidRPr="00DA27E1">
        <w:rPr>
          <w:rFonts w:cs="Times New Roman"/>
          <w:szCs w:val="28"/>
          <w:lang w:val="en-GB"/>
        </w:rPr>
        <w:fldChar w:fldCharType="end"/>
      </w:r>
      <w:r w:rsidR="00EE0C39" w:rsidRPr="00DA27E1">
        <w:rPr>
          <w:rFonts w:cs="Times New Roman"/>
          <w:szCs w:val="28"/>
          <w:lang w:val="en-GB"/>
        </w:rPr>
        <w:t>.</w:t>
      </w:r>
    </w:p>
    <w:p w14:paraId="3262448C" w14:textId="0FBA5D9F" w:rsidR="00A93DB0" w:rsidRPr="00DA27E1" w:rsidRDefault="00C22308" w:rsidP="003674D0">
      <w:pPr>
        <w:spacing w:line="480" w:lineRule="auto"/>
        <w:rPr>
          <w:rFonts w:cs="Times New Roman"/>
          <w:lang w:val="en-GB"/>
        </w:rPr>
      </w:pPr>
      <w:r w:rsidRPr="00DA27E1">
        <w:rPr>
          <w:rFonts w:cs="Times New Roman"/>
          <w:lang w:val="en-GB"/>
        </w:rPr>
        <w:t>The</w:t>
      </w:r>
      <w:r w:rsidR="0090263F" w:rsidRPr="00DA27E1">
        <w:rPr>
          <w:rFonts w:cs="Times New Roman"/>
          <w:lang w:val="en-GB"/>
        </w:rPr>
        <w:t xml:space="preserve"> </w:t>
      </w:r>
      <w:r w:rsidR="00025115" w:rsidRPr="00DA27E1">
        <w:rPr>
          <w:rFonts w:cs="Times New Roman"/>
          <w:lang w:val="en-GB"/>
        </w:rPr>
        <w:t xml:space="preserve">primary </w:t>
      </w:r>
      <w:r w:rsidR="0090263F" w:rsidRPr="00DA27E1">
        <w:rPr>
          <w:rFonts w:cs="Times New Roman"/>
          <w:lang w:val="en-GB"/>
        </w:rPr>
        <w:t>aim</w:t>
      </w:r>
      <w:r w:rsidRPr="00DA27E1">
        <w:rPr>
          <w:rFonts w:cs="Times New Roman"/>
          <w:lang w:val="en-GB"/>
        </w:rPr>
        <w:t xml:space="preserve"> of this study </w:t>
      </w:r>
      <w:r w:rsidR="00025115" w:rsidRPr="00DA27E1">
        <w:rPr>
          <w:rFonts w:cs="Times New Roman"/>
          <w:lang w:val="en-GB"/>
        </w:rPr>
        <w:t xml:space="preserve">was </w:t>
      </w:r>
      <w:r w:rsidR="00855B25" w:rsidRPr="00DA27E1">
        <w:rPr>
          <w:rFonts w:cs="Times New Roman"/>
          <w:lang w:val="en-GB"/>
        </w:rPr>
        <w:t xml:space="preserve">to </w:t>
      </w:r>
      <w:r w:rsidR="00BA2145" w:rsidRPr="00DA27E1">
        <w:rPr>
          <w:rFonts w:cs="Times New Roman"/>
          <w:lang w:val="en-GB"/>
        </w:rPr>
        <w:t xml:space="preserve">investigate </w:t>
      </w:r>
      <w:r w:rsidR="004B2DF5" w:rsidRPr="00DA27E1">
        <w:rPr>
          <w:rFonts w:cs="Times New Roman"/>
          <w:lang w:val="en-GB"/>
        </w:rPr>
        <w:t xml:space="preserve">the </w:t>
      </w:r>
      <w:r w:rsidR="002905DD" w:rsidRPr="00DA27E1">
        <w:rPr>
          <w:rFonts w:cs="Times New Roman"/>
          <w:lang w:val="en-GB"/>
        </w:rPr>
        <w:t>dropout</w:t>
      </w:r>
      <w:r w:rsidR="004B2DF5" w:rsidRPr="00DA27E1">
        <w:rPr>
          <w:rFonts w:cs="Times New Roman"/>
          <w:lang w:val="en-GB"/>
        </w:rPr>
        <w:t xml:space="preserve"> rate</w:t>
      </w:r>
      <w:r w:rsidR="002905DD" w:rsidRPr="00DA27E1">
        <w:rPr>
          <w:rFonts w:cs="Times New Roman"/>
          <w:lang w:val="en-GB"/>
        </w:rPr>
        <w:t xml:space="preserve"> </w:t>
      </w:r>
      <w:r w:rsidR="00D47B9C" w:rsidRPr="00DA27E1">
        <w:rPr>
          <w:rFonts w:cs="Times New Roman"/>
          <w:lang w:val="en-GB"/>
        </w:rPr>
        <w:t>during</w:t>
      </w:r>
      <w:r w:rsidR="008E7416" w:rsidRPr="00DA27E1">
        <w:rPr>
          <w:rFonts w:cs="Times New Roman"/>
          <w:lang w:val="en-GB"/>
        </w:rPr>
        <w:t xml:space="preserve"> a</w:t>
      </w:r>
      <w:r w:rsidR="00C579F6" w:rsidRPr="00DA27E1">
        <w:rPr>
          <w:rFonts w:cs="Times New Roman"/>
          <w:lang w:val="en-GB"/>
        </w:rPr>
        <w:t xml:space="preserve"> </w:t>
      </w:r>
      <w:r w:rsidR="00E53B98" w:rsidRPr="00DA27E1">
        <w:rPr>
          <w:rFonts w:cs="Times New Roman"/>
          <w:lang w:val="en-GB"/>
        </w:rPr>
        <w:t>12-week</w:t>
      </w:r>
      <w:r w:rsidR="00855B25" w:rsidRPr="00DA27E1">
        <w:rPr>
          <w:rFonts w:cs="Times New Roman"/>
          <w:lang w:val="en-GB"/>
        </w:rPr>
        <w:t xml:space="preserve"> </w:t>
      </w:r>
      <w:r w:rsidR="00B40822" w:rsidRPr="00DA27E1">
        <w:rPr>
          <w:rFonts w:cs="Times New Roman"/>
          <w:lang w:val="en-GB"/>
        </w:rPr>
        <w:t xml:space="preserve">transitional </w:t>
      </w:r>
      <w:r w:rsidR="00855B25" w:rsidRPr="00DA27E1">
        <w:rPr>
          <w:rFonts w:cs="Times New Roman"/>
          <w:lang w:val="en-GB"/>
        </w:rPr>
        <w:t>exCR</w:t>
      </w:r>
      <w:r w:rsidR="00D47B9C" w:rsidRPr="00DA27E1">
        <w:rPr>
          <w:rFonts w:cs="Times New Roman"/>
          <w:lang w:val="en-GB"/>
        </w:rPr>
        <w:t xml:space="preserve"> </w:t>
      </w:r>
      <w:r w:rsidR="00404222" w:rsidRPr="00DA27E1">
        <w:rPr>
          <w:rFonts w:cs="Times New Roman"/>
          <w:lang w:val="en-GB"/>
        </w:rPr>
        <w:t xml:space="preserve">program </w:t>
      </w:r>
      <w:r w:rsidR="00023763" w:rsidRPr="00DA27E1">
        <w:rPr>
          <w:rFonts w:cs="Times New Roman"/>
          <w:lang w:val="en-GB"/>
        </w:rPr>
        <w:t xml:space="preserve">with a special focus on the </w:t>
      </w:r>
      <w:r w:rsidR="004B2DF5" w:rsidRPr="00DA27E1">
        <w:rPr>
          <w:rFonts w:cs="Times New Roman"/>
          <w:lang w:val="en-GB"/>
        </w:rPr>
        <w:t>transition</w:t>
      </w:r>
      <w:r w:rsidR="00023763" w:rsidRPr="00DA27E1">
        <w:rPr>
          <w:rFonts w:cs="Times New Roman"/>
          <w:lang w:val="en-GB"/>
        </w:rPr>
        <w:t xml:space="preserve"> phase </w:t>
      </w:r>
      <w:r w:rsidR="00025115" w:rsidRPr="00DA27E1">
        <w:rPr>
          <w:rFonts w:cs="Times New Roman"/>
          <w:lang w:val="en-GB"/>
        </w:rPr>
        <w:t xml:space="preserve">between hospital and municipalities </w:t>
      </w:r>
      <w:r w:rsidR="00DB263E" w:rsidRPr="00DA27E1">
        <w:rPr>
          <w:rFonts w:cs="Times New Roman"/>
          <w:lang w:val="en-GB"/>
        </w:rPr>
        <w:t>occurring</w:t>
      </w:r>
      <w:r w:rsidR="00B40822" w:rsidRPr="00DA27E1">
        <w:rPr>
          <w:rFonts w:cs="Times New Roman"/>
          <w:lang w:val="en-GB"/>
        </w:rPr>
        <w:t xml:space="preserve"> halfway </w:t>
      </w:r>
      <w:r w:rsidR="00766E87" w:rsidRPr="00DA27E1">
        <w:rPr>
          <w:rFonts w:cs="Times New Roman"/>
          <w:lang w:val="en-GB"/>
        </w:rPr>
        <w:t>through</w:t>
      </w:r>
      <w:r w:rsidR="00B40822" w:rsidRPr="00DA27E1">
        <w:rPr>
          <w:rFonts w:cs="Times New Roman"/>
          <w:lang w:val="en-GB"/>
        </w:rPr>
        <w:t xml:space="preserve"> the program</w:t>
      </w:r>
      <w:r w:rsidRPr="00DA27E1">
        <w:rPr>
          <w:rFonts w:cs="Times New Roman"/>
          <w:lang w:val="en-GB"/>
        </w:rPr>
        <w:t xml:space="preserve">. </w:t>
      </w:r>
      <w:r w:rsidR="00B40822" w:rsidRPr="00DA27E1">
        <w:rPr>
          <w:rFonts w:cs="Times New Roman"/>
          <w:lang w:val="en-GB"/>
        </w:rPr>
        <w:t xml:space="preserve">Secondly, </w:t>
      </w:r>
      <w:r w:rsidRPr="00DA27E1">
        <w:rPr>
          <w:rFonts w:cs="Times New Roman"/>
          <w:lang w:val="en-GB"/>
        </w:rPr>
        <w:t xml:space="preserve">to investigate </w:t>
      </w:r>
      <w:r w:rsidR="009B2CCE" w:rsidRPr="00DA27E1">
        <w:rPr>
          <w:rFonts w:cs="Times New Roman"/>
          <w:lang w:val="en-GB"/>
        </w:rPr>
        <w:t>patient characteristic</w:t>
      </w:r>
      <w:r w:rsidR="008C1475" w:rsidRPr="00DA27E1">
        <w:rPr>
          <w:rFonts w:cs="Times New Roman"/>
          <w:lang w:val="en-GB"/>
        </w:rPr>
        <w:t>s associated with dropout at</w:t>
      </w:r>
      <w:r w:rsidR="009B2CCE" w:rsidRPr="00DA27E1">
        <w:rPr>
          <w:rFonts w:cs="Times New Roman"/>
          <w:lang w:val="en-GB"/>
        </w:rPr>
        <w:t xml:space="preserve"> the </w:t>
      </w:r>
      <w:r w:rsidR="00B721A4" w:rsidRPr="00DA27E1">
        <w:rPr>
          <w:rFonts w:cs="Times New Roman"/>
          <w:lang w:val="en-GB"/>
        </w:rPr>
        <w:t>transition</w:t>
      </w:r>
      <w:r w:rsidR="00CD47BC" w:rsidRPr="00DA27E1">
        <w:rPr>
          <w:rFonts w:cs="Times New Roman"/>
          <w:lang w:val="en-GB"/>
        </w:rPr>
        <w:t xml:space="preserve"> phase</w:t>
      </w:r>
      <w:r w:rsidR="00D47B9C" w:rsidRPr="00DA27E1">
        <w:rPr>
          <w:rFonts w:cs="Times New Roman"/>
          <w:lang w:val="en-GB"/>
        </w:rPr>
        <w:t>.</w:t>
      </w:r>
      <w:r w:rsidR="003433EF" w:rsidRPr="00DA27E1">
        <w:rPr>
          <w:rFonts w:cs="Times New Roman"/>
          <w:szCs w:val="24"/>
          <w:lang w:val="en-GB"/>
        </w:rPr>
        <w:t xml:space="preserve"> </w:t>
      </w:r>
      <w:r w:rsidR="00E53B98" w:rsidRPr="00DA27E1">
        <w:rPr>
          <w:rFonts w:cs="Times New Roman"/>
          <w:szCs w:val="24"/>
          <w:lang w:val="en-GB"/>
        </w:rPr>
        <w:t>The</w:t>
      </w:r>
      <w:r w:rsidR="003433EF" w:rsidRPr="00DA27E1">
        <w:rPr>
          <w:rFonts w:cs="Times New Roman"/>
          <w:szCs w:val="24"/>
          <w:lang w:val="en-GB"/>
        </w:rPr>
        <w:t xml:space="preserve"> hypothesis</w:t>
      </w:r>
      <w:r w:rsidR="00E53B98" w:rsidRPr="00DA27E1">
        <w:rPr>
          <w:rFonts w:cs="Times New Roman"/>
          <w:szCs w:val="24"/>
          <w:lang w:val="en-GB"/>
        </w:rPr>
        <w:t xml:space="preserve"> </w:t>
      </w:r>
      <w:r w:rsidR="00730A56" w:rsidRPr="00DA27E1">
        <w:rPr>
          <w:rFonts w:cs="Times New Roman"/>
          <w:szCs w:val="24"/>
          <w:lang w:val="en-GB"/>
        </w:rPr>
        <w:t>was</w:t>
      </w:r>
      <w:r w:rsidR="003433EF" w:rsidRPr="00DA27E1">
        <w:rPr>
          <w:rFonts w:cs="Times New Roman"/>
          <w:szCs w:val="24"/>
          <w:lang w:val="en-GB"/>
        </w:rPr>
        <w:t xml:space="preserve"> that the transition</w:t>
      </w:r>
      <w:r w:rsidR="00F725DA" w:rsidRPr="00DA27E1">
        <w:rPr>
          <w:rFonts w:cs="Times New Roman"/>
          <w:szCs w:val="24"/>
          <w:lang w:val="en-GB"/>
        </w:rPr>
        <w:t xml:space="preserve"> phase</w:t>
      </w:r>
      <w:r w:rsidR="002D4151" w:rsidRPr="00DA27E1">
        <w:rPr>
          <w:rFonts w:cs="Times New Roman"/>
          <w:szCs w:val="24"/>
          <w:lang w:val="en-GB"/>
        </w:rPr>
        <w:t xml:space="preserve"> </w:t>
      </w:r>
      <w:r w:rsidR="00F725DA" w:rsidRPr="00DA27E1">
        <w:rPr>
          <w:rFonts w:cs="Times New Roman"/>
          <w:szCs w:val="24"/>
          <w:lang w:val="en-GB"/>
        </w:rPr>
        <w:t>create</w:t>
      </w:r>
      <w:r w:rsidR="002310FC" w:rsidRPr="00DA27E1">
        <w:rPr>
          <w:rFonts w:cs="Times New Roman"/>
          <w:szCs w:val="24"/>
          <w:lang w:val="en-GB"/>
        </w:rPr>
        <w:t>s</w:t>
      </w:r>
      <w:r w:rsidR="00F725DA" w:rsidRPr="00DA27E1">
        <w:rPr>
          <w:rFonts w:cs="Times New Roman"/>
          <w:szCs w:val="24"/>
          <w:lang w:val="en-GB"/>
        </w:rPr>
        <w:t xml:space="preserve"> </w:t>
      </w:r>
      <w:r w:rsidR="004B2DF5" w:rsidRPr="00DA27E1">
        <w:rPr>
          <w:rFonts w:cs="Times New Roman"/>
          <w:szCs w:val="24"/>
          <w:lang w:val="en-GB"/>
        </w:rPr>
        <w:t xml:space="preserve">a critical </w:t>
      </w:r>
      <w:r w:rsidR="00A32211" w:rsidRPr="00DA27E1">
        <w:rPr>
          <w:rFonts w:cs="Times New Roman"/>
          <w:szCs w:val="24"/>
          <w:lang w:val="en-GB"/>
        </w:rPr>
        <w:t>period</w:t>
      </w:r>
      <w:r w:rsidR="000F3144" w:rsidRPr="00DA27E1">
        <w:rPr>
          <w:rFonts w:cs="Times New Roman"/>
          <w:szCs w:val="24"/>
          <w:lang w:val="en-GB"/>
        </w:rPr>
        <w:t xml:space="preserve"> for dropout</w:t>
      </w:r>
      <w:r w:rsidR="006D73DD" w:rsidRPr="00DA27E1">
        <w:rPr>
          <w:rFonts w:cs="Times New Roman"/>
          <w:szCs w:val="24"/>
          <w:lang w:val="en-GB"/>
        </w:rPr>
        <w:t xml:space="preserve"> during the</w:t>
      </w:r>
      <w:r w:rsidR="000F3144" w:rsidRPr="00DA27E1">
        <w:rPr>
          <w:rFonts w:cs="Times New Roman"/>
          <w:szCs w:val="24"/>
          <w:lang w:val="en-GB"/>
        </w:rPr>
        <w:t xml:space="preserve"> </w:t>
      </w:r>
      <w:r w:rsidR="006D73DD" w:rsidRPr="00DA27E1">
        <w:rPr>
          <w:rFonts w:cs="Times New Roman"/>
          <w:szCs w:val="24"/>
          <w:lang w:val="en-GB"/>
        </w:rPr>
        <w:t xml:space="preserve">exCR </w:t>
      </w:r>
      <w:r w:rsidR="000B2051" w:rsidRPr="00DA27E1">
        <w:rPr>
          <w:rFonts w:cs="Times New Roman"/>
          <w:szCs w:val="24"/>
          <w:lang w:val="en-GB"/>
        </w:rPr>
        <w:t>program.</w:t>
      </w:r>
    </w:p>
    <w:p w14:paraId="29899F57" w14:textId="7CDF1570" w:rsidR="007A37ED" w:rsidRPr="00DA27E1" w:rsidRDefault="00473D72" w:rsidP="0094111C">
      <w:pPr>
        <w:spacing w:line="480" w:lineRule="auto"/>
        <w:rPr>
          <w:rFonts w:cs="Times New Roman"/>
          <w:lang w:val="en-GB"/>
        </w:rPr>
      </w:pPr>
      <w:r w:rsidRPr="00DA27E1">
        <w:rPr>
          <w:rFonts w:cs="Times New Roman"/>
          <w:b/>
          <w:sz w:val="28"/>
          <w:lang w:val="en-GB"/>
        </w:rPr>
        <w:t>Methods</w:t>
      </w:r>
    </w:p>
    <w:p w14:paraId="46E04A75" w14:textId="4FF18FB6" w:rsidR="00657F76" w:rsidRPr="00DA27E1" w:rsidRDefault="00657F76" w:rsidP="0094111C">
      <w:pPr>
        <w:spacing w:line="480" w:lineRule="auto"/>
        <w:rPr>
          <w:rFonts w:cs="Times New Roman"/>
          <w:b/>
          <w:lang w:val="en-GB"/>
        </w:rPr>
      </w:pPr>
      <w:bookmarkStart w:id="4" w:name="_Toc40367775"/>
      <w:bookmarkStart w:id="5" w:name="_Toc40368000"/>
      <w:bookmarkStart w:id="6" w:name="_Toc41990004"/>
      <w:r w:rsidRPr="00DA27E1">
        <w:rPr>
          <w:rFonts w:cs="Times New Roman"/>
          <w:b/>
          <w:lang w:val="en-GB"/>
        </w:rPr>
        <w:t>Design</w:t>
      </w:r>
      <w:bookmarkEnd w:id="4"/>
      <w:bookmarkEnd w:id="5"/>
      <w:bookmarkEnd w:id="6"/>
    </w:p>
    <w:p w14:paraId="3AB22CDA" w14:textId="40CAEA21" w:rsidR="0006300E" w:rsidRPr="00DA27E1" w:rsidRDefault="00380D1A" w:rsidP="0094111C">
      <w:pPr>
        <w:spacing w:line="480" w:lineRule="auto"/>
        <w:rPr>
          <w:rFonts w:cs="Times New Roman"/>
          <w:i/>
          <w:lang w:val="en-GB"/>
        </w:rPr>
      </w:pPr>
      <w:r w:rsidRPr="00DA27E1">
        <w:rPr>
          <w:rFonts w:cs="Times New Roman"/>
          <w:lang w:val="en-GB"/>
        </w:rPr>
        <w:t>The study was designed as a mixed-methods prospective cohort study using data from a clinical cohort coordinated by the Department of Physiotherapy and Occupational Therapy, Zealand University Hospital and conducted to explore overall completion rates in exCR.</w:t>
      </w:r>
      <w:r w:rsidRPr="00DA27E1">
        <w:rPr>
          <w:rFonts w:cs="Times New Roman"/>
          <w:i/>
          <w:lang w:val="en-GB"/>
        </w:rPr>
        <w:t xml:space="preserve"> </w:t>
      </w:r>
      <w:r w:rsidR="00501CAC" w:rsidRPr="00DA27E1">
        <w:rPr>
          <w:rFonts w:cs="Times New Roman"/>
          <w:lang w:val="en-GB"/>
        </w:rPr>
        <w:t xml:space="preserve">Study reporting </w:t>
      </w:r>
      <w:r w:rsidR="00907996" w:rsidRPr="00DA27E1">
        <w:rPr>
          <w:rFonts w:cs="Times New Roman"/>
          <w:lang w:val="en-GB"/>
        </w:rPr>
        <w:t xml:space="preserve">is </w:t>
      </w:r>
      <w:r w:rsidR="00501CAC" w:rsidRPr="00DA27E1">
        <w:rPr>
          <w:rFonts w:cs="Times New Roman"/>
          <w:lang w:val="en-GB"/>
        </w:rPr>
        <w:t xml:space="preserve">in </w:t>
      </w:r>
      <w:r w:rsidR="00286977" w:rsidRPr="00DA27E1">
        <w:rPr>
          <w:rFonts w:cs="Times New Roman"/>
          <w:lang w:val="en-GB"/>
        </w:rPr>
        <w:t>accordance</w:t>
      </w:r>
      <w:r w:rsidR="00907996" w:rsidRPr="00DA27E1">
        <w:rPr>
          <w:rFonts w:cs="Times New Roman"/>
          <w:lang w:val="en-GB"/>
        </w:rPr>
        <w:t xml:space="preserve"> </w:t>
      </w:r>
      <w:r w:rsidR="004338E7" w:rsidRPr="00DA27E1">
        <w:rPr>
          <w:rFonts w:cs="Times New Roman"/>
          <w:lang w:val="en-GB"/>
        </w:rPr>
        <w:t xml:space="preserve">with </w:t>
      </w:r>
      <w:r w:rsidR="00907996" w:rsidRPr="00DA27E1">
        <w:rPr>
          <w:rFonts w:cs="Times New Roman"/>
          <w:lang w:val="en-GB"/>
        </w:rPr>
        <w:t xml:space="preserve">the STROBE guidelines </w:t>
      </w:r>
      <w:r w:rsidR="00907996" w:rsidRPr="00DA27E1">
        <w:rPr>
          <w:rFonts w:cs="Times New Roman"/>
          <w:lang w:val="en-GB"/>
        </w:rPr>
        <w:fldChar w:fldCharType="begin"/>
      </w:r>
      <w:r w:rsidR="00EA059B" w:rsidRPr="00DA27E1">
        <w:rPr>
          <w:rFonts w:cs="Times New Roman"/>
          <w:lang w:val="en-GB"/>
        </w:rPr>
        <w:instrText xml:space="preserve"> ADDIN ZOTERO_ITEM CSL_CITATION {"citationID":"VvJM4CDk","properties":{"formattedCitation":"(20)","plainCitation":"(20)","noteIndex":0},"citationItems":[{"id":158,"uris":["http://zotero.org/users/6176940/items/W23GBBWC"],"uri":["http://zotero.org/users/6176940/items/W23GBBWC"],"itemData":{"id":158,"type":"article-journal","abstract":"Much biomedical research is observational. The reporting of such research is often inadequate, which hampers the assessment of its strengths and weaknesses and of a study's generalisability.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2-day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18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studies.","archive_location":"25046131","container-title":"Int J Surg","DOI":"10.1016/j.ijsu.2014.07.013","ISSN":"1743-9159","issue":"12","language":"eng","note":"edition: 2014/07/22","page":"1495-9","source":"NLM","title":"The Strengthening the Reporting of Observational Studies in Epidemiology (STROBE) Statement: guidelines for reporting observational studies","volume":"12","author":[{"family":"Elm","given":"E.","non-dropping-particle":"von"},{"family":"Altman","given":"D. G."},{"family":"Egger","given":"M."},{"family":"Pocock","given":"S. J."},{"family":"Gøtzsche","given":"P. C."},{"family":"Vandenbroucke","given":"J. P."}],"issued":{"date-parts":[["2014",12]]}}}],"schema":"https://github.com/citation-style-language/schema/raw/master/csl-citation.json"} </w:instrText>
      </w:r>
      <w:r w:rsidR="00907996" w:rsidRPr="00DA27E1">
        <w:rPr>
          <w:rFonts w:cs="Times New Roman"/>
          <w:lang w:val="en-GB"/>
        </w:rPr>
        <w:fldChar w:fldCharType="separate"/>
      </w:r>
      <w:r w:rsidR="00EA059B" w:rsidRPr="00DA27E1">
        <w:rPr>
          <w:rFonts w:cs="Times New Roman"/>
          <w:lang w:val="en-GB"/>
        </w:rPr>
        <w:t>(20)</w:t>
      </w:r>
      <w:r w:rsidR="00907996" w:rsidRPr="00DA27E1">
        <w:rPr>
          <w:rFonts w:cs="Times New Roman"/>
          <w:lang w:val="en-GB"/>
        </w:rPr>
        <w:fldChar w:fldCharType="end"/>
      </w:r>
      <w:r w:rsidR="00C41E49" w:rsidRPr="00DA27E1">
        <w:rPr>
          <w:rFonts w:cs="Times New Roman"/>
          <w:lang w:val="en-GB"/>
        </w:rPr>
        <w:t>.</w:t>
      </w:r>
      <w:bookmarkStart w:id="7" w:name="_Toc40367776"/>
      <w:bookmarkStart w:id="8" w:name="_Toc40368001"/>
    </w:p>
    <w:p w14:paraId="4F4E36A1" w14:textId="08ED0798" w:rsidR="007B026D" w:rsidRPr="00DA27E1" w:rsidRDefault="008936F5" w:rsidP="0094111C">
      <w:pPr>
        <w:spacing w:line="480" w:lineRule="auto"/>
        <w:rPr>
          <w:rFonts w:cs="Times New Roman"/>
          <w:lang w:val="en-GB"/>
        </w:rPr>
      </w:pPr>
      <w:r w:rsidRPr="00DA27E1">
        <w:rPr>
          <w:rFonts w:cs="Times New Roman"/>
          <w:lang w:val="en-GB"/>
        </w:rPr>
        <w:t>According to</w:t>
      </w:r>
      <w:r w:rsidR="008A2C70" w:rsidRPr="00DA27E1">
        <w:rPr>
          <w:rFonts w:cs="Times New Roman"/>
          <w:lang w:val="en-GB"/>
        </w:rPr>
        <w:t xml:space="preserve"> </w:t>
      </w:r>
      <w:r w:rsidR="007B026D" w:rsidRPr="00DA27E1">
        <w:rPr>
          <w:rFonts w:cs="Times New Roman"/>
          <w:lang w:val="en-GB"/>
        </w:rPr>
        <w:t>Danish law</w:t>
      </w:r>
      <w:r w:rsidR="00170551" w:rsidRPr="00DA27E1">
        <w:rPr>
          <w:rFonts w:cs="Times New Roman"/>
          <w:lang w:val="en-GB"/>
        </w:rPr>
        <w:t xml:space="preserve">, research </w:t>
      </w:r>
      <w:r w:rsidR="00286977" w:rsidRPr="00DA27E1">
        <w:rPr>
          <w:rFonts w:cs="Times New Roman"/>
          <w:lang w:val="en-GB"/>
        </w:rPr>
        <w:t>u</w:t>
      </w:r>
      <w:r w:rsidR="00501CAC" w:rsidRPr="00DA27E1">
        <w:rPr>
          <w:rFonts w:cs="Times New Roman"/>
          <w:lang w:val="en-GB"/>
        </w:rPr>
        <w:t xml:space="preserve">sing </w:t>
      </w:r>
      <w:r w:rsidR="00170551" w:rsidRPr="00DA27E1">
        <w:rPr>
          <w:rFonts w:cs="Times New Roman"/>
          <w:lang w:val="en-GB"/>
        </w:rPr>
        <w:t xml:space="preserve">questionnaires or </w:t>
      </w:r>
      <w:r w:rsidR="00E63B85" w:rsidRPr="00DA27E1">
        <w:rPr>
          <w:rFonts w:cs="Times New Roman"/>
          <w:lang w:val="en-GB"/>
        </w:rPr>
        <w:t>registry-based research w</w:t>
      </w:r>
      <w:r w:rsidR="00170551" w:rsidRPr="00DA27E1">
        <w:rPr>
          <w:rFonts w:cs="Times New Roman"/>
          <w:lang w:val="en-GB"/>
        </w:rPr>
        <w:t>ithout human biological material</w:t>
      </w:r>
      <w:r w:rsidR="007B026D" w:rsidRPr="00DA27E1">
        <w:rPr>
          <w:rFonts w:cs="Times New Roman"/>
          <w:lang w:val="en-GB"/>
        </w:rPr>
        <w:t xml:space="preserve"> does not require approval from an ethics committee</w:t>
      </w:r>
      <w:r w:rsidR="00170551" w:rsidRPr="00DA27E1">
        <w:rPr>
          <w:rFonts w:cs="Times New Roman"/>
          <w:lang w:val="en-GB"/>
        </w:rPr>
        <w:t xml:space="preserve"> </w:t>
      </w:r>
      <w:r w:rsidR="00170551" w:rsidRPr="00DA27E1">
        <w:rPr>
          <w:rFonts w:cs="Times New Roman"/>
          <w:lang w:val="en-GB"/>
        </w:rPr>
        <w:fldChar w:fldCharType="begin"/>
      </w:r>
      <w:r w:rsidR="00EA059B" w:rsidRPr="00DA27E1">
        <w:rPr>
          <w:rFonts w:cs="Times New Roman"/>
          <w:lang w:val="en-GB"/>
        </w:rPr>
        <w:instrText xml:space="preserve"> ADDIN ZOTERO_ITEM CSL_CITATION {"citationID":"pCbB1QdD","properties":{"formattedCitation":"(21)","plainCitation":"(21)","noteIndex":0},"citationItems":[{"id":125,"uris":["http://zotero.org/users/6176940/items/S6PJS29N"],"uri":["http://zotero.org/users/6176940/items/S6PJS29N"],"itemData":{"id":125,"type":"webpage","language":"Danish","title":"Komitéloven § 14 [Scientific Ethical Committees Act § 14]","URL":"https://www.retsinformation.dk/eli/lta/2017/1083","author":[{"literal":"Retsinformation"}],"accessed":{"date-parts":[["2021",2,22]]},"issued":{"date-parts":[["2020"]]}}}],"schema":"https://github.com/citation-style-language/schema/raw/master/csl-citation.json"} </w:instrText>
      </w:r>
      <w:r w:rsidR="00170551" w:rsidRPr="00DA27E1">
        <w:rPr>
          <w:rFonts w:cs="Times New Roman"/>
          <w:lang w:val="en-GB"/>
        </w:rPr>
        <w:fldChar w:fldCharType="separate"/>
      </w:r>
      <w:r w:rsidR="00EA059B" w:rsidRPr="00DA27E1">
        <w:rPr>
          <w:rFonts w:cs="Times New Roman"/>
          <w:lang w:val="en-GB"/>
        </w:rPr>
        <w:t>(21)</w:t>
      </w:r>
      <w:r w:rsidR="00170551" w:rsidRPr="00DA27E1">
        <w:rPr>
          <w:rFonts w:cs="Times New Roman"/>
          <w:lang w:val="en-GB"/>
        </w:rPr>
        <w:fldChar w:fldCharType="end"/>
      </w:r>
      <w:r w:rsidR="007B026D" w:rsidRPr="00DA27E1">
        <w:rPr>
          <w:rFonts w:cs="Times New Roman"/>
          <w:lang w:val="en-GB"/>
        </w:rPr>
        <w:t>; however, the study conformed to the principles of the Declaration of Helsinki. Written informed consent was collected, and all participants were</w:t>
      </w:r>
      <w:r w:rsidR="002B0A6E" w:rsidRPr="00DA27E1">
        <w:rPr>
          <w:rFonts w:cs="Times New Roman"/>
          <w:lang w:val="en-GB"/>
        </w:rPr>
        <w:t xml:space="preserve"> informed</w:t>
      </w:r>
      <w:r w:rsidR="007B026D" w:rsidRPr="00DA27E1">
        <w:rPr>
          <w:rFonts w:cs="Times New Roman"/>
          <w:lang w:val="en-GB"/>
        </w:rPr>
        <w:t xml:space="preserve"> both </w:t>
      </w:r>
      <w:r w:rsidR="002B0A6E" w:rsidRPr="00DA27E1">
        <w:rPr>
          <w:rFonts w:cs="Times New Roman"/>
          <w:lang w:val="en-GB"/>
        </w:rPr>
        <w:t>verbally and in writing</w:t>
      </w:r>
      <w:r w:rsidR="007B026D" w:rsidRPr="00DA27E1">
        <w:rPr>
          <w:rFonts w:cs="Times New Roman"/>
          <w:lang w:val="en-GB"/>
        </w:rPr>
        <w:t xml:space="preserve"> </w:t>
      </w:r>
      <w:r w:rsidR="00501CAC" w:rsidRPr="00DA27E1">
        <w:rPr>
          <w:rFonts w:cs="Times New Roman"/>
          <w:lang w:val="en-GB"/>
        </w:rPr>
        <w:t>and</w:t>
      </w:r>
      <w:r w:rsidR="007B026D" w:rsidRPr="00DA27E1">
        <w:rPr>
          <w:rFonts w:cs="Times New Roman"/>
          <w:lang w:val="en-GB"/>
        </w:rPr>
        <w:t xml:space="preserve"> could withdraw the</w:t>
      </w:r>
      <w:r w:rsidR="004E3FFE" w:rsidRPr="00DA27E1">
        <w:rPr>
          <w:rFonts w:cs="Times New Roman"/>
          <w:lang w:val="en-GB"/>
        </w:rPr>
        <w:t>ir</w:t>
      </w:r>
      <w:r w:rsidR="007B026D" w:rsidRPr="00DA27E1">
        <w:rPr>
          <w:rFonts w:cs="Times New Roman"/>
          <w:lang w:val="en-GB"/>
        </w:rPr>
        <w:t xml:space="preserve"> consent</w:t>
      </w:r>
      <w:r w:rsidR="004E3FFE" w:rsidRPr="00DA27E1">
        <w:rPr>
          <w:rFonts w:cs="Times New Roman"/>
          <w:lang w:val="en-GB"/>
        </w:rPr>
        <w:t xml:space="preserve"> at any time</w:t>
      </w:r>
      <w:r w:rsidR="007B026D" w:rsidRPr="00DA27E1">
        <w:rPr>
          <w:rFonts w:cs="Times New Roman"/>
          <w:lang w:val="en-GB"/>
        </w:rPr>
        <w:t xml:space="preserve">. The study </w:t>
      </w:r>
      <w:r w:rsidR="004E3FFE" w:rsidRPr="00DA27E1">
        <w:rPr>
          <w:rFonts w:cs="Times New Roman"/>
          <w:lang w:val="en-GB"/>
        </w:rPr>
        <w:t>was</w:t>
      </w:r>
      <w:r w:rsidR="007B026D" w:rsidRPr="00DA27E1">
        <w:rPr>
          <w:rFonts w:cs="Times New Roman"/>
          <w:lang w:val="en-GB"/>
        </w:rPr>
        <w:t xml:space="preserve"> approved by The Danish Data Protection Agency (REG-003-2018</w:t>
      </w:r>
      <w:r w:rsidR="00170551" w:rsidRPr="00DA27E1">
        <w:rPr>
          <w:rFonts w:cs="Times New Roman"/>
          <w:lang w:val="en-GB"/>
        </w:rPr>
        <w:t>).</w:t>
      </w:r>
    </w:p>
    <w:p w14:paraId="0686D9CD" w14:textId="7E5E43DE" w:rsidR="00564077" w:rsidRPr="00DA27E1" w:rsidRDefault="00CA6758" w:rsidP="0094111C">
      <w:pPr>
        <w:spacing w:line="480" w:lineRule="auto"/>
        <w:rPr>
          <w:rFonts w:cs="Times New Roman"/>
          <w:b/>
          <w:lang w:val="en-GB"/>
        </w:rPr>
      </w:pPr>
      <w:bookmarkStart w:id="9" w:name="_Toc41990005"/>
      <w:r w:rsidRPr="00DA27E1">
        <w:rPr>
          <w:rFonts w:cs="Times New Roman"/>
          <w:b/>
          <w:lang w:val="en-GB"/>
        </w:rPr>
        <w:t>Study population</w:t>
      </w:r>
      <w:bookmarkEnd w:id="7"/>
      <w:bookmarkEnd w:id="8"/>
      <w:bookmarkEnd w:id="9"/>
    </w:p>
    <w:p w14:paraId="25231A41" w14:textId="45910E25" w:rsidR="00E63B85" w:rsidRPr="00DA27E1" w:rsidRDefault="00474004" w:rsidP="0094111C">
      <w:pPr>
        <w:spacing w:line="480" w:lineRule="auto"/>
        <w:rPr>
          <w:rFonts w:cs="Times New Roman"/>
          <w:lang w:val="en-GB"/>
        </w:rPr>
      </w:pPr>
      <w:r w:rsidRPr="00DA27E1">
        <w:rPr>
          <w:rFonts w:cs="Times New Roman"/>
          <w:lang w:val="en-GB"/>
        </w:rPr>
        <w:t xml:space="preserve">The study population consisted of patients hospitalized at the Department of Cardiology, Zealand University Hospital and referred to exCR between 01.03.18 and 28.02.19. </w:t>
      </w:r>
      <w:r w:rsidR="00781626" w:rsidRPr="00DA27E1">
        <w:rPr>
          <w:rFonts w:cs="Times New Roman"/>
          <w:lang w:val="en-GB"/>
        </w:rPr>
        <w:t>Patients were hospitalized with either</w:t>
      </w:r>
      <w:r w:rsidR="008E7F85" w:rsidRPr="00DA27E1">
        <w:rPr>
          <w:rFonts w:cs="Times New Roman"/>
          <w:lang w:val="en-GB"/>
        </w:rPr>
        <w:t xml:space="preserve"> </w:t>
      </w:r>
      <w:r w:rsidR="008E7F85" w:rsidRPr="00DA27E1">
        <w:rPr>
          <w:rFonts w:cs="Times New Roman"/>
          <w:szCs w:val="28"/>
          <w:lang w:val="en-GB"/>
        </w:rPr>
        <w:t>coronary heart disease,</w:t>
      </w:r>
      <w:r w:rsidR="00781626" w:rsidRPr="00DA27E1">
        <w:rPr>
          <w:rFonts w:cs="Times New Roman"/>
          <w:lang w:val="en-GB"/>
        </w:rPr>
        <w:t xml:space="preserve"> </w:t>
      </w:r>
      <w:r w:rsidRPr="00DA27E1">
        <w:rPr>
          <w:rFonts w:cs="Times New Roman"/>
          <w:lang w:val="en-GB"/>
        </w:rPr>
        <w:t>heart valve surgery</w:t>
      </w:r>
      <w:r w:rsidR="00D02458" w:rsidRPr="00DA27E1">
        <w:rPr>
          <w:rFonts w:cs="Times New Roman"/>
          <w:lang w:val="en-GB"/>
        </w:rPr>
        <w:t xml:space="preserve"> or</w:t>
      </w:r>
      <w:r w:rsidRPr="00DA27E1">
        <w:rPr>
          <w:rFonts w:cs="Times New Roman"/>
          <w:lang w:val="en-GB"/>
        </w:rPr>
        <w:t xml:space="preserve"> heart failure.</w:t>
      </w:r>
      <w:r w:rsidR="00781626" w:rsidRPr="00DA27E1">
        <w:rPr>
          <w:rFonts w:cs="Times New Roman"/>
          <w:lang w:val="en-GB"/>
        </w:rPr>
        <w:t xml:space="preserve"> </w:t>
      </w:r>
      <w:r w:rsidR="003E54E8" w:rsidRPr="00DA27E1">
        <w:rPr>
          <w:rFonts w:cs="Times New Roman"/>
          <w:lang w:val="en-GB"/>
        </w:rPr>
        <w:t>Patients with physical or mental disabilities restricting them from participat</w:t>
      </w:r>
      <w:r w:rsidR="00C458D4" w:rsidRPr="00DA27E1">
        <w:rPr>
          <w:rFonts w:cs="Times New Roman"/>
          <w:lang w:val="en-GB"/>
        </w:rPr>
        <w:t>ing</w:t>
      </w:r>
      <w:r w:rsidR="00501CAC" w:rsidRPr="00DA27E1">
        <w:rPr>
          <w:rFonts w:cs="Times New Roman"/>
          <w:lang w:val="en-GB"/>
        </w:rPr>
        <w:t xml:space="preserve"> in exCR</w:t>
      </w:r>
      <w:r w:rsidR="00E60D6C" w:rsidRPr="00DA27E1">
        <w:rPr>
          <w:rFonts w:cs="Times New Roman"/>
          <w:lang w:val="en-GB"/>
        </w:rPr>
        <w:t xml:space="preserve"> were excluded. Patients never attending any of the scheduled supervised exercise sessions</w:t>
      </w:r>
      <w:r w:rsidR="003E54E8" w:rsidRPr="00DA27E1">
        <w:rPr>
          <w:rFonts w:cs="Times New Roman"/>
          <w:lang w:val="en-GB"/>
        </w:rPr>
        <w:t xml:space="preserve"> </w:t>
      </w:r>
      <w:r w:rsidR="005C095D" w:rsidRPr="00DA27E1">
        <w:rPr>
          <w:rFonts w:cs="Times New Roman"/>
          <w:lang w:val="en-GB"/>
        </w:rPr>
        <w:t>and</w:t>
      </w:r>
      <w:r w:rsidR="003E54E8" w:rsidRPr="00DA27E1">
        <w:rPr>
          <w:rFonts w:cs="Times New Roman"/>
          <w:lang w:val="en-GB"/>
        </w:rPr>
        <w:t xml:space="preserve"> patients without a telephone or unable to speak or understand Danish were excluded.</w:t>
      </w:r>
    </w:p>
    <w:p w14:paraId="69F5A4C7" w14:textId="7B05C930" w:rsidR="00CA6758" w:rsidRPr="00DA27E1" w:rsidRDefault="00181499" w:rsidP="0094111C">
      <w:pPr>
        <w:spacing w:line="480" w:lineRule="auto"/>
        <w:rPr>
          <w:rFonts w:cs="Times New Roman"/>
          <w:b/>
          <w:lang w:val="en-GB"/>
        </w:rPr>
      </w:pPr>
      <w:bookmarkStart w:id="10" w:name="_Toc40367777"/>
      <w:bookmarkStart w:id="11" w:name="_Toc40368002"/>
      <w:bookmarkStart w:id="12" w:name="_Toc41990006"/>
      <w:r w:rsidRPr="00DA27E1">
        <w:rPr>
          <w:rFonts w:cs="Times New Roman"/>
          <w:b/>
          <w:lang w:val="en-GB"/>
        </w:rPr>
        <w:t>Procedures</w:t>
      </w:r>
      <w:bookmarkEnd w:id="10"/>
      <w:bookmarkEnd w:id="11"/>
      <w:bookmarkEnd w:id="12"/>
    </w:p>
    <w:p w14:paraId="621C65D6" w14:textId="5BA434F9" w:rsidR="002D516A" w:rsidRPr="00DA27E1" w:rsidRDefault="000E69F3" w:rsidP="008D4E40">
      <w:pPr>
        <w:spacing w:after="0" w:line="480" w:lineRule="auto"/>
        <w:rPr>
          <w:rFonts w:cs="Times New Roman"/>
          <w:szCs w:val="24"/>
          <w:lang w:val="en-GB"/>
        </w:rPr>
      </w:pPr>
      <w:r w:rsidRPr="00DA27E1">
        <w:rPr>
          <w:rFonts w:cs="Times New Roman"/>
          <w:lang w:val="en-GB"/>
        </w:rPr>
        <w:t xml:space="preserve">All patients </w:t>
      </w:r>
      <w:r w:rsidRPr="00DA27E1">
        <w:rPr>
          <w:rStyle w:val="Strong"/>
          <w:rFonts w:cs="Times New Roman"/>
          <w:b w:val="0"/>
          <w:bCs w:val="0"/>
          <w:shd w:val="clear" w:color="auto" w:fill="FFFFFF"/>
          <w:lang w:val="en-GB"/>
        </w:rPr>
        <w:t xml:space="preserve">attended a preliminary examination with a physiotherapist, </w:t>
      </w:r>
      <w:r w:rsidRPr="00DA27E1">
        <w:rPr>
          <w:rFonts w:cs="Times New Roman"/>
          <w:lang w:val="en-GB"/>
        </w:rPr>
        <w:t xml:space="preserve">one to two weeks after </w:t>
      </w:r>
      <w:r w:rsidRPr="00DA27E1">
        <w:rPr>
          <w:rFonts w:cs="Times New Roman"/>
          <w:szCs w:val="24"/>
          <w:lang w:val="en-GB"/>
        </w:rPr>
        <w:t>hospital discharge.</w:t>
      </w:r>
      <w:r w:rsidR="008D4E40" w:rsidRPr="00DA27E1">
        <w:rPr>
          <w:rFonts w:cs="Times New Roman"/>
          <w:szCs w:val="24"/>
          <w:lang w:val="en-GB"/>
        </w:rPr>
        <w:t xml:space="preserve"> </w:t>
      </w:r>
      <w:r w:rsidRPr="00DA27E1">
        <w:rPr>
          <w:rFonts w:cs="Times New Roman"/>
          <w:szCs w:val="24"/>
          <w:lang w:val="en-GB"/>
        </w:rPr>
        <w:t>After the examination</w:t>
      </w:r>
      <w:r w:rsidR="006513F8" w:rsidRPr="00DA27E1">
        <w:rPr>
          <w:rFonts w:cs="Times New Roman"/>
          <w:szCs w:val="24"/>
          <w:lang w:val="en-GB"/>
        </w:rPr>
        <w:t>,</w:t>
      </w:r>
      <w:r w:rsidRPr="00DA27E1">
        <w:rPr>
          <w:rFonts w:cs="Times New Roman"/>
          <w:szCs w:val="24"/>
          <w:lang w:val="en-GB"/>
        </w:rPr>
        <w:t xml:space="preserve"> patients were invited to participate in a 12-week standardized</w:t>
      </w:r>
      <w:r w:rsidR="00283502" w:rsidRPr="00DA27E1">
        <w:rPr>
          <w:rFonts w:cs="Times New Roman"/>
          <w:szCs w:val="24"/>
          <w:lang w:val="en-GB"/>
        </w:rPr>
        <w:t xml:space="preserve"> transitional</w:t>
      </w:r>
      <w:r w:rsidRPr="00DA27E1">
        <w:rPr>
          <w:rFonts w:cs="Times New Roman"/>
          <w:szCs w:val="24"/>
          <w:lang w:val="en-GB"/>
        </w:rPr>
        <w:t xml:space="preserve"> exCR </w:t>
      </w:r>
      <w:r w:rsidR="00C458D4" w:rsidRPr="00DA27E1">
        <w:rPr>
          <w:rFonts w:cs="Times New Roman"/>
          <w:szCs w:val="24"/>
          <w:lang w:val="en-GB"/>
        </w:rPr>
        <w:t>program</w:t>
      </w:r>
      <w:r w:rsidR="00501CAC" w:rsidRPr="00DA27E1">
        <w:rPr>
          <w:rFonts w:cs="Times New Roman"/>
          <w:szCs w:val="24"/>
          <w:lang w:val="en-GB"/>
        </w:rPr>
        <w:t xml:space="preserve"> </w:t>
      </w:r>
      <w:r w:rsidR="00D36AE0" w:rsidRPr="00DA27E1">
        <w:rPr>
          <w:rFonts w:cs="Times New Roman"/>
          <w:szCs w:val="24"/>
          <w:lang w:val="en-GB"/>
        </w:rPr>
        <w:t>based on</w:t>
      </w:r>
      <w:r w:rsidRPr="00DA27E1">
        <w:rPr>
          <w:rFonts w:cs="Times New Roman"/>
          <w:szCs w:val="24"/>
          <w:lang w:val="en-GB"/>
        </w:rPr>
        <w:t xml:space="preserve"> national clinical guidelines </w:t>
      </w:r>
      <w:r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gYUlm2ul","properties":{"formattedCitation":"(22)","plainCitation":"(22)","noteIndex":0},"citationItems":[{"id":141,"uris":["http://zotero.org/users/6176940/items/N748V2N2"],"uri":["http://zotero.org/users/6176940/items/N748V2N2"],"itemData":{"id":141,"type":"webpage","language":"Danish","note":"ISBN: 978-87-7104-527-7","title":"National klinisk retningslinje for hjerterehabilitering [National Clinical Guideline for Cardiac Rehabilitation]","URL":"https://www.sst.dk/da/udgivelser/2015/~/media/401919781C684EE9AAE544EB5E76847B.ashx","author":[{"literal":"Sundhedsstyrelsen [Danish Health Authority]"}],"accessed":{"date-parts":[["2021",2,22]]},"issued":{"date-parts":[["2015",2,20]]}}}],"schema":"https://github.com/citation-style-language/schema/raw/master/csl-citation.json"} </w:instrText>
      </w:r>
      <w:r w:rsidRPr="00DA27E1">
        <w:rPr>
          <w:rFonts w:cs="Times New Roman"/>
          <w:szCs w:val="24"/>
          <w:lang w:val="en-GB"/>
        </w:rPr>
        <w:fldChar w:fldCharType="separate"/>
      </w:r>
      <w:r w:rsidR="00EA059B" w:rsidRPr="00DA27E1">
        <w:rPr>
          <w:rFonts w:cs="Times New Roman"/>
          <w:lang w:val="en-GB"/>
        </w:rPr>
        <w:t>(22)</w:t>
      </w:r>
      <w:r w:rsidRPr="00DA27E1">
        <w:rPr>
          <w:rFonts w:cs="Times New Roman"/>
          <w:szCs w:val="24"/>
          <w:lang w:val="en-GB"/>
        </w:rPr>
        <w:fldChar w:fldCharType="end"/>
      </w:r>
      <w:r w:rsidR="00821859" w:rsidRPr="00DA27E1">
        <w:rPr>
          <w:rFonts w:cs="Times New Roman"/>
          <w:szCs w:val="24"/>
          <w:lang w:val="en-GB"/>
        </w:rPr>
        <w:t>.</w:t>
      </w:r>
    </w:p>
    <w:p w14:paraId="74D0348C" w14:textId="43270B7B" w:rsidR="00953724" w:rsidRPr="00DA27E1" w:rsidRDefault="00953724" w:rsidP="008D4E40">
      <w:pPr>
        <w:spacing w:after="0" w:line="480" w:lineRule="auto"/>
        <w:rPr>
          <w:rFonts w:cs="Times New Roman"/>
          <w:szCs w:val="24"/>
          <w:lang w:val="en-GB"/>
        </w:rPr>
      </w:pPr>
      <w:r w:rsidRPr="00DA27E1">
        <w:rPr>
          <w:rFonts w:cs="Times New Roman"/>
          <w:lang w:val="en-GB"/>
        </w:rPr>
        <w:t>The program consisted of 24 exercise sessions with a transition from hospital setting to the municipalities between exercise session number 12 and 13</w:t>
      </w:r>
      <w:r w:rsidR="00821859" w:rsidRPr="00DA27E1">
        <w:rPr>
          <w:rFonts w:cs="Times New Roman"/>
          <w:szCs w:val="24"/>
          <w:lang w:val="en-GB"/>
        </w:rPr>
        <w:t>.</w:t>
      </w:r>
    </w:p>
    <w:p w14:paraId="1E55C840" w14:textId="334AE4C7" w:rsidR="008861CB" w:rsidRPr="00DA27E1" w:rsidRDefault="00956DB5" w:rsidP="008D4E40">
      <w:pPr>
        <w:spacing w:after="0" w:line="480" w:lineRule="auto"/>
        <w:rPr>
          <w:rFonts w:cs="Times New Roman"/>
          <w:szCs w:val="24"/>
          <w:lang w:val="en-GB"/>
        </w:rPr>
      </w:pPr>
      <w:r w:rsidRPr="00DA27E1">
        <w:rPr>
          <w:rFonts w:cs="Times New Roman"/>
          <w:szCs w:val="24"/>
          <w:lang w:val="en-GB"/>
        </w:rPr>
        <w:t xml:space="preserve">Each exercise session </w:t>
      </w:r>
      <w:r w:rsidR="000E69F3" w:rsidRPr="00DA27E1">
        <w:rPr>
          <w:rFonts w:cs="Times New Roman"/>
          <w:szCs w:val="24"/>
          <w:lang w:val="en-GB"/>
        </w:rPr>
        <w:t xml:space="preserve">lasting 60 minutes performed two times per week </w:t>
      </w:r>
      <w:r w:rsidR="009A25B3" w:rsidRPr="00DA27E1">
        <w:rPr>
          <w:rFonts w:cs="Times New Roman"/>
          <w:szCs w:val="24"/>
          <w:lang w:val="en-GB"/>
        </w:rPr>
        <w:t xml:space="preserve">and </w:t>
      </w:r>
      <w:r w:rsidR="000E69F3" w:rsidRPr="00DA27E1">
        <w:rPr>
          <w:rFonts w:cs="Times New Roman"/>
          <w:szCs w:val="24"/>
          <w:lang w:val="en-GB"/>
        </w:rPr>
        <w:t>supervised by a physiotherapist</w:t>
      </w:r>
      <w:r w:rsidR="008D4E40" w:rsidRPr="00DA27E1">
        <w:rPr>
          <w:rFonts w:cs="Times New Roman"/>
          <w:szCs w:val="24"/>
          <w:lang w:val="en-GB"/>
        </w:rPr>
        <w:t xml:space="preserve"> both at the hospital and in the municipalities</w:t>
      </w:r>
      <w:r w:rsidR="000E69F3" w:rsidRPr="00DA27E1">
        <w:rPr>
          <w:rFonts w:cs="Times New Roman"/>
          <w:szCs w:val="24"/>
          <w:lang w:val="en-GB"/>
        </w:rPr>
        <w:t>. The exCR was group-based but consisted of an individually-adapted progressive exercise program with a combination of aerobic exercises (ranging from moderate to high intensities) and strength</w:t>
      </w:r>
      <w:r w:rsidR="00C54AAB" w:rsidRPr="00DA27E1">
        <w:rPr>
          <w:rFonts w:cs="Times New Roman"/>
          <w:szCs w:val="24"/>
          <w:lang w:val="en-GB"/>
        </w:rPr>
        <w:t>ening exercises</w:t>
      </w:r>
      <w:r w:rsidR="000E69F3" w:rsidRPr="00DA27E1">
        <w:rPr>
          <w:rFonts w:cs="Times New Roman"/>
          <w:szCs w:val="24"/>
          <w:lang w:val="en-GB"/>
        </w:rPr>
        <w:t>.</w:t>
      </w:r>
      <w:r w:rsidR="007B718E" w:rsidRPr="00DA27E1">
        <w:rPr>
          <w:rFonts w:cs="Times New Roman"/>
          <w:szCs w:val="24"/>
          <w:lang w:val="en-GB"/>
        </w:rPr>
        <w:t xml:space="preserve"> </w:t>
      </w:r>
      <w:r w:rsidR="00380D1A" w:rsidRPr="00DA27E1">
        <w:rPr>
          <w:rFonts w:cs="Times New Roman"/>
          <w:lang w:val="en-GB"/>
        </w:rPr>
        <w:t xml:space="preserve">In addition to the Danish guidelines for cardiac rehabilitation, the program further encompassed patient education, risk factor management and healthy lifestyle </w:t>
      </w:r>
      <w:r w:rsidR="00DE36D4" w:rsidRPr="00DA27E1">
        <w:rPr>
          <w:rFonts w:cs="Times New Roman"/>
          <w:lang w:val="en-GB"/>
        </w:rPr>
        <w:t>behaviour</w:t>
      </w:r>
      <w:r w:rsidR="00380D1A" w:rsidRPr="00DA27E1">
        <w:rPr>
          <w:rFonts w:cs="Times New Roman"/>
          <w:lang w:val="en-GB"/>
        </w:rPr>
        <w:t xml:space="preserve">, scheduled with 3 sessions for patients with coronary heart disease and heart valve surgery and 2 sessions for patients with heart failure, delivered parallel with the exercise based intervention by a multidisciplinary team </w:t>
      </w:r>
      <w:r w:rsidR="009661AE"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a7yYXb1i","properties":{"formattedCitation":"(18)","plainCitation":"(18)","noteIndex":0},"citationItems":[{"id":120,"uris":["http://zotero.org/users/6176940/items/SRGX9FCS"],"uri":["http://zotero.org/users/6176940/items/SRGX9FCS"],"itemData":{"id":120,"type":"report","title":"Forløbsprogram for Kroniske Hjertesygdomme [Disease Management Programme for Chronic Heart Diseases]","URL":"https://www.regionsjaelland.dk/Sundhed/patient-i-region-sjaelland/Sundhedsaftalen/Forebyggelse/Forloebsprogrammer/Documents/Forl%C3%B8bsprogram%20hjerte%20040718.pdf","author":[{"literal":"Region Sjælland KKR Sjælland [Region Zealand and the 17 municipalities]"}],"accessed":{"date-parts":[["2021",2,22]]},"issued":{"date-parts":[["2016"]]}}}],"schema":"https://github.com/citation-style-language/schema/raw/master/csl-citation.json"} </w:instrText>
      </w:r>
      <w:r w:rsidR="009661AE" w:rsidRPr="00DA27E1">
        <w:rPr>
          <w:rFonts w:cs="Times New Roman"/>
          <w:szCs w:val="24"/>
          <w:lang w:val="en-GB"/>
        </w:rPr>
        <w:fldChar w:fldCharType="separate"/>
      </w:r>
      <w:r w:rsidR="00EA059B" w:rsidRPr="00DA27E1">
        <w:rPr>
          <w:rFonts w:cs="Times New Roman"/>
          <w:lang w:val="en-GB"/>
        </w:rPr>
        <w:t>(18)</w:t>
      </w:r>
      <w:r w:rsidR="009661AE" w:rsidRPr="00DA27E1">
        <w:rPr>
          <w:rFonts w:cs="Times New Roman"/>
          <w:szCs w:val="24"/>
          <w:lang w:val="en-GB"/>
        </w:rPr>
        <w:fldChar w:fldCharType="end"/>
      </w:r>
      <w:r w:rsidR="00064FDD" w:rsidRPr="00DA27E1">
        <w:rPr>
          <w:rFonts w:cs="Times New Roman"/>
          <w:lang w:val="en-GB"/>
        </w:rPr>
        <w:t>.</w:t>
      </w:r>
    </w:p>
    <w:p w14:paraId="17EF2A5A" w14:textId="791F0255" w:rsidR="00336925" w:rsidRPr="00DA27E1" w:rsidRDefault="00336925" w:rsidP="0094111C">
      <w:pPr>
        <w:spacing w:line="480" w:lineRule="auto"/>
        <w:rPr>
          <w:rFonts w:cs="Times New Roman"/>
          <w:lang w:val="en-GB"/>
        </w:rPr>
      </w:pPr>
      <w:r w:rsidRPr="00DA27E1">
        <w:rPr>
          <w:rFonts w:cs="Times New Roman"/>
          <w:lang w:val="en-GB"/>
        </w:rPr>
        <w:t xml:space="preserve">All patients started the first 6 weeks of the exCR program at the Zealand University Hospital. As a follow on from the hospital-based program, patients continued the next 6 weeks at local health care </w:t>
      </w:r>
      <w:r w:rsidR="00DE36D4" w:rsidRPr="00DA27E1">
        <w:rPr>
          <w:rFonts w:cs="Times New Roman"/>
          <w:lang w:val="en-GB"/>
        </w:rPr>
        <w:t>centres</w:t>
      </w:r>
      <w:r w:rsidRPr="00DA27E1">
        <w:rPr>
          <w:rFonts w:cs="Times New Roman"/>
          <w:lang w:val="en-GB"/>
        </w:rPr>
        <w:t xml:space="preserve"> in the municipalities where the patients were living. All programs were placed during daytime within normal work hours. During the final exercise session at the hospital, a physiotherapist discussed goals and rehabilitation plan together with the patient and helped arrange the transition between hospital and the municipality. Hereafter, patients were invited to an individual pre-examination performed by a physiotherapist in the municipality, including the same set of physical tests as in the hospital and a resetting of goals. Goals were based on patients’ needs and wishes together with the physiotherapist. After exercise session 24, the last session, patients were invited for a final examination containing same set of tests and evaluation of the goalsetting. Before entering the exCR, patients were informed about this being one intervention performed in two settings. Information between hospital and the municipalities exchanged through a national electronic referral system.</w:t>
      </w:r>
    </w:p>
    <w:p w14:paraId="2256E5FE" w14:textId="0F92F79D" w:rsidR="008235FE" w:rsidRPr="00DA27E1" w:rsidRDefault="008235FE" w:rsidP="0094111C">
      <w:pPr>
        <w:spacing w:line="480" w:lineRule="auto"/>
        <w:rPr>
          <w:rFonts w:cs="Times New Roman"/>
          <w:b/>
          <w:lang w:val="en-GB"/>
        </w:rPr>
      </w:pPr>
      <w:r w:rsidRPr="00DA27E1">
        <w:rPr>
          <w:rFonts w:cs="Times New Roman"/>
          <w:b/>
          <w:lang w:val="en-GB"/>
        </w:rPr>
        <w:t>Data collection</w:t>
      </w:r>
    </w:p>
    <w:p w14:paraId="6B2FE4E9" w14:textId="4BA2978D" w:rsidR="00970A80" w:rsidRPr="00DA27E1" w:rsidRDefault="008E7F85" w:rsidP="0094111C">
      <w:pPr>
        <w:spacing w:line="480" w:lineRule="auto"/>
        <w:rPr>
          <w:rFonts w:cs="Times New Roman"/>
          <w:i/>
          <w:lang w:val="en-GB"/>
        </w:rPr>
      </w:pPr>
      <w:r w:rsidRPr="00DA27E1">
        <w:rPr>
          <w:rFonts w:cs="Times New Roman"/>
          <w:i/>
          <w:lang w:val="en-GB"/>
        </w:rPr>
        <w:t>Dropout</w:t>
      </w:r>
    </w:p>
    <w:p w14:paraId="7E150B4F" w14:textId="148CC2DA" w:rsidR="001759D5" w:rsidRPr="00DA27E1" w:rsidRDefault="001759D5" w:rsidP="001759D5">
      <w:pPr>
        <w:spacing w:line="480" w:lineRule="auto"/>
        <w:rPr>
          <w:rFonts w:cs="Times New Roman"/>
          <w:lang w:val="en-GB"/>
        </w:rPr>
      </w:pPr>
      <w:r w:rsidRPr="00DA27E1">
        <w:rPr>
          <w:rFonts w:cs="Times New Roman"/>
          <w:lang w:val="en-GB"/>
        </w:rPr>
        <w:t>The primary outcome of the study was dropout during the 12-week exCR period.</w:t>
      </w:r>
      <w:r w:rsidRPr="00DA27E1">
        <w:rPr>
          <w:rFonts w:cs="Times New Roman"/>
          <w:i/>
          <w:lang w:val="en-GB"/>
        </w:rPr>
        <w:t xml:space="preserve"> </w:t>
      </w:r>
      <w:r w:rsidR="00BE6818" w:rsidRPr="00DA27E1">
        <w:rPr>
          <w:rFonts w:cs="Times New Roman"/>
          <w:lang w:val="en-GB"/>
        </w:rPr>
        <w:t xml:space="preserve">Data was collected </w:t>
      </w:r>
      <w:r w:rsidR="006D623E" w:rsidRPr="00DA27E1">
        <w:rPr>
          <w:rFonts w:cs="Times New Roman"/>
          <w:lang w:val="en-GB"/>
        </w:rPr>
        <w:t xml:space="preserve">though </w:t>
      </w:r>
      <w:r w:rsidR="00BE6818" w:rsidRPr="00DA27E1">
        <w:rPr>
          <w:rFonts w:cs="Times New Roman"/>
          <w:lang w:val="en-GB"/>
        </w:rPr>
        <w:t>telephone interviews conducted every third week by research assistants.</w:t>
      </w:r>
      <w:r w:rsidR="007A4989" w:rsidRPr="00DA27E1">
        <w:rPr>
          <w:rFonts w:cs="Times New Roman"/>
          <w:lang w:val="en-GB"/>
        </w:rPr>
        <w:t xml:space="preserve"> The interview</w:t>
      </w:r>
      <w:r w:rsidR="004A4729" w:rsidRPr="00DA27E1">
        <w:rPr>
          <w:rFonts w:cs="Times New Roman"/>
          <w:lang w:val="en-GB"/>
        </w:rPr>
        <w:t>s</w:t>
      </w:r>
      <w:r w:rsidR="007A4989" w:rsidRPr="00DA27E1">
        <w:rPr>
          <w:rFonts w:cs="Times New Roman"/>
          <w:lang w:val="en-GB"/>
        </w:rPr>
        <w:t xml:space="preserve"> </w:t>
      </w:r>
      <w:r w:rsidR="00977C46" w:rsidRPr="00DA27E1">
        <w:rPr>
          <w:rFonts w:cs="Times New Roman"/>
          <w:lang w:val="en-GB"/>
        </w:rPr>
        <w:t xml:space="preserve">were </w:t>
      </w:r>
      <w:r w:rsidR="007A4989" w:rsidRPr="00DA27E1">
        <w:rPr>
          <w:rFonts w:cs="Times New Roman"/>
          <w:lang w:val="en-GB"/>
        </w:rPr>
        <w:t xml:space="preserve">performed using a standard manual designed for the study. </w:t>
      </w:r>
      <w:r w:rsidRPr="00DA27E1">
        <w:rPr>
          <w:rFonts w:cs="Times New Roman"/>
          <w:lang w:val="en-GB"/>
        </w:rPr>
        <w:t xml:space="preserve">Patients were asked about their attendance in the exCR program the past three weeks. </w:t>
      </w:r>
      <w:r w:rsidR="00057D06" w:rsidRPr="00DA27E1">
        <w:rPr>
          <w:rFonts w:cs="Times New Roman"/>
          <w:lang w:val="en-GB"/>
        </w:rPr>
        <w:t xml:space="preserve">If a patient </w:t>
      </w:r>
      <w:r w:rsidR="007A4989" w:rsidRPr="00DA27E1">
        <w:rPr>
          <w:rFonts w:cs="Times New Roman"/>
          <w:lang w:val="en-GB"/>
        </w:rPr>
        <w:t xml:space="preserve">dropped out, the exercise session number of the dropout was registered (number 2-23). </w:t>
      </w:r>
      <w:r w:rsidR="00B400B4" w:rsidRPr="00DA27E1">
        <w:rPr>
          <w:rFonts w:cs="Times New Roman"/>
          <w:lang w:val="en-GB"/>
        </w:rPr>
        <w:t xml:space="preserve">If a patient </w:t>
      </w:r>
      <w:r w:rsidR="002D516A" w:rsidRPr="00DA27E1">
        <w:rPr>
          <w:rFonts w:cs="Times New Roman"/>
          <w:lang w:val="en-GB"/>
        </w:rPr>
        <w:t>dropped out at the transition phase, between exercise session number 12 and 13, this was registered as an independent data point</w:t>
      </w:r>
      <w:r w:rsidR="007A4989" w:rsidRPr="00DA27E1">
        <w:rPr>
          <w:rFonts w:cs="Times New Roman"/>
          <w:lang w:val="en-GB"/>
        </w:rPr>
        <w:t>.</w:t>
      </w:r>
      <w:r w:rsidR="00EA77E7" w:rsidRPr="00DA27E1">
        <w:rPr>
          <w:rFonts w:cs="Times New Roman"/>
          <w:lang w:val="en-GB"/>
        </w:rPr>
        <w:t xml:space="preserve"> </w:t>
      </w:r>
      <w:r w:rsidRPr="00DA27E1">
        <w:rPr>
          <w:rFonts w:cs="Times New Roman"/>
          <w:lang w:val="en-GB"/>
        </w:rPr>
        <w:t>Patients who during the telephone interview stated they no longer participated in the exCR were defined as dropouts. After dropout, patients were no longer contacted and did not attend any more exercise sessions. All other patients were defined as completers. Number of attended exercise sessions did not have an influence on the definition of dropouts or completers.</w:t>
      </w:r>
    </w:p>
    <w:p w14:paraId="1B02215A" w14:textId="19089E43" w:rsidR="008966B7" w:rsidRPr="00DA27E1" w:rsidRDefault="008966B7" w:rsidP="00450546">
      <w:pPr>
        <w:spacing w:line="480" w:lineRule="auto"/>
        <w:rPr>
          <w:rFonts w:cs="Times New Roman"/>
          <w:lang w:val="en-GB"/>
        </w:rPr>
      </w:pPr>
      <w:r w:rsidRPr="00DA27E1">
        <w:rPr>
          <w:lang w:val="en-GB"/>
        </w:rPr>
        <w:t xml:space="preserve">Patients were </w:t>
      </w:r>
      <w:r w:rsidR="00182AB3" w:rsidRPr="00DA27E1">
        <w:rPr>
          <w:lang w:val="en-GB"/>
        </w:rPr>
        <w:t>classified as lost to follow-up</w:t>
      </w:r>
      <w:r w:rsidRPr="00DA27E1">
        <w:rPr>
          <w:lang w:val="en-GB"/>
        </w:rPr>
        <w:t xml:space="preserve"> if they either died during follow-up or the interviewer w</w:t>
      </w:r>
      <w:r w:rsidR="00BC4C14" w:rsidRPr="00DA27E1">
        <w:rPr>
          <w:lang w:val="en-GB"/>
        </w:rPr>
        <w:t>as</w:t>
      </w:r>
      <w:r w:rsidRPr="00DA27E1">
        <w:rPr>
          <w:lang w:val="en-GB"/>
        </w:rPr>
        <w:t xml:space="preserve"> not able to get in touch with </w:t>
      </w:r>
      <w:r w:rsidR="006641CB" w:rsidRPr="00DA27E1">
        <w:rPr>
          <w:lang w:val="en-GB"/>
        </w:rPr>
        <w:t>them</w:t>
      </w:r>
      <w:r w:rsidRPr="00DA27E1">
        <w:rPr>
          <w:lang w:val="en-GB"/>
        </w:rPr>
        <w:t xml:space="preserve"> before the 12-week study period </w:t>
      </w:r>
      <w:r w:rsidR="001B3738" w:rsidRPr="00DA27E1">
        <w:rPr>
          <w:lang w:val="en-GB"/>
        </w:rPr>
        <w:t xml:space="preserve">had </w:t>
      </w:r>
      <w:r w:rsidRPr="00DA27E1">
        <w:rPr>
          <w:lang w:val="en-GB"/>
        </w:rPr>
        <w:t>ended.</w:t>
      </w:r>
    </w:p>
    <w:p w14:paraId="1CA0703F" w14:textId="1A3A2671" w:rsidR="008E7F85" w:rsidRPr="00DA27E1" w:rsidRDefault="008E7F85" w:rsidP="0094111C">
      <w:pPr>
        <w:spacing w:line="480" w:lineRule="auto"/>
        <w:rPr>
          <w:rFonts w:cs="Times New Roman"/>
          <w:lang w:val="en-GB"/>
        </w:rPr>
      </w:pPr>
      <w:r w:rsidRPr="00DA27E1">
        <w:rPr>
          <w:rFonts w:cs="Times New Roman"/>
          <w:lang w:val="en-GB"/>
        </w:rPr>
        <w:t>All patients who dropped out were asked the same question by the interviewer: “</w:t>
      </w:r>
      <w:r w:rsidRPr="00DA27E1">
        <w:rPr>
          <w:rFonts w:cs="Times New Roman"/>
          <w:i/>
          <w:lang w:val="en-GB"/>
        </w:rPr>
        <w:t>May I ask, what your reason is for dropping out</w:t>
      </w:r>
      <w:r w:rsidRPr="00DA27E1">
        <w:rPr>
          <w:rFonts w:cs="Times New Roman"/>
          <w:lang w:val="en-GB"/>
        </w:rPr>
        <w:t>?</w:t>
      </w:r>
      <w:proofErr w:type="gramStart"/>
      <w:r w:rsidRPr="00DA27E1">
        <w:rPr>
          <w:rFonts w:cs="Times New Roman"/>
          <w:lang w:val="en-GB"/>
        </w:rPr>
        <w:t>”.</w:t>
      </w:r>
      <w:proofErr w:type="gramEnd"/>
      <w:r w:rsidRPr="00DA27E1">
        <w:rPr>
          <w:rFonts w:cs="Times New Roman"/>
          <w:lang w:val="en-GB"/>
        </w:rPr>
        <w:t xml:space="preserve"> All answers were transcribed verbatim by the same interviewer who conducted the telephone interview.</w:t>
      </w:r>
    </w:p>
    <w:p w14:paraId="66A068DD" w14:textId="7CD4A408" w:rsidR="00177E4F" w:rsidRPr="00DA27E1" w:rsidRDefault="00177E4F" w:rsidP="0094111C">
      <w:pPr>
        <w:spacing w:line="480" w:lineRule="auto"/>
        <w:rPr>
          <w:rFonts w:cs="Times New Roman"/>
          <w:i/>
          <w:lang w:val="en-GB"/>
        </w:rPr>
      </w:pPr>
      <w:bookmarkStart w:id="13" w:name="_Toc40367780"/>
      <w:bookmarkStart w:id="14" w:name="_Toc40368005"/>
      <w:bookmarkStart w:id="15" w:name="_Toc41990009"/>
      <w:r w:rsidRPr="00DA27E1">
        <w:rPr>
          <w:rFonts w:cs="Times New Roman"/>
          <w:i/>
          <w:lang w:val="en-GB"/>
        </w:rPr>
        <w:t>Patient characteristics</w:t>
      </w:r>
    </w:p>
    <w:p w14:paraId="57CB97B1" w14:textId="77777777" w:rsidR="005D6D24" w:rsidRPr="00DA27E1" w:rsidRDefault="00143698" w:rsidP="0094111C">
      <w:pPr>
        <w:spacing w:line="480" w:lineRule="auto"/>
        <w:rPr>
          <w:rFonts w:cs="Times New Roman"/>
          <w:lang w:val="en-GB"/>
        </w:rPr>
      </w:pPr>
      <w:r w:rsidRPr="00DA27E1">
        <w:rPr>
          <w:rFonts w:eastAsia="FreeSerif" w:cs="Times New Roman"/>
          <w:lang w:val="en-GB"/>
        </w:rPr>
        <w:t>P</w:t>
      </w:r>
      <w:r w:rsidR="00B45884" w:rsidRPr="00DA27E1">
        <w:rPr>
          <w:rFonts w:eastAsia="FreeSerif" w:cs="Times New Roman"/>
          <w:lang w:val="en-GB"/>
        </w:rPr>
        <w:t>atient</w:t>
      </w:r>
      <w:r w:rsidR="00B45884" w:rsidRPr="00DA27E1">
        <w:rPr>
          <w:rFonts w:cs="Times New Roman"/>
          <w:lang w:val="en-GB"/>
        </w:rPr>
        <w:t xml:space="preserve"> characteristics</w:t>
      </w:r>
      <w:r w:rsidR="00B45884" w:rsidRPr="00DA27E1">
        <w:rPr>
          <w:rFonts w:eastAsia="FreeSerif" w:cs="Times New Roman"/>
          <w:lang w:val="en-GB"/>
        </w:rPr>
        <w:t xml:space="preserve"> </w:t>
      </w:r>
      <w:r w:rsidR="00B45884" w:rsidRPr="00DA27E1">
        <w:rPr>
          <w:rFonts w:cs="Times New Roman"/>
          <w:lang w:val="en-GB"/>
        </w:rPr>
        <w:t xml:space="preserve">were collected </w:t>
      </w:r>
      <w:r w:rsidR="006D623E" w:rsidRPr="00DA27E1">
        <w:rPr>
          <w:rFonts w:cs="Times New Roman"/>
          <w:lang w:val="en-GB"/>
        </w:rPr>
        <w:t xml:space="preserve">either </w:t>
      </w:r>
      <w:r w:rsidR="00B45884" w:rsidRPr="00DA27E1">
        <w:rPr>
          <w:rFonts w:cs="Times New Roman"/>
          <w:lang w:val="en-GB"/>
        </w:rPr>
        <w:t>through</w:t>
      </w:r>
      <w:r w:rsidR="006209BC" w:rsidRPr="00DA27E1">
        <w:rPr>
          <w:rFonts w:cs="Times New Roman"/>
          <w:lang w:val="en-GB"/>
        </w:rPr>
        <w:t xml:space="preserve"> a</w:t>
      </w:r>
      <w:r w:rsidR="00B45884" w:rsidRPr="00DA27E1">
        <w:rPr>
          <w:rFonts w:cs="Times New Roman"/>
          <w:lang w:val="en-GB"/>
        </w:rPr>
        <w:t xml:space="preserve"> self-reported questionnaire handed to patients during the preliminary examination </w:t>
      </w:r>
      <w:r w:rsidR="00C75C60" w:rsidRPr="00DA27E1">
        <w:rPr>
          <w:rFonts w:cs="Times New Roman"/>
          <w:lang w:val="en-GB"/>
        </w:rPr>
        <w:t>or</w:t>
      </w:r>
      <w:r w:rsidR="006209BC" w:rsidRPr="00DA27E1">
        <w:rPr>
          <w:rFonts w:cs="Times New Roman"/>
          <w:lang w:val="en-GB"/>
        </w:rPr>
        <w:t xml:space="preserve"> from</w:t>
      </w:r>
      <w:r w:rsidR="00B45884" w:rsidRPr="00DA27E1">
        <w:rPr>
          <w:rFonts w:cs="Times New Roman"/>
          <w:lang w:val="en-GB"/>
        </w:rPr>
        <w:t xml:space="preserve"> medical records.</w:t>
      </w:r>
      <w:r w:rsidR="005D6D24" w:rsidRPr="00DA27E1">
        <w:rPr>
          <w:rFonts w:cs="Times New Roman"/>
          <w:lang w:val="en-GB"/>
        </w:rPr>
        <w:t xml:space="preserve"> Number of attended exercise sessions were collected through the telephone interview every third week.</w:t>
      </w:r>
    </w:p>
    <w:p w14:paraId="74D02E5F" w14:textId="783D5EDF" w:rsidR="00950D4B" w:rsidRPr="00DA27E1" w:rsidRDefault="00586B5F" w:rsidP="0094111C">
      <w:pPr>
        <w:spacing w:line="480" w:lineRule="auto"/>
        <w:rPr>
          <w:rFonts w:cs="Times New Roman"/>
          <w:lang w:val="en-GB"/>
        </w:rPr>
      </w:pPr>
      <w:r w:rsidRPr="00DA27E1">
        <w:rPr>
          <w:rFonts w:cs="Times New Roman"/>
          <w:lang w:val="en-GB"/>
        </w:rPr>
        <w:t>Gender, age, weight, height, family status, occupational status (employed vs. unemployed, early retirement or retired person), education level and smoking habits were extracted from the questionnaire</w:t>
      </w:r>
      <w:r w:rsidR="004F4A43" w:rsidRPr="00DA27E1">
        <w:rPr>
          <w:rFonts w:cs="Times New Roman"/>
          <w:lang w:val="en-GB"/>
        </w:rPr>
        <w:t>.</w:t>
      </w:r>
      <w:r w:rsidR="00A60FCF" w:rsidRPr="00DA27E1">
        <w:rPr>
          <w:rFonts w:cs="Times New Roman"/>
          <w:lang w:val="en-GB"/>
        </w:rPr>
        <w:t xml:space="preserve"> </w:t>
      </w:r>
      <w:r w:rsidR="00E754ED" w:rsidRPr="00DA27E1">
        <w:rPr>
          <w:rFonts w:cs="Times New Roman"/>
          <w:lang w:val="en-GB"/>
        </w:rPr>
        <w:t>M</w:t>
      </w:r>
      <w:r w:rsidR="00F73993" w:rsidRPr="00DA27E1">
        <w:rPr>
          <w:rFonts w:cs="Times New Roman"/>
          <w:lang w:val="en-GB"/>
        </w:rPr>
        <w:t>edical records</w:t>
      </w:r>
      <w:r w:rsidR="00143698" w:rsidRPr="00DA27E1">
        <w:rPr>
          <w:rFonts w:cs="Times New Roman"/>
          <w:lang w:val="en-GB"/>
        </w:rPr>
        <w:t xml:space="preserve"> were reviewed for</w:t>
      </w:r>
      <w:r w:rsidR="001F0BA1" w:rsidRPr="00DA27E1">
        <w:rPr>
          <w:rFonts w:cs="Times New Roman"/>
          <w:lang w:val="en-GB"/>
        </w:rPr>
        <w:t xml:space="preserve"> </w:t>
      </w:r>
      <w:r w:rsidR="00576F1D" w:rsidRPr="00DA27E1">
        <w:rPr>
          <w:rFonts w:cs="Times New Roman"/>
          <w:lang w:val="en-GB"/>
        </w:rPr>
        <w:t xml:space="preserve">cardiac </w:t>
      </w:r>
      <w:r w:rsidR="00C75C60" w:rsidRPr="00DA27E1">
        <w:rPr>
          <w:rFonts w:cs="Times New Roman"/>
          <w:lang w:val="en-GB"/>
        </w:rPr>
        <w:t xml:space="preserve">diagnoses, </w:t>
      </w:r>
      <w:r w:rsidR="001F0BA1" w:rsidRPr="00DA27E1">
        <w:rPr>
          <w:rFonts w:cs="Times New Roman"/>
          <w:lang w:val="en-GB"/>
        </w:rPr>
        <w:t>distan</w:t>
      </w:r>
      <w:r w:rsidR="00650FF7" w:rsidRPr="00DA27E1">
        <w:rPr>
          <w:rFonts w:cs="Times New Roman"/>
          <w:lang w:val="en-GB"/>
        </w:rPr>
        <w:t xml:space="preserve">ce to </w:t>
      </w:r>
      <w:r w:rsidR="00C75C60" w:rsidRPr="00DA27E1">
        <w:rPr>
          <w:rFonts w:cs="Times New Roman"/>
          <w:lang w:val="en-GB"/>
        </w:rPr>
        <w:t xml:space="preserve">the </w:t>
      </w:r>
      <w:r w:rsidR="00650FF7" w:rsidRPr="00DA27E1">
        <w:rPr>
          <w:rFonts w:cs="Times New Roman"/>
          <w:lang w:val="en-GB"/>
        </w:rPr>
        <w:t xml:space="preserve">hospital and </w:t>
      </w:r>
      <w:r w:rsidR="00C75C60" w:rsidRPr="00DA27E1">
        <w:rPr>
          <w:rFonts w:cs="Times New Roman"/>
          <w:lang w:val="en-GB"/>
        </w:rPr>
        <w:t>the municipality and r</w:t>
      </w:r>
      <w:r w:rsidR="000F2AE9" w:rsidRPr="00DA27E1">
        <w:rPr>
          <w:rFonts w:cs="Times New Roman"/>
          <w:lang w:val="en-GB"/>
        </w:rPr>
        <w:t xml:space="preserve">esults </w:t>
      </w:r>
      <w:r w:rsidR="00C75C60" w:rsidRPr="00DA27E1">
        <w:rPr>
          <w:rFonts w:cs="Times New Roman"/>
          <w:lang w:val="en-GB"/>
        </w:rPr>
        <w:t>from following tests. A</w:t>
      </w:r>
      <w:r w:rsidR="00422CA7" w:rsidRPr="00DA27E1">
        <w:rPr>
          <w:rFonts w:cs="Times New Roman"/>
          <w:lang w:val="en-GB"/>
        </w:rPr>
        <w:t xml:space="preserve"> submaximal cycling test</w:t>
      </w:r>
      <w:r w:rsidR="00C75C60" w:rsidRPr="00DA27E1">
        <w:rPr>
          <w:rFonts w:cs="Times New Roman"/>
          <w:lang w:val="en-GB"/>
        </w:rPr>
        <w:t xml:space="preserve"> (Borg 15)</w:t>
      </w:r>
      <w:r w:rsidR="00422CA7" w:rsidRPr="00DA27E1">
        <w:rPr>
          <w:rFonts w:cs="Times New Roman"/>
          <w:lang w:val="en-GB"/>
        </w:rPr>
        <w:t xml:space="preserve"> </w:t>
      </w:r>
      <w:r w:rsidR="00C75C60" w:rsidRPr="00DA27E1">
        <w:rPr>
          <w:rFonts w:cs="Times New Roman"/>
          <w:lang w:val="en-GB"/>
        </w:rPr>
        <w:t xml:space="preserve">preformed </w:t>
      </w:r>
      <w:r w:rsidR="00650FF7" w:rsidRPr="00DA27E1">
        <w:rPr>
          <w:rFonts w:cs="Times New Roman"/>
          <w:lang w:val="en-GB"/>
        </w:rPr>
        <w:t xml:space="preserve">with a progressive load, using </w:t>
      </w:r>
      <w:r w:rsidR="002B0033" w:rsidRPr="00DA27E1">
        <w:rPr>
          <w:rFonts w:cs="Times New Roman"/>
          <w:lang w:val="en-GB"/>
        </w:rPr>
        <w:t xml:space="preserve">Borg </w:t>
      </w:r>
      <w:r w:rsidR="00422CA7" w:rsidRPr="00DA27E1">
        <w:rPr>
          <w:rFonts w:cs="Times New Roman"/>
          <w:lang w:val="en-GB"/>
        </w:rPr>
        <w:t>R</w:t>
      </w:r>
      <w:r w:rsidR="00650FF7" w:rsidRPr="00DA27E1">
        <w:rPr>
          <w:rFonts w:cs="Times New Roman"/>
          <w:lang w:val="en-GB"/>
        </w:rPr>
        <w:t>ate of Perceived Exertion (RPE)</w:t>
      </w:r>
      <w:r w:rsidR="00C75C60" w:rsidRPr="00DA27E1">
        <w:rPr>
          <w:rFonts w:cs="Times New Roman"/>
          <w:lang w:val="en-GB"/>
        </w:rPr>
        <w:t xml:space="preserve"> scale</w:t>
      </w:r>
      <w:r w:rsidR="00650FF7" w:rsidRPr="00DA27E1">
        <w:rPr>
          <w:rFonts w:cs="Times New Roman"/>
          <w:lang w:val="en-GB"/>
        </w:rPr>
        <w:t xml:space="preserve"> to determine level of exhaustion</w:t>
      </w:r>
      <w:r w:rsidR="00422CA7" w:rsidRPr="00DA27E1">
        <w:rPr>
          <w:rFonts w:cs="Times New Roman"/>
          <w:lang w:val="en-GB"/>
        </w:rPr>
        <w:t xml:space="preserve"> </w:t>
      </w:r>
      <w:r w:rsidR="00422CA7" w:rsidRPr="00DA27E1">
        <w:rPr>
          <w:rFonts w:cs="Times New Roman"/>
          <w:lang w:val="en-GB"/>
        </w:rPr>
        <w:fldChar w:fldCharType="begin"/>
      </w:r>
      <w:r w:rsidR="00EA059B" w:rsidRPr="00DA27E1">
        <w:rPr>
          <w:rFonts w:cs="Times New Roman"/>
          <w:lang w:val="en-GB"/>
        </w:rPr>
        <w:instrText xml:space="preserve"> ADDIN ZOTERO_ITEM CSL_CITATION {"citationID":"MNZLzjq9","properties":{"formattedCitation":"(23)","plainCitation":"(23)","noteIndex":0},"citationItems":[{"id":103,"uris":["http://zotero.org/users/6176940/items/6QEZ9MJP"],"uri":["http://zotero.org/users/6176940/items/6QEZ9MJP"],"itemData":{"id":103,"type":"article-journal","container-title":"Journal of PHYSIOLOGICAL ANTHROPOLOGY and Applied Human Science","DOI":"10.2114/jpa.20.255","issue":"5","page":"255-261","title":"A Unique Method for Predicting Cardiorespiratory Fitness Using Rating of Perceived Exertion","volume":"20","author":[{"family":"Okura","given":"Tomohiro"},{"family":"Tanaka","given":"Kiyoji"}],"issued":{"date-parts":[["2001"]]}}}],"schema":"https://github.com/citation-style-language/schema/raw/master/csl-citation.json"} </w:instrText>
      </w:r>
      <w:r w:rsidR="00422CA7" w:rsidRPr="00DA27E1">
        <w:rPr>
          <w:rFonts w:cs="Times New Roman"/>
          <w:lang w:val="en-GB"/>
        </w:rPr>
        <w:fldChar w:fldCharType="separate"/>
      </w:r>
      <w:r w:rsidR="00EA059B" w:rsidRPr="00DA27E1">
        <w:rPr>
          <w:rFonts w:cs="Times New Roman"/>
          <w:lang w:val="en-GB"/>
        </w:rPr>
        <w:t>(23)</w:t>
      </w:r>
      <w:r w:rsidR="00422CA7" w:rsidRPr="00DA27E1">
        <w:rPr>
          <w:rFonts w:cs="Times New Roman"/>
          <w:lang w:val="en-GB"/>
        </w:rPr>
        <w:fldChar w:fldCharType="end"/>
      </w:r>
      <w:r w:rsidR="00650FF7" w:rsidRPr="00DA27E1">
        <w:rPr>
          <w:rFonts w:cs="Times New Roman"/>
          <w:lang w:val="en-GB"/>
        </w:rPr>
        <w:t>.</w:t>
      </w:r>
      <w:r w:rsidR="00A13429" w:rsidRPr="00DA27E1">
        <w:rPr>
          <w:rFonts w:cs="Times New Roman"/>
          <w:lang w:val="en-GB"/>
        </w:rPr>
        <w:t xml:space="preserve"> </w:t>
      </w:r>
      <w:r w:rsidR="000F2AE9" w:rsidRPr="00DA27E1">
        <w:rPr>
          <w:rFonts w:cs="Times New Roman"/>
          <w:lang w:val="en-GB"/>
        </w:rPr>
        <w:t>Hospital Anxiety and Depression Scale (HADS)</w:t>
      </w:r>
      <w:r w:rsidR="00650FF7" w:rsidRPr="00DA27E1">
        <w:rPr>
          <w:rFonts w:cs="Times New Roman"/>
          <w:lang w:val="en-GB"/>
        </w:rPr>
        <w:t xml:space="preserve"> </w:t>
      </w:r>
      <w:r w:rsidR="00650FF7" w:rsidRPr="00DA27E1">
        <w:rPr>
          <w:rFonts w:cs="Times New Roman"/>
          <w:lang w:val="en-GB"/>
        </w:rPr>
        <w:fldChar w:fldCharType="begin"/>
      </w:r>
      <w:r w:rsidR="00EA059B" w:rsidRPr="00DA27E1">
        <w:rPr>
          <w:rFonts w:cs="Times New Roman"/>
          <w:lang w:val="en-GB"/>
        </w:rPr>
        <w:instrText xml:space="preserve"> ADDIN ZOTERO_ITEM CSL_CITATION {"citationID":"jVqFZUbx","properties":{"formattedCitation":"(24)","plainCitation":"(24)","noteIndex":0},"citationItems":[{"id":166,"uris":["http://zotero.org/users/6176940/items/5KYJUJE7"],"uri":["http://zotero.org/users/6176940/items/5KYJUJE7"],"itemData":{"id":166,"type":"article-journal","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departments.","archive_location":"6880820","container-title":"Acta Psychiatr Scand","DOI":"10.1111/j.1600-0447.1983.tb09716.x","ISSN":"0001-690X (Print) 0001-690x","issue":"6","language":"eng","note":"edition: 1983/06/01","page":"361-70","source":"NLM","title":"The hospital anxiety and depression scale","volume":"67","author":[{"family":"Zigmond","given":"A. S."},{"family":"Snaith","given":"R. P."}],"issued":{"date-parts":[["1983",6]]}}}],"schema":"https://github.com/citation-style-language/schema/raw/master/csl-citation.json"} </w:instrText>
      </w:r>
      <w:r w:rsidR="00650FF7" w:rsidRPr="00DA27E1">
        <w:rPr>
          <w:rFonts w:cs="Times New Roman"/>
          <w:lang w:val="en-GB"/>
        </w:rPr>
        <w:fldChar w:fldCharType="separate"/>
      </w:r>
      <w:r w:rsidR="00EA059B" w:rsidRPr="00DA27E1">
        <w:rPr>
          <w:rFonts w:cs="Times New Roman"/>
          <w:lang w:val="en-GB"/>
        </w:rPr>
        <w:t>(24)</w:t>
      </w:r>
      <w:r w:rsidR="00650FF7" w:rsidRPr="00DA27E1">
        <w:rPr>
          <w:rFonts w:cs="Times New Roman"/>
          <w:lang w:val="en-GB"/>
        </w:rPr>
        <w:fldChar w:fldCharType="end"/>
      </w:r>
      <w:r w:rsidR="00650FF7" w:rsidRPr="00DA27E1">
        <w:rPr>
          <w:lang w:val="en-GB"/>
        </w:rPr>
        <w:t xml:space="preserve"> ranging from 0-21, where a low</w:t>
      </w:r>
      <w:r w:rsidR="00713CD8" w:rsidRPr="00DA27E1">
        <w:rPr>
          <w:lang w:val="en-GB"/>
        </w:rPr>
        <w:t>er</w:t>
      </w:r>
      <w:r w:rsidR="00650FF7" w:rsidRPr="00DA27E1">
        <w:rPr>
          <w:lang w:val="en-GB"/>
        </w:rPr>
        <w:t xml:space="preserve"> score </w:t>
      </w:r>
      <w:r w:rsidR="00713CD8" w:rsidRPr="00DA27E1">
        <w:rPr>
          <w:lang w:val="en-GB"/>
        </w:rPr>
        <w:t>i</w:t>
      </w:r>
      <w:r w:rsidR="00650FF7" w:rsidRPr="00DA27E1">
        <w:rPr>
          <w:lang w:val="en-GB"/>
        </w:rPr>
        <w:t>ndicate</w:t>
      </w:r>
      <w:r w:rsidR="00057D06" w:rsidRPr="00DA27E1">
        <w:rPr>
          <w:lang w:val="en-GB"/>
        </w:rPr>
        <w:t>s</w:t>
      </w:r>
      <w:r w:rsidR="00650FF7" w:rsidRPr="00DA27E1">
        <w:rPr>
          <w:lang w:val="en-GB"/>
        </w:rPr>
        <w:t xml:space="preserve"> a low risk of</w:t>
      </w:r>
      <w:r w:rsidR="00C75C60" w:rsidRPr="00DA27E1">
        <w:rPr>
          <w:lang w:val="en-GB"/>
        </w:rPr>
        <w:t xml:space="preserve"> mood disorder. Finally, a</w:t>
      </w:r>
      <w:r w:rsidR="00A13429" w:rsidRPr="00DA27E1">
        <w:rPr>
          <w:rFonts w:cs="Times New Roman"/>
          <w:lang w:val="en-GB"/>
        </w:rPr>
        <w:t xml:space="preserve"> </w:t>
      </w:r>
      <w:r w:rsidR="00422CA7" w:rsidRPr="00DA27E1">
        <w:rPr>
          <w:rFonts w:cs="Times New Roman"/>
          <w:lang w:val="en-GB"/>
        </w:rPr>
        <w:t>disease-specific</w:t>
      </w:r>
      <w:r w:rsidR="008966B7" w:rsidRPr="00DA27E1">
        <w:rPr>
          <w:rFonts w:cs="Times New Roman"/>
          <w:lang w:val="en-GB"/>
        </w:rPr>
        <w:t>, self-reported</w:t>
      </w:r>
      <w:r w:rsidR="00422CA7" w:rsidRPr="00DA27E1">
        <w:rPr>
          <w:rFonts w:cs="Times New Roman"/>
          <w:lang w:val="en-GB"/>
        </w:rPr>
        <w:t xml:space="preserve"> health related quality of life questionnaire</w:t>
      </w:r>
      <w:r w:rsidR="00D02458" w:rsidRPr="00DA27E1">
        <w:rPr>
          <w:rFonts w:cs="Times New Roman"/>
          <w:lang w:val="en-GB"/>
        </w:rPr>
        <w:t>,</w:t>
      </w:r>
      <w:r w:rsidR="00422CA7" w:rsidRPr="00DA27E1">
        <w:rPr>
          <w:rFonts w:cs="Times New Roman"/>
          <w:lang w:val="en-GB"/>
        </w:rPr>
        <w:t xml:space="preserve"> </w:t>
      </w:r>
      <w:r w:rsidR="00C75C60" w:rsidRPr="00DA27E1">
        <w:rPr>
          <w:rFonts w:cs="Times New Roman"/>
          <w:lang w:val="en-GB"/>
        </w:rPr>
        <w:t>(</w:t>
      </w:r>
      <w:r w:rsidR="00422CA7" w:rsidRPr="00DA27E1">
        <w:rPr>
          <w:rFonts w:cs="Times New Roman"/>
          <w:lang w:val="en-GB"/>
        </w:rPr>
        <w:t>HeartQoL</w:t>
      </w:r>
      <w:r w:rsidR="00C75C60" w:rsidRPr="00DA27E1">
        <w:rPr>
          <w:rFonts w:cs="Times New Roman"/>
          <w:lang w:val="en-GB"/>
        </w:rPr>
        <w:t>)</w:t>
      </w:r>
      <w:r w:rsidR="0010684D" w:rsidRPr="00DA27E1">
        <w:rPr>
          <w:rFonts w:cs="Times New Roman"/>
          <w:lang w:val="en-GB"/>
        </w:rPr>
        <w:t xml:space="preserve"> </w:t>
      </w:r>
      <w:r w:rsidR="0010684D" w:rsidRPr="00DA27E1">
        <w:rPr>
          <w:rFonts w:cs="Times New Roman"/>
          <w:lang w:val="en-GB"/>
        </w:rPr>
        <w:fldChar w:fldCharType="begin"/>
      </w:r>
      <w:r w:rsidR="00EA059B" w:rsidRPr="00DA27E1">
        <w:rPr>
          <w:rFonts w:cs="Times New Roman"/>
          <w:lang w:val="en-GB"/>
        </w:rPr>
        <w:instrText xml:space="preserve"> ADDIN ZOTERO_ITEM CSL_CITATION {"citationID":"2riuFZwS","properties":{"formattedCitation":"(25)","plainCitation":"(25)","noteIndex":0},"citationItems":[{"id":106,"uris":["http://zotero.org/users/6176940/items/8I2ZS4BD"],"uri":["http://zotero.org/users/6176940/items/8I2ZS4BD"],"itemData":{"id":106,"type":"article-journal","abstract":"BACKGROUND: Evaluation of health-related quality of life (HRQL) is important in improving the quality of patient care. The aim of this study was to determine the psychometric properties of the HeartQoL in patients with ischemic heart disease (IHD), specifically angina, myocardial infarction (MI), or ischemic heart failure. METHODS: Data for the interim validation of the HeartQoL questionnaire were collected in (a) a cross-sectional survey and (b) a prospective substudy of patients undergoing either a percutaneous coronary intervention (PCI) or referred to cardiac rehabilitation (CR) and were then analyzed to determine the reliability, validity, and responsiveness of the HeartQoL questionnaire. RESULTS: We enrolled 6384 patients (angina, n = 2111, 33.1%; MI, n = 2351, 36.8%; heart failure, n = 1922, 30.1%) across 22 countries speaking 15 languages in the cross-sectional study and 730 patients with IHD in the prospective substudy. The HeartQoL questionnaire comprises 14-items with physical and emotional subscales and a global score (range 0-3 (poor to better HRQL). Cronbach's α was consistently ≥0.80; convergent validity correlations between similar HeartQoL and SF-36 subscales were significant (r ≥ 0.60, p &lt; 0.001); discriminative validity was confirmed with predictor variables: health transition, anxiety, depression, and functional status. HeartQoL score changes following either PCI or CR were significant (p &lt; 0.001) with effect sizes ranging from 0.37-0.64. CONCLUSION: The HeartQoL questionnaire is reliable, valid, and responsive to change allowing clinicians and researchers to (a) assess baseline HRQL, (b) make between-diagnosis comparisons of HRQL, and (c) evaluate change in HRQL in patients with angina, MI, or heart failure with a single IHD-specific HRQL instrument.","archive":"PubMed","archive_location":"22822180","container-title":"European journal of preventive cardiology","DOI":"10.1177/2047487312450545","ISSN":"2047-4881","issue":"1","journalAbbreviation":"Eur J Prev Cardiol","language":"eng","note":"edition: 2012/07/20","page":"98-106","title":"The HeartQoL: part II. Validation of a new core health-related quality of life questionnaire for patients with ischemic heart disease","volume":"21","author":[{"family":"Oldridge","given":"Neil"},{"family":"Höfer","given":"Stefan"},{"family":"McGee","given":"Hannah"},{"family":"Conroy","given":"Ronan"},{"family":"Doyle","given":"Frank"},{"family":"Saner","given":"Hugo"}],"issued":{"date-parts":[["2014"]]}}}],"schema":"https://github.com/citation-style-language/schema/raw/master/csl-citation.json"} </w:instrText>
      </w:r>
      <w:r w:rsidR="0010684D" w:rsidRPr="00DA27E1">
        <w:rPr>
          <w:rFonts w:cs="Times New Roman"/>
          <w:lang w:val="en-GB"/>
        </w:rPr>
        <w:fldChar w:fldCharType="separate"/>
      </w:r>
      <w:r w:rsidR="00EA059B" w:rsidRPr="00DA27E1">
        <w:rPr>
          <w:rFonts w:cs="Times New Roman"/>
          <w:lang w:val="en-GB"/>
        </w:rPr>
        <w:t>(25)</w:t>
      </w:r>
      <w:r w:rsidR="0010684D" w:rsidRPr="00DA27E1">
        <w:rPr>
          <w:rFonts w:cs="Times New Roman"/>
          <w:lang w:val="en-GB"/>
        </w:rPr>
        <w:fldChar w:fldCharType="end"/>
      </w:r>
      <w:r w:rsidR="00650FF7" w:rsidRPr="00DA27E1">
        <w:rPr>
          <w:rFonts w:cs="Times New Roman"/>
          <w:lang w:val="en-GB"/>
        </w:rPr>
        <w:t xml:space="preserve"> </w:t>
      </w:r>
      <w:r w:rsidR="00650FF7" w:rsidRPr="00DA27E1">
        <w:rPr>
          <w:lang w:val="en-GB"/>
        </w:rPr>
        <w:t>was measure</w:t>
      </w:r>
      <w:r w:rsidR="00057D06" w:rsidRPr="00DA27E1">
        <w:rPr>
          <w:lang w:val="en-GB"/>
        </w:rPr>
        <w:t xml:space="preserve">d in three categories: physical, mental, and global </w:t>
      </w:r>
      <w:r w:rsidR="00650FF7" w:rsidRPr="00DA27E1">
        <w:rPr>
          <w:lang w:val="en-GB"/>
        </w:rPr>
        <w:t>score ranging from 0 to 3, where a higher score indicat</w:t>
      </w:r>
      <w:r w:rsidR="00057D06" w:rsidRPr="00DA27E1">
        <w:rPr>
          <w:lang w:val="en-GB"/>
        </w:rPr>
        <w:t>es</w:t>
      </w:r>
      <w:r w:rsidR="00650FF7" w:rsidRPr="00DA27E1">
        <w:rPr>
          <w:lang w:val="en-GB"/>
        </w:rPr>
        <w:t xml:space="preserve"> a better health related quality of life</w:t>
      </w:r>
      <w:r w:rsidR="00422CA7" w:rsidRPr="00DA27E1">
        <w:rPr>
          <w:rFonts w:cs="Times New Roman"/>
          <w:lang w:val="en-GB"/>
        </w:rPr>
        <w:t>.</w:t>
      </w:r>
      <w:bookmarkEnd w:id="13"/>
      <w:bookmarkEnd w:id="14"/>
      <w:bookmarkEnd w:id="15"/>
      <w:r w:rsidR="00774878" w:rsidRPr="00DA27E1">
        <w:rPr>
          <w:rFonts w:cs="Times New Roman"/>
          <w:lang w:val="en-GB"/>
        </w:rPr>
        <w:t xml:space="preserve"> Test and questionnaires was </w:t>
      </w:r>
      <w:r w:rsidR="003A4FD5" w:rsidRPr="00DA27E1">
        <w:rPr>
          <w:rFonts w:cs="Times New Roman"/>
          <w:lang w:val="en-GB"/>
        </w:rPr>
        <w:t>p</w:t>
      </w:r>
      <w:r w:rsidR="00FA5F59" w:rsidRPr="00DA27E1">
        <w:rPr>
          <w:rFonts w:cs="Times New Roman"/>
          <w:lang w:val="en-GB"/>
        </w:rPr>
        <w:t>e</w:t>
      </w:r>
      <w:r w:rsidR="003A4FD5" w:rsidRPr="00DA27E1">
        <w:rPr>
          <w:rFonts w:cs="Times New Roman"/>
          <w:lang w:val="en-GB"/>
        </w:rPr>
        <w:t>r</w:t>
      </w:r>
      <w:r w:rsidR="00FA5F59" w:rsidRPr="00DA27E1">
        <w:rPr>
          <w:rFonts w:cs="Times New Roman"/>
          <w:lang w:val="en-GB"/>
        </w:rPr>
        <w:t>formed according to national</w:t>
      </w:r>
      <w:r w:rsidR="00774878" w:rsidRPr="00DA27E1">
        <w:rPr>
          <w:rFonts w:cs="Times New Roman"/>
          <w:lang w:val="en-GB"/>
        </w:rPr>
        <w:t xml:space="preserve"> recommendations</w:t>
      </w:r>
      <w:r w:rsidR="00FA5F59" w:rsidRPr="00DA27E1">
        <w:rPr>
          <w:rFonts w:cs="Times New Roman"/>
          <w:lang w:val="en-GB"/>
        </w:rPr>
        <w:t xml:space="preserve"> for cardiac rehabilitation </w:t>
      </w:r>
      <w:r w:rsidR="00FA5F59" w:rsidRPr="00DA27E1">
        <w:rPr>
          <w:rFonts w:cs="Times New Roman"/>
          <w:lang w:val="en-GB"/>
        </w:rPr>
        <w:fldChar w:fldCharType="begin"/>
      </w:r>
      <w:r w:rsidR="00EA059B" w:rsidRPr="00DA27E1">
        <w:rPr>
          <w:rFonts w:cs="Times New Roman"/>
          <w:lang w:val="en-GB"/>
        </w:rPr>
        <w:instrText xml:space="preserve"> ADDIN ZOTERO_ITEM CSL_CITATION {"citationID":"Le5vZbl8","properties":{"formattedCitation":"(18)","plainCitation":"(18)","noteIndex":0},"citationItems":[{"id":120,"uris":["http://zotero.org/users/6176940/items/SRGX9FCS"],"uri":["http://zotero.org/users/6176940/items/SRGX9FCS"],"itemData":{"id":120,"type":"report","title":"Forløbsprogram for Kroniske Hjertesygdomme [Disease Management Programme for Chronic Heart Diseases]","URL":"https://www.regionsjaelland.dk/Sundhed/patient-i-region-sjaelland/Sundhedsaftalen/Forebyggelse/Forloebsprogrammer/Documents/Forl%C3%B8bsprogram%20hjerte%20040718.pdf","author":[{"literal":"Region Sjælland KKR Sjælland [Region Zealand and the 17 municipalities]"}],"accessed":{"date-parts":[["2021",2,22]]},"issued":{"date-parts":[["2016"]]}}}],"schema":"https://github.com/citation-style-language/schema/raw/master/csl-citation.json"} </w:instrText>
      </w:r>
      <w:r w:rsidR="00FA5F59" w:rsidRPr="00DA27E1">
        <w:rPr>
          <w:rFonts w:cs="Times New Roman"/>
          <w:lang w:val="en-GB"/>
        </w:rPr>
        <w:fldChar w:fldCharType="separate"/>
      </w:r>
      <w:r w:rsidR="00EA059B" w:rsidRPr="00DA27E1">
        <w:rPr>
          <w:rFonts w:cs="Times New Roman"/>
          <w:lang w:val="en-GB"/>
        </w:rPr>
        <w:t>(18)</w:t>
      </w:r>
      <w:r w:rsidR="00FA5F59" w:rsidRPr="00DA27E1">
        <w:rPr>
          <w:rFonts w:cs="Times New Roman"/>
          <w:lang w:val="en-GB"/>
        </w:rPr>
        <w:fldChar w:fldCharType="end"/>
      </w:r>
      <w:r w:rsidR="00FA5F59" w:rsidRPr="00DA27E1">
        <w:rPr>
          <w:rFonts w:cs="Times New Roman"/>
          <w:lang w:val="en-GB"/>
        </w:rPr>
        <w:t>.</w:t>
      </w:r>
    </w:p>
    <w:p w14:paraId="295BC727" w14:textId="6A47B880" w:rsidR="00485169" w:rsidRPr="00DA27E1" w:rsidRDefault="00485169" w:rsidP="0094111C">
      <w:pPr>
        <w:spacing w:line="480" w:lineRule="auto"/>
        <w:rPr>
          <w:rFonts w:cs="Times New Roman"/>
          <w:lang w:val="en-GB"/>
        </w:rPr>
      </w:pPr>
      <w:bookmarkStart w:id="16" w:name="_Toc40367781"/>
      <w:bookmarkStart w:id="17" w:name="_Toc40368006"/>
      <w:bookmarkStart w:id="18" w:name="_Toc41990010"/>
      <w:r w:rsidRPr="00DA27E1">
        <w:rPr>
          <w:rFonts w:cs="Times New Roman"/>
          <w:b/>
          <w:lang w:val="en-GB"/>
        </w:rPr>
        <w:t>Data analysis</w:t>
      </w:r>
      <w:bookmarkEnd w:id="16"/>
      <w:bookmarkEnd w:id="17"/>
      <w:bookmarkEnd w:id="18"/>
    </w:p>
    <w:p w14:paraId="5FCD0E9D" w14:textId="5E854677" w:rsidR="00513947" w:rsidRPr="00DA27E1" w:rsidRDefault="00455ED7" w:rsidP="0094111C">
      <w:pPr>
        <w:spacing w:after="0" w:line="480" w:lineRule="auto"/>
        <w:rPr>
          <w:rFonts w:eastAsia="Times New Roman" w:cs="Times New Roman"/>
          <w:lang w:val="en-GB"/>
        </w:rPr>
      </w:pPr>
      <w:r w:rsidRPr="00DA27E1">
        <w:rPr>
          <w:rFonts w:cs="Times New Roman"/>
          <w:lang w:val="en-GB"/>
        </w:rPr>
        <w:t>Data regarding patient characteristics are presented for the total study population, and further subdivided into completers and patients dropping out at transition.</w:t>
      </w:r>
      <w:r w:rsidR="00D950B5" w:rsidRPr="00DA27E1">
        <w:rPr>
          <w:rFonts w:cs="Times New Roman"/>
          <w:lang w:val="en-GB"/>
        </w:rPr>
        <w:t xml:space="preserve"> </w:t>
      </w:r>
      <w:r w:rsidR="00470040" w:rsidRPr="00DA27E1">
        <w:rPr>
          <w:rFonts w:cs="Times New Roman"/>
          <w:lang w:val="en-GB"/>
        </w:rPr>
        <w:t xml:space="preserve">Normally distributed data are </w:t>
      </w:r>
      <w:r w:rsidR="00293E18" w:rsidRPr="00DA27E1">
        <w:rPr>
          <w:rFonts w:cs="Times New Roman"/>
          <w:lang w:val="en-GB"/>
        </w:rPr>
        <w:t>presented as mean</w:t>
      </w:r>
      <w:r w:rsidR="002742D8" w:rsidRPr="00DA27E1">
        <w:rPr>
          <w:rFonts w:cs="Times New Roman"/>
          <w:lang w:val="en-GB"/>
        </w:rPr>
        <w:t xml:space="preserve"> and standard deviation (SD)</w:t>
      </w:r>
      <w:r w:rsidR="002868EB" w:rsidRPr="00DA27E1">
        <w:rPr>
          <w:rFonts w:cs="Times New Roman"/>
          <w:lang w:val="en-GB"/>
        </w:rPr>
        <w:t>,</w:t>
      </w:r>
      <w:r w:rsidR="002742D8" w:rsidRPr="00DA27E1">
        <w:rPr>
          <w:rFonts w:cs="Times New Roman"/>
          <w:lang w:val="en-GB"/>
        </w:rPr>
        <w:t xml:space="preserve"> </w:t>
      </w:r>
      <w:r w:rsidR="00470040" w:rsidRPr="00DA27E1">
        <w:rPr>
          <w:rFonts w:cs="Times New Roman"/>
          <w:lang w:val="en-GB"/>
        </w:rPr>
        <w:t xml:space="preserve">non-parametric data </w:t>
      </w:r>
      <w:r w:rsidR="002742D8" w:rsidRPr="00DA27E1">
        <w:rPr>
          <w:rFonts w:cs="Times New Roman"/>
          <w:lang w:val="en-GB"/>
        </w:rPr>
        <w:t>as median and interquartile ranges (IQR)</w:t>
      </w:r>
      <w:r w:rsidR="00470040" w:rsidRPr="00DA27E1">
        <w:rPr>
          <w:rFonts w:cs="Times New Roman"/>
          <w:lang w:val="en-GB"/>
        </w:rPr>
        <w:t xml:space="preserve"> and c</w:t>
      </w:r>
      <w:r w:rsidR="00293E18" w:rsidRPr="00DA27E1">
        <w:rPr>
          <w:rFonts w:cs="Times New Roman"/>
          <w:lang w:val="en-GB"/>
        </w:rPr>
        <w:t xml:space="preserve">ategorical variables </w:t>
      </w:r>
      <w:r w:rsidR="002742D8" w:rsidRPr="00DA27E1">
        <w:rPr>
          <w:rFonts w:cs="Times New Roman"/>
          <w:lang w:val="en-GB"/>
        </w:rPr>
        <w:t>as numbers (n) and proportion</w:t>
      </w:r>
      <w:r w:rsidR="002A21B2" w:rsidRPr="00DA27E1">
        <w:rPr>
          <w:rFonts w:cs="Times New Roman"/>
          <w:lang w:val="en-GB"/>
        </w:rPr>
        <w:t>s</w:t>
      </w:r>
      <w:r w:rsidR="002742D8" w:rsidRPr="00DA27E1">
        <w:rPr>
          <w:rFonts w:cs="Times New Roman"/>
          <w:lang w:val="en-GB"/>
        </w:rPr>
        <w:t xml:space="preserve"> (%).</w:t>
      </w:r>
    </w:p>
    <w:p w14:paraId="4F216B62" w14:textId="2EE67F1D" w:rsidR="002E13B3" w:rsidRPr="00DA27E1" w:rsidRDefault="002E13B3" w:rsidP="0094111C">
      <w:pPr>
        <w:spacing w:line="480" w:lineRule="auto"/>
        <w:rPr>
          <w:rFonts w:eastAsia="Times New Roman" w:cs="Times New Roman"/>
          <w:lang w:val="en-GB"/>
        </w:rPr>
      </w:pPr>
      <w:r w:rsidRPr="00DA27E1">
        <w:rPr>
          <w:rFonts w:cs="Times New Roman"/>
          <w:lang w:val="en-GB"/>
        </w:rPr>
        <w:t>B</w:t>
      </w:r>
      <w:r w:rsidR="00FC094B" w:rsidRPr="00DA27E1">
        <w:rPr>
          <w:rFonts w:cs="Times New Roman"/>
          <w:lang w:val="en-GB"/>
        </w:rPr>
        <w:t>aseline</w:t>
      </w:r>
      <w:r w:rsidR="00C0622A" w:rsidRPr="00DA27E1">
        <w:rPr>
          <w:rFonts w:eastAsia="Times New Roman" w:cs="Times New Roman"/>
          <w:lang w:val="en-GB"/>
        </w:rPr>
        <w:t xml:space="preserve"> </w:t>
      </w:r>
      <w:r w:rsidR="0099094E" w:rsidRPr="00DA27E1">
        <w:rPr>
          <w:rFonts w:eastAsia="Times New Roman" w:cs="Times New Roman"/>
          <w:lang w:val="en-GB"/>
        </w:rPr>
        <w:t>differences</w:t>
      </w:r>
      <w:r w:rsidRPr="00DA27E1">
        <w:rPr>
          <w:rFonts w:eastAsia="Times New Roman" w:cs="Times New Roman"/>
          <w:lang w:val="en-GB"/>
        </w:rPr>
        <w:t xml:space="preserve"> </w:t>
      </w:r>
      <w:r w:rsidR="0099094E" w:rsidRPr="00DA27E1">
        <w:rPr>
          <w:rFonts w:eastAsia="Times New Roman" w:cs="Times New Roman"/>
          <w:lang w:val="en-GB"/>
        </w:rPr>
        <w:t>between completers and</w:t>
      </w:r>
      <w:r w:rsidR="00BC54B6" w:rsidRPr="00DA27E1">
        <w:rPr>
          <w:rFonts w:eastAsia="Times New Roman" w:cs="Times New Roman"/>
          <w:lang w:val="en-GB"/>
        </w:rPr>
        <w:t xml:space="preserve"> dropouts at transition</w:t>
      </w:r>
      <w:r w:rsidR="00F049DD" w:rsidRPr="00DA27E1">
        <w:rPr>
          <w:rFonts w:eastAsia="Times New Roman" w:cs="Times New Roman"/>
          <w:lang w:val="en-GB"/>
        </w:rPr>
        <w:t xml:space="preserve"> were investigated</w:t>
      </w:r>
      <w:r w:rsidR="00FC094B" w:rsidRPr="00DA27E1">
        <w:rPr>
          <w:rFonts w:eastAsia="Times New Roman" w:cs="Times New Roman"/>
          <w:lang w:val="en-GB"/>
        </w:rPr>
        <w:t xml:space="preserve"> using</w:t>
      </w:r>
      <w:r w:rsidR="003C07F3" w:rsidRPr="00DA27E1">
        <w:rPr>
          <w:rFonts w:eastAsia="Times New Roman" w:cs="Times New Roman"/>
          <w:lang w:val="en-GB"/>
        </w:rPr>
        <w:t xml:space="preserve"> </w:t>
      </w:r>
      <w:r w:rsidR="00F049DD" w:rsidRPr="00DA27E1">
        <w:rPr>
          <w:rFonts w:eastAsia="Times New Roman" w:cs="Times New Roman"/>
          <w:lang w:val="en-GB"/>
        </w:rPr>
        <w:t xml:space="preserve">an </w:t>
      </w:r>
      <w:r w:rsidR="000F2687" w:rsidRPr="00DA27E1">
        <w:rPr>
          <w:rFonts w:eastAsia="Times New Roman" w:cs="Times New Roman"/>
          <w:lang w:val="en-GB"/>
        </w:rPr>
        <w:t>i</w:t>
      </w:r>
      <w:r w:rsidR="003C07F3" w:rsidRPr="00DA27E1">
        <w:rPr>
          <w:rFonts w:eastAsia="Times New Roman" w:cs="Times New Roman"/>
          <w:lang w:val="en-GB"/>
        </w:rPr>
        <w:t>ndependent-</w:t>
      </w:r>
      <w:r w:rsidR="000F2687" w:rsidRPr="00DA27E1">
        <w:rPr>
          <w:rFonts w:eastAsia="Times New Roman" w:cs="Times New Roman"/>
          <w:lang w:val="en-GB"/>
        </w:rPr>
        <w:t>samples t-test</w:t>
      </w:r>
      <w:r w:rsidR="000F2687" w:rsidRPr="00DA27E1" w:rsidDel="000F2687">
        <w:rPr>
          <w:rFonts w:eastAsia="Times New Roman" w:cs="Times New Roman"/>
          <w:lang w:val="en-GB"/>
        </w:rPr>
        <w:t xml:space="preserve"> </w:t>
      </w:r>
      <w:r w:rsidR="0099094E" w:rsidRPr="00DA27E1">
        <w:rPr>
          <w:rFonts w:eastAsia="Times New Roman" w:cs="Times New Roman"/>
          <w:lang w:val="en-GB"/>
        </w:rPr>
        <w:t xml:space="preserve">for </w:t>
      </w:r>
      <w:r w:rsidR="00207EE1" w:rsidRPr="00DA27E1">
        <w:rPr>
          <w:rFonts w:cs="Times New Roman"/>
          <w:lang w:val="en-GB"/>
        </w:rPr>
        <w:t>normally distributed data</w:t>
      </w:r>
      <w:r w:rsidR="00207EE1" w:rsidRPr="00DA27E1">
        <w:rPr>
          <w:rFonts w:eastAsia="Times New Roman" w:cs="Times New Roman"/>
          <w:lang w:val="en-GB"/>
        </w:rPr>
        <w:t>,</w:t>
      </w:r>
      <w:r w:rsidR="0099094E" w:rsidRPr="00DA27E1">
        <w:rPr>
          <w:rFonts w:eastAsia="Times New Roman" w:cs="Times New Roman"/>
          <w:lang w:val="en-GB"/>
        </w:rPr>
        <w:t xml:space="preserve"> Mann-Whitney test for non-parametric data</w:t>
      </w:r>
      <w:r w:rsidR="00207EE1" w:rsidRPr="00DA27E1">
        <w:rPr>
          <w:rFonts w:eastAsia="Times New Roman" w:cs="Times New Roman"/>
          <w:lang w:val="en-GB"/>
        </w:rPr>
        <w:t xml:space="preserve"> and</w:t>
      </w:r>
      <w:r w:rsidR="002C721E" w:rsidRPr="00DA27E1">
        <w:rPr>
          <w:rFonts w:eastAsia="Times New Roman" w:cs="Times New Roman"/>
          <w:lang w:val="en-GB"/>
        </w:rPr>
        <w:t xml:space="preserve"> c</w:t>
      </w:r>
      <w:r w:rsidR="0099094E" w:rsidRPr="00DA27E1">
        <w:rPr>
          <w:rFonts w:eastAsia="Times New Roman" w:cs="Times New Roman"/>
          <w:lang w:val="en-GB"/>
        </w:rPr>
        <w:t>hi-squared test f</w:t>
      </w:r>
      <w:r w:rsidR="0091347A" w:rsidRPr="00DA27E1">
        <w:rPr>
          <w:rFonts w:eastAsia="Times New Roman" w:cs="Times New Roman"/>
          <w:lang w:val="en-GB"/>
        </w:rPr>
        <w:t xml:space="preserve">or </w:t>
      </w:r>
      <w:r w:rsidR="002A0ABE" w:rsidRPr="00DA27E1">
        <w:rPr>
          <w:rFonts w:eastAsia="Times New Roman" w:cs="Times New Roman"/>
          <w:lang w:val="en-GB"/>
        </w:rPr>
        <w:t>categorical variables.</w:t>
      </w:r>
    </w:p>
    <w:p w14:paraId="0FA3907A" w14:textId="64193AB8" w:rsidR="008A2382" w:rsidRPr="00DA27E1" w:rsidRDefault="008A2382" w:rsidP="009B1F3B">
      <w:pPr>
        <w:spacing w:line="480" w:lineRule="auto"/>
        <w:rPr>
          <w:rFonts w:eastAsia="Times New Roman" w:cs="Times New Roman"/>
          <w:lang w:val="en-GB"/>
        </w:rPr>
      </w:pPr>
      <w:r w:rsidRPr="00DA27E1">
        <w:rPr>
          <w:rFonts w:eastAsia="Times New Roman" w:cs="Times New Roman"/>
          <w:lang w:val="en-GB"/>
        </w:rPr>
        <w:t>Time-to-event analysis using the Kaplan-Meier method was used to investigate the overall dropout from the 12-week exCR program in the total study population. This also include</w:t>
      </w:r>
      <w:r w:rsidR="00CE016F" w:rsidRPr="00DA27E1">
        <w:rPr>
          <w:rFonts w:eastAsia="Times New Roman" w:cs="Times New Roman"/>
          <w:lang w:val="en-GB"/>
        </w:rPr>
        <w:t>d</w:t>
      </w:r>
      <w:r w:rsidRPr="00DA27E1">
        <w:rPr>
          <w:rFonts w:eastAsia="Times New Roman" w:cs="Times New Roman"/>
          <w:lang w:val="en-GB"/>
        </w:rPr>
        <w:t xml:space="preserve"> patients who were lost to follow up (patients who had died or did not answer the telephone) as the Kaplan-Meier method allows these to be right censored, meaning they are being accounted for in the analysis as long as data are available. Time to event was defined as the period between start of the exCR program until dropout. </w:t>
      </w:r>
      <w:r w:rsidR="002C411D" w:rsidRPr="00DA27E1">
        <w:rPr>
          <w:rFonts w:cs="Times New Roman"/>
          <w:lang w:val="en-GB"/>
        </w:rPr>
        <w:t>The confidence interval for the Kaplan-Meier curve was estimated using the standard error</w:t>
      </w:r>
      <w:r w:rsidR="001229C8" w:rsidRPr="00DA27E1">
        <w:rPr>
          <w:rFonts w:eastAsia="Times New Roman" w:cs="Times New Roman"/>
          <w:lang w:val="en-GB"/>
        </w:rPr>
        <w:t xml:space="preserve"> </w:t>
      </w:r>
      <w:r w:rsidRPr="00DA27E1">
        <w:rPr>
          <w:rFonts w:eastAsia="Times New Roman" w:cs="Times New Roman"/>
          <w:lang w:val="en-GB"/>
        </w:rPr>
        <w:fldChar w:fldCharType="begin"/>
      </w:r>
      <w:r w:rsidR="00EA059B" w:rsidRPr="00DA27E1">
        <w:rPr>
          <w:rFonts w:eastAsia="Times New Roman" w:cs="Times New Roman"/>
          <w:lang w:val="en-GB"/>
        </w:rPr>
        <w:instrText xml:space="preserve"> ADDIN ZOTERO_ITEM CSL_CITATION {"citationID":"Cs7xwpRe","properties":{"formattedCitation":"(26)","plainCitation":"(26)","noteIndex":0},"citationItems":[{"id":73,"uris":["http://zotero.org/users/6176940/items/U2TBXTKN"],"uri":["http://zotero.org/users/6176940/items/U2TBXTKN"],"itemData":{"id":73,"type":"book","call-number":"51.4","edition":"2","event-place":"Malden, Mass.","ISBN":"0-86542-871-9","number-of-pages":"501 pages, 276-278","publisher":"Blackwell Science","publisher-place":"Malden, Mass.","title":"Essential medical statistics","author":[{"family":"Kirkwood","given":"Betty R."},{"family":"Sterne","given":"Jonathan A. C."}],"issued":{"date-parts":[["2003"]]}}}],"schema":"https://github.com/citation-style-language/schema/raw/master/csl-citation.json"} </w:instrText>
      </w:r>
      <w:r w:rsidRPr="00DA27E1">
        <w:rPr>
          <w:rFonts w:eastAsia="Times New Roman" w:cs="Times New Roman"/>
          <w:lang w:val="en-GB"/>
        </w:rPr>
        <w:fldChar w:fldCharType="separate"/>
      </w:r>
      <w:r w:rsidR="00EA059B" w:rsidRPr="00DA27E1">
        <w:rPr>
          <w:rFonts w:cs="Times New Roman"/>
          <w:lang w:val="en-GB"/>
        </w:rPr>
        <w:t>(26)</w:t>
      </w:r>
      <w:r w:rsidRPr="00DA27E1">
        <w:rPr>
          <w:rFonts w:eastAsia="Times New Roman" w:cs="Times New Roman"/>
          <w:lang w:val="en-GB"/>
        </w:rPr>
        <w:fldChar w:fldCharType="end"/>
      </w:r>
      <w:r w:rsidRPr="00DA27E1">
        <w:rPr>
          <w:rFonts w:eastAsia="Times New Roman" w:cs="Times New Roman"/>
          <w:lang w:val="en-GB"/>
        </w:rPr>
        <w:t>. The dropout rate and estimated 95% confidence interval (CI) were calculated and reported. The dropout rate is visually presented as a single Kaplan-Meier curve and the dropout rate and 95% CI were reported for every three weeks.</w:t>
      </w:r>
    </w:p>
    <w:p w14:paraId="54CEF303" w14:textId="0CC31212" w:rsidR="00CF1CE8" w:rsidRPr="00DA27E1" w:rsidRDefault="00C75E30" w:rsidP="009B1F3B">
      <w:pPr>
        <w:spacing w:after="0" w:line="480" w:lineRule="auto"/>
        <w:rPr>
          <w:rFonts w:cs="Times New Roman"/>
          <w:szCs w:val="24"/>
          <w:lang w:val="en-GB" w:eastAsia="da-DK"/>
        </w:rPr>
      </w:pPr>
      <w:r w:rsidRPr="00DA27E1">
        <w:rPr>
          <w:rFonts w:eastAsia="Times New Roman"/>
          <w:lang w:val="en-GB"/>
        </w:rPr>
        <w:t>Secondly, to assess associations between selected patient characteristics and dropout at the transition phase, we conducted a</w:t>
      </w:r>
      <w:r w:rsidR="00833BF8" w:rsidRPr="00DA27E1">
        <w:rPr>
          <w:rFonts w:eastAsia="Times New Roman"/>
          <w:lang w:val="en-GB"/>
        </w:rPr>
        <w:t xml:space="preserve"> </w:t>
      </w:r>
      <w:r w:rsidR="00662B30" w:rsidRPr="00DA27E1">
        <w:rPr>
          <w:lang w:val="en-GB"/>
        </w:rPr>
        <w:t xml:space="preserve">multiple logistic regression </w:t>
      </w:r>
      <w:r w:rsidR="009C1228" w:rsidRPr="00DA27E1">
        <w:rPr>
          <w:lang w:val="en-GB"/>
        </w:rPr>
        <w:t xml:space="preserve">analysis </w:t>
      </w:r>
      <w:r w:rsidR="009255AC" w:rsidRPr="00DA27E1">
        <w:rPr>
          <w:rFonts w:eastAsia="Times New Roman"/>
          <w:lang w:val="en-GB"/>
        </w:rPr>
        <w:t xml:space="preserve">including the most evident predictors for dropout in exCR based on existing literature (gender, age and cardiac diagnoses) </w:t>
      </w:r>
      <w:r w:rsidR="009255AC" w:rsidRPr="00DA27E1">
        <w:rPr>
          <w:rFonts w:eastAsia="Times New Roman"/>
          <w:lang w:val="en-GB"/>
        </w:rPr>
        <w:fldChar w:fldCharType="begin"/>
      </w:r>
      <w:r w:rsidR="00EA059B" w:rsidRPr="00DA27E1">
        <w:rPr>
          <w:rFonts w:eastAsia="Times New Roman"/>
          <w:lang w:val="en-GB"/>
        </w:rPr>
        <w:instrText xml:space="preserve"> ADDIN ZOTERO_ITEM CSL_CITATION {"citationID":"j3nPe7XJ","properties":{"formattedCitation":"(4,10\\uc0\\u8211{}13)","plainCitation":"(4,10–13)","noteIndex":0},"citationItems":[{"id":30,"uris":["http://zotero.org/users/6176940/items/AUBRGJ4Z"],"uri":["http://zotero.org/users/6176940/items/AUBRGJ4Z"],"itemData":{"id":30,"type":"article-journal","language":"English","title":"The National Audit of Cardiac Rehabilitation | Quality and Outcomes Report 2018","URL":"https://www.bhf.org.uk/informationsupport/publications/statistics/national-audit-of-cardiac-rehabilitation-quality-and-outcomes-report-2018","author":[{"literal":"British Heart Foundation"}],"accessed":{"date-parts":[["2021",2,22]]},"issued":{"date-parts":[["2018"]]}}},{"id":231,"uris":["http://zotero.org/users/6176940/items/ISABFQ5B"],"uri":["http://zotero.org/users/6176940/items/ISABFQ5B"],"itemData":{"id":231,"type":"article-journal","container-title":"Canadian Journal of Cardiology","DOI":"10.1016/j.cjca.2016.01.036","ISSN":"0828282X","issue":"11","journalAbbreviation":"Canadian Journal of Cardiology","language":"en","page":"1316-1324","source":"DOI.org (Crossref)","title":"Sex Differences in Cardiac Rehabilitation Adherence: A Meta-analysis","title-short":"Sex Differences in Cardiac Rehabilitation Adherence","volume":"32","author":[{"family":"Oosenbrug","given":"Eric"},{"family":"Marinho","given":"Raquel Pedercini"},{"family":"Zhang","given":"Jie"},{"family":"Marzolini","given":"Susan"},{"family":"Colella","given":"Tracey J.F."},{"family":"Pakosh","given":"Maureen"},{"family":"Grace","given":"Sherry L."}],"issued":{"date-parts":[["2016",11]]}}},{"id":123,"uris":["http://zotero.org/users/6176940/items/X67LU7EU"],"uri":["http://zotero.org/users/6176940/items/X67LU7EU"],"itemData":{"id":123,"type":"article-journal","abstract":"BACKGROUND: Although evidence exists for the efficacy of cardiac rehabilitation programmes to reduce morbidity and mortality among patients with cardiovascular disease, cardiac rehabilitation programmes are underused. We aimed systematically to review the evidence from prospective cohort studies on factors associated with non-participation in and/or dropping out from cardiac rehabilitation programmes. METHODS: MedLine, Embase, Scopus, Open Grey and Cochrane Database were searched for relevant publications from inception to February 2018. Search terms included (a) coronary heart disease and other cardiac conditions; (b) cardiac rehabilitation and secondary prevention; and (c) non-participation in and/or dropout. Databases were searched following the PRISMA statement. Study selection, data extraction and the assessment of study quality were performed in duplicate. RESULTS: We selected 43 studies with a total of 63,425 patients from 10 different countries that met the inclusion criteria. Factors associated with non-participation in and dropout from cardiac rehabilitation were grouped into six broad categories: intrapersonal factors, clinical factors, interpersonal factors, logistical factors, cardiac rehabilitation programme factors and health system factors. We found that clinical factors, logistical factors and health system factors were the main factors assessed for non-participation in cardiac rehabilitation. We also found differences between the factors associated with non-participation and dropout. CONCLUSIONS: Several factors were determinant for non-participation in and dropout from cardiac rehabilitation. These findings could be useful to clinicians and policymakers for developing interventions aimed at improving participation and completion of cardiac rehabilitation, such as E-health or home-based delivery programmes. Trial Registration: International Prospective Register of Systematic Reviews (PROSPERO) identifier: CRD42016032973.","archive_location":"29909641","container-title":"Eur J Cardiovasc Nurs","DOI":"10.1177/1474515118783157","ISSN":"1474-5151","issue":"1","language":"eng","note":"edition: 2018/06/19","page":"38-47","source":"NLM","title":"Factors associated with non-participation in and dropout from cardiac rehabilitation programmes: a systematic review of prospective cohort studies","volume":"18","author":[{"family":"Resurreccion","given":"D. M."},{"family":"Moreno-Peral","given":"P."},{"family":"Gomez-Herranz","given":"M."},{"family":"Rubio-Valera","given":"M."},{"family":"Pastor","given":"L."},{"family":"Caldas de Almeida","given":"J. M."},{"family":"Motrico","given":"E."}],"issued":{"date-parts":[["2019",1]]}}},{"id":144,"uris":["http://zotero.org/users/6176940/items/BVYIIKBS"],"uri":["http://zotero.org/users/6176940/items/BVYIIKBS"],"itemData":{"id":144,"type":"article-journal","abstract":"OBJECTIVES: Cardiac rehabilitation (CR) programs have been shown to reduce mortality and morbidity rates among coronary heart disease patients, but adherence to these classes has been found to be poor. This review aims to summarize and integrate research findings investigating the possible sociodemographic, medical, and psychological variables that influence patient adherence to CR programs. It also aims to address the methodological failings of past reviews conducted in this area. METHODS: Several databases were systematically searched for studies published between 1990 and 2009. Studies examining CR program adherence or completion, using data based on participant's actual recorded attendance were included. RESULTS: Eighteen studies were identified that met inclusion criteria. Low mood, participant's age, and certain cardiac risk factors were found to be most consistently associated with poor adherence to CR. A good understanding of the consequences of heart disease was found to be associated with good adherence. Results were relatively inconsistent across studies because of differences in methods used. CONCLUSIONS: Certain risk factors for poor adherence to CR should be assessed and monitored by health professionals. Future studies should address the methodological difficulties present in previous research. Recommendations are made for standardizing methods in future research.","archive_location":"21076307","container-title":"J Cardiovasc Nurs","DOI":"10.1097/JCN.0b013e3181ef6b04","ISSN":"0889-4655","issue":"3","language":"eng","note":"edition: 2010/11/16","page":"202-9","source":"NLM","title":"Medical, psychological, and sociodemographic factors associated with adherence to cardiac rehabilitation programs: a systematic review","volume":"26","author":[{"family":"Taylor","given":"G. H."},{"family":"Wilson","given":"S. L."},{"family":"Sharp","given":"J."}],"issued":{"date-parts":[["2011",5]]}}},{"id":127,"uris":["http://zotero.org/users/6176940/items/PQ36K7PF"],"uri":["http://zotero.org/users/6176940/items/PQ36K7PF"],"itemData":{"id":127,"type":"article-journal","abstract":"Acute myocardial infarction (AMI) is an important health problem. Cardiac rehabilitation (CR) programs following AMI have shown to be effective in reducing mortality. We aim to systematically review the existing literature that analyzes the factors that affect participation and adherence to cardiac rehabilitation programs. We reviewed Medline, EMBASE and Cochrane databases from 01/01/2004 to June 2016 using predefined inclusion and exclusion criteria. We classified the results into factors affecting participation and factors influencing adherence to CR programs. We included 29 studies, and there was a general agreement in those factors predicting participation and adherence to CR programs. These factors can be classified into person-related factors and aspects related to CR programs. Older participants, women, patients with comorbidities, unemployed and uncoupled persons, less educated people and those with lower income had a lower participation. A similar pattern was observed for CR adherence. Also, those potential participants who live farther from CR facilities, do not have transportation, or do not drive, attended less to CR programs. These factors were very similar when analyzing adherence to CR programs. These aspects were similar in Europe and the USA. These results clearly show that participation in CR programs follows a determined pattern that is very homogeneous in different settings. Health professionals should also be aware of patients reluctant to participate in CR programs and adapt their messages and redesign CR programs, to promote participation and adherence.","archive":"PubMed","archive_location":"27557484","container-title":"International journal of cardiology","DOI":"10.1016/j.ijcard.2016.08.120","ISSN":"1874-1754","journalAbbreviation":"Int J Cardiol","language":"eng","note":"edition: 2016/08/13","page":"436-443","title":"Participation and adherence to cardiac rehabilitation programs. A systematic review","volume":"223","author":[{"family":"Ruano-Ravina","given":"Alberto"},{"family":"Pena-Gil","given":"Carlos"},{"family":"Abu-Assi","given":"Emad"},{"family":"Raposeiras","given":"Sergio"},{"family":"Hof","given":"Arnoud","non-dropping-particle":"van 't"},{"family":"Meindersma","given":"Esther"},{"family":"Bossano Prescott","given":"Eva Irene"},{"family":"González-Juanatey","given":"Jose Ramón"}],"issued":{"date-parts":[["2016"]]}}}],"schema":"https://github.com/citation-style-language/schema/raw/master/csl-citation.json"} </w:instrText>
      </w:r>
      <w:r w:rsidR="009255AC" w:rsidRPr="00DA27E1">
        <w:rPr>
          <w:rFonts w:eastAsia="Times New Roman"/>
          <w:lang w:val="en-GB"/>
        </w:rPr>
        <w:fldChar w:fldCharType="separate"/>
      </w:r>
      <w:r w:rsidR="00EA059B" w:rsidRPr="00DA27E1">
        <w:rPr>
          <w:rFonts w:cs="Times New Roman"/>
          <w:szCs w:val="24"/>
          <w:lang w:val="en-GB"/>
        </w:rPr>
        <w:t>(4,10–13)</w:t>
      </w:r>
      <w:r w:rsidR="009255AC" w:rsidRPr="00DA27E1">
        <w:rPr>
          <w:rFonts w:eastAsia="Times New Roman"/>
          <w:lang w:val="en-GB"/>
        </w:rPr>
        <w:fldChar w:fldCharType="end"/>
      </w:r>
      <w:r w:rsidR="009255AC" w:rsidRPr="00DA27E1">
        <w:rPr>
          <w:rFonts w:eastAsia="Times New Roman"/>
          <w:lang w:val="en-GB"/>
        </w:rPr>
        <w:t xml:space="preserve"> and significant baseline differences in patient characteristics between completers and patients dropping out at transition</w:t>
      </w:r>
      <w:r w:rsidRPr="00DA27E1">
        <w:rPr>
          <w:rFonts w:eastAsia="Times New Roman"/>
          <w:lang w:val="en-GB"/>
        </w:rPr>
        <w:t xml:space="preserve">. </w:t>
      </w:r>
      <w:r w:rsidR="00833BF8" w:rsidRPr="00DA27E1">
        <w:rPr>
          <w:rFonts w:eastAsia="Times New Roman"/>
          <w:lang w:val="en-GB"/>
        </w:rPr>
        <w:t xml:space="preserve">Due to the nature of an explorative study and the very few </w:t>
      </w:r>
      <w:r w:rsidR="00DC7203" w:rsidRPr="00DA27E1">
        <w:rPr>
          <w:rFonts w:eastAsia="Times New Roman"/>
          <w:lang w:val="en-GB"/>
        </w:rPr>
        <w:t>instances of missing data (four</w:t>
      </w:r>
      <w:r w:rsidR="00833BF8" w:rsidRPr="00DA27E1">
        <w:rPr>
          <w:rFonts w:eastAsia="Times New Roman"/>
          <w:lang w:val="en-GB"/>
        </w:rPr>
        <w:t xml:space="preserve"> patients) data were not imputed. The results are presented as odds ratio (OR) with 95% CI. </w:t>
      </w:r>
      <w:r w:rsidR="00A055E9" w:rsidRPr="00DA27E1">
        <w:rPr>
          <w:rFonts w:cs="Times New Roman"/>
          <w:lang w:val="en-GB"/>
        </w:rPr>
        <w:t>The Hosmer-</w:t>
      </w:r>
      <w:proofErr w:type="spellStart"/>
      <w:r w:rsidR="00A055E9" w:rsidRPr="00DA27E1">
        <w:rPr>
          <w:rFonts w:cs="Times New Roman"/>
          <w:lang w:val="en-GB"/>
        </w:rPr>
        <w:t>Lemeshow</w:t>
      </w:r>
      <w:proofErr w:type="spellEnd"/>
      <w:r w:rsidR="00A055E9" w:rsidRPr="00DA27E1">
        <w:rPr>
          <w:rFonts w:cs="Times New Roman"/>
          <w:lang w:val="en-GB"/>
        </w:rPr>
        <w:t xml:space="preserve"> test was used evaluate the goodness of fit of the logistic regression model</w:t>
      </w:r>
      <w:r w:rsidR="00920A62" w:rsidRPr="00DA27E1">
        <w:rPr>
          <w:rFonts w:eastAsia="Times New Roman"/>
          <w:lang w:val="en-GB"/>
        </w:rPr>
        <w:t xml:space="preserve"> </w:t>
      </w:r>
      <w:r w:rsidR="00920A62" w:rsidRPr="00DA27E1">
        <w:rPr>
          <w:rFonts w:eastAsia="Times New Roman"/>
          <w:lang w:val="en-GB"/>
        </w:rPr>
        <w:fldChar w:fldCharType="begin"/>
      </w:r>
      <w:r w:rsidR="00EA059B" w:rsidRPr="00DA27E1">
        <w:rPr>
          <w:rFonts w:eastAsia="Times New Roman"/>
          <w:lang w:val="en-GB"/>
        </w:rPr>
        <w:instrText xml:space="preserve"> ADDIN ZOTERO_ITEM CSL_CITATION {"citationID":"dBDItLY5","properties":{"formattedCitation":"(27)","plainCitation":"(27)","noteIndex":0},"citationItems":[{"id":246,"uris":["http://zotero.org/users/6176940/items/E9WKCCEQ"],"uri":["http://zotero.org/users/6176940/items/E9WKCCEQ"],"itemData":{"id":246,"type":"article-journal","container-title":"Communications in Statistics - Theory and Methods","DOI":"10.1080/03610928008827941","ISSN":"0361-0926","issue":"10","journalAbbreviation":"Comm. in Stats. - Theory &amp; Methods","language":"en","page":"1043-1069","source":"DOI.org (Crossref)","title":"Goodness of fit tests for the multiple logistic regression model","volume":"9","author":[{"family":"Hosmer","given":"David W."},{"family":"Lemesbow","given":"Stanley"}],"issued":{"date-parts":[["1980"]]}}}],"schema":"https://github.com/citation-style-language/schema/raw/master/csl-citation.json"} </w:instrText>
      </w:r>
      <w:r w:rsidR="00920A62" w:rsidRPr="00DA27E1">
        <w:rPr>
          <w:rFonts w:eastAsia="Times New Roman"/>
          <w:lang w:val="en-GB"/>
        </w:rPr>
        <w:fldChar w:fldCharType="separate"/>
      </w:r>
      <w:r w:rsidR="00EA059B" w:rsidRPr="00DA27E1">
        <w:rPr>
          <w:rFonts w:cs="Times New Roman"/>
          <w:lang w:val="en-GB"/>
        </w:rPr>
        <w:t>(27)</w:t>
      </w:r>
      <w:r w:rsidR="00920A62" w:rsidRPr="00DA27E1">
        <w:rPr>
          <w:rFonts w:eastAsia="Times New Roman"/>
          <w:lang w:val="en-GB"/>
        </w:rPr>
        <w:fldChar w:fldCharType="end"/>
      </w:r>
      <w:r w:rsidR="00CF1CE8" w:rsidRPr="00DA27E1">
        <w:rPr>
          <w:rFonts w:eastAsia="Times New Roman"/>
          <w:lang w:val="en-GB"/>
        </w:rPr>
        <w:t>. Model assumption w</w:t>
      </w:r>
      <w:r w:rsidR="00FC443F" w:rsidRPr="00DA27E1">
        <w:rPr>
          <w:rFonts w:eastAsia="Times New Roman"/>
          <w:lang w:val="en-GB"/>
        </w:rPr>
        <w:t>as m</w:t>
      </w:r>
      <w:r w:rsidR="00CF1CE8" w:rsidRPr="00DA27E1">
        <w:rPr>
          <w:rFonts w:eastAsia="Times New Roman"/>
          <w:lang w:val="en-GB"/>
        </w:rPr>
        <w:t xml:space="preserve">et if p-value &gt; 0.05. </w:t>
      </w:r>
      <w:r w:rsidR="009B1F3B" w:rsidRPr="00DA27E1">
        <w:rPr>
          <w:rFonts w:cs="Times New Roman"/>
          <w:lang w:val="en-GB"/>
        </w:rPr>
        <w:t xml:space="preserve">We further evaluated influential observations </w:t>
      </w:r>
      <w:r w:rsidR="009B1F3B" w:rsidRPr="00DA27E1">
        <w:rPr>
          <w:rFonts w:eastAsia="Times New Roman" w:cs="Times New Roman"/>
          <w:lang w:val="en-GB"/>
        </w:rPr>
        <w:t xml:space="preserve">using </w:t>
      </w:r>
      <w:r w:rsidR="009B1F3B" w:rsidRPr="00DA27E1">
        <w:rPr>
          <w:rFonts w:cs="Times New Roman"/>
          <w:lang w:val="en-GB"/>
        </w:rPr>
        <w:t>diagnostic plots showing the deviance and leverage of each observation and the Pearson residual and assessed multicollinearity with a variance inflation factors (VIP) threshold of &gt;5</w:t>
      </w:r>
      <w:r w:rsidR="006B0A97" w:rsidRPr="00DA27E1">
        <w:rPr>
          <w:rFonts w:cs="Times New Roman"/>
          <w:lang w:val="en-GB"/>
        </w:rPr>
        <w:t xml:space="preserve"> </w:t>
      </w:r>
      <w:r w:rsidR="006B0A97" w:rsidRPr="00DA27E1">
        <w:rPr>
          <w:rFonts w:cs="Times New Roman"/>
          <w:lang w:val="en-GB"/>
        </w:rPr>
        <w:fldChar w:fldCharType="begin"/>
      </w:r>
      <w:r w:rsidR="006B0A97" w:rsidRPr="00DA27E1">
        <w:rPr>
          <w:rFonts w:cs="Times New Roman"/>
          <w:lang w:val="en-GB"/>
        </w:rPr>
        <w:instrText xml:space="preserve"> ADDIN ZOTERO_ITEM CSL_CITATION {"citationID":"V05aRBbz","properties":{"formattedCitation":"(28)","plainCitation":"(28)","noteIndex":0},"citationItems":[{"id":248,"uris":["http://zotero.org/users/6176940/items/VX8K8ZMW"],"uri":["http://zotero.org/users/6176940/items/VX8K8ZMW"],"itemData":{"id":248,"type":"book","call-number":"Lokal klassifikation: Int.25/711","edition":"2. ed","event-place":"London","ISBN":"0-7619-2208-3","language":"eng","publisher":"SAGE Publications, Inc.","publisher-place":"London","source":"dbc","title":"Applied logistic regression analysis","author":[{"family":"Menard","given":"Scott"}],"issued":{"date-parts":[["2002"]]}}}],"schema":"https://github.com/citation-style-language/schema/raw/master/csl-citation.json"} </w:instrText>
      </w:r>
      <w:r w:rsidR="006B0A97" w:rsidRPr="00DA27E1">
        <w:rPr>
          <w:rFonts w:cs="Times New Roman"/>
          <w:lang w:val="en-GB"/>
        </w:rPr>
        <w:fldChar w:fldCharType="separate"/>
      </w:r>
      <w:r w:rsidR="006B0A97" w:rsidRPr="00DA27E1">
        <w:rPr>
          <w:rFonts w:cs="Times New Roman"/>
          <w:lang w:val="en-GB"/>
        </w:rPr>
        <w:t>(28)</w:t>
      </w:r>
      <w:r w:rsidR="006B0A97" w:rsidRPr="00DA27E1">
        <w:rPr>
          <w:rFonts w:cs="Times New Roman"/>
          <w:lang w:val="en-GB"/>
        </w:rPr>
        <w:fldChar w:fldCharType="end"/>
      </w:r>
      <w:r w:rsidR="009B1606" w:rsidRPr="00DA27E1">
        <w:rPr>
          <w:rFonts w:cs="Times New Roman"/>
          <w:lang w:val="en-GB"/>
        </w:rPr>
        <w:t xml:space="preserve">. </w:t>
      </w:r>
      <w:r w:rsidR="002C721E" w:rsidRPr="00DA27E1">
        <w:rPr>
          <w:rFonts w:eastAsia="Times New Roman"/>
          <w:lang w:val="en-GB"/>
        </w:rPr>
        <w:t>Calculation of c</w:t>
      </w:r>
      <w:r w:rsidR="00CF1CE8" w:rsidRPr="00DA27E1">
        <w:rPr>
          <w:rFonts w:eastAsia="Times New Roman"/>
          <w:lang w:val="en-GB"/>
        </w:rPr>
        <w:t>hi-squared (χ2) and corresponding p-values, the coefficient of determination (</w:t>
      </w:r>
      <w:r w:rsidR="00B014EF" w:rsidRPr="00DA27E1">
        <w:rPr>
          <w:rFonts w:eastAsia="Times New Roman" w:cs="Times New Roman"/>
          <w:i/>
          <w:lang w:val="en-GB" w:eastAsia="da-DK"/>
        </w:rPr>
        <w:t>McFadden’s</w:t>
      </w:r>
      <w:r w:rsidR="00B014EF" w:rsidRPr="00DA27E1">
        <w:rPr>
          <w:rFonts w:cs="Times New Roman"/>
          <w:i/>
          <w:lang w:val="en-GB"/>
        </w:rPr>
        <w:t xml:space="preserve"> pseudo </w:t>
      </w:r>
      <w:r w:rsidR="00B014EF" w:rsidRPr="00DA27E1">
        <w:rPr>
          <w:rFonts w:eastAsia="Times New Roman" w:cs="Times New Roman"/>
          <w:i/>
          <w:lang w:val="en-GB"/>
        </w:rPr>
        <w:t>R</w:t>
      </w:r>
      <w:r w:rsidR="00B014EF" w:rsidRPr="00DA27E1">
        <w:rPr>
          <w:rFonts w:eastAsia="Times New Roman" w:cs="Times New Roman"/>
          <w:i/>
          <w:vertAlign w:val="superscript"/>
          <w:lang w:val="en-GB"/>
        </w:rPr>
        <w:t>2</w:t>
      </w:r>
      <w:r w:rsidR="00CF1CE8" w:rsidRPr="00DA27E1">
        <w:rPr>
          <w:rFonts w:eastAsia="Times New Roman"/>
          <w:lang w:val="en-GB"/>
        </w:rPr>
        <w:t xml:space="preserve">) and the correctly predicted percentage were further calculated for </w:t>
      </w:r>
      <w:r w:rsidR="009B1606" w:rsidRPr="00DA27E1">
        <w:rPr>
          <w:rFonts w:eastAsia="Times New Roman"/>
          <w:lang w:val="en-GB"/>
        </w:rPr>
        <w:t xml:space="preserve">the </w:t>
      </w:r>
      <w:r w:rsidR="00CF1CE8" w:rsidRPr="00DA27E1">
        <w:rPr>
          <w:rFonts w:eastAsia="Times New Roman"/>
          <w:lang w:val="en-GB"/>
        </w:rPr>
        <w:t>model</w:t>
      </w:r>
      <w:r w:rsidR="00E023CC" w:rsidRPr="00DA27E1">
        <w:rPr>
          <w:rFonts w:eastAsia="Times New Roman"/>
          <w:lang w:val="en-GB"/>
        </w:rPr>
        <w:t>.</w:t>
      </w:r>
      <w:r w:rsidR="00702E5B" w:rsidRPr="00DA27E1">
        <w:rPr>
          <w:rFonts w:eastAsia="Times New Roman"/>
          <w:lang w:val="en-GB"/>
        </w:rPr>
        <w:t xml:space="preserve"> </w:t>
      </w:r>
      <w:r w:rsidR="009B1F3B" w:rsidRPr="00DA27E1">
        <w:rPr>
          <w:rFonts w:cs="Times New Roman"/>
          <w:lang w:val="en-GB"/>
        </w:rPr>
        <w:t>The final model had no influential observations, it met the standard of the Hosmer-</w:t>
      </w:r>
      <w:proofErr w:type="spellStart"/>
      <w:r w:rsidR="009B1F3B" w:rsidRPr="00DA27E1">
        <w:rPr>
          <w:rFonts w:cs="Times New Roman"/>
          <w:lang w:val="en-GB"/>
        </w:rPr>
        <w:t>Lemeshow</w:t>
      </w:r>
      <w:proofErr w:type="spellEnd"/>
      <w:r w:rsidR="009B1F3B" w:rsidRPr="00DA27E1">
        <w:rPr>
          <w:rFonts w:cs="Times New Roman"/>
          <w:lang w:val="en-GB"/>
        </w:rPr>
        <w:t xml:space="preserve"> goodness of fit test (p&gt;0.05)</w:t>
      </w:r>
      <w:r w:rsidR="00702E5B" w:rsidRPr="00DA27E1">
        <w:rPr>
          <w:rFonts w:eastAsia="Times New Roman"/>
          <w:lang w:val="en-GB"/>
        </w:rPr>
        <w:t xml:space="preserve"> </w:t>
      </w:r>
      <w:r w:rsidR="00702E5B" w:rsidRPr="00DA27E1">
        <w:rPr>
          <w:rFonts w:eastAsia="Times New Roman"/>
          <w:lang w:val="en-GB"/>
        </w:rPr>
        <w:fldChar w:fldCharType="begin"/>
      </w:r>
      <w:r w:rsidR="00702E5B" w:rsidRPr="00DA27E1">
        <w:rPr>
          <w:rFonts w:eastAsia="Times New Roman"/>
          <w:lang w:val="en-GB"/>
        </w:rPr>
        <w:instrText xml:space="preserve"> ADDIN ZOTERO_ITEM CSL_CITATION {"citationID":"gMYpBpzG","properties":{"formattedCitation":"(27)","plainCitation":"(27)","noteIndex":0},"citationItems":[{"id":246,"uris":["http://zotero.org/users/6176940/items/E9WKCCEQ"],"uri":["http://zotero.org/users/6176940/items/E9WKCCEQ"],"itemData":{"id":246,"type":"article-journal","container-title":"Communications in Statistics - Theory and Methods","DOI":"10.1080/03610928008827941","ISSN":"0361-0926","issue":"10","journalAbbreviation":"Comm. in Stats. - Theory &amp; Methods","language":"en","page":"1043-1069","source":"DOI.org (Crossref)","title":"Goodness of fit tests for the multiple logistic regression model","volume":"9","author":[{"family":"Hosmer","given":"David W."},{"family":"Lemesbow","given":"Stanley"}],"issued":{"date-parts":[["1980"]]}}}],"schema":"https://github.com/citation-style-language/schema/raw/master/csl-citation.json"} </w:instrText>
      </w:r>
      <w:r w:rsidR="00702E5B" w:rsidRPr="00DA27E1">
        <w:rPr>
          <w:rFonts w:eastAsia="Times New Roman"/>
          <w:lang w:val="en-GB"/>
        </w:rPr>
        <w:fldChar w:fldCharType="separate"/>
      </w:r>
      <w:r w:rsidR="00702E5B" w:rsidRPr="00DA27E1">
        <w:rPr>
          <w:rFonts w:cs="Times New Roman"/>
          <w:lang w:val="en-GB"/>
        </w:rPr>
        <w:t>(27)</w:t>
      </w:r>
      <w:r w:rsidR="00702E5B" w:rsidRPr="00DA27E1">
        <w:rPr>
          <w:rFonts w:eastAsia="Times New Roman"/>
          <w:lang w:val="en-GB"/>
        </w:rPr>
        <w:fldChar w:fldCharType="end"/>
      </w:r>
      <w:r w:rsidR="009B1F3B" w:rsidRPr="00DA27E1">
        <w:rPr>
          <w:rFonts w:eastAsia="Times New Roman"/>
          <w:lang w:val="en-GB"/>
        </w:rPr>
        <w:t>,</w:t>
      </w:r>
      <w:r w:rsidR="00F20E35" w:rsidRPr="00DA27E1">
        <w:rPr>
          <w:rFonts w:eastAsia="Times New Roman"/>
          <w:lang w:val="en-GB"/>
        </w:rPr>
        <w:t xml:space="preserve"> </w:t>
      </w:r>
      <w:r w:rsidR="009B1F3B" w:rsidRPr="00DA27E1">
        <w:rPr>
          <w:rFonts w:cs="Times New Roman"/>
          <w:lang w:val="en-GB"/>
        </w:rPr>
        <w:t xml:space="preserve">the assumption of no multicollinearity was met (VIF&lt;3) and with a 73% correctly predicted percentage it was considered acceptable </w:t>
      </w:r>
      <w:r w:rsidR="00702E5B" w:rsidRPr="00DA27E1">
        <w:rPr>
          <w:lang w:val="en-GB"/>
        </w:rPr>
        <w:fldChar w:fldCharType="begin"/>
      </w:r>
      <w:r w:rsidR="006B0A97" w:rsidRPr="00DA27E1">
        <w:rPr>
          <w:lang w:val="en-GB"/>
        </w:rPr>
        <w:instrText xml:space="preserve"> ADDIN ZOTERO_ITEM CSL_CITATION {"citationID":"f2yfsBZb","properties":{"formattedCitation":"(29)","plainCitation":"(29)","noteIndex":0},"citationItems":[{"id":244,"uris":["http://zotero.org/users/6176940/items/VEJGZ88I"],"uri":["http://zotero.org/users/6176940/items/VEJGZ88I"],"itemData":{"id":244,"type":"article-journal","container-title":"Journal of Thoracic Oncology","DOI":"10.1097/JTO.0b013e3181ec173d","ISSN":"15560864","issue":"9","journalAbbreviation":"Journal of Thoracic Oncology","language":"en","page":"1315-1316","source":"DOI.org (Crossref)","title":"Receiver Operating Characteristic Curve in Diagnostic Test Assessment","volume":"5","author":[{"family":"Mandrekar","given":"Jayawant N."}],"issued":{"date-parts":[["2010",9]]}}}],"schema":"https://github.com/citation-style-language/schema/raw/master/csl-citation.json"} </w:instrText>
      </w:r>
      <w:r w:rsidR="00702E5B" w:rsidRPr="00DA27E1">
        <w:rPr>
          <w:lang w:val="en-GB"/>
        </w:rPr>
        <w:fldChar w:fldCharType="separate"/>
      </w:r>
      <w:r w:rsidR="006B0A97" w:rsidRPr="00DA27E1">
        <w:rPr>
          <w:rFonts w:cs="Times New Roman"/>
          <w:lang w:val="en-GB"/>
        </w:rPr>
        <w:t>(29)</w:t>
      </w:r>
      <w:r w:rsidR="00702E5B" w:rsidRPr="00DA27E1">
        <w:rPr>
          <w:lang w:val="en-GB"/>
        </w:rPr>
        <w:fldChar w:fldCharType="end"/>
      </w:r>
      <w:r w:rsidR="00702E5B" w:rsidRPr="00DA27E1">
        <w:rPr>
          <w:lang w:val="en-GB"/>
        </w:rPr>
        <w:t>.</w:t>
      </w:r>
    </w:p>
    <w:p w14:paraId="44C1EF5F" w14:textId="3D918BD8" w:rsidR="00843B59" w:rsidRPr="00DA27E1" w:rsidRDefault="00833BF8" w:rsidP="00833BF8">
      <w:pPr>
        <w:pStyle w:val="CommentText"/>
        <w:spacing w:after="240" w:line="480" w:lineRule="auto"/>
        <w:rPr>
          <w:rFonts w:ascii="Times New Roman" w:hAnsi="Times New Roman"/>
          <w:sz w:val="24"/>
          <w:szCs w:val="24"/>
          <w:lang w:val="en-GB"/>
        </w:rPr>
      </w:pPr>
      <w:r w:rsidRPr="00DA27E1">
        <w:rPr>
          <w:rFonts w:ascii="Times New Roman" w:eastAsia="Times New Roman" w:hAnsi="Times New Roman" w:cstheme="minorBidi"/>
          <w:sz w:val="24"/>
          <w:szCs w:val="22"/>
          <w:lang w:val="en-GB" w:eastAsia="en-US"/>
        </w:rPr>
        <w:t>The statistical software STATA/IC, version 16.0 (</w:t>
      </w:r>
      <w:proofErr w:type="spellStart"/>
      <w:r w:rsidRPr="00DA27E1">
        <w:rPr>
          <w:rFonts w:ascii="Times New Roman" w:eastAsia="Times New Roman" w:hAnsi="Times New Roman" w:cstheme="minorBidi"/>
          <w:sz w:val="24"/>
          <w:szCs w:val="22"/>
          <w:lang w:val="en-GB" w:eastAsia="en-US"/>
        </w:rPr>
        <w:t>StataCorp</w:t>
      </w:r>
      <w:proofErr w:type="spellEnd"/>
      <w:r w:rsidRPr="00DA27E1">
        <w:rPr>
          <w:rFonts w:ascii="Times New Roman" w:eastAsia="Times New Roman" w:hAnsi="Times New Roman" w:cstheme="minorBidi"/>
          <w:sz w:val="24"/>
          <w:szCs w:val="22"/>
          <w:lang w:val="en-GB" w:eastAsia="en-US"/>
        </w:rPr>
        <w:t>, College Station, Texas, USA) was used for all data analyses. The level of significance was set at p-value &lt; 0.05.</w:t>
      </w:r>
    </w:p>
    <w:p w14:paraId="38C1F4B4" w14:textId="5E57F6A6" w:rsidR="005B35AE" w:rsidRPr="00DA27E1" w:rsidRDefault="00502516" w:rsidP="009920B3">
      <w:pPr>
        <w:spacing w:line="480" w:lineRule="auto"/>
        <w:rPr>
          <w:rFonts w:cs="Times New Roman"/>
          <w:lang w:val="en-GB"/>
        </w:rPr>
      </w:pPr>
      <w:r w:rsidRPr="00DA27E1">
        <w:rPr>
          <w:rFonts w:eastAsia="MS Mincho" w:cs="Times New Roman"/>
          <w:szCs w:val="24"/>
          <w:lang w:val="en-GB" w:eastAsia="da-DK"/>
        </w:rPr>
        <w:t>Qualitative responses to why a patient dropped out were read twice and shortened down into central keywords. Subsequently, the different keywords were divided into overarching categories by the first author (CGS), reflecting the responses. Keywords, responses and the overarching categories were double-checked by and discussed with another author (BB) to ensure they reflected the data. Finally, the overarching categories are presented as numbers and proportions and furth</w:t>
      </w:r>
      <w:r w:rsidR="00A50C86" w:rsidRPr="00DA27E1">
        <w:rPr>
          <w:rFonts w:eastAsia="MS Mincho" w:cs="Times New Roman"/>
          <w:szCs w:val="24"/>
          <w:lang w:val="en-GB" w:eastAsia="da-DK"/>
        </w:rPr>
        <w:t>er divided into; patient, professional</w:t>
      </w:r>
      <w:r w:rsidRPr="00DA27E1">
        <w:rPr>
          <w:rFonts w:eastAsia="MS Mincho" w:cs="Times New Roman"/>
          <w:szCs w:val="24"/>
          <w:lang w:val="en-GB" w:eastAsia="da-DK"/>
        </w:rPr>
        <w:t xml:space="preserve"> and service fac</w:t>
      </w:r>
      <w:r w:rsidR="00106A27" w:rsidRPr="00DA27E1">
        <w:rPr>
          <w:rFonts w:eastAsia="MS Mincho" w:cs="Times New Roman"/>
          <w:szCs w:val="24"/>
          <w:lang w:val="en-GB" w:eastAsia="da-DK"/>
        </w:rPr>
        <w:t>tors following the framework of</w:t>
      </w:r>
      <w:r w:rsidR="00E50652" w:rsidRPr="00DA27E1">
        <w:rPr>
          <w:rFonts w:cs="Times New Roman"/>
          <w:lang w:val="en-GB"/>
        </w:rPr>
        <w:t xml:space="preserve"> </w:t>
      </w:r>
      <w:proofErr w:type="spellStart"/>
      <w:r w:rsidR="00E50652" w:rsidRPr="00DA27E1">
        <w:rPr>
          <w:rFonts w:cs="Times New Roman"/>
          <w:lang w:val="en-GB"/>
        </w:rPr>
        <w:t>Beswick</w:t>
      </w:r>
      <w:proofErr w:type="spellEnd"/>
      <w:r w:rsidR="00E50652" w:rsidRPr="00DA27E1">
        <w:rPr>
          <w:rFonts w:cs="Times New Roman"/>
          <w:lang w:val="en-GB"/>
        </w:rPr>
        <w:t xml:space="preserve"> et al.</w:t>
      </w:r>
      <w:r w:rsidR="005B35AE" w:rsidRPr="00DA27E1">
        <w:rPr>
          <w:rFonts w:cs="Times New Roman"/>
          <w:lang w:val="en-GB"/>
        </w:rPr>
        <w:t xml:space="preserve"> </w:t>
      </w:r>
      <w:r w:rsidR="005B35AE" w:rsidRPr="00DA27E1">
        <w:rPr>
          <w:rFonts w:cs="Times New Roman"/>
          <w:szCs w:val="24"/>
          <w:lang w:val="en-GB"/>
        </w:rPr>
        <w:fldChar w:fldCharType="begin"/>
      </w:r>
      <w:r w:rsidR="00EA059B" w:rsidRPr="00DA27E1">
        <w:rPr>
          <w:rFonts w:cs="Times New Roman"/>
          <w:szCs w:val="24"/>
          <w:lang w:val="en-GB"/>
        </w:rPr>
        <w:instrText xml:space="preserve"> ADDIN ZOTERO_ITEM CSL_CITATION {"citationID":"BYfYj3RR","properties":{"formattedCitation":"(14)","plainCitation":"(14)","noteIndex":0},"citationItems":[{"id":186,"uris":["http://zotero.org/users/6176940/items/QPSBRTIV"],"uri":["http://zotero.org/users/6176940/items/QPSBRTIV"],"itemData":{"id":186,"type":"article-journal","container-title":"Health Technology Assessment","DOI":"10.3310/hta8410","ISSN":"1366-5278, 2046-4924","issue":"41","journalAbbreviation":"Health Technol Assess","language":"en","source":"DOI.org (Crossref)","title":"Provision, uptake and cost of cardiac rehabilitation programmes: improving services to under-represented groups","title-short":"Provision, uptake and cost of cardiac rehabilitation programmes","URL":"https://www.journalslibrary.nihr.ac.uk/hta/hta8410/","volume":"8","author":[{"family":"Beswick","given":"A"},{"family":"Rees","given":"K"},{"family":"Griebsch","given":"I"},{"family":"Taylor","given":"F"},{"family":"Burke","given":"M"},{"family":"West","given":"R"},{"family":"Victory","given":"J"},{"family":"Brown","given":"J"},{"family":"Taylor","given":"R"},{"family":"Ebrahim","given":"S"}],"accessed":{"date-parts":[["2021",2,22]]},"issued":{"date-parts":[["2004",10]]}}}],"schema":"https://github.com/citation-style-language/schema/raw/master/csl-citation.json"} </w:instrText>
      </w:r>
      <w:r w:rsidR="005B35AE" w:rsidRPr="00DA27E1">
        <w:rPr>
          <w:rFonts w:cs="Times New Roman"/>
          <w:szCs w:val="24"/>
          <w:lang w:val="en-GB"/>
        </w:rPr>
        <w:fldChar w:fldCharType="separate"/>
      </w:r>
      <w:r w:rsidR="00EA059B" w:rsidRPr="00DA27E1">
        <w:rPr>
          <w:rFonts w:cs="Times New Roman"/>
          <w:lang w:val="en-GB"/>
        </w:rPr>
        <w:t>(14)</w:t>
      </w:r>
      <w:r w:rsidR="005B35AE" w:rsidRPr="00DA27E1">
        <w:rPr>
          <w:rFonts w:cs="Times New Roman"/>
          <w:szCs w:val="24"/>
          <w:lang w:val="en-GB"/>
        </w:rPr>
        <w:fldChar w:fldCharType="end"/>
      </w:r>
      <w:r w:rsidR="005B35AE" w:rsidRPr="00DA27E1">
        <w:rPr>
          <w:rFonts w:cs="Times New Roman"/>
          <w:szCs w:val="24"/>
          <w:lang w:val="en-GB"/>
        </w:rPr>
        <w:t>.</w:t>
      </w:r>
    </w:p>
    <w:p w14:paraId="2BBB3BFD" w14:textId="3A20F4B1" w:rsidR="005F244F" w:rsidRPr="00DA27E1" w:rsidRDefault="005F244F" w:rsidP="0094111C">
      <w:pPr>
        <w:spacing w:line="480" w:lineRule="auto"/>
        <w:rPr>
          <w:rFonts w:cs="Times New Roman"/>
          <w:lang w:val="en-GB"/>
        </w:rPr>
      </w:pPr>
      <w:bookmarkStart w:id="19" w:name="_Toc40367785"/>
      <w:bookmarkStart w:id="20" w:name="_Toc40368008"/>
      <w:bookmarkStart w:id="21" w:name="_Toc41990012"/>
      <w:r w:rsidRPr="00DA27E1">
        <w:rPr>
          <w:rFonts w:cs="Times New Roman"/>
          <w:b/>
          <w:sz w:val="28"/>
          <w:lang w:val="en-GB"/>
        </w:rPr>
        <w:t>Resul</w:t>
      </w:r>
      <w:r w:rsidR="00D6786D" w:rsidRPr="00DA27E1">
        <w:rPr>
          <w:rFonts w:cs="Times New Roman"/>
          <w:b/>
          <w:sz w:val="28"/>
          <w:lang w:val="en-GB"/>
        </w:rPr>
        <w:t>ts</w:t>
      </w:r>
      <w:bookmarkEnd w:id="19"/>
      <w:bookmarkEnd w:id="20"/>
      <w:bookmarkEnd w:id="21"/>
    </w:p>
    <w:p w14:paraId="7A0A18B4" w14:textId="77777777" w:rsidR="002B6659" w:rsidRPr="00DA27E1" w:rsidRDefault="005814B9" w:rsidP="0094111C">
      <w:pPr>
        <w:spacing w:line="480" w:lineRule="auto"/>
        <w:rPr>
          <w:rFonts w:cs="Times New Roman"/>
          <w:b/>
          <w:lang w:val="en-GB"/>
        </w:rPr>
      </w:pPr>
      <w:r w:rsidRPr="00DA27E1">
        <w:rPr>
          <w:rFonts w:cs="Times New Roman"/>
          <w:b/>
          <w:lang w:val="en-GB"/>
        </w:rPr>
        <w:t>Study flow</w:t>
      </w:r>
    </w:p>
    <w:p w14:paraId="12299EB9" w14:textId="602948AC" w:rsidR="00904813" w:rsidRPr="00DA27E1" w:rsidRDefault="00166ECA" w:rsidP="0094111C">
      <w:pPr>
        <w:spacing w:line="480" w:lineRule="auto"/>
        <w:rPr>
          <w:rFonts w:cs="Times New Roman"/>
          <w:szCs w:val="24"/>
          <w:lang w:val="en-GB"/>
        </w:rPr>
      </w:pPr>
      <w:r w:rsidRPr="00DA27E1">
        <w:rPr>
          <w:rFonts w:cs="Times New Roman"/>
          <w:szCs w:val="24"/>
          <w:lang w:val="en-GB"/>
        </w:rPr>
        <w:t>After the preliminary examination, 560 patients were eligible for participation in the exCR program, from which 279 patients (50%) accepted the invitati</w:t>
      </w:r>
      <w:r w:rsidR="00821859" w:rsidRPr="00DA27E1">
        <w:rPr>
          <w:rFonts w:cs="Times New Roman"/>
          <w:szCs w:val="24"/>
          <w:lang w:val="en-GB"/>
        </w:rPr>
        <w:t>on to participate in the study.</w:t>
      </w:r>
    </w:p>
    <w:p w14:paraId="100B92BB" w14:textId="2D6040D8" w:rsidR="004F2EF8" w:rsidRPr="00DA27E1" w:rsidRDefault="00166ECA" w:rsidP="0094111C">
      <w:pPr>
        <w:spacing w:line="480" w:lineRule="auto"/>
        <w:rPr>
          <w:rFonts w:cs="Times New Roman"/>
          <w:lang w:val="en-GB"/>
        </w:rPr>
      </w:pPr>
      <w:r w:rsidRPr="00DA27E1">
        <w:rPr>
          <w:rFonts w:cs="Times New Roman"/>
          <w:szCs w:val="24"/>
          <w:lang w:val="en-GB"/>
        </w:rPr>
        <w:t>The total study population ended in 265 of the 279 patients (95 %) (Figure 1).</w:t>
      </w:r>
    </w:p>
    <w:p w14:paraId="584C9A68" w14:textId="3C60FDD6" w:rsidR="00F558B7" w:rsidRPr="00DA27E1" w:rsidRDefault="00E754ED" w:rsidP="0094111C">
      <w:pPr>
        <w:spacing w:line="480" w:lineRule="auto"/>
        <w:rPr>
          <w:rFonts w:cs="Times New Roman"/>
          <w:b/>
          <w:lang w:val="en-GB"/>
        </w:rPr>
      </w:pPr>
      <w:bookmarkStart w:id="22" w:name="_Toc40367787"/>
      <w:bookmarkStart w:id="23" w:name="_Toc40368010"/>
      <w:bookmarkStart w:id="24" w:name="_Toc41990014"/>
      <w:r w:rsidRPr="00DA27E1">
        <w:rPr>
          <w:rFonts w:cs="Times New Roman"/>
          <w:b/>
          <w:lang w:val="en-GB"/>
        </w:rPr>
        <w:t xml:space="preserve">Patient </w:t>
      </w:r>
      <w:r w:rsidR="008A4FD7" w:rsidRPr="00DA27E1">
        <w:rPr>
          <w:rFonts w:cs="Times New Roman"/>
          <w:b/>
          <w:lang w:val="en-GB"/>
        </w:rPr>
        <w:t>characteristics</w:t>
      </w:r>
      <w:bookmarkEnd w:id="22"/>
      <w:bookmarkEnd w:id="23"/>
      <w:bookmarkEnd w:id="24"/>
      <w:r w:rsidR="00792BFF" w:rsidRPr="00DA27E1">
        <w:rPr>
          <w:rFonts w:cs="Times New Roman"/>
          <w:b/>
          <w:lang w:val="en-GB"/>
        </w:rPr>
        <w:t xml:space="preserve"> of the </w:t>
      </w:r>
      <w:r w:rsidR="00EB39BB" w:rsidRPr="00DA27E1">
        <w:rPr>
          <w:rFonts w:cs="Times New Roman"/>
          <w:b/>
          <w:lang w:val="en-GB"/>
        </w:rPr>
        <w:t xml:space="preserve">total </w:t>
      </w:r>
      <w:r w:rsidR="000E14B9" w:rsidRPr="00DA27E1">
        <w:rPr>
          <w:rFonts w:cs="Times New Roman"/>
          <w:b/>
          <w:lang w:val="en-GB"/>
        </w:rPr>
        <w:t>study population</w:t>
      </w:r>
    </w:p>
    <w:p w14:paraId="6C60C12F" w14:textId="5B54D9EB" w:rsidR="00C95D79" w:rsidRPr="00DA27E1" w:rsidRDefault="00C95D79" w:rsidP="0094111C">
      <w:pPr>
        <w:spacing w:line="480" w:lineRule="auto"/>
        <w:rPr>
          <w:rFonts w:cs="Times New Roman"/>
          <w:i/>
          <w:szCs w:val="24"/>
          <w:lang w:val="en-GB"/>
        </w:rPr>
      </w:pPr>
      <w:r w:rsidRPr="00DA27E1">
        <w:rPr>
          <w:rFonts w:cs="Times New Roman"/>
          <w:lang w:val="en-GB"/>
        </w:rPr>
        <w:t xml:space="preserve">The majority of the study population (n=265) was male (77%), </w:t>
      </w:r>
      <w:r w:rsidR="002C721E" w:rsidRPr="00DA27E1">
        <w:rPr>
          <w:rFonts w:cs="Times New Roman"/>
          <w:lang w:val="en-GB"/>
        </w:rPr>
        <w:t>the mean age was 68.1 years (SD=</w:t>
      </w:r>
      <w:r w:rsidRPr="00DA27E1">
        <w:rPr>
          <w:rFonts w:cs="Times New Roman"/>
          <w:lang w:val="en-GB"/>
        </w:rPr>
        <w:t>10.3) and the most prevalent cardiac diagnosis was corona</w:t>
      </w:r>
      <w:r w:rsidR="00792BFF" w:rsidRPr="00DA27E1">
        <w:rPr>
          <w:rFonts w:cs="Times New Roman"/>
          <w:lang w:val="en-GB"/>
        </w:rPr>
        <w:t>ry heart disease (57%)</w:t>
      </w:r>
      <w:r w:rsidR="00EB39BB" w:rsidRPr="00DA27E1">
        <w:rPr>
          <w:rFonts w:cs="Times New Roman"/>
          <w:lang w:val="en-GB"/>
        </w:rPr>
        <w:t xml:space="preserve"> </w:t>
      </w:r>
      <w:r w:rsidR="00821859" w:rsidRPr="00DA27E1">
        <w:rPr>
          <w:rFonts w:cs="Times New Roman"/>
          <w:szCs w:val="24"/>
          <w:lang w:val="en-GB"/>
        </w:rPr>
        <w:t>(Table 1).</w:t>
      </w:r>
    </w:p>
    <w:p w14:paraId="783082DA" w14:textId="034ACB6B" w:rsidR="00E3475A" w:rsidRPr="00DA27E1" w:rsidRDefault="00FB1EE8" w:rsidP="0094111C">
      <w:pPr>
        <w:spacing w:line="480" w:lineRule="auto"/>
        <w:rPr>
          <w:rFonts w:cs="Times New Roman"/>
          <w:b/>
          <w:lang w:val="en-GB"/>
        </w:rPr>
      </w:pPr>
      <w:r w:rsidRPr="00DA27E1">
        <w:rPr>
          <w:rFonts w:cs="Times New Roman"/>
          <w:b/>
          <w:lang w:val="en-GB"/>
        </w:rPr>
        <w:t>Dropout during the 12-week</w:t>
      </w:r>
      <w:r w:rsidR="007A491B" w:rsidRPr="00DA27E1">
        <w:rPr>
          <w:rFonts w:cs="Times New Roman"/>
          <w:b/>
          <w:lang w:val="en-GB"/>
        </w:rPr>
        <w:t xml:space="preserve"> exCR </w:t>
      </w:r>
      <w:r w:rsidR="002B6659" w:rsidRPr="00DA27E1">
        <w:rPr>
          <w:rFonts w:cs="Times New Roman"/>
          <w:b/>
          <w:lang w:val="en-GB"/>
        </w:rPr>
        <w:t>program</w:t>
      </w:r>
    </w:p>
    <w:p w14:paraId="648C724C" w14:textId="0C04DF60" w:rsidR="005219F5" w:rsidRPr="00DA27E1" w:rsidRDefault="00C97E4A" w:rsidP="005219F5">
      <w:pPr>
        <w:autoSpaceDE w:val="0"/>
        <w:autoSpaceDN w:val="0"/>
        <w:adjustRightInd w:val="0"/>
        <w:spacing w:line="480" w:lineRule="auto"/>
        <w:rPr>
          <w:rFonts w:cs="Times New Roman"/>
          <w:lang w:val="en-GB"/>
        </w:rPr>
      </w:pPr>
      <w:r w:rsidRPr="00DA27E1">
        <w:rPr>
          <w:rFonts w:cs="Times New Roman"/>
          <w:lang w:val="en-GB"/>
        </w:rPr>
        <w:t xml:space="preserve">A total of </w:t>
      </w:r>
      <w:r w:rsidR="00C95D79" w:rsidRPr="00DA27E1">
        <w:rPr>
          <w:rFonts w:cs="Times New Roman"/>
          <w:lang w:val="en-GB"/>
        </w:rPr>
        <w:t>279 patients started the exCR program, 14 were lost to follow-up</w:t>
      </w:r>
      <w:r w:rsidR="00FC443F" w:rsidRPr="00DA27E1">
        <w:rPr>
          <w:rFonts w:cs="Times New Roman"/>
          <w:lang w:val="en-GB"/>
        </w:rPr>
        <w:t>,</w:t>
      </w:r>
      <w:r w:rsidR="00C95D79" w:rsidRPr="00DA27E1">
        <w:rPr>
          <w:rFonts w:cs="Times New Roman"/>
          <w:lang w:val="en-GB"/>
        </w:rPr>
        <w:t xml:space="preserve"> leaving data regarding time for dropout in 265 patients, of those 103 patients dropped out</w:t>
      </w:r>
      <w:r w:rsidR="005F4F5A" w:rsidRPr="00DA27E1">
        <w:rPr>
          <w:rFonts w:cs="Times New Roman"/>
          <w:lang w:val="en-GB"/>
        </w:rPr>
        <w:t xml:space="preserve">. </w:t>
      </w:r>
      <w:r w:rsidR="005219F5" w:rsidRPr="00DA27E1">
        <w:rPr>
          <w:rFonts w:cs="Times New Roman"/>
          <w:lang w:val="en-GB"/>
        </w:rPr>
        <w:t xml:space="preserve">At exercise session number 6, a total of 8 patients (3% (95% CI: 1% to 6%)) from the entire population had dropped out. At exercise session 12, 18 patients (7% (95% CI: 4% to 10%)) had dropped out. At exercise session number 18, 96 patients had dropped out (36% (95% CI: 31% to 42%)) and at the end of the program (exercise session 24) a total of 103 patients (39% (95% CI: 33% to 45%)) had dropped out of the </w:t>
      </w:r>
      <w:r w:rsidR="005B611F" w:rsidRPr="00DA27E1">
        <w:rPr>
          <w:rFonts w:cs="Times New Roman"/>
          <w:lang w:val="en-GB"/>
        </w:rPr>
        <w:t>total population (F</w:t>
      </w:r>
      <w:r w:rsidR="005219F5" w:rsidRPr="00DA27E1">
        <w:rPr>
          <w:rFonts w:cs="Times New Roman"/>
          <w:lang w:val="en-GB"/>
        </w:rPr>
        <w:t>igure 2).</w:t>
      </w:r>
    </w:p>
    <w:p w14:paraId="6C57B989" w14:textId="54548C66" w:rsidR="00843B59" w:rsidRPr="00DA27E1" w:rsidRDefault="005219F5" w:rsidP="005219F5">
      <w:pPr>
        <w:autoSpaceDE w:val="0"/>
        <w:autoSpaceDN w:val="0"/>
        <w:adjustRightInd w:val="0"/>
        <w:spacing w:line="480" w:lineRule="auto"/>
        <w:rPr>
          <w:rFonts w:cs="Times New Roman"/>
          <w:lang w:val="en-GB"/>
        </w:rPr>
      </w:pPr>
      <w:r w:rsidRPr="00DA27E1">
        <w:rPr>
          <w:rFonts w:cs="Times New Roman"/>
          <w:lang w:val="en-GB"/>
        </w:rPr>
        <w:t>Of the 103 patient that dropped out, 72 patients (70 %) dropped out at the transition phase between the hospital and the municipalities. In comparison, 18 patients (17%) dropped out during the hospital phase and 13 patients (13%) at the municipality phase.</w:t>
      </w:r>
    </w:p>
    <w:p w14:paraId="1307286B" w14:textId="458AD8FC" w:rsidR="007A491B" w:rsidRPr="00DA27E1" w:rsidRDefault="007A491B" w:rsidP="0094111C">
      <w:pPr>
        <w:spacing w:line="480" w:lineRule="auto"/>
        <w:rPr>
          <w:rFonts w:cs="Times New Roman"/>
          <w:b/>
          <w:lang w:val="en-GB"/>
        </w:rPr>
      </w:pPr>
      <w:bookmarkStart w:id="25" w:name="_Toc40367789"/>
      <w:bookmarkStart w:id="26" w:name="_Toc40368012"/>
      <w:bookmarkStart w:id="27" w:name="_Toc41990016"/>
      <w:r w:rsidRPr="00DA27E1">
        <w:rPr>
          <w:rFonts w:cs="Times New Roman"/>
          <w:b/>
          <w:lang w:val="en-GB"/>
        </w:rPr>
        <w:t xml:space="preserve">Associations between </w:t>
      </w:r>
      <w:r w:rsidR="00BE00DF" w:rsidRPr="00DA27E1">
        <w:rPr>
          <w:rFonts w:cs="Times New Roman"/>
          <w:b/>
          <w:lang w:val="en-GB"/>
        </w:rPr>
        <w:t>patient</w:t>
      </w:r>
      <w:r w:rsidRPr="00DA27E1">
        <w:rPr>
          <w:rFonts w:cs="Times New Roman"/>
          <w:b/>
          <w:lang w:val="en-GB"/>
        </w:rPr>
        <w:t xml:space="preserve"> </w:t>
      </w:r>
      <w:r w:rsidR="00AF6844" w:rsidRPr="00DA27E1">
        <w:rPr>
          <w:rFonts w:cs="Times New Roman"/>
          <w:b/>
          <w:lang w:val="en-GB"/>
        </w:rPr>
        <w:t>characteristics</w:t>
      </w:r>
      <w:r w:rsidRPr="00DA27E1">
        <w:rPr>
          <w:rFonts w:cs="Times New Roman"/>
          <w:b/>
          <w:lang w:val="en-GB"/>
        </w:rPr>
        <w:t xml:space="preserve"> </w:t>
      </w:r>
      <w:r w:rsidR="002B030A" w:rsidRPr="00DA27E1">
        <w:rPr>
          <w:rFonts w:cs="Times New Roman"/>
          <w:b/>
          <w:lang w:val="en-GB"/>
        </w:rPr>
        <w:t>and dropout at</w:t>
      </w:r>
      <w:r w:rsidRPr="00DA27E1">
        <w:rPr>
          <w:rFonts w:cs="Times New Roman"/>
          <w:b/>
          <w:lang w:val="en-GB"/>
        </w:rPr>
        <w:t xml:space="preserve"> the </w:t>
      </w:r>
      <w:r w:rsidR="002B030A" w:rsidRPr="00DA27E1">
        <w:rPr>
          <w:rFonts w:cs="Times New Roman"/>
          <w:b/>
          <w:lang w:val="en-GB"/>
        </w:rPr>
        <w:t>transition</w:t>
      </w:r>
    </w:p>
    <w:bookmarkEnd w:id="25"/>
    <w:bookmarkEnd w:id="26"/>
    <w:bookmarkEnd w:id="27"/>
    <w:p w14:paraId="73DDF4E3" w14:textId="60260805" w:rsidR="00FB67F6" w:rsidRPr="00DA27E1" w:rsidRDefault="00916CCE" w:rsidP="00D46A27">
      <w:pPr>
        <w:spacing w:line="480" w:lineRule="auto"/>
        <w:rPr>
          <w:rFonts w:cs="Times New Roman"/>
          <w:i/>
          <w:sz w:val="22"/>
          <w:lang w:val="en-GB"/>
        </w:rPr>
      </w:pPr>
      <w:r w:rsidRPr="00DA27E1">
        <w:rPr>
          <w:lang w:val="en-GB"/>
        </w:rPr>
        <w:t>A</w:t>
      </w:r>
      <w:r w:rsidR="00586B5F" w:rsidRPr="00DA27E1">
        <w:rPr>
          <w:lang w:val="en-GB"/>
        </w:rPr>
        <w:t xml:space="preserve"> </w:t>
      </w:r>
      <w:r w:rsidR="00CA4C09" w:rsidRPr="00DA27E1">
        <w:rPr>
          <w:lang w:val="en-GB"/>
        </w:rPr>
        <w:t>multip</w:t>
      </w:r>
      <w:r w:rsidR="00662B30" w:rsidRPr="00DA27E1">
        <w:rPr>
          <w:lang w:val="en-GB"/>
        </w:rPr>
        <w:t xml:space="preserve">le logistic regression </w:t>
      </w:r>
      <w:r w:rsidR="009727EB" w:rsidRPr="00DA27E1">
        <w:rPr>
          <w:lang w:val="en-GB"/>
        </w:rPr>
        <w:t xml:space="preserve">model </w:t>
      </w:r>
      <w:r w:rsidR="00586B5F" w:rsidRPr="00DA27E1">
        <w:rPr>
          <w:lang w:val="en-GB"/>
        </w:rPr>
        <w:t>contain</w:t>
      </w:r>
      <w:r w:rsidRPr="00DA27E1">
        <w:rPr>
          <w:lang w:val="en-GB"/>
        </w:rPr>
        <w:t>ing</w:t>
      </w:r>
      <w:r w:rsidR="00586B5F" w:rsidRPr="00DA27E1">
        <w:rPr>
          <w:lang w:val="en-GB"/>
        </w:rPr>
        <w:t xml:space="preserve"> </w:t>
      </w:r>
      <w:r w:rsidRPr="00DA27E1">
        <w:rPr>
          <w:lang w:val="en-GB"/>
        </w:rPr>
        <w:t xml:space="preserve">gender, </w:t>
      </w:r>
      <w:r w:rsidR="00586B5F" w:rsidRPr="00DA27E1">
        <w:rPr>
          <w:lang w:val="en-GB"/>
        </w:rPr>
        <w:t xml:space="preserve">age, </w:t>
      </w:r>
      <w:r w:rsidRPr="00DA27E1">
        <w:rPr>
          <w:lang w:val="en-GB"/>
        </w:rPr>
        <w:t xml:space="preserve">cardiac diagnosis, </w:t>
      </w:r>
      <w:r w:rsidR="00586B5F" w:rsidRPr="00DA27E1">
        <w:rPr>
          <w:lang w:val="en-GB"/>
        </w:rPr>
        <w:t>occupational status and number of attended exercise sessions until transition</w:t>
      </w:r>
      <w:r w:rsidRPr="00DA27E1">
        <w:rPr>
          <w:lang w:val="en-GB"/>
        </w:rPr>
        <w:t xml:space="preserve"> was </w:t>
      </w:r>
      <w:r w:rsidR="0018295A" w:rsidRPr="00DA27E1">
        <w:rPr>
          <w:lang w:val="en-GB"/>
        </w:rPr>
        <w:t>developed</w:t>
      </w:r>
      <w:r w:rsidRPr="00DA27E1">
        <w:rPr>
          <w:lang w:val="en-GB"/>
        </w:rPr>
        <w:t>.</w:t>
      </w:r>
      <w:r w:rsidR="00586B5F" w:rsidRPr="00DA27E1">
        <w:rPr>
          <w:lang w:val="en-GB"/>
        </w:rPr>
        <w:t xml:space="preserve"> </w:t>
      </w:r>
      <w:r w:rsidR="00D46A27" w:rsidRPr="00DA27E1">
        <w:rPr>
          <w:rFonts w:cs="Times New Roman"/>
          <w:lang w:val="en-GB"/>
        </w:rPr>
        <w:t xml:space="preserve">Being attached to the </w:t>
      </w:r>
      <w:r w:rsidR="00DE36D4" w:rsidRPr="00DA27E1">
        <w:rPr>
          <w:rFonts w:cs="Times New Roman"/>
          <w:lang w:val="en-GB"/>
        </w:rPr>
        <w:t>labour</w:t>
      </w:r>
      <w:r w:rsidR="00D46A27" w:rsidRPr="00DA27E1">
        <w:rPr>
          <w:rFonts w:cs="Times New Roman"/>
          <w:lang w:val="en-GB"/>
        </w:rPr>
        <w:t xml:space="preserve"> market was significantly associated with dropout at the transition compared to not being attached to the </w:t>
      </w:r>
      <w:r w:rsidR="00DE36D4" w:rsidRPr="00DA27E1">
        <w:rPr>
          <w:rFonts w:cs="Times New Roman"/>
          <w:lang w:val="en-GB"/>
        </w:rPr>
        <w:t>labour</w:t>
      </w:r>
      <w:r w:rsidR="00D46A27" w:rsidRPr="00DA27E1">
        <w:rPr>
          <w:rFonts w:cs="Times New Roman"/>
          <w:lang w:val="en-GB"/>
        </w:rPr>
        <w:t xml:space="preserve"> market OR=6.31 (95% CI: 2.04 to 19.54).</w:t>
      </w:r>
      <w:r w:rsidR="005A3089" w:rsidRPr="00DA27E1">
        <w:rPr>
          <w:rFonts w:cs="Times New Roman"/>
          <w:i/>
          <w:sz w:val="22"/>
          <w:lang w:val="en-GB"/>
        </w:rPr>
        <w:t xml:space="preserve"> </w:t>
      </w:r>
      <w:r w:rsidR="00FB67F6" w:rsidRPr="00DA27E1">
        <w:rPr>
          <w:rFonts w:cs="Times New Roman"/>
          <w:lang w:val="en-GB"/>
        </w:rPr>
        <w:t>Further, the odds of dropping out at transition were reduced for each extra exercise session attended until the transition OR=0.79 (95% CI: 0.66 to 0.9</w:t>
      </w:r>
      <w:r w:rsidRPr="00DA27E1">
        <w:rPr>
          <w:rFonts w:cs="Times New Roman"/>
          <w:lang w:val="en-GB"/>
        </w:rPr>
        <w:t>4</w:t>
      </w:r>
      <w:r w:rsidR="00FB67F6" w:rsidRPr="00DA27E1">
        <w:rPr>
          <w:rFonts w:cs="Times New Roman"/>
          <w:lang w:val="en-GB"/>
        </w:rPr>
        <w:t xml:space="preserve">) </w:t>
      </w:r>
      <w:r w:rsidR="0038065F" w:rsidRPr="00DA27E1">
        <w:rPr>
          <w:rFonts w:cs="Times New Roman"/>
          <w:lang w:val="en-GB"/>
        </w:rPr>
        <w:t>(Table 2)</w:t>
      </w:r>
      <w:r w:rsidR="00FB67F6" w:rsidRPr="00DA27E1">
        <w:rPr>
          <w:rFonts w:cs="Times New Roman"/>
          <w:lang w:val="en-GB"/>
        </w:rPr>
        <w:t>.</w:t>
      </w:r>
    </w:p>
    <w:p w14:paraId="497E86FB" w14:textId="0BE3396A" w:rsidR="007A491B" w:rsidRPr="00DA27E1" w:rsidRDefault="00C821A3" w:rsidP="0094111C">
      <w:pPr>
        <w:tabs>
          <w:tab w:val="left" w:pos="851"/>
        </w:tabs>
        <w:spacing w:line="480" w:lineRule="auto"/>
        <w:rPr>
          <w:rFonts w:cs="Times New Roman"/>
          <w:b/>
          <w:lang w:val="en-GB"/>
        </w:rPr>
      </w:pPr>
      <w:r w:rsidRPr="00DA27E1">
        <w:rPr>
          <w:rFonts w:cs="Times New Roman"/>
          <w:b/>
          <w:lang w:val="en-GB"/>
        </w:rPr>
        <w:t>R</w:t>
      </w:r>
      <w:r w:rsidR="007A491B" w:rsidRPr="00DA27E1">
        <w:rPr>
          <w:rFonts w:cs="Times New Roman"/>
          <w:b/>
          <w:lang w:val="en-GB"/>
        </w:rPr>
        <w:t>easons</w:t>
      </w:r>
      <w:r w:rsidR="00C53105" w:rsidRPr="00DA27E1">
        <w:rPr>
          <w:rFonts w:cs="Times New Roman"/>
          <w:b/>
          <w:lang w:val="en-GB"/>
        </w:rPr>
        <w:t xml:space="preserve"> for dropping out</w:t>
      </w:r>
    </w:p>
    <w:p w14:paraId="62C6C0B4" w14:textId="2C39DBA3" w:rsidR="00CD64EE" w:rsidRPr="00DA27E1" w:rsidRDefault="00EC2FE9" w:rsidP="00E406B6">
      <w:pPr>
        <w:spacing w:line="480" w:lineRule="auto"/>
        <w:rPr>
          <w:rFonts w:cs="Times New Roman"/>
          <w:lang w:val="en-GB"/>
        </w:rPr>
      </w:pPr>
      <w:r w:rsidRPr="00DA27E1">
        <w:rPr>
          <w:rFonts w:cs="Times New Roman"/>
          <w:lang w:val="en-GB"/>
        </w:rPr>
        <w:t xml:space="preserve">A total of </w:t>
      </w:r>
      <w:r w:rsidR="00907AC1" w:rsidRPr="00DA27E1">
        <w:rPr>
          <w:rFonts w:cs="Times New Roman"/>
          <w:lang w:val="en-GB"/>
        </w:rPr>
        <w:t xml:space="preserve">103 patients dropped out of the exCR program, all patients were asked </w:t>
      </w:r>
      <w:r w:rsidR="00FC443F" w:rsidRPr="00DA27E1">
        <w:rPr>
          <w:rFonts w:cs="Times New Roman"/>
          <w:lang w:val="en-GB"/>
        </w:rPr>
        <w:t>about</w:t>
      </w:r>
      <w:r w:rsidR="00907AC1" w:rsidRPr="00DA27E1">
        <w:rPr>
          <w:rFonts w:cs="Times New Roman"/>
          <w:lang w:val="en-GB"/>
        </w:rPr>
        <w:t xml:space="preserve"> the reason for the dropout.</w:t>
      </w:r>
      <w:r w:rsidR="00907AC1" w:rsidRPr="00DA27E1">
        <w:rPr>
          <w:rFonts w:cs="Times New Roman"/>
          <w:i/>
          <w:lang w:val="en-GB"/>
        </w:rPr>
        <w:t xml:space="preserve"> </w:t>
      </w:r>
      <w:r w:rsidR="00A10923" w:rsidRPr="00DA27E1">
        <w:rPr>
          <w:rFonts w:cs="Times New Roman"/>
          <w:lang w:val="en-GB"/>
        </w:rPr>
        <w:t>Of the 103 reasons gathered,</w:t>
      </w:r>
      <w:r w:rsidR="00CD64EE" w:rsidRPr="00DA27E1">
        <w:rPr>
          <w:rFonts w:cs="Times New Roman"/>
          <w:lang w:val="en-GB"/>
        </w:rPr>
        <w:t xml:space="preserve"> 8 patients stated two reasons for dropout at the transition and 2 patients stated two reasons for dropout in the hospital or municipalities resulting in 113 reasons for dropout. At the transition phase, the most frequently reported answer for dropout was that patients had to return to work with 24%. The most frequently reported reason for dropout at the hospital or the municipalities was related to comorbidities with 39% (Table 3).</w:t>
      </w:r>
    </w:p>
    <w:p w14:paraId="526840A0" w14:textId="299D9BE2" w:rsidR="001A747D" w:rsidRPr="00DA27E1" w:rsidRDefault="00907AC1" w:rsidP="00E406B6">
      <w:pPr>
        <w:spacing w:line="480" w:lineRule="auto"/>
        <w:rPr>
          <w:lang w:val="en-GB"/>
        </w:rPr>
      </w:pPr>
      <w:r w:rsidRPr="00DA27E1">
        <w:rPr>
          <w:lang w:val="en-GB"/>
        </w:rPr>
        <w:t xml:space="preserve">Results from the three categories inspired by </w:t>
      </w:r>
      <w:proofErr w:type="spellStart"/>
      <w:r w:rsidRPr="00DA27E1">
        <w:rPr>
          <w:lang w:val="en-GB"/>
        </w:rPr>
        <w:t>Beswich</w:t>
      </w:r>
      <w:proofErr w:type="spellEnd"/>
      <w:r w:rsidRPr="00DA27E1">
        <w:rPr>
          <w:lang w:val="en-GB"/>
        </w:rPr>
        <w:t xml:space="preserve"> et al. in 2004 </w:t>
      </w:r>
      <w:r w:rsidR="00CD64EE" w:rsidRPr="00DA27E1">
        <w:rPr>
          <w:lang w:val="en-GB"/>
        </w:rPr>
        <w:fldChar w:fldCharType="begin"/>
      </w:r>
      <w:r w:rsidR="00EA059B" w:rsidRPr="00DA27E1">
        <w:rPr>
          <w:lang w:val="en-GB"/>
        </w:rPr>
        <w:instrText xml:space="preserve"> ADDIN ZOTERO_ITEM CSL_CITATION {"citationID":"OAmPpAXW","properties":{"formattedCitation":"(14)","plainCitation":"(14)","noteIndex":0},"citationItems":[{"id":186,"uris":["http://zotero.org/users/6176940/items/QPSBRTIV"],"uri":["http://zotero.org/users/6176940/items/QPSBRTIV"],"itemData":{"id":186,"type":"article-journal","container-title":"Health Technology Assessment","DOI":"10.3310/hta8410","ISSN":"1366-5278, 2046-4924","issue":"41","journalAbbreviation":"Health Technol Assess","language":"en","source":"DOI.org (Crossref)","title":"Provision, uptake and cost of cardiac rehabilitation programmes: improving services to under-represented groups","title-short":"Provision, uptake and cost of cardiac rehabilitation programmes","URL":"https://www.journalslibrary.nihr.ac.uk/hta/hta8410/","volume":"8","author":[{"family":"Beswick","given":"A"},{"family":"Rees","given":"K"},{"family":"Griebsch","given":"I"},{"family":"Taylor","given":"F"},{"family":"Burke","given":"M"},{"family":"West","given":"R"},{"family":"Victory","given":"J"},{"family":"Brown","given":"J"},{"family":"Taylor","given":"R"},{"family":"Ebrahim","given":"S"}],"accessed":{"date-parts":[["2021",2,22]]},"issued":{"date-parts":[["2004",10]]}}}],"schema":"https://github.com/citation-style-language/schema/raw/master/csl-citation.json"} </w:instrText>
      </w:r>
      <w:r w:rsidR="00CD64EE" w:rsidRPr="00DA27E1">
        <w:rPr>
          <w:lang w:val="en-GB"/>
        </w:rPr>
        <w:fldChar w:fldCharType="separate"/>
      </w:r>
      <w:r w:rsidR="00EA059B" w:rsidRPr="00DA27E1">
        <w:rPr>
          <w:rFonts w:cs="Times New Roman"/>
          <w:lang w:val="en-GB"/>
        </w:rPr>
        <w:t>(14)</w:t>
      </w:r>
      <w:r w:rsidR="00CD64EE" w:rsidRPr="00DA27E1">
        <w:rPr>
          <w:lang w:val="en-GB"/>
        </w:rPr>
        <w:fldChar w:fldCharType="end"/>
      </w:r>
      <w:r w:rsidR="00A50C86" w:rsidRPr="00DA27E1">
        <w:rPr>
          <w:lang w:val="en-GB"/>
        </w:rPr>
        <w:t xml:space="preserve"> </w:t>
      </w:r>
      <w:r w:rsidRPr="00DA27E1">
        <w:rPr>
          <w:lang w:val="en-GB"/>
        </w:rPr>
        <w:t>point towards patient factors as the main reason for dropout from both the transition phase and the hospital or municipalities (Table 3)</w:t>
      </w:r>
      <w:r w:rsidR="0057332E" w:rsidRPr="00DA27E1">
        <w:rPr>
          <w:lang w:val="en-GB"/>
        </w:rPr>
        <w:t>.</w:t>
      </w:r>
    </w:p>
    <w:p w14:paraId="5F5890B7" w14:textId="77777777" w:rsidR="00912CAE" w:rsidRPr="00DA27E1" w:rsidRDefault="00912CAE" w:rsidP="0094111C">
      <w:pPr>
        <w:spacing w:line="480" w:lineRule="auto"/>
        <w:rPr>
          <w:rFonts w:cs="Times New Roman"/>
          <w:sz w:val="28"/>
          <w:lang w:val="en-GB"/>
        </w:rPr>
      </w:pPr>
      <w:bookmarkStart w:id="28" w:name="_Toc40367790"/>
      <w:bookmarkStart w:id="29" w:name="_Toc40368013"/>
      <w:bookmarkStart w:id="30" w:name="_Toc41990017"/>
      <w:r w:rsidRPr="00DA27E1">
        <w:rPr>
          <w:rFonts w:cs="Times New Roman"/>
          <w:b/>
          <w:sz w:val="28"/>
          <w:lang w:val="en-GB"/>
        </w:rPr>
        <w:t>Discussion</w:t>
      </w:r>
    </w:p>
    <w:p w14:paraId="7A41039D" w14:textId="46D7D871" w:rsidR="004819AA" w:rsidRPr="00DA27E1" w:rsidRDefault="00BD438E" w:rsidP="00C37BA8">
      <w:pPr>
        <w:spacing w:line="480" w:lineRule="auto"/>
        <w:rPr>
          <w:rFonts w:cs="Times New Roman"/>
          <w:lang w:val="en-GB"/>
        </w:rPr>
      </w:pPr>
      <w:r w:rsidRPr="00DA27E1">
        <w:rPr>
          <w:rFonts w:cs="Times New Roman"/>
          <w:lang w:val="en-GB"/>
        </w:rPr>
        <w:t>We</w:t>
      </w:r>
      <w:r w:rsidR="004819AA" w:rsidRPr="00DA27E1">
        <w:rPr>
          <w:rFonts w:cs="Times New Roman"/>
          <w:lang w:val="en-GB"/>
        </w:rPr>
        <w:t xml:space="preserve"> investigate</w:t>
      </w:r>
      <w:r w:rsidR="00B309D3" w:rsidRPr="00DA27E1">
        <w:rPr>
          <w:rFonts w:cs="Times New Roman"/>
          <w:lang w:val="en-GB"/>
        </w:rPr>
        <w:t>d</w:t>
      </w:r>
      <w:r w:rsidR="004819AA" w:rsidRPr="00DA27E1">
        <w:rPr>
          <w:rFonts w:cs="Times New Roman"/>
          <w:lang w:val="en-GB"/>
        </w:rPr>
        <w:t xml:space="preserve"> dropout during a 12-week exCR program </w:t>
      </w:r>
      <w:r w:rsidR="00AB71B4" w:rsidRPr="00DA27E1">
        <w:rPr>
          <w:rFonts w:cs="Times New Roman"/>
          <w:lang w:val="en-GB"/>
        </w:rPr>
        <w:t xml:space="preserve">with a </w:t>
      </w:r>
      <w:r w:rsidR="001804C7" w:rsidRPr="00DA27E1">
        <w:rPr>
          <w:rFonts w:cs="Times New Roman"/>
          <w:lang w:val="en-GB"/>
        </w:rPr>
        <w:t>transition</w:t>
      </w:r>
      <w:r w:rsidR="000E368C" w:rsidRPr="00DA27E1">
        <w:rPr>
          <w:rFonts w:cs="Times New Roman"/>
          <w:lang w:val="en-GB"/>
        </w:rPr>
        <w:t xml:space="preserve"> phase</w:t>
      </w:r>
      <w:r w:rsidR="004819AA" w:rsidRPr="00DA27E1">
        <w:rPr>
          <w:rFonts w:cs="Times New Roman"/>
          <w:lang w:val="en-GB"/>
        </w:rPr>
        <w:t xml:space="preserve"> between hospital and municipalities</w:t>
      </w:r>
      <w:r w:rsidR="001804C7" w:rsidRPr="00DA27E1">
        <w:rPr>
          <w:rFonts w:cs="Times New Roman"/>
          <w:lang w:val="en-GB"/>
        </w:rPr>
        <w:t xml:space="preserve"> after 6 weeks</w:t>
      </w:r>
      <w:r w:rsidR="004819AA" w:rsidRPr="00DA27E1">
        <w:rPr>
          <w:rFonts w:cs="Times New Roman"/>
          <w:lang w:val="en-GB"/>
        </w:rPr>
        <w:t xml:space="preserve">. </w:t>
      </w:r>
      <w:r w:rsidRPr="00DA27E1">
        <w:rPr>
          <w:rFonts w:cs="Times New Roman"/>
          <w:lang w:val="en-GB"/>
        </w:rPr>
        <w:t xml:space="preserve">In </w:t>
      </w:r>
      <w:r w:rsidR="004819AA" w:rsidRPr="00DA27E1">
        <w:rPr>
          <w:rFonts w:cs="Times New Roman"/>
          <w:lang w:val="en-GB"/>
        </w:rPr>
        <w:t>total</w:t>
      </w:r>
      <w:r w:rsidRPr="00DA27E1">
        <w:rPr>
          <w:rFonts w:cs="Times New Roman"/>
          <w:lang w:val="en-GB"/>
        </w:rPr>
        <w:t>, 39% of the patients</w:t>
      </w:r>
      <w:r w:rsidR="004819AA" w:rsidRPr="00DA27E1">
        <w:rPr>
          <w:rFonts w:cs="Times New Roman"/>
          <w:lang w:val="en-GB"/>
        </w:rPr>
        <w:t xml:space="preserve"> drop</w:t>
      </w:r>
      <w:r w:rsidR="00C24814" w:rsidRPr="00DA27E1">
        <w:rPr>
          <w:rFonts w:cs="Times New Roman"/>
          <w:lang w:val="en-GB"/>
        </w:rPr>
        <w:t>ped out during the rehabilitation</w:t>
      </w:r>
      <w:r w:rsidRPr="00DA27E1">
        <w:rPr>
          <w:rFonts w:cs="Times New Roman"/>
          <w:lang w:val="en-GB"/>
        </w:rPr>
        <w:t xml:space="preserve">, and of these, </w:t>
      </w:r>
      <w:r w:rsidR="004819AA" w:rsidRPr="00DA27E1">
        <w:rPr>
          <w:rFonts w:cs="Times New Roman"/>
          <w:lang w:val="en-GB"/>
        </w:rPr>
        <w:t xml:space="preserve">70% </w:t>
      </w:r>
      <w:r w:rsidR="001804C7" w:rsidRPr="00DA27E1">
        <w:rPr>
          <w:rFonts w:cs="Times New Roman"/>
          <w:lang w:val="en-GB"/>
        </w:rPr>
        <w:t xml:space="preserve">of dropouts </w:t>
      </w:r>
      <w:r w:rsidRPr="00DA27E1">
        <w:rPr>
          <w:rFonts w:cs="Times New Roman"/>
          <w:lang w:val="en-GB"/>
        </w:rPr>
        <w:t>occurred</w:t>
      </w:r>
      <w:r w:rsidR="008C1475" w:rsidRPr="00DA27E1">
        <w:rPr>
          <w:rFonts w:cs="Times New Roman"/>
          <w:lang w:val="en-GB"/>
        </w:rPr>
        <w:t xml:space="preserve"> at</w:t>
      </w:r>
      <w:r w:rsidR="004819AA" w:rsidRPr="00DA27E1">
        <w:rPr>
          <w:rFonts w:cs="Times New Roman"/>
          <w:lang w:val="en-GB"/>
        </w:rPr>
        <w:t xml:space="preserve"> the transition phase.</w:t>
      </w:r>
      <w:r w:rsidRPr="00DA27E1">
        <w:rPr>
          <w:rFonts w:cs="Times New Roman"/>
          <w:lang w:val="en-GB"/>
        </w:rPr>
        <w:t xml:space="preserve"> </w:t>
      </w:r>
      <w:r w:rsidR="00F356A1" w:rsidRPr="00DA27E1">
        <w:rPr>
          <w:rFonts w:cs="Times New Roman"/>
          <w:lang w:val="en-GB"/>
        </w:rPr>
        <w:t xml:space="preserve">Patients attached to the </w:t>
      </w:r>
      <w:r w:rsidR="00DE36D4" w:rsidRPr="00DA27E1">
        <w:rPr>
          <w:rFonts w:cs="Times New Roman"/>
          <w:lang w:val="en-GB"/>
        </w:rPr>
        <w:t>labour</w:t>
      </w:r>
      <w:r w:rsidR="00F356A1" w:rsidRPr="00DA27E1">
        <w:rPr>
          <w:rFonts w:cs="Times New Roman"/>
          <w:lang w:val="en-GB"/>
        </w:rPr>
        <w:t xml:space="preserve"> market and patients who </w:t>
      </w:r>
      <w:r w:rsidR="00F356A1" w:rsidRPr="00DA27E1">
        <w:rPr>
          <w:rFonts w:cs="Times New Roman"/>
          <w:szCs w:val="24"/>
          <w:lang w:val="en-GB"/>
        </w:rPr>
        <w:t xml:space="preserve">attended less exercise sessions before transition </w:t>
      </w:r>
      <w:r w:rsidR="00F356A1" w:rsidRPr="00DA27E1">
        <w:rPr>
          <w:rFonts w:cs="Times New Roman"/>
          <w:lang w:val="en-GB"/>
        </w:rPr>
        <w:t xml:space="preserve">were more likely to drop out at the transition. </w:t>
      </w:r>
      <w:r w:rsidR="004819AA" w:rsidRPr="00DA27E1">
        <w:rPr>
          <w:rFonts w:cs="Times New Roman"/>
          <w:lang w:val="en-GB"/>
        </w:rPr>
        <w:t xml:space="preserve">Our findings </w:t>
      </w:r>
      <w:r w:rsidR="004E5609" w:rsidRPr="00DA27E1">
        <w:rPr>
          <w:rFonts w:cs="Times New Roman"/>
          <w:lang w:val="en-GB"/>
        </w:rPr>
        <w:t>highlight the need for an</w:t>
      </w:r>
      <w:r w:rsidR="007612DB" w:rsidRPr="00DA27E1">
        <w:rPr>
          <w:rFonts w:cs="Times New Roman"/>
          <w:lang w:val="en-GB"/>
        </w:rPr>
        <w:t xml:space="preserve"> increased focus </w:t>
      </w:r>
      <w:r w:rsidR="004E5609" w:rsidRPr="00DA27E1">
        <w:rPr>
          <w:rFonts w:cs="Times New Roman"/>
          <w:lang w:val="en-GB"/>
        </w:rPr>
        <w:t>on effective</w:t>
      </w:r>
      <w:r w:rsidR="004819AA" w:rsidRPr="00DA27E1">
        <w:rPr>
          <w:rFonts w:cs="Times New Roman"/>
          <w:lang w:val="en-GB"/>
        </w:rPr>
        <w:t xml:space="preserve"> strategies to prevent dropout</w:t>
      </w:r>
      <w:r w:rsidRPr="00DA27E1">
        <w:rPr>
          <w:rFonts w:cs="Times New Roman"/>
          <w:lang w:val="en-GB"/>
        </w:rPr>
        <w:t xml:space="preserve"> in exCR, especially </w:t>
      </w:r>
      <w:r w:rsidR="008C1475" w:rsidRPr="00DA27E1">
        <w:rPr>
          <w:rFonts w:cs="Times New Roman"/>
          <w:lang w:val="en-GB"/>
        </w:rPr>
        <w:t>at</w:t>
      </w:r>
      <w:r w:rsidRPr="00DA27E1">
        <w:rPr>
          <w:rFonts w:cs="Times New Roman"/>
          <w:lang w:val="en-GB"/>
        </w:rPr>
        <w:t xml:space="preserve"> the </w:t>
      </w:r>
      <w:r w:rsidR="004819AA" w:rsidRPr="00DA27E1">
        <w:rPr>
          <w:rFonts w:cs="Times New Roman"/>
          <w:lang w:val="en-GB"/>
        </w:rPr>
        <w:t>transition</w:t>
      </w:r>
      <w:r w:rsidR="002A2214" w:rsidRPr="00DA27E1">
        <w:rPr>
          <w:rFonts w:cs="Times New Roman"/>
          <w:lang w:val="en-GB"/>
        </w:rPr>
        <w:t xml:space="preserve"> from one setting</w:t>
      </w:r>
      <w:r w:rsidRPr="00DA27E1">
        <w:rPr>
          <w:rFonts w:cs="Times New Roman"/>
          <w:lang w:val="en-GB"/>
        </w:rPr>
        <w:t xml:space="preserve"> to another.</w:t>
      </w:r>
    </w:p>
    <w:p w14:paraId="30302491" w14:textId="007AE1B5" w:rsidR="00C37BA8" w:rsidRPr="00DA27E1" w:rsidRDefault="00907AC1" w:rsidP="00907AC1">
      <w:pPr>
        <w:spacing w:line="480" w:lineRule="auto"/>
        <w:rPr>
          <w:lang w:val="en-GB"/>
        </w:rPr>
      </w:pPr>
      <w:r w:rsidRPr="00DA27E1">
        <w:rPr>
          <w:lang w:val="en-GB"/>
        </w:rPr>
        <w:t xml:space="preserve">An overall dropout rate of 39% found in our study is in line with other international and more traditional cardiac rehabilitation studies, where rates range from 20% to 56% </w:t>
      </w:r>
      <w:r w:rsidR="00C37BA8" w:rsidRPr="00DA27E1">
        <w:rPr>
          <w:lang w:val="en-GB"/>
        </w:rPr>
        <w:fldChar w:fldCharType="begin"/>
      </w:r>
      <w:r w:rsidR="00EA059B" w:rsidRPr="00DA27E1">
        <w:rPr>
          <w:lang w:val="en-GB"/>
        </w:rPr>
        <w:instrText xml:space="preserve"> ADDIN ZOTERO_ITEM CSL_CITATION {"citationID":"yV2CFDpt","properties":{"formattedCitation":"(4\\uc0\\u8211{}6)","plainCitation":"(4–6)","noteIndex":0},"citationItems":[{"id":30,"uris":["http://zotero.org/users/6176940/items/AUBRGJ4Z"],"uri":["http://zotero.org/users/6176940/items/AUBRGJ4Z"],"itemData":{"id":30,"type":"article-journal","language":"English","title":"The National Audit of Cardiac Rehabilitation | Quality and Outcomes Report 2018","URL":"https://www.bhf.org.uk/informationsupport/publications/statistics/national-audit-of-cardiac-rehabilitation-quality-and-outcomes-report-2018","author":[{"literal":"British Heart Foundation"}],"accessed":{"date-parts":[["2021",2,22]]},"issued":{"date-parts":[["2018"]]}}},{"id":47,"uris":["http://zotero.org/users/6176940/items/YEU5CTRS"],"uri":["http://zotero.org/users/6176940/items/YEU5CTRS"],"itemData":{"id":47,"type":"article-journal","abstract":"BACKGROUND: Cardiac rehabilitation (CR) is associated with mortality and morbidity benefits. Treatment adherence rates of 20% to 60% for patients with diabetes and obesity undermines CR effectiveness. Identification of factors that account for poorer adherence to CR in these populations is needed. METHODS: Data from 12 003 CR patients from 1995 to 2010 were analyzed. Differences in characteristics were compared between groups of patients classified by the presence or absence of diabetes mellitus and obesity. Sequential logistic regression was conducted to examine the extent to which biopsychosocial factors account for the higher likelihood of CR non-adherence. RESULTS: The proportion of CR non-adherence was 44% for patients without obesity or diabetes, 52% for patients with diabetes and no obesity, 56% for patients with obesity and no diabetes and 59% for patients with diabetes and obesity. After adjustment for all baseline factors, the presence of obesity or diabetes remained associated with an increased risk of CR nonadherence compared to no obesity or no diabetes (diabetes only [odds ratio (OR) 1.22; 95% confidence interval (CI) 1.08-1.38; p=0.001]; obesity only [OR 1.19; 95% CI 1.04-1.36; p=0.01]). The presence of both diabetes and obesity and their relationship to CR nonadherence is not significant (OR 1.14, 95% CI 0.947-1.37; p=0.16) after adjusting for body fat percentage and waist circumference. CONCLUSIONS: Diabetes and obesity were independent determinants of CR program nonadherence. The influence of having both diabetes and obesity was moderated by waist circumference and body fat percentage. Patients with diabetes mellitus, obesity or both may require greater attention and consideration with respect to CR delivery.","archive_location":"24070842","container-title":"Can J Diabetes","DOI":"10.1016/j.jcjd.2013.03.370","ISSN":"1499-2671","issue":"3","language":"eng","note":"edition: 2013/09/28","page":"189-94","source":"NLM","title":"Predicting exercise adherence for patients with obesity and diabetes referred to a cardiac rehabilitation and secondary prevention program","volume":"37","author":[{"family":"Forhan","given":"M."},{"family":"Zagorski","given":"B. M."},{"family":"Marzonlini","given":"S."},{"family":"Oh","given":"P."},{"family":"Alter","given":"D. A."}],"issued":{"date-parts":[["2013",6]]}}},{"id":150,"uris":["http://zotero.org/users/6176940/items/E6WGZPXD"],"uri":["http://zotero.org/users/6176940/items/E6WGZPXD"],"itemData":{"id":150,"type":"article-journal","abstract":"BACKGROUND: Cardiovascular disease is a leading cause of morbidity worldwide. Cardiac rehabilitation (CR) is a comprehensive secondary prevention approach, with established benefits in reducing morbidity in high-income countries (HICs). The objectives of this review were to summarise what is known about the benefits of CR, including consideration of cost-effectiveness, in addition to rates of CR participation and adherence in high-, as well as low- and middle-income countries (LMICs). METHODS: A literature search of Medline, Excerpta Medica Database (EMBASE), and Google Scholar was conducted for published articles from database inception to October 2013. The search was first directed to identify meta-analyses and reviews reporting on the benefits of CR. Then, the search was focussed to identify articles reporting CR participation and dropout rates. Full-text versions of relevant abstracts were summarised qualitatively. RESULTS: Based on meta-analysis, CR significantly reduced all-cause mortality by 13%-26%, cardiac mortality by 20%-36%, myocardial re-infarction by 25%-47%, and risk factors. CR is cost-effective in HICs. In LMICs, CR is demonstrated to reduce risk factors, with no studies on mortality or cost-effectiveness. Based on available data, CR participation rates are &lt;50% in the majority of countries, with documented dropout rates up to 56% and 82% in high- and middle-income countries, respectively. CONCLUSIONS: CR is a beneficial intervention for heart patients in high and LMICs, but is underutilised with low participation and adherence rates worldwide. While more research is needed in LMICs, strategies shown to increase participation and program adherence should be implemented.","archive_location":"25534902","container-title":"Heart Lung Circ","DOI":"10.1016/j.hlc.2014.11.013","ISSN":"1443-9506 (Print) 1443-9506","issue":"5","language":"eng","note":"edition: 2014/12/24","page":"510-20","source":"NLM","title":"Narrative review comparing the benefits of and participation in cardiac rehabilitation in high-, middle- and low-income countries","volume":"24","author":[{"family":"Turk-Adawi","given":"K. I."},{"family":"Grace","given":"S. L."}],"issued":{"date-parts":[["2015",5]]}}}],"schema":"https://github.com/citation-style-language/schema/raw/master/csl-citation.json"} </w:instrText>
      </w:r>
      <w:r w:rsidR="00C37BA8" w:rsidRPr="00DA27E1">
        <w:rPr>
          <w:lang w:val="en-GB"/>
        </w:rPr>
        <w:fldChar w:fldCharType="separate"/>
      </w:r>
      <w:r w:rsidR="00EA059B" w:rsidRPr="00DA27E1">
        <w:rPr>
          <w:rFonts w:cs="Times New Roman"/>
          <w:szCs w:val="24"/>
          <w:lang w:val="en-GB"/>
        </w:rPr>
        <w:t>(4–6)</w:t>
      </w:r>
      <w:r w:rsidR="00C37BA8" w:rsidRPr="00DA27E1">
        <w:rPr>
          <w:lang w:val="en-GB"/>
        </w:rPr>
        <w:fldChar w:fldCharType="end"/>
      </w:r>
      <w:r w:rsidR="00C37BA8" w:rsidRPr="00DA27E1">
        <w:rPr>
          <w:lang w:val="en-GB"/>
        </w:rPr>
        <w:t xml:space="preserve">. </w:t>
      </w:r>
      <w:r w:rsidRPr="00DA27E1">
        <w:rPr>
          <w:lang w:val="en-GB"/>
        </w:rPr>
        <w:t xml:space="preserve">Variation in dropout rates across countries is expected due to organizational differences in rehabilitation interventions and health care systems </w:t>
      </w:r>
      <w:r w:rsidR="00C37BA8" w:rsidRPr="00DA27E1">
        <w:rPr>
          <w:lang w:val="en-GB"/>
        </w:rPr>
        <w:fldChar w:fldCharType="begin"/>
      </w:r>
      <w:r w:rsidR="00EA059B" w:rsidRPr="00DA27E1">
        <w:rPr>
          <w:lang w:val="en-GB"/>
        </w:rPr>
        <w:instrText xml:space="preserve"> ADDIN ZOTERO_ITEM CSL_CITATION {"citationID":"0R7KZAhX","properties":{"formattedCitation":"(15)","plainCitation":"(15)","noteIndex":0},"citationItems":[{"id":126,"uris":["http://zotero.org/users/6176940/items/VMTRTF3Y"],"uri":["http://zotero.org/users/6176940/items/VMTRTF3Y"],"itemData":{"id":126,"type":"report","title":"Moving Care to the Community: An International Perspective","URL":"https://www.issuelab.org/resource/moving-care-to-the-community-an-international-perspective.html","author":[{"literal":"Royal College of Nursing Policy and International Department"}],"accessed":{"date-parts":[["2021",2,22]]},"issued":{"date-parts":[["2013"]]}}}],"schema":"https://github.com/citation-style-language/schema/raw/master/csl-citation.json"} </w:instrText>
      </w:r>
      <w:r w:rsidR="00C37BA8" w:rsidRPr="00DA27E1">
        <w:rPr>
          <w:lang w:val="en-GB"/>
        </w:rPr>
        <w:fldChar w:fldCharType="separate"/>
      </w:r>
      <w:r w:rsidR="00EA059B" w:rsidRPr="00DA27E1">
        <w:rPr>
          <w:rFonts w:cs="Times New Roman"/>
          <w:lang w:val="en-GB"/>
        </w:rPr>
        <w:t>(15)</w:t>
      </w:r>
      <w:r w:rsidR="00C37BA8" w:rsidRPr="00DA27E1">
        <w:rPr>
          <w:lang w:val="en-GB"/>
        </w:rPr>
        <w:fldChar w:fldCharType="end"/>
      </w:r>
      <w:r w:rsidR="00C37BA8" w:rsidRPr="00DA27E1">
        <w:rPr>
          <w:lang w:val="en-GB"/>
        </w:rPr>
        <w:t xml:space="preserve">. </w:t>
      </w:r>
      <w:r w:rsidRPr="00DA27E1">
        <w:rPr>
          <w:lang w:val="en-GB"/>
        </w:rPr>
        <w:t xml:space="preserve">The total dropout rate from our study also concurs with a previous Danish study of a transitional exCR program that reported a total dropout rate of 35% </w:t>
      </w:r>
      <w:r w:rsidR="00C37BA8" w:rsidRPr="00DA27E1">
        <w:rPr>
          <w:lang w:val="en-GB"/>
        </w:rPr>
        <w:fldChar w:fldCharType="begin"/>
      </w:r>
      <w:r w:rsidR="006B0A97" w:rsidRPr="00DA27E1">
        <w:rPr>
          <w:lang w:val="en-GB"/>
        </w:rPr>
        <w:instrText xml:space="preserve"> ADDIN ZOTERO_ITEM CSL_CITATION {"citationID":"2QII3t6G","properties":{"formattedCitation":"(30)","plainCitation":"(30)","noteIndex":0},"citationItems":[{"id":95,"uris":["http://zotero.org/users/6176940/items/NZZZEGJV"],"uri":["http://zotero.org/users/6176940/items/NZZZEGJV"],"itemData":{"id":95,"type":"article-journal","abstract":"INTRODUCTION: Previous studies have shown drop-out from cardiac rehabilitation (CR) to have prognostic influence on morbidity and mortality among patients with ischaemic heart disease (IHD). We aimed to identify and clarify patients' reasons for non-attendance and drop-out from CR. MATERIAL AND METHODS: A total of 872 consecutive patients with acute myocardial infarction and/or after percutaneous coronary intervention or coronary artery bypass surgery were asked by conventional mail to fill in a self-completion questionnaire on their choice of post-hospital CR and their reasons for drop-out or for non-attendance. RESULTS: Age, employment and marital status had a statistically significant influence on the overall course of CR. Younger age, affiliation with the labour market and living alone were related to a higher drop-out from CR in univariate analysis. We found no evidence of a gender difference among the patients who withdrew. Lack of time was stated as the prevailing reason for non-attendance and withdrawal from CR programmes among employed patients and in people aged 65 years or younger. Patients above 75 years of age asked for additional differentiation of exercise levels; currently two levels are offered. Or they found CR meaningless given their physical condition or their overall life situation. CONCLUSION: In patients with IHD, age, marital status and employment status play a role in the patient's attendance or drop out from CR. Different physical conditions, lack of time, too great a distance from residence to hospital, transport problems and lack of understanding of the benefits of CR explain why patients refuse to participate in or drop-out from CR. FUNDING: supported by grant from The Danish Ministry of Health. TRIAL REGISTRATION: not relevant.","archive_location":"25283618","container-title":"Dan Med J","ISSN":"2245-1919","issue":"10","language":"eng","note":"edition: 2014/10/07","page":"A4919","source":"NLM","title":"Non-attendance and drop-out in cardiac rehabilitation among patients with ischaemic heart disease","volume":"61","author":[{"family":"Mikkelsen","given":"T."},{"family":"Korsgaard Thomsen","given":"K."},{"family":"Tchijevitch","given":"O."}],"issued":{"date-parts":[["2014",10]]}}}],"schema":"https://github.com/citation-style-language/schema/raw/master/csl-citation.json"} </w:instrText>
      </w:r>
      <w:r w:rsidR="00C37BA8" w:rsidRPr="00DA27E1">
        <w:rPr>
          <w:lang w:val="en-GB"/>
        </w:rPr>
        <w:fldChar w:fldCharType="separate"/>
      </w:r>
      <w:r w:rsidR="006B0A97" w:rsidRPr="00DA27E1">
        <w:rPr>
          <w:rFonts w:cs="Times New Roman"/>
          <w:lang w:val="en-GB"/>
        </w:rPr>
        <w:t>(30)</w:t>
      </w:r>
      <w:r w:rsidR="00C37BA8" w:rsidRPr="00DA27E1">
        <w:rPr>
          <w:lang w:val="en-GB"/>
        </w:rPr>
        <w:fldChar w:fldCharType="end"/>
      </w:r>
      <w:r w:rsidR="00C37BA8" w:rsidRPr="00DA27E1">
        <w:rPr>
          <w:lang w:val="en-GB"/>
        </w:rPr>
        <w:t>.</w:t>
      </w:r>
    </w:p>
    <w:p w14:paraId="49F35792" w14:textId="020043BF" w:rsidR="00907AC1" w:rsidRPr="00DA27E1" w:rsidRDefault="00907AC1" w:rsidP="00907AC1">
      <w:pPr>
        <w:spacing w:line="480" w:lineRule="auto"/>
        <w:rPr>
          <w:lang w:val="en-GB"/>
        </w:rPr>
      </w:pPr>
      <w:r w:rsidRPr="00DA27E1">
        <w:rPr>
          <w:lang w:val="en-GB"/>
        </w:rPr>
        <w:t xml:space="preserve">Previous literature from traditional cardiac rehabilitation programs has suggested that factors as easier accessibility and enhancement of social support in local health care </w:t>
      </w:r>
      <w:r w:rsidR="00DE36D4" w:rsidRPr="00DA27E1">
        <w:rPr>
          <w:lang w:val="en-GB"/>
        </w:rPr>
        <w:t>centres</w:t>
      </w:r>
      <w:r w:rsidRPr="00DA27E1">
        <w:rPr>
          <w:lang w:val="en-GB"/>
        </w:rPr>
        <w:t xml:space="preserve"> could increase completion rates and lower dropout from exCR </w:t>
      </w:r>
      <w:r w:rsidR="00C37BA8" w:rsidRPr="00DA27E1">
        <w:rPr>
          <w:lang w:val="en-GB"/>
        </w:rPr>
        <w:fldChar w:fldCharType="begin"/>
      </w:r>
      <w:r w:rsidR="00EA059B" w:rsidRPr="00DA27E1">
        <w:rPr>
          <w:lang w:val="en-GB"/>
        </w:rPr>
        <w:instrText xml:space="preserve"> ADDIN ZOTERO_ITEM CSL_CITATION {"citationID":"N071Q0h1","properties":{"formattedCitation":"(11,13)","plainCitation":"(11,13)","noteIndex":0},"citationItems":[{"id":123,"uris":["http://zotero.org/users/6176940/items/X67LU7EU"],"uri":["http://zotero.org/users/6176940/items/X67LU7EU"],"itemData":{"id":123,"type":"article-journal","abstract":"BACKGROUND: Although evidence exists for the efficacy of cardiac rehabilitation programmes to reduce morbidity and mortality among patients with cardiovascular disease, cardiac rehabilitation programmes are underused. We aimed systematically to review the evidence from prospective cohort studies on factors associated with non-participation in and/or dropping out from cardiac rehabilitation programmes. METHODS: MedLine, Embase, Scopus, Open Grey and Cochrane Database were searched for relevant publications from inception to February 2018. Search terms included (a) coronary heart disease and other cardiac conditions; (b) cardiac rehabilitation and secondary prevention; and (c) non-participation in and/or dropout. Databases were searched following the PRISMA statement. Study selection, data extraction and the assessment of study quality were performed in duplicate. RESULTS: We selected 43 studies with a total of 63,425 patients from 10 different countries that met the inclusion criteria. Factors associated with non-participation in and dropout from cardiac rehabilitation were grouped into six broad categories: intrapersonal factors, clinical factors, interpersonal factors, logistical factors, cardiac rehabilitation programme factors and health system factors. We found that clinical factors, logistical factors and health system factors were the main factors assessed for non-participation in cardiac rehabilitation. We also found differences between the factors associated with non-participation and dropout. CONCLUSIONS: Several factors were determinant for non-participation in and dropout from cardiac rehabilitation. These findings could be useful to clinicians and policymakers for developing interventions aimed at improving participation and completion of cardiac rehabilitation, such as E-health or home-based delivery programmes. Trial Registration: International Prospective Register of Systematic Reviews (PROSPERO) identifier: CRD42016032973.","archive_location":"29909641","container-title":"Eur J Cardiovasc Nurs","DOI":"10.1177/1474515118783157","ISSN":"1474-5151","issue":"1","language":"eng","note":"edition: 2018/06/19","page":"38-47","source":"NLM","title":"Factors associated with non-participation in and dropout from cardiac rehabilitation programmes: a systematic review of prospective cohort studies","volume":"18","author":[{"family":"Resurreccion","given":"D. M."},{"family":"Moreno-Peral","given":"P."},{"family":"Gomez-Herranz","given":"M."},{"family":"Rubio-Valera","given":"M."},{"family":"Pastor","given":"L."},{"family":"Caldas de Almeida","given":"J. M."},{"family":"Motrico","given":"E."}],"issued":{"date-parts":[["2019",1]]}}},{"id":127,"uris":["http://zotero.org/users/6176940/items/PQ36K7PF"],"uri":["http://zotero.org/users/6176940/items/PQ36K7PF"],"itemData":{"id":127,"type":"article-journal","abstract":"Acute myocardial infarction (AMI) is an important health problem. Cardiac rehabilitation (CR) programs following AMI have shown to be effective in reducing mortality. We aim to systematically review the existing literature that analyzes the factors that affect participation and adherence to cardiac rehabilitation programs. We reviewed Medline, EMBASE and Cochrane databases from 01/01/2004 to June 2016 using predefined inclusion and exclusion criteria. We classified the results into factors affecting participation and factors influencing adherence to CR programs. We included 29 studies, and there was a general agreement in those factors predicting participation and adherence to CR programs. These factors can be classified into person-related factors and aspects related to CR programs. Older participants, women, patients with comorbidities, unemployed and uncoupled persons, less educated people and those with lower income had a lower participation. A similar pattern was observed for CR adherence. Also, those potential participants who live farther from CR facilities, do not have transportation, or do not drive, attended less to CR programs. These factors were very similar when analyzing adherence to CR programs. These aspects were similar in Europe and the USA. These results clearly show that participation in CR programs follows a determined pattern that is very homogeneous in different settings. Health professionals should also be aware of patients reluctant to participate in CR programs and adapt their messages and redesign CR programs, to promote participation and adherence.","archive":"PubMed","archive_location":"27557484","container-title":"International journal of cardiology","DOI":"10.1016/j.ijcard.2016.08.120","ISSN":"1874-1754","journalAbbreviation":"Int J Cardiol","language":"eng","note":"edition: 2016/08/13","page":"436-443","title":"Participation and adherence to cardiac rehabilitation programs. A systematic review","volume":"223","author":[{"family":"Ruano-Ravina","given":"Alberto"},{"family":"Pena-Gil","given":"Carlos"},{"family":"Abu-Assi","given":"Emad"},{"family":"Raposeiras","given":"Sergio"},{"family":"Hof","given":"Arnoud","non-dropping-particle":"van 't"},{"family":"Meindersma","given":"Esther"},{"family":"Bossano Prescott","given":"Eva Irene"},{"family":"González-Juanatey","given":"Jose Ramón"}],"issued":{"date-parts":[["2016"]]}}}],"schema":"https://github.com/citation-style-language/schema/raw/master/csl-citation.json"} </w:instrText>
      </w:r>
      <w:r w:rsidR="00C37BA8" w:rsidRPr="00DA27E1">
        <w:rPr>
          <w:lang w:val="en-GB"/>
        </w:rPr>
        <w:fldChar w:fldCharType="separate"/>
      </w:r>
      <w:r w:rsidR="00EA059B" w:rsidRPr="00DA27E1">
        <w:rPr>
          <w:rFonts w:cs="Times New Roman"/>
          <w:lang w:val="en-GB"/>
        </w:rPr>
        <w:t>(11,13)</w:t>
      </w:r>
      <w:r w:rsidR="00C37BA8" w:rsidRPr="00DA27E1">
        <w:rPr>
          <w:lang w:val="en-GB"/>
        </w:rPr>
        <w:fldChar w:fldCharType="end"/>
      </w:r>
      <w:r w:rsidR="00C37BA8" w:rsidRPr="00DA27E1">
        <w:rPr>
          <w:lang w:val="en-GB"/>
        </w:rPr>
        <w:fldChar w:fldCharType="begin"/>
      </w:r>
      <w:r w:rsidR="00061236" w:rsidRPr="00DA27E1">
        <w:rPr>
          <w:lang w:val="en-GB"/>
        </w:rPr>
        <w:instrText xml:space="preserve"> ADDIN ZOTERO_ITEM CSL_CITATION {"citationID":"8aZlM5fS","properties":{"formattedCitation":"(11,13)","plainCitation":"(11,13)","dontUpdate":true,"noteIndex":0},"citationItems":[{"id":123,"uris":["http://zotero.org/users/6176940/items/X67LU7EU"],"uri":["http://zotero.org/users/6176940/items/X67LU7EU"],"itemData":{"id":123,"type":"article-journal","abstract":"BACKGROUND: Although evidence exists for the efficacy of cardiac rehabilitation programmes to reduce morbidity and mortality among patients with cardiovascular disease, cardiac rehabilitation programmes are underused. We aimed systematically to review the evidence from prospective cohort studies on factors associated with non-participation in and/or dropping out from cardiac rehabilitation programmes. METHODS: MedLine, Embase, Scopus, Open Grey and Cochrane Database were searched for relevant publications from inception to February 2018. Search terms included (a) coronary heart disease and other cardiac conditions; (b) cardiac rehabilitation and secondary prevention; and (c) non-participation in and/or dropout. Databases were searched following the PRISMA statement. Study selection, data extraction and the assessment of study quality were performed in duplicate. RESULTS: We selected 43 studies with a total of 63,425 patients from 10 different countries that met the inclusion criteria. Factors associated with non-participation in and dropout from cardiac rehabilitation were grouped into six broad categories: intrapersonal factors, clinical factors, interpersonal factors, logistical factors, cardiac rehabilitation programme factors and health system factors. We found that clinical factors, logistical factors and health system factors were the main factors assessed for non-participation in cardiac rehabilitation. We also found differences between the factors associated with non-participation and dropout. CONCLUSIONS: Several factors were determinant for non-participation in and dropout from cardiac rehabilitation. These findings could be useful to clinicians and policymakers for developing interventions aimed at improving participation and completion of cardiac rehabilitation, such as E-health or home-based delivery programmes. Trial Registration: International Prospective Register of Systematic Reviews (PROSPERO) identifier: CRD42016032973.","archive_location":"29909641","container-title":"Eur J Cardiovasc Nurs","DOI":"10.1177/1474515118783157","ISSN":"1474-5151","issue":"1","language":"eng","note":"edition: 2018/06/19","page":"38-47","source":"NLM","title":"Factors associated with non-participation in and dropout from cardiac rehabilitation programmes: a systematic review of prospective cohort studies","volume":"18","author":[{"family":"Resurreccion","given":"D. M."},{"family":"Moreno-Peral","given":"P."},{"family":"Gomez-Herranz","given":"M."},{"family":"Rubio-Valera","given":"M."},{"family":"Pastor","given":"L."},{"family":"Caldas de Almeida","given":"J. M."},{"family":"Motrico","given":"E."}],"issued":{"date-parts":[["2019",1]]}}},{"id":127,"uris":["http://zotero.org/users/6176940/items/PQ36K7PF"],"uri":["http://zotero.org/users/6176940/items/PQ36K7PF"],"itemData":{"id":127,"type":"article-journal","abstract":"Acute myocardial infarction (AMI) is an important health problem. Cardiac rehabilitation (CR) programs following AMI have shown to be effective in reducing mortality. We aim to systematically review the existing literature that analyzes the factors that affect participation and adherence to cardiac rehabilitation programs. We reviewed Medline, EMBASE and Cochrane databases from 01/01/2004 to June 2016 using predefined inclusion and exclusion criteria. We classified the results into factors affecting participation and factors influencing adherence to CR programs. We included 29 studies, and there was a general agreement in those factors predicting participation and adherence to CR programs. These factors can be classified into person-related factors and aspects related to CR programs. Older participants, women, patients with comorbidities, unemployed and uncoupled persons, less educated people and those with lower income had a lower participation. A similar pattern was observed for CR adherence. Also, those potential participants who live farther from CR facilities, do not have transportation, or do not drive, attended less to CR programs. These factors were very similar when analyzing adherence to CR programs. These aspects were similar in Europe and the USA. These results clearly show that participation in CR programs follows a determined pattern that is very homogeneous in different settings. Health professionals should also be aware of patients reluctant to participate in CR programs and adapt their messages and redesign CR programs, to promote participation and adherence.","archive":"PubMed","archive_location":"27557484","container-title":"International journal of cardiology","DOI":"10.1016/j.ijcard.2016.08.120","ISSN":"1874-1754","journalAbbreviation":"Int J Cardiol","language":"eng","note":"edition: 2016/08/13","page":"436-443","title":"Participation and adherence to cardiac rehabilitation programs. A systematic review","volume":"223","author":[{"family":"Ruano-Ravina","given":"Alberto"},{"family":"Pena-Gil","given":"Carlos"},{"family":"Abu-Assi","given":"Emad"},{"family":"Raposeiras","given":"Sergio"},{"family":"Hof","given":"Arnoud","non-dropping-particle":"van 't"},{"family":"Meindersma","given":"Esther"},{"family":"Bossano Prescott","given":"Eva Irene"},{"family":"González-Juanatey","given":"Jose Ramón"}],"issued":{"date-parts":[["2016"]]}}}],"schema":"https://github.com/citation-style-language/schema/raw/master/csl-citation.json"} </w:instrText>
      </w:r>
      <w:r w:rsidR="00C37BA8" w:rsidRPr="00DA27E1">
        <w:rPr>
          <w:lang w:val="en-GB"/>
        </w:rPr>
        <w:fldChar w:fldCharType="end"/>
      </w:r>
      <w:r w:rsidR="00C37BA8" w:rsidRPr="00DA27E1">
        <w:rPr>
          <w:lang w:val="en-GB"/>
        </w:rPr>
        <w:t xml:space="preserve">. </w:t>
      </w:r>
      <w:r w:rsidRPr="00DA27E1">
        <w:rPr>
          <w:lang w:val="en-GB"/>
        </w:rPr>
        <w:t xml:space="preserve">However, it has also been hypothesized that the transition phase influences patient care pathways and constitutes a barrier for patients’ participation </w:t>
      </w:r>
      <w:r w:rsidR="00C37BA8" w:rsidRPr="00DA27E1">
        <w:rPr>
          <w:lang w:val="en-GB"/>
        </w:rPr>
        <w:fldChar w:fldCharType="begin"/>
      </w:r>
      <w:r w:rsidR="006B0A97" w:rsidRPr="00DA27E1">
        <w:rPr>
          <w:lang w:val="en-GB"/>
        </w:rPr>
        <w:instrText xml:space="preserve"> ADDIN ZOTERO_ITEM CSL_CITATION {"citationID":"qPEbfaon","properties":{"formattedCitation":"(31)","plainCitation":"(31)","noteIndex":0},"citationItems":[{"id":157,"uris":["http://zotero.org/users/6176940/items/YYAPVD82"],"uri":["http://zotero.org/users/6176940/items/YYAPVD82"],"itemData":{"id":157,"type":"report","language":"Dansk","note":"ISBN: e-ISBN: 978-87-93626-47-8","publisher":"VIVE","title":"Hjerterehabilitering: Hvad fremmer og hæmmer deltagelse? – Indblik fra litteraturen på området [Cardiac rehabilitation: What encourage and prevent participation? -  Knowledge of the literature published in the field]","URL":"https://www.vive.dk/media/pure/11188/2306200","author":[{"family":"Hauge","given":"A. M."},{"family":"Brorholt","given":"G."}],"accessed":{"date-parts":[["2021",2,22]]},"issued":{"date-parts":[["2018"]]}}}],"schema":"https://github.com/citation-style-language/schema/raw/master/csl-citation.json"} </w:instrText>
      </w:r>
      <w:r w:rsidR="00C37BA8" w:rsidRPr="00DA27E1">
        <w:rPr>
          <w:lang w:val="en-GB"/>
        </w:rPr>
        <w:fldChar w:fldCharType="separate"/>
      </w:r>
      <w:r w:rsidR="006B0A97" w:rsidRPr="00DA27E1">
        <w:rPr>
          <w:rFonts w:cs="Times New Roman"/>
          <w:lang w:val="en-GB"/>
        </w:rPr>
        <w:t>(31)</w:t>
      </w:r>
      <w:r w:rsidR="00C37BA8" w:rsidRPr="00DA27E1">
        <w:rPr>
          <w:lang w:val="en-GB"/>
        </w:rPr>
        <w:fldChar w:fldCharType="end"/>
      </w:r>
      <w:r w:rsidRPr="00DA27E1">
        <w:rPr>
          <w:lang w:val="en-GB"/>
        </w:rPr>
        <w:t>.</w:t>
      </w:r>
      <w:r w:rsidR="00C37BA8" w:rsidRPr="00DA27E1">
        <w:rPr>
          <w:lang w:val="en-GB"/>
        </w:rPr>
        <w:t xml:space="preserve"> </w:t>
      </w:r>
      <w:r w:rsidRPr="00DA27E1">
        <w:rPr>
          <w:lang w:val="en-GB"/>
        </w:rPr>
        <w:t>This has, to our knowledge, never previously been scientifically studied.</w:t>
      </w:r>
    </w:p>
    <w:p w14:paraId="17734818" w14:textId="5C0E14B3" w:rsidR="00907AC1" w:rsidRPr="00DA27E1" w:rsidRDefault="00907AC1" w:rsidP="00907AC1">
      <w:pPr>
        <w:spacing w:line="480" w:lineRule="auto"/>
        <w:rPr>
          <w:lang w:val="en-GB"/>
        </w:rPr>
      </w:pPr>
      <w:r w:rsidRPr="00DA27E1">
        <w:rPr>
          <w:lang w:val="en-GB"/>
        </w:rPr>
        <w:t xml:space="preserve">Our study showed that having a structured transition from hospital to the municipality does facilitate the continuation of 61%, but further adaptations are needed to prevent the 39% dropout so that the maintenance of exercise is continued. Since 70% of the total dropouts occur in the transition phase between hospital and the municipality the transition phase is a barrier for further continuation and exceeds the benefit of easier accessibility and enhancement of social support in local health care </w:t>
      </w:r>
      <w:r w:rsidR="00DE36D4" w:rsidRPr="00DA27E1">
        <w:rPr>
          <w:lang w:val="en-GB"/>
        </w:rPr>
        <w:t>centres</w:t>
      </w:r>
      <w:r w:rsidRPr="00DA27E1">
        <w:rPr>
          <w:lang w:val="en-GB"/>
        </w:rPr>
        <w:t xml:space="preserve"> for a high number of cardiac patients. This highlights that the transition phase is a critical period for patient dropout.  Consequently, focus on and adaptions of the transition phase seem essential, and more knowledge on reasons for discontinuation and patient needs and wishes in order to complete exCR is necessary. Future research should also address criti</w:t>
      </w:r>
      <w:r w:rsidR="007C2B5E" w:rsidRPr="00DA27E1">
        <w:rPr>
          <w:lang w:val="en-GB"/>
        </w:rPr>
        <w:t xml:space="preserve">cal time periods in </w:t>
      </w:r>
      <w:r w:rsidRPr="00DA27E1">
        <w:rPr>
          <w:lang w:val="en-GB"/>
        </w:rPr>
        <w:t>exCR.</w:t>
      </w:r>
    </w:p>
    <w:p w14:paraId="4E31850A" w14:textId="76164D9E" w:rsidR="00A749B2" w:rsidRPr="00DA27E1" w:rsidRDefault="00F95B93" w:rsidP="0094111C">
      <w:pPr>
        <w:spacing w:line="480" w:lineRule="auto"/>
        <w:rPr>
          <w:rFonts w:cs="Times New Roman"/>
          <w:lang w:val="en-GB"/>
        </w:rPr>
      </w:pPr>
      <w:r w:rsidRPr="00DA27E1">
        <w:rPr>
          <w:rFonts w:cs="Times New Roman"/>
          <w:lang w:val="en-GB"/>
        </w:rPr>
        <w:t xml:space="preserve">In general, transitional rehabilitation is an international trend as more and more people are referred to local health care </w:t>
      </w:r>
      <w:r w:rsidR="00DE36D4" w:rsidRPr="00DA27E1">
        <w:rPr>
          <w:rFonts w:cs="Times New Roman"/>
          <w:lang w:val="en-GB"/>
        </w:rPr>
        <w:t>centres</w:t>
      </w:r>
      <w:r w:rsidRPr="00DA27E1">
        <w:rPr>
          <w:rFonts w:cs="Times New Roman"/>
          <w:lang w:val="en-GB"/>
        </w:rPr>
        <w:t xml:space="preserve"> or home-based intervention </w:t>
      </w:r>
      <w:r w:rsidRPr="00DA27E1">
        <w:rPr>
          <w:rFonts w:cs="Times New Roman"/>
          <w:lang w:val="en-GB"/>
        </w:rPr>
        <w:fldChar w:fldCharType="begin"/>
      </w:r>
      <w:r w:rsidR="00EA059B" w:rsidRPr="00DA27E1">
        <w:rPr>
          <w:rFonts w:cs="Times New Roman"/>
          <w:lang w:val="en-GB"/>
        </w:rPr>
        <w:instrText xml:space="preserve"> ADDIN ZOTERO_ITEM CSL_CITATION {"citationID":"8HoLn1Ts","properties":{"formattedCitation":"(15)","plainCitation":"(15)","noteIndex":0},"citationItems":[{"id":126,"uris":["http://zotero.org/users/6176940/items/VMTRTF3Y"],"uri":["http://zotero.org/users/6176940/items/VMTRTF3Y"],"itemData":{"id":126,"type":"report","title":"Moving Care to the Community: An International Perspective","URL":"https://www.issuelab.org/resource/moving-care-to-the-community-an-international-perspective.html","author":[{"literal":"Royal College of Nursing Policy and International Department"}],"accessed":{"date-parts":[["2021",2,22]]},"issued":{"date-parts":[["2013"]]}}}],"schema":"https://github.com/citation-style-language/schema/raw/master/csl-citation.json"} </w:instrText>
      </w:r>
      <w:r w:rsidRPr="00DA27E1">
        <w:rPr>
          <w:rFonts w:cs="Times New Roman"/>
          <w:lang w:val="en-GB"/>
        </w:rPr>
        <w:fldChar w:fldCharType="separate"/>
      </w:r>
      <w:r w:rsidR="00EA059B" w:rsidRPr="00DA27E1">
        <w:rPr>
          <w:rFonts w:cs="Times New Roman"/>
          <w:lang w:val="en-GB"/>
        </w:rPr>
        <w:t>(15)</w:t>
      </w:r>
      <w:r w:rsidRPr="00DA27E1">
        <w:rPr>
          <w:rFonts w:cs="Times New Roman"/>
          <w:lang w:val="en-GB"/>
        </w:rPr>
        <w:fldChar w:fldCharType="end"/>
      </w:r>
      <w:r w:rsidRPr="00DA27E1">
        <w:rPr>
          <w:rFonts w:cs="Times New Roman"/>
          <w:lang w:val="en-GB"/>
        </w:rPr>
        <w:t>. Despite this, surprisingly little information exists on the impact of the transition on the cardiac rehabilitation pathway.</w:t>
      </w:r>
      <w:r w:rsidRPr="00DA27E1">
        <w:rPr>
          <w:rFonts w:cs="Times New Roman"/>
          <w:i/>
          <w:lang w:val="en-GB"/>
        </w:rPr>
        <w:t xml:space="preserve"> </w:t>
      </w:r>
      <w:r w:rsidR="009D4CA7" w:rsidRPr="00DA27E1">
        <w:rPr>
          <w:rFonts w:cs="Times New Roman"/>
          <w:lang w:val="en-GB"/>
        </w:rPr>
        <w:t xml:space="preserve">Hence, </w:t>
      </w:r>
      <w:r w:rsidR="009C508E" w:rsidRPr="00DA27E1">
        <w:rPr>
          <w:rFonts w:cs="Times New Roman"/>
          <w:lang w:val="en-GB"/>
        </w:rPr>
        <w:t>our study is the first</w:t>
      </w:r>
      <w:r w:rsidR="00E11DA2" w:rsidRPr="00DA27E1">
        <w:rPr>
          <w:rFonts w:cs="Times New Roman"/>
          <w:lang w:val="en-GB"/>
        </w:rPr>
        <w:t xml:space="preserve"> to create</w:t>
      </w:r>
      <w:r w:rsidR="009D4CA7" w:rsidRPr="00DA27E1">
        <w:rPr>
          <w:rFonts w:cs="Times New Roman"/>
          <w:lang w:val="en-GB"/>
        </w:rPr>
        <w:t xml:space="preserve"> </w:t>
      </w:r>
      <w:r w:rsidR="00912CAE" w:rsidRPr="00DA27E1">
        <w:rPr>
          <w:rFonts w:cs="Times New Roman"/>
          <w:lang w:val="en-GB"/>
        </w:rPr>
        <w:t xml:space="preserve">greater insight </w:t>
      </w:r>
      <w:r w:rsidR="009D4CA7" w:rsidRPr="00DA27E1">
        <w:rPr>
          <w:rFonts w:cs="Times New Roman"/>
          <w:lang w:val="en-GB"/>
        </w:rPr>
        <w:t>into the consequences of having a transition between setting</w:t>
      </w:r>
      <w:r w:rsidR="00403462" w:rsidRPr="00DA27E1">
        <w:rPr>
          <w:rFonts w:cs="Times New Roman"/>
          <w:lang w:val="en-GB"/>
        </w:rPr>
        <w:t>s</w:t>
      </w:r>
      <w:r w:rsidR="009D4CA7" w:rsidRPr="00DA27E1">
        <w:rPr>
          <w:rFonts w:cs="Times New Roman"/>
          <w:lang w:val="en-GB"/>
        </w:rPr>
        <w:t xml:space="preserve"> in exCR.</w:t>
      </w:r>
      <w:r w:rsidR="00E21DB0" w:rsidRPr="00DA27E1">
        <w:rPr>
          <w:rFonts w:cs="Times New Roman"/>
          <w:lang w:val="en-GB"/>
        </w:rPr>
        <w:t xml:space="preserve"> However,</w:t>
      </w:r>
      <w:r w:rsidR="009D4CA7" w:rsidRPr="00DA27E1">
        <w:rPr>
          <w:rFonts w:cs="Times New Roman"/>
          <w:lang w:val="en-GB"/>
        </w:rPr>
        <w:t xml:space="preserve"> </w:t>
      </w:r>
      <w:r w:rsidR="00E21DB0" w:rsidRPr="00DA27E1">
        <w:rPr>
          <w:rFonts w:cs="Times New Roman"/>
          <w:lang w:val="en-GB"/>
        </w:rPr>
        <w:t>o</w:t>
      </w:r>
      <w:r w:rsidR="00403462" w:rsidRPr="00DA27E1">
        <w:rPr>
          <w:rFonts w:cs="Times New Roman"/>
          <w:lang w:val="en-GB"/>
        </w:rPr>
        <w:t>ur data</w:t>
      </w:r>
      <w:r w:rsidR="00E21DB0" w:rsidRPr="00DA27E1">
        <w:rPr>
          <w:rFonts w:cs="Times New Roman"/>
          <w:lang w:val="en-GB"/>
        </w:rPr>
        <w:t xml:space="preserve"> </w:t>
      </w:r>
      <w:r w:rsidR="00A749B2" w:rsidRPr="00DA27E1">
        <w:rPr>
          <w:rFonts w:cs="Times New Roman"/>
          <w:lang w:val="en-GB"/>
        </w:rPr>
        <w:t>is</w:t>
      </w:r>
      <w:r w:rsidR="00E12DFA" w:rsidRPr="00DA27E1">
        <w:rPr>
          <w:rFonts w:cs="Times New Roman"/>
          <w:lang w:val="en-GB"/>
        </w:rPr>
        <w:t xml:space="preserve"> </w:t>
      </w:r>
      <w:r w:rsidR="00A749B2" w:rsidRPr="00DA27E1">
        <w:rPr>
          <w:rFonts w:cs="Times New Roman"/>
          <w:lang w:val="en-GB"/>
        </w:rPr>
        <w:t>collected</w:t>
      </w:r>
      <w:r w:rsidR="00E12DFA" w:rsidRPr="00DA27E1">
        <w:rPr>
          <w:rFonts w:cs="Times New Roman"/>
          <w:lang w:val="en-GB"/>
        </w:rPr>
        <w:t xml:space="preserve"> </w:t>
      </w:r>
      <w:r w:rsidR="00F844B8" w:rsidRPr="00DA27E1">
        <w:rPr>
          <w:rFonts w:cs="Times New Roman"/>
          <w:lang w:val="en-GB"/>
        </w:rPr>
        <w:t>in a</w:t>
      </w:r>
      <w:r w:rsidR="00283502" w:rsidRPr="00DA27E1">
        <w:rPr>
          <w:rFonts w:cs="Times New Roman"/>
          <w:lang w:val="en-GB"/>
        </w:rPr>
        <w:t>n exCR</w:t>
      </w:r>
      <w:r w:rsidR="00F844B8" w:rsidRPr="00DA27E1">
        <w:rPr>
          <w:rFonts w:cs="Times New Roman"/>
          <w:lang w:val="en-GB"/>
        </w:rPr>
        <w:t xml:space="preserve"> program with </w:t>
      </w:r>
      <w:r w:rsidR="00B94B60" w:rsidRPr="00DA27E1">
        <w:rPr>
          <w:rFonts w:cs="Times New Roman"/>
          <w:lang w:val="en-GB"/>
        </w:rPr>
        <w:t>the</w:t>
      </w:r>
      <w:r w:rsidR="00F844B8" w:rsidRPr="00DA27E1">
        <w:rPr>
          <w:rFonts w:cs="Times New Roman"/>
          <w:lang w:val="en-GB"/>
        </w:rPr>
        <w:t xml:space="preserve"> </w:t>
      </w:r>
      <w:r w:rsidR="00403462" w:rsidRPr="00DA27E1">
        <w:rPr>
          <w:rFonts w:cs="Times New Roman"/>
          <w:lang w:val="en-GB"/>
        </w:rPr>
        <w:t>transition phase</w:t>
      </w:r>
      <w:r w:rsidR="00B94B60" w:rsidRPr="00DA27E1">
        <w:rPr>
          <w:rFonts w:cs="Times New Roman"/>
          <w:lang w:val="en-GB"/>
        </w:rPr>
        <w:t xml:space="preserve"> halfway</w:t>
      </w:r>
      <w:r w:rsidR="003B2FC5" w:rsidRPr="00DA27E1">
        <w:rPr>
          <w:rFonts w:cs="Times New Roman"/>
          <w:lang w:val="en-GB"/>
        </w:rPr>
        <w:t xml:space="preserve"> through the program</w:t>
      </w:r>
      <w:r w:rsidR="00E12DFA" w:rsidRPr="00DA27E1">
        <w:rPr>
          <w:rFonts w:cs="Times New Roman"/>
          <w:lang w:val="en-GB"/>
        </w:rPr>
        <w:t>.</w:t>
      </w:r>
      <w:r w:rsidR="00403462" w:rsidRPr="00DA27E1">
        <w:rPr>
          <w:rFonts w:cs="Times New Roman"/>
          <w:lang w:val="en-GB"/>
        </w:rPr>
        <w:t xml:space="preserve"> </w:t>
      </w:r>
      <w:r w:rsidR="008568D0" w:rsidRPr="00DA27E1">
        <w:rPr>
          <w:rFonts w:cs="Times New Roman"/>
          <w:lang w:val="en-GB"/>
        </w:rPr>
        <w:t xml:space="preserve">Investigations into </w:t>
      </w:r>
      <w:r w:rsidR="00F14F48" w:rsidRPr="00DA27E1">
        <w:rPr>
          <w:rFonts w:cs="Times New Roman"/>
          <w:szCs w:val="24"/>
          <w:lang w:val="en-GB"/>
        </w:rPr>
        <w:t>whether</w:t>
      </w:r>
      <w:r w:rsidR="008568D0" w:rsidRPr="00DA27E1">
        <w:rPr>
          <w:rFonts w:cs="Times New Roman"/>
          <w:szCs w:val="24"/>
          <w:lang w:val="en-GB"/>
        </w:rPr>
        <w:t xml:space="preserve"> results from</w:t>
      </w:r>
      <w:r w:rsidR="00DF536F" w:rsidRPr="00DA27E1">
        <w:rPr>
          <w:rFonts w:cs="Times New Roman"/>
          <w:szCs w:val="24"/>
          <w:lang w:val="en-GB"/>
        </w:rPr>
        <w:t xml:space="preserve"> </w:t>
      </w:r>
      <w:r w:rsidR="000E368C" w:rsidRPr="00DA27E1">
        <w:rPr>
          <w:rFonts w:cs="Times New Roman"/>
          <w:szCs w:val="24"/>
          <w:lang w:val="en-GB"/>
        </w:rPr>
        <w:t xml:space="preserve">such </w:t>
      </w:r>
      <w:r w:rsidR="00B94B60" w:rsidRPr="00DA27E1">
        <w:rPr>
          <w:rFonts w:cs="Times New Roman"/>
          <w:szCs w:val="24"/>
          <w:lang w:val="en-GB"/>
        </w:rPr>
        <w:t xml:space="preserve">organization, with a </w:t>
      </w:r>
      <w:r w:rsidR="005C402D" w:rsidRPr="00DA27E1">
        <w:rPr>
          <w:rFonts w:cs="Times New Roman"/>
          <w:szCs w:val="24"/>
          <w:lang w:val="en-GB"/>
        </w:rPr>
        <w:t>transition</w:t>
      </w:r>
      <w:r w:rsidR="00F14F48" w:rsidRPr="00DA27E1">
        <w:rPr>
          <w:rFonts w:cs="Times New Roman"/>
          <w:szCs w:val="24"/>
          <w:lang w:val="en-GB"/>
        </w:rPr>
        <w:t xml:space="preserve"> </w:t>
      </w:r>
      <w:r w:rsidR="00DF536F" w:rsidRPr="00DA27E1">
        <w:rPr>
          <w:rFonts w:cs="Times New Roman"/>
          <w:szCs w:val="24"/>
          <w:lang w:val="en-GB"/>
        </w:rPr>
        <w:t xml:space="preserve">phase </w:t>
      </w:r>
      <w:r w:rsidR="00B94B60" w:rsidRPr="00DA27E1">
        <w:rPr>
          <w:rFonts w:cs="Times New Roman"/>
          <w:szCs w:val="24"/>
          <w:lang w:val="en-GB"/>
        </w:rPr>
        <w:t>halfway</w:t>
      </w:r>
      <w:r w:rsidR="002E0130" w:rsidRPr="00DA27E1">
        <w:rPr>
          <w:rFonts w:cs="Times New Roman"/>
          <w:szCs w:val="24"/>
          <w:lang w:val="en-GB"/>
        </w:rPr>
        <w:t xml:space="preserve"> through the program</w:t>
      </w:r>
      <w:r w:rsidR="00B94B60" w:rsidRPr="00DA27E1">
        <w:rPr>
          <w:rFonts w:cs="Times New Roman"/>
          <w:szCs w:val="24"/>
          <w:lang w:val="en-GB"/>
        </w:rPr>
        <w:t xml:space="preserve">, </w:t>
      </w:r>
      <w:r w:rsidR="00DF536F" w:rsidRPr="00DA27E1">
        <w:rPr>
          <w:rFonts w:cs="Times New Roman"/>
          <w:szCs w:val="24"/>
          <w:lang w:val="en-GB"/>
        </w:rPr>
        <w:t>could</w:t>
      </w:r>
      <w:r w:rsidR="00A749B2" w:rsidRPr="00DA27E1">
        <w:rPr>
          <w:rFonts w:cs="Times New Roman"/>
          <w:szCs w:val="24"/>
          <w:lang w:val="en-GB"/>
        </w:rPr>
        <w:t xml:space="preserve"> be generalizable to other exCR </w:t>
      </w:r>
      <w:r w:rsidR="00DF536F" w:rsidRPr="00DA27E1">
        <w:rPr>
          <w:rFonts w:cs="Times New Roman"/>
          <w:szCs w:val="24"/>
          <w:lang w:val="en-GB"/>
        </w:rPr>
        <w:t>programs</w:t>
      </w:r>
      <w:r w:rsidR="00A749B2" w:rsidRPr="00DA27E1">
        <w:rPr>
          <w:rFonts w:cs="Times New Roman"/>
          <w:szCs w:val="24"/>
          <w:lang w:val="en-GB"/>
        </w:rPr>
        <w:t xml:space="preserve"> w</w:t>
      </w:r>
      <w:r w:rsidR="00E21DB0" w:rsidRPr="00DA27E1">
        <w:rPr>
          <w:rFonts w:cs="Times New Roman"/>
          <w:szCs w:val="24"/>
          <w:lang w:val="en-GB"/>
        </w:rPr>
        <w:t>h</w:t>
      </w:r>
      <w:r w:rsidR="00A749B2" w:rsidRPr="00DA27E1">
        <w:rPr>
          <w:rFonts w:cs="Times New Roman"/>
          <w:szCs w:val="24"/>
          <w:lang w:val="en-GB"/>
        </w:rPr>
        <w:t xml:space="preserve">ere </w:t>
      </w:r>
      <w:r w:rsidR="00403462" w:rsidRPr="00DA27E1">
        <w:rPr>
          <w:rFonts w:cs="Times New Roman"/>
          <w:szCs w:val="24"/>
          <w:lang w:val="en-GB"/>
        </w:rPr>
        <w:t xml:space="preserve">the transition </w:t>
      </w:r>
      <w:r w:rsidR="00A749B2" w:rsidRPr="00DA27E1">
        <w:rPr>
          <w:rFonts w:cs="Times New Roman"/>
          <w:szCs w:val="24"/>
          <w:lang w:val="en-GB"/>
        </w:rPr>
        <w:t>occurs</w:t>
      </w:r>
      <w:r w:rsidR="00095310" w:rsidRPr="00DA27E1">
        <w:rPr>
          <w:rFonts w:cs="Times New Roman"/>
          <w:szCs w:val="24"/>
          <w:lang w:val="en-GB"/>
        </w:rPr>
        <w:t xml:space="preserve"> e.g.</w:t>
      </w:r>
      <w:r w:rsidR="00403462" w:rsidRPr="00DA27E1">
        <w:rPr>
          <w:rFonts w:cs="Times New Roman"/>
          <w:szCs w:val="24"/>
          <w:lang w:val="en-GB"/>
        </w:rPr>
        <w:t xml:space="preserve"> at </w:t>
      </w:r>
      <w:r w:rsidR="00D74580" w:rsidRPr="00DA27E1">
        <w:rPr>
          <w:rFonts w:cs="Times New Roman"/>
          <w:szCs w:val="24"/>
          <w:lang w:val="en-GB"/>
        </w:rPr>
        <w:t xml:space="preserve">the </w:t>
      </w:r>
      <w:r w:rsidR="00A749B2" w:rsidRPr="00DA27E1">
        <w:rPr>
          <w:rFonts w:cs="Times New Roman"/>
          <w:szCs w:val="24"/>
          <w:lang w:val="en-GB"/>
        </w:rPr>
        <w:t xml:space="preserve">beginning of </w:t>
      </w:r>
      <w:r w:rsidR="00403462" w:rsidRPr="00DA27E1">
        <w:rPr>
          <w:rFonts w:cs="Times New Roman"/>
          <w:szCs w:val="24"/>
          <w:lang w:val="en-GB"/>
        </w:rPr>
        <w:t xml:space="preserve">the </w:t>
      </w:r>
      <w:r w:rsidR="00B94B60" w:rsidRPr="00DA27E1">
        <w:rPr>
          <w:rFonts w:cs="Times New Roman"/>
          <w:szCs w:val="24"/>
          <w:lang w:val="en-GB"/>
        </w:rPr>
        <w:t>program</w:t>
      </w:r>
      <w:r w:rsidR="00A749B2" w:rsidRPr="00DA27E1">
        <w:rPr>
          <w:rFonts w:cs="Times New Roman"/>
          <w:szCs w:val="24"/>
          <w:lang w:val="en-GB"/>
        </w:rPr>
        <w:t xml:space="preserve"> </w:t>
      </w:r>
      <w:r w:rsidR="008568D0" w:rsidRPr="00DA27E1">
        <w:rPr>
          <w:rFonts w:cs="Times New Roman"/>
          <w:szCs w:val="24"/>
          <w:lang w:val="en-GB"/>
        </w:rPr>
        <w:t>is needed.</w:t>
      </w:r>
      <w:r w:rsidR="00A749B2" w:rsidRPr="00DA27E1">
        <w:rPr>
          <w:rFonts w:cs="Times New Roman"/>
          <w:lang w:val="en-GB"/>
        </w:rPr>
        <w:t xml:space="preserve"> </w:t>
      </w:r>
      <w:r w:rsidR="003F3812" w:rsidRPr="00DA27E1">
        <w:rPr>
          <w:rFonts w:cs="Times New Roman"/>
          <w:lang w:val="en-GB"/>
        </w:rPr>
        <w:t>Nonetheless,</w:t>
      </w:r>
      <w:r w:rsidR="000E368C" w:rsidRPr="00DA27E1">
        <w:rPr>
          <w:rFonts w:cs="Times New Roman"/>
          <w:lang w:val="en-GB"/>
        </w:rPr>
        <w:t xml:space="preserve"> </w:t>
      </w:r>
      <w:r w:rsidR="008568D0" w:rsidRPr="00DA27E1">
        <w:rPr>
          <w:rFonts w:cs="Times New Roman"/>
          <w:lang w:val="en-GB"/>
        </w:rPr>
        <w:t xml:space="preserve">our </w:t>
      </w:r>
      <w:r w:rsidR="00A749B2" w:rsidRPr="00DA27E1">
        <w:rPr>
          <w:rFonts w:cs="Times New Roman"/>
          <w:lang w:val="en-GB"/>
        </w:rPr>
        <w:t xml:space="preserve">findings </w:t>
      </w:r>
      <w:r w:rsidR="00E12DFA" w:rsidRPr="00DA27E1">
        <w:rPr>
          <w:rFonts w:cs="Times New Roman"/>
          <w:lang w:val="en-GB"/>
        </w:rPr>
        <w:t>point towards</w:t>
      </w:r>
      <w:r w:rsidR="00A749B2" w:rsidRPr="00DA27E1">
        <w:rPr>
          <w:rFonts w:cs="Times New Roman"/>
          <w:lang w:val="en-GB"/>
        </w:rPr>
        <w:t xml:space="preserve"> an increased focus</w:t>
      </w:r>
      <w:r w:rsidR="000872FB" w:rsidRPr="00DA27E1">
        <w:rPr>
          <w:rFonts w:cs="Times New Roman"/>
          <w:lang w:val="en-GB"/>
        </w:rPr>
        <w:t xml:space="preserve"> and further research in</w:t>
      </w:r>
      <w:r w:rsidR="00A749B2" w:rsidRPr="00DA27E1">
        <w:rPr>
          <w:rFonts w:cs="Times New Roman"/>
          <w:lang w:val="en-GB"/>
        </w:rPr>
        <w:t xml:space="preserve"> </w:t>
      </w:r>
      <w:r w:rsidR="00E12DFA" w:rsidRPr="00DA27E1">
        <w:rPr>
          <w:rFonts w:cs="Times New Roman"/>
          <w:szCs w:val="28"/>
          <w:lang w:val="en-GB"/>
        </w:rPr>
        <w:t xml:space="preserve">patient care pathways </w:t>
      </w:r>
      <w:r w:rsidR="003F3812" w:rsidRPr="00DA27E1">
        <w:rPr>
          <w:rFonts w:cs="Times New Roman"/>
          <w:lang w:val="en-GB"/>
        </w:rPr>
        <w:t xml:space="preserve">across </w:t>
      </w:r>
      <w:r w:rsidR="000872FB" w:rsidRPr="00DA27E1">
        <w:rPr>
          <w:rFonts w:cs="Times New Roman"/>
          <w:lang w:val="en-GB"/>
        </w:rPr>
        <w:t xml:space="preserve">settings </w:t>
      </w:r>
      <w:r w:rsidR="00040863" w:rsidRPr="00DA27E1">
        <w:rPr>
          <w:rFonts w:cs="Times New Roman"/>
          <w:szCs w:val="28"/>
          <w:lang w:val="en-GB"/>
        </w:rPr>
        <w:t xml:space="preserve">and strategies </w:t>
      </w:r>
      <w:r w:rsidR="003F3812" w:rsidRPr="00DA27E1">
        <w:rPr>
          <w:rFonts w:cs="Times New Roman"/>
          <w:szCs w:val="28"/>
          <w:lang w:val="en-GB"/>
        </w:rPr>
        <w:t xml:space="preserve">to enhance </w:t>
      </w:r>
      <w:r w:rsidR="00CC5F43" w:rsidRPr="00DA27E1">
        <w:rPr>
          <w:rFonts w:cs="Times New Roman"/>
          <w:szCs w:val="28"/>
          <w:lang w:val="en-GB"/>
        </w:rPr>
        <w:t>retention</w:t>
      </w:r>
      <w:r w:rsidR="00291C45" w:rsidRPr="00DA27E1">
        <w:rPr>
          <w:rFonts w:cs="Times New Roman"/>
          <w:lang w:val="en-GB"/>
        </w:rPr>
        <w:t xml:space="preserve"> </w:t>
      </w:r>
      <w:r w:rsidR="000872FB" w:rsidRPr="00DA27E1">
        <w:rPr>
          <w:rFonts w:cs="Times New Roman"/>
          <w:lang w:val="en-GB"/>
        </w:rPr>
        <w:t xml:space="preserve">as </w:t>
      </w:r>
      <w:r w:rsidR="00343415" w:rsidRPr="00DA27E1">
        <w:rPr>
          <w:rFonts w:cs="Times New Roman"/>
          <w:lang w:val="en-GB"/>
        </w:rPr>
        <w:t xml:space="preserve">the transition </w:t>
      </w:r>
      <w:r w:rsidR="006C7FEA" w:rsidRPr="00DA27E1">
        <w:rPr>
          <w:rFonts w:cs="Times New Roman"/>
          <w:lang w:val="en-GB"/>
        </w:rPr>
        <w:t>constitute</w:t>
      </w:r>
      <w:r w:rsidR="00343415" w:rsidRPr="00DA27E1">
        <w:rPr>
          <w:rFonts w:cs="Times New Roman"/>
          <w:lang w:val="en-GB"/>
        </w:rPr>
        <w:t>s</w:t>
      </w:r>
      <w:r w:rsidR="006C7FEA" w:rsidRPr="00DA27E1" w:rsidDel="006C7FEA">
        <w:rPr>
          <w:rFonts w:cs="Times New Roman"/>
          <w:lang w:val="en-GB"/>
        </w:rPr>
        <w:t xml:space="preserve"> </w:t>
      </w:r>
      <w:r w:rsidR="006C7FEA" w:rsidRPr="00DA27E1">
        <w:rPr>
          <w:rFonts w:cs="Times New Roman"/>
          <w:lang w:val="en-GB"/>
        </w:rPr>
        <w:t xml:space="preserve">a </w:t>
      </w:r>
      <w:r w:rsidR="00F844B8" w:rsidRPr="00DA27E1">
        <w:rPr>
          <w:rFonts w:cs="Times New Roman"/>
          <w:lang w:val="en-GB"/>
        </w:rPr>
        <w:t xml:space="preserve">potentially </w:t>
      </w:r>
      <w:r w:rsidR="00A749B2" w:rsidRPr="00DA27E1">
        <w:rPr>
          <w:rFonts w:cs="Times New Roman"/>
          <w:lang w:val="en-GB"/>
        </w:rPr>
        <w:t>critical</w:t>
      </w:r>
      <w:r w:rsidR="000872FB" w:rsidRPr="00DA27E1">
        <w:rPr>
          <w:rFonts w:cs="Times New Roman"/>
          <w:lang w:val="en-GB"/>
        </w:rPr>
        <w:t xml:space="preserve"> </w:t>
      </w:r>
      <w:r w:rsidR="008568D0" w:rsidRPr="00DA27E1">
        <w:rPr>
          <w:rFonts w:cs="Times New Roman"/>
          <w:lang w:val="en-GB"/>
        </w:rPr>
        <w:t>dropout period</w:t>
      </w:r>
      <w:r w:rsidR="00040863" w:rsidRPr="00DA27E1">
        <w:rPr>
          <w:rFonts w:cs="Times New Roman"/>
          <w:lang w:val="en-GB"/>
        </w:rPr>
        <w:t xml:space="preserve"> in exCR</w:t>
      </w:r>
      <w:r w:rsidR="00A749B2" w:rsidRPr="00DA27E1">
        <w:rPr>
          <w:rFonts w:cs="Times New Roman"/>
          <w:lang w:val="en-GB"/>
        </w:rPr>
        <w:t>.</w:t>
      </w:r>
    </w:p>
    <w:p w14:paraId="50FA6C6D" w14:textId="07527495" w:rsidR="00402091" w:rsidRPr="00DA27E1" w:rsidRDefault="00B5027E" w:rsidP="0094111C">
      <w:pPr>
        <w:spacing w:line="480" w:lineRule="auto"/>
        <w:rPr>
          <w:rFonts w:cs="Times New Roman"/>
          <w:lang w:val="en-GB"/>
        </w:rPr>
      </w:pPr>
      <w:r w:rsidRPr="00DA27E1">
        <w:rPr>
          <w:rFonts w:cs="Times New Roman"/>
          <w:lang w:val="en-GB"/>
        </w:rPr>
        <w:t xml:space="preserve">We found that number of attended exercise sessions were associated with </w:t>
      </w:r>
      <w:r w:rsidR="00C9333C" w:rsidRPr="00DA27E1">
        <w:rPr>
          <w:rFonts w:cs="Times New Roman"/>
          <w:lang w:val="en-GB"/>
        </w:rPr>
        <w:t>dropout at transition indicating</w:t>
      </w:r>
      <w:r w:rsidRPr="00DA27E1">
        <w:rPr>
          <w:rFonts w:cs="Times New Roman"/>
          <w:lang w:val="en-GB"/>
        </w:rPr>
        <w:t xml:space="preserve"> that patients attending less exercise sessions were more likely to dropout at the transitions phase</w:t>
      </w:r>
      <w:r w:rsidR="00912CAE" w:rsidRPr="00DA27E1">
        <w:rPr>
          <w:rFonts w:cs="Times New Roman"/>
          <w:lang w:val="en-GB"/>
        </w:rPr>
        <w:t xml:space="preserve">. </w:t>
      </w:r>
      <w:r w:rsidR="006C7FEA" w:rsidRPr="00DA27E1">
        <w:rPr>
          <w:rFonts w:cs="Times New Roman"/>
          <w:lang w:val="en-GB"/>
        </w:rPr>
        <w:t>S</w:t>
      </w:r>
      <w:r w:rsidR="00912CAE" w:rsidRPr="00DA27E1">
        <w:rPr>
          <w:rFonts w:cs="Times New Roman"/>
          <w:lang w:val="en-GB"/>
        </w:rPr>
        <w:t xml:space="preserve">tudies have reported an association between </w:t>
      </w:r>
      <w:r w:rsidR="0074420E" w:rsidRPr="00DA27E1">
        <w:rPr>
          <w:rFonts w:cs="Times New Roman"/>
          <w:lang w:val="en-GB"/>
        </w:rPr>
        <w:t xml:space="preserve">attended </w:t>
      </w:r>
      <w:r w:rsidR="00A057BB" w:rsidRPr="00DA27E1">
        <w:rPr>
          <w:rFonts w:cs="Times New Roman"/>
          <w:lang w:val="en-GB"/>
        </w:rPr>
        <w:t xml:space="preserve">exCR </w:t>
      </w:r>
      <w:r w:rsidR="0074420E" w:rsidRPr="00DA27E1">
        <w:rPr>
          <w:rFonts w:cs="Times New Roman"/>
          <w:lang w:val="en-GB"/>
        </w:rPr>
        <w:t xml:space="preserve">sessions and </w:t>
      </w:r>
      <w:r w:rsidR="00912CAE" w:rsidRPr="00DA27E1">
        <w:rPr>
          <w:rFonts w:cs="Times New Roman"/>
          <w:lang w:val="en-GB"/>
        </w:rPr>
        <w:t>long-term risks</w:t>
      </w:r>
      <w:r w:rsidR="00D90198" w:rsidRPr="00DA27E1">
        <w:rPr>
          <w:rFonts w:cs="Times New Roman"/>
          <w:lang w:val="en-GB"/>
        </w:rPr>
        <w:t>,</w:t>
      </w:r>
      <w:r w:rsidR="006C7FEA" w:rsidRPr="00DA27E1">
        <w:rPr>
          <w:rFonts w:cs="Times New Roman"/>
          <w:lang w:val="en-GB"/>
        </w:rPr>
        <w:t xml:space="preserve"> e.g.</w:t>
      </w:r>
      <w:r w:rsidR="00912CAE" w:rsidRPr="00DA27E1">
        <w:rPr>
          <w:rFonts w:cs="Times New Roman"/>
          <w:lang w:val="en-GB"/>
        </w:rPr>
        <w:t xml:space="preserve"> mortality</w:t>
      </w:r>
      <w:r w:rsidR="006C7FEA" w:rsidRPr="00DA27E1">
        <w:rPr>
          <w:rFonts w:cs="Times New Roman"/>
          <w:lang w:val="en-GB"/>
        </w:rPr>
        <w:t xml:space="preserve"> and </w:t>
      </w:r>
      <w:r w:rsidR="0074420E" w:rsidRPr="00DA27E1">
        <w:rPr>
          <w:rFonts w:cs="Times New Roman"/>
          <w:lang w:val="en-GB"/>
        </w:rPr>
        <w:t xml:space="preserve">adverse </w:t>
      </w:r>
      <w:r w:rsidR="006C7FEA" w:rsidRPr="00DA27E1">
        <w:rPr>
          <w:rFonts w:cs="Times New Roman"/>
          <w:lang w:val="en-GB"/>
        </w:rPr>
        <w:t>events</w:t>
      </w:r>
      <w:r w:rsidR="00912CAE" w:rsidRPr="00DA27E1">
        <w:rPr>
          <w:rFonts w:cs="Times New Roman"/>
          <w:lang w:val="en-GB"/>
        </w:rPr>
        <w:t xml:space="preserve"> </w:t>
      </w:r>
      <w:r w:rsidR="00912CAE" w:rsidRPr="00DA27E1">
        <w:rPr>
          <w:rFonts w:cs="Times New Roman"/>
          <w:lang w:val="en-GB"/>
        </w:rPr>
        <w:fldChar w:fldCharType="begin"/>
      </w:r>
      <w:r w:rsidR="00EA059B" w:rsidRPr="00DA27E1">
        <w:rPr>
          <w:rFonts w:cs="Times New Roman"/>
          <w:lang w:val="en-GB"/>
        </w:rPr>
        <w:instrText xml:space="preserve"> ADDIN ZOTERO_ITEM CSL_CITATION {"citationID":"HKnIaGpl","properties":{"formattedCitation":"(7\\uc0\\u8211{}9)","plainCitation":"(7–9)","noteIndex":0},"citationItems":[{"id":180,"uris":["http://zotero.org/users/6176940/items/GXDS2BC6"],"uri":["http://zotero.org/users/6176940/items/GXDS2BC6"],"itemData":{"id":180,"type":"article-journal","container-title":"Mayo Clinic Proceedings","DOI":"10.1016/j.mayocp.2017.07.019","ISSN":"00256196","issue":"11","journalAbbreviation":"Mayo Clinic Proceedings","language":"en","page":"1644-1659","source":"DOI.org (Crossref)","title":"Effect of Cardiac Rehabilitation Dose on Mortality and Morbidity: A Systematic Review and Meta-regression Analysis","title-short":"Effect of Cardiac Rehabilitation Dose on Mortality and Morbidity","volume":"92","author":[{"family":"Santiago de Araújo Pio","given":"Carolina"},{"family":"Marzolini","given":"Susan"},{"family":"Pakosh","given":"Maureen"},{"family":"Grace","given":"Sherry L."}],"issued":{"date-parts":[["2017",11]]}}},{"id":16,"uris":["http://zotero.org/users/6176940/items/CZE54U42"],"uri":["http://zotero.org/users/6176940/items/CZE54U42"],"itemData":{"id":16,"type":"article-journal","abstract":"OBJECTIVE: To investigate whether attendance at cardiac rehabilitation (CR) independently predicts all-cause mortality over 14 years and whether there is a dose-response relationship between the proportion of CR sessions attended and long-term mortality. DESIGN: Retrospective cohort study. SETTING: CR programmes in Victoria, Australia PATIENTS: The sample comprised 544 men and women eligible for CR following myocardial infarction, coronary artery bypass surgery or percutaneous interventions. Participants were tracked 4 months after hospital discharge to ascertain CR attendance status. MAIN OUTCOME MEASURES: All-cause mortality at 14 years ascertained through linkage to the Australian National Death Index. RESULTS: In total, 281 (52%) men and women attended at least one CR session. There were few significant differences between non-attenders and attenders. After adjustment for age, sex, diagnosis, employment, diabetes and family history, the mortality risk for non-attenders was 58% greater than for attenders (HR=1.58, 95% CI 1.16 to 2.15). Participants who attended &lt;25% of sessions had a mortality risk more than twice that of participants attending ≥ 75% of sessions (OR=2.57, 95% CI 1.04 to 6.38). This association was attenuated after adjusting for current smoking (OR=2.06, 95% CI 0.80 to 5.29). CONCLUSIONS: This study provides further evidence for the long-term benefits of CR in a contemporary, heterogeneous population. While a dose-response relationship may exist between the number of sessions attended and long-term mortality, this relationship does not occur independently of smoking differences. CR practitioners should encourage smokers to attend CR and provide support for smoking cessation.","archive_location":"23213175","container-title":"Heart","DOI":"10.1136/heartjnl-2012-303022","ISSN":"1355-6037","issue":"9","language":"eng","note":"edition: 2012/12/06","page":"620-5","source":"NLM","title":"Attendance at cardiac rehabilitation is associated with lower all-cause mortality after 14 years of follow-up","volume":"99","author":[{"family":"Beauchamp","given":"A."},{"family":"Worcester","given":"M."},{"family":"Ng","given":"A."},{"family":"Murphy","given":"B."},{"family":"Tatoulis","given":"J."},{"family":"Grigg","given":"L."},{"family":"Newman","given":"R."},{"family":"Goble","given":"A."}],"issued":{"date-parts":[["2013",5]]}}},{"id":177,"uris":["http://zotero.org/users/6176940/items/NU9PSTSJ"],"uri":["http://zotero.org/users/6176940/items/NU9PSTSJ"],"itemData":{"id":177,"type":"article-journal","container-title":"European Journal of Preventive Cardiology","DOI":"10.1177/2047487314545279","ISSN":"2047-4873, 2047-4881","issue":"8","journalAbbreviation":"Eur J Prev Cardiolog","language":"en","page":"979-986","source":"DOI.org (Crossref)","title":"Cardiac rehabilitation referral, attendance and mortality in women","volume":"22","author":[{"family":"Colbert","given":"Jillian D"},{"family":"Martin","given":"Billie-Jean"},{"family":"Haykowsky","given":"Mark J"},{"family":"Hauer","given":"Trina L"},{"family":"Austford","given":"Leslie D"},{"family":"Arena","given":"Ross A"},{"family":"Knudtson","given":"Merril L"},{"family":"Meldrum","given":"Donald AN"},{"family":"Aggarwal","given":"Sandeep G"},{"family":"Stone","given":"James A"}],"issued":{"date-parts":[["2015",8]]}}}],"schema":"https://github.com/citation-style-language/schema/raw/master/csl-citation.json"} </w:instrText>
      </w:r>
      <w:r w:rsidR="00912CAE" w:rsidRPr="00DA27E1">
        <w:rPr>
          <w:rFonts w:cs="Times New Roman"/>
          <w:lang w:val="en-GB"/>
        </w:rPr>
        <w:fldChar w:fldCharType="separate"/>
      </w:r>
      <w:r w:rsidR="00EA059B" w:rsidRPr="00DA27E1">
        <w:rPr>
          <w:rFonts w:cs="Times New Roman"/>
          <w:szCs w:val="24"/>
          <w:lang w:val="en-GB"/>
        </w:rPr>
        <w:t>(7–9)</w:t>
      </w:r>
      <w:r w:rsidR="00912CAE" w:rsidRPr="00DA27E1">
        <w:rPr>
          <w:rFonts w:cs="Times New Roman"/>
          <w:lang w:val="en-GB"/>
        </w:rPr>
        <w:fldChar w:fldCharType="end"/>
      </w:r>
      <w:r w:rsidR="00912CAE" w:rsidRPr="00DA27E1">
        <w:rPr>
          <w:rFonts w:cs="Times New Roman"/>
          <w:lang w:val="en-GB"/>
        </w:rPr>
        <w:t xml:space="preserve">. </w:t>
      </w:r>
      <w:r w:rsidR="000872FB" w:rsidRPr="00DA27E1">
        <w:rPr>
          <w:rFonts w:cs="Times New Roman"/>
          <w:lang w:val="en-GB"/>
        </w:rPr>
        <w:t>Th</w:t>
      </w:r>
      <w:r w:rsidR="008568D0" w:rsidRPr="00DA27E1">
        <w:rPr>
          <w:rFonts w:cs="Times New Roman"/>
          <w:lang w:val="en-GB"/>
        </w:rPr>
        <w:t>e</w:t>
      </w:r>
      <w:r w:rsidR="00260421" w:rsidRPr="00DA27E1">
        <w:rPr>
          <w:rFonts w:cs="Times New Roman"/>
          <w:lang w:val="en-GB"/>
        </w:rPr>
        <w:t xml:space="preserve"> dose-response rela</w:t>
      </w:r>
      <w:r w:rsidR="00D84954" w:rsidRPr="00DA27E1">
        <w:rPr>
          <w:rFonts w:cs="Times New Roman"/>
          <w:lang w:val="en-GB"/>
        </w:rPr>
        <w:t xml:space="preserve">tionship </w:t>
      </w:r>
      <w:r w:rsidR="00260421" w:rsidRPr="00DA27E1">
        <w:rPr>
          <w:rFonts w:cs="Times New Roman"/>
          <w:lang w:val="en-GB"/>
        </w:rPr>
        <w:t>highlight</w:t>
      </w:r>
      <w:r w:rsidR="00D90198" w:rsidRPr="00DA27E1">
        <w:rPr>
          <w:rFonts w:cs="Times New Roman"/>
          <w:lang w:val="en-GB"/>
        </w:rPr>
        <w:t>s</w:t>
      </w:r>
      <w:r w:rsidR="00260421" w:rsidRPr="00DA27E1">
        <w:rPr>
          <w:rFonts w:cs="Times New Roman"/>
          <w:lang w:val="en-GB"/>
        </w:rPr>
        <w:t xml:space="preserve"> </w:t>
      </w:r>
      <w:r w:rsidR="000872FB" w:rsidRPr="00DA27E1">
        <w:rPr>
          <w:rFonts w:cs="Times New Roman"/>
          <w:lang w:val="en-GB"/>
        </w:rPr>
        <w:t xml:space="preserve">the importance </w:t>
      </w:r>
      <w:r w:rsidR="008568D0" w:rsidRPr="00DA27E1">
        <w:rPr>
          <w:rFonts w:cs="Times New Roman"/>
          <w:lang w:val="en-GB"/>
        </w:rPr>
        <w:t xml:space="preserve">of </w:t>
      </w:r>
      <w:r w:rsidR="00260421" w:rsidRPr="00DA27E1">
        <w:rPr>
          <w:rFonts w:cs="Times New Roman"/>
          <w:lang w:val="en-GB"/>
        </w:rPr>
        <w:t>following</w:t>
      </w:r>
      <w:r w:rsidR="000872FB" w:rsidRPr="00DA27E1">
        <w:rPr>
          <w:rFonts w:cs="Times New Roman"/>
          <w:lang w:val="en-GB"/>
        </w:rPr>
        <w:t xml:space="preserve"> clinical guideline</w:t>
      </w:r>
      <w:r w:rsidR="00D90198" w:rsidRPr="00DA27E1">
        <w:rPr>
          <w:rFonts w:cs="Times New Roman"/>
          <w:lang w:val="en-GB"/>
        </w:rPr>
        <w:t>s</w:t>
      </w:r>
      <w:r w:rsidR="000872FB" w:rsidRPr="00DA27E1">
        <w:rPr>
          <w:rFonts w:cs="Times New Roman"/>
          <w:lang w:val="en-GB"/>
        </w:rPr>
        <w:t xml:space="preserve"> for cardiac rehabilitation</w:t>
      </w:r>
      <w:r w:rsidR="00260421" w:rsidRPr="00DA27E1">
        <w:rPr>
          <w:rFonts w:cs="Times New Roman"/>
          <w:lang w:val="en-GB"/>
        </w:rPr>
        <w:t xml:space="preserve"> </w:t>
      </w:r>
      <w:r w:rsidR="003F3812" w:rsidRPr="00DA27E1">
        <w:rPr>
          <w:rFonts w:cs="Times New Roman"/>
          <w:lang w:val="en-GB"/>
        </w:rPr>
        <w:t xml:space="preserve">of </w:t>
      </w:r>
      <w:r w:rsidR="00260421" w:rsidRPr="00DA27E1">
        <w:rPr>
          <w:rFonts w:cs="Times New Roman"/>
          <w:lang w:val="en-GB"/>
        </w:rPr>
        <w:t xml:space="preserve">a minimum of 24 </w:t>
      </w:r>
      <w:r w:rsidR="0040248C" w:rsidRPr="00DA27E1">
        <w:rPr>
          <w:rFonts w:cs="Times New Roman"/>
          <w:lang w:val="en-GB"/>
        </w:rPr>
        <w:t>exercise</w:t>
      </w:r>
      <w:r w:rsidR="00260421" w:rsidRPr="00DA27E1">
        <w:rPr>
          <w:rFonts w:cs="Times New Roman"/>
          <w:lang w:val="en-GB"/>
        </w:rPr>
        <w:t xml:space="preserve"> session</w:t>
      </w:r>
      <w:r w:rsidR="003A43CA" w:rsidRPr="00DA27E1">
        <w:rPr>
          <w:rFonts w:cs="Times New Roman"/>
          <w:lang w:val="en-GB"/>
        </w:rPr>
        <w:t>s</w:t>
      </w:r>
      <w:r w:rsidR="00260421" w:rsidRPr="00DA27E1">
        <w:rPr>
          <w:rFonts w:cs="Times New Roman"/>
          <w:lang w:val="en-GB"/>
        </w:rPr>
        <w:t xml:space="preserve"> over 8-12 weeks</w:t>
      </w:r>
      <w:r w:rsidR="00D84954" w:rsidRPr="00DA27E1">
        <w:rPr>
          <w:rFonts w:cs="Times New Roman"/>
          <w:lang w:val="en-GB"/>
        </w:rPr>
        <w:t xml:space="preserve"> </w:t>
      </w:r>
      <w:r w:rsidR="00D84954" w:rsidRPr="00DA27E1">
        <w:rPr>
          <w:rFonts w:cs="Times New Roman"/>
          <w:lang w:val="en-GB"/>
        </w:rPr>
        <w:fldChar w:fldCharType="begin"/>
      </w:r>
      <w:r w:rsidR="00EA059B" w:rsidRPr="00DA27E1">
        <w:rPr>
          <w:rFonts w:cs="Times New Roman"/>
          <w:lang w:val="en-GB"/>
        </w:rPr>
        <w:instrText xml:space="preserve"> ADDIN ZOTERO_ITEM CSL_CITATION {"citationID":"gVrHggQo","properties":{"formattedCitation":"(22)","plainCitation":"(22)","noteIndex":0},"citationItems":[{"id":141,"uris":["http://zotero.org/users/6176940/items/N748V2N2"],"uri":["http://zotero.org/users/6176940/items/N748V2N2"],"itemData":{"id":141,"type":"webpage","language":"Danish","note":"ISBN: 978-87-7104-527-7","title":"National klinisk retningslinje for hjerterehabilitering [National Clinical Guideline for Cardiac Rehabilitation]","URL":"https://www.sst.dk/da/udgivelser/2015/~/media/401919781C684EE9AAE544EB5E76847B.ashx","author":[{"literal":"Sundhedsstyrelsen [Danish Health Authority]"}],"accessed":{"date-parts":[["2021",2,22]]},"issued":{"date-parts":[["2015",2,20]]}}}],"schema":"https://github.com/citation-style-language/schema/raw/master/csl-citation.json"} </w:instrText>
      </w:r>
      <w:r w:rsidR="00D84954" w:rsidRPr="00DA27E1">
        <w:rPr>
          <w:rFonts w:cs="Times New Roman"/>
          <w:lang w:val="en-GB"/>
        </w:rPr>
        <w:fldChar w:fldCharType="separate"/>
      </w:r>
      <w:r w:rsidR="00EA059B" w:rsidRPr="00DA27E1">
        <w:rPr>
          <w:rFonts w:cs="Times New Roman"/>
          <w:lang w:val="en-GB"/>
        </w:rPr>
        <w:t>(22)</w:t>
      </w:r>
      <w:r w:rsidR="00D84954" w:rsidRPr="00DA27E1">
        <w:rPr>
          <w:rFonts w:cs="Times New Roman"/>
          <w:lang w:val="en-GB"/>
        </w:rPr>
        <w:fldChar w:fldCharType="end"/>
      </w:r>
      <w:r w:rsidR="00260421" w:rsidRPr="00DA27E1">
        <w:rPr>
          <w:rFonts w:cs="Times New Roman"/>
          <w:lang w:val="en-GB"/>
        </w:rPr>
        <w:t>.</w:t>
      </w:r>
      <w:r w:rsidR="0019237E" w:rsidRPr="00DA27E1">
        <w:rPr>
          <w:rFonts w:cs="Times New Roman"/>
          <w:lang w:val="en-GB"/>
        </w:rPr>
        <w:t xml:space="preserve"> </w:t>
      </w:r>
      <w:r w:rsidR="00072081" w:rsidRPr="00DA27E1">
        <w:rPr>
          <w:rFonts w:cs="Times New Roman"/>
          <w:lang w:val="en-GB"/>
        </w:rPr>
        <w:t>In the present study</w:t>
      </w:r>
      <w:r w:rsidR="006F399A" w:rsidRPr="00DA27E1">
        <w:rPr>
          <w:rFonts w:cs="Times New Roman"/>
          <w:lang w:val="en-GB"/>
        </w:rPr>
        <w:t>,</w:t>
      </w:r>
      <w:r w:rsidR="00072081" w:rsidRPr="00DA27E1">
        <w:rPr>
          <w:rFonts w:cs="Times New Roman"/>
          <w:lang w:val="en-GB"/>
        </w:rPr>
        <w:t xml:space="preserve"> 34% of the total population </w:t>
      </w:r>
      <w:r w:rsidR="00DF0943" w:rsidRPr="00DA27E1">
        <w:rPr>
          <w:rFonts w:cs="Times New Roman"/>
          <w:lang w:val="en-GB"/>
        </w:rPr>
        <w:t xml:space="preserve">had </w:t>
      </w:r>
      <w:r w:rsidR="00072081" w:rsidRPr="00DA27E1">
        <w:rPr>
          <w:rFonts w:cs="Times New Roman"/>
          <w:lang w:val="en-GB"/>
        </w:rPr>
        <w:t>dropped out at the transition phase, resulting in patients only</w:t>
      </w:r>
      <w:r w:rsidR="00654490" w:rsidRPr="00DA27E1">
        <w:rPr>
          <w:rFonts w:cs="Times New Roman"/>
          <w:lang w:val="en-GB"/>
        </w:rPr>
        <w:t xml:space="preserve"> receiv</w:t>
      </w:r>
      <w:r w:rsidR="00072081" w:rsidRPr="00DA27E1">
        <w:rPr>
          <w:rFonts w:cs="Times New Roman"/>
          <w:lang w:val="en-GB"/>
        </w:rPr>
        <w:t>ing</w:t>
      </w:r>
      <w:r w:rsidR="00654490" w:rsidRPr="00DA27E1">
        <w:rPr>
          <w:rFonts w:cs="Times New Roman"/>
          <w:lang w:val="en-GB"/>
        </w:rPr>
        <w:t xml:space="preserve"> </w:t>
      </w:r>
      <w:r w:rsidR="009600A5" w:rsidRPr="00DA27E1">
        <w:rPr>
          <w:rFonts w:cs="Times New Roman"/>
          <w:lang w:val="en-GB"/>
        </w:rPr>
        <w:t>50%</w:t>
      </w:r>
      <w:r w:rsidR="00654490" w:rsidRPr="00DA27E1">
        <w:rPr>
          <w:rFonts w:cs="Times New Roman"/>
          <w:lang w:val="en-GB"/>
        </w:rPr>
        <w:t xml:space="preserve"> or less of the intended exercise session</w:t>
      </w:r>
      <w:r w:rsidR="006F399A" w:rsidRPr="00DA27E1">
        <w:rPr>
          <w:rFonts w:cs="Times New Roman"/>
          <w:lang w:val="en-GB"/>
        </w:rPr>
        <w:t>s</w:t>
      </w:r>
      <w:r w:rsidR="00737CF3" w:rsidRPr="00DA27E1">
        <w:rPr>
          <w:rFonts w:cs="Times New Roman"/>
          <w:lang w:val="en-GB"/>
        </w:rPr>
        <w:t>.</w:t>
      </w:r>
      <w:r w:rsidR="00654490" w:rsidRPr="00DA27E1">
        <w:rPr>
          <w:rFonts w:cs="Times New Roman"/>
          <w:lang w:val="en-GB"/>
        </w:rPr>
        <w:t xml:space="preserve"> </w:t>
      </w:r>
      <w:r w:rsidR="00D45A59" w:rsidRPr="00DA27E1">
        <w:rPr>
          <w:rFonts w:cs="Times New Roman"/>
          <w:lang w:val="en-GB"/>
        </w:rPr>
        <w:t>Results from a</w:t>
      </w:r>
      <w:r w:rsidR="00654490" w:rsidRPr="00DA27E1">
        <w:rPr>
          <w:rFonts w:cs="Times New Roman"/>
          <w:lang w:val="en-GB"/>
        </w:rPr>
        <w:t xml:space="preserve"> more traditional cardiac rehabilitation progra</w:t>
      </w:r>
      <w:r w:rsidR="009600A5" w:rsidRPr="00DA27E1">
        <w:rPr>
          <w:rFonts w:cs="Times New Roman"/>
          <w:lang w:val="en-GB"/>
        </w:rPr>
        <w:t>m</w:t>
      </w:r>
      <w:r w:rsidR="00DF0943" w:rsidRPr="00DA27E1">
        <w:rPr>
          <w:rFonts w:cs="Times New Roman"/>
          <w:lang w:val="en-GB"/>
        </w:rPr>
        <w:t xml:space="preserve"> in Denmark</w:t>
      </w:r>
      <w:r w:rsidR="009600A5" w:rsidRPr="00DA27E1">
        <w:rPr>
          <w:rFonts w:cs="Times New Roman"/>
          <w:lang w:val="en-GB"/>
        </w:rPr>
        <w:t xml:space="preserve"> </w:t>
      </w:r>
      <w:r w:rsidR="00923EEC" w:rsidRPr="00DA27E1">
        <w:rPr>
          <w:rFonts w:cs="Times New Roman"/>
          <w:lang w:val="en-GB"/>
        </w:rPr>
        <w:t xml:space="preserve">shows that </w:t>
      </w:r>
      <w:r w:rsidR="006E3588" w:rsidRPr="00DA27E1">
        <w:rPr>
          <w:rFonts w:cs="Times New Roman"/>
          <w:lang w:val="en-GB"/>
        </w:rPr>
        <w:t>76% of patients attend</w:t>
      </w:r>
      <w:r w:rsidR="006F399A" w:rsidRPr="00DA27E1">
        <w:rPr>
          <w:rFonts w:cs="Times New Roman"/>
          <w:lang w:val="en-GB"/>
        </w:rPr>
        <w:t>ed</w:t>
      </w:r>
      <w:r w:rsidR="009600A5" w:rsidRPr="00DA27E1">
        <w:rPr>
          <w:rFonts w:cs="Times New Roman"/>
          <w:lang w:val="en-GB"/>
        </w:rPr>
        <w:t xml:space="preserve"> at least 75% of the </w:t>
      </w:r>
      <w:r w:rsidR="006E3588" w:rsidRPr="00DA27E1">
        <w:rPr>
          <w:rFonts w:cs="Times New Roman"/>
          <w:lang w:val="en-GB"/>
        </w:rPr>
        <w:t>scheduled exercise sessions</w:t>
      </w:r>
      <w:r w:rsidR="00DF0943" w:rsidRPr="00DA27E1">
        <w:rPr>
          <w:rFonts w:cs="Times New Roman"/>
          <w:lang w:val="en-GB"/>
        </w:rPr>
        <w:t xml:space="preserve"> in hospital</w:t>
      </w:r>
      <w:r w:rsidR="003D10AA" w:rsidRPr="00DA27E1">
        <w:rPr>
          <w:rFonts w:cs="Times New Roman"/>
          <w:lang w:val="en-GB"/>
        </w:rPr>
        <w:t xml:space="preserve"> </w:t>
      </w:r>
      <w:r w:rsidR="003D10AA" w:rsidRPr="00DA27E1">
        <w:rPr>
          <w:rFonts w:cs="Times New Roman"/>
          <w:lang w:val="en-GB"/>
        </w:rPr>
        <w:fldChar w:fldCharType="begin"/>
      </w:r>
      <w:r w:rsidR="006B0A97" w:rsidRPr="00DA27E1">
        <w:rPr>
          <w:rFonts w:cs="Times New Roman"/>
          <w:lang w:val="en-GB"/>
        </w:rPr>
        <w:instrText xml:space="preserve"> ADDIN ZOTERO_ITEM CSL_CITATION {"citationID":"PT7mCpCD","properties":{"formattedCitation":"(32)","plainCitation":"(32)","noteIndex":0},"citationItems":[{"id":240,"uris":["http://zotero.org/users/6176940/items/649BLZ93"],"uri":["http://zotero.org/users/6176940/items/649BLZ93"],"itemData":{"id":240,"type":"report","language":"Danish","page":"p. 40 - 46","publisher":"Regionernes Kliniske Kvalitetsudviklingsprogram","title":"Dansk Hjerterehabiliteringsdatabase (DHRD) Årsrapport 2019 [Danish Cardiac Rehabilitation Database (DHRD) Annual report 2019]","URL":"https://www.sundhed.dk/content/cms/93/59693_dhrd_aarsrapport-2019_20201201.pdf","author":[{"family":"","given":"Hjerterehabiliteringsdatabase. Regionernes Kliniske Kvalitetsudviklingsprogram (RKKP)"},{"family":"Styregruppen for Dansk Hjerterehabiliteringsdatabase","given":""}],"accessed":{"date-parts":[["2021",5,7]]},"issued":{"date-parts":[["2020"]]}}}],"schema":"https://github.com/citation-style-language/schema/raw/master/csl-citation.json"} </w:instrText>
      </w:r>
      <w:r w:rsidR="003D10AA" w:rsidRPr="00DA27E1">
        <w:rPr>
          <w:rFonts w:cs="Times New Roman"/>
          <w:lang w:val="en-GB"/>
        </w:rPr>
        <w:fldChar w:fldCharType="separate"/>
      </w:r>
      <w:r w:rsidR="006B0A97" w:rsidRPr="00DA27E1">
        <w:rPr>
          <w:rFonts w:cs="Times New Roman"/>
          <w:lang w:val="en-GB"/>
        </w:rPr>
        <w:t>(32)</w:t>
      </w:r>
      <w:r w:rsidR="003D10AA" w:rsidRPr="00DA27E1">
        <w:rPr>
          <w:rFonts w:cs="Times New Roman"/>
          <w:lang w:val="en-GB"/>
        </w:rPr>
        <w:fldChar w:fldCharType="end"/>
      </w:r>
      <w:r w:rsidR="00DF0943" w:rsidRPr="00DA27E1">
        <w:rPr>
          <w:rFonts w:cs="Times New Roman"/>
          <w:lang w:val="en-GB"/>
        </w:rPr>
        <w:t xml:space="preserve"> and 54% attended at least 80% of the scheduled exercise sessions in the municipality</w:t>
      </w:r>
      <w:r w:rsidR="006118B6" w:rsidRPr="00DA27E1">
        <w:rPr>
          <w:rFonts w:cs="Times New Roman"/>
          <w:lang w:val="en-GB"/>
        </w:rPr>
        <w:t xml:space="preserve"> </w:t>
      </w:r>
      <w:r w:rsidR="006118B6" w:rsidRPr="00DA27E1">
        <w:rPr>
          <w:rFonts w:cs="Times New Roman"/>
          <w:lang w:val="en-GB"/>
        </w:rPr>
        <w:fldChar w:fldCharType="begin"/>
      </w:r>
      <w:r w:rsidR="006B0A97" w:rsidRPr="00DA27E1">
        <w:rPr>
          <w:rFonts w:cs="Times New Roman"/>
          <w:lang w:val="en-GB"/>
        </w:rPr>
        <w:instrText xml:space="preserve"> ADDIN ZOTERO_ITEM CSL_CITATION {"citationID":"hZVCSLGg","properties":{"formattedCitation":"(33)","plainCitation":"(33)","noteIndex":0},"citationItems":[{"id":181,"uris":["http://zotero.org/users/6176940/items/WLKWHFQQ"],"uri":["http://zotero.org/users/6176940/items/WLKWHFQQ"],"itemData":{"id":181,"type":"report","event-place":"Aarhus: DEFACTUM®, Region Midtjylland","publisher-place":"Aarhus: DEFACTUM®, Region Midtjylland","title":"Opgørelse af kommunale hjerterehabiliteringsindikatorer. HjerteKomMidt. Rapportering af data fra kommuner i den midtjyske region for perioden 1. januar 2019 til 31. december 2019. [Estimations of cardiac rehabilitation indicators in the municipalities. HjerteKomMidt. Reporting data from municipalities in Central Denmark Region in the periode of 1. January 2019 to 31. December 2019]","author":[{"family":"Andersen","given":"T. V."},{"family":"Lemvigh","given":"K. N."},{"family":"Søndergaard","given":"H"}],"issued":{"date-parts":[["2020"]]}}}],"schema":"https://github.com/citation-style-language/schema/raw/master/csl-citation.json"} </w:instrText>
      </w:r>
      <w:r w:rsidR="006118B6" w:rsidRPr="00DA27E1">
        <w:rPr>
          <w:rFonts w:cs="Times New Roman"/>
          <w:lang w:val="en-GB"/>
        </w:rPr>
        <w:fldChar w:fldCharType="separate"/>
      </w:r>
      <w:r w:rsidR="006B0A97" w:rsidRPr="00DA27E1">
        <w:rPr>
          <w:rFonts w:cs="Times New Roman"/>
          <w:lang w:val="en-GB"/>
        </w:rPr>
        <w:t>(33)</w:t>
      </w:r>
      <w:r w:rsidR="006118B6" w:rsidRPr="00DA27E1">
        <w:rPr>
          <w:rFonts w:cs="Times New Roman"/>
          <w:lang w:val="en-GB"/>
        </w:rPr>
        <w:fldChar w:fldCharType="end"/>
      </w:r>
      <w:r w:rsidR="006E3588" w:rsidRPr="00DA27E1">
        <w:rPr>
          <w:rFonts w:cs="Times New Roman"/>
          <w:lang w:val="en-GB"/>
        </w:rPr>
        <w:t>.</w:t>
      </w:r>
      <w:r w:rsidR="00650083" w:rsidRPr="00DA27E1">
        <w:rPr>
          <w:rFonts w:cs="Times New Roman"/>
          <w:lang w:val="en-GB"/>
        </w:rPr>
        <w:t xml:space="preserve"> </w:t>
      </w:r>
      <w:r w:rsidR="00CC18F1" w:rsidRPr="00DA27E1">
        <w:rPr>
          <w:rFonts w:cs="Times New Roman"/>
          <w:lang w:val="en-GB"/>
        </w:rPr>
        <w:t>Normally</w:t>
      </w:r>
      <w:r w:rsidR="001805DF" w:rsidRPr="00DA27E1">
        <w:rPr>
          <w:rFonts w:cs="Times New Roman"/>
          <w:lang w:val="en-GB"/>
        </w:rPr>
        <w:t>,</w:t>
      </w:r>
      <w:r w:rsidR="00CC18F1" w:rsidRPr="00DA27E1">
        <w:rPr>
          <w:rFonts w:cs="Times New Roman"/>
          <w:lang w:val="en-GB"/>
        </w:rPr>
        <w:t xml:space="preserve"> individual patient benefits </w:t>
      </w:r>
      <w:r w:rsidR="006110C4" w:rsidRPr="00DA27E1">
        <w:rPr>
          <w:rFonts w:cs="Times New Roman"/>
          <w:lang w:val="en-GB"/>
        </w:rPr>
        <w:t>will</w:t>
      </w:r>
      <w:r w:rsidR="00A614ED" w:rsidRPr="00DA27E1">
        <w:rPr>
          <w:rFonts w:cs="Times New Roman"/>
          <w:lang w:val="en-GB"/>
        </w:rPr>
        <w:t xml:space="preserve"> be</w:t>
      </w:r>
      <w:r w:rsidR="00CC18F1" w:rsidRPr="00DA27E1">
        <w:rPr>
          <w:rFonts w:cs="Times New Roman"/>
          <w:lang w:val="en-GB"/>
        </w:rPr>
        <w:t xml:space="preserve"> assessed after </w:t>
      </w:r>
      <w:r w:rsidR="00A614ED" w:rsidRPr="00DA27E1">
        <w:rPr>
          <w:rFonts w:cs="Times New Roman"/>
          <w:lang w:val="en-GB"/>
        </w:rPr>
        <w:t>exCR completion</w:t>
      </w:r>
      <w:r w:rsidR="00CC18F1" w:rsidRPr="00DA27E1">
        <w:rPr>
          <w:rFonts w:cs="Times New Roman"/>
          <w:lang w:val="en-GB"/>
        </w:rPr>
        <w:t xml:space="preserve">. </w:t>
      </w:r>
      <w:r w:rsidR="0035662B" w:rsidRPr="00DA27E1">
        <w:rPr>
          <w:rFonts w:cs="Times New Roman"/>
          <w:lang w:val="en-GB"/>
        </w:rPr>
        <w:t xml:space="preserve">For this reason, the </w:t>
      </w:r>
      <w:r w:rsidR="00CC18F1" w:rsidRPr="00DA27E1">
        <w:rPr>
          <w:rFonts w:cs="Times New Roman"/>
          <w:lang w:val="en-GB"/>
        </w:rPr>
        <w:t xml:space="preserve">effect of </w:t>
      </w:r>
      <w:r w:rsidR="00DF0DB1" w:rsidRPr="00DA27E1">
        <w:rPr>
          <w:rFonts w:cs="Times New Roman"/>
          <w:lang w:val="en-GB"/>
        </w:rPr>
        <w:t>ex</w:t>
      </w:r>
      <w:r w:rsidR="00CC18F1" w:rsidRPr="00DA27E1">
        <w:rPr>
          <w:rFonts w:cs="Times New Roman"/>
          <w:lang w:val="en-GB"/>
        </w:rPr>
        <w:t xml:space="preserve">CR participation remains unknown for </w:t>
      </w:r>
      <w:r w:rsidR="00A614ED" w:rsidRPr="00DA27E1">
        <w:rPr>
          <w:rFonts w:cs="Times New Roman"/>
          <w:lang w:val="en-GB"/>
        </w:rPr>
        <w:t>those</w:t>
      </w:r>
      <w:r w:rsidR="00CC18F1" w:rsidRPr="00DA27E1">
        <w:rPr>
          <w:rFonts w:cs="Times New Roman"/>
          <w:lang w:val="en-GB"/>
        </w:rPr>
        <w:t xml:space="preserve"> </w:t>
      </w:r>
      <w:r w:rsidR="006110C4" w:rsidRPr="00DA27E1">
        <w:rPr>
          <w:rFonts w:cs="Times New Roman"/>
          <w:lang w:val="en-GB"/>
        </w:rPr>
        <w:t xml:space="preserve">who </w:t>
      </w:r>
      <w:r w:rsidR="00CC18F1" w:rsidRPr="00DA27E1">
        <w:rPr>
          <w:rFonts w:cs="Times New Roman"/>
          <w:lang w:val="en-GB"/>
        </w:rPr>
        <w:t>drop out. Nonetheless, b</w:t>
      </w:r>
      <w:r w:rsidR="00D60937" w:rsidRPr="00DA27E1">
        <w:rPr>
          <w:rFonts w:cs="Times New Roman"/>
          <w:lang w:val="en-GB"/>
        </w:rPr>
        <w:t>ased on our findings</w:t>
      </w:r>
      <w:r w:rsidR="00CC18F1" w:rsidRPr="00DA27E1">
        <w:rPr>
          <w:rFonts w:cs="Times New Roman"/>
          <w:lang w:val="en-GB"/>
        </w:rPr>
        <w:t xml:space="preserve"> and the existing dose-response relationship</w:t>
      </w:r>
      <w:r w:rsidR="00254F21" w:rsidRPr="00DA27E1">
        <w:rPr>
          <w:rFonts w:cs="Times New Roman"/>
          <w:lang w:val="en-GB"/>
        </w:rPr>
        <w:t xml:space="preserve"> </w:t>
      </w:r>
      <w:r w:rsidR="00254F21" w:rsidRPr="00DA27E1">
        <w:rPr>
          <w:rFonts w:cs="Times New Roman"/>
          <w:lang w:val="en-GB"/>
        </w:rPr>
        <w:fldChar w:fldCharType="begin"/>
      </w:r>
      <w:r w:rsidR="00EA059B" w:rsidRPr="00DA27E1">
        <w:rPr>
          <w:rFonts w:cs="Times New Roman"/>
          <w:lang w:val="en-GB"/>
        </w:rPr>
        <w:instrText xml:space="preserve"> ADDIN ZOTERO_ITEM CSL_CITATION {"citationID":"hzWhKUPc","properties":{"formattedCitation":"(7\\uc0\\u8211{}9)","plainCitation":"(7–9)","noteIndex":0},"citationItems":[{"id":180,"uris":["http://zotero.org/users/6176940/items/GXDS2BC6"],"uri":["http://zotero.org/users/6176940/items/GXDS2BC6"],"itemData":{"id":180,"type":"article-journal","container-title":"Mayo Clinic Proceedings","DOI":"10.1016/j.mayocp.2017.07.019","ISSN":"00256196","issue":"11","journalAbbreviation":"Mayo Clinic Proceedings","language":"en","page":"1644-1659","source":"DOI.org (Crossref)","title":"Effect of Cardiac Rehabilitation Dose on Mortality and Morbidity: A Systematic Review and Meta-regression Analysis","title-short":"Effect of Cardiac Rehabilitation Dose on Mortality and Morbidity","volume":"92","author":[{"family":"Santiago de Araújo Pio","given":"Carolina"},{"family":"Marzolini","given":"Susan"},{"family":"Pakosh","given":"Maureen"},{"family":"Grace","given":"Sherry L."}],"issued":{"date-parts":[["2017",11]]}}},{"id":16,"uris":["http://zotero.org/users/6176940/items/CZE54U42"],"uri":["http://zotero.org/users/6176940/items/CZE54U42"],"itemData":{"id":16,"type":"article-journal","abstract":"OBJECTIVE: To investigate whether attendance at cardiac rehabilitation (CR) independently predicts all-cause mortality over 14 years and whether there is a dose-response relationship between the proportion of CR sessions attended and long-term mortality. DESIGN: Retrospective cohort study. SETTING: CR programmes in Victoria, Australia PATIENTS: The sample comprised 544 men and women eligible for CR following myocardial infarction, coronary artery bypass surgery or percutaneous interventions. Participants were tracked 4 months after hospital discharge to ascertain CR attendance status. MAIN OUTCOME MEASURES: All-cause mortality at 14 years ascertained through linkage to the Australian National Death Index. RESULTS: In total, 281 (52%) men and women attended at least one CR session. There were few significant differences between non-attenders and attenders. After adjustment for age, sex, diagnosis, employment, diabetes and family history, the mortality risk for non-attenders was 58% greater than for attenders (HR=1.58, 95% CI 1.16 to 2.15). Participants who attended &lt;25% of sessions had a mortality risk more than twice that of participants attending ≥ 75% of sessions (OR=2.57, 95% CI 1.04 to 6.38). This association was attenuated after adjusting for current smoking (OR=2.06, 95% CI 0.80 to 5.29). CONCLUSIONS: This study provides further evidence for the long-term benefits of CR in a contemporary, heterogeneous population. While a dose-response relationship may exist between the number of sessions attended and long-term mortality, this relationship does not occur independently of smoking differences. CR practitioners should encourage smokers to attend CR and provide support for smoking cessation.","archive_location":"23213175","container-title":"Heart","DOI":"10.1136/heartjnl-2012-303022","ISSN":"1355-6037","issue":"9","language":"eng","note":"edition: 2012/12/06","page":"620-5","source":"NLM","title":"Attendance at cardiac rehabilitation is associated with lower all-cause mortality after 14 years of follow-up","volume":"99","author":[{"family":"Beauchamp","given":"A."},{"family":"Worcester","given":"M."},{"family":"Ng","given":"A."},{"family":"Murphy","given":"B."},{"family":"Tatoulis","given":"J."},{"family":"Grigg","given":"L."},{"family":"Newman","given":"R."},{"family":"Goble","given":"A."}],"issued":{"date-parts":[["2013",5]]}}},{"id":177,"uris":["http://zotero.org/users/6176940/items/NU9PSTSJ"],"uri":["http://zotero.org/users/6176940/items/NU9PSTSJ"],"itemData":{"id":177,"type":"article-journal","container-title":"European Journal of Preventive Cardiology","DOI":"10.1177/2047487314545279","ISSN":"2047-4873, 2047-4881","issue":"8","journalAbbreviation":"Eur J Prev Cardiolog","language":"en","page":"979-986","source":"DOI.org (Crossref)","title":"Cardiac rehabilitation referral, attendance and mortality in women","volume":"22","author":[{"family":"Colbert","given":"Jillian D"},{"family":"Martin","given":"Billie-Jean"},{"family":"Haykowsky","given":"Mark J"},{"family":"Hauer","given":"Trina L"},{"family":"Austford","given":"Leslie D"},{"family":"Arena","given":"Ross A"},{"family":"Knudtson","given":"Merril L"},{"family":"Meldrum","given":"Donald AN"},{"family":"Aggarwal","given":"Sandeep G"},{"family":"Stone","given":"James A"}],"issued":{"date-parts":[["2015",8]]}}}],"schema":"https://github.com/citation-style-language/schema/raw/master/csl-citation.json"} </w:instrText>
      </w:r>
      <w:r w:rsidR="00254F21" w:rsidRPr="00DA27E1">
        <w:rPr>
          <w:rFonts w:cs="Times New Roman"/>
          <w:lang w:val="en-GB"/>
        </w:rPr>
        <w:fldChar w:fldCharType="separate"/>
      </w:r>
      <w:r w:rsidR="00EA059B" w:rsidRPr="00DA27E1">
        <w:rPr>
          <w:rFonts w:cs="Times New Roman"/>
          <w:szCs w:val="24"/>
          <w:lang w:val="en-GB"/>
        </w:rPr>
        <w:t>(7–9)</w:t>
      </w:r>
      <w:r w:rsidR="00254F21" w:rsidRPr="00DA27E1">
        <w:rPr>
          <w:rFonts w:cs="Times New Roman"/>
          <w:lang w:val="en-GB"/>
        </w:rPr>
        <w:fldChar w:fldCharType="end"/>
      </w:r>
      <w:r w:rsidR="00D60937" w:rsidRPr="00DA27E1">
        <w:rPr>
          <w:rFonts w:cs="Times New Roman"/>
          <w:lang w:val="en-GB"/>
        </w:rPr>
        <w:t xml:space="preserve">, </w:t>
      </w:r>
      <w:r w:rsidR="008D33C2" w:rsidRPr="00DA27E1">
        <w:rPr>
          <w:rFonts w:cs="Times New Roman"/>
          <w:lang w:val="en-GB"/>
        </w:rPr>
        <w:t>e</w:t>
      </w:r>
      <w:r w:rsidR="00251D2C" w:rsidRPr="00DA27E1">
        <w:rPr>
          <w:rFonts w:cs="Times New Roman"/>
          <w:lang w:val="en-GB"/>
        </w:rPr>
        <w:t>xCR</w:t>
      </w:r>
      <w:r w:rsidR="00260421" w:rsidRPr="00DA27E1">
        <w:rPr>
          <w:rFonts w:cs="Times New Roman"/>
          <w:lang w:val="en-GB"/>
        </w:rPr>
        <w:t xml:space="preserve"> programs </w:t>
      </w:r>
      <w:r w:rsidR="0066074A" w:rsidRPr="00DA27E1">
        <w:rPr>
          <w:rFonts w:cs="Times New Roman"/>
          <w:lang w:val="en-GB"/>
        </w:rPr>
        <w:t xml:space="preserve">with </w:t>
      </w:r>
      <w:r w:rsidR="00557F3A" w:rsidRPr="00DA27E1">
        <w:rPr>
          <w:rFonts w:cs="Times New Roman"/>
          <w:lang w:val="en-GB"/>
        </w:rPr>
        <w:t xml:space="preserve">a </w:t>
      </w:r>
      <w:r w:rsidR="00457B4A" w:rsidRPr="00DA27E1">
        <w:rPr>
          <w:rFonts w:cs="Times New Roman"/>
          <w:lang w:val="en-GB"/>
        </w:rPr>
        <w:t xml:space="preserve">transition </w:t>
      </w:r>
      <w:r w:rsidR="00260421" w:rsidRPr="00DA27E1">
        <w:rPr>
          <w:rFonts w:cs="Times New Roman"/>
          <w:lang w:val="en-GB"/>
        </w:rPr>
        <w:t>phase</w:t>
      </w:r>
      <w:r w:rsidR="00557F3A" w:rsidRPr="00DA27E1">
        <w:rPr>
          <w:rFonts w:cs="Times New Roman"/>
          <w:lang w:val="en-GB"/>
        </w:rPr>
        <w:t xml:space="preserve"> </w:t>
      </w:r>
      <w:r w:rsidR="00994BD4" w:rsidRPr="00DA27E1">
        <w:rPr>
          <w:rFonts w:cs="Times New Roman"/>
          <w:lang w:val="en-GB"/>
        </w:rPr>
        <w:t xml:space="preserve">may </w:t>
      </w:r>
      <w:r w:rsidR="0057103D" w:rsidRPr="00DA27E1">
        <w:rPr>
          <w:rFonts w:cs="Times New Roman"/>
          <w:lang w:val="en-GB"/>
        </w:rPr>
        <w:t>result</w:t>
      </w:r>
      <w:r w:rsidR="006E35E8" w:rsidRPr="00DA27E1">
        <w:rPr>
          <w:rFonts w:cs="Times New Roman"/>
          <w:lang w:val="en-GB"/>
        </w:rPr>
        <w:t xml:space="preserve"> in insignificant</w:t>
      </w:r>
      <w:r w:rsidR="00EF1F79" w:rsidRPr="00DA27E1">
        <w:rPr>
          <w:rFonts w:cs="Times New Roman"/>
          <w:lang w:val="en-GB"/>
        </w:rPr>
        <w:t xml:space="preserve"> health</w:t>
      </w:r>
      <w:r w:rsidR="00A05492" w:rsidRPr="00DA27E1">
        <w:rPr>
          <w:rFonts w:cs="Times New Roman"/>
          <w:lang w:val="en-GB"/>
        </w:rPr>
        <w:t xml:space="preserve"> </w:t>
      </w:r>
      <w:r w:rsidR="008D230B" w:rsidRPr="00DA27E1">
        <w:rPr>
          <w:rFonts w:cs="Times New Roman"/>
          <w:lang w:val="en-GB"/>
        </w:rPr>
        <w:t>benefit</w:t>
      </w:r>
      <w:r w:rsidR="006E35E8" w:rsidRPr="00DA27E1">
        <w:rPr>
          <w:rFonts w:cs="Times New Roman"/>
          <w:lang w:val="en-GB"/>
        </w:rPr>
        <w:t>s for a large proportion of patients</w:t>
      </w:r>
      <w:r w:rsidR="00DA1EFA" w:rsidRPr="00DA27E1">
        <w:rPr>
          <w:rFonts w:cs="Times New Roman"/>
          <w:lang w:val="en-GB"/>
        </w:rPr>
        <w:t xml:space="preserve"> due to a high dropout rate</w:t>
      </w:r>
      <w:r w:rsidR="00CE0D77" w:rsidRPr="00DA27E1">
        <w:rPr>
          <w:rFonts w:cs="Times New Roman"/>
          <w:lang w:val="en-GB"/>
        </w:rPr>
        <w:t xml:space="preserve"> </w:t>
      </w:r>
      <w:r w:rsidR="008C1475" w:rsidRPr="00DA27E1">
        <w:rPr>
          <w:rFonts w:cs="Times New Roman"/>
          <w:lang w:val="en-GB"/>
        </w:rPr>
        <w:t>at</w:t>
      </w:r>
      <w:r w:rsidR="00CE0D77" w:rsidRPr="00DA27E1">
        <w:rPr>
          <w:rFonts w:cs="Times New Roman"/>
          <w:lang w:val="en-GB"/>
        </w:rPr>
        <w:t xml:space="preserve"> the transition</w:t>
      </w:r>
      <w:r w:rsidR="00B64CFE" w:rsidRPr="00DA27E1">
        <w:rPr>
          <w:rFonts w:cs="Times New Roman"/>
          <w:lang w:val="en-GB"/>
        </w:rPr>
        <w:t>.</w:t>
      </w:r>
    </w:p>
    <w:p w14:paraId="173D644B" w14:textId="36BEF56B" w:rsidR="00994BD4" w:rsidRPr="00DA27E1" w:rsidRDefault="00BA446B" w:rsidP="0094111C">
      <w:pPr>
        <w:spacing w:line="480" w:lineRule="auto"/>
        <w:rPr>
          <w:rFonts w:cs="Times New Roman"/>
          <w:lang w:val="en-GB"/>
        </w:rPr>
      </w:pPr>
      <w:r w:rsidRPr="00DA27E1">
        <w:rPr>
          <w:rFonts w:cs="Times New Roman"/>
          <w:lang w:val="en-GB"/>
        </w:rPr>
        <w:t xml:space="preserve">Patients attached to the </w:t>
      </w:r>
      <w:r w:rsidR="00DE36D4" w:rsidRPr="00DA27E1">
        <w:rPr>
          <w:rFonts w:cs="Times New Roman"/>
          <w:lang w:val="en-GB"/>
        </w:rPr>
        <w:t>labour</w:t>
      </w:r>
      <w:r w:rsidRPr="00DA27E1">
        <w:rPr>
          <w:rFonts w:cs="Times New Roman"/>
          <w:lang w:val="en-GB"/>
        </w:rPr>
        <w:t xml:space="preserve"> market were also associated with a dropout at the transition phase (adjusted </w:t>
      </w:r>
      <w:r w:rsidR="00CE6D24" w:rsidRPr="00DA27E1">
        <w:rPr>
          <w:rFonts w:cs="Times New Roman"/>
          <w:lang w:val="en-GB"/>
        </w:rPr>
        <w:t>OR=6.31 (95% CI: 2.04 to 19.54)</w:t>
      </w:r>
      <w:r w:rsidRPr="00DA27E1">
        <w:rPr>
          <w:rFonts w:cs="Times New Roman"/>
          <w:lang w:val="en-GB"/>
        </w:rPr>
        <w:t>), supported by the most common reason provided from the patients “Had to return to work” by 24%. The same reason is found in the National Audit of Cardiac Rehabilitation from the British Heart Foundation where especially younger male patients stated “returned to work” (10.1%) as one of the main reasons for not completing cardiac rehabilitation</w:t>
      </w:r>
      <w:r w:rsidRPr="00DA27E1">
        <w:rPr>
          <w:rFonts w:cs="Times New Roman"/>
          <w:i/>
          <w:lang w:val="en-GB"/>
        </w:rPr>
        <w:t xml:space="preserve"> </w:t>
      </w:r>
      <w:r w:rsidR="00A53163" w:rsidRPr="00DA27E1">
        <w:rPr>
          <w:rFonts w:cs="Times New Roman"/>
          <w:lang w:val="en-GB"/>
        </w:rPr>
        <w:fldChar w:fldCharType="begin"/>
      </w:r>
      <w:r w:rsidR="00EA059B" w:rsidRPr="00DA27E1">
        <w:rPr>
          <w:rFonts w:cs="Times New Roman"/>
          <w:lang w:val="en-GB"/>
        </w:rPr>
        <w:instrText xml:space="preserve"> ADDIN ZOTERO_ITEM CSL_CITATION {"citationID":"hdN5DDJv","properties":{"formattedCitation":"(4)","plainCitation":"(4)","noteIndex":0},"citationItems":[{"id":30,"uris":["http://zotero.org/users/6176940/items/AUBRGJ4Z"],"uri":["http://zotero.org/users/6176940/items/AUBRGJ4Z"],"itemData":{"id":30,"type":"article-journal","language":"English","title":"The National Audit of Cardiac Rehabilitation | Quality and Outcomes Report 2018","URL":"https://www.bhf.org.uk/informationsupport/publications/statistics/national-audit-of-cardiac-rehabilitation-quality-and-outcomes-report-2018","author":[{"literal":"British Heart Foundation"}],"accessed":{"date-parts":[["2021",2,22]]},"issued":{"date-parts":[["2018"]]}}}],"schema":"https://github.com/citation-style-language/schema/raw/master/csl-citation.json"} </w:instrText>
      </w:r>
      <w:r w:rsidR="00A53163" w:rsidRPr="00DA27E1">
        <w:rPr>
          <w:rFonts w:cs="Times New Roman"/>
          <w:lang w:val="en-GB"/>
        </w:rPr>
        <w:fldChar w:fldCharType="separate"/>
      </w:r>
      <w:r w:rsidR="00EA059B" w:rsidRPr="00DA27E1">
        <w:rPr>
          <w:rFonts w:cs="Times New Roman"/>
          <w:lang w:val="en-GB"/>
        </w:rPr>
        <w:t>(4)</w:t>
      </w:r>
      <w:r w:rsidR="00A53163" w:rsidRPr="00DA27E1">
        <w:rPr>
          <w:rFonts w:cs="Times New Roman"/>
          <w:lang w:val="en-GB"/>
        </w:rPr>
        <w:fldChar w:fldCharType="end"/>
      </w:r>
      <w:r w:rsidR="00A53163" w:rsidRPr="00DA27E1">
        <w:rPr>
          <w:rFonts w:cs="Times New Roman"/>
          <w:lang w:val="en-GB"/>
        </w:rPr>
        <w:t>.</w:t>
      </w:r>
      <w:r w:rsidR="0053569D" w:rsidRPr="00DA27E1">
        <w:rPr>
          <w:rFonts w:cs="Times New Roman"/>
          <w:lang w:val="en-GB"/>
        </w:rPr>
        <w:t xml:space="preserve"> </w:t>
      </w:r>
      <w:r w:rsidR="00056B5B" w:rsidRPr="00DA27E1">
        <w:rPr>
          <w:rFonts w:cs="Times New Roman"/>
          <w:lang w:val="en-GB"/>
        </w:rPr>
        <w:t xml:space="preserve">The transition phase halfway through the program could for some </w:t>
      </w:r>
      <w:r w:rsidR="00E81345" w:rsidRPr="00DA27E1">
        <w:rPr>
          <w:rFonts w:cs="Times New Roman"/>
          <w:lang w:val="en-GB"/>
        </w:rPr>
        <w:t>patients</w:t>
      </w:r>
      <w:r w:rsidR="00CF54A1" w:rsidRPr="00DA27E1">
        <w:rPr>
          <w:rFonts w:cs="Times New Roman"/>
          <w:lang w:val="en-GB"/>
        </w:rPr>
        <w:t xml:space="preserve"> </w:t>
      </w:r>
      <w:r w:rsidR="001E71B7" w:rsidRPr="00DA27E1">
        <w:rPr>
          <w:rFonts w:cs="Times New Roman"/>
          <w:lang w:val="en-GB"/>
        </w:rPr>
        <w:t>seem like</w:t>
      </w:r>
      <w:r w:rsidR="00056B5B" w:rsidRPr="00DA27E1">
        <w:rPr>
          <w:rFonts w:cs="Times New Roman"/>
          <w:lang w:val="en-GB"/>
        </w:rPr>
        <w:t xml:space="preserve"> a natural opportunity to leave the program and return to work. </w:t>
      </w:r>
      <w:r w:rsidR="00E5124E" w:rsidRPr="00DA27E1">
        <w:rPr>
          <w:rFonts w:cs="Times New Roman"/>
          <w:lang w:val="en-GB"/>
        </w:rPr>
        <w:t xml:space="preserve">This is supported by a Danish report from 2015 concluding that 20-25% of patients with </w:t>
      </w:r>
      <w:r w:rsidR="00E5124E" w:rsidRPr="00DA27E1">
        <w:rPr>
          <w:rFonts w:cs="Times New Roman"/>
          <w:szCs w:val="24"/>
          <w:lang w:val="en-GB"/>
        </w:rPr>
        <w:t>cardiovascular diseases</w:t>
      </w:r>
      <w:r w:rsidR="00E5124E" w:rsidRPr="00DA27E1">
        <w:rPr>
          <w:rFonts w:cs="Times New Roman"/>
          <w:lang w:val="en-GB"/>
        </w:rPr>
        <w:t xml:space="preserve"> felt pressured to return to work as soon as possible </w:t>
      </w:r>
      <w:r w:rsidR="00E5124E" w:rsidRPr="00DA27E1">
        <w:rPr>
          <w:rFonts w:cs="Times New Roman"/>
          <w:lang w:val="en-GB"/>
        </w:rPr>
        <w:fldChar w:fldCharType="begin"/>
      </w:r>
      <w:r w:rsidR="006B0A97" w:rsidRPr="00DA27E1">
        <w:rPr>
          <w:rFonts w:cs="Times New Roman"/>
          <w:lang w:val="en-GB"/>
        </w:rPr>
        <w:instrText xml:space="preserve"> ADDIN ZOTERO_ITEM CSL_CITATION {"citationID":"Du8Wr6DU","properties":{"formattedCitation":"(34)","plainCitation":"(34)","noteIndex":0},"citationItems":[{"id":99,"uris":["http://zotero.org/users/6176940/items/CEMIX99P"],"uri":["http://zotero.org/users/6176940/items/CEMIX99P"],"itemData":{"id":99,"type":"article-journal","language":"Dansk","title":"Livet med en hjertesygdom, En undersøgelse om det at leve med en hjertesygdom og af hjertepatienters vurdering af sundhedsvæsnets indsats. [Life with a heart disease, a survey investigating how to live with a heart disease and the cardiac patients judgment of health care system and performance]","URL":"https://www.sdu.dk/da/sif/rapporter/2015/livet_med_en_hjertesygdom","author":[{"family":"Christiansen","given":"N. S."},{"family":"Zinckernagel","given":"L."},{"family":"Zwisler","given":"A. D."},{"family":"Rod","given":"M. H."},{"family":"Holmberg","given":"T"}],"accessed":{"date-parts":[["2021",2,22]]},"issued":{"date-parts":[["2015"]]}}}],"schema":"https://github.com/citation-style-language/schema/raw/master/csl-citation.json"} </w:instrText>
      </w:r>
      <w:r w:rsidR="00E5124E" w:rsidRPr="00DA27E1">
        <w:rPr>
          <w:rFonts w:cs="Times New Roman"/>
          <w:lang w:val="en-GB"/>
        </w:rPr>
        <w:fldChar w:fldCharType="separate"/>
      </w:r>
      <w:r w:rsidR="006B0A97" w:rsidRPr="00DA27E1">
        <w:rPr>
          <w:rFonts w:cs="Times New Roman"/>
          <w:lang w:val="en-GB"/>
        </w:rPr>
        <w:t>(34)</w:t>
      </w:r>
      <w:r w:rsidR="00E5124E" w:rsidRPr="00DA27E1">
        <w:rPr>
          <w:rFonts w:cs="Times New Roman"/>
          <w:lang w:val="en-GB"/>
        </w:rPr>
        <w:fldChar w:fldCharType="end"/>
      </w:r>
      <w:r w:rsidR="00E5124E" w:rsidRPr="00DA27E1">
        <w:rPr>
          <w:rFonts w:cs="Times New Roman"/>
          <w:lang w:val="en-GB"/>
        </w:rPr>
        <w:t>.</w:t>
      </w:r>
    </w:p>
    <w:p w14:paraId="57131224" w14:textId="4BD9F09B" w:rsidR="0058626C" w:rsidRPr="00DA27E1" w:rsidRDefault="00CB445E" w:rsidP="0094111C">
      <w:pPr>
        <w:spacing w:line="480" w:lineRule="auto"/>
        <w:rPr>
          <w:rFonts w:cs="Times New Roman"/>
          <w:lang w:val="en-GB"/>
        </w:rPr>
      </w:pPr>
      <w:r w:rsidRPr="00DA27E1">
        <w:rPr>
          <w:rFonts w:cs="Times New Roman"/>
          <w:lang w:val="en-GB"/>
        </w:rPr>
        <w:t xml:space="preserve">Due to the positive effect of </w:t>
      </w:r>
      <w:r w:rsidR="00557F3A" w:rsidRPr="00DA27E1">
        <w:rPr>
          <w:rFonts w:cs="Times New Roman"/>
          <w:lang w:val="en-GB"/>
        </w:rPr>
        <w:t>cardiac rehabilitation</w:t>
      </w:r>
      <w:r w:rsidRPr="00DA27E1">
        <w:rPr>
          <w:rFonts w:cs="Times New Roman"/>
          <w:lang w:val="en-GB"/>
        </w:rPr>
        <w:t xml:space="preserve"> and the low utilization rates, interventions that promote</w:t>
      </w:r>
      <w:r w:rsidR="00557F3A" w:rsidRPr="00DA27E1">
        <w:rPr>
          <w:rFonts w:cs="Times New Roman"/>
          <w:lang w:val="en-GB"/>
        </w:rPr>
        <w:t xml:space="preserve"> </w:t>
      </w:r>
      <w:r w:rsidR="00F07B6F" w:rsidRPr="00DA27E1">
        <w:rPr>
          <w:rFonts w:cs="Times New Roman"/>
          <w:lang w:val="en-GB"/>
        </w:rPr>
        <w:t xml:space="preserve">retention in </w:t>
      </w:r>
      <w:r w:rsidR="00557F3A" w:rsidRPr="00DA27E1">
        <w:rPr>
          <w:rFonts w:cs="Times New Roman"/>
          <w:lang w:val="en-GB"/>
        </w:rPr>
        <w:t>cardiac rehabilitation</w:t>
      </w:r>
      <w:r w:rsidRPr="00DA27E1">
        <w:rPr>
          <w:rFonts w:cs="Times New Roman"/>
          <w:lang w:val="en-GB"/>
        </w:rPr>
        <w:t xml:space="preserve"> </w:t>
      </w:r>
      <w:r w:rsidR="00B33F41" w:rsidRPr="00DA27E1">
        <w:rPr>
          <w:rFonts w:cs="Times New Roman"/>
          <w:lang w:val="en-GB"/>
        </w:rPr>
        <w:t>are of interest</w:t>
      </w:r>
      <w:r w:rsidR="00B310F1" w:rsidRPr="00DA27E1">
        <w:rPr>
          <w:rFonts w:cs="Times New Roman"/>
          <w:lang w:val="en-GB"/>
        </w:rPr>
        <w:t xml:space="preserve"> </w:t>
      </w:r>
      <w:r w:rsidR="00B310F1" w:rsidRPr="00DA27E1">
        <w:rPr>
          <w:rFonts w:cs="Times New Roman"/>
          <w:lang w:val="en-GB"/>
        </w:rPr>
        <w:fldChar w:fldCharType="begin"/>
      </w:r>
      <w:r w:rsidR="00EA059B" w:rsidRPr="00DA27E1">
        <w:rPr>
          <w:rFonts w:cs="Times New Roman"/>
          <w:lang w:val="en-GB"/>
        </w:rPr>
        <w:instrText xml:space="preserve"> ADDIN ZOTERO_ITEM CSL_CITATION {"citationID":"MMDWTCmp","properties":{"formattedCitation":"(19)","plainCitation":"(19)","noteIndex":0},"citationItems":[{"id":133,"uris":["http://zotero.org/users/6176940/items/AZBRPITP"],"uri":["http://zotero.org/users/6176940/items/AZBRPITP"],"itemData":{"id":133,"type":"article-journal","abstract":"BACKGROUND: International clinical practice guidelines routinely recommend that cardiac patients participate in rehabilitation programmes for comprehensive secondary prevention. However, data show that only a small proportion of these patients utilise rehabilitation. OBJECTIVES: First, to assess interventions provided to increase patient enrolment in, adherence to, and completion of cardiac rehabilitation. Second, to assess intervention costs and associated harms, as well as interventions intended to promote equitable CR utilisation in vulnerable patient subpopulations. SEARCH METHODS: Review authors performed a search on 10 July 2018, to identify studies published since publication of the previous systematic review. We searched the Cochrane Central Register of Controlled Trials (CENTRAL); the National Health Service (NHS) Centre for Reviews and Dissemination (CRD) databases (Health Technology Assessment (HTA) and Database of Abstracts of Reviews of Effects (DARE)), in the Cochrane Library (Wiley); MEDLINE (Ovid); Embase (Elsevier); the Cumulative Index to Nursing and Allied Health Literature (CINAHL) (EBSCOhost); and Conference Proceedings Citation Index - Science (CPCI-S) on Web of Science (Clarivate Analytics). We checked the reference lists of relevant systematic reviews for additional studies and also searched two clinical trial registers. We applied no language restrictions. SELECTION CRITERIA: We included randomised controlled trials (RCTs) in adults with myocardial infarction, with angina, undergoing coronary artery bypass graft surgery or percutaneous coronary intervention, or with heart failure who were eligible for cardiac rehabilitation. Interventions had to aim to increase utilisation of comprehensive phase II cardiac rehabilitation. We included only studies that measured one or more of our primary outcomes. Secondary outcomes were harms and costs, and we focused on equity. DATA COLLECTION AND ANALYSIS: Two review authors independently screened the titles and abstracts of all identified references for eligibility, and we obtained full papers of potentially relevant trials. Two review authors independently considered these trials for inclusion, assessed included studies for risk of bias, and extracted trial data independently. We resolved disagreements through consultation with a third review author. We performed random-effects meta-regression for each outcome and explored prespecified study characteristics. MAIN RESULTS: Overall, we included 26 studies with 5299 participants (29 comparisons). Participants were primarily male (64.2%). Ten (38.5%) studies included patients with heart failure. We assessed most studies as having low or unclear risk of bias. Sixteen studies (3164 participants) reported interventions to improve enrolment in cardiac rehabilitation, 11 studies (2319 participants) reported interventions to improve adherence to cardiac rehabilitation, and seven studies (1567 participants) reported interventions to increase programme completion. Researchers tested a variety of interventions to increase utilisation of cardiac rehabilitation. In many studies, this consisted of contacts made by a healthcare provider during or shortly after an acute care hospitalisation.Low-quality evidence shows an effect of interventions on increasing programme enrolment (19 comparisons; risk ratio (RR) 1.27, 95% confidence interval (CI) 1.13 to 1.42). Meta-regression revealed that the intervention deliverer (nurse or allied healthcare provider; P = 0.02) and the delivery format (face-to-face; P = 0.01) were influential in increasing enrolment. Low-quality evidence shows interventions to increase adherence were effective (nine comparisons; standardised mean difference (SMD) 0.38, 95% CI 0.20 to 0.55), particularly when they were delivered remotely, such as in home-based programs (SMD 0.56, 95% CI 0.37 to 0.76). Moderate-quality evidence shows interventions to increase programme completion were also effective (eight comparisons; RR 1.13, 95% CI 1.02 to 1.25), but those applied in multi-centre studies were less effective than those given in single-centre studies, leading to questions regarding generalisability. A moderate level of statistical heterogeneity across intervention studies reflects heterogeneity in intervention approaches. There was no evidence of small-study bias for enrolment (insufficient studies to test for this in the other outcomes).With regard to secondary outcomes, no studies reported on harms associated with the interventions. Only two studies reported costs. In terms of equity, trialists tested interventions designed to improve utilisation among women and older patients. Evidence is insufficient for quantitative assessment of whether women-tailored programmes were associated with increased utilisation, and studies that assess motivating women are needed. For older participants, again while quantitative assessment could not be undertaken, peer navigation may improve enrolment. AUTHORS' CONCLUSIONS: Interventions may increase cardiac rehabilitation enrolment, adherence and completion; however the quality of evidence was low to moderate due to heterogeneity of the interventions used, among other factors. Effects on enrolment were larger in studies targeting healthcare providers, training nurses, or allied healthcare providers to intervene face-to-face; effects on adherence were larger in studies that tested remote interventions. More research is needed, particularly to discover the best ways to increase programme completion.","archive_location":"30706942","container-title":"Cochrane Database Syst Rev","DOI":"10.1002/14651858.CD007131.pub4","ISSN":"1469-493X (Electronic) 1361-6137 (Linking)","note":"edition: 2019/02/02","page":"CD007131","title":"Interventions to promote patient utilisation of cardiac rehabilitation","volume":"2","author":[{"family":"Santiago de Araujo Pio","given":"C."},{"family":"Chaves","given":"G. S."},{"family":"Davies","given":"P."},{"family":"Taylor","given":"R. S."},{"family":"Grace","given":"S. L."}],"issued":{"date-parts":[["2019",2,1]]}}}],"schema":"https://github.com/citation-style-language/schema/raw/master/csl-citation.json"} </w:instrText>
      </w:r>
      <w:r w:rsidR="00B310F1" w:rsidRPr="00DA27E1">
        <w:rPr>
          <w:rFonts w:cs="Times New Roman"/>
          <w:lang w:val="en-GB"/>
        </w:rPr>
        <w:fldChar w:fldCharType="separate"/>
      </w:r>
      <w:r w:rsidR="00EA059B" w:rsidRPr="00DA27E1">
        <w:rPr>
          <w:rFonts w:cs="Times New Roman"/>
          <w:lang w:val="en-GB"/>
        </w:rPr>
        <w:t>(19)</w:t>
      </w:r>
      <w:r w:rsidR="00B310F1" w:rsidRPr="00DA27E1">
        <w:rPr>
          <w:rFonts w:cs="Times New Roman"/>
          <w:lang w:val="en-GB"/>
        </w:rPr>
        <w:fldChar w:fldCharType="end"/>
      </w:r>
      <w:r w:rsidRPr="00DA27E1">
        <w:rPr>
          <w:rFonts w:cs="Times New Roman"/>
          <w:lang w:val="en-GB"/>
        </w:rPr>
        <w:t xml:space="preserve">. </w:t>
      </w:r>
      <w:r w:rsidR="0058059D" w:rsidRPr="00DA27E1">
        <w:rPr>
          <w:rFonts w:cs="Times New Roman"/>
          <w:lang w:val="en-GB"/>
        </w:rPr>
        <w:t>A wide spectrum</w:t>
      </w:r>
      <w:r w:rsidRPr="00DA27E1">
        <w:rPr>
          <w:rFonts w:cs="Times New Roman"/>
          <w:lang w:val="en-GB"/>
        </w:rPr>
        <w:t xml:space="preserve"> </w:t>
      </w:r>
      <w:r w:rsidR="0058059D" w:rsidRPr="00DA27E1">
        <w:rPr>
          <w:rFonts w:cs="Times New Roman"/>
          <w:lang w:val="en-GB"/>
        </w:rPr>
        <w:t xml:space="preserve">of </w:t>
      </w:r>
      <w:r w:rsidRPr="00DA27E1">
        <w:rPr>
          <w:rFonts w:cs="Times New Roman"/>
          <w:lang w:val="en-GB"/>
        </w:rPr>
        <w:t>delivery models</w:t>
      </w:r>
      <w:r w:rsidR="00E50BA4" w:rsidRPr="00DA27E1">
        <w:rPr>
          <w:rFonts w:cs="Times New Roman"/>
          <w:lang w:val="en-GB"/>
        </w:rPr>
        <w:t>,</w:t>
      </w:r>
      <w:r w:rsidRPr="00DA27E1">
        <w:rPr>
          <w:rFonts w:cs="Times New Roman"/>
          <w:lang w:val="en-GB"/>
        </w:rPr>
        <w:t xml:space="preserve"> </w:t>
      </w:r>
      <w:r w:rsidR="004A0A79" w:rsidRPr="00DA27E1">
        <w:rPr>
          <w:rFonts w:cs="Times New Roman"/>
          <w:lang w:val="en-GB"/>
        </w:rPr>
        <w:t>e.g. home-based programs </w:t>
      </w:r>
      <w:r w:rsidRPr="00DA27E1">
        <w:rPr>
          <w:rFonts w:cs="Times New Roman"/>
          <w:lang w:val="en-GB"/>
        </w:rPr>
        <w:t>tailored to patients</w:t>
      </w:r>
      <w:r w:rsidR="00E814F3" w:rsidRPr="00DA27E1">
        <w:rPr>
          <w:rFonts w:cs="Times New Roman"/>
          <w:lang w:val="en-GB"/>
        </w:rPr>
        <w:t>’</w:t>
      </w:r>
      <w:r w:rsidRPr="00DA27E1">
        <w:rPr>
          <w:rFonts w:cs="Times New Roman"/>
          <w:lang w:val="en-GB"/>
        </w:rPr>
        <w:t xml:space="preserve"> preference and needs</w:t>
      </w:r>
      <w:r w:rsidR="00E50BA4" w:rsidRPr="00DA27E1">
        <w:rPr>
          <w:rFonts w:cs="Times New Roman"/>
          <w:lang w:val="en-GB"/>
        </w:rPr>
        <w:t>,</w:t>
      </w:r>
      <w:r w:rsidRPr="00DA27E1">
        <w:rPr>
          <w:rFonts w:cs="Times New Roman"/>
          <w:lang w:val="en-GB"/>
        </w:rPr>
        <w:t xml:space="preserve"> seem essential inst</w:t>
      </w:r>
      <w:r w:rsidR="003A43CA" w:rsidRPr="00DA27E1">
        <w:rPr>
          <w:rFonts w:cs="Times New Roman"/>
          <w:lang w:val="en-GB"/>
        </w:rPr>
        <w:t>e</w:t>
      </w:r>
      <w:r w:rsidRPr="00DA27E1">
        <w:rPr>
          <w:rFonts w:cs="Times New Roman"/>
          <w:lang w:val="en-GB"/>
        </w:rPr>
        <w:t>a</w:t>
      </w:r>
      <w:r w:rsidR="003A43CA" w:rsidRPr="00DA27E1">
        <w:rPr>
          <w:rFonts w:cs="Times New Roman"/>
          <w:lang w:val="en-GB"/>
        </w:rPr>
        <w:t>d</w:t>
      </w:r>
      <w:r w:rsidRPr="00DA27E1">
        <w:rPr>
          <w:rFonts w:cs="Times New Roman"/>
          <w:lang w:val="en-GB"/>
        </w:rPr>
        <w:t xml:space="preserve"> of a</w:t>
      </w:r>
      <w:r w:rsidR="005D0350" w:rsidRPr="00DA27E1">
        <w:rPr>
          <w:rFonts w:cs="Times New Roman"/>
          <w:lang w:val="en-GB"/>
        </w:rPr>
        <w:t xml:space="preserve"> single</w:t>
      </w:r>
      <w:r w:rsidRPr="00DA27E1">
        <w:rPr>
          <w:rFonts w:cs="Times New Roman"/>
          <w:lang w:val="en-GB"/>
        </w:rPr>
        <w:t xml:space="preserve"> standardized model</w:t>
      </w:r>
      <w:r w:rsidR="009B15C4" w:rsidRPr="00DA27E1">
        <w:rPr>
          <w:rFonts w:cs="Times New Roman"/>
          <w:lang w:val="en-GB"/>
        </w:rPr>
        <w:t xml:space="preserve"> so that the </w:t>
      </w:r>
      <w:r w:rsidR="009B15C4" w:rsidRPr="00DA27E1">
        <w:rPr>
          <w:lang w:val="en-GB"/>
        </w:rPr>
        <w:t>maintenance of exercise is continued</w:t>
      </w:r>
      <w:r w:rsidR="00311100" w:rsidRPr="00DA27E1">
        <w:rPr>
          <w:rFonts w:cs="Times New Roman"/>
          <w:lang w:val="en-GB"/>
        </w:rPr>
        <w:t xml:space="preserve"> </w:t>
      </w:r>
      <w:r w:rsidR="00311100" w:rsidRPr="00DA27E1">
        <w:rPr>
          <w:rFonts w:cs="Times New Roman"/>
          <w:lang w:val="en-GB"/>
        </w:rPr>
        <w:fldChar w:fldCharType="begin"/>
      </w:r>
      <w:r w:rsidR="00EA059B" w:rsidRPr="00DA27E1">
        <w:rPr>
          <w:rFonts w:cs="Times New Roman"/>
          <w:lang w:val="en-GB"/>
        </w:rPr>
        <w:instrText xml:space="preserve"> ADDIN ZOTERO_ITEM CSL_CITATION {"citationID":"mwzyU7bG","properties":{"formattedCitation":"(19)","plainCitation":"(19)","noteIndex":0},"citationItems":[{"id":133,"uris":["http://zotero.org/users/6176940/items/AZBRPITP"],"uri":["http://zotero.org/users/6176940/items/AZBRPITP"],"itemData":{"id":133,"type":"article-journal","abstract":"BACKGROUND: International clinical practice guidelines routinely recommend that cardiac patients participate in rehabilitation programmes for comprehensive secondary prevention. However, data show that only a small proportion of these patients utilise rehabilitation. OBJECTIVES: First, to assess interventions provided to increase patient enrolment in, adherence to, and completion of cardiac rehabilitation. Second, to assess intervention costs and associated harms, as well as interventions intended to promote equitable CR utilisation in vulnerable patient subpopulations. SEARCH METHODS: Review authors performed a search on 10 July 2018, to identify studies published since publication of the previous systematic review. We searched the Cochrane Central Register of Controlled Trials (CENTRAL); the National Health Service (NHS) Centre for Reviews and Dissemination (CRD) databases (Health Technology Assessment (HTA) and Database of Abstracts of Reviews of Effects (DARE)), in the Cochrane Library (Wiley); MEDLINE (Ovid); Embase (Elsevier); the Cumulative Index to Nursing and Allied Health Literature (CINAHL) (EBSCOhost); and Conference Proceedings Citation Index - Science (CPCI-S) on Web of Science (Clarivate Analytics). We checked the reference lists of relevant systematic reviews for additional studies and also searched two clinical trial registers. We applied no language restrictions. SELECTION CRITERIA: We included randomised controlled trials (RCTs) in adults with myocardial infarction, with angina, undergoing coronary artery bypass graft surgery or percutaneous coronary intervention, or with heart failure who were eligible for cardiac rehabilitation. Interventions had to aim to increase utilisation of comprehensive phase II cardiac rehabilitation. We included only studies that measured one or more of our primary outcomes. Secondary outcomes were harms and costs, and we focused on equity. DATA COLLECTION AND ANALYSIS: Two review authors independently screened the titles and abstracts of all identified references for eligibility, and we obtained full papers of potentially relevant trials. Two review authors independently considered these trials for inclusion, assessed included studies for risk of bias, and extracted trial data independently. We resolved disagreements through consultation with a third review author. We performed random-effects meta-regression for each outcome and explored prespecified study characteristics. MAIN RESULTS: Overall, we included 26 studies with 5299 participants (29 comparisons). Participants were primarily male (64.2%). Ten (38.5%) studies included patients with heart failure. We assessed most studies as having low or unclear risk of bias. Sixteen studies (3164 participants) reported interventions to improve enrolment in cardiac rehabilitation, 11 studies (2319 participants) reported interventions to improve adherence to cardiac rehabilitation, and seven studies (1567 participants) reported interventions to increase programme completion. Researchers tested a variety of interventions to increase utilisation of cardiac rehabilitation. In many studies, this consisted of contacts made by a healthcare provider during or shortly after an acute care hospitalisation.Low-quality evidence shows an effect of interventions on increasing programme enrolment (19 comparisons; risk ratio (RR) 1.27, 95% confidence interval (CI) 1.13 to 1.42). Meta-regression revealed that the intervention deliverer (nurse or allied healthcare provider; P = 0.02) and the delivery format (face-to-face; P = 0.01) were influential in increasing enrolment. Low-quality evidence shows interventions to increase adherence were effective (nine comparisons; standardised mean difference (SMD) 0.38, 95% CI 0.20 to 0.55), particularly when they were delivered remotely, such as in home-based programs (SMD 0.56, 95% CI 0.37 to 0.76). Moderate-quality evidence shows interventions to increase programme completion were also effective (eight comparisons; RR 1.13, 95% CI 1.02 to 1.25), but those applied in multi-centre studies were less effective than those given in single-centre studies, leading to questions regarding generalisability. A moderate level of statistical heterogeneity across intervention studies reflects heterogeneity in intervention approaches. There was no evidence of small-study bias for enrolment (insufficient studies to test for this in the other outcomes).With regard to secondary outcomes, no studies reported on harms associated with the interventions. Only two studies reported costs. In terms of equity, trialists tested interventions designed to improve utilisation among women and older patients. Evidence is insufficient for quantitative assessment of whether women-tailored programmes were associated with increased utilisation, and studies that assess motivating women are needed. For older participants, again while quantitative assessment could not be undertaken, peer navigation may improve enrolment. AUTHORS' CONCLUSIONS: Interventions may increase cardiac rehabilitation enrolment, adherence and completion; however the quality of evidence was low to moderate due to heterogeneity of the interventions used, among other factors. Effects on enrolment were larger in studies targeting healthcare providers, training nurses, or allied healthcare providers to intervene face-to-face; effects on adherence were larger in studies that tested remote interventions. More research is needed, particularly to discover the best ways to increase programme completion.","archive_location":"30706942","container-title":"Cochrane Database Syst Rev","DOI":"10.1002/14651858.CD007131.pub4","ISSN":"1469-493X (Electronic) 1361-6137 (Linking)","note":"edition: 2019/02/02","page":"CD007131","title":"Interventions to promote patient utilisation of cardiac rehabilitation","volume":"2","author":[{"family":"Santiago de Araujo Pio","given":"C."},{"family":"Chaves","given":"G. S."},{"family":"Davies","given":"P."},{"family":"Taylor","given":"R. S."},{"family":"Grace","given":"S. L."}],"issued":{"date-parts":[["2019",2,1]]}}}],"schema":"https://github.com/citation-style-language/schema/raw/master/csl-citation.json"} </w:instrText>
      </w:r>
      <w:r w:rsidR="00311100" w:rsidRPr="00DA27E1">
        <w:rPr>
          <w:rFonts w:cs="Times New Roman"/>
          <w:lang w:val="en-GB"/>
        </w:rPr>
        <w:fldChar w:fldCharType="separate"/>
      </w:r>
      <w:r w:rsidR="00EA059B" w:rsidRPr="00DA27E1">
        <w:rPr>
          <w:rFonts w:cs="Times New Roman"/>
          <w:lang w:val="en-GB"/>
        </w:rPr>
        <w:t>(19)</w:t>
      </w:r>
      <w:r w:rsidR="00311100" w:rsidRPr="00DA27E1">
        <w:rPr>
          <w:rFonts w:cs="Times New Roman"/>
          <w:lang w:val="en-GB"/>
        </w:rPr>
        <w:fldChar w:fldCharType="end"/>
      </w:r>
      <w:r w:rsidRPr="00DA27E1">
        <w:rPr>
          <w:rFonts w:cs="Times New Roman"/>
          <w:lang w:val="en-GB"/>
        </w:rPr>
        <w:t xml:space="preserve">. These models </w:t>
      </w:r>
      <w:r w:rsidR="000B2C1A" w:rsidRPr="00DA27E1">
        <w:rPr>
          <w:rFonts w:cs="Times New Roman"/>
          <w:lang w:val="en-GB"/>
        </w:rPr>
        <w:t>are</w:t>
      </w:r>
      <w:r w:rsidR="00C72D19" w:rsidRPr="00DA27E1">
        <w:rPr>
          <w:rFonts w:cs="Times New Roman"/>
          <w:lang w:val="en-GB"/>
        </w:rPr>
        <w:t>,</w:t>
      </w:r>
      <w:r w:rsidR="000B2C1A" w:rsidRPr="00DA27E1">
        <w:rPr>
          <w:rFonts w:cs="Times New Roman"/>
          <w:lang w:val="en-GB"/>
        </w:rPr>
        <w:t xml:space="preserve"> </w:t>
      </w:r>
      <w:r w:rsidRPr="00DA27E1">
        <w:rPr>
          <w:rFonts w:cs="Times New Roman"/>
          <w:lang w:val="en-GB"/>
        </w:rPr>
        <w:t>however</w:t>
      </w:r>
      <w:r w:rsidR="00C72D19" w:rsidRPr="00DA27E1">
        <w:rPr>
          <w:rFonts w:cs="Times New Roman"/>
          <w:lang w:val="en-GB"/>
        </w:rPr>
        <w:t>,</w:t>
      </w:r>
      <w:r w:rsidRPr="00DA27E1">
        <w:rPr>
          <w:rFonts w:cs="Times New Roman"/>
          <w:lang w:val="en-GB"/>
        </w:rPr>
        <w:t xml:space="preserve"> far from available in many health</w:t>
      </w:r>
      <w:r w:rsidR="00CB1C92" w:rsidRPr="00DA27E1">
        <w:rPr>
          <w:rFonts w:cs="Times New Roman"/>
          <w:lang w:val="en-GB"/>
        </w:rPr>
        <w:t xml:space="preserve"> </w:t>
      </w:r>
      <w:r w:rsidRPr="00DA27E1">
        <w:rPr>
          <w:rFonts w:cs="Times New Roman"/>
          <w:lang w:val="en-GB"/>
        </w:rPr>
        <w:t xml:space="preserve">care settings. Hence, there is </w:t>
      </w:r>
      <w:r w:rsidR="00952309" w:rsidRPr="00DA27E1">
        <w:rPr>
          <w:rFonts w:cs="Times New Roman"/>
          <w:lang w:val="en-GB"/>
        </w:rPr>
        <w:t>a</w:t>
      </w:r>
      <w:r w:rsidR="00BE6CC6" w:rsidRPr="00DA27E1">
        <w:rPr>
          <w:rFonts w:cs="Times New Roman"/>
          <w:lang w:val="en-GB"/>
        </w:rPr>
        <w:t>n urgent</w:t>
      </w:r>
      <w:r w:rsidRPr="00DA27E1">
        <w:rPr>
          <w:rFonts w:cs="Times New Roman"/>
          <w:lang w:val="en-GB"/>
        </w:rPr>
        <w:t xml:space="preserve"> need for successful strategies to prevent dropout in</w:t>
      </w:r>
      <w:r w:rsidR="00F511EC" w:rsidRPr="00DA27E1">
        <w:rPr>
          <w:rFonts w:cs="Times New Roman"/>
          <w:lang w:val="en-GB"/>
        </w:rPr>
        <w:t xml:space="preserve"> standardized delivery models</w:t>
      </w:r>
      <w:r w:rsidRPr="00DA27E1">
        <w:rPr>
          <w:rFonts w:cs="Times New Roman"/>
          <w:lang w:val="en-GB"/>
        </w:rPr>
        <w:t xml:space="preserve"> and especially </w:t>
      </w:r>
      <w:r w:rsidR="008C1475" w:rsidRPr="00DA27E1">
        <w:rPr>
          <w:rFonts w:cs="Times New Roman"/>
          <w:lang w:val="en-GB"/>
        </w:rPr>
        <w:t>at</w:t>
      </w:r>
      <w:r w:rsidRPr="00DA27E1">
        <w:rPr>
          <w:rFonts w:cs="Times New Roman"/>
          <w:lang w:val="en-GB"/>
        </w:rPr>
        <w:t xml:space="preserve"> </w:t>
      </w:r>
      <w:r w:rsidR="00FF084B" w:rsidRPr="00DA27E1">
        <w:rPr>
          <w:rFonts w:cs="Times New Roman"/>
          <w:lang w:val="en-GB"/>
        </w:rPr>
        <w:t xml:space="preserve">the </w:t>
      </w:r>
      <w:r w:rsidRPr="00DA27E1">
        <w:rPr>
          <w:rFonts w:cs="Times New Roman"/>
          <w:lang w:val="en-GB"/>
        </w:rPr>
        <w:t>transition phase</w:t>
      </w:r>
      <w:r w:rsidR="00E370F3" w:rsidRPr="00DA27E1">
        <w:rPr>
          <w:rFonts w:cs="Times New Roman"/>
          <w:lang w:val="en-GB"/>
        </w:rPr>
        <w:t xml:space="preserve"> between settings</w:t>
      </w:r>
      <w:r w:rsidRPr="00DA27E1">
        <w:rPr>
          <w:rFonts w:cs="Times New Roman"/>
          <w:lang w:val="en-GB"/>
        </w:rPr>
        <w:t xml:space="preserve"> </w:t>
      </w:r>
      <w:r w:rsidR="003A43CA" w:rsidRPr="00DA27E1">
        <w:rPr>
          <w:rFonts w:cs="Times New Roman"/>
          <w:lang w:val="en-GB"/>
        </w:rPr>
        <w:t>in</w:t>
      </w:r>
      <w:r w:rsidRPr="00DA27E1">
        <w:rPr>
          <w:rFonts w:cs="Times New Roman"/>
          <w:lang w:val="en-GB"/>
        </w:rPr>
        <w:t xml:space="preserve"> </w:t>
      </w:r>
      <w:r w:rsidR="00730ADB" w:rsidRPr="00DA27E1">
        <w:rPr>
          <w:rFonts w:cs="Times New Roman"/>
          <w:lang w:val="en-GB"/>
        </w:rPr>
        <w:t>cardiac rehabilitation</w:t>
      </w:r>
      <w:r w:rsidRPr="00DA27E1">
        <w:rPr>
          <w:rFonts w:cs="Times New Roman"/>
          <w:lang w:val="en-GB"/>
        </w:rPr>
        <w:t>.</w:t>
      </w:r>
      <w:r w:rsidR="00D11182" w:rsidRPr="00DA27E1">
        <w:rPr>
          <w:rFonts w:cs="Times New Roman"/>
          <w:lang w:val="en-GB"/>
        </w:rPr>
        <w:t xml:space="preserve"> </w:t>
      </w:r>
      <w:r w:rsidR="00C85033" w:rsidRPr="00DA27E1">
        <w:rPr>
          <w:rFonts w:cs="Times New Roman"/>
          <w:lang w:val="en-GB"/>
        </w:rPr>
        <w:t xml:space="preserve">In </w:t>
      </w:r>
      <w:r w:rsidR="00010D9D" w:rsidRPr="00DA27E1">
        <w:rPr>
          <w:rFonts w:cs="Times New Roman"/>
          <w:lang w:val="en-GB"/>
        </w:rPr>
        <w:t>Denmark</w:t>
      </w:r>
      <w:r w:rsidR="00087A06" w:rsidRPr="00DA27E1">
        <w:rPr>
          <w:rFonts w:cs="Times New Roman"/>
          <w:lang w:val="en-GB"/>
        </w:rPr>
        <w:t>,</w:t>
      </w:r>
      <w:r w:rsidR="00010D9D" w:rsidRPr="00DA27E1">
        <w:rPr>
          <w:rFonts w:cs="Times New Roman"/>
          <w:lang w:val="en-GB"/>
        </w:rPr>
        <w:t xml:space="preserve"> </w:t>
      </w:r>
      <w:r w:rsidR="00912CAE" w:rsidRPr="00DA27E1">
        <w:rPr>
          <w:rFonts w:cs="Times New Roman"/>
          <w:lang w:val="en-GB"/>
        </w:rPr>
        <w:t>hospital</w:t>
      </w:r>
      <w:r w:rsidR="00010D9D" w:rsidRPr="00DA27E1">
        <w:rPr>
          <w:rFonts w:cs="Times New Roman"/>
          <w:lang w:val="en-GB"/>
        </w:rPr>
        <w:t xml:space="preserve">s are </w:t>
      </w:r>
      <w:r w:rsidR="007B003A" w:rsidRPr="00DA27E1">
        <w:rPr>
          <w:rFonts w:cs="Times New Roman"/>
          <w:lang w:val="en-GB"/>
        </w:rPr>
        <w:t>seen</w:t>
      </w:r>
      <w:r w:rsidRPr="00DA27E1">
        <w:rPr>
          <w:rFonts w:cs="Times New Roman"/>
          <w:lang w:val="en-GB"/>
        </w:rPr>
        <w:t xml:space="preserve"> as </w:t>
      </w:r>
      <w:r w:rsidR="00912CAE" w:rsidRPr="00DA27E1">
        <w:rPr>
          <w:rFonts w:cs="Times New Roman"/>
          <w:lang w:val="en-GB"/>
        </w:rPr>
        <w:t xml:space="preserve">specialists, </w:t>
      </w:r>
      <w:r w:rsidR="00010D9D" w:rsidRPr="00DA27E1">
        <w:rPr>
          <w:rFonts w:cs="Times New Roman"/>
          <w:lang w:val="en-GB"/>
        </w:rPr>
        <w:t>whereas</w:t>
      </w:r>
      <w:r w:rsidR="00912CAE" w:rsidRPr="00DA27E1">
        <w:rPr>
          <w:rFonts w:cs="Times New Roman"/>
          <w:lang w:val="en-GB"/>
        </w:rPr>
        <w:t xml:space="preserve"> the municipalit</w:t>
      </w:r>
      <w:r w:rsidR="00A45B62" w:rsidRPr="00DA27E1">
        <w:rPr>
          <w:rFonts w:cs="Times New Roman"/>
          <w:lang w:val="en-GB"/>
        </w:rPr>
        <w:t>ies</w:t>
      </w:r>
      <w:r w:rsidR="00912CAE" w:rsidRPr="00DA27E1">
        <w:rPr>
          <w:rFonts w:cs="Times New Roman"/>
          <w:lang w:val="en-GB"/>
        </w:rPr>
        <w:t xml:space="preserve"> are considered more</w:t>
      </w:r>
      <w:r w:rsidR="00034760" w:rsidRPr="00DA27E1">
        <w:rPr>
          <w:rFonts w:cs="Times New Roman"/>
          <w:lang w:val="en-GB"/>
        </w:rPr>
        <w:t xml:space="preserve"> like</w:t>
      </w:r>
      <w:r w:rsidR="00912CAE" w:rsidRPr="00DA27E1">
        <w:rPr>
          <w:rFonts w:cs="Times New Roman"/>
          <w:lang w:val="en-GB"/>
        </w:rPr>
        <w:t xml:space="preserve"> generalists</w:t>
      </w:r>
      <w:r w:rsidRPr="00DA27E1">
        <w:rPr>
          <w:rFonts w:cs="Times New Roman"/>
          <w:lang w:val="en-GB"/>
        </w:rPr>
        <w:t xml:space="preserve"> in exCR</w:t>
      </w:r>
      <w:r w:rsidR="00311100" w:rsidRPr="00DA27E1">
        <w:rPr>
          <w:rFonts w:cs="Times New Roman"/>
          <w:lang w:val="en-GB"/>
        </w:rPr>
        <w:t xml:space="preserve"> </w:t>
      </w:r>
      <w:r w:rsidR="00311100" w:rsidRPr="00DA27E1">
        <w:rPr>
          <w:rFonts w:cs="Times New Roman"/>
          <w:lang w:val="en-GB"/>
        </w:rPr>
        <w:fldChar w:fldCharType="begin"/>
      </w:r>
      <w:r w:rsidR="00EA059B" w:rsidRPr="00DA27E1">
        <w:rPr>
          <w:rFonts w:cs="Times New Roman"/>
          <w:lang w:val="en-GB"/>
        </w:rPr>
        <w:instrText xml:space="preserve"> ADDIN ZOTERO_ITEM CSL_CITATION {"citationID":"WDwqDopV","properties":{"formattedCitation":"(18)","plainCitation":"(18)","noteIndex":0},"citationItems":[{"id":120,"uris":["http://zotero.org/users/6176940/items/SRGX9FCS"],"uri":["http://zotero.org/users/6176940/items/SRGX9FCS"],"itemData":{"id":120,"type":"report","title":"Forløbsprogram for Kroniske Hjertesygdomme [Disease Management Programme for Chronic Heart Diseases]","URL":"https://www.regionsjaelland.dk/Sundhed/patient-i-region-sjaelland/Sundhedsaftalen/Forebyggelse/Forloebsprogrammer/Documents/Forl%C3%B8bsprogram%20hjerte%20040718.pdf","author":[{"literal":"Region Sjælland KKR Sjælland [Region Zealand and the 17 municipalities]"}],"accessed":{"date-parts":[["2021",2,22]]},"issued":{"date-parts":[["2016"]]}}}],"schema":"https://github.com/citation-style-language/schema/raw/master/csl-citation.json"} </w:instrText>
      </w:r>
      <w:r w:rsidR="00311100" w:rsidRPr="00DA27E1">
        <w:rPr>
          <w:rFonts w:cs="Times New Roman"/>
          <w:lang w:val="en-GB"/>
        </w:rPr>
        <w:fldChar w:fldCharType="separate"/>
      </w:r>
      <w:r w:rsidR="00EA059B" w:rsidRPr="00DA27E1">
        <w:rPr>
          <w:rFonts w:cs="Times New Roman"/>
          <w:lang w:val="en-GB"/>
        </w:rPr>
        <w:t>(18)</w:t>
      </w:r>
      <w:r w:rsidR="00311100" w:rsidRPr="00DA27E1">
        <w:rPr>
          <w:rFonts w:cs="Times New Roman"/>
          <w:lang w:val="en-GB"/>
        </w:rPr>
        <w:fldChar w:fldCharType="end"/>
      </w:r>
      <w:r w:rsidR="00010D9D" w:rsidRPr="00DA27E1">
        <w:rPr>
          <w:rFonts w:cs="Times New Roman"/>
          <w:lang w:val="en-GB"/>
        </w:rPr>
        <w:t>.</w:t>
      </w:r>
      <w:r w:rsidR="002455AA" w:rsidRPr="00DA27E1">
        <w:rPr>
          <w:rFonts w:cs="Times New Roman"/>
          <w:lang w:val="en-GB"/>
        </w:rPr>
        <w:t xml:space="preserve"> </w:t>
      </w:r>
      <w:r w:rsidR="00E92A34" w:rsidRPr="00DA27E1">
        <w:rPr>
          <w:rFonts w:cs="Times New Roman"/>
          <w:lang w:val="en-GB"/>
        </w:rPr>
        <w:t>Evidence shows an association</w:t>
      </w:r>
      <w:r w:rsidR="00912CAE" w:rsidRPr="00DA27E1">
        <w:rPr>
          <w:rFonts w:cs="Times New Roman"/>
          <w:lang w:val="en-GB"/>
        </w:rPr>
        <w:t xml:space="preserve"> between high</w:t>
      </w:r>
      <w:r w:rsidR="00E92A34" w:rsidRPr="00DA27E1">
        <w:rPr>
          <w:rFonts w:cs="Times New Roman"/>
          <w:lang w:val="en-GB"/>
        </w:rPr>
        <w:t xml:space="preserve"> </w:t>
      </w:r>
      <w:r w:rsidR="00912CAE" w:rsidRPr="00DA27E1">
        <w:rPr>
          <w:rFonts w:cs="Times New Roman"/>
          <w:lang w:val="en-GB"/>
        </w:rPr>
        <w:t xml:space="preserve">trust </w:t>
      </w:r>
      <w:r w:rsidR="00BE6CC6" w:rsidRPr="00DA27E1">
        <w:rPr>
          <w:rFonts w:cs="Times New Roman"/>
          <w:lang w:val="en-GB"/>
        </w:rPr>
        <w:t xml:space="preserve">in </w:t>
      </w:r>
      <w:r w:rsidR="00912CAE" w:rsidRPr="00DA27E1">
        <w:rPr>
          <w:rFonts w:cs="Times New Roman"/>
          <w:lang w:val="en-GB"/>
        </w:rPr>
        <w:t>the health care providers and adherence to treatment</w:t>
      </w:r>
      <w:r w:rsidR="00730ADB" w:rsidRPr="00DA27E1">
        <w:rPr>
          <w:rFonts w:cs="Times New Roman"/>
          <w:lang w:val="en-GB"/>
        </w:rPr>
        <w:t xml:space="preserve"> in</w:t>
      </w:r>
      <w:r w:rsidR="00E92A34" w:rsidRPr="00DA27E1">
        <w:rPr>
          <w:rFonts w:cs="Times New Roman"/>
          <w:lang w:val="en-GB"/>
        </w:rPr>
        <w:t xml:space="preserve"> patients </w:t>
      </w:r>
      <w:r w:rsidR="00912CAE" w:rsidRPr="00DA27E1">
        <w:rPr>
          <w:rFonts w:cs="Times New Roman"/>
          <w:lang w:val="en-GB"/>
        </w:rPr>
        <w:fldChar w:fldCharType="begin"/>
      </w:r>
      <w:r w:rsidR="006B0A97" w:rsidRPr="00DA27E1">
        <w:rPr>
          <w:rFonts w:cs="Times New Roman"/>
          <w:lang w:val="en-GB"/>
        </w:rPr>
        <w:instrText xml:space="preserve"> ADDIN ZOTERO_ITEM CSL_CITATION {"citationID":"VA48321n","properties":{"formattedCitation":"(35)","plainCitation":"(35)","noteIndex":0},"citationItems":[{"id":22,"uris":["http://zotero.org/users/6176940/items/66KD788I"],"uri":["http://zotero.org/users/6176940/items/66KD788I"],"itemData":{"id":22,"type":"article-journal","abstract":"OBJECTIVE: To examine whether patients' trust in the health care professional is associated with health outcomes. STUDY SELECTION: We searched 4 major electronic databases for studies that reported quantitative data on the association between trust in the health care professional and health outcome. We screened the full-texts of 400 publications and included 47 studies in our meta-analysis. DATA EXTRACTION AND DATA SYNTHESIS: We conducted random effects meta-analyses and meta-regressions and calculated correlation coefficients with corresponding 95% confidence intervals. Two interdependent researchers assessed the quality of the included studies using the Strengthening the Reporting of Observational Studies in Epidemiology guidelines. RESULTS: Overall, we found a small to moderate correlation between trust and health outcomes (r = 0.24, 95% CI: 0.19-0.29). Subgroup analyses revealed a moderate correlation between trust and self-rated subjective health outcomes (r = 0.30, 0.24-0.35). Correlations between trust and objective (r = -0.02, -0.08-0.03) as well as observer-rated outcomes (r = 0.10, -0.16-0.36) were non-significant. Exploratory analyses showed a large correlation between trust and patient satisfaction and somewhat smaller correlations with health behaviours, quality of life and symptom severity. Heterogeneity was small to moderate across the analyses. CONCLUSIONS: From a clinical perspective, patients reported more beneficial health behaviours, less symptoms and higher quality of life and to be more satisfied with treatment when they had higher trust in their health care professional. There was evidence for upward bias in the summarized results. Prospective studies are required to deepen our understanding of the complex interplay between trust and health outcomes.","archive_location":"28170443","container-title":"PLoS One","DOI":"10.1371/journal.pone.0170988","ISSN":"1932-6203","issue":"2","language":"eng","note":"edition: 2017/02/09","page":"e0170988","source":"NLM","title":"Trust in the health care professional and health outcome: A meta-analysis","volume":"12","author":[{"family":"Birkhäuer","given":"J."},{"family":"Gaab","given":"J."},{"family":"Kossowsky","given":"J."},{"family":"Hasler","given":"S."},{"family":"Krummenacher","given":"P."},{"family":"Werner","given":"C."},{"family":"Gerger","given":"H."}],"issued":{"date-parts":[["2017"]]}}}],"schema":"https://github.com/citation-style-language/schema/raw/master/csl-citation.json"} </w:instrText>
      </w:r>
      <w:r w:rsidR="00912CAE" w:rsidRPr="00DA27E1">
        <w:rPr>
          <w:rFonts w:cs="Times New Roman"/>
          <w:lang w:val="en-GB"/>
        </w:rPr>
        <w:fldChar w:fldCharType="separate"/>
      </w:r>
      <w:r w:rsidR="006B0A97" w:rsidRPr="00DA27E1">
        <w:rPr>
          <w:rFonts w:cs="Times New Roman"/>
          <w:lang w:val="en-GB"/>
        </w:rPr>
        <w:t>(35)</w:t>
      </w:r>
      <w:r w:rsidR="00912CAE" w:rsidRPr="00DA27E1">
        <w:rPr>
          <w:rFonts w:cs="Times New Roman"/>
          <w:lang w:val="en-GB"/>
        </w:rPr>
        <w:fldChar w:fldCharType="end"/>
      </w:r>
      <w:r w:rsidR="00912CAE" w:rsidRPr="00DA27E1">
        <w:rPr>
          <w:rFonts w:cs="Times New Roman"/>
          <w:lang w:val="en-GB"/>
        </w:rPr>
        <w:t>.</w:t>
      </w:r>
      <w:r w:rsidR="00C85033" w:rsidRPr="00DA27E1">
        <w:rPr>
          <w:rFonts w:cs="Times New Roman"/>
          <w:lang w:val="en-GB"/>
        </w:rPr>
        <w:t xml:space="preserve"> </w:t>
      </w:r>
      <w:r w:rsidR="00322D9C" w:rsidRPr="00DA27E1">
        <w:rPr>
          <w:rFonts w:cs="Times New Roman"/>
          <w:lang w:val="en-GB"/>
        </w:rPr>
        <w:t>Hence, plans for creating coherent pathways and strategies on how to communicate between health care providers and patients about the patient care pathways in clinical practice seem essential.</w:t>
      </w:r>
      <w:r w:rsidR="00C85033" w:rsidRPr="00DA27E1">
        <w:rPr>
          <w:rFonts w:cs="Times New Roman"/>
          <w:lang w:val="en-GB"/>
        </w:rPr>
        <w:t xml:space="preserve"> </w:t>
      </w:r>
      <w:r w:rsidR="00741765" w:rsidRPr="00DA27E1">
        <w:rPr>
          <w:rFonts w:cs="Times New Roman"/>
          <w:lang w:val="en-GB"/>
        </w:rPr>
        <w:t>T</w:t>
      </w:r>
      <w:r w:rsidR="00FF084B" w:rsidRPr="00DA27E1">
        <w:rPr>
          <w:rFonts w:cs="Times New Roman"/>
          <w:lang w:val="en-GB"/>
        </w:rPr>
        <w:t>his is s</w:t>
      </w:r>
      <w:r w:rsidR="003C6BF7" w:rsidRPr="00DA27E1">
        <w:rPr>
          <w:rFonts w:cs="Times New Roman"/>
          <w:lang w:val="en-GB"/>
        </w:rPr>
        <w:t>upported by</w:t>
      </w:r>
      <w:r w:rsidR="00FF084B" w:rsidRPr="00DA27E1">
        <w:rPr>
          <w:rFonts w:cs="Times New Roman"/>
          <w:lang w:val="en-GB"/>
        </w:rPr>
        <w:t xml:space="preserve"> our finding </w:t>
      </w:r>
      <w:r w:rsidR="00AB1140" w:rsidRPr="00DA27E1">
        <w:rPr>
          <w:rFonts w:cs="Times New Roman"/>
          <w:lang w:val="en-GB"/>
        </w:rPr>
        <w:t>that</w:t>
      </w:r>
      <w:r w:rsidR="002A0D24" w:rsidRPr="00DA27E1">
        <w:rPr>
          <w:rFonts w:cs="Times New Roman"/>
          <w:lang w:val="en-GB"/>
        </w:rPr>
        <w:t xml:space="preserve"> 22</w:t>
      </w:r>
      <w:r w:rsidR="003C6BF7" w:rsidRPr="00DA27E1">
        <w:rPr>
          <w:rFonts w:cs="Times New Roman"/>
          <w:lang w:val="en-GB"/>
        </w:rPr>
        <w:t>% of the patients drop out in the transition</w:t>
      </w:r>
      <w:r w:rsidR="00396AD5" w:rsidRPr="00DA27E1">
        <w:rPr>
          <w:rFonts w:cs="Times New Roman"/>
          <w:lang w:val="en-GB"/>
        </w:rPr>
        <w:t xml:space="preserve"> because</w:t>
      </w:r>
      <w:r w:rsidR="003C6BF7" w:rsidRPr="00DA27E1">
        <w:rPr>
          <w:rFonts w:cs="Times New Roman"/>
          <w:lang w:val="en-GB"/>
        </w:rPr>
        <w:t xml:space="preserve"> they prefer</w:t>
      </w:r>
      <w:r w:rsidR="00D1778D" w:rsidRPr="00DA27E1">
        <w:rPr>
          <w:rFonts w:cs="Times New Roman"/>
          <w:lang w:val="en-GB"/>
        </w:rPr>
        <w:t xml:space="preserve"> </w:t>
      </w:r>
      <w:r w:rsidR="003C6BF7" w:rsidRPr="00DA27E1">
        <w:rPr>
          <w:rFonts w:cs="Times New Roman"/>
          <w:lang w:val="en-GB"/>
        </w:rPr>
        <w:t>another location than the municipalities.</w:t>
      </w:r>
    </w:p>
    <w:p w14:paraId="389A69D8" w14:textId="2630F572" w:rsidR="00C6106C" w:rsidRPr="00DA27E1" w:rsidRDefault="00C9154E" w:rsidP="0094111C">
      <w:pPr>
        <w:spacing w:line="480" w:lineRule="auto"/>
        <w:rPr>
          <w:rFonts w:cs="Times New Roman"/>
          <w:lang w:val="en-GB"/>
        </w:rPr>
      </w:pPr>
      <w:r w:rsidRPr="00DA27E1">
        <w:rPr>
          <w:rFonts w:cs="Times New Roman"/>
          <w:lang w:val="en-GB"/>
        </w:rPr>
        <w:t>Overall,</w:t>
      </w:r>
      <w:r w:rsidR="00C6106C" w:rsidRPr="00DA27E1">
        <w:rPr>
          <w:rFonts w:cs="Times New Roman"/>
          <w:lang w:val="en-GB"/>
        </w:rPr>
        <w:t xml:space="preserve"> an increased clinical focus on effective strategies to prevent dropout in exCR, especially at the transition from one setting to another is crucial.</w:t>
      </w:r>
    </w:p>
    <w:p w14:paraId="3C6DC4CA" w14:textId="77777777" w:rsidR="00912CAE" w:rsidRPr="00DA27E1" w:rsidRDefault="00912CAE" w:rsidP="0094111C">
      <w:pPr>
        <w:spacing w:line="480" w:lineRule="auto"/>
        <w:rPr>
          <w:rFonts w:cs="Times New Roman"/>
          <w:b/>
          <w:lang w:val="en-GB"/>
        </w:rPr>
      </w:pPr>
      <w:r w:rsidRPr="00DA27E1">
        <w:rPr>
          <w:rFonts w:cs="Times New Roman"/>
          <w:b/>
          <w:lang w:val="en-GB"/>
        </w:rPr>
        <w:t>Strengths and limitations</w:t>
      </w:r>
    </w:p>
    <w:p w14:paraId="5A234BE1" w14:textId="3F4AFB4E" w:rsidR="00912CAE" w:rsidRPr="00DA27E1" w:rsidRDefault="008A52A9" w:rsidP="0094111C">
      <w:pPr>
        <w:spacing w:line="480" w:lineRule="auto"/>
        <w:rPr>
          <w:rFonts w:cs="Times New Roman"/>
          <w:lang w:val="en-GB"/>
        </w:rPr>
      </w:pPr>
      <w:r w:rsidRPr="00DA27E1">
        <w:rPr>
          <w:rFonts w:cs="Times New Roman"/>
          <w:lang w:val="en-GB"/>
        </w:rPr>
        <w:t xml:space="preserve">Our findings </w:t>
      </w:r>
      <w:r w:rsidR="007365B5" w:rsidRPr="00DA27E1">
        <w:rPr>
          <w:rFonts w:cs="Times New Roman"/>
          <w:lang w:val="en-GB"/>
        </w:rPr>
        <w:t>reflect</w:t>
      </w:r>
      <w:r w:rsidR="00C13AF8" w:rsidRPr="00DA27E1">
        <w:rPr>
          <w:rFonts w:cs="Times New Roman"/>
          <w:lang w:val="en-GB"/>
        </w:rPr>
        <w:t xml:space="preserve"> current clinical practice, as </w:t>
      </w:r>
      <w:r w:rsidR="008B7A53" w:rsidRPr="00DA27E1">
        <w:rPr>
          <w:rFonts w:cs="Times New Roman"/>
          <w:lang w:val="en-GB"/>
        </w:rPr>
        <w:t>w</w:t>
      </w:r>
      <w:r w:rsidR="007B003A" w:rsidRPr="00DA27E1">
        <w:rPr>
          <w:rFonts w:cs="Times New Roman"/>
          <w:lang w:val="en-GB"/>
        </w:rPr>
        <w:t>e</w:t>
      </w:r>
      <w:r w:rsidR="00912CAE" w:rsidRPr="00DA27E1">
        <w:rPr>
          <w:rFonts w:cs="Times New Roman"/>
          <w:lang w:val="en-GB"/>
        </w:rPr>
        <w:t xml:space="preserve"> </w:t>
      </w:r>
      <w:r w:rsidR="00C13AF8" w:rsidRPr="00DA27E1">
        <w:rPr>
          <w:rFonts w:cs="Times New Roman"/>
          <w:lang w:val="en-GB"/>
        </w:rPr>
        <w:t xml:space="preserve">assessed </w:t>
      </w:r>
      <w:r w:rsidR="00912CAE" w:rsidRPr="00DA27E1">
        <w:rPr>
          <w:rFonts w:cs="Times New Roman"/>
          <w:lang w:val="en-GB"/>
        </w:rPr>
        <w:t xml:space="preserve">dropout </w:t>
      </w:r>
      <w:r w:rsidR="00C13AF8" w:rsidRPr="00DA27E1">
        <w:rPr>
          <w:rFonts w:cs="Times New Roman"/>
          <w:lang w:val="en-GB"/>
        </w:rPr>
        <w:t>from</w:t>
      </w:r>
      <w:r w:rsidR="007B003A" w:rsidRPr="00DA27E1">
        <w:rPr>
          <w:rFonts w:cs="Times New Roman"/>
          <w:lang w:val="en-GB"/>
        </w:rPr>
        <w:t xml:space="preserve"> </w:t>
      </w:r>
      <w:r w:rsidR="00912CAE" w:rsidRPr="00DA27E1">
        <w:rPr>
          <w:rFonts w:cs="Times New Roman"/>
          <w:lang w:val="en-GB"/>
        </w:rPr>
        <w:t xml:space="preserve">exCR </w:t>
      </w:r>
      <w:r w:rsidR="00397DAE" w:rsidRPr="00DA27E1">
        <w:rPr>
          <w:rFonts w:cs="Times New Roman"/>
          <w:lang w:val="en-GB"/>
        </w:rPr>
        <w:t>i</w:t>
      </w:r>
      <w:r w:rsidR="007B003A" w:rsidRPr="00DA27E1">
        <w:rPr>
          <w:rFonts w:cs="Times New Roman"/>
          <w:lang w:val="en-GB"/>
        </w:rPr>
        <w:t>n</w:t>
      </w:r>
      <w:r w:rsidR="00912CAE" w:rsidRPr="00DA27E1">
        <w:rPr>
          <w:rFonts w:cs="Times New Roman"/>
          <w:lang w:val="en-GB"/>
        </w:rPr>
        <w:t xml:space="preserve"> </w:t>
      </w:r>
      <w:r w:rsidR="008B7A53" w:rsidRPr="00DA27E1">
        <w:rPr>
          <w:rFonts w:cs="Times New Roman"/>
          <w:lang w:val="en-GB"/>
        </w:rPr>
        <w:t xml:space="preserve">an </w:t>
      </w:r>
      <w:r w:rsidR="00912CAE" w:rsidRPr="00DA27E1">
        <w:rPr>
          <w:rFonts w:cs="Times New Roman"/>
          <w:lang w:val="en-GB"/>
        </w:rPr>
        <w:t>everyday</w:t>
      </w:r>
      <w:r w:rsidR="007B003A" w:rsidRPr="00DA27E1">
        <w:rPr>
          <w:rFonts w:cs="Times New Roman"/>
          <w:lang w:val="en-GB"/>
        </w:rPr>
        <w:t xml:space="preserve"> setting</w:t>
      </w:r>
      <w:r w:rsidR="00912CAE" w:rsidRPr="00DA27E1">
        <w:rPr>
          <w:rFonts w:cs="Times New Roman"/>
          <w:lang w:val="en-GB"/>
        </w:rPr>
        <w:t xml:space="preserve"> </w:t>
      </w:r>
      <w:r w:rsidR="00010D9D" w:rsidRPr="00DA27E1">
        <w:rPr>
          <w:rFonts w:cs="Times New Roman"/>
          <w:lang w:val="en-GB"/>
        </w:rPr>
        <w:t>with</w:t>
      </w:r>
      <w:r w:rsidR="007B003A" w:rsidRPr="00DA27E1">
        <w:rPr>
          <w:rFonts w:cs="Times New Roman"/>
          <w:lang w:val="en-GB"/>
        </w:rPr>
        <w:t xml:space="preserve"> the</w:t>
      </w:r>
      <w:r w:rsidR="00010D9D" w:rsidRPr="00DA27E1">
        <w:rPr>
          <w:rFonts w:cs="Times New Roman"/>
          <w:lang w:val="en-GB"/>
        </w:rPr>
        <w:t xml:space="preserve"> </w:t>
      </w:r>
      <w:r w:rsidR="007B003A" w:rsidRPr="00DA27E1">
        <w:rPr>
          <w:rFonts w:cs="Times New Roman"/>
          <w:lang w:val="en-GB"/>
        </w:rPr>
        <w:t>inclusion</w:t>
      </w:r>
      <w:r w:rsidR="00912CAE" w:rsidRPr="00DA27E1">
        <w:rPr>
          <w:rFonts w:cs="Times New Roman"/>
          <w:lang w:val="en-GB"/>
        </w:rPr>
        <w:t xml:space="preserve"> </w:t>
      </w:r>
      <w:r w:rsidR="00010D9D" w:rsidRPr="00DA27E1">
        <w:rPr>
          <w:rFonts w:cs="Times New Roman"/>
          <w:lang w:val="en-GB"/>
        </w:rPr>
        <w:t xml:space="preserve">of the </w:t>
      </w:r>
      <w:r w:rsidR="00912CAE" w:rsidRPr="00DA27E1">
        <w:rPr>
          <w:rFonts w:cs="Times New Roman"/>
          <w:lang w:val="en-GB"/>
        </w:rPr>
        <w:t xml:space="preserve">most common cardiac diagnoses in the national disease management program </w:t>
      </w:r>
      <w:r w:rsidR="00912CAE" w:rsidRPr="00DA27E1">
        <w:rPr>
          <w:rFonts w:cs="Times New Roman"/>
          <w:lang w:val="en-GB"/>
        </w:rPr>
        <w:fldChar w:fldCharType="begin"/>
      </w:r>
      <w:r w:rsidR="00EA059B" w:rsidRPr="00DA27E1">
        <w:rPr>
          <w:rFonts w:cs="Times New Roman"/>
          <w:lang w:val="en-GB"/>
        </w:rPr>
        <w:instrText xml:space="preserve"> ADDIN ZOTERO_ITEM CSL_CITATION {"citationID":"SKbYAFfS","properties":{"formattedCitation":"(18)","plainCitation":"(18)","noteIndex":0},"citationItems":[{"id":120,"uris":["http://zotero.org/users/6176940/items/SRGX9FCS"],"uri":["http://zotero.org/users/6176940/items/SRGX9FCS"],"itemData":{"id":120,"type":"report","title":"Forløbsprogram for Kroniske Hjertesygdomme [Disease Management Programme for Chronic Heart Diseases]","URL":"https://www.regionsjaelland.dk/Sundhed/patient-i-region-sjaelland/Sundhedsaftalen/Forebyggelse/Forloebsprogrammer/Documents/Forl%C3%B8bsprogram%20hjerte%20040718.pdf","author":[{"literal":"Region Sjælland KKR Sjælland [Region Zealand and the 17 municipalities]"}],"accessed":{"date-parts":[["2021",2,22]]},"issued":{"date-parts":[["2016"]]}}}],"schema":"https://github.com/citation-style-language/schema/raw/master/csl-citation.json"} </w:instrText>
      </w:r>
      <w:r w:rsidR="00912CAE" w:rsidRPr="00DA27E1">
        <w:rPr>
          <w:rFonts w:cs="Times New Roman"/>
          <w:lang w:val="en-GB"/>
        </w:rPr>
        <w:fldChar w:fldCharType="separate"/>
      </w:r>
      <w:r w:rsidR="00EA059B" w:rsidRPr="00DA27E1">
        <w:rPr>
          <w:rFonts w:cs="Times New Roman"/>
          <w:lang w:val="en-GB"/>
        </w:rPr>
        <w:t>(18)</w:t>
      </w:r>
      <w:r w:rsidR="00912CAE" w:rsidRPr="00DA27E1">
        <w:rPr>
          <w:rFonts w:cs="Times New Roman"/>
          <w:lang w:val="en-GB"/>
        </w:rPr>
        <w:fldChar w:fldCharType="end"/>
      </w:r>
      <w:r w:rsidR="00912CAE" w:rsidRPr="00DA27E1">
        <w:rPr>
          <w:rFonts w:cs="Times New Roman"/>
          <w:lang w:val="en-GB"/>
        </w:rPr>
        <w:t xml:space="preserve">, namely </w:t>
      </w:r>
      <w:r w:rsidR="000C2137" w:rsidRPr="00DA27E1">
        <w:rPr>
          <w:rFonts w:cs="Times New Roman"/>
          <w:szCs w:val="28"/>
          <w:lang w:val="en-GB"/>
        </w:rPr>
        <w:t>coronary</w:t>
      </w:r>
      <w:r w:rsidR="00912CAE" w:rsidRPr="00DA27E1">
        <w:rPr>
          <w:rFonts w:cs="Times New Roman"/>
          <w:lang w:val="en-GB"/>
        </w:rPr>
        <w:t xml:space="preserve"> heart diseases, heart failure and heart valve </w:t>
      </w:r>
      <w:r w:rsidR="00397DAE" w:rsidRPr="00DA27E1">
        <w:rPr>
          <w:rFonts w:cs="Times New Roman"/>
          <w:lang w:val="en-GB"/>
        </w:rPr>
        <w:t>surgery</w:t>
      </w:r>
      <w:r w:rsidR="00912CAE" w:rsidRPr="00DA27E1">
        <w:rPr>
          <w:rFonts w:cs="Times New Roman"/>
          <w:lang w:val="en-GB"/>
        </w:rPr>
        <w:t>.</w:t>
      </w:r>
      <w:r w:rsidR="00BF1510" w:rsidRPr="00DA27E1">
        <w:rPr>
          <w:rFonts w:cs="Times New Roman"/>
          <w:lang w:val="en-GB"/>
        </w:rPr>
        <w:t xml:space="preserve"> Further, dropout was stated by the patients and registered at the actual number of exercise session with a minimum of recall bias as patients were contacted every third week.</w:t>
      </w:r>
    </w:p>
    <w:p w14:paraId="1722D00E" w14:textId="557D750F" w:rsidR="00912CAE" w:rsidRPr="00DA27E1" w:rsidRDefault="008B7A53" w:rsidP="0094111C">
      <w:pPr>
        <w:spacing w:line="480" w:lineRule="auto"/>
        <w:rPr>
          <w:rFonts w:cs="Times New Roman"/>
          <w:lang w:val="en-GB"/>
        </w:rPr>
      </w:pPr>
      <w:r w:rsidRPr="00DA27E1">
        <w:rPr>
          <w:rFonts w:cs="Times New Roman"/>
          <w:lang w:val="en-GB"/>
        </w:rPr>
        <w:t>T</w:t>
      </w:r>
      <w:r w:rsidR="00912CAE" w:rsidRPr="00DA27E1">
        <w:rPr>
          <w:rFonts w:cs="Times New Roman"/>
          <w:lang w:val="en-GB"/>
        </w:rPr>
        <w:t>he study</w:t>
      </w:r>
      <w:r w:rsidR="00FF084B" w:rsidRPr="00DA27E1">
        <w:rPr>
          <w:rFonts w:cs="Times New Roman"/>
          <w:lang w:val="en-GB"/>
        </w:rPr>
        <w:t>,</w:t>
      </w:r>
      <w:r w:rsidRPr="00DA27E1">
        <w:rPr>
          <w:rFonts w:cs="Times New Roman"/>
          <w:lang w:val="en-GB"/>
        </w:rPr>
        <w:t xml:space="preserve"> however</w:t>
      </w:r>
      <w:r w:rsidR="00FF084B" w:rsidRPr="00DA27E1">
        <w:rPr>
          <w:rFonts w:cs="Times New Roman"/>
          <w:lang w:val="en-GB"/>
        </w:rPr>
        <w:t>,</w:t>
      </w:r>
      <w:r w:rsidR="00912CAE" w:rsidRPr="00DA27E1">
        <w:rPr>
          <w:rFonts w:cs="Times New Roman"/>
          <w:lang w:val="en-GB"/>
        </w:rPr>
        <w:t xml:space="preserve"> </w:t>
      </w:r>
      <w:r w:rsidR="00FF084B" w:rsidRPr="00DA27E1">
        <w:rPr>
          <w:rFonts w:cs="Times New Roman"/>
          <w:lang w:val="en-GB"/>
        </w:rPr>
        <w:t xml:space="preserve">holds </w:t>
      </w:r>
      <w:r w:rsidR="00912CAE" w:rsidRPr="00DA27E1">
        <w:rPr>
          <w:rFonts w:cs="Times New Roman"/>
          <w:lang w:val="en-GB"/>
        </w:rPr>
        <w:t>some limitations</w:t>
      </w:r>
      <w:r w:rsidR="00E74C17" w:rsidRPr="00DA27E1">
        <w:rPr>
          <w:rFonts w:cs="Times New Roman"/>
          <w:lang w:val="en-GB"/>
        </w:rPr>
        <w:t xml:space="preserve">. </w:t>
      </w:r>
      <w:r w:rsidR="00912CAE" w:rsidRPr="00DA27E1">
        <w:rPr>
          <w:rFonts w:cs="Times New Roman"/>
          <w:lang w:val="en-GB"/>
        </w:rPr>
        <w:t>First, information on dropouts w</w:t>
      </w:r>
      <w:r w:rsidR="00EC6402" w:rsidRPr="00DA27E1">
        <w:rPr>
          <w:rFonts w:cs="Times New Roman"/>
          <w:lang w:val="en-GB"/>
        </w:rPr>
        <w:t>as</w:t>
      </w:r>
      <w:r w:rsidR="00912CAE" w:rsidRPr="00DA27E1">
        <w:rPr>
          <w:rFonts w:cs="Times New Roman"/>
          <w:lang w:val="en-GB"/>
        </w:rPr>
        <w:t xml:space="preserve"> collected through continuous</w:t>
      </w:r>
      <w:r w:rsidR="00912CAE" w:rsidRPr="00DA27E1">
        <w:rPr>
          <w:rFonts w:cs="Times New Roman"/>
          <w:sz w:val="27"/>
          <w:szCs w:val="27"/>
          <w:shd w:val="clear" w:color="auto" w:fill="FFFFFF"/>
          <w:lang w:val="en-GB"/>
        </w:rPr>
        <w:t xml:space="preserve"> </w:t>
      </w:r>
      <w:r w:rsidR="00912CAE" w:rsidRPr="00DA27E1">
        <w:rPr>
          <w:rFonts w:cs="Times New Roman"/>
          <w:lang w:val="en-GB"/>
        </w:rPr>
        <w:t>telephone interviews</w:t>
      </w:r>
      <w:r w:rsidR="00CF54A1" w:rsidRPr="00DA27E1">
        <w:rPr>
          <w:rFonts w:cs="Times New Roman"/>
          <w:lang w:val="en-GB"/>
        </w:rPr>
        <w:t>. This could potentially have felt like a reminder motivating patients</w:t>
      </w:r>
      <w:r w:rsidR="0040248C" w:rsidRPr="00DA27E1">
        <w:rPr>
          <w:rFonts w:cs="Times New Roman"/>
          <w:lang w:val="en-GB"/>
        </w:rPr>
        <w:t xml:space="preserve"> to attend more exercise</w:t>
      </w:r>
      <w:r w:rsidR="00912CAE" w:rsidRPr="00DA27E1">
        <w:rPr>
          <w:rFonts w:cs="Times New Roman"/>
          <w:lang w:val="en-GB"/>
        </w:rPr>
        <w:t xml:space="preserve"> session</w:t>
      </w:r>
      <w:r w:rsidR="00315329" w:rsidRPr="00DA27E1">
        <w:rPr>
          <w:rFonts w:cs="Times New Roman"/>
          <w:lang w:val="en-GB"/>
        </w:rPr>
        <w:t>s</w:t>
      </w:r>
      <w:r w:rsidR="00CF54A1" w:rsidRPr="00DA27E1">
        <w:rPr>
          <w:rFonts w:cs="Times New Roman"/>
          <w:lang w:val="en-GB"/>
        </w:rPr>
        <w:t xml:space="preserve"> and</w:t>
      </w:r>
      <w:r w:rsidR="00091C45" w:rsidRPr="00DA27E1">
        <w:rPr>
          <w:rFonts w:cs="Times New Roman"/>
          <w:lang w:val="en-GB"/>
        </w:rPr>
        <w:t xml:space="preserve"> </w:t>
      </w:r>
      <w:r w:rsidR="00CF54A1" w:rsidRPr="00DA27E1">
        <w:rPr>
          <w:rFonts w:cs="Times New Roman"/>
          <w:lang w:val="en-GB"/>
        </w:rPr>
        <w:t xml:space="preserve">as a result </w:t>
      </w:r>
      <w:r w:rsidR="00091C45" w:rsidRPr="00DA27E1">
        <w:rPr>
          <w:rFonts w:cs="Times New Roman"/>
          <w:lang w:val="en-GB"/>
        </w:rPr>
        <w:t>underestimating the actual number of</w:t>
      </w:r>
      <w:r w:rsidR="00912CAE" w:rsidRPr="00DA27E1">
        <w:rPr>
          <w:rFonts w:cs="Times New Roman"/>
          <w:lang w:val="en-GB"/>
        </w:rPr>
        <w:t xml:space="preserve"> </w:t>
      </w:r>
      <w:r w:rsidR="00397DAE" w:rsidRPr="00DA27E1">
        <w:rPr>
          <w:rFonts w:cs="Times New Roman"/>
          <w:lang w:val="en-GB"/>
        </w:rPr>
        <w:t>dropouts</w:t>
      </w:r>
      <w:r w:rsidR="00682AF1" w:rsidRPr="00DA27E1">
        <w:rPr>
          <w:rFonts w:cs="Times New Roman"/>
          <w:lang w:val="en-GB"/>
        </w:rPr>
        <w:t xml:space="preserve"> </w:t>
      </w:r>
      <w:r w:rsidR="00682AF1" w:rsidRPr="00DA27E1">
        <w:rPr>
          <w:rFonts w:cs="Times New Roman"/>
          <w:lang w:val="en-GB"/>
        </w:rPr>
        <w:fldChar w:fldCharType="begin"/>
      </w:r>
      <w:r w:rsidR="006B0A97" w:rsidRPr="00DA27E1">
        <w:rPr>
          <w:rFonts w:cs="Times New Roman"/>
          <w:lang w:val="en-GB"/>
        </w:rPr>
        <w:instrText xml:space="preserve"> ADDIN ZOTERO_ITEM CSL_CITATION {"citationID":"TxPJG5CN","properties":{"formattedCitation":"(36)","plainCitation":"(36)","noteIndex":0},"citationItems":[{"id":182,"uris":["http://zotero.org/users/6176940/items/BNBD77ZA"],"uri":["http://zotero.org/users/6176940/items/BNBD77ZA"],"itemData":{"id":182,"type":"article-journal","abstract":"OBJECTIVES: This study aims to (1) elucidate whether the Hawthorne effect exists, (2) explore under what conditions, and (3) estimate the size of any such effect. STUDY DESIGN AND SETTING: This systematic review summarizes and evaluates the strength of available evidence on the Hawthorne effect. An inclusive definition of any form of research artifact on behavior using this label, and without cointerventions, was adopted. RESULTS: Nineteen purposively designed studies were included, providing quantitative data on the size of the effect in eight randomized controlled trials, five quasiexperimental studies, and six observational evaluations of reporting on one's behavior by answering questions or being directly observed and being aware of being studied. Although all but one study was undertaken within health sciences, study methods, contexts, and findings were highly heterogeneous. Most studies reported some evidence of an effect, although significant biases are judged likely because of the complexity of the evaluation object. CONCLUSION: Consequences of research participation for behaviors being investigated do exist, although little can be securely known about the conditions under which they operate, their mechanisms of effects, or their magnitudes. New concepts are needed to guide empirical studies.","archive":"PubMed","archive_location":"24275499","container-title":"Journal of clinical epidemiology","DOI":"10.1016/j.jclinepi.2013.08.015","ISSN":"1878-5921","issue":"3","journalAbbreviation":"J Clin Epidemiol","language":"eng","note":"edition: 2013/11/22\npublisher: Elsevier","page":"267-277","title":"Systematic review of the Hawthorne effect: new concepts are needed to study research participation effects","volume":"67","author":[{"family":"McCambridge","given":"Jim"},{"family":"Witton","given":"John"},{"family":"Elbourne","given":"Diana R"}],"issued":{"date-parts":[["2014",3]]}}}],"schema":"https://github.com/citation-style-language/schema/raw/master/csl-citation.json"} </w:instrText>
      </w:r>
      <w:r w:rsidR="00682AF1" w:rsidRPr="00DA27E1">
        <w:rPr>
          <w:rFonts w:cs="Times New Roman"/>
          <w:lang w:val="en-GB"/>
        </w:rPr>
        <w:fldChar w:fldCharType="separate"/>
      </w:r>
      <w:r w:rsidR="006B0A97" w:rsidRPr="00DA27E1">
        <w:rPr>
          <w:rFonts w:cs="Times New Roman"/>
          <w:lang w:val="en-GB"/>
        </w:rPr>
        <w:t>(36)</w:t>
      </w:r>
      <w:r w:rsidR="00682AF1" w:rsidRPr="00DA27E1">
        <w:rPr>
          <w:rFonts w:cs="Times New Roman"/>
          <w:lang w:val="en-GB"/>
        </w:rPr>
        <w:fldChar w:fldCharType="end"/>
      </w:r>
      <w:r w:rsidR="00682AF1" w:rsidRPr="00DA27E1">
        <w:rPr>
          <w:rFonts w:cs="Times New Roman"/>
          <w:lang w:val="en-GB"/>
        </w:rPr>
        <w:t>.</w:t>
      </w:r>
    </w:p>
    <w:p w14:paraId="20F7AA77" w14:textId="109EF3CD" w:rsidR="00450546" w:rsidRPr="00DA27E1" w:rsidRDefault="00B92523" w:rsidP="0094111C">
      <w:pPr>
        <w:spacing w:line="480" w:lineRule="auto"/>
        <w:rPr>
          <w:rFonts w:cs="Times New Roman"/>
          <w:lang w:val="en-GB"/>
        </w:rPr>
      </w:pPr>
      <w:r w:rsidRPr="00DA27E1">
        <w:rPr>
          <w:rFonts w:cs="Times New Roman"/>
          <w:lang w:val="en-GB"/>
        </w:rPr>
        <w:t>Second, the definition of a dropout or a completer is not based on the number of attended exercise sessions, leaving the possibility that a completer could have attended all between 1 to 24 exercise sessions in this study. The definition of a dropout or a completer varies across the existing literature</w:t>
      </w:r>
      <w:r w:rsidRPr="00DA27E1">
        <w:rPr>
          <w:rFonts w:cs="Times New Roman"/>
          <w:i/>
          <w:lang w:val="en-GB"/>
        </w:rPr>
        <w:t xml:space="preserve"> </w:t>
      </w:r>
      <w:r w:rsidR="00FF507F" w:rsidRPr="00DA27E1">
        <w:rPr>
          <w:rFonts w:cs="Times New Roman"/>
          <w:lang w:val="en-GB"/>
        </w:rPr>
        <w:fldChar w:fldCharType="begin"/>
      </w:r>
      <w:r w:rsidR="00EA059B" w:rsidRPr="00DA27E1">
        <w:rPr>
          <w:rFonts w:cs="Times New Roman"/>
          <w:lang w:val="en-GB"/>
        </w:rPr>
        <w:instrText xml:space="preserve"> ADDIN ZOTERO_ITEM CSL_CITATION {"citationID":"47lsnNIw","properties":{"formattedCitation":"(11,12)","plainCitation":"(11,12)","noteIndex":0},"citationItems":[{"id":123,"uris":["http://zotero.org/users/6176940/items/X67LU7EU"],"uri":["http://zotero.org/users/6176940/items/X67LU7EU"],"itemData":{"id":123,"type":"article-journal","abstract":"BACKGROUND: Although evidence exists for the efficacy of cardiac rehabilitation programmes to reduce morbidity and mortality among patients with cardiovascular disease, cardiac rehabilitation programmes are underused. We aimed systematically to review the evidence from prospective cohort studies on factors associated with non-participation in and/or dropping out from cardiac rehabilitation programmes. METHODS: MedLine, Embase, Scopus, Open Grey and Cochrane Database were searched for relevant publications from inception to February 2018. Search terms included (a) coronary heart disease and other cardiac conditions; (b) cardiac rehabilitation and secondary prevention; and (c) non-participation in and/or dropout. Databases were searched following the PRISMA statement. Study selection, data extraction and the assessment of study quality were performed in duplicate. RESULTS: We selected 43 studies with a total of 63,425 patients from 10 different countries that met the inclusion criteria. Factors associated with non-participation in and dropout from cardiac rehabilitation were grouped into six broad categories: intrapersonal factors, clinical factors, interpersonal factors, logistical factors, cardiac rehabilitation programme factors and health system factors. We found that clinical factors, logistical factors and health system factors were the main factors assessed for non-participation in cardiac rehabilitation. We also found differences between the factors associated with non-participation and dropout. CONCLUSIONS: Several factors were determinant for non-participation in and dropout from cardiac rehabilitation. These findings could be useful to clinicians and policymakers for developing interventions aimed at improving participation and completion of cardiac rehabilitation, such as E-health or home-based delivery programmes. Trial Registration: International Prospective Register of Systematic Reviews (PROSPERO) identifier: CRD42016032973.","archive_location":"29909641","container-title":"Eur J Cardiovasc Nurs","DOI":"10.1177/1474515118783157","ISSN":"1474-5151","issue":"1","language":"eng","note":"edition: 2018/06/19","page":"38-47","source":"NLM","title":"Factors associated with non-participation in and dropout from cardiac rehabilitation programmes: a systematic review of prospective cohort studies","volume":"18","author":[{"family":"Resurreccion","given":"D. M."},{"family":"Moreno-Peral","given":"P."},{"family":"Gomez-Herranz","given":"M."},{"family":"Rubio-Valera","given":"M."},{"family":"Pastor","given":"L."},{"family":"Caldas de Almeida","given":"J. M."},{"family":"Motrico","given":"E."}],"issued":{"date-parts":[["2019",1]]}}},{"id":144,"uris":["http://zotero.org/users/6176940/items/BVYIIKBS"],"uri":["http://zotero.org/users/6176940/items/BVYIIKBS"],"itemData":{"id":144,"type":"article-journal","abstract":"OBJECTIVES: Cardiac rehabilitation (CR) programs have been shown to reduce mortality and morbidity rates among coronary heart disease patients, but adherence to these classes has been found to be poor. This review aims to summarize and integrate research findings investigating the possible sociodemographic, medical, and psychological variables that influence patient adherence to CR programs. It also aims to address the methodological failings of past reviews conducted in this area. METHODS: Several databases were systematically searched for studies published between 1990 and 2009. Studies examining CR program adherence or completion, using data based on participant's actual recorded attendance were included. RESULTS: Eighteen studies were identified that met inclusion criteria. Low mood, participant's age, and certain cardiac risk factors were found to be most consistently associated with poor adherence to CR. A good understanding of the consequences of heart disease was found to be associated with good adherence. Results were relatively inconsistent across studies because of differences in methods used. CONCLUSIONS: Certain risk factors for poor adherence to CR should be assessed and monitored by health professionals. Future studies should address the methodological difficulties present in previous research. Recommendations are made for standardizing methods in future research.","archive_location":"21076307","container-title":"J Cardiovasc Nurs","DOI":"10.1097/JCN.0b013e3181ef6b04","ISSN":"0889-4655","issue":"3","language":"eng","note":"edition: 2010/11/16","page":"202-9","source":"NLM","title":"Medical, psychological, and sociodemographic factors associated with adherence to cardiac rehabilitation programs: a systematic review","volume":"26","author":[{"family":"Taylor","given":"G. H."},{"family":"Wilson","given":"S. L."},{"family":"Sharp","given":"J."}],"issued":{"date-parts":[["2011",5]]}}}],"schema":"https://github.com/citation-style-language/schema/raw/master/csl-citation.json"} </w:instrText>
      </w:r>
      <w:r w:rsidR="00FF507F" w:rsidRPr="00DA27E1">
        <w:rPr>
          <w:rFonts w:cs="Times New Roman"/>
          <w:lang w:val="en-GB"/>
        </w:rPr>
        <w:fldChar w:fldCharType="separate"/>
      </w:r>
      <w:r w:rsidR="00EA059B" w:rsidRPr="00DA27E1">
        <w:rPr>
          <w:rFonts w:cs="Times New Roman"/>
          <w:lang w:val="en-GB"/>
        </w:rPr>
        <w:t>(11,12)</w:t>
      </w:r>
      <w:r w:rsidR="00FF507F" w:rsidRPr="00DA27E1">
        <w:rPr>
          <w:rFonts w:cs="Times New Roman"/>
          <w:lang w:val="en-GB"/>
        </w:rPr>
        <w:fldChar w:fldCharType="end"/>
      </w:r>
      <w:r w:rsidR="00C858EE" w:rsidRPr="00DA27E1">
        <w:rPr>
          <w:rFonts w:cs="Times New Roman"/>
          <w:lang w:val="en-GB"/>
        </w:rPr>
        <w:t xml:space="preserve">, </w:t>
      </w:r>
      <w:r w:rsidRPr="00DA27E1">
        <w:rPr>
          <w:rFonts w:cs="Times New Roman"/>
          <w:lang w:val="en-GB"/>
        </w:rPr>
        <w:t>potentially confounding effo</w:t>
      </w:r>
      <w:r w:rsidR="0046106F" w:rsidRPr="00DA27E1">
        <w:rPr>
          <w:rFonts w:cs="Times New Roman"/>
          <w:lang w:val="en-GB"/>
        </w:rPr>
        <w:t>rts to generalize study results.</w:t>
      </w:r>
    </w:p>
    <w:p w14:paraId="7D5F9F77" w14:textId="69E1DCF7" w:rsidR="00DF0943" w:rsidRPr="00DA27E1" w:rsidRDefault="00450546" w:rsidP="00E77B8C">
      <w:pPr>
        <w:spacing w:line="480" w:lineRule="auto"/>
        <w:rPr>
          <w:rFonts w:cs="Times New Roman"/>
          <w:lang w:val="en-GB"/>
        </w:rPr>
      </w:pPr>
      <w:r w:rsidRPr="00DA27E1">
        <w:rPr>
          <w:rFonts w:cs="Times New Roman"/>
          <w:lang w:val="en-GB"/>
        </w:rPr>
        <w:t>Third</w:t>
      </w:r>
      <w:r w:rsidR="00DF0943" w:rsidRPr="00DA27E1">
        <w:rPr>
          <w:rFonts w:cs="Times New Roman"/>
          <w:lang w:val="en-GB"/>
        </w:rPr>
        <w:t>, only 50% of the eligible cardiac patients agreed to participate in this study. In research in general</w:t>
      </w:r>
      <w:r w:rsidR="006F399A" w:rsidRPr="00DA27E1">
        <w:rPr>
          <w:rFonts w:cs="Times New Roman"/>
          <w:lang w:val="en-GB"/>
        </w:rPr>
        <w:t>,</w:t>
      </w:r>
      <w:r w:rsidR="00DF0943" w:rsidRPr="00DA27E1">
        <w:rPr>
          <w:rFonts w:cs="Times New Roman"/>
          <w:lang w:val="en-GB"/>
        </w:rPr>
        <w:t xml:space="preserve"> attenders differ slightly from non-attenders in terms of demographics, socioeconomics, and disease characteristics, often representing socioeconomically advantaged patients </w:t>
      </w:r>
      <w:r w:rsidR="00DF0943" w:rsidRPr="00DA27E1">
        <w:rPr>
          <w:rFonts w:cs="Times New Roman"/>
          <w:lang w:val="en-GB"/>
        </w:rPr>
        <w:fldChar w:fldCharType="begin"/>
      </w:r>
      <w:r w:rsidR="006B0A97" w:rsidRPr="00DA27E1">
        <w:rPr>
          <w:rFonts w:cs="Times New Roman"/>
          <w:lang w:val="en-GB"/>
        </w:rPr>
        <w:instrText xml:space="preserve"> ADDIN ZOTERO_ITEM CSL_CITATION {"citationID":"sr8MBCUI","properties":{"formattedCitation":"(37)","plainCitation":"(37)","noteIndex":0},"citationItems":[{"id":81,"uris":["http://zotero.org/users/6176940/items/6DNCRD37"],"uri":["http://zotero.org/users/6176940/items/6DNCRD37"],"itemData":{"id":81,"type":"article-journal","abstract":"BACKGROUND: The non-response rates in surveys are increasing which is problematic as it means that a progressively smaller proportion of the population represents the majority, and it is uncertain how health survey results are affected. This follow-up was performed on the non-responders to the postal questionnaire in the public health survey Life and Health, conducted in Örebro County Council, Sweden, where large differences in response rates had been found between different socio-demographic groups and geographical areas. The main objective was to analyse non-response bias regarding self-rated health. METHODS: This follow-up study was conducted as a census to all non-responders in the area that had the lowest response rate and, in one other geographical area used as a control. It was carried out by telephone interviews, 49.3% (580 individuals) answered the follow-up. The outcome variable was self-rated health, a main variable in public health surveys. Differences in response patterns between responders and initial non-responders were approximated by prevalences with confidence intervals and adjusted odds ratios. RESULTS: Poor health was more common in the initial non-response group than among the responders, even with consideration given to sex, age, country of birth and education. However, good health was equally common among responders and initial non-responders. CONCLUSIONS: Public health surveys can be biased due to certain groups being under-represented or not represented at all. For this reason, in repeated public health surveys, we recommend selective follow-ups of such groups at regular intervals.","archive":"PubMed","archive_location":"22253457","container-title":"European journal of public health","DOI":"10.1093/eurpub/ckr193","ISSN":"1464-360X 1101-1262","issue":"1","journalAbbreviation":"Eur J Public Health","language":"eng","note":"edition: 2012/01/16","page":"152-157","title":"A selective follow-up study on a public health survey","volume":"23","author":[{"family":"Lindén-Boström","given":"Margareta"},{"family":"Persson","given":"Carina"}],"issued":{"date-parts":[["2013"]]}}}],"schema":"https://github.com/citation-style-language/schema/raw/master/csl-citation.json"} </w:instrText>
      </w:r>
      <w:r w:rsidR="00DF0943" w:rsidRPr="00DA27E1">
        <w:rPr>
          <w:rFonts w:cs="Times New Roman"/>
          <w:lang w:val="en-GB"/>
        </w:rPr>
        <w:fldChar w:fldCharType="separate"/>
      </w:r>
      <w:r w:rsidR="006B0A97" w:rsidRPr="00DA27E1">
        <w:rPr>
          <w:rFonts w:cs="Times New Roman"/>
          <w:lang w:val="en-GB"/>
        </w:rPr>
        <w:t>(37)</w:t>
      </w:r>
      <w:r w:rsidR="00DF0943" w:rsidRPr="00DA27E1">
        <w:rPr>
          <w:rFonts w:cs="Times New Roman"/>
          <w:lang w:val="en-GB"/>
        </w:rPr>
        <w:fldChar w:fldCharType="end"/>
      </w:r>
      <w:r w:rsidR="00DF0943" w:rsidRPr="00DA27E1">
        <w:rPr>
          <w:rFonts w:cs="Times New Roman"/>
          <w:lang w:val="en-GB"/>
        </w:rPr>
        <w:t xml:space="preserve">. From cardiac rehabilitation literature it is known that patients with a low socioeconomic status typically have a higher dropout rate </w:t>
      </w:r>
      <w:r w:rsidR="00DF0943" w:rsidRPr="00DA27E1">
        <w:rPr>
          <w:rFonts w:cs="Times New Roman"/>
          <w:lang w:val="en-GB"/>
        </w:rPr>
        <w:fldChar w:fldCharType="begin"/>
      </w:r>
      <w:r w:rsidR="00EA059B" w:rsidRPr="00DA27E1">
        <w:rPr>
          <w:rFonts w:cs="Times New Roman"/>
          <w:lang w:val="en-GB"/>
        </w:rPr>
        <w:instrText xml:space="preserve"> ADDIN ZOTERO_ITEM CSL_CITATION {"citationID":"J75HOiRw","properties":{"formattedCitation":"(11,12)","plainCitation":"(11,12)","noteIndex":0},"citationItems":[{"id":123,"uris":["http://zotero.org/users/6176940/items/X67LU7EU"],"uri":["http://zotero.org/users/6176940/items/X67LU7EU"],"itemData":{"id":123,"type":"article-journal","abstract":"BACKGROUND: Although evidence exists for the efficacy of cardiac rehabilitation programmes to reduce morbidity and mortality among patients with cardiovascular disease, cardiac rehabilitation programmes are underused. We aimed systematically to review the evidence from prospective cohort studies on factors associated with non-participation in and/or dropping out from cardiac rehabilitation programmes. METHODS: MedLine, Embase, Scopus, Open Grey and Cochrane Database were searched for relevant publications from inception to February 2018. Search terms included (a) coronary heart disease and other cardiac conditions; (b) cardiac rehabilitation and secondary prevention; and (c) non-participation in and/or dropout. Databases were searched following the PRISMA statement. Study selection, data extraction and the assessment of study quality were performed in duplicate. RESULTS: We selected 43 studies with a total of 63,425 patients from 10 different countries that met the inclusion criteria. Factors associated with non-participation in and dropout from cardiac rehabilitation were grouped into six broad categories: intrapersonal factors, clinical factors, interpersonal factors, logistical factors, cardiac rehabilitation programme factors and health system factors. We found that clinical factors, logistical factors and health system factors were the main factors assessed for non-participation in cardiac rehabilitation. We also found differences between the factors associated with non-participation and dropout. CONCLUSIONS: Several factors were determinant for non-participation in and dropout from cardiac rehabilitation. These findings could be useful to clinicians and policymakers for developing interventions aimed at improving participation and completion of cardiac rehabilitation, such as E-health or home-based delivery programmes. Trial Registration: International Prospective Register of Systematic Reviews (PROSPERO) identifier: CRD42016032973.","archive_location":"29909641","container-title":"Eur J Cardiovasc Nurs","DOI":"10.1177/1474515118783157","ISSN":"1474-5151","issue":"1","language":"eng","note":"edition: 2018/06/19","page":"38-47","source":"NLM","title":"Factors associated with non-participation in and dropout from cardiac rehabilitation programmes: a systematic review of prospective cohort studies","volume":"18","author":[{"family":"Resurreccion","given":"D. M."},{"family":"Moreno-Peral","given":"P."},{"family":"Gomez-Herranz","given":"M."},{"family":"Rubio-Valera","given":"M."},{"family":"Pastor","given":"L."},{"family":"Caldas de Almeida","given":"J. M."},{"family":"Motrico","given":"E."}],"issued":{"date-parts":[["2019",1]]}}},{"id":144,"uris":["http://zotero.org/users/6176940/items/BVYIIKBS"],"uri":["http://zotero.org/users/6176940/items/BVYIIKBS"],"itemData":{"id":144,"type":"article-journal","abstract":"OBJECTIVES: Cardiac rehabilitation (CR) programs have been shown to reduce mortality and morbidity rates among coronary heart disease patients, but adherence to these classes has been found to be poor. This review aims to summarize and integrate research findings investigating the possible sociodemographic, medical, and psychological variables that influence patient adherence to CR programs. It also aims to address the methodological failings of past reviews conducted in this area. METHODS: Several databases were systematically searched for studies published between 1990 and 2009. Studies examining CR program adherence or completion, using data based on participant's actual recorded attendance were included. RESULTS: Eighteen studies were identified that met inclusion criteria. Low mood, participant's age, and certain cardiac risk factors were found to be most consistently associated with poor adherence to CR. A good understanding of the consequences of heart disease was found to be associated with good adherence. Results were relatively inconsistent across studies because of differences in methods used. CONCLUSIONS: Certain risk factors for poor adherence to CR should be assessed and monitored by health professionals. Future studies should address the methodological difficulties present in previous research. Recommendations are made for standardizing methods in future research.","archive_location":"21076307","container-title":"J Cardiovasc Nurs","DOI":"10.1097/JCN.0b013e3181ef6b04","ISSN":"0889-4655","issue":"3","language":"eng","note":"edition: 2010/11/16","page":"202-9","source":"NLM","title":"Medical, psychological, and sociodemographic factors associated with adherence to cardiac rehabilitation programs: a systematic review","volume":"26","author":[{"family":"Taylor","given":"G. H."},{"family":"Wilson","given":"S. L."},{"family":"Sharp","given":"J."}],"issued":{"date-parts":[["2011",5]]}}}],"schema":"https://github.com/citation-style-language/schema/raw/master/csl-citation.json"} </w:instrText>
      </w:r>
      <w:r w:rsidR="00DF0943" w:rsidRPr="00DA27E1">
        <w:rPr>
          <w:rFonts w:cs="Times New Roman"/>
          <w:lang w:val="en-GB"/>
        </w:rPr>
        <w:fldChar w:fldCharType="separate"/>
      </w:r>
      <w:r w:rsidR="00EA059B" w:rsidRPr="00DA27E1">
        <w:rPr>
          <w:rFonts w:cs="Times New Roman"/>
          <w:lang w:val="en-GB"/>
        </w:rPr>
        <w:t>(11,12)</w:t>
      </w:r>
      <w:r w:rsidR="00DF0943" w:rsidRPr="00DA27E1">
        <w:rPr>
          <w:rFonts w:cs="Times New Roman"/>
          <w:lang w:val="en-GB"/>
        </w:rPr>
        <w:fldChar w:fldCharType="end"/>
      </w:r>
      <w:r w:rsidR="00DF0943" w:rsidRPr="00DA27E1">
        <w:rPr>
          <w:rFonts w:cs="Times New Roman"/>
          <w:lang w:val="en-GB"/>
        </w:rPr>
        <w:t>. Hence, the actual dropout rate in our study is likely to be even higher had all eligible patients been included.</w:t>
      </w:r>
    </w:p>
    <w:p w14:paraId="32A6AFD8" w14:textId="7B3C5B09" w:rsidR="00912CAE" w:rsidRPr="00DA27E1" w:rsidRDefault="00450546" w:rsidP="00E77B8C">
      <w:pPr>
        <w:spacing w:line="480" w:lineRule="auto"/>
        <w:rPr>
          <w:rFonts w:cs="Times New Roman"/>
          <w:i/>
          <w:sz w:val="22"/>
          <w:lang w:val="en-GB"/>
        </w:rPr>
      </w:pPr>
      <w:r w:rsidRPr="00DA27E1">
        <w:rPr>
          <w:rFonts w:cs="Times New Roman"/>
          <w:lang w:val="en-GB"/>
        </w:rPr>
        <w:t>Fourth</w:t>
      </w:r>
      <w:r w:rsidR="00912CAE" w:rsidRPr="00DA27E1">
        <w:rPr>
          <w:rFonts w:cs="Times New Roman"/>
          <w:lang w:val="en-GB"/>
        </w:rPr>
        <w:t>,</w:t>
      </w:r>
      <w:r w:rsidR="000B187E" w:rsidRPr="00DA27E1">
        <w:rPr>
          <w:rFonts w:cs="Times New Roman"/>
          <w:lang w:val="en-GB"/>
        </w:rPr>
        <w:t xml:space="preserve"> </w:t>
      </w:r>
      <w:r w:rsidR="00E176F0" w:rsidRPr="00DA27E1">
        <w:rPr>
          <w:rFonts w:cs="Times New Roman"/>
          <w:lang w:val="en-GB"/>
        </w:rPr>
        <w:t>due to the</w:t>
      </w:r>
      <w:r w:rsidR="000B187E" w:rsidRPr="00DA27E1">
        <w:rPr>
          <w:rFonts w:cs="Times New Roman"/>
          <w:lang w:val="en-GB"/>
        </w:rPr>
        <w:t xml:space="preserve"> </w:t>
      </w:r>
      <w:r w:rsidR="00912CAE" w:rsidRPr="00DA27E1">
        <w:rPr>
          <w:rFonts w:cs="Times New Roman"/>
          <w:lang w:val="en-GB"/>
        </w:rPr>
        <w:t>relative</w:t>
      </w:r>
      <w:r w:rsidR="004C2A44" w:rsidRPr="00DA27E1">
        <w:rPr>
          <w:rFonts w:cs="Times New Roman"/>
          <w:lang w:val="en-GB"/>
        </w:rPr>
        <w:t>ly</w:t>
      </w:r>
      <w:r w:rsidR="00912CAE" w:rsidRPr="00DA27E1">
        <w:rPr>
          <w:rFonts w:cs="Times New Roman"/>
          <w:lang w:val="en-GB"/>
        </w:rPr>
        <w:t xml:space="preserve"> small sample size</w:t>
      </w:r>
      <w:r w:rsidR="00AD75DB" w:rsidRPr="00DA27E1">
        <w:rPr>
          <w:rFonts w:cs="Times New Roman"/>
          <w:lang w:val="en-GB"/>
        </w:rPr>
        <w:t>,</w:t>
      </w:r>
      <w:r w:rsidR="00E176F0" w:rsidRPr="00DA27E1">
        <w:rPr>
          <w:rFonts w:cs="Times New Roman"/>
          <w:lang w:val="en-GB"/>
        </w:rPr>
        <w:t xml:space="preserve"> </w:t>
      </w:r>
      <w:r w:rsidR="00D21AFD" w:rsidRPr="00DA27E1">
        <w:rPr>
          <w:rFonts w:cs="Times New Roman"/>
          <w:lang w:val="en-GB"/>
        </w:rPr>
        <w:t>no</w:t>
      </w:r>
      <w:r w:rsidR="00E370F3" w:rsidRPr="00DA27E1">
        <w:rPr>
          <w:rFonts w:cs="Times New Roman"/>
          <w:lang w:val="en-GB"/>
        </w:rPr>
        <w:t xml:space="preserve"> other </w:t>
      </w:r>
      <w:r w:rsidR="00E176F0" w:rsidRPr="00DA27E1">
        <w:rPr>
          <w:rFonts w:cs="Times New Roman"/>
          <w:lang w:val="en-GB"/>
        </w:rPr>
        <w:t>adjust</w:t>
      </w:r>
      <w:r w:rsidR="008B7A53" w:rsidRPr="00DA27E1">
        <w:rPr>
          <w:rFonts w:cs="Times New Roman"/>
          <w:lang w:val="en-GB"/>
        </w:rPr>
        <w:t>ment</w:t>
      </w:r>
      <w:r w:rsidR="0093206D" w:rsidRPr="00DA27E1">
        <w:rPr>
          <w:rFonts w:cs="Times New Roman"/>
          <w:lang w:val="en-GB"/>
        </w:rPr>
        <w:t>s</w:t>
      </w:r>
      <w:r w:rsidR="00E176F0" w:rsidRPr="00DA27E1">
        <w:rPr>
          <w:rFonts w:cs="Times New Roman"/>
          <w:lang w:val="en-GB"/>
        </w:rPr>
        <w:t xml:space="preserve"> </w:t>
      </w:r>
      <w:r w:rsidR="004C2A44" w:rsidRPr="00DA27E1">
        <w:rPr>
          <w:rFonts w:cs="Times New Roman"/>
          <w:lang w:val="en-GB"/>
        </w:rPr>
        <w:t xml:space="preserve">than </w:t>
      </w:r>
      <w:r w:rsidR="00E176F0" w:rsidRPr="00DA27E1">
        <w:rPr>
          <w:rFonts w:cs="Times New Roman"/>
          <w:lang w:val="en-GB"/>
        </w:rPr>
        <w:t>the</w:t>
      </w:r>
      <w:r w:rsidR="0046353B" w:rsidRPr="00DA27E1">
        <w:rPr>
          <w:rFonts w:cs="Times New Roman"/>
          <w:lang w:val="en-GB"/>
        </w:rPr>
        <w:t xml:space="preserve"> </w:t>
      </w:r>
      <w:r w:rsidR="00E370F3" w:rsidRPr="00DA27E1">
        <w:rPr>
          <w:rFonts w:cs="Times New Roman"/>
          <w:lang w:val="en-GB"/>
        </w:rPr>
        <w:t>mo</w:t>
      </w:r>
      <w:r w:rsidR="00673DF6" w:rsidRPr="00DA27E1">
        <w:rPr>
          <w:rFonts w:cs="Times New Roman"/>
          <w:lang w:val="en-GB"/>
        </w:rPr>
        <w:t xml:space="preserve">st </w:t>
      </w:r>
      <w:r w:rsidR="00E176F0" w:rsidRPr="00DA27E1">
        <w:rPr>
          <w:rFonts w:cs="Times New Roman"/>
          <w:lang w:val="en-GB"/>
        </w:rPr>
        <w:t>common confounders for participation in exCR</w:t>
      </w:r>
      <w:r w:rsidR="008B7A53" w:rsidRPr="00DA27E1">
        <w:rPr>
          <w:rFonts w:cs="Times New Roman"/>
          <w:lang w:val="en-GB"/>
        </w:rPr>
        <w:t xml:space="preserve"> </w:t>
      </w:r>
      <w:r w:rsidR="00E370F3" w:rsidRPr="00DA27E1">
        <w:rPr>
          <w:rFonts w:cs="Times New Roman"/>
          <w:lang w:val="en-GB"/>
        </w:rPr>
        <w:t xml:space="preserve">were </w:t>
      </w:r>
      <w:r w:rsidR="004C2A44" w:rsidRPr="00DA27E1">
        <w:rPr>
          <w:rFonts w:cs="Times New Roman"/>
          <w:lang w:val="en-GB"/>
        </w:rPr>
        <w:t xml:space="preserve">included </w:t>
      </w:r>
      <w:r w:rsidR="00E370F3" w:rsidRPr="00DA27E1">
        <w:rPr>
          <w:rFonts w:cs="Times New Roman"/>
          <w:lang w:val="en-GB"/>
        </w:rPr>
        <w:t>in the statistical analysis.</w:t>
      </w:r>
      <w:r w:rsidR="00220BB0" w:rsidRPr="00DA27E1">
        <w:rPr>
          <w:rFonts w:cs="Times New Roman"/>
          <w:lang w:val="en-GB"/>
        </w:rPr>
        <w:t xml:space="preserve"> </w:t>
      </w:r>
      <w:r w:rsidR="00E77B8C" w:rsidRPr="00DA27E1">
        <w:rPr>
          <w:rFonts w:cs="Times New Roman"/>
          <w:lang w:val="en-GB"/>
        </w:rPr>
        <w:t xml:space="preserve">Investigating other factors associated with dropout across the entire rehabilitation pathway using more sophisticated statistical methods, will be an extremely useful future piece of research. </w:t>
      </w:r>
      <w:r w:rsidR="00166ECA" w:rsidRPr="00DA27E1">
        <w:rPr>
          <w:rFonts w:cs="Times New Roman"/>
          <w:lang w:val="en-GB"/>
        </w:rPr>
        <w:t xml:space="preserve">The likelihood of dropping out in the transitional phase has never been studied and is thereby unknown. Hence, we were unable to perform a power calculation before initiating our study. Future research within the same area </w:t>
      </w:r>
      <w:r w:rsidR="005350B5" w:rsidRPr="00DA27E1">
        <w:rPr>
          <w:rFonts w:cs="Times New Roman"/>
          <w:lang w:val="en-GB"/>
        </w:rPr>
        <w:t>can base</w:t>
      </w:r>
      <w:r w:rsidR="00166ECA" w:rsidRPr="00DA27E1">
        <w:rPr>
          <w:rFonts w:cs="Times New Roman"/>
          <w:lang w:val="en-GB"/>
        </w:rPr>
        <w:t xml:space="preserve"> power calc</w:t>
      </w:r>
      <w:r w:rsidR="00821859" w:rsidRPr="00DA27E1">
        <w:rPr>
          <w:rFonts w:cs="Times New Roman"/>
          <w:lang w:val="en-GB"/>
        </w:rPr>
        <w:t>ulations based on our findings.</w:t>
      </w:r>
    </w:p>
    <w:p w14:paraId="13C63FF2" w14:textId="3CB37AB9" w:rsidR="00912CAE" w:rsidRPr="00DA27E1" w:rsidRDefault="00912CAE" w:rsidP="00330166">
      <w:pPr>
        <w:tabs>
          <w:tab w:val="center" w:pos="4535"/>
        </w:tabs>
        <w:spacing w:line="480" w:lineRule="auto"/>
        <w:rPr>
          <w:rFonts w:cs="Times New Roman"/>
          <w:b/>
          <w:lang w:val="en-GB"/>
        </w:rPr>
      </w:pPr>
      <w:r w:rsidRPr="00DA27E1">
        <w:rPr>
          <w:rFonts w:cs="Times New Roman"/>
          <w:b/>
          <w:lang w:val="en-GB"/>
        </w:rPr>
        <w:t>Conclusion</w:t>
      </w:r>
      <w:r w:rsidR="00330166" w:rsidRPr="00DA27E1">
        <w:rPr>
          <w:rFonts w:cs="Times New Roman"/>
          <w:b/>
          <w:lang w:val="en-GB"/>
        </w:rPr>
        <w:tab/>
      </w:r>
    </w:p>
    <w:p w14:paraId="6BB6A8EE" w14:textId="209AF557" w:rsidR="0063781B" w:rsidRPr="00DA27E1" w:rsidRDefault="00673DF6" w:rsidP="006E09AB">
      <w:pPr>
        <w:spacing w:line="480" w:lineRule="auto"/>
        <w:rPr>
          <w:rFonts w:cs="Times New Roman"/>
          <w:lang w:val="en-GB"/>
        </w:rPr>
      </w:pPr>
      <w:r w:rsidRPr="00DA27E1">
        <w:rPr>
          <w:rFonts w:cs="Times New Roman"/>
          <w:lang w:val="en-GB"/>
        </w:rPr>
        <w:t xml:space="preserve">Every four out of ten patients drop out </w:t>
      </w:r>
      <w:r w:rsidR="00E370F3" w:rsidRPr="00DA27E1">
        <w:rPr>
          <w:rFonts w:cs="Times New Roman"/>
          <w:lang w:val="en-GB"/>
        </w:rPr>
        <w:t>during a</w:t>
      </w:r>
      <w:r w:rsidR="004C7D91" w:rsidRPr="00DA27E1">
        <w:rPr>
          <w:rFonts w:cs="Times New Roman"/>
          <w:lang w:val="en-GB"/>
        </w:rPr>
        <w:t xml:space="preserve"> 12-week </w:t>
      </w:r>
      <w:r w:rsidR="0058231C" w:rsidRPr="00DA27E1">
        <w:rPr>
          <w:rFonts w:cs="Times New Roman"/>
          <w:lang w:val="en-GB"/>
        </w:rPr>
        <w:t xml:space="preserve">transitional </w:t>
      </w:r>
      <w:r w:rsidR="004C7D91" w:rsidRPr="00DA27E1">
        <w:rPr>
          <w:rFonts w:cs="Times New Roman"/>
          <w:lang w:val="en-GB"/>
        </w:rPr>
        <w:t xml:space="preserve">exCR </w:t>
      </w:r>
      <w:r w:rsidR="00614AA7" w:rsidRPr="00DA27E1">
        <w:rPr>
          <w:rFonts w:cs="Times New Roman"/>
          <w:lang w:val="en-GB"/>
        </w:rPr>
        <w:t>program</w:t>
      </w:r>
      <w:r w:rsidRPr="00DA27E1">
        <w:rPr>
          <w:rFonts w:cs="Times New Roman"/>
          <w:lang w:val="en-GB"/>
        </w:rPr>
        <w:t xml:space="preserve">. </w:t>
      </w:r>
      <w:r w:rsidR="00F6763A" w:rsidRPr="00DA27E1">
        <w:rPr>
          <w:rFonts w:cs="Times New Roman"/>
          <w:lang w:val="en-GB"/>
        </w:rPr>
        <w:t xml:space="preserve">More than two thirds of </w:t>
      </w:r>
      <w:r w:rsidR="0058231C" w:rsidRPr="00DA27E1">
        <w:rPr>
          <w:rFonts w:cs="Times New Roman"/>
          <w:lang w:val="en-GB"/>
        </w:rPr>
        <w:t xml:space="preserve">the </w:t>
      </w:r>
      <w:r w:rsidR="00F6763A" w:rsidRPr="00DA27E1">
        <w:rPr>
          <w:rFonts w:cs="Times New Roman"/>
          <w:lang w:val="en-GB"/>
        </w:rPr>
        <w:t xml:space="preserve">dropouts </w:t>
      </w:r>
      <w:r w:rsidR="0058231C" w:rsidRPr="00DA27E1">
        <w:rPr>
          <w:rFonts w:cs="Times New Roman"/>
          <w:lang w:val="en-GB"/>
        </w:rPr>
        <w:t xml:space="preserve">occur </w:t>
      </w:r>
      <w:r w:rsidR="008C1475" w:rsidRPr="00DA27E1">
        <w:rPr>
          <w:rFonts w:cs="Times New Roman"/>
          <w:lang w:val="en-GB"/>
        </w:rPr>
        <w:t>at</w:t>
      </w:r>
      <w:r w:rsidR="00F6763A" w:rsidRPr="00DA27E1">
        <w:rPr>
          <w:rFonts w:cs="Times New Roman"/>
          <w:lang w:val="en-GB"/>
        </w:rPr>
        <w:t xml:space="preserve"> the </w:t>
      </w:r>
      <w:r w:rsidR="0058231C" w:rsidRPr="00DA27E1">
        <w:rPr>
          <w:rFonts w:cs="Times New Roman"/>
          <w:lang w:val="en-GB"/>
        </w:rPr>
        <w:t xml:space="preserve">halfway </w:t>
      </w:r>
      <w:r w:rsidR="00F6763A" w:rsidRPr="00DA27E1">
        <w:rPr>
          <w:rFonts w:cs="Times New Roman"/>
          <w:lang w:val="en-GB"/>
        </w:rPr>
        <w:t>t</w:t>
      </w:r>
      <w:r w:rsidRPr="00DA27E1">
        <w:rPr>
          <w:rFonts w:cs="Times New Roman"/>
          <w:lang w:val="en-GB"/>
        </w:rPr>
        <w:t>ransition</w:t>
      </w:r>
      <w:r w:rsidR="0058231C" w:rsidRPr="00DA27E1">
        <w:rPr>
          <w:rFonts w:cs="Times New Roman"/>
          <w:lang w:val="en-GB"/>
        </w:rPr>
        <w:t xml:space="preserve"> between hospital and municipalities</w:t>
      </w:r>
      <w:r w:rsidR="0058231C" w:rsidRPr="00DA27E1">
        <w:rPr>
          <w:rFonts w:cs="Times New Roman"/>
          <w:szCs w:val="28"/>
          <w:lang w:val="en-GB"/>
        </w:rPr>
        <w:t xml:space="preserve"> making the transitional phase a critical period in exCR</w:t>
      </w:r>
      <w:r w:rsidR="00E242A6" w:rsidRPr="00DA27E1">
        <w:rPr>
          <w:rFonts w:cs="Times New Roman"/>
          <w:lang w:val="en-GB"/>
        </w:rPr>
        <w:t>.</w:t>
      </w:r>
      <w:r w:rsidR="00912CAE" w:rsidRPr="00DA27E1">
        <w:rPr>
          <w:rFonts w:cs="Times New Roman"/>
          <w:lang w:val="en-GB"/>
        </w:rPr>
        <w:t xml:space="preserve"> </w:t>
      </w:r>
      <w:r w:rsidR="004C7D91" w:rsidRPr="00DA27E1">
        <w:rPr>
          <w:rFonts w:cs="Times New Roman"/>
          <w:lang w:val="en-GB"/>
        </w:rPr>
        <w:t xml:space="preserve">Our findings </w:t>
      </w:r>
      <w:r w:rsidR="001C6533" w:rsidRPr="00DA27E1">
        <w:rPr>
          <w:rFonts w:cs="Times New Roman"/>
          <w:lang w:val="en-GB"/>
        </w:rPr>
        <w:t>highlight</w:t>
      </w:r>
      <w:r w:rsidR="004C7D91" w:rsidRPr="00DA27E1">
        <w:rPr>
          <w:rFonts w:cs="Times New Roman"/>
          <w:lang w:val="en-GB"/>
        </w:rPr>
        <w:t xml:space="preserve"> </w:t>
      </w:r>
      <w:r w:rsidR="0058231C" w:rsidRPr="00DA27E1">
        <w:rPr>
          <w:rFonts w:cs="Times New Roman"/>
          <w:lang w:val="en-GB"/>
        </w:rPr>
        <w:t>the need for an increased focus</w:t>
      </w:r>
      <w:r w:rsidR="00016455" w:rsidRPr="00DA27E1">
        <w:rPr>
          <w:rFonts w:cs="Times New Roman"/>
          <w:lang w:val="en-GB"/>
        </w:rPr>
        <w:t xml:space="preserve"> </w:t>
      </w:r>
      <w:r w:rsidR="0058231C" w:rsidRPr="00DA27E1">
        <w:rPr>
          <w:rFonts w:cs="Times New Roman"/>
          <w:lang w:val="en-GB"/>
        </w:rPr>
        <w:t xml:space="preserve">on effective strategies to prevent dropout in exCR, especially </w:t>
      </w:r>
      <w:r w:rsidR="008A5AD5" w:rsidRPr="00DA27E1">
        <w:rPr>
          <w:rFonts w:cs="Times New Roman"/>
          <w:lang w:val="en-GB"/>
        </w:rPr>
        <w:t>at</w:t>
      </w:r>
      <w:r w:rsidR="0058231C" w:rsidRPr="00DA27E1">
        <w:rPr>
          <w:rFonts w:cs="Times New Roman"/>
          <w:lang w:val="en-GB"/>
        </w:rPr>
        <w:t xml:space="preserve"> the transition from one setting to another.</w:t>
      </w:r>
      <w:bookmarkEnd w:id="28"/>
      <w:bookmarkEnd w:id="29"/>
      <w:bookmarkEnd w:id="30"/>
    </w:p>
    <w:p w14:paraId="581373F5" w14:textId="77777777" w:rsidR="00D2589B" w:rsidRPr="00276EB3" w:rsidRDefault="00D2589B" w:rsidP="00D2589B">
      <w:pPr>
        <w:pStyle w:val="Heading1"/>
        <w:spacing w:line="480" w:lineRule="auto"/>
        <w:rPr>
          <w:rFonts w:eastAsiaTheme="minorHAnsi"/>
          <w:bCs w:val="0"/>
          <w:color w:val="auto"/>
          <w:kern w:val="0"/>
          <w:szCs w:val="22"/>
          <w:lang w:val="en-GB" w:eastAsia="en-US"/>
        </w:rPr>
      </w:pPr>
      <w:r w:rsidRPr="00276EB3">
        <w:rPr>
          <w:rFonts w:eastAsiaTheme="minorHAnsi"/>
          <w:bCs w:val="0"/>
          <w:color w:val="auto"/>
          <w:kern w:val="0"/>
          <w:szCs w:val="22"/>
          <w:lang w:val="en-GB" w:eastAsia="en-US"/>
        </w:rPr>
        <w:t>Implications for practice</w:t>
      </w:r>
    </w:p>
    <w:p w14:paraId="7D54652D" w14:textId="77777777" w:rsidR="00D2589B" w:rsidRPr="00DA27E1" w:rsidRDefault="00D2589B" w:rsidP="00D2589B">
      <w:pPr>
        <w:pStyle w:val="Heading1"/>
        <w:numPr>
          <w:ilvl w:val="0"/>
          <w:numId w:val="38"/>
        </w:numPr>
        <w:spacing w:line="480" w:lineRule="auto"/>
        <w:ind w:left="426"/>
        <w:rPr>
          <w:rFonts w:eastAsiaTheme="minorHAnsi"/>
          <w:b w:val="0"/>
          <w:bCs w:val="0"/>
          <w:color w:val="auto"/>
          <w:kern w:val="0"/>
          <w:sz w:val="24"/>
          <w:szCs w:val="28"/>
          <w:lang w:val="en-GB" w:eastAsia="en-US"/>
        </w:rPr>
      </w:pPr>
      <w:r w:rsidRPr="00DA27E1">
        <w:rPr>
          <w:rFonts w:eastAsiaTheme="minorHAnsi"/>
          <w:b w:val="0"/>
          <w:bCs w:val="0"/>
          <w:color w:val="auto"/>
          <w:kern w:val="0"/>
          <w:sz w:val="24"/>
          <w:szCs w:val="28"/>
          <w:lang w:val="en-GB" w:eastAsia="en-US"/>
        </w:rPr>
        <w:t>A transition phase from one setting to another is a critical period for patient dropout from exercise-based cardiac rehabilitation.</w:t>
      </w:r>
    </w:p>
    <w:p w14:paraId="29BA741F" w14:textId="77777777" w:rsidR="00D2589B" w:rsidRPr="00DA27E1" w:rsidRDefault="00D2589B" w:rsidP="00D2589B">
      <w:pPr>
        <w:pStyle w:val="Heading1"/>
        <w:numPr>
          <w:ilvl w:val="0"/>
          <w:numId w:val="38"/>
        </w:numPr>
        <w:spacing w:line="480" w:lineRule="auto"/>
        <w:ind w:left="426"/>
        <w:rPr>
          <w:rFonts w:eastAsiaTheme="minorHAnsi"/>
          <w:b w:val="0"/>
          <w:bCs w:val="0"/>
          <w:color w:val="auto"/>
          <w:kern w:val="0"/>
          <w:sz w:val="24"/>
          <w:szCs w:val="28"/>
          <w:lang w:val="en-GB" w:eastAsia="en-US"/>
        </w:rPr>
      </w:pPr>
      <w:r w:rsidRPr="00DA27E1">
        <w:rPr>
          <w:rFonts w:eastAsiaTheme="minorHAnsi"/>
          <w:b w:val="0"/>
          <w:bCs w:val="0"/>
          <w:color w:val="auto"/>
          <w:kern w:val="0"/>
          <w:sz w:val="24"/>
          <w:szCs w:val="28"/>
          <w:lang w:val="en-GB" w:eastAsia="en-US"/>
        </w:rPr>
        <w:t>Communication and strategies addressing retention and patient care pathways seem essential to prevent dropout in transitional exercise-based cardiac rehabilitation.</w:t>
      </w:r>
    </w:p>
    <w:p w14:paraId="71059E01" w14:textId="77777777" w:rsidR="00D2589B" w:rsidRPr="00DA27E1" w:rsidRDefault="00D2589B" w:rsidP="00D2589B">
      <w:pPr>
        <w:pStyle w:val="Heading1"/>
        <w:numPr>
          <w:ilvl w:val="0"/>
          <w:numId w:val="38"/>
        </w:numPr>
        <w:spacing w:line="480" w:lineRule="auto"/>
        <w:ind w:left="426"/>
        <w:rPr>
          <w:rFonts w:eastAsiaTheme="minorHAnsi"/>
          <w:b w:val="0"/>
          <w:bCs w:val="0"/>
          <w:color w:val="auto"/>
          <w:kern w:val="0"/>
          <w:sz w:val="24"/>
          <w:szCs w:val="28"/>
          <w:lang w:val="en-GB" w:eastAsia="en-US"/>
        </w:rPr>
      </w:pPr>
      <w:r w:rsidRPr="00DA27E1">
        <w:rPr>
          <w:rFonts w:eastAsiaTheme="minorHAnsi"/>
          <w:b w:val="0"/>
          <w:bCs w:val="0"/>
          <w:color w:val="auto"/>
          <w:kern w:val="0"/>
          <w:sz w:val="24"/>
          <w:szCs w:val="28"/>
          <w:lang w:val="en-GB" w:eastAsia="en-US"/>
        </w:rPr>
        <w:t>Additional research addressing both positive and negative elements of transitional exercise-based cardiac rehabilitation setup is needed.</w:t>
      </w:r>
    </w:p>
    <w:p w14:paraId="7450951F" w14:textId="77777777" w:rsidR="00AC649B" w:rsidRPr="00DA27E1" w:rsidRDefault="00AC649B" w:rsidP="00AC649B">
      <w:pPr>
        <w:pStyle w:val="Heading1"/>
        <w:spacing w:line="480" w:lineRule="auto"/>
        <w:rPr>
          <w:color w:val="auto"/>
          <w:lang w:val="en-GB"/>
        </w:rPr>
      </w:pPr>
      <w:r w:rsidRPr="00DA27E1">
        <w:rPr>
          <w:color w:val="auto"/>
          <w:lang w:val="en-GB"/>
        </w:rPr>
        <w:t>Acknowledgments</w:t>
      </w:r>
    </w:p>
    <w:p w14:paraId="5275C4F7" w14:textId="0B378B1D" w:rsidR="00AC649B" w:rsidRPr="00DA27E1" w:rsidRDefault="00AC649B" w:rsidP="00AC649B">
      <w:pPr>
        <w:pStyle w:val="Heading1"/>
        <w:spacing w:line="480" w:lineRule="auto"/>
        <w:rPr>
          <w:rFonts w:eastAsiaTheme="minorHAnsi"/>
          <w:b w:val="0"/>
          <w:bCs w:val="0"/>
          <w:color w:val="auto"/>
          <w:kern w:val="0"/>
          <w:sz w:val="24"/>
          <w:szCs w:val="22"/>
          <w:lang w:val="en-GB" w:eastAsia="en-US"/>
        </w:rPr>
      </w:pPr>
      <w:r w:rsidRPr="00DA27E1">
        <w:rPr>
          <w:rFonts w:eastAsiaTheme="minorHAnsi"/>
          <w:b w:val="0"/>
          <w:bCs w:val="0"/>
          <w:color w:val="auto"/>
          <w:kern w:val="0"/>
          <w:sz w:val="24"/>
          <w:szCs w:val="22"/>
          <w:lang w:val="en-GB" w:eastAsia="en-US"/>
        </w:rPr>
        <w:t xml:space="preserve">A special thanks is extended to physiotherapists Philip </w:t>
      </w:r>
      <w:proofErr w:type="spellStart"/>
      <w:r w:rsidRPr="00DA27E1">
        <w:rPr>
          <w:rFonts w:eastAsiaTheme="minorHAnsi"/>
          <w:b w:val="0"/>
          <w:bCs w:val="0"/>
          <w:color w:val="auto"/>
          <w:kern w:val="0"/>
          <w:sz w:val="24"/>
          <w:szCs w:val="22"/>
          <w:lang w:val="en-GB" w:eastAsia="en-US"/>
        </w:rPr>
        <w:t>Fagralid</w:t>
      </w:r>
      <w:proofErr w:type="spellEnd"/>
      <w:r w:rsidRPr="00DA27E1">
        <w:rPr>
          <w:rFonts w:eastAsiaTheme="minorHAnsi"/>
          <w:b w:val="0"/>
          <w:bCs w:val="0"/>
          <w:color w:val="auto"/>
          <w:kern w:val="0"/>
          <w:sz w:val="24"/>
          <w:szCs w:val="22"/>
          <w:lang w:val="en-GB" w:eastAsia="en-US"/>
        </w:rPr>
        <w:t xml:space="preserve">, </w:t>
      </w:r>
      <w:proofErr w:type="spellStart"/>
      <w:r w:rsidRPr="00DA27E1">
        <w:rPr>
          <w:rFonts w:eastAsiaTheme="minorHAnsi"/>
          <w:b w:val="0"/>
          <w:bCs w:val="0"/>
          <w:color w:val="auto"/>
          <w:kern w:val="0"/>
          <w:sz w:val="24"/>
          <w:szCs w:val="22"/>
          <w:lang w:val="en-GB" w:eastAsia="en-US"/>
        </w:rPr>
        <w:t>Cecilie</w:t>
      </w:r>
      <w:proofErr w:type="spellEnd"/>
      <w:r w:rsidRPr="00DA27E1">
        <w:rPr>
          <w:rFonts w:eastAsiaTheme="minorHAnsi"/>
          <w:b w:val="0"/>
          <w:bCs w:val="0"/>
          <w:color w:val="auto"/>
          <w:kern w:val="0"/>
          <w:sz w:val="24"/>
          <w:szCs w:val="22"/>
          <w:lang w:val="en-GB" w:eastAsia="en-US"/>
        </w:rPr>
        <w:t xml:space="preserve"> </w:t>
      </w:r>
      <w:proofErr w:type="spellStart"/>
      <w:r w:rsidRPr="00DA27E1">
        <w:rPr>
          <w:rFonts w:eastAsiaTheme="minorHAnsi"/>
          <w:b w:val="0"/>
          <w:bCs w:val="0"/>
          <w:color w:val="auto"/>
          <w:kern w:val="0"/>
          <w:sz w:val="24"/>
          <w:szCs w:val="22"/>
          <w:lang w:val="en-GB" w:eastAsia="en-US"/>
        </w:rPr>
        <w:t>Bjergaard</w:t>
      </w:r>
      <w:proofErr w:type="spellEnd"/>
      <w:r w:rsidRPr="00DA27E1">
        <w:rPr>
          <w:rFonts w:eastAsiaTheme="minorHAnsi"/>
          <w:b w:val="0"/>
          <w:bCs w:val="0"/>
          <w:color w:val="auto"/>
          <w:kern w:val="0"/>
          <w:sz w:val="24"/>
          <w:szCs w:val="22"/>
          <w:lang w:val="en-GB" w:eastAsia="en-US"/>
        </w:rPr>
        <w:t xml:space="preserve"> Larsen, Liv Strand </w:t>
      </w:r>
      <w:proofErr w:type="spellStart"/>
      <w:r w:rsidRPr="00DA27E1">
        <w:rPr>
          <w:rFonts w:eastAsiaTheme="minorHAnsi"/>
          <w:b w:val="0"/>
          <w:bCs w:val="0"/>
          <w:color w:val="auto"/>
          <w:kern w:val="0"/>
          <w:sz w:val="24"/>
          <w:szCs w:val="22"/>
          <w:lang w:val="en-GB" w:eastAsia="en-US"/>
        </w:rPr>
        <w:t>Nordin</w:t>
      </w:r>
      <w:proofErr w:type="spellEnd"/>
      <w:r w:rsidRPr="00DA27E1">
        <w:rPr>
          <w:rFonts w:eastAsiaTheme="minorHAnsi"/>
          <w:b w:val="0"/>
          <w:bCs w:val="0"/>
          <w:color w:val="auto"/>
          <w:kern w:val="0"/>
          <w:sz w:val="24"/>
          <w:szCs w:val="22"/>
          <w:lang w:val="en-GB" w:eastAsia="en-US"/>
        </w:rPr>
        <w:t xml:space="preserve"> and Anders </w:t>
      </w:r>
      <w:proofErr w:type="spellStart"/>
      <w:r w:rsidRPr="00DA27E1">
        <w:rPr>
          <w:rFonts w:eastAsiaTheme="minorHAnsi"/>
          <w:b w:val="0"/>
          <w:bCs w:val="0"/>
          <w:color w:val="auto"/>
          <w:kern w:val="0"/>
          <w:sz w:val="24"/>
          <w:szCs w:val="22"/>
          <w:lang w:val="en-GB" w:eastAsia="en-US"/>
        </w:rPr>
        <w:t>Ravnholt</w:t>
      </w:r>
      <w:proofErr w:type="spellEnd"/>
      <w:r w:rsidRPr="00DA27E1">
        <w:rPr>
          <w:rFonts w:eastAsiaTheme="minorHAnsi"/>
          <w:b w:val="0"/>
          <w:bCs w:val="0"/>
          <w:color w:val="auto"/>
          <w:kern w:val="0"/>
          <w:sz w:val="24"/>
          <w:szCs w:val="22"/>
          <w:lang w:val="en-GB" w:eastAsia="en-US"/>
        </w:rPr>
        <w:t xml:space="preserve"> Schüsler Damlund for their assist</w:t>
      </w:r>
      <w:r w:rsidR="00821859" w:rsidRPr="00DA27E1">
        <w:rPr>
          <w:rFonts w:eastAsiaTheme="minorHAnsi"/>
          <w:b w:val="0"/>
          <w:bCs w:val="0"/>
          <w:color w:val="auto"/>
          <w:kern w:val="0"/>
          <w:sz w:val="24"/>
          <w:szCs w:val="22"/>
          <w:lang w:val="en-GB" w:eastAsia="en-US"/>
        </w:rPr>
        <w:t>ance in the collection of data.</w:t>
      </w:r>
    </w:p>
    <w:p w14:paraId="0B121791" w14:textId="77777777" w:rsidR="00AC649B" w:rsidRPr="00DA27E1" w:rsidRDefault="00AC649B" w:rsidP="00AC649B">
      <w:pPr>
        <w:pStyle w:val="Heading1"/>
        <w:spacing w:line="480" w:lineRule="auto"/>
        <w:rPr>
          <w:color w:val="auto"/>
          <w:lang w:val="en-GB"/>
        </w:rPr>
      </w:pPr>
      <w:r w:rsidRPr="00DA27E1">
        <w:rPr>
          <w:color w:val="auto"/>
          <w:lang w:val="en-GB"/>
        </w:rPr>
        <w:t>Funding</w:t>
      </w:r>
    </w:p>
    <w:p w14:paraId="501ED55D" w14:textId="77777777" w:rsidR="00AC649B" w:rsidRPr="00DA27E1" w:rsidRDefault="00AC649B" w:rsidP="00AC649B">
      <w:pPr>
        <w:spacing w:line="480" w:lineRule="auto"/>
        <w:rPr>
          <w:rFonts w:cs="Times New Roman"/>
          <w:lang w:val="en-GB"/>
        </w:rPr>
      </w:pPr>
      <w:r w:rsidRPr="00DA27E1">
        <w:rPr>
          <w:rFonts w:cs="Times New Roman"/>
          <w:lang w:val="en-GB"/>
        </w:rPr>
        <w:t>This research was supported by Region Zealand.</w:t>
      </w:r>
    </w:p>
    <w:p w14:paraId="49EC39C2" w14:textId="77777777" w:rsidR="00AC649B" w:rsidRPr="00DA27E1" w:rsidRDefault="00AC649B" w:rsidP="00AC649B">
      <w:pPr>
        <w:spacing w:line="480" w:lineRule="auto"/>
        <w:rPr>
          <w:rFonts w:cs="Times New Roman"/>
          <w:szCs w:val="24"/>
          <w:lang w:val="en-GB"/>
        </w:rPr>
      </w:pPr>
      <w:proofErr w:type="spellStart"/>
      <w:r w:rsidRPr="00DA27E1">
        <w:rPr>
          <w:rFonts w:cs="Times New Roman"/>
          <w:szCs w:val="24"/>
          <w:lang w:val="en-GB"/>
        </w:rPr>
        <w:t>Dr.</w:t>
      </w:r>
      <w:proofErr w:type="spellEnd"/>
      <w:r w:rsidRPr="00DA27E1">
        <w:rPr>
          <w:rFonts w:cs="Times New Roman"/>
          <w:szCs w:val="24"/>
          <w:lang w:val="en-GB"/>
        </w:rPr>
        <w:t xml:space="preserve"> Skou is currently funded by a grant from Region Zealand (Exercise First) and a grant from the European Research Council (ERC) under the European Union's Horizon 2020 research and innovation program (grant agreement No 801790). </w:t>
      </w:r>
      <w:proofErr w:type="spellStart"/>
      <w:r w:rsidRPr="00DA27E1">
        <w:rPr>
          <w:rFonts w:cs="Times New Roman"/>
          <w:szCs w:val="24"/>
          <w:lang w:val="en-GB"/>
        </w:rPr>
        <w:t>Dr.</w:t>
      </w:r>
      <w:proofErr w:type="spellEnd"/>
      <w:r w:rsidRPr="00DA27E1">
        <w:rPr>
          <w:rFonts w:cs="Times New Roman"/>
          <w:szCs w:val="24"/>
          <w:lang w:val="en-GB"/>
        </w:rPr>
        <w:t xml:space="preserve"> Tang is currently funded by a grant from the Danish Regions and The Danish Health Confederation through the Development and Research Fund for financial support (project no. 2703) and a grant from Region Zealand (Exercise First).</w:t>
      </w:r>
    </w:p>
    <w:p w14:paraId="0670B3AD" w14:textId="77777777" w:rsidR="00AC649B" w:rsidRPr="00DA27E1" w:rsidRDefault="00AC649B" w:rsidP="00AC649B">
      <w:pPr>
        <w:pStyle w:val="Heading1"/>
        <w:spacing w:line="480" w:lineRule="auto"/>
        <w:rPr>
          <w:color w:val="auto"/>
          <w:lang w:val="en-GB"/>
        </w:rPr>
      </w:pPr>
      <w:bookmarkStart w:id="31" w:name="_Toc39560104"/>
      <w:bookmarkStart w:id="32" w:name="_Toc40367796"/>
      <w:bookmarkStart w:id="33" w:name="_Toc40368019"/>
      <w:bookmarkStart w:id="34" w:name="_Toc41990023"/>
      <w:r w:rsidRPr="00DA27E1">
        <w:rPr>
          <w:color w:val="auto"/>
          <w:lang w:val="en-GB"/>
        </w:rPr>
        <w:t>Competing interests</w:t>
      </w:r>
      <w:bookmarkEnd w:id="31"/>
      <w:bookmarkEnd w:id="32"/>
      <w:bookmarkEnd w:id="33"/>
      <w:bookmarkEnd w:id="34"/>
    </w:p>
    <w:p w14:paraId="2CA9B26A" w14:textId="77777777" w:rsidR="00AC649B" w:rsidRPr="00DA27E1" w:rsidRDefault="00AC649B" w:rsidP="00AC649B">
      <w:pPr>
        <w:spacing w:line="480" w:lineRule="auto"/>
        <w:rPr>
          <w:rFonts w:cs="Times New Roman"/>
          <w:lang w:val="en-GB"/>
        </w:rPr>
      </w:pPr>
      <w:proofErr w:type="spellStart"/>
      <w:r w:rsidRPr="00DA27E1">
        <w:rPr>
          <w:rFonts w:cs="Times New Roman"/>
          <w:lang w:val="en-GB"/>
        </w:rPr>
        <w:t>Dr.</w:t>
      </w:r>
      <w:proofErr w:type="spellEnd"/>
      <w:r w:rsidRPr="00DA27E1">
        <w:rPr>
          <w:rFonts w:cs="Times New Roman"/>
          <w:lang w:val="en-GB"/>
        </w:rPr>
        <w:t xml:space="preserve"> Skou is associate editor of the Journal of Orthopaedic &amp; Sports Physical Therapy, has received grants from The </w:t>
      </w:r>
      <w:proofErr w:type="spellStart"/>
      <w:r w:rsidRPr="00DA27E1">
        <w:rPr>
          <w:rFonts w:cs="Times New Roman"/>
          <w:lang w:val="en-GB"/>
        </w:rPr>
        <w:t>Lundbeck</w:t>
      </w:r>
      <w:proofErr w:type="spellEnd"/>
      <w:r w:rsidRPr="00DA27E1">
        <w:rPr>
          <w:rFonts w:cs="Times New Roman"/>
          <w:lang w:val="en-GB"/>
        </w:rPr>
        <w:t xml:space="preserve"> Foundation, personal fees from </w:t>
      </w:r>
      <w:proofErr w:type="spellStart"/>
      <w:r w:rsidRPr="00DA27E1">
        <w:rPr>
          <w:rFonts w:cs="Times New Roman"/>
          <w:lang w:val="en-GB"/>
        </w:rPr>
        <w:t>Munksgaard</w:t>
      </w:r>
      <w:proofErr w:type="spellEnd"/>
      <w:r w:rsidRPr="00DA27E1">
        <w:rPr>
          <w:rFonts w:cs="Times New Roman"/>
          <w:lang w:val="en-GB"/>
        </w:rPr>
        <w:t xml:space="preserve"> and </w:t>
      </w:r>
      <w:proofErr w:type="spellStart"/>
      <w:r w:rsidRPr="00DA27E1">
        <w:rPr>
          <w:rFonts w:cs="Times New Roman"/>
          <w:lang w:val="en-GB"/>
        </w:rPr>
        <w:t>TrustMe</w:t>
      </w:r>
      <w:proofErr w:type="spellEnd"/>
      <w:r w:rsidRPr="00DA27E1">
        <w:rPr>
          <w:rFonts w:cs="Times New Roman"/>
          <w:lang w:val="en-GB"/>
        </w:rPr>
        <w:t xml:space="preserve">-Ed, all of which are outside the submitted work. He is co-founder of </w:t>
      </w:r>
      <w:r w:rsidRPr="00DA27E1">
        <w:rPr>
          <w:rFonts w:cs="Times New Roman"/>
          <w:szCs w:val="24"/>
          <w:lang w:val="en-GB"/>
        </w:rPr>
        <w:t>Good Life with Osteoarthritis in Denmark (GLA:D</w:t>
      </w:r>
      <w:r w:rsidRPr="00DA27E1">
        <w:rPr>
          <w:rFonts w:cs="Times New Roman"/>
          <w:szCs w:val="24"/>
          <w:vertAlign w:val="superscript"/>
          <w:lang w:val="en-GB"/>
        </w:rPr>
        <w:t>®</w:t>
      </w:r>
      <w:r w:rsidRPr="00DA27E1">
        <w:rPr>
          <w:rFonts w:cs="Times New Roman"/>
          <w:szCs w:val="24"/>
          <w:lang w:val="en-GB"/>
        </w:rPr>
        <w:t>), a not-for profit initiative hosted at University of Southern Denmark aimed at implementing clinical guidelines for osteoarthritis in clinical practice.</w:t>
      </w:r>
    </w:p>
    <w:p w14:paraId="5C43F49A" w14:textId="06E04D08" w:rsidR="00981C6F" w:rsidRPr="00DA27E1" w:rsidRDefault="00AC649B" w:rsidP="00AC649B">
      <w:pPr>
        <w:spacing w:line="480" w:lineRule="auto"/>
        <w:rPr>
          <w:rFonts w:cs="Times New Roman"/>
          <w:lang w:val="en-GB"/>
        </w:rPr>
      </w:pPr>
      <w:r w:rsidRPr="00DA27E1">
        <w:rPr>
          <w:rFonts w:cs="Times New Roman"/>
          <w:lang w:val="en-GB"/>
        </w:rPr>
        <w:t>The Authors declare that there is no other conflict of interest.</w:t>
      </w:r>
      <w:r w:rsidR="00981C6F" w:rsidRPr="00DA27E1">
        <w:rPr>
          <w:lang w:val="en-GB"/>
        </w:rPr>
        <w:br w:type="page"/>
      </w:r>
    </w:p>
    <w:p w14:paraId="57548385" w14:textId="247CBAC8" w:rsidR="00D6522D" w:rsidRPr="00DA27E1" w:rsidRDefault="00325314" w:rsidP="00325314">
      <w:pPr>
        <w:pStyle w:val="Heading1"/>
        <w:rPr>
          <w:color w:val="auto"/>
          <w:lang w:val="en-GB"/>
        </w:rPr>
      </w:pPr>
      <w:bookmarkStart w:id="35" w:name="_Toc40367798"/>
      <w:bookmarkStart w:id="36" w:name="_Toc40368021"/>
      <w:bookmarkStart w:id="37" w:name="_Toc41990024"/>
      <w:r w:rsidRPr="00DA27E1">
        <w:rPr>
          <w:color w:val="auto"/>
          <w:lang w:val="en-GB"/>
        </w:rPr>
        <w:t>References</w:t>
      </w:r>
      <w:bookmarkEnd w:id="35"/>
      <w:bookmarkEnd w:id="36"/>
      <w:bookmarkEnd w:id="37"/>
    </w:p>
    <w:p w14:paraId="11547F45" w14:textId="77777777" w:rsidR="006B0A97" w:rsidRPr="00276EB3" w:rsidRDefault="0081701F" w:rsidP="006B0A97">
      <w:pPr>
        <w:pStyle w:val="Bibliography"/>
        <w:rPr>
          <w:rFonts w:cs="Times New Roman"/>
        </w:rPr>
      </w:pPr>
      <w:r w:rsidRPr="00DA27E1">
        <w:rPr>
          <w:lang w:val="en-GB"/>
        </w:rPr>
        <w:fldChar w:fldCharType="begin"/>
      </w:r>
      <w:r w:rsidR="006B0A97" w:rsidRPr="00DA27E1">
        <w:rPr>
          <w:lang w:val="en-GB"/>
        </w:rPr>
        <w:instrText xml:space="preserve"> ADDIN ZOTERO_BIBL {"uncited":[],"omitted":[],"custom":[]} CSL_BIBLIOGRAPHY </w:instrText>
      </w:r>
      <w:r w:rsidRPr="00DA27E1">
        <w:rPr>
          <w:lang w:val="en-GB"/>
        </w:rPr>
        <w:fldChar w:fldCharType="separate"/>
      </w:r>
      <w:r w:rsidR="006B0A97" w:rsidRPr="00DA27E1">
        <w:rPr>
          <w:rFonts w:cs="Times New Roman"/>
          <w:lang w:val="en-GB"/>
        </w:rPr>
        <w:t xml:space="preserve">1. </w:t>
      </w:r>
      <w:r w:rsidR="006B0A97" w:rsidRPr="00DA27E1">
        <w:rPr>
          <w:rFonts w:cs="Times New Roman"/>
          <w:lang w:val="en-GB"/>
        </w:rPr>
        <w:tab/>
        <w:t xml:space="preserve">Anderson L, Taylor RS. Cardiac rehabilitation for people with heart disease: an overview of Cochrane systematic reviews. </w:t>
      </w:r>
      <w:r w:rsidR="006B0A97" w:rsidRPr="00276EB3">
        <w:rPr>
          <w:rFonts w:cs="Times New Roman"/>
        </w:rPr>
        <w:t xml:space="preserve">Cochrane Database Syst Rev. 2014/12/17 ed. 2014 Dec 12;(12):CD011273. </w:t>
      </w:r>
    </w:p>
    <w:p w14:paraId="71A33ACD" w14:textId="77777777" w:rsidR="006B0A97" w:rsidRPr="00DA27E1" w:rsidRDefault="006B0A97" w:rsidP="006B0A97">
      <w:pPr>
        <w:pStyle w:val="Bibliography"/>
        <w:rPr>
          <w:rFonts w:cs="Times New Roman"/>
          <w:lang w:val="en-GB"/>
        </w:rPr>
      </w:pPr>
      <w:r w:rsidRPr="00276EB3">
        <w:rPr>
          <w:rFonts w:cs="Times New Roman"/>
        </w:rPr>
        <w:t xml:space="preserve">2. </w:t>
      </w:r>
      <w:r w:rsidRPr="00276EB3">
        <w:rPr>
          <w:rFonts w:cs="Times New Roman"/>
        </w:rPr>
        <w:tab/>
        <w:t xml:space="preserve">Sibilitz KL, Berg SK, Tang LH, Risom SS, Gluud C, Lindschou J, et al. </w:t>
      </w:r>
      <w:r w:rsidRPr="00DA27E1">
        <w:rPr>
          <w:rFonts w:cs="Times New Roman"/>
          <w:lang w:val="en-GB"/>
        </w:rPr>
        <w:t xml:space="preserve">Exercise-based cardiac rehabilitation for adults after heart valve surgery. Cochrane Database Syst Rev. 2016/03/22 ed. 2016 Mar 21;3:Cd010876. </w:t>
      </w:r>
    </w:p>
    <w:p w14:paraId="1E13C848" w14:textId="77777777" w:rsidR="006B0A97" w:rsidRPr="00DA27E1" w:rsidRDefault="006B0A97" w:rsidP="006B0A97">
      <w:pPr>
        <w:pStyle w:val="Bibliography"/>
        <w:rPr>
          <w:rFonts w:cs="Times New Roman"/>
          <w:lang w:val="en-GB"/>
        </w:rPr>
      </w:pPr>
      <w:r w:rsidRPr="00DA27E1">
        <w:rPr>
          <w:rFonts w:cs="Times New Roman"/>
          <w:lang w:val="en-GB"/>
        </w:rPr>
        <w:t xml:space="preserve">3. </w:t>
      </w:r>
      <w:r w:rsidRPr="00DA27E1">
        <w:rPr>
          <w:rFonts w:cs="Times New Roman"/>
          <w:lang w:val="en-GB"/>
        </w:rPr>
        <w:tab/>
        <w:t xml:space="preserve">Bjarnason-Wehrens B, McGee H, Zwisler AD, Piepoli MF, Benzer W, Schmid JP, et al. Cardiac rehabilitation in Europe: results from the European Cardiac Rehabilitation Inventory Survey. Eur J Cardiovasc Prev Rehabil. 2010/03/20 ed. 2010 Aug;17(4):410–8. </w:t>
      </w:r>
    </w:p>
    <w:p w14:paraId="77F724BB" w14:textId="77777777" w:rsidR="006B0A97" w:rsidRPr="00DA27E1" w:rsidRDefault="006B0A97" w:rsidP="006B0A97">
      <w:pPr>
        <w:pStyle w:val="Bibliography"/>
        <w:rPr>
          <w:rFonts w:cs="Times New Roman"/>
          <w:lang w:val="en-GB"/>
        </w:rPr>
      </w:pPr>
      <w:r w:rsidRPr="00DA27E1">
        <w:rPr>
          <w:rFonts w:cs="Times New Roman"/>
          <w:lang w:val="en-GB"/>
        </w:rPr>
        <w:t xml:space="preserve">4. </w:t>
      </w:r>
      <w:r w:rsidRPr="00DA27E1">
        <w:rPr>
          <w:rFonts w:cs="Times New Roman"/>
          <w:lang w:val="en-GB"/>
        </w:rPr>
        <w:tab/>
        <w:t>British Heart Foundation. The National Audit of Cardiac Rehabilitation | Quality and Outcomes Report 2018. 2018 [cited 2021 Feb 22]; Available from: https://www.bhf.org.uk/informationsupport/publications/statistics/national-audit-of-cardiac-rehabilitation-quality-and-outcomes-report-2018</w:t>
      </w:r>
    </w:p>
    <w:p w14:paraId="5F490B13" w14:textId="77777777" w:rsidR="006B0A97" w:rsidRPr="00DA27E1" w:rsidRDefault="006B0A97" w:rsidP="006B0A97">
      <w:pPr>
        <w:pStyle w:val="Bibliography"/>
        <w:rPr>
          <w:rFonts w:cs="Times New Roman"/>
          <w:lang w:val="en-GB"/>
        </w:rPr>
      </w:pPr>
      <w:r w:rsidRPr="00276EB3">
        <w:rPr>
          <w:rFonts w:cs="Times New Roman"/>
        </w:rPr>
        <w:t xml:space="preserve">5. </w:t>
      </w:r>
      <w:r w:rsidRPr="00276EB3">
        <w:rPr>
          <w:rFonts w:cs="Times New Roman"/>
        </w:rPr>
        <w:tab/>
        <w:t xml:space="preserve">Forhan M, Zagorski BM, Marzonlini S, Oh P, Alter DA. </w:t>
      </w:r>
      <w:r w:rsidRPr="00DA27E1">
        <w:rPr>
          <w:rFonts w:cs="Times New Roman"/>
          <w:lang w:val="en-GB"/>
        </w:rPr>
        <w:t xml:space="preserve">Predicting exercise adherence for patients with obesity and diabetes referred to a cardiac rehabilitation and secondary prevention program. Can J Diabetes. 2013/09/28 ed. 2013 Jun;37(3):189–94. </w:t>
      </w:r>
    </w:p>
    <w:p w14:paraId="103ABC89" w14:textId="77777777" w:rsidR="006B0A97" w:rsidRPr="00DA27E1" w:rsidRDefault="006B0A97" w:rsidP="006B0A97">
      <w:pPr>
        <w:pStyle w:val="Bibliography"/>
        <w:rPr>
          <w:rFonts w:cs="Times New Roman"/>
          <w:lang w:val="en-GB"/>
        </w:rPr>
      </w:pPr>
      <w:r w:rsidRPr="00DA27E1">
        <w:rPr>
          <w:rFonts w:cs="Times New Roman"/>
          <w:lang w:val="en-GB"/>
        </w:rPr>
        <w:t xml:space="preserve">6. </w:t>
      </w:r>
      <w:r w:rsidRPr="00DA27E1">
        <w:rPr>
          <w:rFonts w:cs="Times New Roman"/>
          <w:lang w:val="en-GB"/>
        </w:rPr>
        <w:tab/>
        <w:t xml:space="preserve">Turk-Adawi KI, Grace SL. Narrative review comparing the benefits of and participation in cardiac rehabilitation in high-, middle- and low-income countries. Heart Lung Circ. 2014/12/24 ed. 2015 May;24(5):510–20. </w:t>
      </w:r>
    </w:p>
    <w:p w14:paraId="385F8513" w14:textId="77777777" w:rsidR="006B0A97" w:rsidRPr="00DA27E1" w:rsidRDefault="006B0A97" w:rsidP="006B0A97">
      <w:pPr>
        <w:pStyle w:val="Bibliography"/>
        <w:rPr>
          <w:rFonts w:cs="Times New Roman"/>
          <w:lang w:val="en-GB"/>
        </w:rPr>
      </w:pPr>
      <w:r w:rsidRPr="00DA27E1">
        <w:rPr>
          <w:rFonts w:cs="Times New Roman"/>
          <w:lang w:val="en-GB"/>
        </w:rPr>
        <w:t xml:space="preserve">7. </w:t>
      </w:r>
      <w:r w:rsidRPr="00DA27E1">
        <w:rPr>
          <w:rFonts w:cs="Times New Roman"/>
          <w:lang w:val="en-GB"/>
        </w:rPr>
        <w:tab/>
        <w:t xml:space="preserve">Santiago de Araújo Pio C, Marzolini S, Pakosh M, Grace SL. Effect of Cardiac Rehabilitation Dose on Mortality and Morbidity: A Systematic Review and Meta-regression Analysis. Mayo Clin Proc. 2017 Nov;92(11):1644–59. </w:t>
      </w:r>
    </w:p>
    <w:p w14:paraId="4380F14F" w14:textId="77777777" w:rsidR="006B0A97" w:rsidRPr="00DA27E1" w:rsidRDefault="006B0A97" w:rsidP="006B0A97">
      <w:pPr>
        <w:pStyle w:val="Bibliography"/>
        <w:rPr>
          <w:rFonts w:cs="Times New Roman"/>
          <w:lang w:val="en-GB"/>
        </w:rPr>
      </w:pPr>
      <w:r w:rsidRPr="00DA27E1">
        <w:rPr>
          <w:rFonts w:cs="Times New Roman"/>
          <w:lang w:val="en-GB"/>
        </w:rPr>
        <w:t xml:space="preserve">8. </w:t>
      </w:r>
      <w:r w:rsidRPr="00DA27E1">
        <w:rPr>
          <w:rFonts w:cs="Times New Roman"/>
          <w:lang w:val="en-GB"/>
        </w:rPr>
        <w:tab/>
        <w:t xml:space="preserve">Beauchamp A, Worcester M, Ng A, Murphy B, Tatoulis J, Grigg L, et al. Attendance at cardiac rehabilitation is associated with lower all-cause mortality after 14 years of follow-up. Heart. 2012/12/06 ed. 2013 May;99(9):620–5. </w:t>
      </w:r>
    </w:p>
    <w:p w14:paraId="44B64182" w14:textId="77777777" w:rsidR="006B0A97" w:rsidRPr="00276EB3" w:rsidRDefault="006B0A97" w:rsidP="006B0A97">
      <w:pPr>
        <w:pStyle w:val="Bibliography"/>
        <w:rPr>
          <w:rFonts w:cs="Times New Roman"/>
        </w:rPr>
      </w:pPr>
      <w:r w:rsidRPr="00DA27E1">
        <w:rPr>
          <w:rFonts w:cs="Times New Roman"/>
          <w:lang w:val="en-GB"/>
        </w:rPr>
        <w:t xml:space="preserve">9. </w:t>
      </w:r>
      <w:r w:rsidRPr="00DA27E1">
        <w:rPr>
          <w:rFonts w:cs="Times New Roman"/>
          <w:lang w:val="en-GB"/>
        </w:rPr>
        <w:tab/>
        <w:t xml:space="preserve">Colbert JD, Martin B-J, Haykowsky MJ, Hauer TL, Austford LD, Arena RA, et al. Cardiac rehabilitation referral, attendance and mortality in women. Eur J Prev Cardiol. </w:t>
      </w:r>
      <w:r w:rsidRPr="00276EB3">
        <w:rPr>
          <w:rFonts w:cs="Times New Roman"/>
        </w:rPr>
        <w:t xml:space="preserve">2015 Aug;22(8):979–86. </w:t>
      </w:r>
    </w:p>
    <w:p w14:paraId="1EFC01F4" w14:textId="77777777" w:rsidR="006B0A97" w:rsidRPr="00276EB3" w:rsidRDefault="006B0A97" w:rsidP="006B0A97">
      <w:pPr>
        <w:pStyle w:val="Bibliography"/>
        <w:rPr>
          <w:rFonts w:cs="Times New Roman"/>
        </w:rPr>
      </w:pPr>
      <w:r w:rsidRPr="00276EB3">
        <w:rPr>
          <w:rFonts w:cs="Times New Roman"/>
        </w:rPr>
        <w:t xml:space="preserve">10. </w:t>
      </w:r>
      <w:r w:rsidRPr="00276EB3">
        <w:rPr>
          <w:rFonts w:cs="Times New Roman"/>
        </w:rPr>
        <w:tab/>
        <w:t xml:space="preserve">Oosenbrug E, Marinho RP, Zhang J, Marzolini S, Colella TJF, Pakosh M, et al. </w:t>
      </w:r>
      <w:r w:rsidRPr="00DA27E1">
        <w:rPr>
          <w:rFonts w:cs="Times New Roman"/>
          <w:lang w:val="en-GB"/>
        </w:rPr>
        <w:t xml:space="preserve">Sex Differences in Cardiac Rehabilitation Adherence: A Meta-analysis. Can J Cardiol. </w:t>
      </w:r>
      <w:r w:rsidRPr="00276EB3">
        <w:rPr>
          <w:rFonts w:cs="Times New Roman"/>
        </w:rPr>
        <w:t xml:space="preserve">2016 Nov;32(11):1316–24. </w:t>
      </w:r>
    </w:p>
    <w:p w14:paraId="44E3AC6E" w14:textId="77777777" w:rsidR="006B0A97" w:rsidRPr="00DA27E1" w:rsidRDefault="006B0A97" w:rsidP="006B0A97">
      <w:pPr>
        <w:pStyle w:val="Bibliography"/>
        <w:rPr>
          <w:rFonts w:cs="Times New Roman"/>
          <w:lang w:val="en-GB"/>
        </w:rPr>
      </w:pPr>
      <w:r w:rsidRPr="00276EB3">
        <w:rPr>
          <w:rFonts w:cs="Times New Roman"/>
        </w:rPr>
        <w:t xml:space="preserve">11. </w:t>
      </w:r>
      <w:r w:rsidRPr="00276EB3">
        <w:rPr>
          <w:rFonts w:cs="Times New Roman"/>
        </w:rPr>
        <w:tab/>
        <w:t xml:space="preserve">Resurreccion DM, Moreno-Peral P, Gomez-Herranz M, Rubio-Valera M, Pastor L, Caldas de Almeida JM, et al. </w:t>
      </w:r>
      <w:r w:rsidRPr="00DA27E1">
        <w:rPr>
          <w:rFonts w:cs="Times New Roman"/>
          <w:lang w:val="en-GB"/>
        </w:rPr>
        <w:t xml:space="preserve">Factors associated with non-participation in and dropout from cardiac rehabilitation programmes: a systematic review of prospective cohort studies. Eur J Cardiovasc Nurs. 2018/06/19 ed. 2019 Jan;18(1):38–47. </w:t>
      </w:r>
    </w:p>
    <w:p w14:paraId="6D5ADA0A" w14:textId="77777777" w:rsidR="006B0A97" w:rsidRPr="00DA27E1" w:rsidRDefault="006B0A97" w:rsidP="006B0A97">
      <w:pPr>
        <w:pStyle w:val="Bibliography"/>
        <w:rPr>
          <w:rFonts w:cs="Times New Roman"/>
          <w:lang w:val="en-GB"/>
        </w:rPr>
      </w:pPr>
      <w:r w:rsidRPr="00DA27E1">
        <w:rPr>
          <w:rFonts w:cs="Times New Roman"/>
          <w:lang w:val="en-GB"/>
        </w:rPr>
        <w:t xml:space="preserve">12. </w:t>
      </w:r>
      <w:r w:rsidRPr="00DA27E1">
        <w:rPr>
          <w:rFonts w:cs="Times New Roman"/>
          <w:lang w:val="en-GB"/>
        </w:rPr>
        <w:tab/>
        <w:t xml:space="preserve">Taylor GH, Wilson SL, Sharp J. Medical, psychological, and sociodemographic factors associated with adherence to cardiac rehabilitation programs: a systematic review. J Cardiovasc Nurs. 2010/11/16 ed. 2011 May;26(3):202–9. </w:t>
      </w:r>
    </w:p>
    <w:p w14:paraId="516BA8EB" w14:textId="77777777" w:rsidR="006B0A97" w:rsidRPr="00DA27E1" w:rsidRDefault="006B0A97" w:rsidP="006B0A97">
      <w:pPr>
        <w:pStyle w:val="Bibliography"/>
        <w:rPr>
          <w:rFonts w:cs="Times New Roman"/>
          <w:lang w:val="en-GB"/>
        </w:rPr>
      </w:pPr>
      <w:r w:rsidRPr="00DA27E1">
        <w:rPr>
          <w:rFonts w:cs="Times New Roman"/>
          <w:lang w:val="en-GB"/>
        </w:rPr>
        <w:t xml:space="preserve">13. </w:t>
      </w:r>
      <w:r w:rsidRPr="00DA27E1">
        <w:rPr>
          <w:rFonts w:cs="Times New Roman"/>
          <w:lang w:val="en-GB"/>
        </w:rPr>
        <w:tab/>
        <w:t xml:space="preserve">Ruano-Ravina A, Pena-Gil C, Abu-Assi E, Raposeiras S, van ’t Hof A, Meindersma E, et al. Participation and adherence to cardiac rehabilitation programs. A systematic review. Int J Cardiol. 2016/08/13 ed. 2016;223:436–43. </w:t>
      </w:r>
    </w:p>
    <w:p w14:paraId="2A3C1FCE" w14:textId="77777777" w:rsidR="006B0A97" w:rsidRPr="00DA27E1" w:rsidRDefault="006B0A97" w:rsidP="006B0A97">
      <w:pPr>
        <w:pStyle w:val="Bibliography"/>
        <w:rPr>
          <w:rFonts w:cs="Times New Roman"/>
          <w:lang w:val="en-GB"/>
        </w:rPr>
      </w:pPr>
      <w:r w:rsidRPr="00DA27E1">
        <w:rPr>
          <w:rFonts w:cs="Times New Roman"/>
          <w:lang w:val="en-GB"/>
        </w:rPr>
        <w:t xml:space="preserve">14. </w:t>
      </w:r>
      <w:r w:rsidRPr="00DA27E1">
        <w:rPr>
          <w:rFonts w:cs="Times New Roman"/>
          <w:lang w:val="en-GB"/>
        </w:rPr>
        <w:tab/>
        <w:t>Beswick A, Rees K, Griebsch I, Taylor F, Burke M, West R, et al. Provision, uptake and cost of cardiac rehabilitation programmes: improving services to under-represented groups. Health Technol Assess [Internet]. 2004 Oct [cited 2021 Feb 22];8(41). Available from: https://www.journalslibrary.nihr.ac.uk/hta/hta8410/</w:t>
      </w:r>
    </w:p>
    <w:p w14:paraId="5F9CF2E8" w14:textId="77777777" w:rsidR="006B0A97" w:rsidRPr="00DA27E1" w:rsidRDefault="006B0A97" w:rsidP="006B0A97">
      <w:pPr>
        <w:pStyle w:val="Bibliography"/>
        <w:rPr>
          <w:rFonts w:cs="Times New Roman"/>
          <w:lang w:val="en-GB"/>
        </w:rPr>
      </w:pPr>
      <w:r w:rsidRPr="00DA27E1">
        <w:rPr>
          <w:rFonts w:cs="Times New Roman"/>
          <w:lang w:val="en-GB"/>
        </w:rPr>
        <w:t xml:space="preserve">15. </w:t>
      </w:r>
      <w:r w:rsidRPr="00DA27E1">
        <w:rPr>
          <w:rFonts w:cs="Times New Roman"/>
          <w:lang w:val="en-GB"/>
        </w:rPr>
        <w:tab/>
        <w:t>Royal College of Nursing Policy and International Department. Moving Care to the Community: An International Perspective [Internet]. 2013 [cited 2021 Feb 22]. Available from: https://www.issuelab.org/resource/moving-care-to-the-community-an-international-perspective.html</w:t>
      </w:r>
    </w:p>
    <w:p w14:paraId="231F9CA7" w14:textId="77777777" w:rsidR="006B0A97" w:rsidRPr="00276EB3" w:rsidRDefault="006B0A97" w:rsidP="006B0A97">
      <w:pPr>
        <w:pStyle w:val="Bibliography"/>
        <w:rPr>
          <w:rFonts w:cs="Times New Roman"/>
        </w:rPr>
      </w:pPr>
      <w:r w:rsidRPr="00DA27E1">
        <w:rPr>
          <w:rFonts w:cs="Times New Roman"/>
          <w:lang w:val="en-GB"/>
        </w:rPr>
        <w:t xml:space="preserve">16. </w:t>
      </w:r>
      <w:r w:rsidRPr="00DA27E1">
        <w:rPr>
          <w:rFonts w:cs="Times New Roman"/>
          <w:lang w:val="en-GB"/>
        </w:rPr>
        <w:tab/>
        <w:t xml:space="preserve">Ministry of the Interior and Health. </w:t>
      </w:r>
      <w:r w:rsidRPr="00276EB3">
        <w:rPr>
          <w:rFonts w:cs="Times New Roman"/>
        </w:rPr>
        <w:t xml:space="preserve">Copenhagen Vejledning om kommunalrehabilitering [Guide to rehabilitation in municipalities]. 2011. </w:t>
      </w:r>
    </w:p>
    <w:p w14:paraId="0EC97B80" w14:textId="77777777" w:rsidR="006B0A97" w:rsidRPr="00DA27E1" w:rsidRDefault="006B0A97" w:rsidP="006B0A97">
      <w:pPr>
        <w:pStyle w:val="Bibliography"/>
        <w:rPr>
          <w:rFonts w:cs="Times New Roman"/>
          <w:lang w:val="en-GB"/>
        </w:rPr>
      </w:pPr>
      <w:r w:rsidRPr="00276EB3">
        <w:rPr>
          <w:rFonts w:cs="Times New Roman"/>
        </w:rPr>
        <w:t xml:space="preserve">17. </w:t>
      </w:r>
      <w:r w:rsidRPr="00276EB3">
        <w:rPr>
          <w:rFonts w:cs="Times New Roman"/>
        </w:rPr>
        <w:tab/>
        <w:t xml:space="preserve">Lindstrom Egholm C, Rossau HK, Nilsen P, Bunkenborg G, Rod MH, Doherty P, et al. </w:t>
      </w:r>
      <w:r w:rsidRPr="00DA27E1">
        <w:rPr>
          <w:rFonts w:cs="Times New Roman"/>
          <w:lang w:val="en-GB"/>
        </w:rPr>
        <w:t xml:space="preserve">Implementation of a politically initiated national clinical guideline for cardiac rehabilitation in hospitals and municipalities in Denmark. Health Policy. 2018/08/11 ed. 2018 Sep;122(9):1043–51. </w:t>
      </w:r>
    </w:p>
    <w:p w14:paraId="6293A641" w14:textId="77777777" w:rsidR="006B0A97" w:rsidRPr="00DA27E1" w:rsidRDefault="006B0A97" w:rsidP="006B0A97">
      <w:pPr>
        <w:pStyle w:val="Bibliography"/>
        <w:rPr>
          <w:rFonts w:cs="Times New Roman"/>
          <w:lang w:val="en-GB"/>
        </w:rPr>
      </w:pPr>
      <w:r w:rsidRPr="00DA27E1">
        <w:rPr>
          <w:rFonts w:cs="Times New Roman"/>
          <w:lang w:val="en-GB"/>
        </w:rPr>
        <w:t xml:space="preserve">18. </w:t>
      </w:r>
      <w:r w:rsidRPr="00DA27E1">
        <w:rPr>
          <w:rFonts w:cs="Times New Roman"/>
          <w:lang w:val="en-GB"/>
        </w:rPr>
        <w:tab/>
        <w:t>Region Sjælland KKR Sjælland [Region Zealand and the 17 municipalities]. Forløbsprogram for Kroniske Hjertesygdomme [Disease Management Programme for Chronic Heart Diseases] [Internet]. 2016 [cited 2021 Feb 22]. Available from: https://www.regionsjaelland.dk/Sundhed/patient-i-region-sjaelland/Sundhedsaftalen/Forebyggelse/Forloebsprogrammer/Documents/Forl%C3%B8bsprogram%20hjerte%20040718.pdf</w:t>
      </w:r>
    </w:p>
    <w:p w14:paraId="555DF3C3" w14:textId="77777777" w:rsidR="006B0A97" w:rsidRPr="00DA27E1" w:rsidRDefault="006B0A97" w:rsidP="006B0A97">
      <w:pPr>
        <w:pStyle w:val="Bibliography"/>
        <w:rPr>
          <w:rFonts w:cs="Times New Roman"/>
          <w:lang w:val="en-GB"/>
        </w:rPr>
      </w:pPr>
      <w:r w:rsidRPr="00DA27E1">
        <w:rPr>
          <w:rFonts w:cs="Times New Roman"/>
          <w:lang w:val="en-GB"/>
        </w:rPr>
        <w:t xml:space="preserve">19. </w:t>
      </w:r>
      <w:r w:rsidRPr="00DA27E1">
        <w:rPr>
          <w:rFonts w:cs="Times New Roman"/>
          <w:lang w:val="en-GB"/>
        </w:rPr>
        <w:tab/>
        <w:t xml:space="preserve">Santiago de Araujo Pio C, Chaves GS, Davies P, Taylor RS, Grace SL. Interventions to promote patient utilisation of cardiac rehabilitation. Cochrane Database Syst Rev. 2019/02/02 ed. 2019 Feb 1;2:CD007131. </w:t>
      </w:r>
    </w:p>
    <w:p w14:paraId="105D6C1D" w14:textId="77777777" w:rsidR="006B0A97" w:rsidRPr="00DA27E1" w:rsidRDefault="006B0A97" w:rsidP="006B0A97">
      <w:pPr>
        <w:pStyle w:val="Bibliography"/>
        <w:rPr>
          <w:rFonts w:cs="Times New Roman"/>
          <w:lang w:val="en-GB"/>
        </w:rPr>
      </w:pPr>
      <w:r w:rsidRPr="00DA27E1">
        <w:rPr>
          <w:rFonts w:cs="Times New Roman"/>
          <w:lang w:val="en-GB"/>
        </w:rPr>
        <w:t xml:space="preserve">20. </w:t>
      </w:r>
      <w:r w:rsidRPr="00DA27E1">
        <w:rPr>
          <w:rFonts w:cs="Times New Roman"/>
          <w:lang w:val="en-GB"/>
        </w:rPr>
        <w:tab/>
        <w:t xml:space="preserve">von Elm E, Altman DG, Egger M, Pocock SJ, Gøtzsche PC, Vandenbroucke JP. The Strengthening the Reporting of Observational Studies in Epidemiology (STROBE) Statement: guidelines for reporting observational studies. Int J Surg. 2014/07/22 ed. 2014 Dec;12(12):1495–9. </w:t>
      </w:r>
    </w:p>
    <w:p w14:paraId="6B095A11" w14:textId="77777777" w:rsidR="006B0A97" w:rsidRPr="00DA27E1" w:rsidRDefault="006B0A97" w:rsidP="006B0A97">
      <w:pPr>
        <w:pStyle w:val="Bibliography"/>
        <w:rPr>
          <w:rFonts w:cs="Times New Roman"/>
          <w:lang w:val="en-GB"/>
        </w:rPr>
      </w:pPr>
      <w:r w:rsidRPr="00DA27E1">
        <w:rPr>
          <w:rFonts w:cs="Times New Roman"/>
          <w:lang w:val="en-GB"/>
        </w:rPr>
        <w:t xml:space="preserve">21. </w:t>
      </w:r>
      <w:r w:rsidRPr="00DA27E1">
        <w:rPr>
          <w:rFonts w:cs="Times New Roman"/>
          <w:lang w:val="en-GB"/>
        </w:rPr>
        <w:tab/>
        <w:t>Retsinformation. Komitéloven § 14 [Scientific Ethical Committees Act § 14] [Internet]. 2020 [cited 2021 Feb 22]. Available from: https://www.retsinformation.dk/eli/lta/2017/1083</w:t>
      </w:r>
    </w:p>
    <w:p w14:paraId="60D12D98" w14:textId="77777777" w:rsidR="006B0A97" w:rsidRPr="00DA27E1" w:rsidRDefault="006B0A97" w:rsidP="006B0A97">
      <w:pPr>
        <w:pStyle w:val="Bibliography"/>
        <w:rPr>
          <w:rFonts w:cs="Times New Roman"/>
          <w:lang w:val="en-GB"/>
        </w:rPr>
      </w:pPr>
      <w:r w:rsidRPr="00DA27E1">
        <w:rPr>
          <w:rFonts w:cs="Times New Roman"/>
          <w:lang w:val="en-GB"/>
        </w:rPr>
        <w:t xml:space="preserve">22. </w:t>
      </w:r>
      <w:r w:rsidRPr="00DA27E1">
        <w:rPr>
          <w:rFonts w:cs="Times New Roman"/>
          <w:lang w:val="en-GB"/>
        </w:rPr>
        <w:tab/>
        <w:t>Sundhedsstyrelsen [Danish Health Authority]. National klinisk retningslinje for hjerterehabilitering [National Clinical Guideline for Cardiac Rehabilitation] [Internet]. 2015 [cited 2021 Feb 22]. Available from: https://www.sst.dk/da/udgivelser/2015/~/media/401919781C684EE9AAE544EB5E76847B.ashx</w:t>
      </w:r>
    </w:p>
    <w:p w14:paraId="53CEFDF4" w14:textId="77777777" w:rsidR="006B0A97" w:rsidRPr="00DA27E1" w:rsidRDefault="006B0A97" w:rsidP="006B0A97">
      <w:pPr>
        <w:pStyle w:val="Bibliography"/>
        <w:rPr>
          <w:rFonts w:cs="Times New Roman"/>
          <w:lang w:val="en-GB"/>
        </w:rPr>
      </w:pPr>
      <w:r w:rsidRPr="00DA27E1">
        <w:rPr>
          <w:rFonts w:cs="Times New Roman"/>
          <w:lang w:val="en-GB"/>
        </w:rPr>
        <w:t xml:space="preserve">23. </w:t>
      </w:r>
      <w:r w:rsidRPr="00DA27E1">
        <w:rPr>
          <w:rFonts w:cs="Times New Roman"/>
          <w:lang w:val="en-GB"/>
        </w:rPr>
        <w:tab/>
        <w:t xml:space="preserve">Okura T, Tanaka K. A Unique Method for Predicting Cardiorespiratory Fitness Using Rating of Perceived Exertion. J Physiol Anthropol Appl Human Sci. 2001;20(5):255–61. </w:t>
      </w:r>
    </w:p>
    <w:p w14:paraId="46F15C65" w14:textId="77777777" w:rsidR="006B0A97" w:rsidRPr="00DA27E1" w:rsidRDefault="006B0A97" w:rsidP="006B0A97">
      <w:pPr>
        <w:pStyle w:val="Bibliography"/>
        <w:rPr>
          <w:rFonts w:cs="Times New Roman"/>
          <w:lang w:val="en-GB"/>
        </w:rPr>
      </w:pPr>
      <w:r w:rsidRPr="00DA27E1">
        <w:rPr>
          <w:rFonts w:cs="Times New Roman"/>
          <w:lang w:val="en-GB"/>
        </w:rPr>
        <w:t xml:space="preserve">24. </w:t>
      </w:r>
      <w:r w:rsidRPr="00DA27E1">
        <w:rPr>
          <w:rFonts w:cs="Times New Roman"/>
          <w:lang w:val="en-GB"/>
        </w:rPr>
        <w:tab/>
        <w:t xml:space="preserve">Zigmond AS, Snaith RP. The hospital anxiety and depression scale. Acta Psychiatr Scand. 1983/06/01 ed. 1983 Jun;67(6):361–70. </w:t>
      </w:r>
    </w:p>
    <w:p w14:paraId="347277F7" w14:textId="77777777" w:rsidR="006B0A97" w:rsidRPr="00DA27E1" w:rsidRDefault="006B0A97" w:rsidP="006B0A97">
      <w:pPr>
        <w:pStyle w:val="Bibliography"/>
        <w:rPr>
          <w:rFonts w:cs="Times New Roman"/>
          <w:lang w:val="en-GB"/>
        </w:rPr>
      </w:pPr>
      <w:r w:rsidRPr="00DA27E1">
        <w:rPr>
          <w:rFonts w:cs="Times New Roman"/>
          <w:lang w:val="en-GB"/>
        </w:rPr>
        <w:t xml:space="preserve">25. </w:t>
      </w:r>
      <w:r w:rsidRPr="00DA27E1">
        <w:rPr>
          <w:rFonts w:cs="Times New Roman"/>
          <w:lang w:val="en-GB"/>
        </w:rPr>
        <w:tab/>
        <w:t xml:space="preserve">Oldridge N, Höfer S, McGee H, Conroy R, Doyle F, Saner H. The HeartQoL: part II. Validation of a new core health-related quality of life questionnaire for patients with ischemic heart disease. Eur J Prev Cardiol. 2012/07/20 ed. 2014;21(1):98–106. </w:t>
      </w:r>
    </w:p>
    <w:p w14:paraId="26712070" w14:textId="77777777" w:rsidR="006B0A97" w:rsidRPr="00DA27E1" w:rsidRDefault="006B0A97" w:rsidP="006B0A97">
      <w:pPr>
        <w:pStyle w:val="Bibliography"/>
        <w:rPr>
          <w:rFonts w:cs="Times New Roman"/>
          <w:lang w:val="en-GB"/>
        </w:rPr>
      </w:pPr>
      <w:r w:rsidRPr="00DA27E1">
        <w:rPr>
          <w:rFonts w:cs="Times New Roman"/>
          <w:lang w:val="en-GB"/>
        </w:rPr>
        <w:t xml:space="preserve">26. </w:t>
      </w:r>
      <w:r w:rsidRPr="00DA27E1">
        <w:rPr>
          <w:rFonts w:cs="Times New Roman"/>
          <w:lang w:val="en-GB"/>
        </w:rPr>
        <w:tab/>
        <w:t xml:space="preserve">Kirkwood BR, Sterne JAC. Essential medical statistics. 2nd ed. Malden, Mass.: Blackwell Science; 2003. 501 pages, 276–278. </w:t>
      </w:r>
    </w:p>
    <w:p w14:paraId="5CF63D21" w14:textId="77777777" w:rsidR="006B0A97" w:rsidRPr="00DA27E1" w:rsidRDefault="006B0A97" w:rsidP="006B0A97">
      <w:pPr>
        <w:pStyle w:val="Bibliography"/>
        <w:rPr>
          <w:rFonts w:cs="Times New Roman"/>
          <w:lang w:val="en-GB"/>
        </w:rPr>
      </w:pPr>
      <w:r w:rsidRPr="00DA27E1">
        <w:rPr>
          <w:rFonts w:cs="Times New Roman"/>
          <w:lang w:val="en-GB"/>
        </w:rPr>
        <w:t xml:space="preserve">27. </w:t>
      </w:r>
      <w:r w:rsidRPr="00DA27E1">
        <w:rPr>
          <w:rFonts w:cs="Times New Roman"/>
          <w:lang w:val="en-GB"/>
        </w:rPr>
        <w:tab/>
        <w:t xml:space="preserve">Hosmer DW, Lemesbow S. Goodness of fit tests for the multiple logistic regression model. Commun Stat - Theory Methods. 1980;9(10):1043–69. </w:t>
      </w:r>
    </w:p>
    <w:p w14:paraId="6D941006" w14:textId="77777777" w:rsidR="006B0A97" w:rsidRPr="00DA27E1" w:rsidRDefault="006B0A97" w:rsidP="006B0A97">
      <w:pPr>
        <w:pStyle w:val="Bibliography"/>
        <w:rPr>
          <w:rFonts w:cs="Times New Roman"/>
          <w:lang w:val="en-GB"/>
        </w:rPr>
      </w:pPr>
      <w:r w:rsidRPr="00DA27E1">
        <w:rPr>
          <w:rFonts w:cs="Times New Roman"/>
          <w:lang w:val="en-GB"/>
        </w:rPr>
        <w:t xml:space="preserve">28. </w:t>
      </w:r>
      <w:r w:rsidRPr="00DA27E1">
        <w:rPr>
          <w:rFonts w:cs="Times New Roman"/>
          <w:lang w:val="en-GB"/>
        </w:rPr>
        <w:tab/>
        <w:t xml:space="preserve">Menard S. Applied logistic regression analysis. 2. ed. London: SAGE Publications, Inc.; 2002. </w:t>
      </w:r>
    </w:p>
    <w:p w14:paraId="6437ABBE" w14:textId="77777777" w:rsidR="006B0A97" w:rsidRPr="00DA27E1" w:rsidRDefault="006B0A97" w:rsidP="006B0A97">
      <w:pPr>
        <w:pStyle w:val="Bibliography"/>
        <w:rPr>
          <w:rFonts w:cs="Times New Roman"/>
          <w:lang w:val="en-GB"/>
        </w:rPr>
      </w:pPr>
      <w:r w:rsidRPr="00DA27E1">
        <w:rPr>
          <w:rFonts w:cs="Times New Roman"/>
          <w:lang w:val="en-GB"/>
        </w:rPr>
        <w:t xml:space="preserve">29. </w:t>
      </w:r>
      <w:r w:rsidRPr="00DA27E1">
        <w:rPr>
          <w:rFonts w:cs="Times New Roman"/>
          <w:lang w:val="en-GB"/>
        </w:rPr>
        <w:tab/>
        <w:t xml:space="preserve">Mandrekar JN. Receiver Operating Characteristic Curve in Diagnostic Test Assessment. J Thorac Oncol. 2010 Sep;5(9):1315–6. </w:t>
      </w:r>
    </w:p>
    <w:p w14:paraId="46C471B6" w14:textId="77777777" w:rsidR="006B0A97" w:rsidRPr="00DA27E1" w:rsidRDefault="006B0A97" w:rsidP="006B0A97">
      <w:pPr>
        <w:pStyle w:val="Bibliography"/>
        <w:rPr>
          <w:rFonts w:cs="Times New Roman"/>
          <w:lang w:val="en-GB"/>
        </w:rPr>
      </w:pPr>
      <w:r w:rsidRPr="00DA27E1">
        <w:rPr>
          <w:rFonts w:cs="Times New Roman"/>
          <w:lang w:val="en-GB"/>
        </w:rPr>
        <w:t xml:space="preserve">30. </w:t>
      </w:r>
      <w:r w:rsidRPr="00DA27E1">
        <w:rPr>
          <w:rFonts w:cs="Times New Roman"/>
          <w:lang w:val="en-GB"/>
        </w:rPr>
        <w:tab/>
        <w:t xml:space="preserve">Mikkelsen T, Korsgaard Thomsen K, Tchijevitch O. Non-attendance and drop-out in cardiac rehabilitation among patients with ischaemic heart disease. Dan Med J. 2014/10/07 ed. 2014 Oct;61(10):A4919. </w:t>
      </w:r>
    </w:p>
    <w:p w14:paraId="794B3D36" w14:textId="77777777" w:rsidR="006B0A97" w:rsidRPr="00DA27E1" w:rsidRDefault="006B0A97" w:rsidP="006B0A97">
      <w:pPr>
        <w:pStyle w:val="Bibliography"/>
        <w:rPr>
          <w:rFonts w:cs="Times New Roman"/>
          <w:lang w:val="en-GB"/>
        </w:rPr>
      </w:pPr>
      <w:r w:rsidRPr="00DA27E1">
        <w:rPr>
          <w:rFonts w:cs="Times New Roman"/>
          <w:lang w:val="en-GB"/>
        </w:rPr>
        <w:t xml:space="preserve">31. </w:t>
      </w:r>
      <w:r w:rsidRPr="00DA27E1">
        <w:rPr>
          <w:rFonts w:cs="Times New Roman"/>
          <w:lang w:val="en-GB"/>
        </w:rPr>
        <w:tab/>
        <w:t>Hauge AM, Brorholt G. Hjerterehabilitering: Hvad fremmer og hæmmer deltagelse? – Indblik fra litteraturen på området [Cardiac rehabilitation: What encourage and prevent participation? -  Knowledge of the literature published in the field] [Internet]. VIVE; 2018 [cited 2021 Feb 22]. Available from: https://www.vive.dk/media/pure/11188/2306200</w:t>
      </w:r>
    </w:p>
    <w:p w14:paraId="5678489C" w14:textId="77777777" w:rsidR="006B0A97" w:rsidRPr="00DA27E1" w:rsidRDefault="006B0A97" w:rsidP="006B0A97">
      <w:pPr>
        <w:pStyle w:val="Bibliography"/>
        <w:rPr>
          <w:rFonts w:cs="Times New Roman"/>
          <w:lang w:val="en-GB"/>
        </w:rPr>
      </w:pPr>
      <w:r w:rsidRPr="00276EB3">
        <w:rPr>
          <w:rFonts w:cs="Times New Roman"/>
        </w:rPr>
        <w:t xml:space="preserve">32. </w:t>
      </w:r>
      <w:r w:rsidRPr="00276EB3">
        <w:rPr>
          <w:rFonts w:cs="Times New Roman"/>
        </w:rPr>
        <w:tab/>
        <w:t xml:space="preserve">Hjerterehabiliteringsdatabase. Regionernes Kliniske Kvalitetsudviklingsprogram (RKKP), Styregruppen for Dansk Hjerterehabiliteringsdatabase. Dansk Hjerterehabiliteringsdatabase (DHRD) Årsrapport 2019 [Danish Cardiac Rehabilitation Database (DHRD) Annual report 2019] [Internet]. Regionernes Kliniske Kvalitetsudviklingsprogram; 2020 [cited 2021 May 7] p. 40–6. </w:t>
      </w:r>
      <w:r w:rsidRPr="00DA27E1">
        <w:rPr>
          <w:rFonts w:cs="Times New Roman"/>
          <w:lang w:val="en-GB"/>
        </w:rPr>
        <w:t>Available from: https://www.sundhed.dk/content/cms/93/59693_dhrd_aarsrapport-2019_20201201.pdf</w:t>
      </w:r>
    </w:p>
    <w:p w14:paraId="5F867C96" w14:textId="77777777" w:rsidR="006B0A97" w:rsidRPr="00276EB3" w:rsidRDefault="006B0A97" w:rsidP="006B0A97">
      <w:pPr>
        <w:pStyle w:val="Bibliography"/>
        <w:rPr>
          <w:rFonts w:cs="Times New Roman"/>
        </w:rPr>
      </w:pPr>
      <w:r w:rsidRPr="00276EB3">
        <w:rPr>
          <w:rFonts w:cs="Times New Roman"/>
        </w:rPr>
        <w:t xml:space="preserve">33. </w:t>
      </w:r>
      <w:r w:rsidRPr="00276EB3">
        <w:rPr>
          <w:rFonts w:cs="Times New Roman"/>
        </w:rPr>
        <w:tab/>
        <w:t xml:space="preserve">Andersen TV, Lemvigh KN, Søndergaard H. Opgørelse af kommunale hjerterehabiliteringsindikatorer. HjerteKomMidt. Rapportering af data fra kommuner i den midtjyske region for perioden 1. januar 2019 til 31. december 2019. </w:t>
      </w:r>
      <w:r w:rsidRPr="00DA27E1">
        <w:rPr>
          <w:rFonts w:cs="Times New Roman"/>
          <w:lang w:val="en-GB"/>
        </w:rPr>
        <w:t xml:space="preserve">[Estimations of cardiac rehabilitation indicators in the municipalities. HjerteKomMidt. Reporting data from municipalities in Central Denmark Region in the periode of 1. </w:t>
      </w:r>
      <w:r w:rsidRPr="00276EB3">
        <w:rPr>
          <w:rFonts w:cs="Times New Roman"/>
        </w:rPr>
        <w:t xml:space="preserve">January 2019 to 31. December 2019]. Aarhus: DEFACTUM®, Region Midtjylland; 2020. </w:t>
      </w:r>
    </w:p>
    <w:p w14:paraId="45666042" w14:textId="77777777" w:rsidR="006B0A97" w:rsidRPr="00DA27E1" w:rsidRDefault="006B0A97" w:rsidP="006B0A97">
      <w:pPr>
        <w:pStyle w:val="Bibliography"/>
        <w:rPr>
          <w:rFonts w:cs="Times New Roman"/>
          <w:lang w:val="en-GB"/>
        </w:rPr>
      </w:pPr>
      <w:r w:rsidRPr="00276EB3">
        <w:rPr>
          <w:rFonts w:cs="Times New Roman"/>
        </w:rPr>
        <w:t xml:space="preserve">34. </w:t>
      </w:r>
      <w:r w:rsidRPr="00276EB3">
        <w:rPr>
          <w:rFonts w:cs="Times New Roman"/>
        </w:rPr>
        <w:tab/>
        <w:t xml:space="preserve">Christiansen NS, Zinckernagel L, Zwisler AD, Rod MH, Holmberg T. Livet med en hjertesygdom, En undersøgelse om det at leve med en hjertesygdom og af hjertepatienters vurdering af sundhedsvæsnets indsats. </w:t>
      </w:r>
      <w:r w:rsidRPr="00DA27E1">
        <w:rPr>
          <w:rFonts w:cs="Times New Roman"/>
          <w:lang w:val="en-GB"/>
        </w:rPr>
        <w:t>[Life with a heart disease, a survey investigating how to live with a heart disease and the cardiac patients judgment of health care system and performance]. 2015 [cited 2021 Feb 22]; Available from: https://www.sdu.dk/da/sif/rapporter/2015/livet_med_en_hjertesygdom</w:t>
      </w:r>
    </w:p>
    <w:p w14:paraId="03878EAF" w14:textId="77777777" w:rsidR="006B0A97" w:rsidRPr="00DA27E1" w:rsidRDefault="006B0A97" w:rsidP="006B0A97">
      <w:pPr>
        <w:pStyle w:val="Bibliography"/>
        <w:rPr>
          <w:rFonts w:cs="Times New Roman"/>
          <w:lang w:val="en-GB"/>
        </w:rPr>
      </w:pPr>
      <w:r w:rsidRPr="00276EB3">
        <w:rPr>
          <w:rFonts w:cs="Times New Roman"/>
        </w:rPr>
        <w:t xml:space="preserve">35. </w:t>
      </w:r>
      <w:r w:rsidRPr="00276EB3">
        <w:rPr>
          <w:rFonts w:cs="Times New Roman"/>
        </w:rPr>
        <w:tab/>
        <w:t xml:space="preserve">Birkhäuer J, Gaab J, Kossowsky J, Hasler S, Krummenacher P, Werner C, et al. </w:t>
      </w:r>
      <w:r w:rsidRPr="00DA27E1">
        <w:rPr>
          <w:rFonts w:cs="Times New Roman"/>
          <w:lang w:val="en-GB"/>
        </w:rPr>
        <w:t xml:space="preserve">Trust in the health care professional and health outcome: A meta-analysis. PLoS One. 2017/02/09 ed. 2017;12(2):e0170988. </w:t>
      </w:r>
    </w:p>
    <w:p w14:paraId="027986BA" w14:textId="77777777" w:rsidR="006B0A97" w:rsidRPr="00DA27E1" w:rsidRDefault="006B0A97" w:rsidP="006B0A97">
      <w:pPr>
        <w:pStyle w:val="Bibliography"/>
        <w:rPr>
          <w:rFonts w:cs="Times New Roman"/>
          <w:lang w:val="en-GB"/>
        </w:rPr>
      </w:pPr>
      <w:r w:rsidRPr="00DA27E1">
        <w:rPr>
          <w:rFonts w:cs="Times New Roman"/>
          <w:lang w:val="en-GB"/>
        </w:rPr>
        <w:t xml:space="preserve">36. </w:t>
      </w:r>
      <w:r w:rsidRPr="00DA27E1">
        <w:rPr>
          <w:rFonts w:cs="Times New Roman"/>
          <w:lang w:val="en-GB"/>
        </w:rPr>
        <w:tab/>
        <w:t xml:space="preserve">McCambridge J, Witton J, Elbourne DR. Systematic review of the Hawthorne effect: new concepts are needed to study research participation effects. J Clin Epidemiol. 2013/11/22 ed. 2014 Mar;67(3):267–77. </w:t>
      </w:r>
    </w:p>
    <w:p w14:paraId="0B323510" w14:textId="77777777" w:rsidR="006B0A97" w:rsidRPr="00DA27E1" w:rsidRDefault="006B0A97" w:rsidP="006B0A97">
      <w:pPr>
        <w:pStyle w:val="Bibliography"/>
        <w:rPr>
          <w:rFonts w:cs="Times New Roman"/>
          <w:lang w:val="en-GB"/>
        </w:rPr>
      </w:pPr>
      <w:r w:rsidRPr="00DA27E1">
        <w:rPr>
          <w:rFonts w:cs="Times New Roman"/>
          <w:lang w:val="en-GB"/>
        </w:rPr>
        <w:t xml:space="preserve">37. </w:t>
      </w:r>
      <w:r w:rsidRPr="00DA27E1">
        <w:rPr>
          <w:rFonts w:cs="Times New Roman"/>
          <w:lang w:val="en-GB"/>
        </w:rPr>
        <w:tab/>
        <w:t xml:space="preserve">Lindén-Boström M, Persson C. A selective follow-up study on a public health survey. Eur J Public Health. 2012/01/16 ed. 2013;23(1):152–7. </w:t>
      </w:r>
    </w:p>
    <w:p w14:paraId="14081A79" w14:textId="77777777" w:rsidR="001F1659" w:rsidRPr="00DA27E1" w:rsidRDefault="0081701F" w:rsidP="00741FD4">
      <w:pPr>
        <w:pStyle w:val="Bibliography"/>
        <w:rPr>
          <w:szCs w:val="24"/>
          <w:lang w:val="en-GB"/>
        </w:rPr>
      </w:pPr>
      <w:r w:rsidRPr="00DA27E1">
        <w:rPr>
          <w:szCs w:val="24"/>
          <w:lang w:val="en-GB"/>
        </w:rPr>
        <w:fldChar w:fldCharType="end"/>
      </w:r>
    </w:p>
    <w:p w14:paraId="6E1DD543" w14:textId="77777777" w:rsidR="00276EB3" w:rsidRDefault="00276EB3">
      <w:pPr>
        <w:rPr>
          <w:rFonts w:eastAsia="Times New Roman" w:cs="Times New Roman"/>
          <w:b/>
          <w:bCs/>
          <w:kern w:val="36"/>
          <w:sz w:val="28"/>
          <w:szCs w:val="48"/>
          <w:lang w:val="en-GB" w:eastAsia="da-DK"/>
        </w:rPr>
      </w:pPr>
      <w:r>
        <w:rPr>
          <w:lang w:val="en-GB"/>
        </w:rPr>
        <w:br w:type="page"/>
      </w:r>
    </w:p>
    <w:tbl>
      <w:tblPr>
        <w:tblpPr w:leftFromText="141" w:rightFromText="141" w:vertAnchor="page" w:horzAnchor="margin" w:tblpY="658"/>
        <w:tblW w:w="9072" w:type="dxa"/>
        <w:tblCellMar>
          <w:left w:w="70" w:type="dxa"/>
          <w:right w:w="70" w:type="dxa"/>
        </w:tblCellMar>
        <w:tblLook w:val="04A0" w:firstRow="1" w:lastRow="0" w:firstColumn="1" w:lastColumn="0" w:noHBand="0" w:noVBand="1"/>
      </w:tblPr>
      <w:tblGrid>
        <w:gridCol w:w="2378"/>
        <w:gridCol w:w="543"/>
        <w:gridCol w:w="1110"/>
        <w:gridCol w:w="542"/>
        <w:gridCol w:w="956"/>
        <w:gridCol w:w="542"/>
        <w:gridCol w:w="1111"/>
        <w:gridCol w:w="1890"/>
      </w:tblGrid>
      <w:tr w:rsidR="001F1659" w:rsidRPr="00276EB3" w14:paraId="61A4A824" w14:textId="77777777" w:rsidTr="00276EB3">
        <w:trPr>
          <w:trHeight w:val="417"/>
        </w:trPr>
        <w:tc>
          <w:tcPr>
            <w:tcW w:w="9072" w:type="dxa"/>
            <w:gridSpan w:val="8"/>
            <w:tcBorders>
              <w:bottom w:val="single" w:sz="4" w:space="0" w:color="auto"/>
            </w:tcBorders>
            <w:shd w:val="clear" w:color="auto" w:fill="auto"/>
            <w:noWrap/>
            <w:vAlign w:val="bottom"/>
          </w:tcPr>
          <w:p w14:paraId="2158AAFE" w14:textId="77777777" w:rsidR="001F1659" w:rsidRPr="00276EB3" w:rsidRDefault="001F1659" w:rsidP="00276EB3">
            <w:pPr>
              <w:spacing w:after="0"/>
              <w:rPr>
                <w:sz w:val="20"/>
                <w:szCs w:val="20"/>
                <w:lang w:val="en-GB"/>
              </w:rPr>
            </w:pPr>
            <w:r w:rsidRPr="00276EB3">
              <w:rPr>
                <w:b/>
                <w:sz w:val="20"/>
                <w:szCs w:val="20"/>
                <w:lang w:val="en-GB"/>
              </w:rPr>
              <w:t>Table 1.</w:t>
            </w:r>
            <w:r w:rsidRPr="00276EB3">
              <w:rPr>
                <w:sz w:val="20"/>
                <w:szCs w:val="20"/>
                <w:lang w:val="en-GB"/>
              </w:rPr>
              <w:t xml:space="preserve"> </w:t>
            </w:r>
            <w:r w:rsidRPr="00276EB3">
              <w:rPr>
                <w:rFonts w:eastAsia="Times New Roman" w:cs="Times New Roman"/>
                <w:sz w:val="20"/>
                <w:szCs w:val="20"/>
                <w:lang w:val="en-GB" w:eastAsia="da-DK"/>
              </w:rPr>
              <w:t xml:space="preserve">Patient characteristics for the total population (n=265) and subdivided into those patients who complete the program (completers) compared to those who drop out at transition (dropouts at transition) </w:t>
            </w:r>
          </w:p>
        </w:tc>
      </w:tr>
      <w:tr w:rsidR="001F1659" w:rsidRPr="00DA27E1" w14:paraId="0C8A5EA3" w14:textId="77777777" w:rsidTr="00276EB3">
        <w:trPr>
          <w:trHeight w:val="288"/>
        </w:trPr>
        <w:tc>
          <w:tcPr>
            <w:tcW w:w="2378" w:type="dxa"/>
            <w:tcBorders>
              <w:top w:val="single" w:sz="4" w:space="0" w:color="auto"/>
            </w:tcBorders>
            <w:shd w:val="clear" w:color="auto" w:fill="auto"/>
            <w:noWrap/>
            <w:vAlign w:val="bottom"/>
            <w:hideMark/>
          </w:tcPr>
          <w:p w14:paraId="04D34D11" w14:textId="77777777" w:rsidR="001F1659" w:rsidRPr="00276EB3" w:rsidRDefault="001F1659" w:rsidP="00276EB3">
            <w:pPr>
              <w:spacing w:after="0" w:line="240" w:lineRule="auto"/>
              <w:rPr>
                <w:rFonts w:eastAsia="Times New Roman" w:cs="Times New Roman"/>
                <w:sz w:val="20"/>
                <w:szCs w:val="20"/>
                <w:lang w:val="en-GB" w:eastAsia="da-DK"/>
              </w:rPr>
            </w:pPr>
          </w:p>
        </w:tc>
        <w:tc>
          <w:tcPr>
            <w:tcW w:w="1653" w:type="dxa"/>
            <w:gridSpan w:val="2"/>
            <w:tcBorders>
              <w:top w:val="single" w:sz="4" w:space="0" w:color="auto"/>
            </w:tcBorders>
            <w:shd w:val="clear" w:color="auto" w:fill="auto"/>
            <w:noWrap/>
            <w:vAlign w:val="center"/>
            <w:hideMark/>
          </w:tcPr>
          <w:p w14:paraId="39402C70" w14:textId="77777777" w:rsidR="001F1659" w:rsidRPr="00276EB3" w:rsidRDefault="001F1659" w:rsidP="00276EB3">
            <w:pPr>
              <w:spacing w:after="0" w:line="240" w:lineRule="auto"/>
              <w:ind w:left="-212"/>
              <w:jc w:val="center"/>
              <w:rPr>
                <w:rFonts w:eastAsia="Times New Roman" w:cs="Times New Roman"/>
                <w:b/>
                <w:bCs/>
                <w:sz w:val="20"/>
                <w:szCs w:val="20"/>
                <w:lang w:val="en-GB" w:eastAsia="da-DK"/>
              </w:rPr>
            </w:pPr>
            <w:r w:rsidRPr="00276EB3">
              <w:rPr>
                <w:rFonts w:eastAsia="Times New Roman" w:cs="Times New Roman"/>
                <w:b/>
                <w:bCs/>
                <w:sz w:val="20"/>
                <w:szCs w:val="20"/>
                <w:lang w:val="en-GB" w:eastAsia="da-DK"/>
              </w:rPr>
              <w:t>Total population</w:t>
            </w:r>
          </w:p>
        </w:tc>
        <w:tc>
          <w:tcPr>
            <w:tcW w:w="1498" w:type="dxa"/>
            <w:gridSpan w:val="2"/>
            <w:tcBorders>
              <w:top w:val="single" w:sz="4" w:space="0" w:color="auto"/>
            </w:tcBorders>
            <w:shd w:val="clear" w:color="auto" w:fill="auto"/>
            <w:noWrap/>
            <w:vAlign w:val="center"/>
            <w:hideMark/>
          </w:tcPr>
          <w:p w14:paraId="6DF5A56B" w14:textId="77777777" w:rsidR="001F1659" w:rsidRPr="00276EB3" w:rsidRDefault="001F1659" w:rsidP="00276EB3">
            <w:pPr>
              <w:spacing w:after="0" w:line="240" w:lineRule="auto"/>
              <w:jc w:val="center"/>
              <w:rPr>
                <w:rFonts w:eastAsia="Times New Roman" w:cs="Times New Roman"/>
                <w:b/>
                <w:bCs/>
                <w:sz w:val="20"/>
                <w:szCs w:val="20"/>
                <w:lang w:val="en-GB" w:eastAsia="da-DK"/>
              </w:rPr>
            </w:pPr>
            <w:r w:rsidRPr="00276EB3">
              <w:rPr>
                <w:rFonts w:eastAsia="Times New Roman" w:cs="Times New Roman"/>
                <w:b/>
                <w:bCs/>
                <w:sz w:val="20"/>
                <w:szCs w:val="20"/>
                <w:lang w:val="en-GB" w:eastAsia="da-DK"/>
              </w:rPr>
              <w:t>Completers</w:t>
            </w:r>
          </w:p>
        </w:tc>
        <w:tc>
          <w:tcPr>
            <w:tcW w:w="1653" w:type="dxa"/>
            <w:gridSpan w:val="2"/>
            <w:tcBorders>
              <w:top w:val="single" w:sz="4" w:space="0" w:color="auto"/>
            </w:tcBorders>
            <w:shd w:val="clear" w:color="auto" w:fill="auto"/>
            <w:noWrap/>
            <w:vAlign w:val="bottom"/>
            <w:hideMark/>
          </w:tcPr>
          <w:p w14:paraId="03D7E6D2" w14:textId="77777777" w:rsidR="001F1659" w:rsidRPr="00276EB3" w:rsidRDefault="001F1659" w:rsidP="00276EB3">
            <w:pPr>
              <w:spacing w:after="0" w:line="240" w:lineRule="auto"/>
              <w:jc w:val="center"/>
              <w:rPr>
                <w:rFonts w:eastAsia="Times New Roman" w:cs="Times New Roman"/>
                <w:b/>
                <w:bCs/>
                <w:sz w:val="20"/>
                <w:szCs w:val="20"/>
                <w:lang w:val="en-GB" w:eastAsia="da-DK"/>
              </w:rPr>
            </w:pPr>
            <w:r w:rsidRPr="00276EB3">
              <w:rPr>
                <w:rFonts w:eastAsia="Times New Roman" w:cs="Times New Roman"/>
                <w:b/>
                <w:bCs/>
                <w:sz w:val="20"/>
                <w:szCs w:val="20"/>
                <w:lang w:val="en-GB" w:eastAsia="da-DK"/>
              </w:rPr>
              <w:t>Dropouts at transition</w:t>
            </w:r>
          </w:p>
        </w:tc>
        <w:tc>
          <w:tcPr>
            <w:tcW w:w="1890" w:type="dxa"/>
            <w:tcBorders>
              <w:top w:val="single" w:sz="4" w:space="0" w:color="auto"/>
            </w:tcBorders>
            <w:shd w:val="clear" w:color="auto" w:fill="auto"/>
            <w:noWrap/>
            <w:vAlign w:val="center"/>
            <w:hideMark/>
          </w:tcPr>
          <w:p w14:paraId="0CBEBDF7" w14:textId="77777777" w:rsidR="001F1659" w:rsidRPr="00276EB3" w:rsidRDefault="001F1659" w:rsidP="00276EB3">
            <w:pPr>
              <w:spacing w:after="0" w:line="240" w:lineRule="auto"/>
              <w:jc w:val="center"/>
              <w:rPr>
                <w:rFonts w:eastAsia="Times New Roman" w:cs="Times New Roman"/>
                <w:b/>
                <w:bCs/>
                <w:sz w:val="20"/>
                <w:szCs w:val="20"/>
                <w:lang w:val="en-GB" w:eastAsia="da-DK"/>
              </w:rPr>
            </w:pPr>
            <w:r w:rsidRPr="00276EB3">
              <w:rPr>
                <w:rFonts w:eastAsia="Times New Roman" w:cs="Times New Roman"/>
                <w:b/>
                <w:bCs/>
                <w:sz w:val="20"/>
                <w:szCs w:val="20"/>
                <w:lang w:val="en-GB" w:eastAsia="da-DK"/>
              </w:rPr>
              <w:t>p-value</w:t>
            </w:r>
            <w:r w:rsidRPr="00276EB3">
              <w:rPr>
                <w:rFonts w:ascii="Calibri" w:eastAsia="Times New Roman" w:hAnsi="Calibri" w:cs="Calibri"/>
                <w:b/>
                <w:bCs/>
                <w:sz w:val="20"/>
                <w:szCs w:val="20"/>
                <w:vertAlign w:val="superscript"/>
                <w:lang w:val="en-GB" w:eastAsia="da-DK"/>
              </w:rPr>
              <w:t>#</w:t>
            </w:r>
          </w:p>
        </w:tc>
      </w:tr>
      <w:tr w:rsidR="001F1659" w:rsidRPr="00DA27E1" w14:paraId="7256BA2D" w14:textId="77777777" w:rsidTr="00276EB3">
        <w:trPr>
          <w:trHeight w:val="288"/>
        </w:trPr>
        <w:tc>
          <w:tcPr>
            <w:tcW w:w="2378" w:type="dxa"/>
            <w:tcBorders>
              <w:bottom w:val="single" w:sz="4" w:space="0" w:color="auto"/>
            </w:tcBorders>
            <w:shd w:val="clear" w:color="auto" w:fill="auto"/>
            <w:noWrap/>
            <w:vAlign w:val="bottom"/>
            <w:hideMark/>
          </w:tcPr>
          <w:p w14:paraId="335D45A5"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w:t>
            </w:r>
          </w:p>
        </w:tc>
        <w:tc>
          <w:tcPr>
            <w:tcW w:w="1653" w:type="dxa"/>
            <w:gridSpan w:val="2"/>
            <w:tcBorders>
              <w:bottom w:val="single" w:sz="4" w:space="0" w:color="auto"/>
            </w:tcBorders>
            <w:shd w:val="clear" w:color="auto" w:fill="auto"/>
            <w:noWrap/>
            <w:vAlign w:val="bottom"/>
            <w:hideMark/>
          </w:tcPr>
          <w:p w14:paraId="1C4587C9" w14:textId="77777777" w:rsidR="001F1659" w:rsidRPr="00276EB3" w:rsidRDefault="001F1659" w:rsidP="00276EB3">
            <w:pPr>
              <w:spacing w:after="0" w:line="240" w:lineRule="auto"/>
              <w:ind w:left="355"/>
              <w:rPr>
                <w:rFonts w:eastAsia="Times New Roman" w:cs="Times New Roman"/>
                <w:sz w:val="20"/>
                <w:szCs w:val="20"/>
                <w:lang w:val="en-GB" w:eastAsia="da-DK"/>
              </w:rPr>
            </w:pPr>
            <w:r w:rsidRPr="00276EB3">
              <w:rPr>
                <w:rFonts w:eastAsia="Times New Roman" w:cs="Times New Roman"/>
                <w:sz w:val="20"/>
                <w:szCs w:val="20"/>
                <w:lang w:val="en-GB" w:eastAsia="da-DK"/>
              </w:rPr>
              <w:t>(n=265)</w:t>
            </w:r>
          </w:p>
        </w:tc>
        <w:tc>
          <w:tcPr>
            <w:tcW w:w="1498" w:type="dxa"/>
            <w:gridSpan w:val="2"/>
            <w:tcBorders>
              <w:bottom w:val="single" w:sz="4" w:space="0" w:color="auto"/>
            </w:tcBorders>
            <w:shd w:val="clear" w:color="auto" w:fill="auto"/>
            <w:noWrap/>
            <w:vAlign w:val="bottom"/>
            <w:hideMark/>
          </w:tcPr>
          <w:p w14:paraId="3276F061"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(n= 162)</w:t>
            </w:r>
          </w:p>
        </w:tc>
        <w:tc>
          <w:tcPr>
            <w:tcW w:w="1653" w:type="dxa"/>
            <w:gridSpan w:val="2"/>
            <w:tcBorders>
              <w:bottom w:val="single" w:sz="4" w:space="0" w:color="auto"/>
            </w:tcBorders>
            <w:shd w:val="clear" w:color="auto" w:fill="auto"/>
            <w:noWrap/>
            <w:vAlign w:val="bottom"/>
            <w:hideMark/>
          </w:tcPr>
          <w:p w14:paraId="17F08239"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(n=72)</w:t>
            </w:r>
          </w:p>
        </w:tc>
        <w:tc>
          <w:tcPr>
            <w:tcW w:w="1890" w:type="dxa"/>
            <w:tcBorders>
              <w:bottom w:val="single" w:sz="4" w:space="0" w:color="auto"/>
            </w:tcBorders>
            <w:shd w:val="clear" w:color="auto" w:fill="auto"/>
            <w:noWrap/>
            <w:vAlign w:val="bottom"/>
            <w:hideMark/>
          </w:tcPr>
          <w:p w14:paraId="00C0750A"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w:t>
            </w:r>
          </w:p>
        </w:tc>
      </w:tr>
      <w:tr w:rsidR="001F1659" w:rsidRPr="00DA27E1" w14:paraId="56A24BF0" w14:textId="77777777" w:rsidTr="00276EB3">
        <w:trPr>
          <w:trHeight w:val="288"/>
        </w:trPr>
        <w:tc>
          <w:tcPr>
            <w:tcW w:w="2378" w:type="dxa"/>
            <w:tcBorders>
              <w:top w:val="single" w:sz="4" w:space="0" w:color="auto"/>
            </w:tcBorders>
            <w:shd w:val="clear" w:color="auto" w:fill="auto"/>
            <w:noWrap/>
            <w:vAlign w:val="bottom"/>
            <w:hideMark/>
          </w:tcPr>
          <w:p w14:paraId="04313D60" w14:textId="77777777" w:rsidR="001F1659" w:rsidRPr="00276EB3" w:rsidRDefault="001F1659" w:rsidP="00276EB3">
            <w:pPr>
              <w:spacing w:after="0" w:line="240" w:lineRule="auto"/>
              <w:rPr>
                <w:rFonts w:eastAsia="Times New Roman" w:cs="Times New Roman"/>
                <w:b/>
                <w:bCs/>
                <w:sz w:val="20"/>
                <w:szCs w:val="20"/>
                <w:lang w:val="en-GB" w:eastAsia="da-DK"/>
              </w:rPr>
            </w:pPr>
          </w:p>
        </w:tc>
        <w:tc>
          <w:tcPr>
            <w:tcW w:w="543" w:type="dxa"/>
            <w:tcBorders>
              <w:top w:val="single" w:sz="4" w:space="0" w:color="auto"/>
            </w:tcBorders>
            <w:shd w:val="clear" w:color="auto" w:fill="auto"/>
            <w:noWrap/>
            <w:vAlign w:val="bottom"/>
            <w:hideMark/>
          </w:tcPr>
          <w:p w14:paraId="700C2F9D" w14:textId="77777777" w:rsidR="001F1659" w:rsidRPr="00276EB3" w:rsidRDefault="001F1659" w:rsidP="00276EB3">
            <w:pPr>
              <w:spacing w:after="0" w:line="240" w:lineRule="auto"/>
              <w:jc w:val="center"/>
              <w:rPr>
                <w:rFonts w:eastAsia="Times New Roman" w:cs="Times New Roman"/>
                <w:bCs/>
                <w:sz w:val="20"/>
                <w:szCs w:val="20"/>
                <w:lang w:val="en-GB" w:eastAsia="da-DK"/>
              </w:rPr>
            </w:pPr>
            <w:r w:rsidRPr="00276EB3">
              <w:rPr>
                <w:rFonts w:eastAsia="Times New Roman" w:cs="Times New Roman"/>
                <w:bCs/>
                <w:sz w:val="20"/>
                <w:szCs w:val="20"/>
                <w:lang w:val="en-GB" w:eastAsia="da-DK"/>
              </w:rPr>
              <w:t>n</w:t>
            </w:r>
          </w:p>
        </w:tc>
        <w:tc>
          <w:tcPr>
            <w:tcW w:w="1110" w:type="dxa"/>
            <w:tcBorders>
              <w:top w:val="single" w:sz="4" w:space="0" w:color="auto"/>
            </w:tcBorders>
            <w:shd w:val="clear" w:color="auto" w:fill="auto"/>
            <w:noWrap/>
            <w:vAlign w:val="bottom"/>
            <w:hideMark/>
          </w:tcPr>
          <w:p w14:paraId="1E8B8C8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w:t>
            </w:r>
          </w:p>
        </w:tc>
        <w:tc>
          <w:tcPr>
            <w:tcW w:w="542" w:type="dxa"/>
            <w:tcBorders>
              <w:top w:val="single" w:sz="4" w:space="0" w:color="auto"/>
            </w:tcBorders>
            <w:shd w:val="clear" w:color="auto" w:fill="auto"/>
            <w:noWrap/>
            <w:vAlign w:val="bottom"/>
            <w:hideMark/>
          </w:tcPr>
          <w:p w14:paraId="6A9ADF7F"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n</w:t>
            </w:r>
          </w:p>
        </w:tc>
        <w:tc>
          <w:tcPr>
            <w:tcW w:w="956" w:type="dxa"/>
            <w:tcBorders>
              <w:top w:val="single" w:sz="4" w:space="0" w:color="auto"/>
            </w:tcBorders>
            <w:shd w:val="clear" w:color="auto" w:fill="auto"/>
            <w:noWrap/>
            <w:vAlign w:val="bottom"/>
            <w:hideMark/>
          </w:tcPr>
          <w:p w14:paraId="527CFDC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w:t>
            </w:r>
          </w:p>
        </w:tc>
        <w:tc>
          <w:tcPr>
            <w:tcW w:w="542" w:type="dxa"/>
            <w:tcBorders>
              <w:top w:val="single" w:sz="4" w:space="0" w:color="auto"/>
            </w:tcBorders>
            <w:shd w:val="clear" w:color="auto" w:fill="auto"/>
            <w:noWrap/>
            <w:vAlign w:val="bottom"/>
            <w:hideMark/>
          </w:tcPr>
          <w:p w14:paraId="202091B0"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n</w:t>
            </w:r>
          </w:p>
        </w:tc>
        <w:tc>
          <w:tcPr>
            <w:tcW w:w="1111" w:type="dxa"/>
            <w:tcBorders>
              <w:top w:val="single" w:sz="4" w:space="0" w:color="auto"/>
            </w:tcBorders>
            <w:shd w:val="clear" w:color="auto" w:fill="auto"/>
            <w:noWrap/>
            <w:vAlign w:val="bottom"/>
            <w:hideMark/>
          </w:tcPr>
          <w:p w14:paraId="1C81D0FA"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w:t>
            </w:r>
          </w:p>
        </w:tc>
        <w:tc>
          <w:tcPr>
            <w:tcW w:w="1890" w:type="dxa"/>
            <w:tcBorders>
              <w:top w:val="single" w:sz="4" w:space="0" w:color="auto"/>
            </w:tcBorders>
            <w:shd w:val="clear" w:color="auto" w:fill="auto"/>
            <w:noWrap/>
            <w:vAlign w:val="bottom"/>
            <w:hideMark/>
          </w:tcPr>
          <w:p w14:paraId="3B3AB799" w14:textId="77777777" w:rsidR="001F1659" w:rsidRPr="00276EB3" w:rsidRDefault="001F1659" w:rsidP="00276EB3">
            <w:pPr>
              <w:spacing w:after="0" w:line="240" w:lineRule="auto"/>
              <w:rPr>
                <w:rFonts w:eastAsia="Times New Roman" w:cs="Times New Roman"/>
                <w:sz w:val="20"/>
                <w:szCs w:val="20"/>
                <w:lang w:val="en-GB" w:eastAsia="da-DK"/>
              </w:rPr>
            </w:pPr>
          </w:p>
        </w:tc>
      </w:tr>
      <w:tr w:rsidR="001F1659" w:rsidRPr="00DA27E1" w14:paraId="547753C9" w14:textId="77777777" w:rsidTr="00276EB3">
        <w:trPr>
          <w:trHeight w:val="123"/>
        </w:trPr>
        <w:tc>
          <w:tcPr>
            <w:tcW w:w="2378" w:type="dxa"/>
            <w:shd w:val="clear" w:color="auto" w:fill="auto"/>
            <w:noWrap/>
            <w:vAlign w:val="bottom"/>
          </w:tcPr>
          <w:p w14:paraId="2B480A7C"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b/>
                <w:bCs/>
                <w:sz w:val="20"/>
                <w:szCs w:val="20"/>
                <w:lang w:val="en-GB" w:eastAsia="da-DK"/>
              </w:rPr>
              <w:t>Gender</w:t>
            </w:r>
          </w:p>
        </w:tc>
        <w:tc>
          <w:tcPr>
            <w:tcW w:w="543" w:type="dxa"/>
            <w:shd w:val="clear" w:color="auto" w:fill="auto"/>
            <w:noWrap/>
            <w:vAlign w:val="bottom"/>
          </w:tcPr>
          <w:p w14:paraId="05C6F7CA" w14:textId="77777777" w:rsidR="001F1659" w:rsidRPr="00276EB3" w:rsidRDefault="001F1659" w:rsidP="00276EB3">
            <w:pPr>
              <w:spacing w:after="0" w:line="240" w:lineRule="auto"/>
              <w:jc w:val="center"/>
              <w:rPr>
                <w:rFonts w:eastAsia="Times New Roman" w:cs="Times New Roman"/>
                <w:bCs/>
                <w:sz w:val="20"/>
                <w:szCs w:val="20"/>
                <w:lang w:val="en-GB" w:eastAsia="da-DK"/>
              </w:rPr>
            </w:pPr>
          </w:p>
        </w:tc>
        <w:tc>
          <w:tcPr>
            <w:tcW w:w="1110" w:type="dxa"/>
            <w:shd w:val="clear" w:color="auto" w:fill="auto"/>
            <w:noWrap/>
            <w:vAlign w:val="bottom"/>
          </w:tcPr>
          <w:p w14:paraId="3D1CB176"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tcPr>
          <w:p w14:paraId="10D0D4BC"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956" w:type="dxa"/>
            <w:shd w:val="clear" w:color="auto" w:fill="auto"/>
            <w:noWrap/>
            <w:vAlign w:val="bottom"/>
          </w:tcPr>
          <w:p w14:paraId="367DF41C"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tcPr>
          <w:p w14:paraId="190A9869"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1111" w:type="dxa"/>
            <w:shd w:val="clear" w:color="auto" w:fill="auto"/>
            <w:noWrap/>
            <w:vAlign w:val="bottom"/>
          </w:tcPr>
          <w:p w14:paraId="4685BD80"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1890" w:type="dxa"/>
            <w:shd w:val="clear" w:color="auto" w:fill="auto"/>
            <w:noWrap/>
            <w:vAlign w:val="bottom"/>
          </w:tcPr>
          <w:p w14:paraId="13C3AAAC" w14:textId="77777777" w:rsidR="001F1659" w:rsidRPr="00276EB3" w:rsidRDefault="001F1659" w:rsidP="00276EB3">
            <w:pPr>
              <w:spacing w:after="0" w:line="240" w:lineRule="auto"/>
              <w:rPr>
                <w:rFonts w:eastAsia="Times New Roman" w:cs="Times New Roman"/>
                <w:sz w:val="20"/>
                <w:szCs w:val="20"/>
                <w:lang w:val="en-GB" w:eastAsia="da-DK"/>
              </w:rPr>
            </w:pPr>
          </w:p>
        </w:tc>
      </w:tr>
      <w:tr w:rsidR="001F1659" w:rsidRPr="00DA27E1" w14:paraId="3CB880F5" w14:textId="77777777" w:rsidTr="00276EB3">
        <w:trPr>
          <w:trHeight w:val="123"/>
        </w:trPr>
        <w:tc>
          <w:tcPr>
            <w:tcW w:w="2378" w:type="dxa"/>
            <w:shd w:val="clear" w:color="auto" w:fill="auto"/>
            <w:noWrap/>
            <w:vAlign w:val="bottom"/>
          </w:tcPr>
          <w:p w14:paraId="00D634EB"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b/>
                <w:bCs/>
                <w:sz w:val="20"/>
                <w:szCs w:val="20"/>
                <w:lang w:val="en-GB" w:eastAsia="da-DK"/>
              </w:rPr>
              <w:t xml:space="preserve">  </w:t>
            </w:r>
            <w:r w:rsidRPr="00276EB3">
              <w:rPr>
                <w:rFonts w:eastAsia="Times New Roman" w:cs="Times New Roman"/>
                <w:sz w:val="20"/>
                <w:szCs w:val="20"/>
                <w:lang w:val="en-GB" w:eastAsia="da-DK"/>
              </w:rPr>
              <w:t>Female</w:t>
            </w:r>
          </w:p>
        </w:tc>
        <w:tc>
          <w:tcPr>
            <w:tcW w:w="543" w:type="dxa"/>
            <w:shd w:val="clear" w:color="auto" w:fill="auto"/>
            <w:noWrap/>
            <w:vAlign w:val="bottom"/>
          </w:tcPr>
          <w:p w14:paraId="34B8C841" w14:textId="77777777" w:rsidR="001F1659" w:rsidRPr="00276EB3" w:rsidRDefault="001F1659" w:rsidP="00276EB3">
            <w:pPr>
              <w:spacing w:after="0" w:line="240" w:lineRule="auto"/>
              <w:jc w:val="right"/>
              <w:rPr>
                <w:rFonts w:eastAsia="Times New Roman" w:cs="Times New Roman"/>
                <w:bCs/>
                <w:sz w:val="20"/>
                <w:szCs w:val="20"/>
                <w:lang w:val="en-GB" w:eastAsia="da-DK"/>
              </w:rPr>
            </w:pPr>
            <w:r w:rsidRPr="00276EB3">
              <w:rPr>
                <w:rFonts w:eastAsia="Times New Roman" w:cs="Times New Roman"/>
                <w:bCs/>
                <w:sz w:val="20"/>
                <w:szCs w:val="20"/>
                <w:lang w:val="en-GB" w:eastAsia="da-DK"/>
              </w:rPr>
              <w:t>60</w:t>
            </w:r>
          </w:p>
        </w:tc>
        <w:tc>
          <w:tcPr>
            <w:tcW w:w="1110" w:type="dxa"/>
            <w:shd w:val="clear" w:color="auto" w:fill="auto"/>
            <w:noWrap/>
            <w:vAlign w:val="bottom"/>
          </w:tcPr>
          <w:p w14:paraId="2FE737E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(23%)</w:t>
            </w:r>
          </w:p>
        </w:tc>
        <w:tc>
          <w:tcPr>
            <w:tcW w:w="542" w:type="dxa"/>
            <w:shd w:val="clear" w:color="auto" w:fill="auto"/>
            <w:noWrap/>
            <w:vAlign w:val="bottom"/>
          </w:tcPr>
          <w:p w14:paraId="5457CF60"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38</w:t>
            </w:r>
          </w:p>
        </w:tc>
        <w:tc>
          <w:tcPr>
            <w:tcW w:w="956" w:type="dxa"/>
            <w:shd w:val="clear" w:color="auto" w:fill="auto"/>
            <w:noWrap/>
            <w:vAlign w:val="bottom"/>
          </w:tcPr>
          <w:p w14:paraId="47BB7825"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(75%)</w:t>
            </w:r>
          </w:p>
        </w:tc>
        <w:tc>
          <w:tcPr>
            <w:tcW w:w="542" w:type="dxa"/>
            <w:shd w:val="clear" w:color="auto" w:fill="auto"/>
            <w:noWrap/>
            <w:vAlign w:val="bottom"/>
          </w:tcPr>
          <w:p w14:paraId="7DFCF290"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13</w:t>
            </w:r>
          </w:p>
        </w:tc>
        <w:tc>
          <w:tcPr>
            <w:tcW w:w="1111" w:type="dxa"/>
            <w:shd w:val="clear" w:color="auto" w:fill="auto"/>
            <w:noWrap/>
            <w:vAlign w:val="bottom"/>
          </w:tcPr>
          <w:p w14:paraId="6BF27752"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(25%)</w:t>
            </w:r>
          </w:p>
        </w:tc>
        <w:tc>
          <w:tcPr>
            <w:tcW w:w="1890" w:type="dxa"/>
            <w:vMerge w:val="restart"/>
            <w:shd w:val="clear" w:color="auto" w:fill="auto"/>
            <w:noWrap/>
            <w:vAlign w:val="center"/>
          </w:tcPr>
          <w:p w14:paraId="4FD86C1D"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0.356</w:t>
            </w:r>
            <w:r w:rsidRPr="00276EB3">
              <w:rPr>
                <w:rFonts w:eastAsia="Times New Roman" w:cs="Times New Roman"/>
                <w:sz w:val="20"/>
                <w:szCs w:val="20"/>
                <w:vertAlign w:val="superscript"/>
                <w:lang w:val="en-GB" w:eastAsia="da-DK"/>
              </w:rPr>
              <w:t>a</w:t>
            </w:r>
          </w:p>
        </w:tc>
      </w:tr>
      <w:tr w:rsidR="001F1659" w:rsidRPr="00DA27E1" w14:paraId="78C34F73" w14:textId="77777777" w:rsidTr="00276EB3">
        <w:trPr>
          <w:trHeight w:val="227"/>
        </w:trPr>
        <w:tc>
          <w:tcPr>
            <w:tcW w:w="2378" w:type="dxa"/>
            <w:shd w:val="clear" w:color="auto" w:fill="auto"/>
            <w:noWrap/>
            <w:vAlign w:val="bottom"/>
            <w:hideMark/>
          </w:tcPr>
          <w:p w14:paraId="0D380A7A"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Male </w:t>
            </w:r>
          </w:p>
        </w:tc>
        <w:tc>
          <w:tcPr>
            <w:tcW w:w="543" w:type="dxa"/>
            <w:shd w:val="clear" w:color="auto" w:fill="auto"/>
            <w:noWrap/>
            <w:vAlign w:val="bottom"/>
            <w:hideMark/>
          </w:tcPr>
          <w:p w14:paraId="39F6AB22"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205</w:t>
            </w:r>
          </w:p>
        </w:tc>
        <w:tc>
          <w:tcPr>
            <w:tcW w:w="1110" w:type="dxa"/>
            <w:shd w:val="clear" w:color="auto" w:fill="auto"/>
            <w:noWrap/>
            <w:vAlign w:val="bottom"/>
            <w:hideMark/>
          </w:tcPr>
          <w:p w14:paraId="471015C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(77%)</w:t>
            </w:r>
          </w:p>
        </w:tc>
        <w:tc>
          <w:tcPr>
            <w:tcW w:w="542" w:type="dxa"/>
            <w:shd w:val="clear" w:color="auto" w:fill="auto"/>
            <w:noWrap/>
            <w:vAlign w:val="bottom"/>
            <w:hideMark/>
          </w:tcPr>
          <w:p w14:paraId="4F1FAE95"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124</w:t>
            </w:r>
          </w:p>
        </w:tc>
        <w:tc>
          <w:tcPr>
            <w:tcW w:w="956" w:type="dxa"/>
            <w:shd w:val="clear" w:color="auto" w:fill="auto"/>
            <w:noWrap/>
            <w:vAlign w:val="bottom"/>
            <w:hideMark/>
          </w:tcPr>
          <w:p w14:paraId="0D7974AE"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(68%)</w:t>
            </w:r>
          </w:p>
        </w:tc>
        <w:tc>
          <w:tcPr>
            <w:tcW w:w="542" w:type="dxa"/>
            <w:shd w:val="clear" w:color="auto" w:fill="auto"/>
            <w:noWrap/>
            <w:vAlign w:val="bottom"/>
            <w:hideMark/>
          </w:tcPr>
          <w:p w14:paraId="077DF5EE"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59</w:t>
            </w:r>
          </w:p>
        </w:tc>
        <w:tc>
          <w:tcPr>
            <w:tcW w:w="1111" w:type="dxa"/>
            <w:shd w:val="clear" w:color="auto" w:fill="auto"/>
            <w:noWrap/>
            <w:vAlign w:val="bottom"/>
            <w:hideMark/>
          </w:tcPr>
          <w:p w14:paraId="0650603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(32%)</w:t>
            </w:r>
          </w:p>
        </w:tc>
        <w:tc>
          <w:tcPr>
            <w:tcW w:w="1890" w:type="dxa"/>
            <w:vMerge/>
            <w:shd w:val="clear" w:color="auto" w:fill="auto"/>
            <w:noWrap/>
            <w:vAlign w:val="bottom"/>
            <w:hideMark/>
          </w:tcPr>
          <w:p w14:paraId="5487CCA9"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68470A9D" w14:textId="77777777" w:rsidTr="00276EB3">
        <w:trPr>
          <w:trHeight w:val="278"/>
        </w:trPr>
        <w:tc>
          <w:tcPr>
            <w:tcW w:w="2378" w:type="dxa"/>
            <w:shd w:val="clear" w:color="auto" w:fill="auto"/>
            <w:noWrap/>
            <w:vAlign w:val="bottom"/>
            <w:hideMark/>
          </w:tcPr>
          <w:p w14:paraId="77CBE9BB"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b/>
                <w:bCs/>
                <w:sz w:val="20"/>
                <w:szCs w:val="20"/>
                <w:lang w:val="en-GB" w:eastAsia="da-DK"/>
              </w:rPr>
              <w:t>Age</w:t>
            </w:r>
            <w:r w:rsidRPr="00276EB3">
              <w:rPr>
                <w:rFonts w:eastAsia="Times New Roman" w:cs="Times New Roman"/>
                <w:sz w:val="20"/>
                <w:szCs w:val="20"/>
                <w:lang w:val="en-GB" w:eastAsia="da-DK"/>
              </w:rPr>
              <w:t xml:space="preserve"> years, mean (SD)</w:t>
            </w:r>
          </w:p>
        </w:tc>
        <w:tc>
          <w:tcPr>
            <w:tcW w:w="543" w:type="dxa"/>
            <w:shd w:val="clear" w:color="auto" w:fill="auto"/>
            <w:noWrap/>
            <w:vAlign w:val="bottom"/>
            <w:hideMark/>
          </w:tcPr>
          <w:p w14:paraId="64D2ADFB"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68.1</w:t>
            </w:r>
          </w:p>
        </w:tc>
        <w:tc>
          <w:tcPr>
            <w:tcW w:w="1110" w:type="dxa"/>
            <w:shd w:val="clear" w:color="auto" w:fill="auto"/>
            <w:noWrap/>
            <w:vAlign w:val="bottom"/>
            <w:hideMark/>
          </w:tcPr>
          <w:p w14:paraId="01696A8D"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(10.3)</w:t>
            </w:r>
          </w:p>
        </w:tc>
        <w:tc>
          <w:tcPr>
            <w:tcW w:w="542" w:type="dxa"/>
            <w:shd w:val="clear" w:color="auto" w:fill="auto"/>
            <w:noWrap/>
            <w:vAlign w:val="bottom"/>
            <w:hideMark/>
          </w:tcPr>
          <w:p w14:paraId="44295A12"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69.7</w:t>
            </w:r>
          </w:p>
        </w:tc>
        <w:tc>
          <w:tcPr>
            <w:tcW w:w="956" w:type="dxa"/>
            <w:shd w:val="clear" w:color="auto" w:fill="auto"/>
            <w:noWrap/>
            <w:vAlign w:val="bottom"/>
            <w:hideMark/>
          </w:tcPr>
          <w:p w14:paraId="01713CE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(9.4)</w:t>
            </w:r>
          </w:p>
        </w:tc>
        <w:tc>
          <w:tcPr>
            <w:tcW w:w="542" w:type="dxa"/>
            <w:shd w:val="clear" w:color="auto" w:fill="auto"/>
            <w:noWrap/>
            <w:vAlign w:val="bottom"/>
            <w:hideMark/>
          </w:tcPr>
          <w:p w14:paraId="70396EF5"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64.7</w:t>
            </w:r>
          </w:p>
        </w:tc>
        <w:tc>
          <w:tcPr>
            <w:tcW w:w="1111" w:type="dxa"/>
            <w:shd w:val="clear" w:color="auto" w:fill="auto"/>
            <w:noWrap/>
            <w:vAlign w:val="bottom"/>
            <w:hideMark/>
          </w:tcPr>
          <w:p w14:paraId="6662AA6F"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(11.4)</w:t>
            </w:r>
          </w:p>
        </w:tc>
        <w:tc>
          <w:tcPr>
            <w:tcW w:w="1890" w:type="dxa"/>
            <w:shd w:val="clear" w:color="auto" w:fill="auto"/>
            <w:noWrap/>
            <w:vAlign w:val="bottom"/>
            <w:hideMark/>
          </w:tcPr>
          <w:p w14:paraId="72314C3F"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&lt;0.001</w:t>
            </w:r>
            <w:r w:rsidRPr="00276EB3">
              <w:rPr>
                <w:rFonts w:eastAsia="Times New Roman" w:cs="Times New Roman"/>
                <w:sz w:val="20"/>
                <w:szCs w:val="20"/>
                <w:vertAlign w:val="superscript"/>
                <w:lang w:val="en-GB" w:eastAsia="da-DK"/>
              </w:rPr>
              <w:t>b</w:t>
            </w:r>
          </w:p>
        </w:tc>
      </w:tr>
      <w:tr w:rsidR="001F1659" w:rsidRPr="00DA27E1" w14:paraId="5A36D0D0" w14:textId="77777777" w:rsidTr="00276EB3">
        <w:trPr>
          <w:trHeight w:val="227"/>
        </w:trPr>
        <w:tc>
          <w:tcPr>
            <w:tcW w:w="2378" w:type="dxa"/>
            <w:shd w:val="clear" w:color="auto" w:fill="auto"/>
            <w:noWrap/>
            <w:vAlign w:val="bottom"/>
          </w:tcPr>
          <w:p w14:paraId="086F2173"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18-64 years</w:t>
            </w:r>
          </w:p>
        </w:tc>
        <w:tc>
          <w:tcPr>
            <w:tcW w:w="543" w:type="dxa"/>
            <w:shd w:val="clear" w:color="auto" w:fill="auto"/>
            <w:noWrap/>
            <w:vAlign w:val="bottom"/>
          </w:tcPr>
          <w:p w14:paraId="2A62E849"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85</w:t>
            </w:r>
          </w:p>
        </w:tc>
        <w:tc>
          <w:tcPr>
            <w:tcW w:w="1110" w:type="dxa"/>
            <w:shd w:val="clear" w:color="auto" w:fill="auto"/>
            <w:noWrap/>
            <w:vAlign w:val="bottom"/>
          </w:tcPr>
          <w:p w14:paraId="2F75F224"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(32%)</w:t>
            </w:r>
          </w:p>
        </w:tc>
        <w:tc>
          <w:tcPr>
            <w:tcW w:w="542" w:type="dxa"/>
            <w:shd w:val="clear" w:color="auto" w:fill="auto"/>
            <w:noWrap/>
            <w:vAlign w:val="bottom"/>
          </w:tcPr>
          <w:p w14:paraId="5AD71CB4"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39</w:t>
            </w:r>
          </w:p>
        </w:tc>
        <w:tc>
          <w:tcPr>
            <w:tcW w:w="956" w:type="dxa"/>
            <w:shd w:val="clear" w:color="auto" w:fill="auto"/>
            <w:noWrap/>
            <w:vAlign w:val="bottom"/>
          </w:tcPr>
          <w:p w14:paraId="09750620"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(52%)</w:t>
            </w:r>
          </w:p>
        </w:tc>
        <w:tc>
          <w:tcPr>
            <w:tcW w:w="542" w:type="dxa"/>
            <w:shd w:val="clear" w:color="auto" w:fill="auto"/>
            <w:noWrap/>
            <w:vAlign w:val="bottom"/>
          </w:tcPr>
          <w:p w14:paraId="6978C035"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36</w:t>
            </w:r>
          </w:p>
        </w:tc>
        <w:tc>
          <w:tcPr>
            <w:tcW w:w="1111" w:type="dxa"/>
            <w:shd w:val="clear" w:color="auto" w:fill="auto"/>
            <w:noWrap/>
            <w:vAlign w:val="bottom"/>
          </w:tcPr>
          <w:p w14:paraId="58728F2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(48%)</w:t>
            </w:r>
          </w:p>
        </w:tc>
        <w:tc>
          <w:tcPr>
            <w:tcW w:w="1890" w:type="dxa"/>
            <w:vMerge w:val="restart"/>
            <w:shd w:val="clear" w:color="auto" w:fill="auto"/>
            <w:noWrap/>
            <w:vAlign w:val="center"/>
          </w:tcPr>
          <w:p w14:paraId="3DEA2268"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&lt; 0.001</w:t>
            </w:r>
            <w:r w:rsidRPr="00276EB3">
              <w:rPr>
                <w:rFonts w:eastAsia="Times New Roman" w:cs="Times New Roman"/>
                <w:sz w:val="20"/>
                <w:szCs w:val="20"/>
                <w:vertAlign w:val="superscript"/>
                <w:lang w:val="en-GB" w:eastAsia="da-DK"/>
              </w:rPr>
              <w:t>a</w:t>
            </w:r>
          </w:p>
        </w:tc>
      </w:tr>
      <w:tr w:rsidR="001F1659" w:rsidRPr="00DA27E1" w:rsidDel="00EE5C68" w14:paraId="73379468" w14:textId="77777777" w:rsidTr="00276EB3">
        <w:trPr>
          <w:trHeight w:val="227"/>
        </w:trPr>
        <w:tc>
          <w:tcPr>
            <w:tcW w:w="2378" w:type="dxa"/>
            <w:shd w:val="clear" w:color="auto" w:fill="auto"/>
            <w:noWrap/>
            <w:vAlign w:val="bottom"/>
          </w:tcPr>
          <w:p w14:paraId="03F59E06" w14:textId="77777777" w:rsidR="001F1659" w:rsidRPr="00276EB3" w:rsidDel="00EE5C68"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 65 years</w:t>
            </w:r>
          </w:p>
        </w:tc>
        <w:tc>
          <w:tcPr>
            <w:tcW w:w="543" w:type="dxa"/>
            <w:shd w:val="clear" w:color="auto" w:fill="auto"/>
            <w:noWrap/>
            <w:vAlign w:val="bottom"/>
          </w:tcPr>
          <w:p w14:paraId="00BBF339" w14:textId="77777777" w:rsidR="001F1659" w:rsidRPr="00276EB3" w:rsidDel="00EE5C68"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177</w:t>
            </w:r>
          </w:p>
        </w:tc>
        <w:tc>
          <w:tcPr>
            <w:tcW w:w="1110" w:type="dxa"/>
            <w:shd w:val="clear" w:color="auto" w:fill="auto"/>
            <w:noWrap/>
            <w:vAlign w:val="bottom"/>
          </w:tcPr>
          <w:p w14:paraId="456E772C" w14:textId="77777777" w:rsidR="001F1659" w:rsidRPr="00276EB3" w:rsidDel="00EE5C68"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(68%)</w:t>
            </w:r>
          </w:p>
        </w:tc>
        <w:tc>
          <w:tcPr>
            <w:tcW w:w="542" w:type="dxa"/>
            <w:shd w:val="clear" w:color="auto" w:fill="auto"/>
            <w:noWrap/>
            <w:vAlign w:val="bottom"/>
          </w:tcPr>
          <w:p w14:paraId="39DEA5EF" w14:textId="77777777" w:rsidR="001F1659" w:rsidRPr="00276EB3" w:rsidDel="00EE5C68"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121</w:t>
            </w:r>
          </w:p>
        </w:tc>
        <w:tc>
          <w:tcPr>
            <w:tcW w:w="956" w:type="dxa"/>
            <w:shd w:val="clear" w:color="auto" w:fill="auto"/>
            <w:noWrap/>
            <w:vAlign w:val="bottom"/>
          </w:tcPr>
          <w:p w14:paraId="2D9083B0" w14:textId="77777777" w:rsidR="001F1659" w:rsidRPr="00276EB3" w:rsidDel="00EE5C68"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(78%)</w:t>
            </w:r>
          </w:p>
        </w:tc>
        <w:tc>
          <w:tcPr>
            <w:tcW w:w="542" w:type="dxa"/>
            <w:shd w:val="clear" w:color="auto" w:fill="auto"/>
            <w:noWrap/>
            <w:vAlign w:val="bottom"/>
          </w:tcPr>
          <w:p w14:paraId="1C18C3D1" w14:textId="77777777" w:rsidR="001F1659" w:rsidRPr="00276EB3" w:rsidDel="00EE5C68"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35</w:t>
            </w:r>
          </w:p>
        </w:tc>
        <w:tc>
          <w:tcPr>
            <w:tcW w:w="1111" w:type="dxa"/>
            <w:shd w:val="clear" w:color="auto" w:fill="auto"/>
            <w:noWrap/>
            <w:vAlign w:val="bottom"/>
          </w:tcPr>
          <w:p w14:paraId="7D1CEA56" w14:textId="77777777" w:rsidR="001F1659" w:rsidRPr="00276EB3" w:rsidDel="00EE5C68"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(22%)</w:t>
            </w:r>
          </w:p>
        </w:tc>
        <w:tc>
          <w:tcPr>
            <w:tcW w:w="1890" w:type="dxa"/>
            <w:vMerge/>
            <w:shd w:val="clear" w:color="auto" w:fill="auto"/>
            <w:noWrap/>
            <w:vAlign w:val="bottom"/>
          </w:tcPr>
          <w:p w14:paraId="5956D509" w14:textId="77777777" w:rsidR="001F1659" w:rsidRPr="00276EB3" w:rsidDel="00EE5C68" w:rsidRDefault="001F1659" w:rsidP="00276EB3">
            <w:pPr>
              <w:spacing w:after="0" w:line="240" w:lineRule="auto"/>
              <w:jc w:val="center"/>
              <w:rPr>
                <w:rFonts w:eastAsia="Times New Roman" w:cs="Times New Roman"/>
                <w:sz w:val="20"/>
                <w:szCs w:val="20"/>
                <w:lang w:val="en-GB" w:eastAsia="da-DK"/>
              </w:rPr>
            </w:pPr>
          </w:p>
        </w:tc>
      </w:tr>
      <w:tr w:rsidR="001F1659" w:rsidRPr="00DA27E1" w14:paraId="6A9310D8" w14:textId="77777777" w:rsidTr="00276EB3">
        <w:trPr>
          <w:trHeight w:val="482"/>
        </w:trPr>
        <w:tc>
          <w:tcPr>
            <w:tcW w:w="2378" w:type="dxa"/>
            <w:shd w:val="clear" w:color="auto" w:fill="auto"/>
            <w:noWrap/>
            <w:vAlign w:val="bottom"/>
            <w:hideMark/>
          </w:tcPr>
          <w:p w14:paraId="36454754" w14:textId="77777777" w:rsidR="001F1659" w:rsidRPr="00276EB3" w:rsidRDefault="001F1659" w:rsidP="00276EB3">
            <w:pPr>
              <w:spacing w:after="0" w:line="240" w:lineRule="auto"/>
              <w:rPr>
                <w:rFonts w:eastAsia="Times New Roman" w:cs="Times New Roman"/>
                <w:sz w:val="20"/>
                <w:szCs w:val="20"/>
                <w:lang w:eastAsia="da-DK"/>
              </w:rPr>
            </w:pPr>
            <w:r w:rsidRPr="00276EB3">
              <w:rPr>
                <w:rFonts w:eastAsia="Times New Roman" w:cs="Times New Roman"/>
                <w:b/>
                <w:bCs/>
                <w:sz w:val="20"/>
                <w:szCs w:val="20"/>
                <w:lang w:eastAsia="da-DK"/>
              </w:rPr>
              <w:t>BMI</w:t>
            </w:r>
            <w:r w:rsidRPr="00276EB3">
              <w:rPr>
                <w:rFonts w:eastAsia="Times New Roman" w:cs="Times New Roman"/>
                <w:sz w:val="20"/>
                <w:szCs w:val="20"/>
                <w:lang w:eastAsia="da-DK"/>
              </w:rPr>
              <w:t xml:space="preserve"> (kilogram/meter</w:t>
            </w:r>
            <w:r w:rsidRPr="00276EB3">
              <w:rPr>
                <w:rFonts w:eastAsia="Times New Roman" w:cs="Times New Roman"/>
                <w:sz w:val="20"/>
                <w:szCs w:val="20"/>
                <w:vertAlign w:val="superscript"/>
                <w:lang w:eastAsia="da-DK"/>
              </w:rPr>
              <w:t>2</w:t>
            </w:r>
            <w:r w:rsidRPr="00276EB3">
              <w:rPr>
                <w:rFonts w:eastAsia="Times New Roman" w:cs="Times New Roman"/>
                <w:sz w:val="20"/>
                <w:szCs w:val="20"/>
                <w:lang w:eastAsia="da-DK"/>
              </w:rPr>
              <w:t xml:space="preserve">), </w:t>
            </w:r>
          </w:p>
          <w:p w14:paraId="1ACE2A93" w14:textId="77777777" w:rsidR="001F1659" w:rsidRPr="00276EB3" w:rsidRDefault="001F1659" w:rsidP="00276EB3">
            <w:pPr>
              <w:spacing w:after="0" w:line="240" w:lineRule="auto"/>
              <w:rPr>
                <w:rFonts w:eastAsia="Times New Roman" w:cs="Times New Roman"/>
                <w:sz w:val="20"/>
                <w:szCs w:val="20"/>
                <w:lang w:eastAsia="da-DK"/>
              </w:rPr>
            </w:pPr>
            <w:r w:rsidRPr="00276EB3">
              <w:rPr>
                <w:rFonts w:eastAsia="Times New Roman" w:cs="Times New Roman"/>
                <w:sz w:val="20"/>
                <w:szCs w:val="20"/>
                <w:lang w:eastAsia="da-DK"/>
              </w:rPr>
              <w:t xml:space="preserve">  mean (SD)</w:t>
            </w:r>
          </w:p>
        </w:tc>
        <w:tc>
          <w:tcPr>
            <w:tcW w:w="543" w:type="dxa"/>
            <w:shd w:val="clear" w:color="auto" w:fill="auto"/>
            <w:noWrap/>
            <w:vAlign w:val="bottom"/>
            <w:hideMark/>
          </w:tcPr>
          <w:p w14:paraId="724400B2"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27.6</w:t>
            </w:r>
          </w:p>
        </w:tc>
        <w:tc>
          <w:tcPr>
            <w:tcW w:w="1110" w:type="dxa"/>
            <w:shd w:val="clear" w:color="auto" w:fill="auto"/>
            <w:noWrap/>
            <w:vAlign w:val="bottom"/>
            <w:hideMark/>
          </w:tcPr>
          <w:p w14:paraId="35DBAED1"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(4.86)</w:t>
            </w:r>
          </w:p>
        </w:tc>
        <w:tc>
          <w:tcPr>
            <w:tcW w:w="542" w:type="dxa"/>
            <w:shd w:val="clear" w:color="auto" w:fill="auto"/>
            <w:noWrap/>
            <w:vAlign w:val="bottom"/>
            <w:hideMark/>
          </w:tcPr>
          <w:p w14:paraId="47CE4F08"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26.9</w:t>
            </w:r>
          </w:p>
        </w:tc>
        <w:tc>
          <w:tcPr>
            <w:tcW w:w="956" w:type="dxa"/>
            <w:shd w:val="clear" w:color="auto" w:fill="auto"/>
            <w:noWrap/>
            <w:vAlign w:val="bottom"/>
            <w:hideMark/>
          </w:tcPr>
          <w:p w14:paraId="50BACE35"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(4.5)</w:t>
            </w:r>
          </w:p>
        </w:tc>
        <w:tc>
          <w:tcPr>
            <w:tcW w:w="542" w:type="dxa"/>
            <w:shd w:val="clear" w:color="auto" w:fill="auto"/>
            <w:noWrap/>
            <w:vAlign w:val="bottom"/>
            <w:hideMark/>
          </w:tcPr>
          <w:p w14:paraId="29859B1A"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28.1</w:t>
            </w:r>
          </w:p>
        </w:tc>
        <w:tc>
          <w:tcPr>
            <w:tcW w:w="1111" w:type="dxa"/>
            <w:shd w:val="clear" w:color="auto" w:fill="auto"/>
            <w:noWrap/>
            <w:vAlign w:val="bottom"/>
            <w:hideMark/>
          </w:tcPr>
          <w:p w14:paraId="059BF1BE"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(4.7)</w:t>
            </w:r>
          </w:p>
        </w:tc>
        <w:tc>
          <w:tcPr>
            <w:tcW w:w="1890" w:type="dxa"/>
            <w:shd w:val="clear" w:color="auto" w:fill="auto"/>
            <w:noWrap/>
            <w:vAlign w:val="bottom"/>
            <w:hideMark/>
          </w:tcPr>
          <w:p w14:paraId="4A95A97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0.070</w:t>
            </w:r>
            <w:r w:rsidRPr="00276EB3">
              <w:rPr>
                <w:rFonts w:eastAsia="Times New Roman" w:cs="Times New Roman"/>
                <w:sz w:val="20"/>
                <w:szCs w:val="20"/>
                <w:vertAlign w:val="superscript"/>
                <w:lang w:val="en-GB" w:eastAsia="da-DK"/>
              </w:rPr>
              <w:t>b</w:t>
            </w:r>
          </w:p>
        </w:tc>
      </w:tr>
      <w:tr w:rsidR="001F1659" w:rsidRPr="00DA27E1" w14:paraId="7580C939" w14:textId="77777777" w:rsidTr="00276EB3">
        <w:trPr>
          <w:trHeight w:val="277"/>
        </w:trPr>
        <w:tc>
          <w:tcPr>
            <w:tcW w:w="2378" w:type="dxa"/>
            <w:shd w:val="clear" w:color="auto" w:fill="auto"/>
            <w:noWrap/>
            <w:vAlign w:val="bottom"/>
            <w:hideMark/>
          </w:tcPr>
          <w:p w14:paraId="26FA2DC6"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b/>
                <w:bCs/>
                <w:sz w:val="20"/>
                <w:szCs w:val="20"/>
                <w:lang w:val="en-GB" w:eastAsia="da-DK"/>
              </w:rPr>
              <w:t>Family Status</w:t>
            </w:r>
          </w:p>
        </w:tc>
        <w:tc>
          <w:tcPr>
            <w:tcW w:w="543" w:type="dxa"/>
            <w:shd w:val="clear" w:color="auto" w:fill="auto"/>
            <w:noWrap/>
            <w:vAlign w:val="bottom"/>
            <w:hideMark/>
          </w:tcPr>
          <w:p w14:paraId="66BACFB5" w14:textId="77777777" w:rsidR="001F1659" w:rsidRPr="00276EB3" w:rsidRDefault="001F1659" w:rsidP="00276EB3">
            <w:pPr>
              <w:spacing w:after="0" w:line="240" w:lineRule="auto"/>
              <w:jc w:val="right"/>
              <w:rPr>
                <w:rFonts w:eastAsia="Times New Roman" w:cs="Times New Roman"/>
                <w:b/>
                <w:bCs/>
                <w:sz w:val="20"/>
                <w:szCs w:val="20"/>
                <w:lang w:val="en-GB" w:eastAsia="da-DK"/>
              </w:rPr>
            </w:pPr>
          </w:p>
        </w:tc>
        <w:tc>
          <w:tcPr>
            <w:tcW w:w="1110" w:type="dxa"/>
            <w:shd w:val="clear" w:color="auto" w:fill="auto"/>
            <w:noWrap/>
            <w:vAlign w:val="bottom"/>
            <w:hideMark/>
          </w:tcPr>
          <w:p w14:paraId="27BF373C"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6DB6C286"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956" w:type="dxa"/>
            <w:shd w:val="clear" w:color="auto" w:fill="auto"/>
            <w:noWrap/>
            <w:vAlign w:val="bottom"/>
            <w:hideMark/>
          </w:tcPr>
          <w:p w14:paraId="175184B2"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2D5C5770"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1111" w:type="dxa"/>
            <w:shd w:val="clear" w:color="auto" w:fill="auto"/>
            <w:noWrap/>
            <w:vAlign w:val="bottom"/>
            <w:hideMark/>
          </w:tcPr>
          <w:p w14:paraId="4A93350F"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1890" w:type="dxa"/>
            <w:shd w:val="clear" w:color="auto" w:fill="auto"/>
            <w:noWrap/>
            <w:vAlign w:val="bottom"/>
            <w:hideMark/>
          </w:tcPr>
          <w:p w14:paraId="0C676455"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70685ABF" w14:textId="77777777" w:rsidTr="00276EB3">
        <w:trPr>
          <w:trHeight w:val="227"/>
        </w:trPr>
        <w:tc>
          <w:tcPr>
            <w:tcW w:w="2378" w:type="dxa"/>
            <w:shd w:val="clear" w:color="auto" w:fill="auto"/>
            <w:noWrap/>
            <w:vAlign w:val="bottom"/>
            <w:hideMark/>
          </w:tcPr>
          <w:p w14:paraId="68B48052"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Living with a partner</w:t>
            </w:r>
          </w:p>
        </w:tc>
        <w:tc>
          <w:tcPr>
            <w:tcW w:w="543" w:type="dxa"/>
            <w:shd w:val="clear" w:color="auto" w:fill="auto"/>
            <w:noWrap/>
            <w:vAlign w:val="bottom"/>
            <w:hideMark/>
          </w:tcPr>
          <w:p w14:paraId="6FABCA4A"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201</w:t>
            </w:r>
          </w:p>
        </w:tc>
        <w:tc>
          <w:tcPr>
            <w:tcW w:w="1110" w:type="dxa"/>
            <w:shd w:val="clear" w:color="auto" w:fill="auto"/>
            <w:noWrap/>
            <w:vAlign w:val="bottom"/>
            <w:hideMark/>
          </w:tcPr>
          <w:p w14:paraId="2C7C666E"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(77%)</w:t>
            </w:r>
          </w:p>
        </w:tc>
        <w:tc>
          <w:tcPr>
            <w:tcW w:w="542" w:type="dxa"/>
            <w:shd w:val="clear" w:color="auto" w:fill="auto"/>
            <w:noWrap/>
            <w:vAlign w:val="bottom"/>
            <w:hideMark/>
          </w:tcPr>
          <w:p w14:paraId="3B725304"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120</w:t>
            </w:r>
          </w:p>
        </w:tc>
        <w:tc>
          <w:tcPr>
            <w:tcW w:w="956" w:type="dxa"/>
            <w:shd w:val="clear" w:color="auto" w:fill="auto"/>
            <w:noWrap/>
            <w:vAlign w:val="bottom"/>
            <w:hideMark/>
          </w:tcPr>
          <w:p w14:paraId="2BE79E1D"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(68%)</w:t>
            </w:r>
          </w:p>
        </w:tc>
        <w:tc>
          <w:tcPr>
            <w:tcW w:w="542" w:type="dxa"/>
            <w:shd w:val="clear" w:color="auto" w:fill="auto"/>
            <w:noWrap/>
            <w:vAlign w:val="bottom"/>
            <w:hideMark/>
          </w:tcPr>
          <w:p w14:paraId="6FA99A52"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56</w:t>
            </w:r>
          </w:p>
        </w:tc>
        <w:tc>
          <w:tcPr>
            <w:tcW w:w="1111" w:type="dxa"/>
            <w:shd w:val="clear" w:color="auto" w:fill="auto"/>
            <w:noWrap/>
            <w:vAlign w:val="bottom"/>
            <w:hideMark/>
          </w:tcPr>
          <w:p w14:paraId="5892292F"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(32%)</w:t>
            </w:r>
          </w:p>
        </w:tc>
        <w:tc>
          <w:tcPr>
            <w:tcW w:w="1890" w:type="dxa"/>
            <w:vMerge w:val="restart"/>
            <w:shd w:val="clear" w:color="auto" w:fill="auto"/>
            <w:noWrap/>
            <w:vAlign w:val="center"/>
            <w:hideMark/>
          </w:tcPr>
          <w:p w14:paraId="7A42D16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0.410</w:t>
            </w:r>
            <w:r w:rsidRPr="00276EB3">
              <w:rPr>
                <w:rFonts w:eastAsia="Times New Roman" w:cs="Times New Roman"/>
                <w:sz w:val="20"/>
                <w:szCs w:val="20"/>
                <w:vertAlign w:val="superscript"/>
                <w:lang w:val="en-GB" w:eastAsia="da-DK"/>
              </w:rPr>
              <w:t>a</w:t>
            </w:r>
          </w:p>
        </w:tc>
      </w:tr>
      <w:tr w:rsidR="001F1659" w:rsidRPr="00DA27E1" w14:paraId="5ADA8760" w14:textId="77777777" w:rsidTr="00276EB3">
        <w:trPr>
          <w:trHeight w:val="227"/>
        </w:trPr>
        <w:tc>
          <w:tcPr>
            <w:tcW w:w="2378" w:type="dxa"/>
            <w:shd w:val="clear" w:color="auto" w:fill="auto"/>
            <w:noWrap/>
            <w:vAlign w:val="bottom"/>
          </w:tcPr>
          <w:p w14:paraId="6E6E34D0"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Living without a partner</w:t>
            </w:r>
          </w:p>
        </w:tc>
        <w:tc>
          <w:tcPr>
            <w:tcW w:w="543" w:type="dxa"/>
            <w:shd w:val="clear" w:color="auto" w:fill="auto"/>
            <w:noWrap/>
            <w:vAlign w:val="bottom"/>
          </w:tcPr>
          <w:p w14:paraId="14ED1144"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60</w:t>
            </w:r>
          </w:p>
        </w:tc>
        <w:tc>
          <w:tcPr>
            <w:tcW w:w="1110" w:type="dxa"/>
            <w:shd w:val="clear" w:color="auto" w:fill="auto"/>
            <w:noWrap/>
            <w:vAlign w:val="bottom"/>
          </w:tcPr>
          <w:p w14:paraId="65BC215D"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(23%)</w:t>
            </w:r>
          </w:p>
        </w:tc>
        <w:tc>
          <w:tcPr>
            <w:tcW w:w="542" w:type="dxa"/>
            <w:shd w:val="clear" w:color="auto" w:fill="auto"/>
            <w:noWrap/>
            <w:vAlign w:val="bottom"/>
          </w:tcPr>
          <w:p w14:paraId="7D58C772"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40</w:t>
            </w:r>
          </w:p>
        </w:tc>
        <w:tc>
          <w:tcPr>
            <w:tcW w:w="956" w:type="dxa"/>
            <w:shd w:val="clear" w:color="auto" w:fill="auto"/>
            <w:noWrap/>
            <w:vAlign w:val="bottom"/>
          </w:tcPr>
          <w:p w14:paraId="51E85860"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(74%)</w:t>
            </w:r>
          </w:p>
        </w:tc>
        <w:tc>
          <w:tcPr>
            <w:tcW w:w="542" w:type="dxa"/>
            <w:shd w:val="clear" w:color="auto" w:fill="auto"/>
            <w:noWrap/>
            <w:vAlign w:val="bottom"/>
          </w:tcPr>
          <w:p w14:paraId="59932D5F"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14</w:t>
            </w:r>
          </w:p>
        </w:tc>
        <w:tc>
          <w:tcPr>
            <w:tcW w:w="1111" w:type="dxa"/>
            <w:shd w:val="clear" w:color="auto" w:fill="auto"/>
            <w:noWrap/>
            <w:vAlign w:val="bottom"/>
          </w:tcPr>
          <w:p w14:paraId="7E406ED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(26%)</w:t>
            </w:r>
          </w:p>
        </w:tc>
        <w:tc>
          <w:tcPr>
            <w:tcW w:w="1890" w:type="dxa"/>
            <w:vMerge/>
            <w:shd w:val="clear" w:color="auto" w:fill="auto"/>
            <w:noWrap/>
            <w:vAlign w:val="bottom"/>
          </w:tcPr>
          <w:p w14:paraId="08E88247"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6279CC9C" w14:textId="77777777" w:rsidTr="00276EB3">
        <w:trPr>
          <w:trHeight w:val="278"/>
        </w:trPr>
        <w:tc>
          <w:tcPr>
            <w:tcW w:w="2378" w:type="dxa"/>
            <w:shd w:val="clear" w:color="auto" w:fill="auto"/>
            <w:noWrap/>
            <w:vAlign w:val="bottom"/>
            <w:hideMark/>
          </w:tcPr>
          <w:p w14:paraId="0C8866D0"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b/>
                <w:bCs/>
                <w:sz w:val="20"/>
                <w:szCs w:val="20"/>
                <w:lang w:val="en-GB" w:eastAsia="da-DK"/>
              </w:rPr>
              <w:t xml:space="preserve">Occupational status </w:t>
            </w:r>
          </w:p>
        </w:tc>
        <w:tc>
          <w:tcPr>
            <w:tcW w:w="543" w:type="dxa"/>
            <w:shd w:val="clear" w:color="auto" w:fill="auto"/>
            <w:noWrap/>
            <w:vAlign w:val="bottom"/>
            <w:hideMark/>
          </w:tcPr>
          <w:p w14:paraId="67DCF37B" w14:textId="77777777" w:rsidR="001F1659" w:rsidRPr="00276EB3" w:rsidRDefault="001F1659" w:rsidP="00276EB3">
            <w:pPr>
              <w:spacing w:after="0" w:line="240" w:lineRule="auto"/>
              <w:jc w:val="right"/>
              <w:rPr>
                <w:rFonts w:eastAsia="Times New Roman" w:cs="Times New Roman"/>
                <w:b/>
                <w:bCs/>
                <w:sz w:val="20"/>
                <w:szCs w:val="20"/>
                <w:lang w:val="en-GB" w:eastAsia="da-DK"/>
              </w:rPr>
            </w:pPr>
          </w:p>
        </w:tc>
        <w:tc>
          <w:tcPr>
            <w:tcW w:w="1110" w:type="dxa"/>
            <w:shd w:val="clear" w:color="auto" w:fill="auto"/>
            <w:noWrap/>
            <w:vAlign w:val="bottom"/>
            <w:hideMark/>
          </w:tcPr>
          <w:p w14:paraId="22759F2F"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15689E53"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956" w:type="dxa"/>
            <w:shd w:val="clear" w:color="auto" w:fill="auto"/>
            <w:noWrap/>
            <w:vAlign w:val="bottom"/>
            <w:hideMark/>
          </w:tcPr>
          <w:p w14:paraId="698E9E3B"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1F593399"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1111" w:type="dxa"/>
            <w:shd w:val="clear" w:color="auto" w:fill="auto"/>
            <w:noWrap/>
            <w:vAlign w:val="bottom"/>
            <w:hideMark/>
          </w:tcPr>
          <w:p w14:paraId="3C1D3938"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1890" w:type="dxa"/>
            <w:shd w:val="clear" w:color="auto" w:fill="auto"/>
            <w:noWrap/>
            <w:vAlign w:val="bottom"/>
            <w:hideMark/>
          </w:tcPr>
          <w:p w14:paraId="4828DB81"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6DCAC82C" w14:textId="77777777" w:rsidTr="00276EB3">
        <w:trPr>
          <w:trHeight w:val="227"/>
        </w:trPr>
        <w:tc>
          <w:tcPr>
            <w:tcW w:w="2378" w:type="dxa"/>
            <w:shd w:val="clear" w:color="auto" w:fill="auto"/>
            <w:noWrap/>
            <w:vAlign w:val="bottom"/>
            <w:hideMark/>
          </w:tcPr>
          <w:p w14:paraId="75AB7A53" w14:textId="09F675EF"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On </w:t>
            </w:r>
            <w:r w:rsidR="00DE36D4" w:rsidRPr="00276EB3">
              <w:rPr>
                <w:rFonts w:eastAsia="Times New Roman" w:cs="Times New Roman"/>
                <w:sz w:val="20"/>
                <w:szCs w:val="20"/>
                <w:lang w:val="en-GB" w:eastAsia="da-DK"/>
              </w:rPr>
              <w:t>labour</w:t>
            </w:r>
            <w:r w:rsidRPr="00276EB3">
              <w:rPr>
                <w:rFonts w:eastAsia="Times New Roman" w:cs="Times New Roman"/>
                <w:sz w:val="20"/>
                <w:szCs w:val="20"/>
                <w:lang w:val="en-GB" w:eastAsia="da-DK"/>
              </w:rPr>
              <w:t xml:space="preserve"> market</w:t>
            </w:r>
          </w:p>
        </w:tc>
        <w:tc>
          <w:tcPr>
            <w:tcW w:w="543" w:type="dxa"/>
            <w:shd w:val="clear" w:color="auto" w:fill="auto"/>
            <w:noWrap/>
            <w:vAlign w:val="bottom"/>
            <w:hideMark/>
          </w:tcPr>
          <w:p w14:paraId="4E80B371"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80</w:t>
            </w:r>
          </w:p>
        </w:tc>
        <w:tc>
          <w:tcPr>
            <w:tcW w:w="1110" w:type="dxa"/>
            <w:shd w:val="clear" w:color="auto" w:fill="auto"/>
            <w:noWrap/>
            <w:vAlign w:val="bottom"/>
            <w:hideMark/>
          </w:tcPr>
          <w:p w14:paraId="3A70E878"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(31%)</w:t>
            </w:r>
          </w:p>
        </w:tc>
        <w:tc>
          <w:tcPr>
            <w:tcW w:w="542" w:type="dxa"/>
            <w:shd w:val="clear" w:color="auto" w:fill="auto"/>
            <w:noWrap/>
            <w:vAlign w:val="bottom"/>
            <w:hideMark/>
          </w:tcPr>
          <w:p w14:paraId="18930515"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33</w:t>
            </w:r>
          </w:p>
        </w:tc>
        <w:tc>
          <w:tcPr>
            <w:tcW w:w="956" w:type="dxa"/>
            <w:shd w:val="clear" w:color="auto" w:fill="auto"/>
            <w:noWrap/>
            <w:vAlign w:val="bottom"/>
            <w:hideMark/>
          </w:tcPr>
          <w:p w14:paraId="5B36C70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(47%)</w:t>
            </w:r>
          </w:p>
        </w:tc>
        <w:tc>
          <w:tcPr>
            <w:tcW w:w="542" w:type="dxa"/>
            <w:shd w:val="clear" w:color="auto" w:fill="auto"/>
            <w:noWrap/>
            <w:vAlign w:val="bottom"/>
            <w:hideMark/>
          </w:tcPr>
          <w:p w14:paraId="5F7E2D8F"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37</w:t>
            </w:r>
          </w:p>
        </w:tc>
        <w:tc>
          <w:tcPr>
            <w:tcW w:w="1111" w:type="dxa"/>
            <w:shd w:val="clear" w:color="auto" w:fill="auto"/>
            <w:noWrap/>
            <w:vAlign w:val="bottom"/>
            <w:hideMark/>
          </w:tcPr>
          <w:p w14:paraId="06A6B4DF"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(53%)</w:t>
            </w:r>
          </w:p>
        </w:tc>
        <w:tc>
          <w:tcPr>
            <w:tcW w:w="1890" w:type="dxa"/>
            <w:vMerge w:val="restart"/>
            <w:shd w:val="clear" w:color="auto" w:fill="auto"/>
            <w:noWrap/>
            <w:vAlign w:val="center"/>
            <w:hideMark/>
          </w:tcPr>
          <w:p w14:paraId="44759465"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&lt; 0.001</w:t>
            </w:r>
            <w:r w:rsidRPr="00276EB3">
              <w:rPr>
                <w:rFonts w:eastAsia="Times New Roman" w:cs="Times New Roman"/>
                <w:sz w:val="20"/>
                <w:szCs w:val="20"/>
                <w:vertAlign w:val="superscript"/>
                <w:lang w:val="en-GB" w:eastAsia="da-DK"/>
              </w:rPr>
              <w:t>a</w:t>
            </w:r>
          </w:p>
        </w:tc>
      </w:tr>
      <w:tr w:rsidR="001F1659" w:rsidRPr="00DA27E1" w14:paraId="7AA71562" w14:textId="77777777" w:rsidTr="00276EB3">
        <w:trPr>
          <w:trHeight w:val="227"/>
        </w:trPr>
        <w:tc>
          <w:tcPr>
            <w:tcW w:w="2378" w:type="dxa"/>
            <w:shd w:val="clear" w:color="auto" w:fill="auto"/>
            <w:noWrap/>
            <w:vAlign w:val="bottom"/>
          </w:tcPr>
          <w:p w14:paraId="176E25E4" w14:textId="208BC339"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Off </w:t>
            </w:r>
            <w:r w:rsidR="00DE36D4" w:rsidRPr="00276EB3">
              <w:rPr>
                <w:rFonts w:eastAsia="Times New Roman" w:cs="Times New Roman"/>
                <w:sz w:val="20"/>
                <w:szCs w:val="20"/>
                <w:lang w:val="en-GB" w:eastAsia="da-DK"/>
              </w:rPr>
              <w:t>labour</w:t>
            </w:r>
            <w:r w:rsidRPr="00276EB3">
              <w:rPr>
                <w:rFonts w:eastAsia="Times New Roman" w:cs="Times New Roman"/>
                <w:sz w:val="20"/>
                <w:szCs w:val="20"/>
                <w:lang w:val="en-GB" w:eastAsia="da-DK"/>
              </w:rPr>
              <w:t xml:space="preserve"> market</w:t>
            </w:r>
          </w:p>
        </w:tc>
        <w:tc>
          <w:tcPr>
            <w:tcW w:w="543" w:type="dxa"/>
            <w:shd w:val="clear" w:color="auto" w:fill="auto"/>
            <w:noWrap/>
            <w:vAlign w:val="bottom"/>
          </w:tcPr>
          <w:p w14:paraId="77B05080"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182</w:t>
            </w:r>
          </w:p>
        </w:tc>
        <w:tc>
          <w:tcPr>
            <w:tcW w:w="1110" w:type="dxa"/>
            <w:shd w:val="clear" w:color="auto" w:fill="auto"/>
            <w:noWrap/>
            <w:vAlign w:val="bottom"/>
          </w:tcPr>
          <w:p w14:paraId="420D32F0"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(69%)</w:t>
            </w:r>
          </w:p>
        </w:tc>
        <w:tc>
          <w:tcPr>
            <w:tcW w:w="542" w:type="dxa"/>
            <w:shd w:val="clear" w:color="auto" w:fill="auto"/>
            <w:noWrap/>
            <w:vAlign w:val="bottom"/>
          </w:tcPr>
          <w:p w14:paraId="0F680585"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128</w:t>
            </w:r>
          </w:p>
        </w:tc>
        <w:tc>
          <w:tcPr>
            <w:tcW w:w="956" w:type="dxa"/>
            <w:shd w:val="clear" w:color="auto" w:fill="auto"/>
            <w:noWrap/>
            <w:vAlign w:val="bottom"/>
          </w:tcPr>
          <w:p w14:paraId="24A87B1C"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(80%)</w:t>
            </w:r>
          </w:p>
        </w:tc>
        <w:tc>
          <w:tcPr>
            <w:tcW w:w="542" w:type="dxa"/>
            <w:shd w:val="clear" w:color="auto" w:fill="auto"/>
            <w:noWrap/>
            <w:vAlign w:val="bottom"/>
          </w:tcPr>
          <w:p w14:paraId="6E87B90F"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33</w:t>
            </w:r>
          </w:p>
        </w:tc>
        <w:tc>
          <w:tcPr>
            <w:tcW w:w="1111" w:type="dxa"/>
            <w:shd w:val="clear" w:color="auto" w:fill="auto"/>
            <w:noWrap/>
            <w:vAlign w:val="bottom"/>
          </w:tcPr>
          <w:p w14:paraId="67D3771F"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(20%)</w:t>
            </w:r>
          </w:p>
        </w:tc>
        <w:tc>
          <w:tcPr>
            <w:tcW w:w="1890" w:type="dxa"/>
            <w:vMerge/>
            <w:shd w:val="clear" w:color="auto" w:fill="auto"/>
            <w:noWrap/>
            <w:vAlign w:val="bottom"/>
          </w:tcPr>
          <w:p w14:paraId="368DD813"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603ACD08" w14:textId="77777777" w:rsidTr="00276EB3">
        <w:trPr>
          <w:trHeight w:val="278"/>
        </w:trPr>
        <w:tc>
          <w:tcPr>
            <w:tcW w:w="2378" w:type="dxa"/>
            <w:shd w:val="clear" w:color="auto" w:fill="auto"/>
            <w:noWrap/>
            <w:vAlign w:val="bottom"/>
            <w:hideMark/>
          </w:tcPr>
          <w:p w14:paraId="76EC518D"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b/>
                <w:bCs/>
                <w:sz w:val="20"/>
                <w:szCs w:val="20"/>
                <w:lang w:val="en-GB" w:eastAsia="da-DK"/>
              </w:rPr>
              <w:t>Education level</w:t>
            </w:r>
          </w:p>
        </w:tc>
        <w:tc>
          <w:tcPr>
            <w:tcW w:w="543" w:type="dxa"/>
            <w:shd w:val="clear" w:color="auto" w:fill="auto"/>
            <w:noWrap/>
            <w:vAlign w:val="bottom"/>
            <w:hideMark/>
          </w:tcPr>
          <w:p w14:paraId="63017F4A" w14:textId="77777777" w:rsidR="001F1659" w:rsidRPr="00276EB3" w:rsidRDefault="001F1659" w:rsidP="00276EB3">
            <w:pPr>
              <w:spacing w:after="0" w:line="240" w:lineRule="auto"/>
              <w:jc w:val="right"/>
              <w:rPr>
                <w:rFonts w:eastAsia="Times New Roman" w:cs="Times New Roman"/>
                <w:b/>
                <w:bCs/>
                <w:sz w:val="20"/>
                <w:szCs w:val="20"/>
                <w:lang w:val="en-GB" w:eastAsia="da-DK"/>
              </w:rPr>
            </w:pPr>
          </w:p>
        </w:tc>
        <w:tc>
          <w:tcPr>
            <w:tcW w:w="1110" w:type="dxa"/>
            <w:shd w:val="clear" w:color="auto" w:fill="auto"/>
            <w:noWrap/>
            <w:vAlign w:val="bottom"/>
            <w:hideMark/>
          </w:tcPr>
          <w:p w14:paraId="4B7D1778"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18FA2B6A"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956" w:type="dxa"/>
            <w:shd w:val="clear" w:color="auto" w:fill="auto"/>
            <w:noWrap/>
            <w:vAlign w:val="bottom"/>
            <w:hideMark/>
          </w:tcPr>
          <w:p w14:paraId="50604CA9"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1969D05B"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1111" w:type="dxa"/>
            <w:shd w:val="clear" w:color="auto" w:fill="auto"/>
            <w:noWrap/>
            <w:vAlign w:val="bottom"/>
            <w:hideMark/>
          </w:tcPr>
          <w:p w14:paraId="0B6AE830"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1890" w:type="dxa"/>
            <w:shd w:val="clear" w:color="auto" w:fill="auto"/>
            <w:noWrap/>
            <w:vAlign w:val="bottom"/>
            <w:hideMark/>
          </w:tcPr>
          <w:p w14:paraId="1F5A2499"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3134A706" w14:textId="77777777" w:rsidTr="00276EB3">
        <w:trPr>
          <w:trHeight w:val="227"/>
        </w:trPr>
        <w:tc>
          <w:tcPr>
            <w:tcW w:w="2378" w:type="dxa"/>
            <w:shd w:val="clear" w:color="auto" w:fill="auto"/>
            <w:noWrap/>
            <w:vAlign w:val="bottom"/>
            <w:hideMark/>
          </w:tcPr>
          <w:p w14:paraId="4AD8A8BD"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Lower level</w:t>
            </w:r>
          </w:p>
        </w:tc>
        <w:tc>
          <w:tcPr>
            <w:tcW w:w="543" w:type="dxa"/>
            <w:shd w:val="clear" w:color="auto" w:fill="auto"/>
            <w:noWrap/>
            <w:vAlign w:val="bottom"/>
            <w:hideMark/>
          </w:tcPr>
          <w:p w14:paraId="74CE25A9"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138</w:t>
            </w:r>
          </w:p>
        </w:tc>
        <w:tc>
          <w:tcPr>
            <w:tcW w:w="1110" w:type="dxa"/>
            <w:shd w:val="clear" w:color="auto" w:fill="auto"/>
            <w:noWrap/>
            <w:vAlign w:val="bottom"/>
            <w:hideMark/>
          </w:tcPr>
          <w:p w14:paraId="2387BDC8"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(54%)</w:t>
            </w:r>
          </w:p>
        </w:tc>
        <w:tc>
          <w:tcPr>
            <w:tcW w:w="542" w:type="dxa"/>
            <w:shd w:val="clear" w:color="auto" w:fill="auto"/>
            <w:noWrap/>
            <w:vAlign w:val="bottom"/>
            <w:hideMark/>
          </w:tcPr>
          <w:p w14:paraId="29885F06"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81</w:t>
            </w:r>
          </w:p>
        </w:tc>
        <w:tc>
          <w:tcPr>
            <w:tcW w:w="956" w:type="dxa"/>
            <w:shd w:val="clear" w:color="auto" w:fill="auto"/>
            <w:noWrap/>
            <w:vAlign w:val="bottom"/>
            <w:hideMark/>
          </w:tcPr>
          <w:p w14:paraId="6FB239F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(68%)</w:t>
            </w:r>
          </w:p>
        </w:tc>
        <w:tc>
          <w:tcPr>
            <w:tcW w:w="542" w:type="dxa"/>
            <w:shd w:val="clear" w:color="auto" w:fill="auto"/>
            <w:noWrap/>
            <w:vAlign w:val="bottom"/>
            <w:hideMark/>
          </w:tcPr>
          <w:p w14:paraId="23661824"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38</w:t>
            </w:r>
          </w:p>
        </w:tc>
        <w:tc>
          <w:tcPr>
            <w:tcW w:w="1111" w:type="dxa"/>
            <w:shd w:val="clear" w:color="auto" w:fill="auto"/>
            <w:noWrap/>
            <w:vAlign w:val="bottom"/>
            <w:hideMark/>
          </w:tcPr>
          <w:p w14:paraId="1EB8D01B"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(32%)</w:t>
            </w:r>
          </w:p>
        </w:tc>
        <w:tc>
          <w:tcPr>
            <w:tcW w:w="1890" w:type="dxa"/>
            <w:vMerge w:val="restart"/>
            <w:shd w:val="clear" w:color="auto" w:fill="auto"/>
            <w:noWrap/>
            <w:vAlign w:val="center"/>
            <w:hideMark/>
          </w:tcPr>
          <w:p w14:paraId="33146A09"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0.877</w:t>
            </w:r>
            <w:r w:rsidRPr="00276EB3">
              <w:rPr>
                <w:rFonts w:eastAsia="Times New Roman" w:cs="Times New Roman"/>
                <w:sz w:val="20"/>
                <w:szCs w:val="20"/>
                <w:vertAlign w:val="superscript"/>
                <w:lang w:val="en-GB" w:eastAsia="da-DK"/>
              </w:rPr>
              <w:t>a</w:t>
            </w:r>
          </w:p>
        </w:tc>
      </w:tr>
      <w:tr w:rsidR="001F1659" w:rsidRPr="00DA27E1" w14:paraId="0AC5DA61" w14:textId="77777777" w:rsidTr="00276EB3">
        <w:trPr>
          <w:trHeight w:val="227"/>
        </w:trPr>
        <w:tc>
          <w:tcPr>
            <w:tcW w:w="2378" w:type="dxa"/>
            <w:shd w:val="clear" w:color="auto" w:fill="auto"/>
            <w:noWrap/>
            <w:vAlign w:val="bottom"/>
          </w:tcPr>
          <w:p w14:paraId="4BF85D28"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Middle level</w:t>
            </w:r>
          </w:p>
        </w:tc>
        <w:tc>
          <w:tcPr>
            <w:tcW w:w="543" w:type="dxa"/>
            <w:shd w:val="clear" w:color="auto" w:fill="auto"/>
            <w:noWrap/>
            <w:vAlign w:val="bottom"/>
          </w:tcPr>
          <w:p w14:paraId="121AA86B"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89</w:t>
            </w:r>
          </w:p>
        </w:tc>
        <w:tc>
          <w:tcPr>
            <w:tcW w:w="1110" w:type="dxa"/>
            <w:shd w:val="clear" w:color="auto" w:fill="auto"/>
            <w:noWrap/>
            <w:vAlign w:val="bottom"/>
          </w:tcPr>
          <w:p w14:paraId="23BBBF0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(35%)</w:t>
            </w:r>
          </w:p>
        </w:tc>
        <w:tc>
          <w:tcPr>
            <w:tcW w:w="542" w:type="dxa"/>
            <w:shd w:val="clear" w:color="auto" w:fill="auto"/>
            <w:noWrap/>
            <w:vAlign w:val="bottom"/>
          </w:tcPr>
          <w:p w14:paraId="749C452F"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55</w:t>
            </w:r>
          </w:p>
        </w:tc>
        <w:tc>
          <w:tcPr>
            <w:tcW w:w="956" w:type="dxa"/>
            <w:shd w:val="clear" w:color="auto" w:fill="auto"/>
            <w:noWrap/>
            <w:vAlign w:val="bottom"/>
          </w:tcPr>
          <w:p w14:paraId="2A170D84"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(70%)</w:t>
            </w:r>
          </w:p>
        </w:tc>
        <w:tc>
          <w:tcPr>
            <w:tcW w:w="542" w:type="dxa"/>
            <w:shd w:val="clear" w:color="auto" w:fill="auto"/>
            <w:noWrap/>
            <w:vAlign w:val="bottom"/>
          </w:tcPr>
          <w:p w14:paraId="516E5B17"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24</w:t>
            </w:r>
          </w:p>
        </w:tc>
        <w:tc>
          <w:tcPr>
            <w:tcW w:w="1111" w:type="dxa"/>
            <w:shd w:val="clear" w:color="auto" w:fill="auto"/>
            <w:noWrap/>
            <w:vAlign w:val="bottom"/>
          </w:tcPr>
          <w:p w14:paraId="11A96EE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(30%)</w:t>
            </w:r>
          </w:p>
        </w:tc>
        <w:tc>
          <w:tcPr>
            <w:tcW w:w="1890" w:type="dxa"/>
            <w:vMerge/>
            <w:shd w:val="clear" w:color="auto" w:fill="auto"/>
            <w:noWrap/>
            <w:vAlign w:val="bottom"/>
          </w:tcPr>
          <w:p w14:paraId="2C105CD3"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456AE205" w14:textId="77777777" w:rsidTr="00276EB3">
        <w:trPr>
          <w:trHeight w:val="227"/>
        </w:trPr>
        <w:tc>
          <w:tcPr>
            <w:tcW w:w="2378" w:type="dxa"/>
            <w:shd w:val="clear" w:color="auto" w:fill="auto"/>
            <w:noWrap/>
            <w:vAlign w:val="bottom"/>
          </w:tcPr>
          <w:p w14:paraId="635778E7"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Higher level</w:t>
            </w:r>
          </w:p>
        </w:tc>
        <w:tc>
          <w:tcPr>
            <w:tcW w:w="543" w:type="dxa"/>
            <w:shd w:val="clear" w:color="auto" w:fill="auto"/>
            <w:noWrap/>
            <w:vAlign w:val="bottom"/>
          </w:tcPr>
          <w:p w14:paraId="2DC62291"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27</w:t>
            </w:r>
          </w:p>
        </w:tc>
        <w:tc>
          <w:tcPr>
            <w:tcW w:w="1110" w:type="dxa"/>
            <w:shd w:val="clear" w:color="auto" w:fill="auto"/>
            <w:noWrap/>
            <w:vAlign w:val="bottom"/>
          </w:tcPr>
          <w:p w14:paraId="2528D6B1"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(11%)</w:t>
            </w:r>
          </w:p>
        </w:tc>
        <w:tc>
          <w:tcPr>
            <w:tcW w:w="542" w:type="dxa"/>
            <w:shd w:val="clear" w:color="auto" w:fill="auto"/>
            <w:noWrap/>
            <w:vAlign w:val="bottom"/>
          </w:tcPr>
          <w:p w14:paraId="2AC0F8C1"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19</w:t>
            </w:r>
          </w:p>
        </w:tc>
        <w:tc>
          <w:tcPr>
            <w:tcW w:w="956" w:type="dxa"/>
            <w:shd w:val="clear" w:color="auto" w:fill="auto"/>
            <w:noWrap/>
            <w:vAlign w:val="bottom"/>
          </w:tcPr>
          <w:p w14:paraId="4813BD49"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(73%)</w:t>
            </w:r>
          </w:p>
        </w:tc>
        <w:tc>
          <w:tcPr>
            <w:tcW w:w="542" w:type="dxa"/>
            <w:shd w:val="clear" w:color="auto" w:fill="auto"/>
            <w:noWrap/>
            <w:vAlign w:val="bottom"/>
          </w:tcPr>
          <w:p w14:paraId="385163B3"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7</w:t>
            </w:r>
          </w:p>
        </w:tc>
        <w:tc>
          <w:tcPr>
            <w:tcW w:w="1111" w:type="dxa"/>
            <w:shd w:val="clear" w:color="auto" w:fill="auto"/>
            <w:noWrap/>
            <w:vAlign w:val="bottom"/>
          </w:tcPr>
          <w:p w14:paraId="256A9D20"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(27%)</w:t>
            </w:r>
          </w:p>
        </w:tc>
        <w:tc>
          <w:tcPr>
            <w:tcW w:w="1890" w:type="dxa"/>
            <w:vMerge/>
            <w:shd w:val="clear" w:color="auto" w:fill="auto"/>
            <w:noWrap/>
            <w:vAlign w:val="bottom"/>
          </w:tcPr>
          <w:p w14:paraId="061A98F7"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548D6FC6" w14:textId="77777777" w:rsidTr="00276EB3">
        <w:trPr>
          <w:trHeight w:val="278"/>
        </w:trPr>
        <w:tc>
          <w:tcPr>
            <w:tcW w:w="2378" w:type="dxa"/>
            <w:shd w:val="clear" w:color="auto" w:fill="auto"/>
            <w:noWrap/>
            <w:vAlign w:val="bottom"/>
            <w:hideMark/>
          </w:tcPr>
          <w:p w14:paraId="306DACB0"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b/>
                <w:bCs/>
                <w:sz w:val="20"/>
                <w:szCs w:val="20"/>
                <w:lang w:val="en-GB" w:eastAsia="da-DK"/>
              </w:rPr>
              <w:t>Smoking</w:t>
            </w:r>
          </w:p>
        </w:tc>
        <w:tc>
          <w:tcPr>
            <w:tcW w:w="543" w:type="dxa"/>
            <w:shd w:val="clear" w:color="auto" w:fill="auto"/>
            <w:noWrap/>
            <w:vAlign w:val="bottom"/>
            <w:hideMark/>
          </w:tcPr>
          <w:p w14:paraId="7A86B1BA" w14:textId="77777777" w:rsidR="001F1659" w:rsidRPr="00276EB3" w:rsidRDefault="001F1659" w:rsidP="00276EB3">
            <w:pPr>
              <w:spacing w:after="0" w:line="240" w:lineRule="auto"/>
              <w:jc w:val="right"/>
              <w:rPr>
                <w:rFonts w:eastAsia="Times New Roman" w:cs="Times New Roman"/>
                <w:b/>
                <w:bCs/>
                <w:sz w:val="20"/>
                <w:szCs w:val="20"/>
                <w:lang w:val="en-GB" w:eastAsia="da-DK"/>
              </w:rPr>
            </w:pPr>
          </w:p>
        </w:tc>
        <w:tc>
          <w:tcPr>
            <w:tcW w:w="1110" w:type="dxa"/>
            <w:shd w:val="clear" w:color="auto" w:fill="auto"/>
            <w:noWrap/>
            <w:vAlign w:val="bottom"/>
            <w:hideMark/>
          </w:tcPr>
          <w:p w14:paraId="1C5D2BF3"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3D6BDB06"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956" w:type="dxa"/>
            <w:shd w:val="clear" w:color="auto" w:fill="auto"/>
            <w:noWrap/>
            <w:vAlign w:val="bottom"/>
            <w:hideMark/>
          </w:tcPr>
          <w:p w14:paraId="6DBE5589"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39E4593D"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1111" w:type="dxa"/>
            <w:shd w:val="clear" w:color="auto" w:fill="auto"/>
            <w:noWrap/>
            <w:vAlign w:val="bottom"/>
            <w:hideMark/>
          </w:tcPr>
          <w:p w14:paraId="0840455E"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1890" w:type="dxa"/>
            <w:shd w:val="clear" w:color="auto" w:fill="auto"/>
            <w:noWrap/>
            <w:vAlign w:val="bottom"/>
            <w:hideMark/>
          </w:tcPr>
          <w:p w14:paraId="24B1D036"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223A829C" w14:textId="77777777" w:rsidTr="00276EB3">
        <w:trPr>
          <w:trHeight w:val="227"/>
        </w:trPr>
        <w:tc>
          <w:tcPr>
            <w:tcW w:w="2378" w:type="dxa"/>
            <w:shd w:val="clear" w:color="auto" w:fill="auto"/>
            <w:noWrap/>
            <w:vAlign w:val="bottom"/>
            <w:hideMark/>
          </w:tcPr>
          <w:p w14:paraId="5105D5B2"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Yes</w:t>
            </w:r>
          </w:p>
        </w:tc>
        <w:tc>
          <w:tcPr>
            <w:tcW w:w="543" w:type="dxa"/>
            <w:shd w:val="clear" w:color="auto" w:fill="auto"/>
            <w:noWrap/>
            <w:vAlign w:val="bottom"/>
            <w:hideMark/>
          </w:tcPr>
          <w:p w14:paraId="67E3F48A"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32</w:t>
            </w:r>
          </w:p>
        </w:tc>
        <w:tc>
          <w:tcPr>
            <w:tcW w:w="1110" w:type="dxa"/>
            <w:shd w:val="clear" w:color="auto" w:fill="auto"/>
            <w:noWrap/>
            <w:vAlign w:val="bottom"/>
            <w:hideMark/>
          </w:tcPr>
          <w:p w14:paraId="2F293B09"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(12%)</w:t>
            </w:r>
          </w:p>
        </w:tc>
        <w:tc>
          <w:tcPr>
            <w:tcW w:w="542" w:type="dxa"/>
            <w:shd w:val="clear" w:color="auto" w:fill="auto"/>
            <w:noWrap/>
            <w:vAlign w:val="bottom"/>
            <w:hideMark/>
          </w:tcPr>
          <w:p w14:paraId="5BCA8722"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18</w:t>
            </w:r>
          </w:p>
        </w:tc>
        <w:tc>
          <w:tcPr>
            <w:tcW w:w="956" w:type="dxa"/>
            <w:shd w:val="clear" w:color="auto" w:fill="auto"/>
            <w:noWrap/>
            <w:vAlign w:val="bottom"/>
            <w:hideMark/>
          </w:tcPr>
          <w:p w14:paraId="03AF0C68"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(67%)</w:t>
            </w:r>
          </w:p>
        </w:tc>
        <w:tc>
          <w:tcPr>
            <w:tcW w:w="542" w:type="dxa"/>
            <w:shd w:val="clear" w:color="auto" w:fill="auto"/>
            <w:noWrap/>
            <w:vAlign w:val="bottom"/>
            <w:hideMark/>
          </w:tcPr>
          <w:p w14:paraId="6D7B9838"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9</w:t>
            </w:r>
          </w:p>
        </w:tc>
        <w:tc>
          <w:tcPr>
            <w:tcW w:w="1111" w:type="dxa"/>
            <w:shd w:val="clear" w:color="auto" w:fill="auto"/>
            <w:noWrap/>
            <w:vAlign w:val="bottom"/>
            <w:hideMark/>
          </w:tcPr>
          <w:p w14:paraId="398B7D2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(33%)</w:t>
            </w:r>
          </w:p>
        </w:tc>
        <w:tc>
          <w:tcPr>
            <w:tcW w:w="1890" w:type="dxa"/>
            <w:vMerge w:val="restart"/>
            <w:shd w:val="clear" w:color="auto" w:fill="auto"/>
            <w:noWrap/>
            <w:vAlign w:val="center"/>
            <w:hideMark/>
          </w:tcPr>
          <w:p w14:paraId="374D0EB8"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0.740</w:t>
            </w:r>
            <w:r w:rsidRPr="00276EB3">
              <w:rPr>
                <w:rFonts w:eastAsia="Times New Roman" w:cs="Times New Roman"/>
                <w:sz w:val="20"/>
                <w:szCs w:val="20"/>
                <w:vertAlign w:val="superscript"/>
                <w:lang w:val="en-GB" w:eastAsia="da-DK"/>
              </w:rPr>
              <w:t xml:space="preserve"> a</w:t>
            </w:r>
          </w:p>
        </w:tc>
      </w:tr>
      <w:tr w:rsidR="001F1659" w:rsidRPr="00DA27E1" w14:paraId="16341F86" w14:textId="77777777" w:rsidTr="00276EB3">
        <w:trPr>
          <w:trHeight w:val="227"/>
        </w:trPr>
        <w:tc>
          <w:tcPr>
            <w:tcW w:w="2378" w:type="dxa"/>
            <w:shd w:val="clear" w:color="auto" w:fill="auto"/>
            <w:noWrap/>
            <w:vAlign w:val="bottom"/>
          </w:tcPr>
          <w:p w14:paraId="39B16560"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No or former smoker</w:t>
            </w:r>
          </w:p>
        </w:tc>
        <w:tc>
          <w:tcPr>
            <w:tcW w:w="543" w:type="dxa"/>
            <w:shd w:val="clear" w:color="auto" w:fill="auto"/>
            <w:noWrap/>
            <w:vAlign w:val="bottom"/>
          </w:tcPr>
          <w:p w14:paraId="658AF162"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228</w:t>
            </w:r>
          </w:p>
        </w:tc>
        <w:tc>
          <w:tcPr>
            <w:tcW w:w="1110" w:type="dxa"/>
            <w:shd w:val="clear" w:color="auto" w:fill="auto"/>
            <w:noWrap/>
            <w:vAlign w:val="bottom"/>
          </w:tcPr>
          <w:p w14:paraId="1E5B30D1"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(88%)</w:t>
            </w:r>
          </w:p>
        </w:tc>
        <w:tc>
          <w:tcPr>
            <w:tcW w:w="542" w:type="dxa"/>
            <w:shd w:val="clear" w:color="auto" w:fill="auto"/>
            <w:noWrap/>
            <w:vAlign w:val="bottom"/>
          </w:tcPr>
          <w:p w14:paraId="2B6C9134"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141</w:t>
            </w:r>
          </w:p>
        </w:tc>
        <w:tc>
          <w:tcPr>
            <w:tcW w:w="956" w:type="dxa"/>
            <w:shd w:val="clear" w:color="auto" w:fill="auto"/>
            <w:noWrap/>
            <w:vAlign w:val="bottom"/>
          </w:tcPr>
          <w:p w14:paraId="7F0B321B"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(70%)</w:t>
            </w:r>
          </w:p>
        </w:tc>
        <w:tc>
          <w:tcPr>
            <w:tcW w:w="542" w:type="dxa"/>
            <w:shd w:val="clear" w:color="auto" w:fill="auto"/>
            <w:noWrap/>
            <w:vAlign w:val="bottom"/>
          </w:tcPr>
          <w:p w14:paraId="6B8E3B2E"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61</w:t>
            </w:r>
          </w:p>
        </w:tc>
        <w:tc>
          <w:tcPr>
            <w:tcW w:w="1111" w:type="dxa"/>
            <w:shd w:val="clear" w:color="auto" w:fill="auto"/>
            <w:noWrap/>
            <w:vAlign w:val="bottom"/>
          </w:tcPr>
          <w:p w14:paraId="4A8139D6"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(30%)</w:t>
            </w:r>
          </w:p>
        </w:tc>
        <w:tc>
          <w:tcPr>
            <w:tcW w:w="1890" w:type="dxa"/>
            <w:vMerge/>
            <w:shd w:val="clear" w:color="auto" w:fill="auto"/>
            <w:noWrap/>
            <w:vAlign w:val="bottom"/>
          </w:tcPr>
          <w:p w14:paraId="5A94B6C2"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46DD80C5" w14:textId="77777777" w:rsidTr="00276EB3">
        <w:trPr>
          <w:trHeight w:val="278"/>
        </w:trPr>
        <w:tc>
          <w:tcPr>
            <w:tcW w:w="2378" w:type="dxa"/>
            <w:shd w:val="clear" w:color="auto" w:fill="auto"/>
            <w:noWrap/>
            <w:vAlign w:val="bottom"/>
            <w:hideMark/>
          </w:tcPr>
          <w:p w14:paraId="68AA127F"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b/>
                <w:bCs/>
                <w:sz w:val="20"/>
                <w:szCs w:val="20"/>
                <w:lang w:val="en-GB" w:eastAsia="da-DK"/>
              </w:rPr>
              <w:t>Cardiac diagnosis</w:t>
            </w:r>
          </w:p>
        </w:tc>
        <w:tc>
          <w:tcPr>
            <w:tcW w:w="543" w:type="dxa"/>
            <w:shd w:val="clear" w:color="auto" w:fill="auto"/>
            <w:noWrap/>
            <w:vAlign w:val="bottom"/>
            <w:hideMark/>
          </w:tcPr>
          <w:p w14:paraId="5F948287" w14:textId="77777777" w:rsidR="001F1659" w:rsidRPr="00276EB3" w:rsidRDefault="001F1659" w:rsidP="00276EB3">
            <w:pPr>
              <w:spacing w:after="0" w:line="240" w:lineRule="auto"/>
              <w:jc w:val="right"/>
              <w:rPr>
                <w:rFonts w:eastAsia="Times New Roman" w:cs="Times New Roman"/>
                <w:b/>
                <w:bCs/>
                <w:sz w:val="20"/>
                <w:szCs w:val="20"/>
                <w:lang w:val="en-GB" w:eastAsia="da-DK"/>
              </w:rPr>
            </w:pPr>
          </w:p>
        </w:tc>
        <w:tc>
          <w:tcPr>
            <w:tcW w:w="1110" w:type="dxa"/>
            <w:shd w:val="clear" w:color="auto" w:fill="auto"/>
            <w:noWrap/>
            <w:vAlign w:val="bottom"/>
            <w:hideMark/>
          </w:tcPr>
          <w:p w14:paraId="5F606090"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0F656741"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956" w:type="dxa"/>
            <w:shd w:val="clear" w:color="auto" w:fill="auto"/>
            <w:noWrap/>
            <w:vAlign w:val="bottom"/>
            <w:hideMark/>
          </w:tcPr>
          <w:p w14:paraId="4036F484"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174F45DF"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1111" w:type="dxa"/>
            <w:shd w:val="clear" w:color="auto" w:fill="auto"/>
            <w:noWrap/>
            <w:vAlign w:val="bottom"/>
            <w:hideMark/>
          </w:tcPr>
          <w:p w14:paraId="57382E4A"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1890" w:type="dxa"/>
            <w:shd w:val="clear" w:color="auto" w:fill="auto"/>
            <w:noWrap/>
            <w:vAlign w:val="bottom"/>
            <w:hideMark/>
          </w:tcPr>
          <w:p w14:paraId="2154A227"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5F9E388F" w14:textId="77777777" w:rsidTr="00276EB3">
        <w:trPr>
          <w:trHeight w:val="227"/>
        </w:trPr>
        <w:tc>
          <w:tcPr>
            <w:tcW w:w="2378" w:type="dxa"/>
            <w:shd w:val="clear" w:color="auto" w:fill="auto"/>
            <w:noWrap/>
            <w:vAlign w:val="bottom"/>
            <w:hideMark/>
          </w:tcPr>
          <w:p w14:paraId="3AA1CDCC"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Coronary heart disease</w:t>
            </w:r>
          </w:p>
        </w:tc>
        <w:tc>
          <w:tcPr>
            <w:tcW w:w="543" w:type="dxa"/>
            <w:shd w:val="clear" w:color="auto" w:fill="auto"/>
            <w:noWrap/>
            <w:vAlign w:val="bottom"/>
            <w:hideMark/>
          </w:tcPr>
          <w:p w14:paraId="6C60E8D8"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152</w:t>
            </w:r>
          </w:p>
        </w:tc>
        <w:tc>
          <w:tcPr>
            <w:tcW w:w="1110" w:type="dxa"/>
            <w:shd w:val="clear" w:color="auto" w:fill="auto"/>
            <w:noWrap/>
            <w:vAlign w:val="bottom"/>
            <w:hideMark/>
          </w:tcPr>
          <w:p w14:paraId="5CD18939"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(57%)</w:t>
            </w:r>
          </w:p>
        </w:tc>
        <w:tc>
          <w:tcPr>
            <w:tcW w:w="542" w:type="dxa"/>
            <w:shd w:val="clear" w:color="auto" w:fill="auto"/>
            <w:noWrap/>
            <w:vAlign w:val="bottom"/>
            <w:hideMark/>
          </w:tcPr>
          <w:p w14:paraId="6D8A3921"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93</w:t>
            </w:r>
          </w:p>
        </w:tc>
        <w:tc>
          <w:tcPr>
            <w:tcW w:w="956" w:type="dxa"/>
            <w:shd w:val="clear" w:color="auto" w:fill="auto"/>
            <w:noWrap/>
            <w:vAlign w:val="bottom"/>
            <w:hideMark/>
          </w:tcPr>
          <w:p w14:paraId="6ABE96A1"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(67%)</w:t>
            </w:r>
          </w:p>
        </w:tc>
        <w:tc>
          <w:tcPr>
            <w:tcW w:w="542" w:type="dxa"/>
            <w:shd w:val="clear" w:color="auto" w:fill="auto"/>
            <w:noWrap/>
            <w:vAlign w:val="bottom"/>
            <w:hideMark/>
          </w:tcPr>
          <w:p w14:paraId="2CA59134"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45</w:t>
            </w:r>
          </w:p>
        </w:tc>
        <w:tc>
          <w:tcPr>
            <w:tcW w:w="1111" w:type="dxa"/>
            <w:shd w:val="clear" w:color="auto" w:fill="auto"/>
            <w:noWrap/>
            <w:vAlign w:val="bottom"/>
            <w:hideMark/>
          </w:tcPr>
          <w:p w14:paraId="66C05540"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(33%)</w:t>
            </w:r>
          </w:p>
        </w:tc>
        <w:tc>
          <w:tcPr>
            <w:tcW w:w="1890" w:type="dxa"/>
            <w:shd w:val="clear" w:color="auto" w:fill="auto"/>
            <w:noWrap/>
            <w:vAlign w:val="bottom"/>
            <w:hideMark/>
          </w:tcPr>
          <w:p w14:paraId="7B935E86"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7CEF8249" w14:textId="77777777" w:rsidTr="00276EB3">
        <w:trPr>
          <w:trHeight w:val="227"/>
        </w:trPr>
        <w:tc>
          <w:tcPr>
            <w:tcW w:w="2378" w:type="dxa"/>
            <w:shd w:val="clear" w:color="auto" w:fill="auto"/>
            <w:noWrap/>
            <w:vAlign w:val="bottom"/>
            <w:hideMark/>
          </w:tcPr>
          <w:p w14:paraId="53ECA5C8"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Heart failure</w:t>
            </w:r>
          </w:p>
        </w:tc>
        <w:tc>
          <w:tcPr>
            <w:tcW w:w="543" w:type="dxa"/>
            <w:shd w:val="clear" w:color="auto" w:fill="auto"/>
            <w:noWrap/>
            <w:vAlign w:val="bottom"/>
            <w:hideMark/>
          </w:tcPr>
          <w:p w14:paraId="38A0CFB6"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76</w:t>
            </w:r>
          </w:p>
        </w:tc>
        <w:tc>
          <w:tcPr>
            <w:tcW w:w="1110" w:type="dxa"/>
            <w:shd w:val="clear" w:color="auto" w:fill="auto"/>
            <w:noWrap/>
            <w:vAlign w:val="bottom"/>
            <w:hideMark/>
          </w:tcPr>
          <w:p w14:paraId="0C4D3BBB"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(29%)</w:t>
            </w:r>
          </w:p>
        </w:tc>
        <w:tc>
          <w:tcPr>
            <w:tcW w:w="542" w:type="dxa"/>
            <w:shd w:val="clear" w:color="auto" w:fill="auto"/>
            <w:noWrap/>
            <w:vAlign w:val="bottom"/>
            <w:hideMark/>
          </w:tcPr>
          <w:p w14:paraId="09F93AC5"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45</w:t>
            </w:r>
          </w:p>
        </w:tc>
        <w:tc>
          <w:tcPr>
            <w:tcW w:w="956" w:type="dxa"/>
            <w:shd w:val="clear" w:color="auto" w:fill="auto"/>
            <w:noWrap/>
            <w:vAlign w:val="bottom"/>
            <w:hideMark/>
          </w:tcPr>
          <w:p w14:paraId="39505622"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(70%)</w:t>
            </w:r>
          </w:p>
        </w:tc>
        <w:tc>
          <w:tcPr>
            <w:tcW w:w="542" w:type="dxa"/>
            <w:shd w:val="clear" w:color="auto" w:fill="auto"/>
            <w:noWrap/>
            <w:vAlign w:val="bottom"/>
            <w:hideMark/>
          </w:tcPr>
          <w:p w14:paraId="5A052387"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19</w:t>
            </w:r>
          </w:p>
        </w:tc>
        <w:tc>
          <w:tcPr>
            <w:tcW w:w="1111" w:type="dxa"/>
            <w:shd w:val="clear" w:color="auto" w:fill="auto"/>
            <w:noWrap/>
            <w:vAlign w:val="bottom"/>
            <w:hideMark/>
          </w:tcPr>
          <w:p w14:paraId="1230CF55"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(30%)</w:t>
            </w:r>
          </w:p>
        </w:tc>
        <w:tc>
          <w:tcPr>
            <w:tcW w:w="1890" w:type="dxa"/>
            <w:shd w:val="clear" w:color="auto" w:fill="auto"/>
            <w:noWrap/>
            <w:vAlign w:val="bottom"/>
            <w:hideMark/>
          </w:tcPr>
          <w:p w14:paraId="758EA8D2"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0.686</w:t>
            </w:r>
            <w:r w:rsidRPr="00276EB3">
              <w:rPr>
                <w:rFonts w:eastAsia="Times New Roman" w:cs="Times New Roman"/>
                <w:sz w:val="20"/>
                <w:szCs w:val="20"/>
                <w:vertAlign w:val="superscript"/>
                <w:lang w:val="en-GB" w:eastAsia="da-DK"/>
              </w:rPr>
              <w:t xml:space="preserve"> a</w:t>
            </w:r>
          </w:p>
        </w:tc>
      </w:tr>
      <w:tr w:rsidR="001F1659" w:rsidRPr="00DA27E1" w14:paraId="1BF05792" w14:textId="77777777" w:rsidTr="00276EB3">
        <w:trPr>
          <w:trHeight w:val="227"/>
        </w:trPr>
        <w:tc>
          <w:tcPr>
            <w:tcW w:w="2378" w:type="dxa"/>
            <w:shd w:val="clear" w:color="auto" w:fill="auto"/>
            <w:noWrap/>
            <w:vAlign w:val="bottom"/>
            <w:hideMark/>
          </w:tcPr>
          <w:p w14:paraId="0B66306C"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Heart valve surgery</w:t>
            </w:r>
          </w:p>
        </w:tc>
        <w:tc>
          <w:tcPr>
            <w:tcW w:w="543" w:type="dxa"/>
            <w:shd w:val="clear" w:color="auto" w:fill="auto"/>
            <w:noWrap/>
            <w:vAlign w:val="bottom"/>
            <w:hideMark/>
          </w:tcPr>
          <w:p w14:paraId="6A5C431F"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37</w:t>
            </w:r>
          </w:p>
        </w:tc>
        <w:tc>
          <w:tcPr>
            <w:tcW w:w="1110" w:type="dxa"/>
            <w:shd w:val="clear" w:color="auto" w:fill="auto"/>
            <w:noWrap/>
            <w:vAlign w:val="bottom"/>
            <w:hideMark/>
          </w:tcPr>
          <w:p w14:paraId="7087FCB0"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(14%)</w:t>
            </w:r>
          </w:p>
        </w:tc>
        <w:tc>
          <w:tcPr>
            <w:tcW w:w="542" w:type="dxa"/>
            <w:shd w:val="clear" w:color="auto" w:fill="auto"/>
            <w:noWrap/>
            <w:vAlign w:val="bottom"/>
            <w:hideMark/>
          </w:tcPr>
          <w:p w14:paraId="2BF5D284"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24</w:t>
            </w:r>
          </w:p>
        </w:tc>
        <w:tc>
          <w:tcPr>
            <w:tcW w:w="956" w:type="dxa"/>
            <w:shd w:val="clear" w:color="auto" w:fill="auto"/>
            <w:noWrap/>
            <w:vAlign w:val="bottom"/>
            <w:hideMark/>
          </w:tcPr>
          <w:p w14:paraId="1099DF0F"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(75%)</w:t>
            </w:r>
          </w:p>
        </w:tc>
        <w:tc>
          <w:tcPr>
            <w:tcW w:w="542" w:type="dxa"/>
            <w:shd w:val="clear" w:color="auto" w:fill="auto"/>
            <w:noWrap/>
            <w:vAlign w:val="bottom"/>
            <w:hideMark/>
          </w:tcPr>
          <w:p w14:paraId="7A0EF266"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8</w:t>
            </w:r>
          </w:p>
        </w:tc>
        <w:tc>
          <w:tcPr>
            <w:tcW w:w="1111" w:type="dxa"/>
            <w:shd w:val="clear" w:color="auto" w:fill="auto"/>
            <w:noWrap/>
            <w:vAlign w:val="bottom"/>
            <w:hideMark/>
          </w:tcPr>
          <w:p w14:paraId="2A763CD9"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(25%)</w:t>
            </w:r>
          </w:p>
        </w:tc>
        <w:tc>
          <w:tcPr>
            <w:tcW w:w="1890" w:type="dxa"/>
            <w:shd w:val="clear" w:color="auto" w:fill="auto"/>
            <w:noWrap/>
            <w:vAlign w:val="bottom"/>
            <w:hideMark/>
          </w:tcPr>
          <w:p w14:paraId="15092C2C"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0B0A03A9" w14:textId="77777777" w:rsidTr="00276EB3">
        <w:trPr>
          <w:trHeight w:val="732"/>
        </w:trPr>
        <w:tc>
          <w:tcPr>
            <w:tcW w:w="2378" w:type="dxa"/>
            <w:shd w:val="clear" w:color="auto" w:fill="auto"/>
            <w:vAlign w:val="bottom"/>
            <w:hideMark/>
          </w:tcPr>
          <w:p w14:paraId="6E5C4FBB" w14:textId="5724CA88" w:rsidR="001F1659" w:rsidRPr="00276EB3" w:rsidRDefault="001F1659" w:rsidP="00276EB3">
            <w:pPr>
              <w:spacing w:after="0" w:line="240" w:lineRule="auto"/>
              <w:ind w:left="72" w:hanging="72"/>
              <w:rPr>
                <w:rFonts w:eastAsia="Times New Roman" w:cs="Times New Roman"/>
                <w:b/>
                <w:bCs/>
                <w:sz w:val="20"/>
                <w:szCs w:val="20"/>
                <w:lang w:val="en-GB" w:eastAsia="da-DK"/>
              </w:rPr>
            </w:pPr>
            <w:r w:rsidRPr="00276EB3">
              <w:rPr>
                <w:rFonts w:eastAsia="Times New Roman" w:cs="Times New Roman"/>
                <w:b/>
                <w:bCs/>
                <w:sz w:val="20"/>
                <w:szCs w:val="20"/>
                <w:lang w:val="en-GB" w:eastAsia="da-DK"/>
              </w:rPr>
              <w:t xml:space="preserve">Distance to hospital    </w:t>
            </w:r>
            <w:r w:rsidRPr="00276EB3">
              <w:rPr>
                <w:rFonts w:eastAsia="Times New Roman" w:cs="Times New Roman"/>
                <w:sz w:val="20"/>
                <w:szCs w:val="20"/>
                <w:lang w:val="en-GB" w:eastAsia="da-DK"/>
              </w:rPr>
              <w:t>(</w:t>
            </w:r>
            <w:r w:rsidR="00DE36D4" w:rsidRPr="00276EB3">
              <w:rPr>
                <w:rFonts w:eastAsia="Times New Roman" w:cs="Times New Roman"/>
                <w:sz w:val="20"/>
                <w:szCs w:val="20"/>
                <w:lang w:val="en-GB" w:eastAsia="da-DK"/>
              </w:rPr>
              <w:t>kilometres</w:t>
            </w:r>
            <w:r w:rsidRPr="00276EB3">
              <w:rPr>
                <w:rFonts w:eastAsia="Times New Roman" w:cs="Times New Roman"/>
                <w:sz w:val="20"/>
                <w:szCs w:val="20"/>
                <w:lang w:val="en-GB" w:eastAsia="da-DK"/>
              </w:rPr>
              <w:t>), median (IQR)</w:t>
            </w:r>
          </w:p>
        </w:tc>
        <w:tc>
          <w:tcPr>
            <w:tcW w:w="543" w:type="dxa"/>
            <w:shd w:val="clear" w:color="auto" w:fill="auto"/>
            <w:noWrap/>
            <w:vAlign w:val="bottom"/>
            <w:hideMark/>
          </w:tcPr>
          <w:p w14:paraId="666BB503"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14.2</w:t>
            </w:r>
          </w:p>
        </w:tc>
        <w:tc>
          <w:tcPr>
            <w:tcW w:w="1110" w:type="dxa"/>
            <w:shd w:val="clear" w:color="auto" w:fill="auto"/>
            <w:noWrap/>
            <w:vAlign w:val="bottom"/>
            <w:hideMark/>
          </w:tcPr>
          <w:p w14:paraId="4D0C2C80"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(5.7-21.3)</w:t>
            </w:r>
          </w:p>
        </w:tc>
        <w:tc>
          <w:tcPr>
            <w:tcW w:w="542" w:type="dxa"/>
            <w:shd w:val="clear" w:color="auto" w:fill="auto"/>
            <w:noWrap/>
            <w:vAlign w:val="bottom"/>
            <w:hideMark/>
          </w:tcPr>
          <w:p w14:paraId="6714005E"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14.2</w:t>
            </w:r>
          </w:p>
        </w:tc>
        <w:tc>
          <w:tcPr>
            <w:tcW w:w="956" w:type="dxa"/>
            <w:shd w:val="clear" w:color="auto" w:fill="auto"/>
            <w:noWrap/>
            <w:vAlign w:val="bottom"/>
            <w:hideMark/>
          </w:tcPr>
          <w:p w14:paraId="055EF62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(5.8-22.6)</w:t>
            </w:r>
          </w:p>
        </w:tc>
        <w:tc>
          <w:tcPr>
            <w:tcW w:w="542" w:type="dxa"/>
            <w:shd w:val="clear" w:color="auto" w:fill="auto"/>
            <w:noWrap/>
            <w:vAlign w:val="bottom"/>
            <w:hideMark/>
          </w:tcPr>
          <w:p w14:paraId="271543FB"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14.2</w:t>
            </w:r>
          </w:p>
        </w:tc>
        <w:tc>
          <w:tcPr>
            <w:tcW w:w="1111" w:type="dxa"/>
            <w:shd w:val="clear" w:color="auto" w:fill="auto"/>
            <w:noWrap/>
            <w:vAlign w:val="bottom"/>
            <w:hideMark/>
          </w:tcPr>
          <w:p w14:paraId="75DDAE8D"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(4.8-17.6)</w:t>
            </w:r>
          </w:p>
        </w:tc>
        <w:tc>
          <w:tcPr>
            <w:tcW w:w="1890" w:type="dxa"/>
            <w:shd w:val="clear" w:color="auto" w:fill="auto"/>
            <w:noWrap/>
            <w:vAlign w:val="bottom"/>
            <w:hideMark/>
          </w:tcPr>
          <w:p w14:paraId="547E442B"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0.134</w:t>
            </w:r>
            <w:r w:rsidRPr="00276EB3">
              <w:rPr>
                <w:rFonts w:ascii="Calibri" w:eastAsia="Times New Roman" w:hAnsi="Calibri" w:cs="Calibri"/>
                <w:sz w:val="20"/>
                <w:szCs w:val="20"/>
                <w:vertAlign w:val="superscript"/>
                <w:lang w:val="en-GB" w:eastAsia="da-DK"/>
              </w:rPr>
              <w:t>c</w:t>
            </w:r>
          </w:p>
        </w:tc>
      </w:tr>
      <w:tr w:rsidR="001F1659" w:rsidRPr="00DA27E1" w14:paraId="3254DBEB" w14:textId="77777777" w:rsidTr="00276EB3">
        <w:trPr>
          <w:trHeight w:val="731"/>
        </w:trPr>
        <w:tc>
          <w:tcPr>
            <w:tcW w:w="2378" w:type="dxa"/>
            <w:shd w:val="clear" w:color="auto" w:fill="auto"/>
            <w:vAlign w:val="bottom"/>
            <w:hideMark/>
          </w:tcPr>
          <w:p w14:paraId="1A3B1C4D" w14:textId="32846DD1" w:rsidR="001F1659" w:rsidRPr="00276EB3" w:rsidRDefault="001F1659" w:rsidP="00276EB3">
            <w:pPr>
              <w:spacing w:after="0" w:line="240" w:lineRule="auto"/>
              <w:ind w:left="72" w:hanging="72"/>
              <w:rPr>
                <w:rFonts w:eastAsia="Times New Roman" w:cs="Times New Roman"/>
                <w:b/>
                <w:bCs/>
                <w:sz w:val="20"/>
                <w:szCs w:val="20"/>
                <w:lang w:val="en-GB" w:eastAsia="da-DK"/>
              </w:rPr>
            </w:pPr>
            <w:r w:rsidRPr="00276EB3">
              <w:rPr>
                <w:rFonts w:eastAsia="Times New Roman" w:cs="Times New Roman"/>
                <w:b/>
                <w:bCs/>
                <w:sz w:val="20"/>
                <w:szCs w:val="20"/>
                <w:lang w:val="en-GB" w:eastAsia="da-DK"/>
              </w:rPr>
              <w:t>Distance to municipalities</w:t>
            </w:r>
            <w:r w:rsidRPr="00276EB3">
              <w:rPr>
                <w:rFonts w:eastAsia="Times New Roman" w:cs="Times New Roman"/>
                <w:sz w:val="20"/>
                <w:szCs w:val="20"/>
                <w:lang w:val="en-GB" w:eastAsia="da-DK"/>
              </w:rPr>
              <w:t xml:space="preserve"> (</w:t>
            </w:r>
            <w:r w:rsidR="00DE36D4" w:rsidRPr="00276EB3">
              <w:rPr>
                <w:rFonts w:eastAsia="Times New Roman" w:cs="Times New Roman"/>
                <w:sz w:val="20"/>
                <w:szCs w:val="20"/>
                <w:lang w:val="en-GB" w:eastAsia="da-DK"/>
              </w:rPr>
              <w:t>kilometres</w:t>
            </w:r>
            <w:r w:rsidRPr="00276EB3">
              <w:rPr>
                <w:rFonts w:eastAsia="Times New Roman" w:cs="Times New Roman"/>
                <w:sz w:val="20"/>
                <w:szCs w:val="20"/>
                <w:lang w:val="en-GB" w:eastAsia="da-DK"/>
              </w:rPr>
              <w:t>), median (IQR)</w:t>
            </w:r>
          </w:p>
        </w:tc>
        <w:tc>
          <w:tcPr>
            <w:tcW w:w="543" w:type="dxa"/>
            <w:shd w:val="clear" w:color="auto" w:fill="auto"/>
            <w:noWrap/>
            <w:vAlign w:val="bottom"/>
            <w:hideMark/>
          </w:tcPr>
          <w:p w14:paraId="68B96866"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7.5</w:t>
            </w:r>
          </w:p>
        </w:tc>
        <w:tc>
          <w:tcPr>
            <w:tcW w:w="1110" w:type="dxa"/>
            <w:shd w:val="clear" w:color="auto" w:fill="auto"/>
            <w:noWrap/>
            <w:vAlign w:val="bottom"/>
            <w:hideMark/>
          </w:tcPr>
          <w:p w14:paraId="2BE6F44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(3.2-13.1)</w:t>
            </w:r>
          </w:p>
        </w:tc>
        <w:tc>
          <w:tcPr>
            <w:tcW w:w="542" w:type="dxa"/>
            <w:shd w:val="clear" w:color="auto" w:fill="auto"/>
            <w:noWrap/>
            <w:vAlign w:val="bottom"/>
            <w:hideMark/>
          </w:tcPr>
          <w:p w14:paraId="563574B2"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7.5</w:t>
            </w:r>
          </w:p>
        </w:tc>
        <w:tc>
          <w:tcPr>
            <w:tcW w:w="956" w:type="dxa"/>
            <w:shd w:val="clear" w:color="auto" w:fill="auto"/>
            <w:noWrap/>
            <w:vAlign w:val="bottom"/>
            <w:hideMark/>
          </w:tcPr>
          <w:p w14:paraId="5BCAC002"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(3.1-12.8)</w:t>
            </w:r>
          </w:p>
        </w:tc>
        <w:tc>
          <w:tcPr>
            <w:tcW w:w="542" w:type="dxa"/>
            <w:shd w:val="clear" w:color="auto" w:fill="auto"/>
            <w:noWrap/>
            <w:vAlign w:val="bottom"/>
            <w:hideMark/>
          </w:tcPr>
          <w:p w14:paraId="0C34E36C"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6.6</w:t>
            </w:r>
          </w:p>
        </w:tc>
        <w:tc>
          <w:tcPr>
            <w:tcW w:w="1111" w:type="dxa"/>
            <w:shd w:val="clear" w:color="auto" w:fill="auto"/>
            <w:noWrap/>
            <w:vAlign w:val="bottom"/>
            <w:hideMark/>
          </w:tcPr>
          <w:p w14:paraId="64055FC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(3.1-13.5)</w:t>
            </w:r>
          </w:p>
        </w:tc>
        <w:tc>
          <w:tcPr>
            <w:tcW w:w="1890" w:type="dxa"/>
            <w:shd w:val="clear" w:color="auto" w:fill="auto"/>
            <w:noWrap/>
            <w:vAlign w:val="bottom"/>
            <w:hideMark/>
          </w:tcPr>
          <w:p w14:paraId="3D384250"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0.961</w:t>
            </w:r>
            <w:r w:rsidRPr="00276EB3">
              <w:rPr>
                <w:rFonts w:ascii="Calibri" w:eastAsia="Times New Roman" w:hAnsi="Calibri" w:cs="Calibri"/>
                <w:sz w:val="20"/>
                <w:szCs w:val="20"/>
                <w:vertAlign w:val="superscript"/>
                <w:lang w:val="en-GB" w:eastAsia="da-DK"/>
              </w:rPr>
              <w:t>c</w:t>
            </w:r>
          </w:p>
        </w:tc>
      </w:tr>
      <w:tr w:rsidR="001F1659" w:rsidRPr="00DA27E1" w14:paraId="34C369E0" w14:textId="77777777" w:rsidTr="00276EB3">
        <w:trPr>
          <w:trHeight w:val="278"/>
        </w:trPr>
        <w:tc>
          <w:tcPr>
            <w:tcW w:w="2378" w:type="dxa"/>
            <w:shd w:val="clear" w:color="auto" w:fill="auto"/>
            <w:noWrap/>
            <w:vAlign w:val="bottom"/>
            <w:hideMark/>
          </w:tcPr>
          <w:p w14:paraId="7C858C93"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b/>
                <w:bCs/>
                <w:sz w:val="20"/>
                <w:szCs w:val="20"/>
                <w:lang w:val="en-GB" w:eastAsia="da-DK"/>
              </w:rPr>
              <w:t>HADS</w:t>
            </w:r>
            <w:r w:rsidRPr="00276EB3">
              <w:rPr>
                <w:rFonts w:eastAsia="Times New Roman" w:cs="Times New Roman"/>
                <w:sz w:val="20"/>
                <w:szCs w:val="20"/>
                <w:lang w:val="en-GB" w:eastAsia="da-DK"/>
              </w:rPr>
              <w:t>, median (IQR)</w:t>
            </w:r>
          </w:p>
        </w:tc>
        <w:tc>
          <w:tcPr>
            <w:tcW w:w="543" w:type="dxa"/>
            <w:shd w:val="clear" w:color="auto" w:fill="auto"/>
            <w:noWrap/>
            <w:vAlign w:val="bottom"/>
            <w:hideMark/>
          </w:tcPr>
          <w:p w14:paraId="2A6EEB2D" w14:textId="77777777" w:rsidR="001F1659" w:rsidRPr="00276EB3" w:rsidRDefault="001F1659" w:rsidP="00276EB3">
            <w:pPr>
              <w:spacing w:after="0" w:line="240" w:lineRule="auto"/>
              <w:jc w:val="right"/>
              <w:rPr>
                <w:rFonts w:eastAsia="Times New Roman" w:cs="Times New Roman"/>
                <w:b/>
                <w:bCs/>
                <w:sz w:val="20"/>
                <w:szCs w:val="20"/>
                <w:lang w:val="en-GB" w:eastAsia="da-DK"/>
              </w:rPr>
            </w:pPr>
          </w:p>
        </w:tc>
        <w:tc>
          <w:tcPr>
            <w:tcW w:w="1110" w:type="dxa"/>
            <w:shd w:val="clear" w:color="auto" w:fill="auto"/>
            <w:noWrap/>
            <w:vAlign w:val="bottom"/>
            <w:hideMark/>
          </w:tcPr>
          <w:p w14:paraId="7C40D5EA"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5E5B7787"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956" w:type="dxa"/>
            <w:shd w:val="clear" w:color="auto" w:fill="auto"/>
            <w:noWrap/>
            <w:vAlign w:val="bottom"/>
            <w:hideMark/>
          </w:tcPr>
          <w:p w14:paraId="76056A41"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48CA3540"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1111" w:type="dxa"/>
            <w:shd w:val="clear" w:color="auto" w:fill="auto"/>
            <w:noWrap/>
            <w:vAlign w:val="bottom"/>
            <w:hideMark/>
          </w:tcPr>
          <w:p w14:paraId="1069B8FC"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1890" w:type="dxa"/>
            <w:shd w:val="clear" w:color="auto" w:fill="auto"/>
            <w:noWrap/>
            <w:vAlign w:val="bottom"/>
            <w:hideMark/>
          </w:tcPr>
          <w:p w14:paraId="42EA6221"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79760EDC" w14:textId="77777777" w:rsidTr="00276EB3">
        <w:trPr>
          <w:trHeight w:val="227"/>
        </w:trPr>
        <w:tc>
          <w:tcPr>
            <w:tcW w:w="2378" w:type="dxa"/>
            <w:shd w:val="clear" w:color="auto" w:fill="auto"/>
            <w:noWrap/>
            <w:vAlign w:val="bottom"/>
            <w:hideMark/>
          </w:tcPr>
          <w:p w14:paraId="47C180B4"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Anxiety score</w:t>
            </w:r>
          </w:p>
        </w:tc>
        <w:tc>
          <w:tcPr>
            <w:tcW w:w="543" w:type="dxa"/>
            <w:shd w:val="clear" w:color="auto" w:fill="auto"/>
            <w:noWrap/>
            <w:vAlign w:val="bottom"/>
            <w:hideMark/>
          </w:tcPr>
          <w:p w14:paraId="65735A6C"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4.0</w:t>
            </w:r>
          </w:p>
        </w:tc>
        <w:tc>
          <w:tcPr>
            <w:tcW w:w="1110" w:type="dxa"/>
            <w:shd w:val="clear" w:color="auto" w:fill="auto"/>
            <w:noWrap/>
            <w:vAlign w:val="bottom"/>
            <w:hideMark/>
          </w:tcPr>
          <w:p w14:paraId="1560C3B1"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(2.0-7.0)</w:t>
            </w:r>
          </w:p>
        </w:tc>
        <w:tc>
          <w:tcPr>
            <w:tcW w:w="542" w:type="dxa"/>
            <w:shd w:val="clear" w:color="auto" w:fill="auto"/>
            <w:noWrap/>
            <w:vAlign w:val="bottom"/>
            <w:hideMark/>
          </w:tcPr>
          <w:p w14:paraId="3C402AB4"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4.5</w:t>
            </w:r>
          </w:p>
        </w:tc>
        <w:tc>
          <w:tcPr>
            <w:tcW w:w="956" w:type="dxa"/>
            <w:shd w:val="clear" w:color="auto" w:fill="auto"/>
            <w:noWrap/>
            <w:vAlign w:val="bottom"/>
            <w:hideMark/>
          </w:tcPr>
          <w:p w14:paraId="04B30739"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(2.0-7.5)</w:t>
            </w:r>
          </w:p>
        </w:tc>
        <w:tc>
          <w:tcPr>
            <w:tcW w:w="542" w:type="dxa"/>
            <w:shd w:val="clear" w:color="auto" w:fill="auto"/>
            <w:noWrap/>
            <w:vAlign w:val="bottom"/>
            <w:hideMark/>
          </w:tcPr>
          <w:p w14:paraId="6328C24A"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4.0</w:t>
            </w:r>
          </w:p>
        </w:tc>
        <w:tc>
          <w:tcPr>
            <w:tcW w:w="1111" w:type="dxa"/>
            <w:shd w:val="clear" w:color="auto" w:fill="auto"/>
            <w:noWrap/>
            <w:vAlign w:val="bottom"/>
            <w:hideMark/>
          </w:tcPr>
          <w:p w14:paraId="2DB26DA5"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(2.0-8.0)</w:t>
            </w:r>
          </w:p>
        </w:tc>
        <w:tc>
          <w:tcPr>
            <w:tcW w:w="1890" w:type="dxa"/>
            <w:shd w:val="clear" w:color="auto" w:fill="auto"/>
            <w:noWrap/>
            <w:vAlign w:val="bottom"/>
            <w:hideMark/>
          </w:tcPr>
          <w:p w14:paraId="312527D6"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0.938</w:t>
            </w:r>
            <w:r w:rsidRPr="00276EB3">
              <w:rPr>
                <w:rFonts w:ascii="Calibri" w:eastAsia="Times New Roman" w:hAnsi="Calibri" w:cs="Calibri"/>
                <w:sz w:val="20"/>
                <w:szCs w:val="20"/>
                <w:vertAlign w:val="superscript"/>
                <w:lang w:val="en-GB" w:eastAsia="da-DK"/>
              </w:rPr>
              <w:t>c</w:t>
            </w:r>
          </w:p>
        </w:tc>
      </w:tr>
      <w:tr w:rsidR="001F1659" w:rsidRPr="00DA27E1" w14:paraId="0CFCFB35" w14:textId="77777777" w:rsidTr="00276EB3">
        <w:trPr>
          <w:trHeight w:val="227"/>
        </w:trPr>
        <w:tc>
          <w:tcPr>
            <w:tcW w:w="2378" w:type="dxa"/>
            <w:shd w:val="clear" w:color="auto" w:fill="auto"/>
            <w:noWrap/>
            <w:vAlign w:val="bottom"/>
            <w:hideMark/>
          </w:tcPr>
          <w:p w14:paraId="4125111F"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Depression score</w:t>
            </w:r>
          </w:p>
        </w:tc>
        <w:tc>
          <w:tcPr>
            <w:tcW w:w="543" w:type="dxa"/>
            <w:shd w:val="clear" w:color="auto" w:fill="auto"/>
            <w:noWrap/>
            <w:vAlign w:val="bottom"/>
            <w:hideMark/>
          </w:tcPr>
          <w:p w14:paraId="460EAE33"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3.0</w:t>
            </w:r>
          </w:p>
        </w:tc>
        <w:tc>
          <w:tcPr>
            <w:tcW w:w="1110" w:type="dxa"/>
            <w:shd w:val="clear" w:color="auto" w:fill="auto"/>
            <w:noWrap/>
            <w:vAlign w:val="bottom"/>
            <w:hideMark/>
          </w:tcPr>
          <w:p w14:paraId="3C3DAF7F"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(1.0-6.0)</w:t>
            </w:r>
          </w:p>
        </w:tc>
        <w:tc>
          <w:tcPr>
            <w:tcW w:w="542" w:type="dxa"/>
            <w:shd w:val="clear" w:color="auto" w:fill="auto"/>
            <w:noWrap/>
            <w:vAlign w:val="bottom"/>
            <w:hideMark/>
          </w:tcPr>
          <w:p w14:paraId="2582743A"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3.0</w:t>
            </w:r>
          </w:p>
        </w:tc>
        <w:tc>
          <w:tcPr>
            <w:tcW w:w="956" w:type="dxa"/>
            <w:shd w:val="clear" w:color="auto" w:fill="auto"/>
            <w:noWrap/>
            <w:vAlign w:val="bottom"/>
            <w:hideMark/>
          </w:tcPr>
          <w:p w14:paraId="18B1ADCA"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(1.0-5.0)</w:t>
            </w:r>
          </w:p>
        </w:tc>
        <w:tc>
          <w:tcPr>
            <w:tcW w:w="542" w:type="dxa"/>
            <w:shd w:val="clear" w:color="auto" w:fill="auto"/>
            <w:noWrap/>
            <w:vAlign w:val="bottom"/>
            <w:hideMark/>
          </w:tcPr>
          <w:p w14:paraId="7364D441"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2.0</w:t>
            </w:r>
          </w:p>
        </w:tc>
        <w:tc>
          <w:tcPr>
            <w:tcW w:w="1111" w:type="dxa"/>
            <w:shd w:val="clear" w:color="auto" w:fill="auto"/>
            <w:noWrap/>
            <w:vAlign w:val="bottom"/>
            <w:hideMark/>
          </w:tcPr>
          <w:p w14:paraId="7E2FB274"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(1.0-6.0)</w:t>
            </w:r>
          </w:p>
        </w:tc>
        <w:tc>
          <w:tcPr>
            <w:tcW w:w="1890" w:type="dxa"/>
            <w:shd w:val="clear" w:color="auto" w:fill="auto"/>
            <w:noWrap/>
            <w:vAlign w:val="bottom"/>
            <w:hideMark/>
          </w:tcPr>
          <w:p w14:paraId="06DDFB4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0.897</w:t>
            </w:r>
            <w:r w:rsidRPr="00276EB3">
              <w:rPr>
                <w:rFonts w:ascii="Calibri" w:eastAsia="Times New Roman" w:hAnsi="Calibri" w:cs="Calibri"/>
                <w:sz w:val="20"/>
                <w:szCs w:val="20"/>
                <w:vertAlign w:val="superscript"/>
                <w:lang w:val="en-GB" w:eastAsia="da-DK"/>
              </w:rPr>
              <w:t>c</w:t>
            </w:r>
          </w:p>
        </w:tc>
      </w:tr>
      <w:tr w:rsidR="001F1659" w:rsidRPr="00DA27E1" w14:paraId="3211E0F1" w14:textId="77777777" w:rsidTr="00276EB3">
        <w:trPr>
          <w:trHeight w:val="482"/>
        </w:trPr>
        <w:tc>
          <w:tcPr>
            <w:tcW w:w="2378" w:type="dxa"/>
            <w:shd w:val="clear" w:color="auto" w:fill="auto"/>
            <w:vAlign w:val="bottom"/>
            <w:hideMark/>
          </w:tcPr>
          <w:p w14:paraId="603DC6C4"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b/>
                <w:bCs/>
                <w:sz w:val="20"/>
                <w:szCs w:val="20"/>
                <w:lang w:val="en-GB" w:eastAsia="da-DK"/>
              </w:rPr>
              <w:t>Borg 15</w:t>
            </w:r>
            <w:r w:rsidRPr="00276EB3">
              <w:rPr>
                <w:rFonts w:eastAsia="Times New Roman" w:cs="Times New Roman"/>
                <w:sz w:val="20"/>
                <w:szCs w:val="20"/>
                <w:lang w:val="en-GB" w:eastAsia="da-DK"/>
              </w:rPr>
              <w:t xml:space="preserve"> (Watt), </w:t>
            </w:r>
          </w:p>
          <w:p w14:paraId="3CFF34FB"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sz w:val="20"/>
                <w:szCs w:val="20"/>
                <w:lang w:val="en-GB" w:eastAsia="da-DK"/>
              </w:rPr>
              <w:t xml:space="preserve">  mean (SD)</w:t>
            </w:r>
          </w:p>
        </w:tc>
        <w:tc>
          <w:tcPr>
            <w:tcW w:w="543" w:type="dxa"/>
            <w:shd w:val="clear" w:color="auto" w:fill="auto"/>
            <w:noWrap/>
            <w:vAlign w:val="bottom"/>
            <w:hideMark/>
          </w:tcPr>
          <w:p w14:paraId="25A04A9E"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73.4</w:t>
            </w:r>
          </w:p>
        </w:tc>
        <w:tc>
          <w:tcPr>
            <w:tcW w:w="1110" w:type="dxa"/>
            <w:shd w:val="clear" w:color="auto" w:fill="auto"/>
            <w:noWrap/>
            <w:vAlign w:val="bottom"/>
            <w:hideMark/>
          </w:tcPr>
          <w:p w14:paraId="115B432D"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(21.7)</w:t>
            </w:r>
          </w:p>
        </w:tc>
        <w:tc>
          <w:tcPr>
            <w:tcW w:w="542" w:type="dxa"/>
            <w:shd w:val="clear" w:color="auto" w:fill="auto"/>
            <w:noWrap/>
            <w:vAlign w:val="bottom"/>
            <w:hideMark/>
          </w:tcPr>
          <w:p w14:paraId="752CDC87"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72.3</w:t>
            </w:r>
          </w:p>
        </w:tc>
        <w:tc>
          <w:tcPr>
            <w:tcW w:w="956" w:type="dxa"/>
            <w:shd w:val="clear" w:color="auto" w:fill="auto"/>
            <w:noWrap/>
            <w:vAlign w:val="bottom"/>
            <w:hideMark/>
          </w:tcPr>
          <w:p w14:paraId="5515164F"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(21.3)</w:t>
            </w:r>
          </w:p>
        </w:tc>
        <w:tc>
          <w:tcPr>
            <w:tcW w:w="542" w:type="dxa"/>
            <w:shd w:val="clear" w:color="auto" w:fill="auto"/>
            <w:noWrap/>
            <w:vAlign w:val="bottom"/>
            <w:hideMark/>
          </w:tcPr>
          <w:p w14:paraId="2505CADD"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77.7</w:t>
            </w:r>
          </w:p>
        </w:tc>
        <w:tc>
          <w:tcPr>
            <w:tcW w:w="1111" w:type="dxa"/>
            <w:shd w:val="clear" w:color="auto" w:fill="auto"/>
            <w:noWrap/>
            <w:vAlign w:val="bottom"/>
            <w:hideMark/>
          </w:tcPr>
          <w:p w14:paraId="6A4444EB"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(21.2)</w:t>
            </w:r>
          </w:p>
        </w:tc>
        <w:tc>
          <w:tcPr>
            <w:tcW w:w="1890" w:type="dxa"/>
            <w:shd w:val="clear" w:color="auto" w:fill="auto"/>
            <w:noWrap/>
            <w:vAlign w:val="bottom"/>
            <w:hideMark/>
          </w:tcPr>
          <w:p w14:paraId="5814D3E5"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0.085</w:t>
            </w:r>
            <w:r w:rsidRPr="00276EB3">
              <w:rPr>
                <w:rFonts w:eastAsia="Times New Roman" w:cs="Times New Roman"/>
                <w:sz w:val="20"/>
                <w:szCs w:val="20"/>
                <w:vertAlign w:val="superscript"/>
                <w:lang w:val="en-GB" w:eastAsia="da-DK"/>
              </w:rPr>
              <w:t>b</w:t>
            </w:r>
          </w:p>
        </w:tc>
      </w:tr>
      <w:tr w:rsidR="001F1659" w:rsidRPr="00DA27E1" w14:paraId="69BA9530" w14:textId="77777777" w:rsidTr="00276EB3">
        <w:trPr>
          <w:trHeight w:val="278"/>
        </w:trPr>
        <w:tc>
          <w:tcPr>
            <w:tcW w:w="2378" w:type="dxa"/>
            <w:shd w:val="clear" w:color="auto" w:fill="auto"/>
            <w:noWrap/>
            <w:vAlign w:val="bottom"/>
            <w:hideMark/>
          </w:tcPr>
          <w:p w14:paraId="72EF54D7" w14:textId="77777777" w:rsidR="001F1659" w:rsidRPr="00276EB3" w:rsidRDefault="001F1659" w:rsidP="00276EB3">
            <w:pPr>
              <w:spacing w:after="0" w:line="240" w:lineRule="auto"/>
              <w:rPr>
                <w:rFonts w:eastAsia="Times New Roman" w:cs="Times New Roman"/>
                <w:b/>
                <w:bCs/>
                <w:sz w:val="20"/>
                <w:szCs w:val="20"/>
                <w:lang w:val="en-GB" w:eastAsia="da-DK"/>
              </w:rPr>
            </w:pPr>
            <w:r w:rsidRPr="00276EB3">
              <w:rPr>
                <w:rFonts w:eastAsia="Times New Roman" w:cs="Times New Roman"/>
                <w:b/>
                <w:bCs/>
                <w:sz w:val="20"/>
                <w:szCs w:val="20"/>
                <w:lang w:val="en-GB" w:eastAsia="da-DK"/>
              </w:rPr>
              <w:t>HeartQol</w:t>
            </w:r>
            <w:r w:rsidRPr="00276EB3">
              <w:rPr>
                <w:rFonts w:eastAsia="Times New Roman" w:cs="Times New Roman"/>
                <w:sz w:val="20"/>
                <w:szCs w:val="20"/>
                <w:lang w:val="en-GB" w:eastAsia="da-DK"/>
              </w:rPr>
              <w:t>, median (IQR)</w:t>
            </w:r>
          </w:p>
        </w:tc>
        <w:tc>
          <w:tcPr>
            <w:tcW w:w="543" w:type="dxa"/>
            <w:shd w:val="clear" w:color="auto" w:fill="auto"/>
            <w:noWrap/>
            <w:vAlign w:val="bottom"/>
            <w:hideMark/>
          </w:tcPr>
          <w:p w14:paraId="6296AD65" w14:textId="77777777" w:rsidR="001F1659" w:rsidRPr="00276EB3" w:rsidRDefault="001F1659" w:rsidP="00276EB3">
            <w:pPr>
              <w:spacing w:after="0" w:line="240" w:lineRule="auto"/>
              <w:jc w:val="right"/>
              <w:rPr>
                <w:rFonts w:eastAsia="Times New Roman" w:cs="Times New Roman"/>
                <w:b/>
                <w:bCs/>
                <w:sz w:val="20"/>
                <w:szCs w:val="20"/>
                <w:lang w:val="en-GB" w:eastAsia="da-DK"/>
              </w:rPr>
            </w:pPr>
          </w:p>
        </w:tc>
        <w:tc>
          <w:tcPr>
            <w:tcW w:w="1110" w:type="dxa"/>
            <w:shd w:val="clear" w:color="auto" w:fill="auto"/>
            <w:noWrap/>
            <w:vAlign w:val="bottom"/>
            <w:hideMark/>
          </w:tcPr>
          <w:p w14:paraId="4986EE1B"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586969A8"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956" w:type="dxa"/>
            <w:shd w:val="clear" w:color="auto" w:fill="auto"/>
            <w:noWrap/>
            <w:vAlign w:val="bottom"/>
            <w:hideMark/>
          </w:tcPr>
          <w:p w14:paraId="5F0748CB"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542" w:type="dxa"/>
            <w:shd w:val="clear" w:color="auto" w:fill="auto"/>
            <w:noWrap/>
            <w:vAlign w:val="bottom"/>
            <w:hideMark/>
          </w:tcPr>
          <w:p w14:paraId="358069C4" w14:textId="77777777" w:rsidR="001F1659" w:rsidRPr="00276EB3" w:rsidRDefault="001F1659" w:rsidP="00276EB3">
            <w:pPr>
              <w:spacing w:after="0" w:line="240" w:lineRule="auto"/>
              <w:jc w:val="right"/>
              <w:rPr>
                <w:rFonts w:eastAsia="Times New Roman" w:cs="Times New Roman"/>
                <w:sz w:val="20"/>
                <w:szCs w:val="20"/>
                <w:lang w:val="en-GB" w:eastAsia="da-DK"/>
              </w:rPr>
            </w:pPr>
          </w:p>
        </w:tc>
        <w:tc>
          <w:tcPr>
            <w:tcW w:w="1111" w:type="dxa"/>
            <w:shd w:val="clear" w:color="auto" w:fill="auto"/>
            <w:noWrap/>
            <w:vAlign w:val="bottom"/>
            <w:hideMark/>
          </w:tcPr>
          <w:p w14:paraId="1A664BC3" w14:textId="77777777" w:rsidR="001F1659" w:rsidRPr="00276EB3" w:rsidRDefault="001F1659" w:rsidP="00276EB3">
            <w:pPr>
              <w:spacing w:after="0" w:line="240" w:lineRule="auto"/>
              <w:jc w:val="center"/>
              <w:rPr>
                <w:rFonts w:eastAsia="Times New Roman" w:cs="Times New Roman"/>
                <w:sz w:val="20"/>
                <w:szCs w:val="20"/>
                <w:lang w:val="en-GB" w:eastAsia="da-DK"/>
              </w:rPr>
            </w:pPr>
          </w:p>
        </w:tc>
        <w:tc>
          <w:tcPr>
            <w:tcW w:w="1890" w:type="dxa"/>
            <w:shd w:val="clear" w:color="auto" w:fill="auto"/>
            <w:noWrap/>
            <w:vAlign w:val="bottom"/>
            <w:hideMark/>
          </w:tcPr>
          <w:p w14:paraId="61753D39" w14:textId="77777777" w:rsidR="001F1659" w:rsidRPr="00276EB3" w:rsidRDefault="001F1659" w:rsidP="00276EB3">
            <w:pPr>
              <w:spacing w:after="0" w:line="240" w:lineRule="auto"/>
              <w:jc w:val="center"/>
              <w:rPr>
                <w:rFonts w:eastAsia="Times New Roman" w:cs="Times New Roman"/>
                <w:sz w:val="20"/>
                <w:szCs w:val="20"/>
                <w:lang w:val="en-GB" w:eastAsia="da-DK"/>
              </w:rPr>
            </w:pPr>
          </w:p>
        </w:tc>
      </w:tr>
      <w:tr w:rsidR="001F1659" w:rsidRPr="00DA27E1" w14:paraId="45D80A87" w14:textId="77777777" w:rsidTr="00276EB3">
        <w:trPr>
          <w:trHeight w:val="227"/>
        </w:trPr>
        <w:tc>
          <w:tcPr>
            <w:tcW w:w="2378" w:type="dxa"/>
            <w:shd w:val="clear" w:color="auto" w:fill="auto"/>
            <w:noWrap/>
            <w:vAlign w:val="bottom"/>
            <w:hideMark/>
          </w:tcPr>
          <w:p w14:paraId="35FA3857"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Physical score</w:t>
            </w:r>
          </w:p>
        </w:tc>
        <w:tc>
          <w:tcPr>
            <w:tcW w:w="543" w:type="dxa"/>
            <w:shd w:val="clear" w:color="auto" w:fill="auto"/>
            <w:noWrap/>
            <w:vAlign w:val="bottom"/>
            <w:hideMark/>
          </w:tcPr>
          <w:p w14:paraId="5B503CA4"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2.0</w:t>
            </w:r>
          </w:p>
        </w:tc>
        <w:tc>
          <w:tcPr>
            <w:tcW w:w="1110" w:type="dxa"/>
            <w:shd w:val="clear" w:color="auto" w:fill="auto"/>
            <w:noWrap/>
            <w:vAlign w:val="bottom"/>
            <w:hideMark/>
          </w:tcPr>
          <w:p w14:paraId="30335405"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(1.1-2.4)</w:t>
            </w:r>
          </w:p>
        </w:tc>
        <w:tc>
          <w:tcPr>
            <w:tcW w:w="542" w:type="dxa"/>
            <w:shd w:val="clear" w:color="auto" w:fill="auto"/>
            <w:noWrap/>
            <w:vAlign w:val="bottom"/>
            <w:hideMark/>
          </w:tcPr>
          <w:p w14:paraId="3C2B01A2"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1.8</w:t>
            </w:r>
          </w:p>
        </w:tc>
        <w:tc>
          <w:tcPr>
            <w:tcW w:w="956" w:type="dxa"/>
            <w:shd w:val="clear" w:color="auto" w:fill="auto"/>
            <w:noWrap/>
            <w:vAlign w:val="bottom"/>
            <w:hideMark/>
          </w:tcPr>
          <w:p w14:paraId="58EA7812"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(1.1-2.3)</w:t>
            </w:r>
          </w:p>
        </w:tc>
        <w:tc>
          <w:tcPr>
            <w:tcW w:w="542" w:type="dxa"/>
            <w:shd w:val="clear" w:color="auto" w:fill="auto"/>
            <w:noWrap/>
            <w:vAlign w:val="bottom"/>
            <w:hideMark/>
          </w:tcPr>
          <w:p w14:paraId="360D2AAC"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2.1</w:t>
            </w:r>
          </w:p>
        </w:tc>
        <w:tc>
          <w:tcPr>
            <w:tcW w:w="1111" w:type="dxa"/>
            <w:shd w:val="clear" w:color="auto" w:fill="auto"/>
            <w:noWrap/>
            <w:vAlign w:val="bottom"/>
            <w:hideMark/>
          </w:tcPr>
          <w:p w14:paraId="322AE40C"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(1.3-2.6)</w:t>
            </w:r>
          </w:p>
        </w:tc>
        <w:tc>
          <w:tcPr>
            <w:tcW w:w="1890" w:type="dxa"/>
            <w:shd w:val="clear" w:color="auto" w:fill="auto"/>
            <w:noWrap/>
            <w:vAlign w:val="bottom"/>
            <w:hideMark/>
          </w:tcPr>
          <w:p w14:paraId="327B78DA"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0.124</w:t>
            </w:r>
            <w:r w:rsidRPr="00276EB3">
              <w:rPr>
                <w:rFonts w:ascii="Calibri" w:eastAsia="Times New Roman" w:hAnsi="Calibri" w:cs="Calibri"/>
                <w:sz w:val="20"/>
                <w:szCs w:val="20"/>
                <w:vertAlign w:val="superscript"/>
                <w:lang w:val="en-GB" w:eastAsia="da-DK"/>
              </w:rPr>
              <w:t>c</w:t>
            </w:r>
          </w:p>
        </w:tc>
      </w:tr>
      <w:tr w:rsidR="001F1659" w:rsidRPr="00DA27E1" w14:paraId="07F290A6" w14:textId="77777777" w:rsidTr="00276EB3">
        <w:trPr>
          <w:trHeight w:val="227"/>
        </w:trPr>
        <w:tc>
          <w:tcPr>
            <w:tcW w:w="2378" w:type="dxa"/>
            <w:shd w:val="clear" w:color="auto" w:fill="auto"/>
            <w:noWrap/>
            <w:vAlign w:val="bottom"/>
            <w:hideMark/>
          </w:tcPr>
          <w:p w14:paraId="0C18B3E3"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Mental score</w:t>
            </w:r>
          </w:p>
        </w:tc>
        <w:tc>
          <w:tcPr>
            <w:tcW w:w="543" w:type="dxa"/>
            <w:shd w:val="clear" w:color="auto" w:fill="auto"/>
            <w:noWrap/>
            <w:vAlign w:val="bottom"/>
            <w:hideMark/>
          </w:tcPr>
          <w:p w14:paraId="2AB9D2F3"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2.5</w:t>
            </w:r>
          </w:p>
        </w:tc>
        <w:tc>
          <w:tcPr>
            <w:tcW w:w="1110" w:type="dxa"/>
            <w:shd w:val="clear" w:color="auto" w:fill="auto"/>
            <w:noWrap/>
            <w:vAlign w:val="bottom"/>
            <w:hideMark/>
          </w:tcPr>
          <w:p w14:paraId="35DE72B2"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(1.8-3.0)</w:t>
            </w:r>
          </w:p>
        </w:tc>
        <w:tc>
          <w:tcPr>
            <w:tcW w:w="542" w:type="dxa"/>
            <w:shd w:val="clear" w:color="auto" w:fill="auto"/>
            <w:noWrap/>
            <w:vAlign w:val="bottom"/>
            <w:hideMark/>
          </w:tcPr>
          <w:p w14:paraId="31E2D5E8"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2.5</w:t>
            </w:r>
          </w:p>
        </w:tc>
        <w:tc>
          <w:tcPr>
            <w:tcW w:w="956" w:type="dxa"/>
            <w:shd w:val="clear" w:color="auto" w:fill="auto"/>
            <w:noWrap/>
            <w:vAlign w:val="bottom"/>
            <w:hideMark/>
          </w:tcPr>
          <w:p w14:paraId="6634E472"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(2.0-3.0)</w:t>
            </w:r>
          </w:p>
        </w:tc>
        <w:tc>
          <w:tcPr>
            <w:tcW w:w="542" w:type="dxa"/>
            <w:shd w:val="clear" w:color="auto" w:fill="auto"/>
            <w:noWrap/>
            <w:vAlign w:val="bottom"/>
            <w:hideMark/>
          </w:tcPr>
          <w:p w14:paraId="162CC7FA"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2.5</w:t>
            </w:r>
          </w:p>
        </w:tc>
        <w:tc>
          <w:tcPr>
            <w:tcW w:w="1111" w:type="dxa"/>
            <w:shd w:val="clear" w:color="auto" w:fill="auto"/>
            <w:noWrap/>
            <w:vAlign w:val="bottom"/>
            <w:hideMark/>
          </w:tcPr>
          <w:p w14:paraId="4F007E23"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(1.8-3.0)</w:t>
            </w:r>
          </w:p>
        </w:tc>
        <w:tc>
          <w:tcPr>
            <w:tcW w:w="1890" w:type="dxa"/>
            <w:shd w:val="clear" w:color="auto" w:fill="auto"/>
            <w:noWrap/>
            <w:vAlign w:val="bottom"/>
            <w:hideMark/>
          </w:tcPr>
          <w:p w14:paraId="60F3E705"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0.603</w:t>
            </w:r>
            <w:r w:rsidRPr="00276EB3">
              <w:rPr>
                <w:rFonts w:ascii="Calibri" w:eastAsia="Times New Roman" w:hAnsi="Calibri" w:cs="Calibri"/>
                <w:sz w:val="20"/>
                <w:szCs w:val="20"/>
                <w:vertAlign w:val="superscript"/>
                <w:lang w:val="en-GB" w:eastAsia="da-DK"/>
              </w:rPr>
              <w:t>c</w:t>
            </w:r>
          </w:p>
        </w:tc>
      </w:tr>
      <w:tr w:rsidR="001F1659" w:rsidRPr="00DA27E1" w14:paraId="0F45B722" w14:textId="77777777" w:rsidTr="00276EB3">
        <w:trPr>
          <w:trHeight w:val="227"/>
        </w:trPr>
        <w:tc>
          <w:tcPr>
            <w:tcW w:w="2378" w:type="dxa"/>
            <w:shd w:val="clear" w:color="auto" w:fill="auto"/>
            <w:noWrap/>
            <w:vAlign w:val="bottom"/>
            <w:hideMark/>
          </w:tcPr>
          <w:p w14:paraId="7FA3DE02"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 xml:space="preserve">  Global score</w:t>
            </w:r>
          </w:p>
        </w:tc>
        <w:tc>
          <w:tcPr>
            <w:tcW w:w="543" w:type="dxa"/>
            <w:shd w:val="clear" w:color="auto" w:fill="auto"/>
            <w:noWrap/>
            <w:vAlign w:val="bottom"/>
            <w:hideMark/>
          </w:tcPr>
          <w:p w14:paraId="4C88EB49"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2.0</w:t>
            </w:r>
          </w:p>
        </w:tc>
        <w:tc>
          <w:tcPr>
            <w:tcW w:w="1110" w:type="dxa"/>
            <w:shd w:val="clear" w:color="auto" w:fill="auto"/>
            <w:noWrap/>
            <w:vAlign w:val="bottom"/>
            <w:hideMark/>
          </w:tcPr>
          <w:p w14:paraId="3BB73366"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(1.4-2.4)</w:t>
            </w:r>
          </w:p>
        </w:tc>
        <w:tc>
          <w:tcPr>
            <w:tcW w:w="542" w:type="dxa"/>
            <w:shd w:val="clear" w:color="auto" w:fill="auto"/>
            <w:noWrap/>
            <w:vAlign w:val="bottom"/>
            <w:hideMark/>
          </w:tcPr>
          <w:p w14:paraId="7E3BAEC3"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2.0</w:t>
            </w:r>
          </w:p>
        </w:tc>
        <w:tc>
          <w:tcPr>
            <w:tcW w:w="956" w:type="dxa"/>
            <w:shd w:val="clear" w:color="auto" w:fill="auto"/>
            <w:noWrap/>
            <w:vAlign w:val="bottom"/>
            <w:hideMark/>
          </w:tcPr>
          <w:p w14:paraId="52AC5F75"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(1.4-2.4)</w:t>
            </w:r>
          </w:p>
        </w:tc>
        <w:tc>
          <w:tcPr>
            <w:tcW w:w="542" w:type="dxa"/>
            <w:shd w:val="clear" w:color="auto" w:fill="auto"/>
            <w:noWrap/>
            <w:vAlign w:val="bottom"/>
            <w:hideMark/>
          </w:tcPr>
          <w:p w14:paraId="39D6E5A5"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2.1</w:t>
            </w:r>
          </w:p>
        </w:tc>
        <w:tc>
          <w:tcPr>
            <w:tcW w:w="1111" w:type="dxa"/>
            <w:shd w:val="clear" w:color="auto" w:fill="auto"/>
            <w:noWrap/>
            <w:vAlign w:val="bottom"/>
            <w:hideMark/>
          </w:tcPr>
          <w:p w14:paraId="0434B221"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(1.5-2.6)</w:t>
            </w:r>
          </w:p>
        </w:tc>
        <w:tc>
          <w:tcPr>
            <w:tcW w:w="1890" w:type="dxa"/>
            <w:shd w:val="clear" w:color="auto" w:fill="auto"/>
            <w:noWrap/>
            <w:vAlign w:val="bottom"/>
            <w:hideMark/>
          </w:tcPr>
          <w:p w14:paraId="74A23E87"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0.217</w:t>
            </w:r>
            <w:r w:rsidRPr="00276EB3">
              <w:rPr>
                <w:rFonts w:ascii="Calibri" w:eastAsia="Times New Roman" w:hAnsi="Calibri" w:cs="Calibri"/>
                <w:sz w:val="20"/>
                <w:szCs w:val="20"/>
                <w:vertAlign w:val="superscript"/>
                <w:lang w:val="en-GB" w:eastAsia="da-DK"/>
              </w:rPr>
              <w:t>c</w:t>
            </w:r>
          </w:p>
        </w:tc>
      </w:tr>
      <w:tr w:rsidR="001F1659" w:rsidRPr="00DA27E1" w14:paraId="4149CDFC" w14:textId="77777777" w:rsidTr="00276EB3">
        <w:trPr>
          <w:trHeight w:val="227"/>
        </w:trPr>
        <w:tc>
          <w:tcPr>
            <w:tcW w:w="2378" w:type="dxa"/>
            <w:tcBorders>
              <w:bottom w:val="single" w:sz="4" w:space="0" w:color="auto"/>
            </w:tcBorders>
            <w:shd w:val="clear" w:color="auto" w:fill="auto"/>
            <w:noWrap/>
            <w:vAlign w:val="bottom"/>
          </w:tcPr>
          <w:p w14:paraId="008F5106" w14:textId="77777777" w:rsidR="001F1659" w:rsidRPr="00276EB3" w:rsidRDefault="001F1659" w:rsidP="00276EB3">
            <w:pPr>
              <w:spacing w:after="0" w:line="240" w:lineRule="auto"/>
              <w:rPr>
                <w:rFonts w:eastAsia="Times New Roman" w:cs="Times New Roman"/>
                <w:b/>
                <w:sz w:val="20"/>
                <w:szCs w:val="20"/>
                <w:lang w:val="en-GB" w:eastAsia="da-DK"/>
              </w:rPr>
            </w:pPr>
            <w:r w:rsidRPr="00276EB3">
              <w:rPr>
                <w:rFonts w:eastAsia="Times New Roman" w:cs="Times New Roman"/>
                <w:b/>
                <w:sz w:val="20"/>
                <w:szCs w:val="20"/>
                <w:lang w:val="en-GB" w:eastAsia="da-DK"/>
              </w:rPr>
              <w:t>Number of attended exercise sessions until transition</w:t>
            </w:r>
          </w:p>
          <w:p w14:paraId="1523F31A" w14:textId="77777777" w:rsidR="001F1659" w:rsidRPr="00276EB3" w:rsidRDefault="001F1659" w:rsidP="00276EB3">
            <w:pPr>
              <w:spacing w:after="0" w:line="240" w:lineRule="auto"/>
              <w:rPr>
                <w:rFonts w:eastAsia="Times New Roman" w:cs="Times New Roman"/>
                <w:b/>
                <w:sz w:val="20"/>
                <w:szCs w:val="20"/>
                <w:lang w:val="en-GB" w:eastAsia="da-DK"/>
              </w:rPr>
            </w:pPr>
            <w:r w:rsidRPr="00276EB3">
              <w:rPr>
                <w:rFonts w:eastAsia="Times New Roman" w:cs="Times New Roman"/>
                <w:sz w:val="20"/>
                <w:szCs w:val="20"/>
                <w:lang w:val="en-GB" w:eastAsia="da-DK"/>
              </w:rPr>
              <w:t>median (IQR)</w:t>
            </w:r>
          </w:p>
        </w:tc>
        <w:tc>
          <w:tcPr>
            <w:tcW w:w="543" w:type="dxa"/>
            <w:tcBorders>
              <w:bottom w:val="single" w:sz="4" w:space="0" w:color="auto"/>
            </w:tcBorders>
            <w:shd w:val="clear" w:color="auto" w:fill="auto"/>
            <w:noWrap/>
            <w:vAlign w:val="bottom"/>
          </w:tcPr>
          <w:p w14:paraId="1F31EE76"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11</w:t>
            </w:r>
          </w:p>
        </w:tc>
        <w:tc>
          <w:tcPr>
            <w:tcW w:w="1110" w:type="dxa"/>
            <w:tcBorders>
              <w:bottom w:val="single" w:sz="4" w:space="0" w:color="auto"/>
            </w:tcBorders>
            <w:shd w:val="clear" w:color="auto" w:fill="auto"/>
            <w:noWrap/>
            <w:vAlign w:val="bottom"/>
          </w:tcPr>
          <w:p w14:paraId="5995E4D1"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(9-12)</w:t>
            </w:r>
          </w:p>
        </w:tc>
        <w:tc>
          <w:tcPr>
            <w:tcW w:w="542" w:type="dxa"/>
            <w:tcBorders>
              <w:bottom w:val="single" w:sz="4" w:space="0" w:color="auto"/>
            </w:tcBorders>
            <w:shd w:val="clear" w:color="auto" w:fill="auto"/>
            <w:noWrap/>
            <w:vAlign w:val="bottom"/>
          </w:tcPr>
          <w:p w14:paraId="6678141B"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11</w:t>
            </w:r>
          </w:p>
        </w:tc>
        <w:tc>
          <w:tcPr>
            <w:tcW w:w="956" w:type="dxa"/>
            <w:tcBorders>
              <w:bottom w:val="single" w:sz="4" w:space="0" w:color="auto"/>
            </w:tcBorders>
            <w:shd w:val="clear" w:color="auto" w:fill="auto"/>
            <w:noWrap/>
            <w:vAlign w:val="bottom"/>
          </w:tcPr>
          <w:p w14:paraId="27A840CD"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(10-12)</w:t>
            </w:r>
          </w:p>
        </w:tc>
        <w:tc>
          <w:tcPr>
            <w:tcW w:w="542" w:type="dxa"/>
            <w:tcBorders>
              <w:bottom w:val="single" w:sz="4" w:space="0" w:color="auto"/>
            </w:tcBorders>
            <w:shd w:val="clear" w:color="auto" w:fill="auto"/>
            <w:noWrap/>
            <w:vAlign w:val="bottom"/>
          </w:tcPr>
          <w:p w14:paraId="7CCACF03" w14:textId="77777777" w:rsidR="001F1659" w:rsidRPr="00276EB3" w:rsidRDefault="001F1659" w:rsidP="00276EB3">
            <w:pPr>
              <w:spacing w:after="0" w:line="240" w:lineRule="auto"/>
              <w:jc w:val="right"/>
              <w:rPr>
                <w:rFonts w:eastAsia="Times New Roman" w:cs="Times New Roman"/>
                <w:sz w:val="20"/>
                <w:szCs w:val="20"/>
                <w:lang w:val="en-GB" w:eastAsia="da-DK"/>
              </w:rPr>
            </w:pPr>
            <w:r w:rsidRPr="00276EB3">
              <w:rPr>
                <w:rFonts w:eastAsia="Times New Roman" w:cs="Times New Roman"/>
                <w:sz w:val="20"/>
                <w:szCs w:val="20"/>
                <w:lang w:val="en-GB" w:eastAsia="da-DK"/>
              </w:rPr>
              <w:t>10</w:t>
            </w:r>
          </w:p>
        </w:tc>
        <w:tc>
          <w:tcPr>
            <w:tcW w:w="1111" w:type="dxa"/>
            <w:tcBorders>
              <w:bottom w:val="single" w:sz="4" w:space="0" w:color="auto"/>
            </w:tcBorders>
            <w:shd w:val="clear" w:color="auto" w:fill="auto"/>
            <w:noWrap/>
            <w:vAlign w:val="bottom"/>
          </w:tcPr>
          <w:p w14:paraId="0B749E6E"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(9-11)</w:t>
            </w:r>
          </w:p>
        </w:tc>
        <w:tc>
          <w:tcPr>
            <w:tcW w:w="1890" w:type="dxa"/>
            <w:tcBorders>
              <w:bottom w:val="single" w:sz="4" w:space="0" w:color="auto"/>
            </w:tcBorders>
            <w:shd w:val="clear" w:color="auto" w:fill="auto"/>
            <w:noWrap/>
            <w:vAlign w:val="bottom"/>
          </w:tcPr>
          <w:p w14:paraId="13EE8AA6" w14:textId="77777777" w:rsidR="001F1659" w:rsidRPr="00276EB3" w:rsidRDefault="001F1659" w:rsidP="00276EB3">
            <w:pPr>
              <w:spacing w:after="0" w:line="240" w:lineRule="auto"/>
              <w:jc w:val="center"/>
              <w:rPr>
                <w:rFonts w:eastAsia="Times New Roman" w:cs="Times New Roman"/>
                <w:sz w:val="20"/>
                <w:szCs w:val="20"/>
                <w:lang w:val="en-GB" w:eastAsia="da-DK"/>
              </w:rPr>
            </w:pPr>
            <w:r w:rsidRPr="00276EB3">
              <w:rPr>
                <w:rFonts w:eastAsia="Times New Roman" w:cs="Times New Roman"/>
                <w:sz w:val="20"/>
                <w:szCs w:val="20"/>
                <w:lang w:val="en-GB" w:eastAsia="da-DK"/>
              </w:rPr>
              <w:t>0.002</w:t>
            </w:r>
            <w:r w:rsidRPr="00276EB3">
              <w:rPr>
                <w:rFonts w:eastAsia="Times New Roman" w:cs="Times New Roman"/>
                <w:sz w:val="20"/>
                <w:szCs w:val="20"/>
                <w:vertAlign w:val="superscript"/>
                <w:lang w:val="en-GB" w:eastAsia="da-DK"/>
              </w:rPr>
              <w:t>c</w:t>
            </w:r>
          </w:p>
        </w:tc>
      </w:tr>
      <w:tr w:rsidR="001F1659" w:rsidRPr="00276EB3" w14:paraId="0FC33A01" w14:textId="77777777" w:rsidTr="00276EB3">
        <w:trPr>
          <w:trHeight w:val="288"/>
        </w:trPr>
        <w:tc>
          <w:tcPr>
            <w:tcW w:w="9072" w:type="dxa"/>
            <w:gridSpan w:val="8"/>
            <w:tcBorders>
              <w:top w:val="single" w:sz="4" w:space="0" w:color="auto"/>
            </w:tcBorders>
            <w:shd w:val="clear" w:color="auto" w:fill="auto"/>
            <w:noWrap/>
            <w:vAlign w:val="bottom"/>
            <w:hideMark/>
          </w:tcPr>
          <w:p w14:paraId="4770018E" w14:textId="77777777" w:rsidR="001F1659" w:rsidRPr="00276EB3" w:rsidRDefault="001F1659" w:rsidP="00276EB3">
            <w:pPr>
              <w:spacing w:after="0" w:line="240" w:lineRule="auto"/>
              <w:jc w:val="both"/>
              <w:rPr>
                <w:rFonts w:eastAsia="Times New Roman" w:cs="Times New Roman"/>
                <w:sz w:val="20"/>
                <w:lang w:val="en-GB" w:eastAsia="da-DK"/>
              </w:rPr>
            </w:pPr>
            <w:r w:rsidRPr="00276EB3">
              <w:rPr>
                <w:rFonts w:eastAsia="Times New Roman" w:cs="Times New Roman"/>
                <w:sz w:val="20"/>
                <w:lang w:val="en-GB" w:eastAsia="da-DK"/>
              </w:rPr>
              <w:t>Numbers are stated as n and proportion (%) unless otherwise specified.</w:t>
            </w:r>
          </w:p>
          <w:p w14:paraId="2EF88997" w14:textId="77777777" w:rsidR="001F1659" w:rsidRPr="00276EB3" w:rsidRDefault="001F1659" w:rsidP="00276EB3">
            <w:pPr>
              <w:spacing w:after="0" w:line="240" w:lineRule="auto"/>
              <w:jc w:val="both"/>
              <w:rPr>
                <w:rFonts w:eastAsia="Times New Roman" w:cs="Times New Roman"/>
                <w:sz w:val="20"/>
                <w:szCs w:val="20"/>
                <w:lang w:val="en-GB" w:eastAsia="da-DK"/>
              </w:rPr>
            </w:pPr>
            <w:r w:rsidRPr="00276EB3">
              <w:rPr>
                <w:rFonts w:ascii="Calibri" w:eastAsia="Times New Roman" w:hAnsi="Calibri" w:cs="Calibri"/>
                <w:sz w:val="20"/>
                <w:szCs w:val="20"/>
                <w:vertAlign w:val="superscript"/>
                <w:lang w:val="en-GB" w:eastAsia="da-DK"/>
              </w:rPr>
              <w:t>#</w:t>
            </w:r>
            <w:r w:rsidRPr="00276EB3">
              <w:rPr>
                <w:rFonts w:eastAsia="Times New Roman" w:cs="Times New Roman"/>
                <w:sz w:val="20"/>
                <w:lang w:val="en-GB" w:eastAsia="da-DK"/>
              </w:rPr>
              <w:t>P-value for statistical difference in patient</w:t>
            </w:r>
            <w:r w:rsidRPr="00276EB3">
              <w:rPr>
                <w:sz w:val="20"/>
                <w:lang w:val="en-GB"/>
              </w:rPr>
              <w:t xml:space="preserve"> characteristics</w:t>
            </w:r>
            <w:r w:rsidRPr="00276EB3">
              <w:rPr>
                <w:rFonts w:eastAsia="Times New Roman" w:cs="Times New Roman"/>
                <w:sz w:val="20"/>
                <w:lang w:val="en-GB" w:eastAsia="da-DK"/>
              </w:rPr>
              <w:t xml:space="preserve"> is between completers and dropouts at transition.</w:t>
            </w:r>
          </w:p>
        </w:tc>
      </w:tr>
      <w:tr w:rsidR="001F1659" w:rsidRPr="00DA27E1" w14:paraId="0BCEBAAC" w14:textId="77777777" w:rsidTr="00276EB3">
        <w:trPr>
          <w:trHeight w:val="275"/>
        </w:trPr>
        <w:tc>
          <w:tcPr>
            <w:tcW w:w="9072" w:type="dxa"/>
            <w:gridSpan w:val="8"/>
            <w:shd w:val="clear" w:color="auto" w:fill="auto"/>
            <w:vAlign w:val="bottom"/>
            <w:hideMark/>
          </w:tcPr>
          <w:p w14:paraId="4F94EB2A"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ascii="Calibri" w:eastAsia="Times New Roman" w:hAnsi="Calibri" w:cs="Calibri"/>
                <w:sz w:val="20"/>
                <w:szCs w:val="20"/>
                <w:vertAlign w:val="superscript"/>
                <w:lang w:val="en-GB" w:eastAsia="da-DK"/>
              </w:rPr>
              <w:t xml:space="preserve">a </w:t>
            </w:r>
            <w:r w:rsidRPr="00276EB3">
              <w:rPr>
                <w:rFonts w:eastAsia="Times New Roman" w:cs="Times New Roman"/>
                <w:sz w:val="20"/>
                <w:szCs w:val="20"/>
                <w:lang w:val="en-GB" w:eastAsia="da-DK"/>
              </w:rPr>
              <w:t>Chi</w:t>
            </w:r>
            <w:r w:rsidRPr="00276EB3">
              <w:rPr>
                <w:rFonts w:eastAsia="Times New Roman" w:cs="Times New Roman"/>
                <w:sz w:val="20"/>
                <w:szCs w:val="20"/>
                <w:vertAlign w:val="superscript"/>
                <w:lang w:val="en-GB" w:eastAsia="da-DK"/>
              </w:rPr>
              <w:t xml:space="preserve">2 </w:t>
            </w:r>
            <w:r w:rsidRPr="00276EB3">
              <w:rPr>
                <w:rFonts w:eastAsia="Times New Roman" w:cs="Times New Roman"/>
                <w:sz w:val="20"/>
                <w:szCs w:val="20"/>
                <w:lang w:val="en-GB" w:eastAsia="da-DK"/>
              </w:rPr>
              <w:t xml:space="preserve">test, </w:t>
            </w:r>
            <w:r w:rsidRPr="00276EB3">
              <w:rPr>
                <w:rFonts w:ascii="Calibri" w:eastAsia="Times New Roman" w:hAnsi="Calibri" w:cs="Calibri"/>
                <w:sz w:val="20"/>
                <w:szCs w:val="20"/>
                <w:vertAlign w:val="superscript"/>
                <w:lang w:val="en-GB" w:eastAsia="da-DK"/>
              </w:rPr>
              <w:t>b</w:t>
            </w:r>
            <w:r w:rsidRPr="00276EB3">
              <w:rPr>
                <w:rFonts w:eastAsia="Times New Roman" w:cs="Times New Roman"/>
                <w:sz w:val="20"/>
                <w:szCs w:val="20"/>
                <w:lang w:val="en-GB" w:eastAsia="da-DK"/>
              </w:rPr>
              <w:t xml:space="preserve"> t-test, </w:t>
            </w:r>
            <w:r w:rsidRPr="00276EB3">
              <w:rPr>
                <w:rFonts w:ascii="Calibri" w:eastAsia="Times New Roman" w:hAnsi="Calibri" w:cs="Calibri"/>
                <w:sz w:val="20"/>
                <w:szCs w:val="20"/>
                <w:vertAlign w:val="superscript"/>
                <w:lang w:val="en-GB" w:eastAsia="da-DK"/>
              </w:rPr>
              <w:t>c</w:t>
            </w:r>
            <w:r w:rsidRPr="00276EB3">
              <w:rPr>
                <w:rFonts w:eastAsia="Times New Roman" w:cs="Times New Roman"/>
                <w:sz w:val="20"/>
                <w:szCs w:val="20"/>
                <w:vertAlign w:val="superscript"/>
                <w:lang w:val="en-GB" w:eastAsia="da-DK"/>
              </w:rPr>
              <w:t xml:space="preserve"> </w:t>
            </w:r>
            <w:r w:rsidRPr="00276EB3">
              <w:rPr>
                <w:rFonts w:eastAsia="Times New Roman" w:cs="Times New Roman"/>
                <w:sz w:val="20"/>
                <w:szCs w:val="20"/>
                <w:lang w:val="en-GB" w:eastAsia="da-DK"/>
              </w:rPr>
              <w:t>Mann-Whitney test</w:t>
            </w:r>
          </w:p>
          <w:p w14:paraId="1F0E89F2" w14:textId="77777777" w:rsidR="001F1659" w:rsidRPr="00276EB3" w:rsidRDefault="001F1659" w:rsidP="00276EB3">
            <w:pPr>
              <w:spacing w:after="0" w:line="240" w:lineRule="auto"/>
              <w:rPr>
                <w:rFonts w:eastAsia="Times New Roman" w:cs="Times New Roman"/>
                <w:sz w:val="20"/>
                <w:szCs w:val="20"/>
                <w:lang w:val="en-GB" w:eastAsia="da-DK"/>
              </w:rPr>
            </w:pPr>
            <w:r w:rsidRPr="00276EB3">
              <w:rPr>
                <w:rFonts w:eastAsia="Times New Roman" w:cs="Times New Roman"/>
                <w:sz w:val="20"/>
                <w:szCs w:val="20"/>
                <w:lang w:val="en-GB" w:eastAsia="da-DK"/>
              </w:rPr>
              <w:t>Abbreviations: SD: Standard deviation. BMI: Body Mass Index. IQR: Inter quartile range 25-75%. HADS: Hospital Anxiety and Depression Scale. Borg 15: a submaximal cycling test “Borg Rating Scale of Perceived Exertion”. </w:t>
            </w:r>
            <w:r w:rsidRPr="00276EB3">
              <w:rPr>
                <w:rFonts w:eastAsia="Times New Roman" w:cs="Times New Roman"/>
                <w:bCs/>
                <w:sz w:val="20"/>
                <w:szCs w:val="20"/>
                <w:lang w:val="en-GB" w:eastAsia="da-DK"/>
              </w:rPr>
              <w:t>HeartQol:</w:t>
            </w:r>
            <w:r w:rsidRPr="00276EB3">
              <w:rPr>
                <w:rFonts w:eastAsia="Times New Roman" w:cs="Times New Roman"/>
                <w:sz w:val="20"/>
                <w:szCs w:val="20"/>
                <w:lang w:val="en-GB" w:eastAsia="da-DK"/>
              </w:rPr>
              <w:t xml:space="preserve"> Heart specific health related quality of life questionnaire.</w:t>
            </w:r>
          </w:p>
        </w:tc>
      </w:tr>
    </w:tbl>
    <w:p w14:paraId="14DBFCFA" w14:textId="41C106AA" w:rsidR="001F1659" w:rsidRDefault="001F1659" w:rsidP="001F1659">
      <w:pPr>
        <w:pStyle w:val="Heading1"/>
        <w:spacing w:after="0" w:afterAutospacing="0" w:line="480" w:lineRule="auto"/>
        <w:rPr>
          <w:color w:val="auto"/>
          <w:lang w:val="en-GB"/>
        </w:rPr>
      </w:pPr>
    </w:p>
    <w:p w14:paraId="25297A55" w14:textId="77777777" w:rsidR="00276EB3" w:rsidRPr="00DA27E1" w:rsidRDefault="00276EB3" w:rsidP="001F1659">
      <w:pPr>
        <w:pStyle w:val="Heading1"/>
        <w:spacing w:after="0" w:afterAutospacing="0" w:line="480" w:lineRule="auto"/>
        <w:rPr>
          <w:color w:val="auto"/>
          <w:lang w:val="en-GB"/>
        </w:rPr>
      </w:pPr>
    </w:p>
    <w:tbl>
      <w:tblPr>
        <w:tblW w:w="6687" w:type="dxa"/>
        <w:tblCellMar>
          <w:left w:w="70" w:type="dxa"/>
          <w:right w:w="70" w:type="dxa"/>
        </w:tblCellMar>
        <w:tblLook w:val="04A0" w:firstRow="1" w:lastRow="0" w:firstColumn="1" w:lastColumn="0" w:noHBand="0" w:noVBand="1"/>
      </w:tblPr>
      <w:tblGrid>
        <w:gridCol w:w="2694"/>
        <w:gridCol w:w="802"/>
        <w:gridCol w:w="692"/>
        <w:gridCol w:w="327"/>
        <w:gridCol w:w="1011"/>
        <w:gridCol w:w="1161"/>
      </w:tblGrid>
      <w:tr w:rsidR="001F1659" w:rsidRPr="00276EB3" w14:paraId="3EF5D4E4" w14:textId="77777777" w:rsidTr="00740A7E">
        <w:trPr>
          <w:trHeight w:val="350"/>
        </w:trPr>
        <w:tc>
          <w:tcPr>
            <w:tcW w:w="6687" w:type="dxa"/>
            <w:gridSpan w:val="6"/>
            <w:tcBorders>
              <w:top w:val="single" w:sz="4" w:space="0" w:color="auto"/>
              <w:left w:val="nil"/>
              <w:bottom w:val="nil"/>
            </w:tcBorders>
            <w:shd w:val="clear" w:color="auto" w:fill="auto"/>
            <w:noWrap/>
            <w:vAlign w:val="bottom"/>
          </w:tcPr>
          <w:p w14:paraId="5684C7E7" w14:textId="77777777" w:rsidR="001F1659" w:rsidRPr="00276EB3" w:rsidRDefault="001F1659" w:rsidP="00740A7E">
            <w:pPr>
              <w:spacing w:after="0"/>
              <w:rPr>
                <w:rFonts w:eastAsia="Times New Roman" w:cs="Times New Roman"/>
                <w:sz w:val="22"/>
                <w:lang w:val="en-GB"/>
              </w:rPr>
            </w:pPr>
            <w:r w:rsidRPr="00276EB3">
              <w:rPr>
                <w:rFonts w:cs="Times New Roman"/>
                <w:b/>
                <w:sz w:val="22"/>
                <w:lang w:val="en-GB"/>
              </w:rPr>
              <w:t>Table 2</w:t>
            </w:r>
            <w:r w:rsidRPr="00276EB3">
              <w:rPr>
                <w:rFonts w:cs="Times New Roman"/>
                <w:sz w:val="22"/>
                <w:lang w:val="en-GB"/>
              </w:rPr>
              <w:t>. M</w:t>
            </w:r>
            <w:r w:rsidRPr="00276EB3">
              <w:rPr>
                <w:rFonts w:eastAsia="Times New Roman" w:cs="Times New Roman"/>
                <w:sz w:val="22"/>
                <w:lang w:val="en-GB"/>
              </w:rPr>
              <w:t>ultiple logistic regression</w:t>
            </w:r>
            <w:r w:rsidRPr="00276EB3">
              <w:rPr>
                <w:rFonts w:cs="Times New Roman"/>
                <w:sz w:val="22"/>
                <w:lang w:val="en-GB"/>
              </w:rPr>
              <w:t xml:space="preserve"> </w:t>
            </w:r>
            <w:r w:rsidRPr="00276EB3">
              <w:rPr>
                <w:rFonts w:eastAsia="Times New Roman" w:cs="Times New Roman"/>
                <w:sz w:val="22"/>
                <w:lang w:val="en-GB"/>
              </w:rPr>
              <w:t>model of patient characteristics associated with the likelihood for dropout at transition between patients who drop out at transition (n=72) compared to those who complete the program (n=162) in a 12-week exercise-based cardiac rehabilitation program</w:t>
            </w:r>
          </w:p>
        </w:tc>
      </w:tr>
      <w:tr w:rsidR="001F1659" w:rsidRPr="00DA27E1" w14:paraId="4D2B6A88" w14:textId="77777777" w:rsidTr="00740A7E">
        <w:trPr>
          <w:trHeight w:val="350"/>
        </w:trPr>
        <w:tc>
          <w:tcPr>
            <w:tcW w:w="6687" w:type="dxa"/>
            <w:gridSpan w:val="6"/>
            <w:tcBorders>
              <w:top w:val="single" w:sz="4" w:space="0" w:color="auto"/>
              <w:left w:val="nil"/>
              <w:bottom w:val="nil"/>
            </w:tcBorders>
            <w:shd w:val="clear" w:color="auto" w:fill="auto"/>
            <w:noWrap/>
            <w:vAlign w:val="bottom"/>
            <w:hideMark/>
          </w:tcPr>
          <w:p w14:paraId="77F4FED9" w14:textId="77777777" w:rsidR="001F1659" w:rsidRPr="00276EB3" w:rsidRDefault="001F1659" w:rsidP="00740A7E">
            <w:pPr>
              <w:spacing w:after="0" w:line="240" w:lineRule="auto"/>
              <w:jc w:val="center"/>
              <w:rPr>
                <w:rFonts w:eastAsia="Times New Roman" w:cs="Times New Roman"/>
                <w:sz w:val="22"/>
                <w:lang w:val="en-GB" w:eastAsia="da-DK"/>
              </w:rPr>
            </w:pPr>
          </w:p>
          <w:p w14:paraId="0CE1CABD"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cs="Times New Roman"/>
                <w:sz w:val="22"/>
                <w:lang w:val="en-GB"/>
              </w:rPr>
              <w:t xml:space="preserve">                                                M</w:t>
            </w:r>
            <w:r w:rsidRPr="00276EB3">
              <w:rPr>
                <w:rFonts w:eastAsia="Times New Roman" w:cs="Times New Roman"/>
                <w:sz w:val="22"/>
                <w:lang w:val="en-GB"/>
              </w:rPr>
              <w:t>ultiple logistic regression</w:t>
            </w:r>
            <w:r w:rsidRPr="00276EB3">
              <w:rPr>
                <w:rFonts w:cs="Times New Roman"/>
                <w:sz w:val="22"/>
                <w:lang w:val="en-GB"/>
              </w:rPr>
              <w:t xml:space="preserve"> </w:t>
            </w:r>
            <w:r w:rsidRPr="00276EB3">
              <w:rPr>
                <w:rFonts w:eastAsia="Times New Roman" w:cs="Times New Roman"/>
                <w:sz w:val="22"/>
                <w:lang w:val="en-GB"/>
              </w:rPr>
              <w:t xml:space="preserve">model </w:t>
            </w:r>
            <w:r w:rsidRPr="00276EB3">
              <w:rPr>
                <w:rFonts w:eastAsia="Times New Roman" w:cs="Times New Roman"/>
                <w:sz w:val="22"/>
                <w:lang w:val="en-GB" w:eastAsia="da-DK"/>
              </w:rPr>
              <w:t>*</w:t>
            </w:r>
          </w:p>
        </w:tc>
      </w:tr>
      <w:tr w:rsidR="001F1659" w:rsidRPr="00DA27E1" w14:paraId="66976E69" w14:textId="77777777" w:rsidTr="00740A7E">
        <w:trPr>
          <w:trHeight w:val="74"/>
        </w:trPr>
        <w:tc>
          <w:tcPr>
            <w:tcW w:w="2694" w:type="dxa"/>
            <w:tcBorders>
              <w:top w:val="single" w:sz="4" w:space="0" w:color="auto"/>
              <w:left w:val="nil"/>
              <w:bottom w:val="single" w:sz="4" w:space="0" w:color="auto"/>
              <w:right w:val="nil"/>
            </w:tcBorders>
            <w:shd w:val="clear" w:color="auto" w:fill="auto"/>
            <w:noWrap/>
            <w:vAlign w:val="bottom"/>
            <w:hideMark/>
          </w:tcPr>
          <w:p w14:paraId="15A2D440"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 </w:t>
            </w:r>
          </w:p>
        </w:tc>
        <w:tc>
          <w:tcPr>
            <w:tcW w:w="802" w:type="dxa"/>
            <w:tcBorders>
              <w:top w:val="single" w:sz="4" w:space="0" w:color="auto"/>
              <w:left w:val="nil"/>
              <w:bottom w:val="single" w:sz="4" w:space="0" w:color="auto"/>
              <w:right w:val="nil"/>
            </w:tcBorders>
            <w:shd w:val="clear" w:color="auto" w:fill="auto"/>
            <w:noWrap/>
            <w:vAlign w:val="bottom"/>
            <w:hideMark/>
          </w:tcPr>
          <w:p w14:paraId="22B563DC"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OR</w:t>
            </w:r>
          </w:p>
        </w:tc>
        <w:tc>
          <w:tcPr>
            <w:tcW w:w="2030" w:type="dxa"/>
            <w:gridSpan w:val="3"/>
            <w:tcBorders>
              <w:top w:val="single" w:sz="4" w:space="0" w:color="auto"/>
              <w:left w:val="nil"/>
              <w:bottom w:val="single" w:sz="4" w:space="0" w:color="auto"/>
              <w:right w:val="nil"/>
            </w:tcBorders>
            <w:shd w:val="clear" w:color="auto" w:fill="auto"/>
            <w:noWrap/>
            <w:vAlign w:val="bottom"/>
            <w:hideMark/>
          </w:tcPr>
          <w:p w14:paraId="23C4A2C6"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95% CI</w:t>
            </w:r>
          </w:p>
        </w:tc>
        <w:tc>
          <w:tcPr>
            <w:tcW w:w="1161" w:type="dxa"/>
            <w:tcBorders>
              <w:top w:val="single" w:sz="4" w:space="0" w:color="auto"/>
              <w:left w:val="nil"/>
              <w:bottom w:val="single" w:sz="4" w:space="0" w:color="auto"/>
            </w:tcBorders>
          </w:tcPr>
          <w:p w14:paraId="49A55414"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p-value</w:t>
            </w:r>
          </w:p>
        </w:tc>
      </w:tr>
      <w:tr w:rsidR="001F1659" w:rsidRPr="00DA27E1" w14:paraId="15BE0ECE" w14:textId="77777777" w:rsidTr="00740A7E">
        <w:trPr>
          <w:trHeight w:val="340"/>
        </w:trPr>
        <w:tc>
          <w:tcPr>
            <w:tcW w:w="2694" w:type="dxa"/>
            <w:tcBorders>
              <w:top w:val="nil"/>
              <w:left w:val="nil"/>
              <w:bottom w:val="nil"/>
              <w:right w:val="nil"/>
            </w:tcBorders>
            <w:shd w:val="clear" w:color="auto" w:fill="auto"/>
            <w:noWrap/>
            <w:vAlign w:val="bottom"/>
            <w:hideMark/>
          </w:tcPr>
          <w:p w14:paraId="5A73A89B"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b/>
                <w:bCs/>
                <w:sz w:val="22"/>
                <w:lang w:val="en-GB" w:eastAsia="da-DK"/>
              </w:rPr>
              <w:t xml:space="preserve">Gender </w:t>
            </w:r>
          </w:p>
        </w:tc>
        <w:tc>
          <w:tcPr>
            <w:tcW w:w="802" w:type="dxa"/>
            <w:tcBorders>
              <w:top w:val="nil"/>
              <w:left w:val="nil"/>
              <w:bottom w:val="nil"/>
              <w:right w:val="nil"/>
            </w:tcBorders>
            <w:shd w:val="clear" w:color="auto" w:fill="auto"/>
            <w:noWrap/>
            <w:vAlign w:val="bottom"/>
            <w:hideMark/>
          </w:tcPr>
          <w:p w14:paraId="221822D2" w14:textId="77777777" w:rsidR="001F1659" w:rsidRPr="00276EB3" w:rsidRDefault="001F1659" w:rsidP="00740A7E">
            <w:pPr>
              <w:spacing w:after="0" w:line="240" w:lineRule="auto"/>
              <w:rPr>
                <w:rFonts w:eastAsia="Times New Roman" w:cs="Times New Roman"/>
                <w:sz w:val="22"/>
                <w:lang w:val="en-GB" w:eastAsia="da-DK"/>
              </w:rPr>
            </w:pPr>
          </w:p>
        </w:tc>
        <w:tc>
          <w:tcPr>
            <w:tcW w:w="692" w:type="dxa"/>
            <w:tcBorders>
              <w:top w:val="single" w:sz="4" w:space="0" w:color="auto"/>
              <w:left w:val="nil"/>
              <w:bottom w:val="nil"/>
              <w:right w:val="nil"/>
            </w:tcBorders>
            <w:shd w:val="clear" w:color="auto" w:fill="auto"/>
            <w:noWrap/>
            <w:vAlign w:val="bottom"/>
            <w:hideMark/>
          </w:tcPr>
          <w:p w14:paraId="12FC83F8" w14:textId="77777777" w:rsidR="001F1659" w:rsidRPr="00276EB3" w:rsidRDefault="001F1659" w:rsidP="00740A7E">
            <w:pPr>
              <w:spacing w:after="0" w:line="240" w:lineRule="auto"/>
              <w:jc w:val="right"/>
              <w:rPr>
                <w:rFonts w:eastAsia="Times New Roman" w:cs="Times New Roman"/>
                <w:sz w:val="22"/>
                <w:lang w:val="en-GB" w:eastAsia="da-DK"/>
              </w:rPr>
            </w:pPr>
          </w:p>
        </w:tc>
        <w:tc>
          <w:tcPr>
            <w:tcW w:w="327" w:type="dxa"/>
            <w:tcBorders>
              <w:top w:val="single" w:sz="4" w:space="0" w:color="auto"/>
              <w:left w:val="nil"/>
              <w:bottom w:val="nil"/>
              <w:right w:val="nil"/>
            </w:tcBorders>
            <w:shd w:val="clear" w:color="auto" w:fill="auto"/>
            <w:noWrap/>
            <w:vAlign w:val="bottom"/>
            <w:hideMark/>
          </w:tcPr>
          <w:p w14:paraId="7C5F84FA" w14:textId="77777777" w:rsidR="001F1659" w:rsidRPr="00276EB3" w:rsidRDefault="001F1659" w:rsidP="00740A7E">
            <w:pPr>
              <w:spacing w:after="0" w:line="240" w:lineRule="auto"/>
              <w:jc w:val="right"/>
              <w:rPr>
                <w:rFonts w:eastAsia="Times New Roman" w:cs="Times New Roman"/>
                <w:sz w:val="22"/>
                <w:lang w:val="en-GB" w:eastAsia="da-DK"/>
              </w:rPr>
            </w:pPr>
          </w:p>
        </w:tc>
        <w:tc>
          <w:tcPr>
            <w:tcW w:w="1011" w:type="dxa"/>
            <w:tcBorders>
              <w:top w:val="single" w:sz="4" w:space="0" w:color="auto"/>
              <w:left w:val="nil"/>
              <w:bottom w:val="nil"/>
              <w:right w:val="nil"/>
            </w:tcBorders>
            <w:shd w:val="clear" w:color="auto" w:fill="auto"/>
            <w:noWrap/>
            <w:vAlign w:val="bottom"/>
            <w:hideMark/>
          </w:tcPr>
          <w:p w14:paraId="777D5A63" w14:textId="77777777" w:rsidR="001F1659" w:rsidRPr="00276EB3" w:rsidRDefault="001F1659" w:rsidP="00740A7E">
            <w:pPr>
              <w:spacing w:after="0" w:line="240" w:lineRule="auto"/>
              <w:jc w:val="right"/>
              <w:rPr>
                <w:rFonts w:eastAsia="Times New Roman" w:cs="Times New Roman"/>
                <w:sz w:val="22"/>
                <w:lang w:val="en-GB" w:eastAsia="da-DK"/>
              </w:rPr>
            </w:pPr>
          </w:p>
        </w:tc>
        <w:tc>
          <w:tcPr>
            <w:tcW w:w="1161" w:type="dxa"/>
            <w:tcBorders>
              <w:top w:val="single" w:sz="4" w:space="0" w:color="auto"/>
              <w:left w:val="nil"/>
              <w:bottom w:val="nil"/>
            </w:tcBorders>
          </w:tcPr>
          <w:p w14:paraId="1F0173A4" w14:textId="77777777" w:rsidR="001F1659" w:rsidRPr="00276EB3" w:rsidRDefault="001F1659" w:rsidP="00740A7E">
            <w:pPr>
              <w:spacing w:after="0" w:line="240" w:lineRule="auto"/>
              <w:jc w:val="center"/>
              <w:rPr>
                <w:rFonts w:eastAsia="Times New Roman" w:cs="Times New Roman"/>
                <w:sz w:val="22"/>
                <w:lang w:val="en-GB" w:eastAsia="da-DK"/>
              </w:rPr>
            </w:pPr>
          </w:p>
        </w:tc>
      </w:tr>
      <w:tr w:rsidR="001F1659" w:rsidRPr="00DA27E1" w14:paraId="332DD3D2" w14:textId="77777777" w:rsidTr="00740A7E">
        <w:trPr>
          <w:trHeight w:val="283"/>
        </w:trPr>
        <w:tc>
          <w:tcPr>
            <w:tcW w:w="2694" w:type="dxa"/>
            <w:tcBorders>
              <w:top w:val="nil"/>
              <w:left w:val="nil"/>
              <w:right w:val="nil"/>
            </w:tcBorders>
            <w:shd w:val="clear" w:color="auto" w:fill="auto"/>
            <w:noWrap/>
            <w:vAlign w:val="bottom"/>
            <w:hideMark/>
          </w:tcPr>
          <w:p w14:paraId="374ABF77"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 xml:space="preserve">  Female</w:t>
            </w:r>
          </w:p>
        </w:tc>
        <w:tc>
          <w:tcPr>
            <w:tcW w:w="2832" w:type="dxa"/>
            <w:gridSpan w:val="4"/>
            <w:tcBorders>
              <w:top w:val="nil"/>
              <w:left w:val="nil"/>
              <w:right w:val="nil"/>
            </w:tcBorders>
            <w:shd w:val="clear" w:color="auto" w:fill="auto"/>
            <w:noWrap/>
            <w:vAlign w:val="center"/>
            <w:hideMark/>
          </w:tcPr>
          <w:p w14:paraId="49A00EC6"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Reference</w:t>
            </w:r>
          </w:p>
        </w:tc>
        <w:tc>
          <w:tcPr>
            <w:tcW w:w="1161" w:type="dxa"/>
            <w:tcBorders>
              <w:top w:val="nil"/>
              <w:left w:val="nil"/>
            </w:tcBorders>
          </w:tcPr>
          <w:p w14:paraId="1C6393E7" w14:textId="77777777" w:rsidR="001F1659" w:rsidRPr="00276EB3" w:rsidRDefault="001F1659" w:rsidP="00740A7E">
            <w:pPr>
              <w:spacing w:after="0" w:line="240" w:lineRule="auto"/>
              <w:jc w:val="center"/>
              <w:rPr>
                <w:rFonts w:eastAsia="Times New Roman" w:cs="Times New Roman"/>
                <w:sz w:val="22"/>
                <w:lang w:val="en-GB" w:eastAsia="da-DK"/>
              </w:rPr>
            </w:pPr>
          </w:p>
        </w:tc>
      </w:tr>
      <w:tr w:rsidR="001F1659" w:rsidRPr="00DA27E1" w14:paraId="4006233D" w14:textId="77777777" w:rsidTr="00740A7E">
        <w:trPr>
          <w:trHeight w:val="375"/>
        </w:trPr>
        <w:tc>
          <w:tcPr>
            <w:tcW w:w="2694" w:type="dxa"/>
            <w:tcBorders>
              <w:top w:val="nil"/>
              <w:left w:val="nil"/>
              <w:right w:val="nil"/>
            </w:tcBorders>
            <w:shd w:val="clear" w:color="auto" w:fill="auto"/>
            <w:noWrap/>
            <w:vAlign w:val="center"/>
            <w:hideMark/>
          </w:tcPr>
          <w:p w14:paraId="0023DD09"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 xml:space="preserve">  Male</w:t>
            </w:r>
          </w:p>
        </w:tc>
        <w:tc>
          <w:tcPr>
            <w:tcW w:w="802" w:type="dxa"/>
            <w:tcBorders>
              <w:top w:val="nil"/>
              <w:left w:val="nil"/>
              <w:right w:val="nil"/>
            </w:tcBorders>
            <w:shd w:val="clear" w:color="auto" w:fill="auto"/>
            <w:noWrap/>
            <w:vAlign w:val="center"/>
          </w:tcPr>
          <w:p w14:paraId="7AE34927" w14:textId="77777777" w:rsidR="001F1659" w:rsidRPr="00276EB3" w:rsidRDefault="001F1659" w:rsidP="00740A7E">
            <w:pPr>
              <w:spacing w:after="0" w:line="240" w:lineRule="auto"/>
              <w:ind w:left="-7"/>
              <w:jc w:val="center"/>
              <w:rPr>
                <w:rFonts w:eastAsia="Times New Roman" w:cs="Times New Roman"/>
                <w:sz w:val="22"/>
                <w:lang w:val="en-GB" w:eastAsia="da-DK"/>
              </w:rPr>
            </w:pPr>
            <w:r w:rsidRPr="00276EB3">
              <w:rPr>
                <w:rFonts w:eastAsia="Times New Roman" w:cs="Times New Roman"/>
                <w:sz w:val="22"/>
                <w:lang w:val="en-GB" w:eastAsia="da-DK"/>
              </w:rPr>
              <w:t>0.94</w:t>
            </w:r>
          </w:p>
        </w:tc>
        <w:tc>
          <w:tcPr>
            <w:tcW w:w="692" w:type="dxa"/>
            <w:tcBorders>
              <w:top w:val="nil"/>
              <w:left w:val="nil"/>
              <w:right w:val="nil"/>
            </w:tcBorders>
            <w:shd w:val="clear" w:color="auto" w:fill="auto"/>
            <w:noWrap/>
            <w:vAlign w:val="center"/>
          </w:tcPr>
          <w:p w14:paraId="7C7A67C9"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(0.42</w:t>
            </w:r>
          </w:p>
        </w:tc>
        <w:tc>
          <w:tcPr>
            <w:tcW w:w="327" w:type="dxa"/>
            <w:tcBorders>
              <w:top w:val="nil"/>
              <w:left w:val="nil"/>
              <w:right w:val="nil"/>
            </w:tcBorders>
            <w:shd w:val="clear" w:color="auto" w:fill="auto"/>
            <w:noWrap/>
            <w:vAlign w:val="center"/>
          </w:tcPr>
          <w:p w14:paraId="7EEC7397"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to</w:t>
            </w:r>
          </w:p>
        </w:tc>
        <w:tc>
          <w:tcPr>
            <w:tcW w:w="1011" w:type="dxa"/>
            <w:tcBorders>
              <w:top w:val="nil"/>
              <w:left w:val="nil"/>
              <w:right w:val="nil"/>
            </w:tcBorders>
            <w:shd w:val="clear" w:color="auto" w:fill="auto"/>
            <w:noWrap/>
            <w:vAlign w:val="center"/>
          </w:tcPr>
          <w:p w14:paraId="501B6582"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2.08)</w:t>
            </w:r>
          </w:p>
        </w:tc>
        <w:tc>
          <w:tcPr>
            <w:tcW w:w="1161" w:type="dxa"/>
            <w:tcBorders>
              <w:top w:val="nil"/>
              <w:left w:val="nil"/>
            </w:tcBorders>
            <w:vAlign w:val="center"/>
          </w:tcPr>
          <w:p w14:paraId="46121D98"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0.869</w:t>
            </w:r>
          </w:p>
        </w:tc>
      </w:tr>
      <w:tr w:rsidR="001F1659" w:rsidRPr="00DA27E1" w14:paraId="4159C9A2" w14:textId="77777777" w:rsidTr="00740A7E">
        <w:trPr>
          <w:trHeight w:val="340"/>
        </w:trPr>
        <w:tc>
          <w:tcPr>
            <w:tcW w:w="2694" w:type="dxa"/>
            <w:tcBorders>
              <w:top w:val="nil"/>
              <w:left w:val="nil"/>
              <w:bottom w:val="nil"/>
              <w:right w:val="nil"/>
            </w:tcBorders>
            <w:shd w:val="clear" w:color="auto" w:fill="auto"/>
            <w:noWrap/>
            <w:vAlign w:val="bottom"/>
            <w:hideMark/>
          </w:tcPr>
          <w:p w14:paraId="4682BEE4"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b/>
                <w:bCs/>
                <w:sz w:val="22"/>
                <w:lang w:val="en-GB" w:eastAsia="da-DK"/>
              </w:rPr>
              <w:t xml:space="preserve">Age </w:t>
            </w:r>
          </w:p>
        </w:tc>
        <w:tc>
          <w:tcPr>
            <w:tcW w:w="802" w:type="dxa"/>
            <w:tcBorders>
              <w:top w:val="nil"/>
              <w:left w:val="nil"/>
              <w:bottom w:val="nil"/>
              <w:right w:val="nil"/>
            </w:tcBorders>
            <w:shd w:val="clear" w:color="auto" w:fill="auto"/>
            <w:noWrap/>
            <w:vAlign w:val="bottom"/>
            <w:hideMark/>
          </w:tcPr>
          <w:p w14:paraId="20E2019A" w14:textId="77777777" w:rsidR="001F1659" w:rsidRPr="00276EB3" w:rsidRDefault="001F1659" w:rsidP="00740A7E">
            <w:pPr>
              <w:spacing w:after="0" w:line="240" w:lineRule="auto"/>
              <w:rPr>
                <w:rFonts w:eastAsia="Times New Roman" w:cs="Times New Roman"/>
                <w:sz w:val="22"/>
                <w:lang w:val="en-GB" w:eastAsia="da-DK"/>
              </w:rPr>
            </w:pPr>
          </w:p>
        </w:tc>
        <w:tc>
          <w:tcPr>
            <w:tcW w:w="692" w:type="dxa"/>
            <w:tcBorders>
              <w:top w:val="nil"/>
              <w:left w:val="nil"/>
              <w:bottom w:val="nil"/>
              <w:right w:val="nil"/>
            </w:tcBorders>
            <w:shd w:val="clear" w:color="auto" w:fill="auto"/>
            <w:noWrap/>
            <w:vAlign w:val="bottom"/>
            <w:hideMark/>
          </w:tcPr>
          <w:p w14:paraId="19644372" w14:textId="77777777" w:rsidR="001F1659" w:rsidRPr="00276EB3" w:rsidRDefault="001F1659" w:rsidP="00740A7E">
            <w:pPr>
              <w:spacing w:after="0" w:line="240" w:lineRule="auto"/>
              <w:jc w:val="right"/>
              <w:rPr>
                <w:rFonts w:eastAsia="Times New Roman" w:cs="Times New Roman"/>
                <w:sz w:val="22"/>
                <w:lang w:val="en-GB" w:eastAsia="da-DK"/>
              </w:rPr>
            </w:pPr>
          </w:p>
        </w:tc>
        <w:tc>
          <w:tcPr>
            <w:tcW w:w="327" w:type="dxa"/>
            <w:tcBorders>
              <w:top w:val="nil"/>
              <w:left w:val="nil"/>
              <w:bottom w:val="nil"/>
              <w:right w:val="nil"/>
            </w:tcBorders>
            <w:shd w:val="clear" w:color="auto" w:fill="auto"/>
            <w:noWrap/>
            <w:vAlign w:val="bottom"/>
            <w:hideMark/>
          </w:tcPr>
          <w:p w14:paraId="367C1F5E" w14:textId="77777777" w:rsidR="001F1659" w:rsidRPr="00276EB3" w:rsidRDefault="001F1659" w:rsidP="00740A7E">
            <w:pPr>
              <w:spacing w:after="0" w:line="240" w:lineRule="auto"/>
              <w:jc w:val="right"/>
              <w:rPr>
                <w:rFonts w:eastAsia="Times New Roman" w:cs="Times New Roman"/>
                <w:sz w:val="22"/>
                <w:lang w:val="en-GB" w:eastAsia="da-DK"/>
              </w:rPr>
            </w:pPr>
          </w:p>
        </w:tc>
        <w:tc>
          <w:tcPr>
            <w:tcW w:w="1011" w:type="dxa"/>
            <w:tcBorders>
              <w:top w:val="nil"/>
              <w:left w:val="nil"/>
              <w:bottom w:val="nil"/>
              <w:right w:val="nil"/>
            </w:tcBorders>
            <w:shd w:val="clear" w:color="auto" w:fill="auto"/>
            <w:noWrap/>
            <w:vAlign w:val="bottom"/>
            <w:hideMark/>
          </w:tcPr>
          <w:p w14:paraId="52CC2068" w14:textId="77777777" w:rsidR="001F1659" w:rsidRPr="00276EB3" w:rsidRDefault="001F1659" w:rsidP="00740A7E">
            <w:pPr>
              <w:spacing w:after="0" w:line="240" w:lineRule="auto"/>
              <w:jc w:val="center"/>
              <w:rPr>
                <w:rFonts w:eastAsia="Times New Roman" w:cs="Times New Roman"/>
                <w:sz w:val="22"/>
                <w:lang w:val="en-GB" w:eastAsia="da-DK"/>
              </w:rPr>
            </w:pPr>
          </w:p>
        </w:tc>
        <w:tc>
          <w:tcPr>
            <w:tcW w:w="1161" w:type="dxa"/>
            <w:tcBorders>
              <w:top w:val="nil"/>
              <w:left w:val="nil"/>
              <w:bottom w:val="nil"/>
            </w:tcBorders>
          </w:tcPr>
          <w:p w14:paraId="7C0405A7" w14:textId="77777777" w:rsidR="001F1659" w:rsidRPr="00276EB3" w:rsidRDefault="001F1659" w:rsidP="00740A7E">
            <w:pPr>
              <w:spacing w:after="0" w:line="240" w:lineRule="auto"/>
              <w:jc w:val="center"/>
              <w:rPr>
                <w:rFonts w:eastAsia="Times New Roman" w:cs="Times New Roman"/>
                <w:sz w:val="22"/>
                <w:lang w:val="en-GB" w:eastAsia="da-DK"/>
              </w:rPr>
            </w:pPr>
          </w:p>
        </w:tc>
      </w:tr>
      <w:tr w:rsidR="001F1659" w:rsidRPr="00DA27E1" w14:paraId="0BD4BCDA" w14:textId="77777777" w:rsidTr="00740A7E">
        <w:trPr>
          <w:trHeight w:val="283"/>
        </w:trPr>
        <w:tc>
          <w:tcPr>
            <w:tcW w:w="2694" w:type="dxa"/>
            <w:tcBorders>
              <w:top w:val="nil"/>
              <w:left w:val="nil"/>
              <w:right w:val="nil"/>
            </w:tcBorders>
            <w:shd w:val="clear" w:color="auto" w:fill="auto"/>
            <w:noWrap/>
            <w:vAlign w:val="bottom"/>
            <w:hideMark/>
          </w:tcPr>
          <w:p w14:paraId="2C993055"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 xml:space="preserve">  +65 years</w:t>
            </w:r>
          </w:p>
        </w:tc>
        <w:tc>
          <w:tcPr>
            <w:tcW w:w="2832" w:type="dxa"/>
            <w:gridSpan w:val="4"/>
            <w:tcBorders>
              <w:top w:val="nil"/>
              <w:left w:val="nil"/>
              <w:right w:val="nil"/>
            </w:tcBorders>
            <w:shd w:val="clear" w:color="auto" w:fill="auto"/>
            <w:noWrap/>
            <w:vAlign w:val="bottom"/>
            <w:hideMark/>
          </w:tcPr>
          <w:p w14:paraId="0BDFF69D"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Reference</w:t>
            </w:r>
          </w:p>
        </w:tc>
        <w:tc>
          <w:tcPr>
            <w:tcW w:w="1161" w:type="dxa"/>
            <w:tcBorders>
              <w:top w:val="nil"/>
              <w:left w:val="nil"/>
            </w:tcBorders>
          </w:tcPr>
          <w:p w14:paraId="2A048E53" w14:textId="77777777" w:rsidR="001F1659" w:rsidRPr="00276EB3" w:rsidRDefault="001F1659" w:rsidP="00740A7E">
            <w:pPr>
              <w:spacing w:after="0" w:line="240" w:lineRule="auto"/>
              <w:jc w:val="center"/>
              <w:rPr>
                <w:rFonts w:eastAsia="Times New Roman" w:cs="Times New Roman"/>
                <w:sz w:val="22"/>
                <w:lang w:val="en-GB" w:eastAsia="da-DK"/>
              </w:rPr>
            </w:pPr>
          </w:p>
        </w:tc>
      </w:tr>
      <w:tr w:rsidR="001F1659" w:rsidRPr="00DA27E1" w14:paraId="2CCE224F" w14:textId="77777777" w:rsidTr="00740A7E">
        <w:trPr>
          <w:trHeight w:val="283"/>
        </w:trPr>
        <w:tc>
          <w:tcPr>
            <w:tcW w:w="2694" w:type="dxa"/>
            <w:tcBorders>
              <w:top w:val="nil"/>
              <w:left w:val="nil"/>
              <w:right w:val="nil"/>
            </w:tcBorders>
            <w:shd w:val="clear" w:color="auto" w:fill="auto"/>
            <w:noWrap/>
            <w:vAlign w:val="bottom"/>
            <w:hideMark/>
          </w:tcPr>
          <w:p w14:paraId="7B5DC199"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 xml:space="preserve">  18-64 years</w:t>
            </w:r>
          </w:p>
        </w:tc>
        <w:tc>
          <w:tcPr>
            <w:tcW w:w="802" w:type="dxa"/>
            <w:tcBorders>
              <w:top w:val="nil"/>
              <w:left w:val="nil"/>
              <w:right w:val="nil"/>
            </w:tcBorders>
            <w:shd w:val="clear" w:color="auto" w:fill="auto"/>
            <w:noWrap/>
            <w:vAlign w:val="bottom"/>
            <w:hideMark/>
          </w:tcPr>
          <w:p w14:paraId="56D8F295"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0.61</w:t>
            </w:r>
          </w:p>
        </w:tc>
        <w:tc>
          <w:tcPr>
            <w:tcW w:w="692" w:type="dxa"/>
            <w:tcBorders>
              <w:top w:val="nil"/>
              <w:left w:val="nil"/>
              <w:right w:val="nil"/>
            </w:tcBorders>
            <w:shd w:val="clear" w:color="auto" w:fill="auto"/>
            <w:noWrap/>
            <w:vAlign w:val="bottom"/>
            <w:hideMark/>
          </w:tcPr>
          <w:p w14:paraId="5BDF1C76"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(0.20</w:t>
            </w:r>
          </w:p>
        </w:tc>
        <w:tc>
          <w:tcPr>
            <w:tcW w:w="327" w:type="dxa"/>
            <w:tcBorders>
              <w:top w:val="nil"/>
              <w:left w:val="nil"/>
              <w:right w:val="nil"/>
            </w:tcBorders>
            <w:shd w:val="clear" w:color="auto" w:fill="auto"/>
            <w:noWrap/>
            <w:vAlign w:val="bottom"/>
            <w:hideMark/>
          </w:tcPr>
          <w:p w14:paraId="1953CF02"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to</w:t>
            </w:r>
          </w:p>
        </w:tc>
        <w:tc>
          <w:tcPr>
            <w:tcW w:w="1011" w:type="dxa"/>
            <w:tcBorders>
              <w:top w:val="nil"/>
              <w:left w:val="nil"/>
              <w:right w:val="nil"/>
            </w:tcBorders>
            <w:shd w:val="clear" w:color="auto" w:fill="auto"/>
            <w:noWrap/>
            <w:vAlign w:val="bottom"/>
            <w:hideMark/>
          </w:tcPr>
          <w:p w14:paraId="3F394808"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1.87)</w:t>
            </w:r>
          </w:p>
        </w:tc>
        <w:tc>
          <w:tcPr>
            <w:tcW w:w="1161" w:type="dxa"/>
            <w:tcBorders>
              <w:top w:val="nil"/>
              <w:left w:val="nil"/>
            </w:tcBorders>
          </w:tcPr>
          <w:p w14:paraId="138D3F9D"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0.389</w:t>
            </w:r>
          </w:p>
        </w:tc>
      </w:tr>
      <w:tr w:rsidR="001F1659" w:rsidRPr="00DA27E1" w14:paraId="2900189A" w14:textId="77777777" w:rsidTr="00740A7E">
        <w:trPr>
          <w:trHeight w:val="340"/>
        </w:trPr>
        <w:tc>
          <w:tcPr>
            <w:tcW w:w="2694" w:type="dxa"/>
            <w:tcBorders>
              <w:top w:val="nil"/>
              <w:left w:val="nil"/>
              <w:bottom w:val="nil"/>
              <w:right w:val="nil"/>
            </w:tcBorders>
            <w:shd w:val="clear" w:color="auto" w:fill="auto"/>
            <w:noWrap/>
            <w:vAlign w:val="bottom"/>
            <w:hideMark/>
          </w:tcPr>
          <w:p w14:paraId="7B06F3FB"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b/>
                <w:bCs/>
                <w:sz w:val="22"/>
                <w:lang w:val="en-GB" w:eastAsia="da-DK"/>
              </w:rPr>
              <w:t xml:space="preserve">Cardiac diagnosis </w:t>
            </w:r>
          </w:p>
        </w:tc>
        <w:tc>
          <w:tcPr>
            <w:tcW w:w="802" w:type="dxa"/>
            <w:tcBorders>
              <w:top w:val="nil"/>
              <w:left w:val="nil"/>
              <w:bottom w:val="nil"/>
              <w:right w:val="nil"/>
            </w:tcBorders>
            <w:shd w:val="clear" w:color="auto" w:fill="auto"/>
            <w:noWrap/>
            <w:vAlign w:val="bottom"/>
            <w:hideMark/>
          </w:tcPr>
          <w:p w14:paraId="54CAE8BB" w14:textId="77777777" w:rsidR="001F1659" w:rsidRPr="00276EB3" w:rsidRDefault="001F1659" w:rsidP="00740A7E">
            <w:pPr>
              <w:spacing w:after="0" w:line="240" w:lineRule="auto"/>
              <w:rPr>
                <w:rFonts w:eastAsia="Times New Roman" w:cs="Times New Roman"/>
                <w:sz w:val="22"/>
                <w:lang w:val="en-GB" w:eastAsia="da-DK"/>
              </w:rPr>
            </w:pPr>
          </w:p>
        </w:tc>
        <w:tc>
          <w:tcPr>
            <w:tcW w:w="692" w:type="dxa"/>
            <w:tcBorders>
              <w:top w:val="nil"/>
              <w:left w:val="nil"/>
              <w:bottom w:val="nil"/>
              <w:right w:val="nil"/>
            </w:tcBorders>
            <w:shd w:val="clear" w:color="auto" w:fill="auto"/>
            <w:noWrap/>
            <w:vAlign w:val="bottom"/>
            <w:hideMark/>
          </w:tcPr>
          <w:p w14:paraId="074F3437" w14:textId="77777777" w:rsidR="001F1659" w:rsidRPr="00276EB3" w:rsidRDefault="001F1659" w:rsidP="00740A7E">
            <w:pPr>
              <w:spacing w:after="0" w:line="240" w:lineRule="auto"/>
              <w:jc w:val="right"/>
              <w:rPr>
                <w:rFonts w:eastAsia="Times New Roman" w:cs="Times New Roman"/>
                <w:sz w:val="22"/>
                <w:lang w:val="en-GB" w:eastAsia="da-DK"/>
              </w:rPr>
            </w:pPr>
          </w:p>
        </w:tc>
        <w:tc>
          <w:tcPr>
            <w:tcW w:w="327" w:type="dxa"/>
            <w:tcBorders>
              <w:top w:val="nil"/>
              <w:left w:val="nil"/>
              <w:bottom w:val="nil"/>
              <w:right w:val="nil"/>
            </w:tcBorders>
            <w:shd w:val="clear" w:color="auto" w:fill="auto"/>
            <w:noWrap/>
            <w:vAlign w:val="bottom"/>
            <w:hideMark/>
          </w:tcPr>
          <w:p w14:paraId="0492D323" w14:textId="77777777" w:rsidR="001F1659" w:rsidRPr="00276EB3" w:rsidRDefault="001F1659" w:rsidP="00740A7E">
            <w:pPr>
              <w:spacing w:after="0" w:line="240" w:lineRule="auto"/>
              <w:jc w:val="right"/>
              <w:rPr>
                <w:rFonts w:eastAsia="Times New Roman" w:cs="Times New Roman"/>
                <w:sz w:val="22"/>
                <w:lang w:val="en-GB" w:eastAsia="da-DK"/>
              </w:rPr>
            </w:pPr>
          </w:p>
        </w:tc>
        <w:tc>
          <w:tcPr>
            <w:tcW w:w="1011" w:type="dxa"/>
            <w:tcBorders>
              <w:top w:val="nil"/>
              <w:left w:val="nil"/>
              <w:bottom w:val="nil"/>
              <w:right w:val="nil"/>
            </w:tcBorders>
            <w:shd w:val="clear" w:color="auto" w:fill="auto"/>
            <w:noWrap/>
            <w:vAlign w:val="bottom"/>
            <w:hideMark/>
          </w:tcPr>
          <w:p w14:paraId="0FBA9F30" w14:textId="77777777" w:rsidR="001F1659" w:rsidRPr="00276EB3" w:rsidRDefault="001F1659" w:rsidP="00740A7E">
            <w:pPr>
              <w:spacing w:after="0" w:line="240" w:lineRule="auto"/>
              <w:jc w:val="center"/>
              <w:rPr>
                <w:rFonts w:eastAsia="Times New Roman" w:cs="Times New Roman"/>
                <w:sz w:val="22"/>
                <w:lang w:val="en-GB" w:eastAsia="da-DK"/>
              </w:rPr>
            </w:pPr>
          </w:p>
        </w:tc>
        <w:tc>
          <w:tcPr>
            <w:tcW w:w="1161" w:type="dxa"/>
            <w:tcBorders>
              <w:top w:val="nil"/>
              <w:left w:val="nil"/>
              <w:bottom w:val="nil"/>
            </w:tcBorders>
          </w:tcPr>
          <w:p w14:paraId="0579B421" w14:textId="77777777" w:rsidR="001F1659" w:rsidRPr="00276EB3" w:rsidRDefault="001F1659" w:rsidP="00740A7E">
            <w:pPr>
              <w:spacing w:after="0" w:line="240" w:lineRule="auto"/>
              <w:jc w:val="center"/>
              <w:rPr>
                <w:rFonts w:eastAsia="Times New Roman" w:cs="Times New Roman"/>
                <w:sz w:val="22"/>
                <w:lang w:val="en-GB" w:eastAsia="da-DK"/>
              </w:rPr>
            </w:pPr>
          </w:p>
        </w:tc>
      </w:tr>
      <w:tr w:rsidR="001F1659" w:rsidRPr="00DA27E1" w14:paraId="6A74DA89" w14:textId="77777777" w:rsidTr="00740A7E">
        <w:trPr>
          <w:trHeight w:val="283"/>
        </w:trPr>
        <w:tc>
          <w:tcPr>
            <w:tcW w:w="2694" w:type="dxa"/>
            <w:tcBorders>
              <w:top w:val="nil"/>
              <w:left w:val="nil"/>
              <w:bottom w:val="nil"/>
              <w:right w:val="nil"/>
            </w:tcBorders>
            <w:shd w:val="clear" w:color="auto" w:fill="auto"/>
            <w:noWrap/>
            <w:vAlign w:val="bottom"/>
            <w:hideMark/>
          </w:tcPr>
          <w:p w14:paraId="03BC91C8" w14:textId="77777777" w:rsidR="001F1659" w:rsidRPr="00276EB3" w:rsidRDefault="001F1659" w:rsidP="00740A7E">
            <w:pPr>
              <w:spacing w:after="0" w:line="240" w:lineRule="auto"/>
              <w:ind w:left="214" w:hanging="142"/>
              <w:rPr>
                <w:rFonts w:eastAsia="Times New Roman" w:cs="Times New Roman"/>
                <w:sz w:val="22"/>
                <w:lang w:val="en-GB" w:eastAsia="da-DK"/>
              </w:rPr>
            </w:pPr>
            <w:r w:rsidRPr="00276EB3">
              <w:rPr>
                <w:rFonts w:eastAsia="Times New Roman" w:cs="Times New Roman"/>
                <w:sz w:val="22"/>
                <w:lang w:val="en-GB" w:eastAsia="da-DK"/>
              </w:rPr>
              <w:t xml:space="preserve"> Coronary heart   disease</w:t>
            </w:r>
          </w:p>
        </w:tc>
        <w:tc>
          <w:tcPr>
            <w:tcW w:w="2832" w:type="dxa"/>
            <w:gridSpan w:val="4"/>
            <w:tcBorders>
              <w:top w:val="nil"/>
              <w:left w:val="nil"/>
              <w:bottom w:val="nil"/>
              <w:right w:val="nil"/>
            </w:tcBorders>
            <w:shd w:val="clear" w:color="auto" w:fill="auto"/>
            <w:noWrap/>
            <w:vAlign w:val="bottom"/>
            <w:hideMark/>
          </w:tcPr>
          <w:p w14:paraId="74316438"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Reference</w:t>
            </w:r>
          </w:p>
        </w:tc>
        <w:tc>
          <w:tcPr>
            <w:tcW w:w="1161" w:type="dxa"/>
            <w:tcBorders>
              <w:top w:val="nil"/>
              <w:left w:val="nil"/>
              <w:bottom w:val="nil"/>
            </w:tcBorders>
          </w:tcPr>
          <w:p w14:paraId="25DEABE3" w14:textId="77777777" w:rsidR="001F1659" w:rsidRPr="00276EB3" w:rsidRDefault="001F1659" w:rsidP="00740A7E">
            <w:pPr>
              <w:spacing w:after="0" w:line="240" w:lineRule="auto"/>
              <w:jc w:val="center"/>
              <w:rPr>
                <w:rFonts w:eastAsia="Times New Roman" w:cs="Times New Roman"/>
                <w:sz w:val="22"/>
                <w:lang w:val="en-GB" w:eastAsia="da-DK"/>
              </w:rPr>
            </w:pPr>
          </w:p>
        </w:tc>
      </w:tr>
      <w:tr w:rsidR="001F1659" w:rsidRPr="00DA27E1" w14:paraId="484A9A7C" w14:textId="77777777" w:rsidTr="00740A7E">
        <w:trPr>
          <w:trHeight w:val="283"/>
        </w:trPr>
        <w:tc>
          <w:tcPr>
            <w:tcW w:w="2694" w:type="dxa"/>
            <w:tcBorders>
              <w:top w:val="nil"/>
              <w:left w:val="nil"/>
              <w:right w:val="nil"/>
            </w:tcBorders>
            <w:shd w:val="clear" w:color="auto" w:fill="auto"/>
            <w:noWrap/>
            <w:vAlign w:val="bottom"/>
            <w:hideMark/>
          </w:tcPr>
          <w:p w14:paraId="1FF0A704"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 xml:space="preserve">  Heart failure</w:t>
            </w:r>
          </w:p>
        </w:tc>
        <w:tc>
          <w:tcPr>
            <w:tcW w:w="802" w:type="dxa"/>
            <w:tcBorders>
              <w:top w:val="nil"/>
              <w:left w:val="nil"/>
              <w:right w:val="nil"/>
            </w:tcBorders>
            <w:shd w:val="clear" w:color="auto" w:fill="auto"/>
            <w:noWrap/>
            <w:vAlign w:val="bottom"/>
            <w:hideMark/>
          </w:tcPr>
          <w:p w14:paraId="6E4417D9"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0.85</w:t>
            </w:r>
          </w:p>
        </w:tc>
        <w:tc>
          <w:tcPr>
            <w:tcW w:w="692" w:type="dxa"/>
            <w:tcBorders>
              <w:top w:val="nil"/>
              <w:left w:val="nil"/>
              <w:right w:val="nil"/>
            </w:tcBorders>
            <w:shd w:val="clear" w:color="auto" w:fill="auto"/>
            <w:noWrap/>
            <w:vAlign w:val="bottom"/>
            <w:hideMark/>
          </w:tcPr>
          <w:p w14:paraId="4553C00A"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(0.41</w:t>
            </w:r>
          </w:p>
        </w:tc>
        <w:tc>
          <w:tcPr>
            <w:tcW w:w="327" w:type="dxa"/>
            <w:tcBorders>
              <w:top w:val="nil"/>
              <w:left w:val="nil"/>
              <w:right w:val="nil"/>
            </w:tcBorders>
            <w:shd w:val="clear" w:color="auto" w:fill="auto"/>
            <w:noWrap/>
            <w:vAlign w:val="bottom"/>
            <w:hideMark/>
          </w:tcPr>
          <w:p w14:paraId="38FB222A"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to</w:t>
            </w:r>
          </w:p>
        </w:tc>
        <w:tc>
          <w:tcPr>
            <w:tcW w:w="1011" w:type="dxa"/>
            <w:tcBorders>
              <w:top w:val="nil"/>
              <w:left w:val="nil"/>
              <w:right w:val="nil"/>
            </w:tcBorders>
            <w:shd w:val="clear" w:color="auto" w:fill="auto"/>
            <w:noWrap/>
            <w:vAlign w:val="bottom"/>
            <w:hideMark/>
          </w:tcPr>
          <w:p w14:paraId="155A79A1"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1.74)</w:t>
            </w:r>
          </w:p>
        </w:tc>
        <w:tc>
          <w:tcPr>
            <w:tcW w:w="1161" w:type="dxa"/>
            <w:tcBorders>
              <w:top w:val="nil"/>
              <w:left w:val="nil"/>
            </w:tcBorders>
          </w:tcPr>
          <w:p w14:paraId="4AF8DD32"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0.655</w:t>
            </w:r>
          </w:p>
        </w:tc>
      </w:tr>
      <w:tr w:rsidR="001F1659" w:rsidRPr="00DA27E1" w14:paraId="042C9BEB" w14:textId="77777777" w:rsidTr="00740A7E">
        <w:trPr>
          <w:trHeight w:val="283"/>
        </w:trPr>
        <w:tc>
          <w:tcPr>
            <w:tcW w:w="2694" w:type="dxa"/>
            <w:tcBorders>
              <w:top w:val="nil"/>
              <w:left w:val="nil"/>
              <w:right w:val="nil"/>
            </w:tcBorders>
            <w:shd w:val="clear" w:color="auto" w:fill="auto"/>
            <w:noWrap/>
            <w:vAlign w:val="bottom"/>
            <w:hideMark/>
          </w:tcPr>
          <w:p w14:paraId="71156049"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 xml:space="preserve">  Heart valve surgery</w:t>
            </w:r>
          </w:p>
        </w:tc>
        <w:tc>
          <w:tcPr>
            <w:tcW w:w="802" w:type="dxa"/>
            <w:tcBorders>
              <w:top w:val="nil"/>
              <w:left w:val="nil"/>
              <w:right w:val="nil"/>
            </w:tcBorders>
            <w:shd w:val="clear" w:color="auto" w:fill="auto"/>
            <w:noWrap/>
            <w:vAlign w:val="bottom"/>
            <w:hideMark/>
          </w:tcPr>
          <w:p w14:paraId="5C1BB72B"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0.78</w:t>
            </w:r>
          </w:p>
        </w:tc>
        <w:tc>
          <w:tcPr>
            <w:tcW w:w="692" w:type="dxa"/>
            <w:tcBorders>
              <w:top w:val="nil"/>
              <w:left w:val="nil"/>
              <w:right w:val="nil"/>
            </w:tcBorders>
            <w:shd w:val="clear" w:color="auto" w:fill="auto"/>
            <w:noWrap/>
            <w:vAlign w:val="bottom"/>
            <w:hideMark/>
          </w:tcPr>
          <w:p w14:paraId="2E4EE721"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(0.30</w:t>
            </w:r>
          </w:p>
        </w:tc>
        <w:tc>
          <w:tcPr>
            <w:tcW w:w="327" w:type="dxa"/>
            <w:tcBorders>
              <w:top w:val="nil"/>
              <w:left w:val="nil"/>
              <w:right w:val="nil"/>
            </w:tcBorders>
            <w:shd w:val="clear" w:color="auto" w:fill="auto"/>
            <w:noWrap/>
            <w:vAlign w:val="bottom"/>
            <w:hideMark/>
          </w:tcPr>
          <w:p w14:paraId="2405B628"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to</w:t>
            </w:r>
          </w:p>
        </w:tc>
        <w:tc>
          <w:tcPr>
            <w:tcW w:w="1011" w:type="dxa"/>
            <w:tcBorders>
              <w:top w:val="nil"/>
              <w:left w:val="nil"/>
              <w:right w:val="nil"/>
            </w:tcBorders>
            <w:shd w:val="clear" w:color="auto" w:fill="auto"/>
            <w:noWrap/>
            <w:vAlign w:val="bottom"/>
            <w:hideMark/>
          </w:tcPr>
          <w:p w14:paraId="0A29D5DB"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2.00)</w:t>
            </w:r>
          </w:p>
        </w:tc>
        <w:tc>
          <w:tcPr>
            <w:tcW w:w="1161" w:type="dxa"/>
            <w:tcBorders>
              <w:top w:val="nil"/>
              <w:left w:val="nil"/>
            </w:tcBorders>
          </w:tcPr>
          <w:p w14:paraId="01FDE451"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0.604</w:t>
            </w:r>
          </w:p>
        </w:tc>
      </w:tr>
      <w:tr w:rsidR="001F1659" w:rsidRPr="00DA27E1" w14:paraId="41471FD9" w14:textId="77777777" w:rsidTr="00740A7E">
        <w:trPr>
          <w:trHeight w:val="340"/>
        </w:trPr>
        <w:tc>
          <w:tcPr>
            <w:tcW w:w="2694" w:type="dxa"/>
            <w:tcBorders>
              <w:top w:val="nil"/>
              <w:left w:val="nil"/>
              <w:bottom w:val="nil"/>
              <w:right w:val="nil"/>
            </w:tcBorders>
            <w:shd w:val="clear" w:color="auto" w:fill="auto"/>
            <w:noWrap/>
            <w:vAlign w:val="bottom"/>
            <w:hideMark/>
          </w:tcPr>
          <w:p w14:paraId="3E664B75" w14:textId="77777777"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b/>
                <w:bCs/>
                <w:sz w:val="22"/>
                <w:lang w:val="en-GB" w:eastAsia="da-DK"/>
              </w:rPr>
              <w:t xml:space="preserve">Occupational status </w:t>
            </w:r>
          </w:p>
        </w:tc>
        <w:tc>
          <w:tcPr>
            <w:tcW w:w="802" w:type="dxa"/>
            <w:tcBorders>
              <w:top w:val="nil"/>
              <w:left w:val="nil"/>
              <w:bottom w:val="nil"/>
              <w:right w:val="nil"/>
            </w:tcBorders>
            <w:shd w:val="clear" w:color="auto" w:fill="auto"/>
            <w:noWrap/>
            <w:vAlign w:val="bottom"/>
            <w:hideMark/>
          </w:tcPr>
          <w:p w14:paraId="7569A41A" w14:textId="77777777" w:rsidR="001F1659" w:rsidRPr="00276EB3" w:rsidRDefault="001F1659" w:rsidP="00740A7E">
            <w:pPr>
              <w:spacing w:after="0" w:line="240" w:lineRule="auto"/>
              <w:rPr>
                <w:rFonts w:eastAsia="Times New Roman" w:cs="Times New Roman"/>
                <w:sz w:val="22"/>
                <w:lang w:val="en-GB" w:eastAsia="da-DK"/>
              </w:rPr>
            </w:pPr>
          </w:p>
        </w:tc>
        <w:tc>
          <w:tcPr>
            <w:tcW w:w="692" w:type="dxa"/>
            <w:tcBorders>
              <w:top w:val="nil"/>
              <w:left w:val="nil"/>
              <w:bottom w:val="nil"/>
              <w:right w:val="nil"/>
            </w:tcBorders>
            <w:shd w:val="clear" w:color="auto" w:fill="auto"/>
            <w:noWrap/>
            <w:vAlign w:val="bottom"/>
            <w:hideMark/>
          </w:tcPr>
          <w:p w14:paraId="70C97DD7" w14:textId="77777777" w:rsidR="001F1659" w:rsidRPr="00276EB3" w:rsidRDefault="001F1659" w:rsidP="00740A7E">
            <w:pPr>
              <w:spacing w:after="0" w:line="240" w:lineRule="auto"/>
              <w:jc w:val="right"/>
              <w:rPr>
                <w:rFonts w:eastAsia="Times New Roman" w:cs="Times New Roman"/>
                <w:sz w:val="22"/>
                <w:lang w:val="en-GB" w:eastAsia="da-DK"/>
              </w:rPr>
            </w:pPr>
          </w:p>
        </w:tc>
        <w:tc>
          <w:tcPr>
            <w:tcW w:w="327" w:type="dxa"/>
            <w:tcBorders>
              <w:top w:val="nil"/>
              <w:left w:val="nil"/>
              <w:bottom w:val="nil"/>
              <w:right w:val="nil"/>
            </w:tcBorders>
            <w:shd w:val="clear" w:color="auto" w:fill="auto"/>
            <w:noWrap/>
            <w:vAlign w:val="bottom"/>
            <w:hideMark/>
          </w:tcPr>
          <w:p w14:paraId="7CED9FCE" w14:textId="77777777" w:rsidR="001F1659" w:rsidRPr="00276EB3" w:rsidRDefault="001F1659" w:rsidP="00740A7E">
            <w:pPr>
              <w:spacing w:after="0" w:line="240" w:lineRule="auto"/>
              <w:jc w:val="right"/>
              <w:rPr>
                <w:rFonts w:eastAsia="Times New Roman" w:cs="Times New Roman"/>
                <w:sz w:val="22"/>
                <w:lang w:val="en-GB" w:eastAsia="da-DK"/>
              </w:rPr>
            </w:pPr>
          </w:p>
        </w:tc>
        <w:tc>
          <w:tcPr>
            <w:tcW w:w="1011" w:type="dxa"/>
            <w:tcBorders>
              <w:top w:val="nil"/>
              <w:left w:val="nil"/>
              <w:bottom w:val="nil"/>
              <w:right w:val="nil"/>
            </w:tcBorders>
            <w:shd w:val="clear" w:color="auto" w:fill="auto"/>
            <w:noWrap/>
            <w:vAlign w:val="bottom"/>
            <w:hideMark/>
          </w:tcPr>
          <w:p w14:paraId="4318A808" w14:textId="77777777" w:rsidR="001F1659" w:rsidRPr="00276EB3" w:rsidRDefault="001F1659" w:rsidP="00740A7E">
            <w:pPr>
              <w:spacing w:after="0" w:line="240" w:lineRule="auto"/>
              <w:jc w:val="center"/>
              <w:rPr>
                <w:rFonts w:eastAsia="Times New Roman" w:cs="Times New Roman"/>
                <w:sz w:val="22"/>
                <w:lang w:val="en-GB" w:eastAsia="da-DK"/>
              </w:rPr>
            </w:pPr>
          </w:p>
        </w:tc>
        <w:tc>
          <w:tcPr>
            <w:tcW w:w="1161" w:type="dxa"/>
            <w:tcBorders>
              <w:top w:val="nil"/>
              <w:left w:val="nil"/>
              <w:bottom w:val="nil"/>
            </w:tcBorders>
          </w:tcPr>
          <w:p w14:paraId="23F32109" w14:textId="77777777" w:rsidR="001F1659" w:rsidRPr="00276EB3" w:rsidRDefault="001F1659" w:rsidP="00740A7E">
            <w:pPr>
              <w:spacing w:after="0" w:line="240" w:lineRule="auto"/>
              <w:jc w:val="center"/>
              <w:rPr>
                <w:rFonts w:eastAsia="Times New Roman" w:cs="Times New Roman"/>
                <w:sz w:val="22"/>
                <w:lang w:val="en-GB" w:eastAsia="da-DK"/>
              </w:rPr>
            </w:pPr>
          </w:p>
        </w:tc>
      </w:tr>
      <w:tr w:rsidR="001F1659" w:rsidRPr="00DA27E1" w14:paraId="22F74A7D" w14:textId="77777777" w:rsidTr="00740A7E">
        <w:trPr>
          <w:trHeight w:val="283"/>
        </w:trPr>
        <w:tc>
          <w:tcPr>
            <w:tcW w:w="2694" w:type="dxa"/>
            <w:tcBorders>
              <w:top w:val="nil"/>
              <w:left w:val="nil"/>
              <w:right w:val="nil"/>
            </w:tcBorders>
            <w:shd w:val="clear" w:color="auto" w:fill="auto"/>
            <w:noWrap/>
            <w:vAlign w:val="bottom"/>
            <w:hideMark/>
          </w:tcPr>
          <w:p w14:paraId="609DAFE8" w14:textId="06948701"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 xml:space="preserve">  Off </w:t>
            </w:r>
            <w:r w:rsidR="00DE36D4" w:rsidRPr="00276EB3">
              <w:rPr>
                <w:rFonts w:eastAsia="Times New Roman" w:cs="Times New Roman"/>
                <w:sz w:val="22"/>
                <w:lang w:val="en-GB" w:eastAsia="da-DK"/>
              </w:rPr>
              <w:t>labour</w:t>
            </w:r>
            <w:r w:rsidRPr="00276EB3">
              <w:rPr>
                <w:rFonts w:eastAsia="Times New Roman" w:cs="Times New Roman"/>
                <w:sz w:val="22"/>
                <w:lang w:val="en-GB" w:eastAsia="da-DK"/>
              </w:rPr>
              <w:t xml:space="preserve"> market</w:t>
            </w:r>
          </w:p>
        </w:tc>
        <w:tc>
          <w:tcPr>
            <w:tcW w:w="2832" w:type="dxa"/>
            <w:gridSpan w:val="4"/>
            <w:tcBorders>
              <w:top w:val="nil"/>
              <w:left w:val="nil"/>
              <w:right w:val="nil"/>
            </w:tcBorders>
            <w:shd w:val="clear" w:color="auto" w:fill="auto"/>
            <w:noWrap/>
            <w:vAlign w:val="center"/>
            <w:hideMark/>
          </w:tcPr>
          <w:p w14:paraId="1C723C96"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Reference</w:t>
            </w:r>
          </w:p>
        </w:tc>
        <w:tc>
          <w:tcPr>
            <w:tcW w:w="1161" w:type="dxa"/>
            <w:tcBorders>
              <w:top w:val="nil"/>
              <w:left w:val="nil"/>
            </w:tcBorders>
            <w:vAlign w:val="center"/>
          </w:tcPr>
          <w:p w14:paraId="658B1025" w14:textId="77777777" w:rsidR="001F1659" w:rsidRPr="00276EB3" w:rsidRDefault="001F1659" w:rsidP="00740A7E">
            <w:pPr>
              <w:spacing w:after="0" w:line="240" w:lineRule="auto"/>
              <w:jc w:val="center"/>
              <w:rPr>
                <w:rFonts w:eastAsia="Times New Roman" w:cs="Times New Roman"/>
                <w:sz w:val="22"/>
                <w:lang w:val="en-GB" w:eastAsia="da-DK"/>
              </w:rPr>
            </w:pPr>
          </w:p>
        </w:tc>
      </w:tr>
      <w:tr w:rsidR="001F1659" w:rsidRPr="00DA27E1" w14:paraId="27FCED8D" w14:textId="77777777" w:rsidTr="00740A7E">
        <w:trPr>
          <w:trHeight w:val="379"/>
        </w:trPr>
        <w:tc>
          <w:tcPr>
            <w:tcW w:w="2694" w:type="dxa"/>
            <w:tcBorders>
              <w:top w:val="nil"/>
              <w:left w:val="nil"/>
              <w:right w:val="nil"/>
            </w:tcBorders>
            <w:shd w:val="clear" w:color="auto" w:fill="auto"/>
            <w:noWrap/>
            <w:hideMark/>
          </w:tcPr>
          <w:p w14:paraId="03F1583C" w14:textId="0E1AE0E4" w:rsidR="001F1659" w:rsidRPr="00276EB3" w:rsidRDefault="001F1659" w:rsidP="00740A7E">
            <w:pPr>
              <w:spacing w:after="0" w:line="240" w:lineRule="auto"/>
              <w:rPr>
                <w:rFonts w:eastAsia="Times New Roman" w:cs="Times New Roman"/>
                <w:sz w:val="22"/>
                <w:lang w:val="en-GB" w:eastAsia="da-DK"/>
              </w:rPr>
            </w:pPr>
            <w:r w:rsidRPr="00276EB3">
              <w:rPr>
                <w:rFonts w:eastAsia="Times New Roman" w:cs="Times New Roman"/>
                <w:sz w:val="22"/>
                <w:lang w:val="en-GB" w:eastAsia="da-DK"/>
              </w:rPr>
              <w:t xml:space="preserve">  On </w:t>
            </w:r>
            <w:r w:rsidR="00DE36D4" w:rsidRPr="00276EB3">
              <w:rPr>
                <w:rFonts w:eastAsia="Times New Roman" w:cs="Times New Roman"/>
                <w:sz w:val="22"/>
                <w:lang w:val="en-GB" w:eastAsia="da-DK"/>
              </w:rPr>
              <w:t>labour</w:t>
            </w:r>
            <w:r w:rsidRPr="00276EB3">
              <w:rPr>
                <w:rFonts w:eastAsia="Times New Roman" w:cs="Times New Roman"/>
                <w:sz w:val="22"/>
                <w:lang w:val="en-GB" w:eastAsia="da-DK"/>
              </w:rPr>
              <w:t xml:space="preserve"> market</w:t>
            </w:r>
          </w:p>
        </w:tc>
        <w:tc>
          <w:tcPr>
            <w:tcW w:w="802" w:type="dxa"/>
            <w:tcBorders>
              <w:top w:val="nil"/>
              <w:left w:val="nil"/>
              <w:right w:val="nil"/>
            </w:tcBorders>
            <w:shd w:val="clear" w:color="auto" w:fill="auto"/>
            <w:noWrap/>
            <w:hideMark/>
          </w:tcPr>
          <w:p w14:paraId="5CD29976"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6.31</w:t>
            </w:r>
          </w:p>
        </w:tc>
        <w:tc>
          <w:tcPr>
            <w:tcW w:w="692" w:type="dxa"/>
            <w:tcBorders>
              <w:top w:val="nil"/>
              <w:left w:val="nil"/>
              <w:right w:val="nil"/>
            </w:tcBorders>
            <w:shd w:val="clear" w:color="auto" w:fill="auto"/>
            <w:noWrap/>
            <w:hideMark/>
          </w:tcPr>
          <w:p w14:paraId="16562F64"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(2.04</w:t>
            </w:r>
          </w:p>
        </w:tc>
        <w:tc>
          <w:tcPr>
            <w:tcW w:w="327" w:type="dxa"/>
            <w:tcBorders>
              <w:top w:val="nil"/>
              <w:left w:val="nil"/>
              <w:right w:val="nil"/>
            </w:tcBorders>
            <w:shd w:val="clear" w:color="auto" w:fill="auto"/>
            <w:noWrap/>
            <w:hideMark/>
          </w:tcPr>
          <w:p w14:paraId="0364DBE9"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to</w:t>
            </w:r>
          </w:p>
        </w:tc>
        <w:tc>
          <w:tcPr>
            <w:tcW w:w="1011" w:type="dxa"/>
            <w:tcBorders>
              <w:top w:val="nil"/>
              <w:left w:val="nil"/>
              <w:right w:val="nil"/>
            </w:tcBorders>
            <w:shd w:val="clear" w:color="auto" w:fill="auto"/>
            <w:noWrap/>
            <w:hideMark/>
          </w:tcPr>
          <w:p w14:paraId="4F551F2F"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19.54)</w:t>
            </w:r>
          </w:p>
        </w:tc>
        <w:tc>
          <w:tcPr>
            <w:tcW w:w="1161" w:type="dxa"/>
            <w:tcBorders>
              <w:top w:val="nil"/>
              <w:left w:val="nil"/>
            </w:tcBorders>
          </w:tcPr>
          <w:p w14:paraId="0F9A27FE"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0.001</w:t>
            </w:r>
          </w:p>
        </w:tc>
      </w:tr>
      <w:tr w:rsidR="001F1659" w:rsidRPr="00DA27E1" w14:paraId="1E623463" w14:textId="77777777" w:rsidTr="00740A7E">
        <w:trPr>
          <w:trHeight w:val="794"/>
        </w:trPr>
        <w:tc>
          <w:tcPr>
            <w:tcW w:w="2694" w:type="dxa"/>
            <w:tcBorders>
              <w:top w:val="nil"/>
              <w:left w:val="nil"/>
              <w:bottom w:val="single" w:sz="4" w:space="0" w:color="auto"/>
              <w:right w:val="nil"/>
            </w:tcBorders>
            <w:shd w:val="clear" w:color="auto" w:fill="auto"/>
            <w:noWrap/>
            <w:vAlign w:val="bottom"/>
          </w:tcPr>
          <w:p w14:paraId="2D320F7E" w14:textId="77777777" w:rsidR="001F1659" w:rsidRPr="00276EB3" w:rsidRDefault="001F1659" w:rsidP="00740A7E">
            <w:pPr>
              <w:spacing w:after="0" w:line="240" w:lineRule="auto"/>
              <w:rPr>
                <w:rFonts w:eastAsia="Times New Roman" w:cs="Times New Roman"/>
                <w:b/>
                <w:sz w:val="22"/>
                <w:lang w:val="en-GB" w:eastAsia="da-DK"/>
              </w:rPr>
            </w:pPr>
            <w:r w:rsidRPr="00276EB3">
              <w:rPr>
                <w:rFonts w:eastAsia="Times New Roman" w:cs="Times New Roman"/>
                <w:b/>
                <w:bCs/>
                <w:sz w:val="22"/>
                <w:lang w:val="en-GB" w:eastAsia="da-DK"/>
              </w:rPr>
              <w:t>Number of attended exercise sessions until transition</w:t>
            </w:r>
          </w:p>
        </w:tc>
        <w:tc>
          <w:tcPr>
            <w:tcW w:w="802" w:type="dxa"/>
            <w:tcBorders>
              <w:top w:val="nil"/>
              <w:left w:val="nil"/>
              <w:bottom w:val="single" w:sz="4" w:space="0" w:color="auto"/>
              <w:right w:val="nil"/>
            </w:tcBorders>
            <w:shd w:val="clear" w:color="auto" w:fill="auto"/>
            <w:noWrap/>
            <w:vAlign w:val="center"/>
          </w:tcPr>
          <w:p w14:paraId="7489235F"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0.79</w:t>
            </w:r>
          </w:p>
        </w:tc>
        <w:tc>
          <w:tcPr>
            <w:tcW w:w="692" w:type="dxa"/>
            <w:tcBorders>
              <w:top w:val="nil"/>
              <w:left w:val="nil"/>
              <w:bottom w:val="single" w:sz="4" w:space="0" w:color="auto"/>
              <w:right w:val="nil"/>
            </w:tcBorders>
            <w:shd w:val="clear" w:color="auto" w:fill="auto"/>
            <w:noWrap/>
            <w:vAlign w:val="center"/>
          </w:tcPr>
          <w:p w14:paraId="4C1EE21B"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(0.66</w:t>
            </w:r>
          </w:p>
        </w:tc>
        <w:tc>
          <w:tcPr>
            <w:tcW w:w="327" w:type="dxa"/>
            <w:tcBorders>
              <w:top w:val="nil"/>
              <w:left w:val="nil"/>
              <w:bottom w:val="single" w:sz="4" w:space="0" w:color="auto"/>
              <w:right w:val="nil"/>
            </w:tcBorders>
            <w:shd w:val="clear" w:color="auto" w:fill="auto"/>
            <w:noWrap/>
            <w:vAlign w:val="center"/>
          </w:tcPr>
          <w:p w14:paraId="57D5038B"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to</w:t>
            </w:r>
          </w:p>
        </w:tc>
        <w:tc>
          <w:tcPr>
            <w:tcW w:w="1011" w:type="dxa"/>
            <w:tcBorders>
              <w:top w:val="nil"/>
              <w:left w:val="nil"/>
              <w:bottom w:val="single" w:sz="4" w:space="0" w:color="auto"/>
              <w:right w:val="nil"/>
            </w:tcBorders>
            <w:shd w:val="clear" w:color="auto" w:fill="auto"/>
            <w:noWrap/>
            <w:vAlign w:val="center"/>
          </w:tcPr>
          <w:p w14:paraId="21F5CE41"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0.94)</w:t>
            </w:r>
          </w:p>
        </w:tc>
        <w:tc>
          <w:tcPr>
            <w:tcW w:w="1161" w:type="dxa"/>
            <w:tcBorders>
              <w:top w:val="nil"/>
              <w:left w:val="nil"/>
              <w:bottom w:val="single" w:sz="4" w:space="0" w:color="auto"/>
            </w:tcBorders>
            <w:vAlign w:val="center"/>
          </w:tcPr>
          <w:p w14:paraId="6DF65686" w14:textId="77777777" w:rsidR="001F1659" w:rsidRPr="00276EB3" w:rsidRDefault="001F1659" w:rsidP="00740A7E">
            <w:pPr>
              <w:spacing w:after="0" w:line="240" w:lineRule="auto"/>
              <w:jc w:val="center"/>
              <w:rPr>
                <w:rFonts w:eastAsia="Times New Roman" w:cs="Times New Roman"/>
                <w:sz w:val="22"/>
                <w:lang w:val="en-GB" w:eastAsia="da-DK"/>
              </w:rPr>
            </w:pPr>
            <w:r w:rsidRPr="00276EB3">
              <w:rPr>
                <w:rFonts w:eastAsia="Times New Roman" w:cs="Times New Roman"/>
                <w:sz w:val="22"/>
                <w:lang w:val="en-GB" w:eastAsia="da-DK"/>
              </w:rPr>
              <w:t>0.008</w:t>
            </w:r>
          </w:p>
        </w:tc>
      </w:tr>
      <w:tr w:rsidR="001F1659" w:rsidRPr="00276EB3" w14:paraId="717C8006" w14:textId="77777777" w:rsidTr="00740A7E">
        <w:trPr>
          <w:trHeight w:val="283"/>
        </w:trPr>
        <w:tc>
          <w:tcPr>
            <w:tcW w:w="6687" w:type="dxa"/>
            <w:gridSpan w:val="6"/>
            <w:tcBorders>
              <w:top w:val="single" w:sz="4" w:space="0" w:color="auto"/>
              <w:left w:val="nil"/>
            </w:tcBorders>
            <w:shd w:val="clear" w:color="auto" w:fill="auto"/>
            <w:noWrap/>
            <w:vAlign w:val="bottom"/>
          </w:tcPr>
          <w:p w14:paraId="38808E69" w14:textId="77777777" w:rsidR="001F1659" w:rsidRPr="00276EB3" w:rsidRDefault="001F1659" w:rsidP="00740A7E">
            <w:pPr>
              <w:spacing w:after="0"/>
              <w:rPr>
                <w:rFonts w:cs="Times New Roman"/>
                <w:sz w:val="22"/>
                <w:lang w:val="en-GB"/>
              </w:rPr>
            </w:pPr>
            <w:r w:rsidRPr="00276EB3">
              <w:rPr>
                <w:rFonts w:eastAsia="Times New Roman" w:cs="Times New Roman"/>
                <w:sz w:val="22"/>
                <w:lang w:val="en-GB" w:eastAsia="da-DK"/>
              </w:rPr>
              <w:t xml:space="preserve">Results are presented in </w:t>
            </w:r>
            <w:r w:rsidRPr="00276EB3">
              <w:rPr>
                <w:rFonts w:cs="Times New Roman"/>
                <w:sz w:val="22"/>
                <w:lang w:val="en-GB"/>
              </w:rPr>
              <w:t xml:space="preserve">odds ratio (OR) and 95% confidence interval (CI). </w:t>
            </w:r>
          </w:p>
          <w:p w14:paraId="36E420D2" w14:textId="77777777" w:rsidR="001F1659" w:rsidRPr="00276EB3" w:rsidRDefault="001F1659" w:rsidP="00740A7E">
            <w:pPr>
              <w:rPr>
                <w:rFonts w:cs="Times New Roman"/>
                <w:sz w:val="22"/>
                <w:lang w:val="en-GB"/>
              </w:rPr>
            </w:pPr>
            <w:r w:rsidRPr="00276EB3">
              <w:rPr>
                <w:rFonts w:eastAsia="Times New Roman" w:cs="Times New Roman"/>
                <w:sz w:val="22"/>
                <w:lang w:val="en-GB" w:eastAsia="da-DK"/>
              </w:rPr>
              <w:t>*Model information: DF=4 χ2=31.48, p&lt;0.05; McFadden’s pseudo R</w:t>
            </w:r>
            <w:r w:rsidRPr="00276EB3">
              <w:rPr>
                <w:rFonts w:eastAsia="Times New Roman" w:cs="Times New Roman"/>
                <w:sz w:val="22"/>
                <w:vertAlign w:val="superscript"/>
                <w:lang w:val="en-GB" w:eastAsia="da-DK"/>
              </w:rPr>
              <w:t>2</w:t>
            </w:r>
            <w:r w:rsidRPr="00276EB3">
              <w:rPr>
                <w:rFonts w:eastAsia="Times New Roman" w:cs="Times New Roman"/>
                <w:sz w:val="22"/>
                <w:lang w:val="en-GB" w:eastAsia="da-DK"/>
              </w:rPr>
              <w:t xml:space="preserve">=0.111; </w:t>
            </w:r>
            <w:r w:rsidRPr="00276EB3">
              <w:rPr>
                <w:rFonts w:cs="Times New Roman"/>
                <w:sz w:val="22"/>
                <w:lang w:val="en-GB"/>
              </w:rPr>
              <w:t>Correctly classified=73%</w:t>
            </w:r>
          </w:p>
          <w:p w14:paraId="68CBE77C" w14:textId="77777777" w:rsidR="001F1659" w:rsidRPr="00276EB3" w:rsidRDefault="001F1659" w:rsidP="00740A7E">
            <w:pPr>
              <w:spacing w:after="0"/>
              <w:rPr>
                <w:rFonts w:cs="Times New Roman"/>
                <w:sz w:val="22"/>
                <w:lang w:val="en-GB"/>
              </w:rPr>
            </w:pPr>
          </w:p>
        </w:tc>
      </w:tr>
    </w:tbl>
    <w:p w14:paraId="5048494F" w14:textId="3AAC4A79" w:rsidR="001F1659" w:rsidRDefault="001F1659" w:rsidP="001F1659">
      <w:pPr>
        <w:spacing w:after="0" w:line="480" w:lineRule="auto"/>
        <w:rPr>
          <w:rFonts w:eastAsia="Times New Roman" w:cs="Times New Roman"/>
          <w:b/>
          <w:bCs/>
          <w:kern w:val="36"/>
          <w:sz w:val="28"/>
          <w:szCs w:val="48"/>
          <w:lang w:val="en-GB" w:eastAsia="da-DK"/>
        </w:rPr>
      </w:pPr>
    </w:p>
    <w:p w14:paraId="7EB1CB5C" w14:textId="77777777" w:rsidR="00276EB3" w:rsidRDefault="00276EB3" w:rsidP="001F1659">
      <w:pPr>
        <w:spacing w:after="0" w:line="480" w:lineRule="auto"/>
        <w:rPr>
          <w:rFonts w:eastAsia="Times New Roman" w:cs="Times New Roman"/>
          <w:b/>
          <w:bCs/>
          <w:kern w:val="36"/>
          <w:sz w:val="28"/>
          <w:szCs w:val="48"/>
          <w:lang w:val="en-GB" w:eastAsia="da-DK"/>
        </w:rPr>
      </w:pPr>
    </w:p>
    <w:p w14:paraId="05D38C99" w14:textId="77777777" w:rsidR="00276EB3" w:rsidRDefault="00276EB3" w:rsidP="001F1659">
      <w:pPr>
        <w:spacing w:after="0" w:line="480" w:lineRule="auto"/>
        <w:rPr>
          <w:rFonts w:eastAsia="Times New Roman" w:cs="Times New Roman"/>
          <w:b/>
          <w:bCs/>
          <w:kern w:val="36"/>
          <w:sz w:val="28"/>
          <w:szCs w:val="48"/>
          <w:lang w:val="en-GB" w:eastAsia="da-DK"/>
        </w:rPr>
      </w:pPr>
    </w:p>
    <w:p w14:paraId="1FC58CF2" w14:textId="77777777" w:rsidR="00276EB3" w:rsidRDefault="00276EB3" w:rsidP="001F1659">
      <w:pPr>
        <w:spacing w:after="0" w:line="480" w:lineRule="auto"/>
        <w:rPr>
          <w:rFonts w:eastAsia="Times New Roman" w:cs="Times New Roman"/>
          <w:b/>
          <w:bCs/>
          <w:kern w:val="36"/>
          <w:sz w:val="28"/>
          <w:szCs w:val="48"/>
          <w:lang w:val="en-GB" w:eastAsia="da-DK"/>
        </w:rPr>
      </w:pPr>
    </w:p>
    <w:p w14:paraId="78BCDEB3" w14:textId="77777777" w:rsidR="00276EB3" w:rsidRDefault="00276EB3" w:rsidP="001F1659">
      <w:pPr>
        <w:spacing w:after="0" w:line="480" w:lineRule="auto"/>
        <w:rPr>
          <w:rFonts w:eastAsia="Times New Roman" w:cs="Times New Roman"/>
          <w:b/>
          <w:bCs/>
          <w:kern w:val="36"/>
          <w:sz w:val="28"/>
          <w:szCs w:val="48"/>
          <w:lang w:val="en-GB" w:eastAsia="da-DK"/>
        </w:rPr>
      </w:pPr>
    </w:p>
    <w:p w14:paraId="00B8817A" w14:textId="77777777" w:rsidR="00276EB3" w:rsidRDefault="00276EB3" w:rsidP="001F1659">
      <w:pPr>
        <w:spacing w:after="0" w:line="480" w:lineRule="auto"/>
        <w:rPr>
          <w:rFonts w:eastAsia="Times New Roman" w:cs="Times New Roman"/>
          <w:b/>
          <w:bCs/>
          <w:kern w:val="36"/>
          <w:sz w:val="28"/>
          <w:szCs w:val="48"/>
          <w:lang w:val="en-GB" w:eastAsia="da-DK"/>
        </w:rPr>
      </w:pPr>
    </w:p>
    <w:p w14:paraId="414BCFF4" w14:textId="77777777" w:rsidR="00276EB3" w:rsidRDefault="00276EB3" w:rsidP="001F1659">
      <w:pPr>
        <w:spacing w:after="0" w:line="480" w:lineRule="auto"/>
        <w:rPr>
          <w:rFonts w:eastAsia="Times New Roman" w:cs="Times New Roman"/>
          <w:b/>
          <w:bCs/>
          <w:kern w:val="36"/>
          <w:sz w:val="28"/>
          <w:szCs w:val="48"/>
          <w:lang w:val="en-GB" w:eastAsia="da-DK"/>
        </w:rPr>
      </w:pPr>
    </w:p>
    <w:p w14:paraId="1475AB0C" w14:textId="77777777" w:rsidR="00276EB3" w:rsidRPr="00DA27E1" w:rsidRDefault="00276EB3" w:rsidP="001F1659">
      <w:pPr>
        <w:spacing w:after="0" w:line="480" w:lineRule="auto"/>
        <w:rPr>
          <w:rFonts w:eastAsia="Times New Roman" w:cs="Times New Roman"/>
          <w:b/>
          <w:bCs/>
          <w:kern w:val="36"/>
          <w:sz w:val="28"/>
          <w:szCs w:val="48"/>
          <w:lang w:val="en-GB" w:eastAsia="da-DK"/>
        </w:rPr>
      </w:pPr>
    </w:p>
    <w:tbl>
      <w:tblPr>
        <w:tblStyle w:val="TableGrid"/>
        <w:tblW w:w="8931" w:type="dxa"/>
        <w:tblLayout w:type="fixed"/>
        <w:tblLook w:val="04A0" w:firstRow="1" w:lastRow="0" w:firstColumn="1" w:lastColumn="0" w:noHBand="0" w:noVBand="1"/>
      </w:tblPr>
      <w:tblGrid>
        <w:gridCol w:w="692"/>
        <w:gridCol w:w="4695"/>
        <w:gridCol w:w="850"/>
        <w:gridCol w:w="993"/>
        <w:gridCol w:w="708"/>
        <w:gridCol w:w="993"/>
      </w:tblGrid>
      <w:tr w:rsidR="001F1659" w:rsidRPr="00276EB3" w14:paraId="7CABAC1C" w14:textId="77777777" w:rsidTr="00740A7E">
        <w:tc>
          <w:tcPr>
            <w:tcW w:w="8931" w:type="dxa"/>
            <w:gridSpan w:val="6"/>
            <w:tcBorders>
              <w:top w:val="nil"/>
              <w:left w:val="nil"/>
              <w:right w:val="nil"/>
            </w:tcBorders>
          </w:tcPr>
          <w:p w14:paraId="00314188" w14:textId="77777777" w:rsidR="001F1659" w:rsidRPr="00276EB3" w:rsidRDefault="001F1659" w:rsidP="00740A7E">
            <w:pPr>
              <w:rPr>
                <w:rFonts w:cs="Times New Roman"/>
                <w:sz w:val="20"/>
                <w:szCs w:val="20"/>
                <w:lang w:val="en-GB"/>
              </w:rPr>
            </w:pPr>
            <w:r w:rsidRPr="00276EB3">
              <w:rPr>
                <w:rFonts w:cs="Times New Roman"/>
                <w:b/>
                <w:sz w:val="20"/>
                <w:szCs w:val="20"/>
                <w:lang w:val="en-GB"/>
              </w:rPr>
              <w:t>Table 3.</w:t>
            </w:r>
            <w:r w:rsidRPr="00276EB3">
              <w:rPr>
                <w:rFonts w:cs="Times New Roman"/>
                <w:sz w:val="20"/>
                <w:szCs w:val="20"/>
                <w:lang w:val="en-GB"/>
              </w:rPr>
              <w:t xml:space="preserve"> Overarching categorization of reasons for dropout during the exercise-based cardiac rehabilitation subdivided into a; </w:t>
            </w:r>
            <w:r w:rsidRPr="00276EB3">
              <w:rPr>
                <w:rFonts w:eastAsia="Times New Roman" w:cs="Times New Roman"/>
                <w:sz w:val="20"/>
                <w:szCs w:val="20"/>
                <w:lang w:val="en-GB" w:eastAsia="da-DK"/>
              </w:rPr>
              <w:t>Patient factors, b; Professional factors and c; Service factors</w:t>
            </w:r>
            <w:r w:rsidRPr="00276EB3">
              <w:rPr>
                <w:rFonts w:cs="Times New Roman"/>
                <w:sz w:val="20"/>
                <w:szCs w:val="20"/>
                <w:lang w:val="en-GB"/>
              </w:rPr>
              <w:t xml:space="preserve"> inspired by the framework of </w:t>
            </w:r>
            <w:proofErr w:type="spellStart"/>
            <w:r w:rsidRPr="00276EB3">
              <w:rPr>
                <w:rFonts w:cs="Times New Roman"/>
                <w:sz w:val="20"/>
                <w:szCs w:val="20"/>
                <w:lang w:val="en-GB"/>
              </w:rPr>
              <w:t>Beswick</w:t>
            </w:r>
            <w:proofErr w:type="spellEnd"/>
            <w:r w:rsidRPr="00276EB3">
              <w:rPr>
                <w:rFonts w:cs="Times New Roman"/>
                <w:sz w:val="20"/>
                <w:szCs w:val="20"/>
                <w:lang w:val="en-GB"/>
              </w:rPr>
              <w:t xml:space="preserve"> et al. in 2004 (14) </w:t>
            </w:r>
          </w:p>
        </w:tc>
      </w:tr>
      <w:tr w:rsidR="001F1659" w:rsidRPr="00276EB3" w14:paraId="5E53F291" w14:textId="77777777" w:rsidTr="00740A7E">
        <w:trPr>
          <w:trHeight w:val="567"/>
        </w:trPr>
        <w:tc>
          <w:tcPr>
            <w:tcW w:w="692" w:type="dxa"/>
            <w:tcBorders>
              <w:left w:val="nil"/>
              <w:bottom w:val="single" w:sz="4" w:space="0" w:color="auto"/>
              <w:right w:val="nil"/>
            </w:tcBorders>
          </w:tcPr>
          <w:p w14:paraId="60F6A6BB" w14:textId="77777777" w:rsidR="001F1659" w:rsidRPr="00276EB3" w:rsidRDefault="001F1659" w:rsidP="00740A7E">
            <w:pPr>
              <w:jc w:val="center"/>
              <w:rPr>
                <w:rFonts w:cs="Times New Roman"/>
                <w:sz w:val="20"/>
                <w:szCs w:val="20"/>
                <w:lang w:val="en-GB"/>
              </w:rPr>
            </w:pPr>
          </w:p>
        </w:tc>
        <w:tc>
          <w:tcPr>
            <w:tcW w:w="4695" w:type="dxa"/>
            <w:tcBorders>
              <w:left w:val="nil"/>
              <w:bottom w:val="single" w:sz="4" w:space="0" w:color="auto"/>
              <w:right w:val="nil"/>
            </w:tcBorders>
            <w:vAlign w:val="center"/>
          </w:tcPr>
          <w:p w14:paraId="71674632" w14:textId="77777777" w:rsidR="001F1659" w:rsidRPr="00276EB3" w:rsidRDefault="001F1659" w:rsidP="00740A7E">
            <w:pPr>
              <w:jc w:val="center"/>
              <w:rPr>
                <w:rFonts w:cs="Times New Roman"/>
                <w:sz w:val="20"/>
                <w:szCs w:val="20"/>
                <w:lang w:val="en-GB"/>
              </w:rPr>
            </w:pPr>
          </w:p>
        </w:tc>
        <w:tc>
          <w:tcPr>
            <w:tcW w:w="1843" w:type="dxa"/>
            <w:gridSpan w:val="2"/>
            <w:tcBorders>
              <w:left w:val="nil"/>
              <w:bottom w:val="single" w:sz="4" w:space="0" w:color="auto"/>
              <w:right w:val="nil"/>
            </w:tcBorders>
            <w:vAlign w:val="center"/>
          </w:tcPr>
          <w:p w14:paraId="21FCEC72" w14:textId="77777777" w:rsidR="001F1659" w:rsidRPr="00276EB3" w:rsidRDefault="001F1659" w:rsidP="00740A7E">
            <w:pPr>
              <w:ind w:right="12"/>
              <w:jc w:val="center"/>
              <w:rPr>
                <w:rFonts w:cs="Times New Roman"/>
                <w:sz w:val="20"/>
                <w:szCs w:val="20"/>
                <w:lang w:val="en-GB"/>
              </w:rPr>
            </w:pPr>
            <w:r w:rsidRPr="00276EB3">
              <w:rPr>
                <w:rFonts w:eastAsia="Times New Roman" w:cs="Times New Roman"/>
                <w:sz w:val="20"/>
                <w:szCs w:val="20"/>
                <w:lang w:val="en-GB" w:eastAsia="da-DK"/>
              </w:rPr>
              <w:t>Dropout at transition n=72</w:t>
            </w:r>
          </w:p>
        </w:tc>
        <w:tc>
          <w:tcPr>
            <w:tcW w:w="1701" w:type="dxa"/>
            <w:gridSpan w:val="2"/>
            <w:tcBorders>
              <w:left w:val="nil"/>
              <w:bottom w:val="single" w:sz="4" w:space="0" w:color="auto"/>
              <w:right w:val="nil"/>
            </w:tcBorders>
            <w:vAlign w:val="center"/>
          </w:tcPr>
          <w:p w14:paraId="7F0783B0" w14:textId="77777777" w:rsidR="001F1659" w:rsidRPr="00276EB3" w:rsidRDefault="001F1659" w:rsidP="00740A7E">
            <w:pPr>
              <w:jc w:val="center"/>
              <w:rPr>
                <w:rFonts w:cs="Times New Roman"/>
                <w:sz w:val="20"/>
                <w:szCs w:val="20"/>
                <w:lang w:val="en-GB"/>
              </w:rPr>
            </w:pPr>
            <w:r w:rsidRPr="00276EB3">
              <w:rPr>
                <w:rFonts w:eastAsia="Times New Roman" w:cs="Times New Roman"/>
                <w:sz w:val="20"/>
                <w:szCs w:val="20"/>
                <w:lang w:val="en-GB" w:eastAsia="da-DK"/>
              </w:rPr>
              <w:t>Dropout at hospital or municipalities n=31</w:t>
            </w:r>
          </w:p>
        </w:tc>
      </w:tr>
      <w:tr w:rsidR="001F1659" w:rsidRPr="00AF5BCB" w14:paraId="6984DB5B" w14:textId="77777777" w:rsidTr="00740A7E">
        <w:trPr>
          <w:trHeight w:val="283"/>
        </w:trPr>
        <w:tc>
          <w:tcPr>
            <w:tcW w:w="692" w:type="dxa"/>
            <w:tcBorders>
              <w:left w:val="nil"/>
              <w:bottom w:val="nil"/>
              <w:right w:val="nil"/>
            </w:tcBorders>
          </w:tcPr>
          <w:p w14:paraId="558D99CA" w14:textId="77777777" w:rsidR="001F1659" w:rsidRPr="00276EB3" w:rsidRDefault="001F1659" w:rsidP="00740A7E">
            <w:pPr>
              <w:rPr>
                <w:rFonts w:cs="Times New Roman"/>
                <w:sz w:val="20"/>
                <w:szCs w:val="20"/>
                <w:lang w:val="en-GB"/>
              </w:rPr>
            </w:pPr>
          </w:p>
        </w:tc>
        <w:tc>
          <w:tcPr>
            <w:tcW w:w="4695" w:type="dxa"/>
            <w:tcBorders>
              <w:left w:val="nil"/>
              <w:bottom w:val="nil"/>
              <w:right w:val="nil"/>
            </w:tcBorders>
          </w:tcPr>
          <w:p w14:paraId="3451B08D" w14:textId="77777777" w:rsidR="001F1659" w:rsidRPr="00276EB3" w:rsidRDefault="001F1659" w:rsidP="00740A7E">
            <w:pPr>
              <w:rPr>
                <w:rFonts w:cs="Times New Roman"/>
                <w:sz w:val="20"/>
                <w:szCs w:val="20"/>
                <w:lang w:val="en-GB"/>
              </w:rPr>
            </w:pPr>
          </w:p>
        </w:tc>
        <w:tc>
          <w:tcPr>
            <w:tcW w:w="850" w:type="dxa"/>
            <w:tcBorders>
              <w:left w:val="nil"/>
              <w:bottom w:val="nil"/>
              <w:right w:val="nil"/>
            </w:tcBorders>
            <w:vAlign w:val="center"/>
          </w:tcPr>
          <w:p w14:paraId="3CEEE6B7" w14:textId="77777777" w:rsidR="001F1659" w:rsidRPr="00276EB3" w:rsidRDefault="001F1659" w:rsidP="00740A7E">
            <w:pPr>
              <w:jc w:val="right"/>
              <w:rPr>
                <w:rFonts w:cs="Times New Roman"/>
                <w:sz w:val="20"/>
                <w:szCs w:val="20"/>
                <w:lang w:val="en-GB"/>
              </w:rPr>
            </w:pPr>
            <w:r w:rsidRPr="00276EB3">
              <w:rPr>
                <w:rFonts w:eastAsia="Times New Roman" w:cs="Times New Roman"/>
                <w:sz w:val="20"/>
                <w:szCs w:val="20"/>
                <w:lang w:val="en-GB" w:eastAsia="da-DK"/>
              </w:rPr>
              <w:t>n</w:t>
            </w:r>
          </w:p>
        </w:tc>
        <w:tc>
          <w:tcPr>
            <w:tcW w:w="993" w:type="dxa"/>
            <w:tcBorders>
              <w:left w:val="nil"/>
              <w:bottom w:val="nil"/>
              <w:right w:val="nil"/>
            </w:tcBorders>
            <w:vAlign w:val="center"/>
          </w:tcPr>
          <w:p w14:paraId="3415DDFC"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w:t>
            </w:r>
          </w:p>
        </w:tc>
        <w:tc>
          <w:tcPr>
            <w:tcW w:w="708" w:type="dxa"/>
            <w:tcBorders>
              <w:left w:val="nil"/>
              <w:bottom w:val="nil"/>
              <w:right w:val="nil"/>
            </w:tcBorders>
            <w:vAlign w:val="center"/>
          </w:tcPr>
          <w:p w14:paraId="45F1EEC7" w14:textId="77777777" w:rsidR="001F1659" w:rsidRPr="00276EB3" w:rsidRDefault="001F1659" w:rsidP="00740A7E">
            <w:pPr>
              <w:ind w:left="174" w:hanging="174"/>
              <w:jc w:val="right"/>
              <w:rPr>
                <w:rFonts w:cs="Times New Roman"/>
                <w:sz w:val="20"/>
                <w:szCs w:val="20"/>
                <w:lang w:val="en-GB"/>
              </w:rPr>
            </w:pPr>
            <w:r w:rsidRPr="00276EB3">
              <w:rPr>
                <w:rFonts w:cs="Times New Roman"/>
                <w:sz w:val="20"/>
                <w:szCs w:val="20"/>
                <w:lang w:val="en-GB"/>
              </w:rPr>
              <w:t>n</w:t>
            </w:r>
          </w:p>
        </w:tc>
        <w:tc>
          <w:tcPr>
            <w:tcW w:w="993" w:type="dxa"/>
            <w:tcBorders>
              <w:left w:val="nil"/>
              <w:bottom w:val="nil"/>
              <w:right w:val="nil"/>
            </w:tcBorders>
            <w:vAlign w:val="center"/>
          </w:tcPr>
          <w:p w14:paraId="6D622726"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w:t>
            </w:r>
          </w:p>
        </w:tc>
      </w:tr>
      <w:tr w:rsidR="001F1659" w:rsidRPr="00AF5BCB" w14:paraId="5CC8B049" w14:textId="77777777" w:rsidTr="00740A7E">
        <w:trPr>
          <w:trHeight w:val="283"/>
        </w:trPr>
        <w:tc>
          <w:tcPr>
            <w:tcW w:w="692" w:type="dxa"/>
            <w:tcBorders>
              <w:top w:val="nil"/>
              <w:left w:val="nil"/>
              <w:bottom w:val="nil"/>
              <w:right w:val="nil"/>
            </w:tcBorders>
          </w:tcPr>
          <w:p w14:paraId="28E02A52"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A</w:t>
            </w:r>
          </w:p>
        </w:tc>
        <w:tc>
          <w:tcPr>
            <w:tcW w:w="4695" w:type="dxa"/>
            <w:tcBorders>
              <w:top w:val="nil"/>
              <w:left w:val="nil"/>
              <w:bottom w:val="nil"/>
              <w:right w:val="nil"/>
            </w:tcBorders>
          </w:tcPr>
          <w:p w14:paraId="3AC453B9" w14:textId="77777777" w:rsidR="001F1659" w:rsidRPr="00276EB3" w:rsidRDefault="001F1659" w:rsidP="00740A7E">
            <w:pPr>
              <w:rPr>
                <w:rFonts w:cs="Times New Roman"/>
                <w:sz w:val="20"/>
                <w:szCs w:val="20"/>
                <w:lang w:val="en-GB"/>
              </w:rPr>
            </w:pPr>
            <w:r w:rsidRPr="00276EB3">
              <w:rPr>
                <w:rFonts w:eastAsia="Times New Roman" w:cs="Times New Roman"/>
                <w:sz w:val="20"/>
                <w:szCs w:val="20"/>
                <w:lang w:val="en-GB" w:eastAsia="da-DK"/>
              </w:rPr>
              <w:t>1. Had to return to work</w:t>
            </w:r>
          </w:p>
        </w:tc>
        <w:tc>
          <w:tcPr>
            <w:tcW w:w="850" w:type="dxa"/>
            <w:tcBorders>
              <w:top w:val="nil"/>
              <w:left w:val="nil"/>
              <w:bottom w:val="nil"/>
              <w:right w:val="nil"/>
            </w:tcBorders>
            <w:vAlign w:val="center"/>
          </w:tcPr>
          <w:p w14:paraId="18CCA212" w14:textId="77777777" w:rsidR="001F1659" w:rsidRPr="00276EB3" w:rsidRDefault="001F1659" w:rsidP="00740A7E">
            <w:pPr>
              <w:jc w:val="right"/>
              <w:rPr>
                <w:rFonts w:cs="Times New Roman"/>
                <w:sz w:val="20"/>
                <w:szCs w:val="20"/>
                <w:lang w:val="en-GB"/>
              </w:rPr>
            </w:pPr>
            <w:r w:rsidRPr="00276EB3">
              <w:rPr>
                <w:rFonts w:cs="Times New Roman"/>
                <w:sz w:val="20"/>
                <w:szCs w:val="20"/>
                <w:lang w:val="en-GB"/>
              </w:rPr>
              <w:t>17</w:t>
            </w:r>
          </w:p>
        </w:tc>
        <w:tc>
          <w:tcPr>
            <w:tcW w:w="993" w:type="dxa"/>
            <w:tcBorders>
              <w:top w:val="nil"/>
              <w:left w:val="nil"/>
              <w:bottom w:val="nil"/>
              <w:right w:val="nil"/>
            </w:tcBorders>
            <w:vAlign w:val="center"/>
          </w:tcPr>
          <w:p w14:paraId="7D725969"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(24%)</w:t>
            </w:r>
          </w:p>
        </w:tc>
        <w:tc>
          <w:tcPr>
            <w:tcW w:w="708" w:type="dxa"/>
            <w:tcBorders>
              <w:top w:val="nil"/>
              <w:left w:val="nil"/>
              <w:bottom w:val="nil"/>
              <w:right w:val="nil"/>
            </w:tcBorders>
            <w:vAlign w:val="center"/>
          </w:tcPr>
          <w:p w14:paraId="26DD1F49" w14:textId="77777777" w:rsidR="001F1659" w:rsidRPr="00276EB3" w:rsidRDefault="001F1659" w:rsidP="00740A7E">
            <w:pPr>
              <w:ind w:left="174" w:hanging="174"/>
              <w:jc w:val="right"/>
              <w:rPr>
                <w:rFonts w:cs="Times New Roman"/>
                <w:sz w:val="20"/>
                <w:szCs w:val="20"/>
                <w:lang w:val="en-GB"/>
              </w:rPr>
            </w:pPr>
            <w:r w:rsidRPr="00276EB3">
              <w:rPr>
                <w:rFonts w:cs="Times New Roman"/>
                <w:sz w:val="20"/>
                <w:szCs w:val="20"/>
                <w:lang w:val="en-GB"/>
              </w:rPr>
              <w:t>3</w:t>
            </w:r>
          </w:p>
        </w:tc>
        <w:tc>
          <w:tcPr>
            <w:tcW w:w="993" w:type="dxa"/>
            <w:tcBorders>
              <w:top w:val="nil"/>
              <w:left w:val="nil"/>
              <w:bottom w:val="nil"/>
              <w:right w:val="nil"/>
            </w:tcBorders>
            <w:vAlign w:val="center"/>
          </w:tcPr>
          <w:p w14:paraId="0C05FD07"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(10%)</w:t>
            </w:r>
          </w:p>
        </w:tc>
      </w:tr>
      <w:tr w:rsidR="001F1659" w:rsidRPr="00AF5BCB" w14:paraId="2FC95AF6" w14:textId="77777777" w:rsidTr="00740A7E">
        <w:trPr>
          <w:trHeight w:val="283"/>
        </w:trPr>
        <w:tc>
          <w:tcPr>
            <w:tcW w:w="692" w:type="dxa"/>
            <w:tcBorders>
              <w:top w:val="nil"/>
              <w:left w:val="nil"/>
              <w:bottom w:val="nil"/>
              <w:right w:val="nil"/>
            </w:tcBorders>
          </w:tcPr>
          <w:p w14:paraId="1A1FC9F2"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A</w:t>
            </w:r>
          </w:p>
        </w:tc>
        <w:tc>
          <w:tcPr>
            <w:tcW w:w="4695" w:type="dxa"/>
            <w:tcBorders>
              <w:top w:val="nil"/>
              <w:left w:val="nil"/>
              <w:bottom w:val="nil"/>
              <w:right w:val="nil"/>
            </w:tcBorders>
          </w:tcPr>
          <w:p w14:paraId="50931231"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2. Did not feel the need for further supervised</w:t>
            </w:r>
          </w:p>
          <w:p w14:paraId="352DD45E" w14:textId="77777777" w:rsidR="001F1659" w:rsidRPr="00276EB3" w:rsidRDefault="001F1659" w:rsidP="00740A7E">
            <w:pPr>
              <w:rPr>
                <w:rFonts w:cs="Times New Roman"/>
                <w:sz w:val="20"/>
                <w:szCs w:val="20"/>
                <w:lang w:val="en-GB"/>
              </w:rPr>
            </w:pPr>
            <w:r w:rsidRPr="00276EB3">
              <w:rPr>
                <w:rFonts w:eastAsia="Times New Roman" w:cs="Times New Roman"/>
                <w:sz w:val="20"/>
                <w:szCs w:val="20"/>
                <w:lang w:val="en-GB" w:eastAsia="da-DK"/>
              </w:rPr>
              <w:t xml:space="preserve">    training</w:t>
            </w:r>
          </w:p>
        </w:tc>
        <w:tc>
          <w:tcPr>
            <w:tcW w:w="850" w:type="dxa"/>
            <w:tcBorders>
              <w:top w:val="nil"/>
              <w:left w:val="nil"/>
              <w:bottom w:val="nil"/>
              <w:right w:val="nil"/>
            </w:tcBorders>
            <w:vAlign w:val="center"/>
          </w:tcPr>
          <w:p w14:paraId="3A38E993" w14:textId="77777777" w:rsidR="001F1659" w:rsidRPr="00276EB3" w:rsidRDefault="001F1659" w:rsidP="00740A7E">
            <w:pPr>
              <w:jc w:val="right"/>
              <w:rPr>
                <w:rFonts w:cs="Times New Roman"/>
                <w:sz w:val="20"/>
                <w:szCs w:val="20"/>
                <w:lang w:val="en-GB"/>
              </w:rPr>
            </w:pPr>
            <w:r w:rsidRPr="00276EB3">
              <w:rPr>
                <w:rFonts w:cs="Times New Roman"/>
                <w:sz w:val="20"/>
                <w:szCs w:val="20"/>
                <w:lang w:val="en-GB"/>
              </w:rPr>
              <w:t>14</w:t>
            </w:r>
          </w:p>
        </w:tc>
        <w:tc>
          <w:tcPr>
            <w:tcW w:w="993" w:type="dxa"/>
            <w:tcBorders>
              <w:top w:val="nil"/>
              <w:left w:val="nil"/>
              <w:bottom w:val="nil"/>
              <w:right w:val="nil"/>
            </w:tcBorders>
            <w:vAlign w:val="center"/>
          </w:tcPr>
          <w:p w14:paraId="3465748F"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(19%)</w:t>
            </w:r>
          </w:p>
        </w:tc>
        <w:tc>
          <w:tcPr>
            <w:tcW w:w="708" w:type="dxa"/>
            <w:tcBorders>
              <w:top w:val="nil"/>
              <w:left w:val="nil"/>
              <w:bottom w:val="nil"/>
              <w:right w:val="nil"/>
            </w:tcBorders>
            <w:vAlign w:val="center"/>
          </w:tcPr>
          <w:p w14:paraId="333568B8" w14:textId="77777777" w:rsidR="001F1659" w:rsidRPr="00276EB3" w:rsidRDefault="001F1659" w:rsidP="00740A7E">
            <w:pPr>
              <w:ind w:left="174" w:hanging="174"/>
              <w:jc w:val="right"/>
              <w:rPr>
                <w:rFonts w:cs="Times New Roman"/>
                <w:sz w:val="20"/>
                <w:szCs w:val="20"/>
                <w:lang w:val="en-GB"/>
              </w:rPr>
            </w:pPr>
            <w:r w:rsidRPr="00276EB3">
              <w:rPr>
                <w:rFonts w:cs="Times New Roman"/>
                <w:sz w:val="20"/>
                <w:szCs w:val="20"/>
                <w:lang w:val="en-GB"/>
              </w:rPr>
              <w:t>1</w:t>
            </w:r>
          </w:p>
        </w:tc>
        <w:tc>
          <w:tcPr>
            <w:tcW w:w="993" w:type="dxa"/>
            <w:tcBorders>
              <w:top w:val="nil"/>
              <w:left w:val="nil"/>
              <w:bottom w:val="nil"/>
              <w:right w:val="nil"/>
            </w:tcBorders>
            <w:vAlign w:val="center"/>
          </w:tcPr>
          <w:p w14:paraId="22FF1B5C"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(3%)</w:t>
            </w:r>
          </w:p>
        </w:tc>
      </w:tr>
      <w:tr w:rsidR="001F1659" w:rsidRPr="00AF5BCB" w14:paraId="3193FD70" w14:textId="77777777" w:rsidTr="00740A7E">
        <w:trPr>
          <w:trHeight w:val="283"/>
        </w:trPr>
        <w:tc>
          <w:tcPr>
            <w:tcW w:w="692" w:type="dxa"/>
            <w:tcBorders>
              <w:top w:val="nil"/>
              <w:left w:val="nil"/>
              <w:bottom w:val="nil"/>
              <w:right w:val="nil"/>
            </w:tcBorders>
          </w:tcPr>
          <w:p w14:paraId="5AB34E3B"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C</w:t>
            </w:r>
          </w:p>
        </w:tc>
        <w:tc>
          <w:tcPr>
            <w:tcW w:w="4695" w:type="dxa"/>
            <w:tcBorders>
              <w:top w:val="nil"/>
              <w:left w:val="nil"/>
              <w:bottom w:val="nil"/>
              <w:right w:val="nil"/>
            </w:tcBorders>
          </w:tcPr>
          <w:p w14:paraId="2BCD167C"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3. Preferred another exercise location than the</w:t>
            </w:r>
          </w:p>
          <w:p w14:paraId="75E45FD8" w14:textId="77777777" w:rsidR="001F1659" w:rsidRPr="00276EB3" w:rsidRDefault="001F1659" w:rsidP="00740A7E">
            <w:pPr>
              <w:rPr>
                <w:rFonts w:cs="Times New Roman"/>
                <w:sz w:val="20"/>
                <w:szCs w:val="20"/>
                <w:lang w:val="en-GB"/>
              </w:rPr>
            </w:pPr>
            <w:r w:rsidRPr="00276EB3">
              <w:rPr>
                <w:rFonts w:eastAsia="Times New Roman" w:cs="Times New Roman"/>
                <w:sz w:val="20"/>
                <w:szCs w:val="20"/>
                <w:lang w:val="en-GB" w:eastAsia="da-DK"/>
              </w:rPr>
              <w:t xml:space="preserve">    municipalities</w:t>
            </w:r>
          </w:p>
        </w:tc>
        <w:tc>
          <w:tcPr>
            <w:tcW w:w="850" w:type="dxa"/>
            <w:tcBorders>
              <w:top w:val="nil"/>
              <w:left w:val="nil"/>
              <w:bottom w:val="nil"/>
              <w:right w:val="nil"/>
            </w:tcBorders>
            <w:vAlign w:val="center"/>
          </w:tcPr>
          <w:p w14:paraId="553DE8A3" w14:textId="77777777" w:rsidR="001F1659" w:rsidRPr="00276EB3" w:rsidRDefault="001F1659" w:rsidP="00740A7E">
            <w:pPr>
              <w:jc w:val="right"/>
              <w:rPr>
                <w:rFonts w:cs="Times New Roman"/>
                <w:sz w:val="20"/>
                <w:szCs w:val="20"/>
                <w:lang w:val="en-GB"/>
              </w:rPr>
            </w:pPr>
            <w:r w:rsidRPr="00276EB3">
              <w:rPr>
                <w:rFonts w:cs="Times New Roman"/>
                <w:sz w:val="20"/>
                <w:szCs w:val="20"/>
                <w:lang w:val="en-GB"/>
              </w:rPr>
              <w:t>16</w:t>
            </w:r>
          </w:p>
        </w:tc>
        <w:tc>
          <w:tcPr>
            <w:tcW w:w="993" w:type="dxa"/>
            <w:tcBorders>
              <w:top w:val="nil"/>
              <w:left w:val="nil"/>
              <w:bottom w:val="nil"/>
              <w:right w:val="nil"/>
            </w:tcBorders>
            <w:vAlign w:val="center"/>
          </w:tcPr>
          <w:p w14:paraId="4312A921"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(22%)</w:t>
            </w:r>
          </w:p>
        </w:tc>
        <w:tc>
          <w:tcPr>
            <w:tcW w:w="708" w:type="dxa"/>
            <w:tcBorders>
              <w:top w:val="nil"/>
              <w:left w:val="nil"/>
              <w:bottom w:val="nil"/>
              <w:right w:val="nil"/>
            </w:tcBorders>
            <w:vAlign w:val="center"/>
          </w:tcPr>
          <w:p w14:paraId="3DEF30C1" w14:textId="77777777" w:rsidR="001F1659" w:rsidRPr="00276EB3" w:rsidRDefault="001F1659" w:rsidP="00740A7E">
            <w:pPr>
              <w:ind w:left="174" w:hanging="174"/>
              <w:jc w:val="right"/>
              <w:rPr>
                <w:rFonts w:cs="Times New Roman"/>
                <w:sz w:val="20"/>
                <w:szCs w:val="20"/>
                <w:lang w:val="en-GB"/>
              </w:rPr>
            </w:pPr>
            <w:r w:rsidRPr="00276EB3">
              <w:rPr>
                <w:rFonts w:cs="Times New Roman"/>
                <w:sz w:val="20"/>
                <w:szCs w:val="20"/>
                <w:lang w:val="en-GB"/>
              </w:rPr>
              <w:t>1</w:t>
            </w:r>
          </w:p>
        </w:tc>
        <w:tc>
          <w:tcPr>
            <w:tcW w:w="993" w:type="dxa"/>
            <w:tcBorders>
              <w:top w:val="nil"/>
              <w:left w:val="nil"/>
              <w:bottom w:val="nil"/>
              <w:right w:val="nil"/>
            </w:tcBorders>
            <w:vAlign w:val="center"/>
          </w:tcPr>
          <w:p w14:paraId="1C2E26D2"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(3%)</w:t>
            </w:r>
          </w:p>
        </w:tc>
      </w:tr>
      <w:tr w:rsidR="001F1659" w:rsidRPr="00AF5BCB" w14:paraId="39273FB7" w14:textId="77777777" w:rsidTr="00740A7E">
        <w:trPr>
          <w:trHeight w:val="283"/>
        </w:trPr>
        <w:tc>
          <w:tcPr>
            <w:tcW w:w="692" w:type="dxa"/>
            <w:tcBorders>
              <w:top w:val="nil"/>
              <w:left w:val="nil"/>
              <w:bottom w:val="nil"/>
              <w:right w:val="nil"/>
            </w:tcBorders>
          </w:tcPr>
          <w:p w14:paraId="156E7F8A"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A /B</w:t>
            </w:r>
          </w:p>
        </w:tc>
        <w:tc>
          <w:tcPr>
            <w:tcW w:w="4695" w:type="dxa"/>
            <w:tcBorders>
              <w:top w:val="nil"/>
              <w:left w:val="nil"/>
              <w:bottom w:val="nil"/>
              <w:right w:val="nil"/>
            </w:tcBorders>
          </w:tcPr>
          <w:p w14:paraId="4B1FA068" w14:textId="77777777" w:rsidR="001F1659" w:rsidRPr="00276EB3" w:rsidRDefault="001F1659" w:rsidP="00740A7E">
            <w:pPr>
              <w:ind w:left="263" w:hanging="263"/>
              <w:rPr>
                <w:rFonts w:cs="Times New Roman"/>
                <w:sz w:val="20"/>
                <w:szCs w:val="20"/>
                <w:lang w:val="en-GB"/>
              </w:rPr>
            </w:pPr>
            <w:r w:rsidRPr="00276EB3">
              <w:rPr>
                <w:rFonts w:eastAsia="Times New Roman" w:cs="Times New Roman"/>
                <w:sz w:val="20"/>
                <w:szCs w:val="20"/>
                <w:lang w:val="en-GB" w:eastAsia="da-DK"/>
              </w:rPr>
              <w:t>4. Patient or professional did not feel that the program matched physical level or expectations</w:t>
            </w:r>
          </w:p>
        </w:tc>
        <w:tc>
          <w:tcPr>
            <w:tcW w:w="850" w:type="dxa"/>
            <w:tcBorders>
              <w:top w:val="nil"/>
              <w:left w:val="nil"/>
              <w:bottom w:val="nil"/>
              <w:right w:val="nil"/>
            </w:tcBorders>
            <w:vAlign w:val="center"/>
          </w:tcPr>
          <w:p w14:paraId="1759965E" w14:textId="77777777" w:rsidR="001F1659" w:rsidRPr="00276EB3" w:rsidRDefault="001F1659" w:rsidP="00740A7E">
            <w:pPr>
              <w:jc w:val="right"/>
              <w:rPr>
                <w:rFonts w:cs="Times New Roman"/>
                <w:sz w:val="20"/>
                <w:szCs w:val="20"/>
                <w:lang w:val="en-GB"/>
              </w:rPr>
            </w:pPr>
            <w:r w:rsidRPr="00276EB3">
              <w:rPr>
                <w:rFonts w:cs="Times New Roman"/>
                <w:sz w:val="20"/>
                <w:szCs w:val="20"/>
                <w:lang w:val="en-GB"/>
              </w:rPr>
              <w:t>8</w:t>
            </w:r>
          </w:p>
        </w:tc>
        <w:tc>
          <w:tcPr>
            <w:tcW w:w="993" w:type="dxa"/>
            <w:tcBorders>
              <w:top w:val="nil"/>
              <w:left w:val="nil"/>
              <w:bottom w:val="nil"/>
              <w:right w:val="nil"/>
            </w:tcBorders>
            <w:vAlign w:val="center"/>
          </w:tcPr>
          <w:p w14:paraId="62EA4CCB"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(11%)</w:t>
            </w:r>
          </w:p>
        </w:tc>
        <w:tc>
          <w:tcPr>
            <w:tcW w:w="708" w:type="dxa"/>
            <w:tcBorders>
              <w:top w:val="nil"/>
              <w:left w:val="nil"/>
              <w:bottom w:val="nil"/>
              <w:right w:val="nil"/>
            </w:tcBorders>
            <w:vAlign w:val="center"/>
          </w:tcPr>
          <w:p w14:paraId="5190EDDF" w14:textId="77777777" w:rsidR="001F1659" w:rsidRPr="00276EB3" w:rsidRDefault="001F1659" w:rsidP="00740A7E">
            <w:pPr>
              <w:ind w:left="174" w:hanging="174"/>
              <w:jc w:val="right"/>
              <w:rPr>
                <w:rFonts w:cs="Times New Roman"/>
                <w:sz w:val="20"/>
                <w:szCs w:val="20"/>
                <w:lang w:val="en-GB"/>
              </w:rPr>
            </w:pPr>
            <w:r w:rsidRPr="00276EB3">
              <w:rPr>
                <w:rFonts w:cs="Times New Roman"/>
                <w:sz w:val="20"/>
                <w:szCs w:val="20"/>
                <w:lang w:val="en-GB"/>
              </w:rPr>
              <w:t>9</w:t>
            </w:r>
          </w:p>
        </w:tc>
        <w:tc>
          <w:tcPr>
            <w:tcW w:w="993" w:type="dxa"/>
            <w:tcBorders>
              <w:top w:val="nil"/>
              <w:left w:val="nil"/>
              <w:bottom w:val="nil"/>
              <w:right w:val="nil"/>
            </w:tcBorders>
            <w:vAlign w:val="center"/>
          </w:tcPr>
          <w:p w14:paraId="400273F4"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(29%)</w:t>
            </w:r>
          </w:p>
        </w:tc>
      </w:tr>
      <w:tr w:rsidR="001F1659" w:rsidRPr="00AF5BCB" w14:paraId="1F26385F" w14:textId="77777777" w:rsidTr="00740A7E">
        <w:trPr>
          <w:trHeight w:val="283"/>
        </w:trPr>
        <w:tc>
          <w:tcPr>
            <w:tcW w:w="692" w:type="dxa"/>
            <w:tcBorders>
              <w:top w:val="nil"/>
              <w:left w:val="nil"/>
              <w:bottom w:val="nil"/>
              <w:right w:val="nil"/>
            </w:tcBorders>
          </w:tcPr>
          <w:p w14:paraId="31C434C9"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C</w:t>
            </w:r>
          </w:p>
        </w:tc>
        <w:tc>
          <w:tcPr>
            <w:tcW w:w="4695" w:type="dxa"/>
            <w:tcBorders>
              <w:top w:val="nil"/>
              <w:left w:val="nil"/>
              <w:bottom w:val="nil"/>
              <w:right w:val="nil"/>
            </w:tcBorders>
          </w:tcPr>
          <w:p w14:paraId="4F29CCAC"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5. Logistic problems e.g. distance or</w:t>
            </w:r>
          </w:p>
          <w:p w14:paraId="119DD188" w14:textId="77777777" w:rsidR="001F1659" w:rsidRPr="00276EB3" w:rsidRDefault="001F1659" w:rsidP="00740A7E">
            <w:pPr>
              <w:rPr>
                <w:rFonts w:cs="Times New Roman"/>
                <w:sz w:val="20"/>
                <w:szCs w:val="20"/>
                <w:lang w:val="en-GB"/>
              </w:rPr>
            </w:pPr>
            <w:r w:rsidRPr="00276EB3">
              <w:rPr>
                <w:rFonts w:eastAsia="Times New Roman" w:cs="Times New Roman"/>
                <w:sz w:val="20"/>
                <w:szCs w:val="20"/>
                <w:lang w:val="en-GB" w:eastAsia="da-DK"/>
              </w:rPr>
              <w:t xml:space="preserve">    transportation</w:t>
            </w:r>
          </w:p>
        </w:tc>
        <w:tc>
          <w:tcPr>
            <w:tcW w:w="850" w:type="dxa"/>
            <w:tcBorders>
              <w:top w:val="nil"/>
              <w:left w:val="nil"/>
              <w:bottom w:val="nil"/>
              <w:right w:val="nil"/>
            </w:tcBorders>
            <w:vAlign w:val="center"/>
          </w:tcPr>
          <w:p w14:paraId="6E7C0939" w14:textId="77777777" w:rsidR="001F1659" w:rsidRPr="00276EB3" w:rsidRDefault="001F1659" w:rsidP="00740A7E">
            <w:pPr>
              <w:jc w:val="right"/>
              <w:rPr>
                <w:rFonts w:cs="Times New Roman"/>
                <w:sz w:val="20"/>
                <w:szCs w:val="20"/>
                <w:lang w:val="en-GB"/>
              </w:rPr>
            </w:pPr>
            <w:r w:rsidRPr="00276EB3">
              <w:rPr>
                <w:rFonts w:cs="Times New Roman"/>
                <w:sz w:val="20"/>
                <w:szCs w:val="20"/>
                <w:lang w:val="en-GB"/>
              </w:rPr>
              <w:t>6</w:t>
            </w:r>
          </w:p>
        </w:tc>
        <w:tc>
          <w:tcPr>
            <w:tcW w:w="993" w:type="dxa"/>
            <w:tcBorders>
              <w:top w:val="nil"/>
              <w:left w:val="nil"/>
              <w:bottom w:val="nil"/>
              <w:right w:val="nil"/>
            </w:tcBorders>
            <w:vAlign w:val="center"/>
          </w:tcPr>
          <w:p w14:paraId="277AC01A"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(8%)</w:t>
            </w:r>
          </w:p>
        </w:tc>
        <w:tc>
          <w:tcPr>
            <w:tcW w:w="708" w:type="dxa"/>
            <w:tcBorders>
              <w:top w:val="nil"/>
              <w:left w:val="nil"/>
              <w:bottom w:val="nil"/>
              <w:right w:val="nil"/>
            </w:tcBorders>
            <w:vAlign w:val="center"/>
          </w:tcPr>
          <w:p w14:paraId="2B286A9B" w14:textId="77777777" w:rsidR="001F1659" w:rsidRPr="00276EB3" w:rsidRDefault="001F1659" w:rsidP="00740A7E">
            <w:pPr>
              <w:ind w:left="174" w:hanging="174"/>
              <w:jc w:val="right"/>
              <w:rPr>
                <w:rFonts w:cs="Times New Roman"/>
                <w:sz w:val="20"/>
                <w:szCs w:val="20"/>
                <w:lang w:val="en-GB"/>
              </w:rPr>
            </w:pPr>
            <w:r w:rsidRPr="00276EB3">
              <w:rPr>
                <w:rFonts w:cs="Times New Roman"/>
                <w:sz w:val="20"/>
                <w:szCs w:val="20"/>
                <w:lang w:val="en-GB"/>
              </w:rPr>
              <w:t>3</w:t>
            </w:r>
          </w:p>
        </w:tc>
        <w:tc>
          <w:tcPr>
            <w:tcW w:w="993" w:type="dxa"/>
            <w:tcBorders>
              <w:top w:val="nil"/>
              <w:left w:val="nil"/>
              <w:bottom w:val="nil"/>
              <w:right w:val="nil"/>
            </w:tcBorders>
            <w:vAlign w:val="center"/>
          </w:tcPr>
          <w:p w14:paraId="488E88E3"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(10%)</w:t>
            </w:r>
          </w:p>
        </w:tc>
      </w:tr>
      <w:tr w:rsidR="001F1659" w:rsidRPr="00AF5BCB" w14:paraId="5362601B" w14:textId="77777777" w:rsidTr="00740A7E">
        <w:trPr>
          <w:trHeight w:val="283"/>
        </w:trPr>
        <w:tc>
          <w:tcPr>
            <w:tcW w:w="692" w:type="dxa"/>
            <w:tcBorders>
              <w:top w:val="nil"/>
              <w:left w:val="nil"/>
              <w:bottom w:val="nil"/>
              <w:right w:val="nil"/>
            </w:tcBorders>
          </w:tcPr>
          <w:p w14:paraId="184D4811"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A</w:t>
            </w:r>
          </w:p>
        </w:tc>
        <w:tc>
          <w:tcPr>
            <w:tcW w:w="4695" w:type="dxa"/>
            <w:tcBorders>
              <w:top w:val="nil"/>
              <w:left w:val="nil"/>
              <w:bottom w:val="nil"/>
              <w:right w:val="nil"/>
            </w:tcBorders>
          </w:tcPr>
          <w:p w14:paraId="67D26673" w14:textId="77777777" w:rsidR="001F1659" w:rsidRPr="00276EB3" w:rsidRDefault="001F1659" w:rsidP="00740A7E">
            <w:pPr>
              <w:rPr>
                <w:rFonts w:cs="Times New Roman"/>
                <w:sz w:val="20"/>
                <w:szCs w:val="20"/>
                <w:lang w:val="en-GB"/>
              </w:rPr>
            </w:pPr>
            <w:r w:rsidRPr="00276EB3">
              <w:rPr>
                <w:rFonts w:eastAsia="Times New Roman" w:cs="Times New Roman"/>
                <w:sz w:val="20"/>
                <w:szCs w:val="20"/>
                <w:lang w:val="en-GB" w:eastAsia="da-DK"/>
              </w:rPr>
              <w:t>6. Exacerbation in cardiac disease status</w:t>
            </w:r>
          </w:p>
        </w:tc>
        <w:tc>
          <w:tcPr>
            <w:tcW w:w="850" w:type="dxa"/>
            <w:tcBorders>
              <w:top w:val="nil"/>
              <w:left w:val="nil"/>
              <w:bottom w:val="nil"/>
              <w:right w:val="nil"/>
            </w:tcBorders>
            <w:vAlign w:val="center"/>
          </w:tcPr>
          <w:p w14:paraId="0DB1456A" w14:textId="77777777" w:rsidR="001F1659" w:rsidRPr="00276EB3" w:rsidRDefault="001F1659" w:rsidP="00740A7E">
            <w:pPr>
              <w:jc w:val="right"/>
              <w:rPr>
                <w:rFonts w:cs="Times New Roman"/>
                <w:sz w:val="20"/>
                <w:szCs w:val="20"/>
                <w:lang w:val="en-GB"/>
              </w:rPr>
            </w:pPr>
            <w:r w:rsidRPr="00276EB3">
              <w:rPr>
                <w:rFonts w:cs="Times New Roman"/>
                <w:sz w:val="20"/>
                <w:szCs w:val="20"/>
                <w:lang w:val="en-GB"/>
              </w:rPr>
              <w:t>7</w:t>
            </w:r>
          </w:p>
        </w:tc>
        <w:tc>
          <w:tcPr>
            <w:tcW w:w="993" w:type="dxa"/>
            <w:tcBorders>
              <w:top w:val="nil"/>
              <w:left w:val="nil"/>
              <w:bottom w:val="nil"/>
              <w:right w:val="nil"/>
            </w:tcBorders>
            <w:vAlign w:val="center"/>
          </w:tcPr>
          <w:p w14:paraId="64C09BBE"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(10%)</w:t>
            </w:r>
          </w:p>
        </w:tc>
        <w:tc>
          <w:tcPr>
            <w:tcW w:w="708" w:type="dxa"/>
            <w:tcBorders>
              <w:top w:val="nil"/>
              <w:left w:val="nil"/>
              <w:bottom w:val="nil"/>
              <w:right w:val="nil"/>
            </w:tcBorders>
            <w:vAlign w:val="center"/>
          </w:tcPr>
          <w:p w14:paraId="4C23B69E" w14:textId="77777777" w:rsidR="001F1659" w:rsidRPr="00276EB3" w:rsidRDefault="001F1659" w:rsidP="00740A7E">
            <w:pPr>
              <w:ind w:left="174" w:hanging="174"/>
              <w:jc w:val="right"/>
              <w:rPr>
                <w:rFonts w:cs="Times New Roman"/>
                <w:sz w:val="20"/>
                <w:szCs w:val="20"/>
                <w:lang w:val="en-GB"/>
              </w:rPr>
            </w:pPr>
            <w:r w:rsidRPr="00276EB3">
              <w:rPr>
                <w:rFonts w:cs="Times New Roman"/>
                <w:sz w:val="20"/>
                <w:szCs w:val="20"/>
                <w:lang w:val="en-GB"/>
              </w:rPr>
              <w:t>3</w:t>
            </w:r>
          </w:p>
        </w:tc>
        <w:tc>
          <w:tcPr>
            <w:tcW w:w="993" w:type="dxa"/>
            <w:tcBorders>
              <w:top w:val="nil"/>
              <w:left w:val="nil"/>
              <w:bottom w:val="nil"/>
              <w:right w:val="nil"/>
            </w:tcBorders>
            <w:vAlign w:val="center"/>
          </w:tcPr>
          <w:p w14:paraId="1121A923"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(10%)</w:t>
            </w:r>
          </w:p>
        </w:tc>
      </w:tr>
      <w:tr w:rsidR="001F1659" w:rsidRPr="00AF5BCB" w14:paraId="37F6BA0D" w14:textId="77777777" w:rsidTr="00740A7E">
        <w:trPr>
          <w:trHeight w:val="283"/>
        </w:trPr>
        <w:tc>
          <w:tcPr>
            <w:tcW w:w="692" w:type="dxa"/>
            <w:tcBorders>
              <w:top w:val="nil"/>
              <w:left w:val="nil"/>
              <w:bottom w:val="nil"/>
              <w:right w:val="nil"/>
            </w:tcBorders>
          </w:tcPr>
          <w:p w14:paraId="000DD516"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A</w:t>
            </w:r>
          </w:p>
        </w:tc>
        <w:tc>
          <w:tcPr>
            <w:tcW w:w="4695" w:type="dxa"/>
            <w:tcBorders>
              <w:top w:val="nil"/>
              <w:left w:val="nil"/>
              <w:bottom w:val="nil"/>
              <w:right w:val="nil"/>
            </w:tcBorders>
          </w:tcPr>
          <w:p w14:paraId="2DB46856" w14:textId="77777777" w:rsidR="001F1659" w:rsidRPr="00276EB3" w:rsidRDefault="001F1659" w:rsidP="00740A7E">
            <w:pPr>
              <w:rPr>
                <w:rFonts w:cs="Times New Roman"/>
                <w:sz w:val="20"/>
                <w:szCs w:val="20"/>
                <w:lang w:val="en-GB"/>
              </w:rPr>
            </w:pPr>
            <w:r w:rsidRPr="00276EB3">
              <w:rPr>
                <w:rFonts w:eastAsia="Times New Roman" w:cs="Times New Roman"/>
                <w:sz w:val="20"/>
                <w:szCs w:val="20"/>
                <w:lang w:val="en-GB" w:eastAsia="da-DK"/>
              </w:rPr>
              <w:t xml:space="preserve">7. Comorbidities  </w:t>
            </w:r>
          </w:p>
        </w:tc>
        <w:tc>
          <w:tcPr>
            <w:tcW w:w="850" w:type="dxa"/>
            <w:tcBorders>
              <w:top w:val="nil"/>
              <w:left w:val="nil"/>
              <w:bottom w:val="nil"/>
              <w:right w:val="nil"/>
            </w:tcBorders>
            <w:vAlign w:val="center"/>
          </w:tcPr>
          <w:p w14:paraId="7D137FAF" w14:textId="77777777" w:rsidR="001F1659" w:rsidRPr="00276EB3" w:rsidRDefault="001F1659" w:rsidP="00740A7E">
            <w:pPr>
              <w:jc w:val="right"/>
              <w:rPr>
                <w:rFonts w:cs="Times New Roman"/>
                <w:sz w:val="20"/>
                <w:szCs w:val="20"/>
                <w:lang w:val="en-GB"/>
              </w:rPr>
            </w:pPr>
            <w:r w:rsidRPr="00276EB3">
              <w:rPr>
                <w:rFonts w:cs="Times New Roman"/>
                <w:sz w:val="20"/>
                <w:szCs w:val="20"/>
                <w:lang w:val="en-GB"/>
              </w:rPr>
              <w:t>5</w:t>
            </w:r>
          </w:p>
        </w:tc>
        <w:tc>
          <w:tcPr>
            <w:tcW w:w="993" w:type="dxa"/>
            <w:tcBorders>
              <w:top w:val="nil"/>
              <w:left w:val="nil"/>
              <w:bottom w:val="nil"/>
              <w:right w:val="nil"/>
            </w:tcBorders>
            <w:vAlign w:val="center"/>
          </w:tcPr>
          <w:p w14:paraId="70165F3F"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(7%)</w:t>
            </w:r>
          </w:p>
        </w:tc>
        <w:tc>
          <w:tcPr>
            <w:tcW w:w="708" w:type="dxa"/>
            <w:tcBorders>
              <w:top w:val="nil"/>
              <w:left w:val="nil"/>
              <w:bottom w:val="nil"/>
              <w:right w:val="nil"/>
            </w:tcBorders>
            <w:vAlign w:val="center"/>
          </w:tcPr>
          <w:p w14:paraId="2550EBB3" w14:textId="77777777" w:rsidR="001F1659" w:rsidRPr="00276EB3" w:rsidRDefault="001F1659" w:rsidP="00740A7E">
            <w:pPr>
              <w:ind w:left="174" w:hanging="174"/>
              <w:jc w:val="right"/>
              <w:rPr>
                <w:rFonts w:cs="Times New Roman"/>
                <w:sz w:val="20"/>
                <w:szCs w:val="20"/>
                <w:lang w:val="en-GB"/>
              </w:rPr>
            </w:pPr>
            <w:r w:rsidRPr="00276EB3">
              <w:rPr>
                <w:rFonts w:cs="Times New Roman"/>
                <w:sz w:val="20"/>
                <w:szCs w:val="20"/>
                <w:lang w:val="en-GB"/>
              </w:rPr>
              <w:t>12</w:t>
            </w:r>
          </w:p>
        </w:tc>
        <w:tc>
          <w:tcPr>
            <w:tcW w:w="993" w:type="dxa"/>
            <w:tcBorders>
              <w:top w:val="nil"/>
              <w:left w:val="nil"/>
              <w:bottom w:val="nil"/>
              <w:right w:val="nil"/>
            </w:tcBorders>
            <w:vAlign w:val="center"/>
          </w:tcPr>
          <w:p w14:paraId="2C6EF697"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(39%)</w:t>
            </w:r>
          </w:p>
        </w:tc>
      </w:tr>
      <w:tr w:rsidR="001F1659" w:rsidRPr="00AF5BCB" w14:paraId="7E96568C" w14:textId="77777777" w:rsidTr="00740A7E">
        <w:trPr>
          <w:trHeight w:val="283"/>
        </w:trPr>
        <w:tc>
          <w:tcPr>
            <w:tcW w:w="692" w:type="dxa"/>
            <w:tcBorders>
              <w:top w:val="nil"/>
              <w:left w:val="nil"/>
              <w:bottom w:val="single" w:sz="4" w:space="0" w:color="auto"/>
              <w:right w:val="nil"/>
            </w:tcBorders>
          </w:tcPr>
          <w:p w14:paraId="0F4C4B3C"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w:t>
            </w:r>
          </w:p>
        </w:tc>
        <w:tc>
          <w:tcPr>
            <w:tcW w:w="4695" w:type="dxa"/>
            <w:tcBorders>
              <w:top w:val="nil"/>
              <w:left w:val="nil"/>
              <w:bottom w:val="single" w:sz="4" w:space="0" w:color="auto"/>
              <w:right w:val="nil"/>
            </w:tcBorders>
          </w:tcPr>
          <w:p w14:paraId="7CEEED59" w14:textId="77777777" w:rsidR="001F1659" w:rsidRPr="00276EB3" w:rsidRDefault="001F1659" w:rsidP="00740A7E">
            <w:pPr>
              <w:rPr>
                <w:rFonts w:cs="Times New Roman"/>
                <w:sz w:val="20"/>
                <w:szCs w:val="20"/>
                <w:lang w:val="en-GB"/>
              </w:rPr>
            </w:pPr>
            <w:r w:rsidRPr="00276EB3">
              <w:rPr>
                <w:rFonts w:eastAsia="Times New Roman" w:cs="Times New Roman"/>
                <w:sz w:val="20"/>
                <w:szCs w:val="20"/>
                <w:lang w:val="en-GB" w:eastAsia="da-DK"/>
              </w:rPr>
              <w:t>8. Unknown</w:t>
            </w:r>
          </w:p>
        </w:tc>
        <w:tc>
          <w:tcPr>
            <w:tcW w:w="850" w:type="dxa"/>
            <w:tcBorders>
              <w:top w:val="nil"/>
              <w:left w:val="nil"/>
              <w:bottom w:val="single" w:sz="4" w:space="0" w:color="auto"/>
              <w:right w:val="nil"/>
            </w:tcBorders>
            <w:vAlign w:val="center"/>
          </w:tcPr>
          <w:p w14:paraId="75146424" w14:textId="77777777" w:rsidR="001F1659" w:rsidRPr="00276EB3" w:rsidRDefault="001F1659" w:rsidP="00740A7E">
            <w:pPr>
              <w:jc w:val="right"/>
              <w:rPr>
                <w:rFonts w:cs="Times New Roman"/>
                <w:sz w:val="20"/>
                <w:szCs w:val="20"/>
                <w:lang w:val="en-GB"/>
              </w:rPr>
            </w:pPr>
            <w:r w:rsidRPr="00276EB3">
              <w:rPr>
                <w:rFonts w:cs="Times New Roman"/>
                <w:sz w:val="20"/>
                <w:szCs w:val="20"/>
                <w:lang w:val="en-GB"/>
              </w:rPr>
              <w:t>7</w:t>
            </w:r>
          </w:p>
        </w:tc>
        <w:tc>
          <w:tcPr>
            <w:tcW w:w="993" w:type="dxa"/>
            <w:tcBorders>
              <w:top w:val="nil"/>
              <w:left w:val="nil"/>
              <w:bottom w:val="single" w:sz="4" w:space="0" w:color="auto"/>
              <w:right w:val="nil"/>
            </w:tcBorders>
            <w:vAlign w:val="center"/>
          </w:tcPr>
          <w:p w14:paraId="2A52C02D"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(10%)</w:t>
            </w:r>
          </w:p>
        </w:tc>
        <w:tc>
          <w:tcPr>
            <w:tcW w:w="708" w:type="dxa"/>
            <w:tcBorders>
              <w:top w:val="nil"/>
              <w:left w:val="nil"/>
              <w:bottom w:val="single" w:sz="4" w:space="0" w:color="auto"/>
              <w:right w:val="nil"/>
            </w:tcBorders>
            <w:vAlign w:val="center"/>
          </w:tcPr>
          <w:p w14:paraId="43A34501" w14:textId="77777777" w:rsidR="001F1659" w:rsidRPr="00276EB3" w:rsidRDefault="001F1659" w:rsidP="00740A7E">
            <w:pPr>
              <w:ind w:left="174" w:hanging="174"/>
              <w:jc w:val="right"/>
              <w:rPr>
                <w:rFonts w:cs="Times New Roman"/>
                <w:sz w:val="20"/>
                <w:szCs w:val="20"/>
                <w:lang w:val="en-GB"/>
              </w:rPr>
            </w:pPr>
            <w:r w:rsidRPr="00276EB3">
              <w:rPr>
                <w:rFonts w:cs="Times New Roman"/>
                <w:sz w:val="20"/>
                <w:szCs w:val="20"/>
                <w:lang w:val="en-GB"/>
              </w:rPr>
              <w:t>1</w:t>
            </w:r>
          </w:p>
        </w:tc>
        <w:tc>
          <w:tcPr>
            <w:tcW w:w="993" w:type="dxa"/>
            <w:tcBorders>
              <w:top w:val="nil"/>
              <w:left w:val="nil"/>
              <w:bottom w:val="single" w:sz="4" w:space="0" w:color="auto"/>
              <w:right w:val="nil"/>
            </w:tcBorders>
            <w:vAlign w:val="center"/>
          </w:tcPr>
          <w:p w14:paraId="699B1C37" w14:textId="77777777" w:rsidR="001F1659" w:rsidRPr="00276EB3" w:rsidRDefault="001F1659" w:rsidP="00740A7E">
            <w:pPr>
              <w:jc w:val="center"/>
              <w:rPr>
                <w:rFonts w:cs="Times New Roman"/>
                <w:sz w:val="20"/>
                <w:szCs w:val="20"/>
                <w:lang w:val="en-GB"/>
              </w:rPr>
            </w:pPr>
            <w:r w:rsidRPr="00276EB3">
              <w:rPr>
                <w:rFonts w:cs="Times New Roman"/>
                <w:sz w:val="20"/>
                <w:szCs w:val="20"/>
                <w:lang w:val="en-GB"/>
              </w:rPr>
              <w:t>(3%)</w:t>
            </w:r>
          </w:p>
        </w:tc>
      </w:tr>
      <w:tr w:rsidR="001F1659" w:rsidRPr="00276EB3" w14:paraId="2AB4F165" w14:textId="77777777" w:rsidTr="00740A7E">
        <w:tc>
          <w:tcPr>
            <w:tcW w:w="8931" w:type="dxa"/>
            <w:gridSpan w:val="6"/>
            <w:tcBorders>
              <w:left w:val="nil"/>
              <w:bottom w:val="nil"/>
              <w:right w:val="nil"/>
            </w:tcBorders>
          </w:tcPr>
          <w:p w14:paraId="688340A1" w14:textId="77777777" w:rsidR="001F1659" w:rsidRPr="00276EB3" w:rsidRDefault="001F1659" w:rsidP="00740A7E">
            <w:pPr>
              <w:rPr>
                <w:rFonts w:eastAsia="Times New Roman" w:cs="Times New Roman"/>
                <w:sz w:val="20"/>
                <w:szCs w:val="20"/>
                <w:lang w:val="en-GB" w:eastAsia="da-DK"/>
              </w:rPr>
            </w:pPr>
            <w:r w:rsidRPr="00276EB3">
              <w:rPr>
                <w:rFonts w:eastAsia="Times New Roman" w:cs="Times New Roman"/>
                <w:sz w:val="20"/>
                <w:szCs w:val="20"/>
                <w:lang w:val="en-GB" w:eastAsia="da-DK"/>
              </w:rPr>
              <w:t>Eight patients stated two reasons for dropout at the transition phase and two patients stated two reasons for dropout in the hospital or municipalities.</w:t>
            </w:r>
          </w:p>
          <w:p w14:paraId="0E533F6D" w14:textId="77777777" w:rsidR="001F1659" w:rsidRPr="00276EB3" w:rsidRDefault="001F1659" w:rsidP="00740A7E">
            <w:pPr>
              <w:rPr>
                <w:rFonts w:cs="Times New Roman"/>
                <w:sz w:val="20"/>
                <w:szCs w:val="20"/>
                <w:lang w:val="en-GB"/>
              </w:rPr>
            </w:pPr>
            <w:r w:rsidRPr="00276EB3">
              <w:rPr>
                <w:rFonts w:cs="Times New Roman"/>
                <w:sz w:val="20"/>
                <w:szCs w:val="20"/>
                <w:lang w:val="en-GB"/>
              </w:rPr>
              <w:t>The % are calculated based on the number of patients who dropped out either at the transition (n=72) or in the hospital/municipalities (n=31).</w:t>
            </w:r>
          </w:p>
        </w:tc>
      </w:tr>
    </w:tbl>
    <w:p w14:paraId="1895B9C2" w14:textId="77777777" w:rsidR="00F46CC0" w:rsidRDefault="00F46CC0" w:rsidP="00F46CC0">
      <w:pPr>
        <w:spacing w:after="0" w:line="240" w:lineRule="auto"/>
        <w:rPr>
          <w:rFonts w:eastAsia="Times New Roman" w:cs="Times New Roman"/>
          <w:b/>
          <w:bCs/>
          <w:kern w:val="36"/>
          <w:sz w:val="28"/>
          <w:szCs w:val="48"/>
          <w:lang w:val="en-GB" w:eastAsia="da-DK"/>
        </w:rPr>
      </w:pPr>
    </w:p>
    <w:p w14:paraId="012F9D6A" w14:textId="77777777" w:rsidR="00276EB3" w:rsidRDefault="00276EB3" w:rsidP="00DF586B">
      <w:pPr>
        <w:spacing w:after="0" w:line="480" w:lineRule="auto"/>
        <w:rPr>
          <w:rFonts w:eastAsia="Times New Roman" w:cs="Times New Roman"/>
          <w:b/>
          <w:bCs/>
          <w:kern w:val="36"/>
          <w:sz w:val="28"/>
          <w:szCs w:val="48"/>
          <w:lang w:val="en-GB" w:eastAsia="da-DK"/>
        </w:rPr>
      </w:pPr>
    </w:p>
    <w:p w14:paraId="5F010DD2" w14:textId="77777777" w:rsidR="00276EB3" w:rsidRDefault="00276EB3">
      <w:pPr>
        <w:rPr>
          <w:rFonts w:eastAsia="Times New Roman" w:cs="Times New Roman"/>
          <w:b/>
          <w:bCs/>
          <w:kern w:val="36"/>
          <w:sz w:val="28"/>
          <w:szCs w:val="48"/>
          <w:lang w:val="en-GB" w:eastAsia="da-DK"/>
        </w:rPr>
      </w:pPr>
      <w:r>
        <w:rPr>
          <w:rFonts w:eastAsia="Times New Roman" w:cs="Times New Roman"/>
          <w:b/>
          <w:bCs/>
          <w:kern w:val="36"/>
          <w:sz w:val="28"/>
          <w:szCs w:val="48"/>
          <w:lang w:val="en-GB" w:eastAsia="da-DK"/>
        </w:rPr>
        <w:br w:type="page"/>
      </w:r>
    </w:p>
    <w:p w14:paraId="782AB845" w14:textId="2219A7C3" w:rsidR="00DF586B" w:rsidRPr="00DF586B" w:rsidRDefault="00276EB3" w:rsidP="00DF586B">
      <w:pPr>
        <w:spacing w:after="0" w:line="480" w:lineRule="auto"/>
        <w:rPr>
          <w:rFonts w:eastAsia="Times New Roman" w:cs="Times New Roman"/>
          <w:b/>
          <w:bCs/>
          <w:kern w:val="36"/>
          <w:sz w:val="28"/>
          <w:szCs w:val="48"/>
          <w:lang w:val="en-GB" w:eastAsia="da-DK"/>
        </w:rPr>
      </w:pPr>
      <w:r>
        <w:rPr>
          <w:rFonts w:eastAsia="Times New Roman" w:cs="Times New Roman"/>
          <w:b/>
          <w:bCs/>
          <w:kern w:val="36"/>
          <w:sz w:val="28"/>
          <w:szCs w:val="48"/>
          <w:lang w:val="en-GB" w:eastAsia="da-DK"/>
        </w:rPr>
        <w:t>Figure legend</w:t>
      </w:r>
    </w:p>
    <w:p w14:paraId="057F656D" w14:textId="77777777" w:rsidR="00276EB3" w:rsidRDefault="00276EB3" w:rsidP="00DF586B">
      <w:pPr>
        <w:spacing w:line="276" w:lineRule="auto"/>
        <w:rPr>
          <w:rFonts w:cs="Times New Roman"/>
          <w:b/>
          <w:lang w:val="en-GB"/>
        </w:rPr>
      </w:pPr>
    </w:p>
    <w:p w14:paraId="19EC25E8" w14:textId="43EA9D6E" w:rsidR="00DF586B" w:rsidRPr="00DF586B" w:rsidRDefault="00DF586B" w:rsidP="00DF586B">
      <w:pPr>
        <w:spacing w:line="276" w:lineRule="auto"/>
        <w:rPr>
          <w:rFonts w:cs="Times New Roman"/>
          <w:lang w:val="en-GB"/>
        </w:rPr>
      </w:pPr>
      <w:r w:rsidRPr="00DF586B">
        <w:rPr>
          <w:rFonts w:cs="Times New Roman"/>
          <w:b/>
          <w:lang w:val="en-GB"/>
        </w:rPr>
        <w:t xml:space="preserve">Figure </w:t>
      </w:r>
      <w:r w:rsidRPr="00DF586B">
        <w:rPr>
          <w:rFonts w:cs="Times New Roman"/>
          <w:b/>
          <w:lang w:val="en-GB"/>
        </w:rPr>
        <w:fldChar w:fldCharType="begin"/>
      </w:r>
      <w:r w:rsidRPr="00DF586B">
        <w:rPr>
          <w:rFonts w:cs="Times New Roman"/>
          <w:b/>
          <w:lang w:val="en-GB"/>
        </w:rPr>
        <w:instrText xml:space="preserve"> SEQ Figur \* ARABIC </w:instrText>
      </w:r>
      <w:r w:rsidRPr="00DF586B">
        <w:rPr>
          <w:rFonts w:cs="Times New Roman"/>
          <w:b/>
          <w:lang w:val="en-GB"/>
        </w:rPr>
        <w:fldChar w:fldCharType="separate"/>
      </w:r>
      <w:r w:rsidRPr="00DF586B">
        <w:rPr>
          <w:rFonts w:cs="Times New Roman"/>
          <w:b/>
          <w:lang w:val="en-GB"/>
        </w:rPr>
        <w:t>1</w:t>
      </w:r>
      <w:r w:rsidRPr="00DF586B">
        <w:rPr>
          <w:rFonts w:cs="Times New Roman"/>
          <w:b/>
          <w:lang w:val="en-GB"/>
        </w:rPr>
        <w:fldChar w:fldCharType="end"/>
      </w:r>
      <w:r w:rsidRPr="00DF586B">
        <w:rPr>
          <w:rFonts w:cs="Times New Roman"/>
          <w:lang w:val="en-GB"/>
        </w:rPr>
        <w:t>. Study flow. *Completers: a patient who never stated a dropout during telephone interview **Dropouts: a patient who during the telephone interview stated they no longer participated in the exercise-based cardiac rehabilitation program</w:t>
      </w:r>
      <w:r>
        <w:rPr>
          <w:rFonts w:cs="Times New Roman"/>
          <w:lang w:val="en-GB"/>
        </w:rPr>
        <w:t>.</w:t>
      </w:r>
    </w:p>
    <w:p w14:paraId="4D45B00B" w14:textId="77777777" w:rsidR="00276EB3" w:rsidRDefault="00276EB3" w:rsidP="00DF586B">
      <w:pPr>
        <w:spacing w:line="276" w:lineRule="auto"/>
        <w:rPr>
          <w:rFonts w:cs="Times New Roman"/>
          <w:b/>
          <w:lang w:val="en-GB"/>
        </w:rPr>
      </w:pPr>
    </w:p>
    <w:p w14:paraId="544AA675" w14:textId="77777777" w:rsidR="00DF586B" w:rsidRPr="00DF586B" w:rsidRDefault="00DF586B" w:rsidP="00DF586B">
      <w:pPr>
        <w:spacing w:line="276" w:lineRule="auto"/>
        <w:rPr>
          <w:rFonts w:cs="Times New Roman"/>
          <w:lang w:val="en-GB"/>
        </w:rPr>
      </w:pPr>
      <w:r w:rsidRPr="00DF586B">
        <w:rPr>
          <w:rFonts w:cs="Times New Roman"/>
          <w:b/>
          <w:lang w:val="en-GB"/>
        </w:rPr>
        <w:t>Figure 2</w:t>
      </w:r>
      <w:r w:rsidRPr="00DF586B">
        <w:rPr>
          <w:rFonts w:cs="Times New Roman"/>
          <w:lang w:val="en-GB"/>
        </w:rPr>
        <w:t>. Time to dropout in a 12-week exercise-based cardiac rehabilitation program with a transition phase from the hospital to the municipalities after six weeks.</w:t>
      </w:r>
    </w:p>
    <w:p w14:paraId="7F91B34A" w14:textId="15EC414B" w:rsidR="0081701F" w:rsidRPr="00DF586B" w:rsidRDefault="00F32A25" w:rsidP="00DF586B">
      <w:pPr>
        <w:spacing w:line="276" w:lineRule="auto"/>
        <w:rPr>
          <w:rFonts w:cs="Times New Roman"/>
          <w:lang w:val="en-GB"/>
        </w:rPr>
      </w:pPr>
      <w:r w:rsidRPr="00DF586B">
        <w:rPr>
          <w:rFonts w:cs="Times New Roman"/>
          <w:lang w:val="en-GB"/>
        </w:rPr>
        <w:fldChar w:fldCharType="begin"/>
      </w:r>
      <w:r w:rsidRPr="00DF586B">
        <w:rPr>
          <w:rFonts w:cs="Times New Roman"/>
          <w:lang w:val="en-GB"/>
        </w:rPr>
        <w:instrText xml:space="preserve"> ADDIN EN.REFLIST </w:instrText>
      </w:r>
      <w:r w:rsidRPr="00DF586B">
        <w:rPr>
          <w:rFonts w:cs="Times New Roman"/>
          <w:lang w:val="en-GB"/>
        </w:rPr>
        <w:fldChar w:fldCharType="end"/>
      </w:r>
    </w:p>
    <w:sectPr w:rsidR="0081701F" w:rsidRPr="00DF586B" w:rsidSect="00C30004">
      <w:footerReference w:type="default" r:id="rId11"/>
      <w:headerReference w:type="firs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C7B4F" w14:textId="77777777" w:rsidR="00804271" w:rsidRDefault="00804271" w:rsidP="001C154F">
      <w:pPr>
        <w:spacing w:after="0" w:line="240" w:lineRule="auto"/>
      </w:pPr>
      <w:r>
        <w:separator/>
      </w:r>
    </w:p>
  </w:endnote>
  <w:endnote w:type="continuationSeparator" w:id="0">
    <w:p w14:paraId="444B5E48" w14:textId="77777777" w:rsidR="00804271" w:rsidRDefault="00804271" w:rsidP="001C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et Text Light">
    <w:altName w:val="Harriet Text Light"/>
    <w:panose1 w:val="00000000000000000000"/>
    <w:charset w:val="00"/>
    <w:family w:val="roman"/>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FreeSerif">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940664"/>
      <w:docPartObj>
        <w:docPartGallery w:val="Page Numbers (Bottom of Page)"/>
        <w:docPartUnique/>
      </w:docPartObj>
    </w:sdtPr>
    <w:sdtEndPr/>
    <w:sdtContent>
      <w:p w14:paraId="515CCDD9" w14:textId="2C2A9BD1" w:rsidR="00804271" w:rsidRDefault="00804271">
        <w:pPr>
          <w:pStyle w:val="Footer"/>
          <w:jc w:val="center"/>
        </w:pPr>
        <w:r>
          <w:fldChar w:fldCharType="begin"/>
        </w:r>
        <w:r>
          <w:instrText>PAGE   \* MERGEFORMAT</w:instrText>
        </w:r>
        <w:r>
          <w:fldChar w:fldCharType="separate"/>
        </w:r>
        <w:r w:rsidR="00DA39EF">
          <w:rPr>
            <w:noProof/>
          </w:rPr>
          <w:t>1</w:t>
        </w:r>
        <w:r>
          <w:fldChar w:fldCharType="end"/>
        </w:r>
      </w:p>
    </w:sdtContent>
  </w:sdt>
  <w:p w14:paraId="784CD26E" w14:textId="77777777" w:rsidR="00804271" w:rsidRDefault="0080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E6885" w14:textId="77777777" w:rsidR="00804271" w:rsidRDefault="00804271" w:rsidP="001C154F">
      <w:pPr>
        <w:spacing w:after="0" w:line="240" w:lineRule="auto"/>
      </w:pPr>
      <w:r>
        <w:separator/>
      </w:r>
    </w:p>
  </w:footnote>
  <w:footnote w:type="continuationSeparator" w:id="0">
    <w:p w14:paraId="7F9F285D" w14:textId="77777777" w:rsidR="00804271" w:rsidRDefault="00804271" w:rsidP="001C1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07EA" w14:textId="30014A88" w:rsidR="00804271" w:rsidRDefault="00804271">
    <w:pPr>
      <w:pStyle w:val="Header"/>
    </w:pPr>
    <w:r>
      <w:rPr>
        <w:noProof/>
        <w:lang w:val="en-GB" w:eastAsia="en-GB"/>
      </w:rPr>
      <w:drawing>
        <wp:anchor distT="0" distB="0" distL="114300" distR="114300" simplePos="0" relativeHeight="251661312" behindDoc="0" locked="0" layoutInCell="1" allowOverlap="1" wp14:anchorId="3C9521BE" wp14:editId="39081ADF">
          <wp:simplePos x="0" y="0"/>
          <wp:positionH relativeFrom="page">
            <wp:posOffset>5575935</wp:posOffset>
          </wp:positionH>
          <wp:positionV relativeFrom="page">
            <wp:posOffset>380307</wp:posOffset>
          </wp:positionV>
          <wp:extent cx="1116000" cy="298800"/>
          <wp:effectExtent l="0" t="0" r="8255" b="6350"/>
          <wp:wrapNone/>
          <wp:docPr id="2" name="Billede 2" descr="C:\Users\kdu\Desktop\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Desktop\SDU logo package\OFFICE + WEB LOGOS (png+jpg)\SDU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000" cy="29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72570"/>
    <w:multiLevelType w:val="hybridMultilevel"/>
    <w:tmpl w:val="ED0446C2"/>
    <w:lvl w:ilvl="0" w:tplc="33245226">
      <w:start w:val="2"/>
      <w:numFmt w:val="bullet"/>
      <w:lvlText w:val="-"/>
      <w:lvlJc w:val="left"/>
      <w:pPr>
        <w:ind w:left="720" w:hanging="360"/>
      </w:pPr>
      <w:rPr>
        <w:rFonts w:ascii="Cambria" w:eastAsia="MS Mincho"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B07E1"/>
    <w:multiLevelType w:val="hybridMultilevel"/>
    <w:tmpl w:val="0CF8D3CC"/>
    <w:lvl w:ilvl="0" w:tplc="701E9B22">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EA5BEB"/>
    <w:multiLevelType w:val="hybridMultilevel"/>
    <w:tmpl w:val="FBB866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AB4BFE"/>
    <w:multiLevelType w:val="hybridMultilevel"/>
    <w:tmpl w:val="0E843024"/>
    <w:lvl w:ilvl="0" w:tplc="2A0EC68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EBE4D9E"/>
    <w:multiLevelType w:val="hybridMultilevel"/>
    <w:tmpl w:val="CEA4F3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1184051"/>
    <w:multiLevelType w:val="hybridMultilevel"/>
    <w:tmpl w:val="845C67C4"/>
    <w:lvl w:ilvl="0" w:tplc="FCE0B76E">
      <w:numFmt w:val="bullet"/>
      <w:lvlText w:val="-"/>
      <w:lvlJc w:val="left"/>
      <w:pPr>
        <w:ind w:left="720" w:hanging="360"/>
      </w:pPr>
      <w:rPr>
        <w:rFonts w:ascii="Georgia" w:eastAsiaTheme="minorHAnsi" w:hAnsi="Georg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5D54F8"/>
    <w:multiLevelType w:val="hybridMultilevel"/>
    <w:tmpl w:val="D5A0F7A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8" w15:restartNumberingAfterBreak="0">
    <w:nsid w:val="28E359D1"/>
    <w:multiLevelType w:val="multilevel"/>
    <w:tmpl w:val="FECE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C1C9F"/>
    <w:multiLevelType w:val="hybridMultilevel"/>
    <w:tmpl w:val="A29CC694"/>
    <w:lvl w:ilvl="0" w:tplc="B228195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EB16B4"/>
    <w:multiLevelType w:val="hybridMultilevel"/>
    <w:tmpl w:val="75C22D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1C7820"/>
    <w:multiLevelType w:val="hybridMultilevel"/>
    <w:tmpl w:val="23D86D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213DAA"/>
    <w:multiLevelType w:val="hybridMultilevel"/>
    <w:tmpl w:val="70F031FE"/>
    <w:lvl w:ilvl="0" w:tplc="53DC9FB6">
      <w:start w:val="20"/>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D82E9D"/>
    <w:multiLevelType w:val="hybridMultilevel"/>
    <w:tmpl w:val="1DC21E1A"/>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9E3347"/>
    <w:multiLevelType w:val="hybridMultilevel"/>
    <w:tmpl w:val="B3A40FFA"/>
    <w:lvl w:ilvl="0" w:tplc="D4FC718E">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417362"/>
    <w:multiLevelType w:val="hybridMultilevel"/>
    <w:tmpl w:val="BF62A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935BEA"/>
    <w:multiLevelType w:val="hybridMultilevel"/>
    <w:tmpl w:val="ABDCBD9C"/>
    <w:lvl w:ilvl="0" w:tplc="BD502422">
      <w:start w:val="4"/>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3668038E"/>
    <w:multiLevelType w:val="hybridMultilevel"/>
    <w:tmpl w:val="2C4E0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B05256"/>
    <w:multiLevelType w:val="hybridMultilevel"/>
    <w:tmpl w:val="E730AC00"/>
    <w:lvl w:ilvl="0" w:tplc="37FAC48C">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DD257D"/>
    <w:multiLevelType w:val="hybridMultilevel"/>
    <w:tmpl w:val="B0B2220A"/>
    <w:lvl w:ilvl="0" w:tplc="EAFC5C84">
      <w:start w:val="20"/>
      <w:numFmt w:val="bullet"/>
      <w:lvlText w:val="-"/>
      <w:lvlJc w:val="left"/>
      <w:pPr>
        <w:ind w:left="720" w:hanging="360"/>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A0F1FDC"/>
    <w:multiLevelType w:val="multilevel"/>
    <w:tmpl w:val="E3361024"/>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1" w15:restartNumberingAfterBreak="0">
    <w:nsid w:val="3D3B4DE9"/>
    <w:multiLevelType w:val="hybridMultilevel"/>
    <w:tmpl w:val="AABA3A10"/>
    <w:lvl w:ilvl="0" w:tplc="02EA1E6E">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D907626"/>
    <w:multiLevelType w:val="hybridMultilevel"/>
    <w:tmpl w:val="6CAC5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5E13B1"/>
    <w:multiLevelType w:val="hybridMultilevel"/>
    <w:tmpl w:val="8B90ADEA"/>
    <w:lvl w:ilvl="0" w:tplc="26D8808A">
      <w:start w:val="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EC5D89"/>
    <w:multiLevelType w:val="hybridMultilevel"/>
    <w:tmpl w:val="BB089406"/>
    <w:lvl w:ilvl="0" w:tplc="9E42DA06">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DBE2794"/>
    <w:multiLevelType w:val="multilevel"/>
    <w:tmpl w:val="378E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04263B"/>
    <w:multiLevelType w:val="hybridMultilevel"/>
    <w:tmpl w:val="D6C00C32"/>
    <w:lvl w:ilvl="0" w:tplc="37FAC48C">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4B37926"/>
    <w:multiLevelType w:val="hybridMultilevel"/>
    <w:tmpl w:val="EBF83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570EE7"/>
    <w:multiLevelType w:val="hybridMultilevel"/>
    <w:tmpl w:val="BE6E3158"/>
    <w:lvl w:ilvl="0" w:tplc="37FAC48C">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B7231DE"/>
    <w:multiLevelType w:val="multilevel"/>
    <w:tmpl w:val="842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A3FB6"/>
    <w:multiLevelType w:val="hybridMultilevel"/>
    <w:tmpl w:val="E35AB11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1CF6EF7"/>
    <w:multiLevelType w:val="multilevel"/>
    <w:tmpl w:val="8534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FA4A8A"/>
    <w:multiLevelType w:val="hybridMultilevel"/>
    <w:tmpl w:val="C0586902"/>
    <w:lvl w:ilvl="0" w:tplc="37FAC48C">
      <w:start w:val="1"/>
      <w:numFmt w:val="bullet"/>
      <w:lvlText w:val="□"/>
      <w:lvlJc w:val="left"/>
      <w:pPr>
        <w:ind w:left="720" w:hanging="360"/>
      </w:pPr>
      <w:rPr>
        <w:rFonts w:ascii="Courier New" w:hAnsi="Courier New"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78F6878"/>
    <w:multiLevelType w:val="hybridMultilevel"/>
    <w:tmpl w:val="50042A06"/>
    <w:lvl w:ilvl="0" w:tplc="8F5C4902">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B745D44"/>
    <w:multiLevelType w:val="hybridMultilevel"/>
    <w:tmpl w:val="5A60998A"/>
    <w:lvl w:ilvl="0" w:tplc="AC0CDA18">
      <w:start w:val="13"/>
      <w:numFmt w:val="bullet"/>
      <w:lvlText w:val="-"/>
      <w:lvlJc w:val="left"/>
      <w:pPr>
        <w:ind w:left="720" w:hanging="360"/>
      </w:pPr>
      <w:rPr>
        <w:rFonts w:ascii="Cambria" w:eastAsia="MS Mincho"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3"/>
  </w:num>
  <w:num w:numId="4">
    <w:abstractNumId w:val="10"/>
  </w:num>
  <w:num w:numId="5">
    <w:abstractNumId w:val="33"/>
  </w:num>
  <w:num w:numId="6">
    <w:abstractNumId w:val="23"/>
  </w:num>
  <w:num w:numId="7">
    <w:abstractNumId w:val="19"/>
  </w:num>
  <w:num w:numId="8">
    <w:abstractNumId w:val="12"/>
  </w:num>
  <w:num w:numId="9">
    <w:abstractNumId w:val="14"/>
  </w:num>
  <w:num w:numId="10">
    <w:abstractNumId w:val="27"/>
  </w:num>
  <w:num w:numId="11">
    <w:abstractNumId w:val="16"/>
  </w:num>
  <w:num w:numId="12">
    <w:abstractNumId w:val="30"/>
  </w:num>
  <w:num w:numId="13">
    <w:abstractNumId w:val="28"/>
  </w:num>
  <w:num w:numId="14">
    <w:abstractNumId w:val="32"/>
  </w:num>
  <w:num w:numId="15">
    <w:abstractNumId w:val="18"/>
  </w:num>
  <w:num w:numId="16">
    <w:abstractNumId w:val="26"/>
  </w:num>
  <w:num w:numId="17">
    <w:abstractNumId w:val="32"/>
  </w:num>
  <w:num w:numId="18">
    <w:abstractNumId w:val="18"/>
  </w:num>
  <w:num w:numId="19">
    <w:abstractNumId w:val="26"/>
  </w:num>
  <w:num w:numId="20">
    <w:abstractNumId w:val="5"/>
  </w:num>
  <w:num w:numId="21">
    <w:abstractNumId w:val="34"/>
  </w:num>
  <w:num w:numId="22">
    <w:abstractNumId w:val="15"/>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2"/>
  </w:num>
  <w:num w:numId="28">
    <w:abstractNumId w:val="8"/>
  </w:num>
  <w:num w:numId="29">
    <w:abstractNumId w:val="25"/>
  </w:num>
  <w:num w:numId="30">
    <w:abstractNumId w:val="31"/>
  </w:num>
  <w:num w:numId="31">
    <w:abstractNumId w:val="29"/>
  </w:num>
  <w:num w:numId="32">
    <w:abstractNumId w:val="9"/>
  </w:num>
  <w:num w:numId="33">
    <w:abstractNumId w:val="6"/>
  </w:num>
  <w:num w:numId="34">
    <w:abstractNumId w:val="24"/>
  </w:num>
  <w:num w:numId="35">
    <w:abstractNumId w:val="13"/>
  </w:num>
  <w:num w:numId="36">
    <w:abstractNumId w:val="1"/>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0"/>
  <w:activeWritingStyle w:appName="MSWord" w:lang="en-US" w:vendorID="64" w:dllVersion="0" w:nlCheck="1" w:checkStyle="0"/>
  <w:activeWritingStyle w:appName="MSWord" w:lang="da-DK" w:vendorID="64" w:dllVersion="0"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da-DK" w:vendorID="64" w:dllVersion="131078" w:nlCheck="1" w:checkStyle="0"/>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2fsztw6zpzdpeprrs559xydfdwdsx2x2p2&quot;&gt;My EndNote Library&lt;record-ids&gt;&lt;item&gt;1129&lt;/item&gt;&lt;item&gt;1253&lt;/item&gt;&lt;/record-ids&gt;&lt;/item&gt;&lt;/Libraries&gt;"/>
  </w:docVars>
  <w:rsids>
    <w:rsidRoot w:val="00CD1C6D"/>
    <w:rsid w:val="000002DF"/>
    <w:rsid w:val="000006A2"/>
    <w:rsid w:val="000006E7"/>
    <w:rsid w:val="00000865"/>
    <w:rsid w:val="00000E30"/>
    <w:rsid w:val="000011A9"/>
    <w:rsid w:val="00001BEE"/>
    <w:rsid w:val="00001F18"/>
    <w:rsid w:val="00001F2B"/>
    <w:rsid w:val="00001F80"/>
    <w:rsid w:val="00003DE1"/>
    <w:rsid w:val="000046F9"/>
    <w:rsid w:val="00005174"/>
    <w:rsid w:val="000052DF"/>
    <w:rsid w:val="00006394"/>
    <w:rsid w:val="0000656A"/>
    <w:rsid w:val="000065C9"/>
    <w:rsid w:val="000068CA"/>
    <w:rsid w:val="00006B64"/>
    <w:rsid w:val="00006ECD"/>
    <w:rsid w:val="0000737E"/>
    <w:rsid w:val="000073A0"/>
    <w:rsid w:val="00010864"/>
    <w:rsid w:val="00010D9D"/>
    <w:rsid w:val="00010E77"/>
    <w:rsid w:val="0001102C"/>
    <w:rsid w:val="0001188D"/>
    <w:rsid w:val="00012AEB"/>
    <w:rsid w:val="000130C3"/>
    <w:rsid w:val="00013902"/>
    <w:rsid w:val="00013B4D"/>
    <w:rsid w:val="00013BB9"/>
    <w:rsid w:val="00014922"/>
    <w:rsid w:val="000151F5"/>
    <w:rsid w:val="00015F4F"/>
    <w:rsid w:val="00015F78"/>
    <w:rsid w:val="00016455"/>
    <w:rsid w:val="00016C3D"/>
    <w:rsid w:val="00016D5F"/>
    <w:rsid w:val="00017BA6"/>
    <w:rsid w:val="00020C06"/>
    <w:rsid w:val="000210DF"/>
    <w:rsid w:val="00021A2B"/>
    <w:rsid w:val="0002203C"/>
    <w:rsid w:val="0002367E"/>
    <w:rsid w:val="00023763"/>
    <w:rsid w:val="00023D52"/>
    <w:rsid w:val="000248A4"/>
    <w:rsid w:val="00025115"/>
    <w:rsid w:val="0002594D"/>
    <w:rsid w:val="00026521"/>
    <w:rsid w:val="00027470"/>
    <w:rsid w:val="00027A3F"/>
    <w:rsid w:val="00030054"/>
    <w:rsid w:val="00030CF3"/>
    <w:rsid w:val="00030F90"/>
    <w:rsid w:val="0003104F"/>
    <w:rsid w:val="000311D5"/>
    <w:rsid w:val="00031616"/>
    <w:rsid w:val="00031ADA"/>
    <w:rsid w:val="00031D21"/>
    <w:rsid w:val="00032631"/>
    <w:rsid w:val="00032A1D"/>
    <w:rsid w:val="00034177"/>
    <w:rsid w:val="00034760"/>
    <w:rsid w:val="00034F11"/>
    <w:rsid w:val="00035A57"/>
    <w:rsid w:val="0003724B"/>
    <w:rsid w:val="00037B47"/>
    <w:rsid w:val="000405E2"/>
    <w:rsid w:val="0004065E"/>
    <w:rsid w:val="00040863"/>
    <w:rsid w:val="00041348"/>
    <w:rsid w:val="00041880"/>
    <w:rsid w:val="00041ABA"/>
    <w:rsid w:val="00041C6E"/>
    <w:rsid w:val="00041DE1"/>
    <w:rsid w:val="00042C00"/>
    <w:rsid w:val="000435A5"/>
    <w:rsid w:val="00043AD5"/>
    <w:rsid w:val="00044619"/>
    <w:rsid w:val="00044C9A"/>
    <w:rsid w:val="00044CF9"/>
    <w:rsid w:val="00044F41"/>
    <w:rsid w:val="00046600"/>
    <w:rsid w:val="00047132"/>
    <w:rsid w:val="00047C63"/>
    <w:rsid w:val="00047D5E"/>
    <w:rsid w:val="00047DDA"/>
    <w:rsid w:val="00047EC4"/>
    <w:rsid w:val="00047ED3"/>
    <w:rsid w:val="00050658"/>
    <w:rsid w:val="00050E78"/>
    <w:rsid w:val="00050EE8"/>
    <w:rsid w:val="00050FB6"/>
    <w:rsid w:val="000513C7"/>
    <w:rsid w:val="00051D51"/>
    <w:rsid w:val="0005223D"/>
    <w:rsid w:val="00053AC9"/>
    <w:rsid w:val="00054575"/>
    <w:rsid w:val="00054955"/>
    <w:rsid w:val="000549A2"/>
    <w:rsid w:val="00054D55"/>
    <w:rsid w:val="00054E40"/>
    <w:rsid w:val="0005578B"/>
    <w:rsid w:val="0005604E"/>
    <w:rsid w:val="0005609A"/>
    <w:rsid w:val="00056B5B"/>
    <w:rsid w:val="00056C8C"/>
    <w:rsid w:val="00056F85"/>
    <w:rsid w:val="00057296"/>
    <w:rsid w:val="0005765D"/>
    <w:rsid w:val="00057C73"/>
    <w:rsid w:val="00057D06"/>
    <w:rsid w:val="00057E1B"/>
    <w:rsid w:val="00060D2B"/>
    <w:rsid w:val="00061236"/>
    <w:rsid w:val="000626A7"/>
    <w:rsid w:val="00062E26"/>
    <w:rsid w:val="00062EA5"/>
    <w:rsid w:val="00062F24"/>
    <w:rsid w:val="0006300E"/>
    <w:rsid w:val="000638E8"/>
    <w:rsid w:val="00063D92"/>
    <w:rsid w:val="0006402D"/>
    <w:rsid w:val="000641EB"/>
    <w:rsid w:val="00064233"/>
    <w:rsid w:val="00064640"/>
    <w:rsid w:val="00064EDE"/>
    <w:rsid w:val="00064FDD"/>
    <w:rsid w:val="00065DF3"/>
    <w:rsid w:val="0006676C"/>
    <w:rsid w:val="0006677D"/>
    <w:rsid w:val="0006681D"/>
    <w:rsid w:val="00066B38"/>
    <w:rsid w:val="00067828"/>
    <w:rsid w:val="000708BD"/>
    <w:rsid w:val="00070974"/>
    <w:rsid w:val="00070D84"/>
    <w:rsid w:val="00070DF2"/>
    <w:rsid w:val="0007178E"/>
    <w:rsid w:val="00072081"/>
    <w:rsid w:val="000724E0"/>
    <w:rsid w:val="00072EC3"/>
    <w:rsid w:val="00073588"/>
    <w:rsid w:val="00073EA1"/>
    <w:rsid w:val="0007410A"/>
    <w:rsid w:val="000750E0"/>
    <w:rsid w:val="0007529B"/>
    <w:rsid w:val="0007542F"/>
    <w:rsid w:val="00075ACF"/>
    <w:rsid w:val="00075D5E"/>
    <w:rsid w:val="00075F3E"/>
    <w:rsid w:val="000762B0"/>
    <w:rsid w:val="000765FD"/>
    <w:rsid w:val="00077507"/>
    <w:rsid w:val="0008036C"/>
    <w:rsid w:val="0008039F"/>
    <w:rsid w:val="000807A7"/>
    <w:rsid w:val="00080A69"/>
    <w:rsid w:val="00080CD8"/>
    <w:rsid w:val="000811F9"/>
    <w:rsid w:val="00081BBB"/>
    <w:rsid w:val="0008224B"/>
    <w:rsid w:val="00083C1F"/>
    <w:rsid w:val="00083CEC"/>
    <w:rsid w:val="00084C77"/>
    <w:rsid w:val="00085480"/>
    <w:rsid w:val="000858EB"/>
    <w:rsid w:val="00085980"/>
    <w:rsid w:val="00085C96"/>
    <w:rsid w:val="00086599"/>
    <w:rsid w:val="000872FB"/>
    <w:rsid w:val="0008750B"/>
    <w:rsid w:val="0008750D"/>
    <w:rsid w:val="00087A06"/>
    <w:rsid w:val="00090144"/>
    <w:rsid w:val="00090D0F"/>
    <w:rsid w:val="000910BA"/>
    <w:rsid w:val="00091205"/>
    <w:rsid w:val="00091C45"/>
    <w:rsid w:val="00091CB2"/>
    <w:rsid w:val="00092288"/>
    <w:rsid w:val="00092E0D"/>
    <w:rsid w:val="00092F10"/>
    <w:rsid w:val="00093CD2"/>
    <w:rsid w:val="00094498"/>
    <w:rsid w:val="0009463B"/>
    <w:rsid w:val="0009476B"/>
    <w:rsid w:val="000947AE"/>
    <w:rsid w:val="00094E6D"/>
    <w:rsid w:val="00094FA8"/>
    <w:rsid w:val="00094FAA"/>
    <w:rsid w:val="00095310"/>
    <w:rsid w:val="00095E5D"/>
    <w:rsid w:val="0009683F"/>
    <w:rsid w:val="0009698F"/>
    <w:rsid w:val="0009758E"/>
    <w:rsid w:val="00097775"/>
    <w:rsid w:val="00097BB2"/>
    <w:rsid w:val="00097F35"/>
    <w:rsid w:val="000A0088"/>
    <w:rsid w:val="000A0CE4"/>
    <w:rsid w:val="000A1101"/>
    <w:rsid w:val="000A1189"/>
    <w:rsid w:val="000A1773"/>
    <w:rsid w:val="000A195A"/>
    <w:rsid w:val="000A24F9"/>
    <w:rsid w:val="000A31B4"/>
    <w:rsid w:val="000A347E"/>
    <w:rsid w:val="000A37D8"/>
    <w:rsid w:val="000A3850"/>
    <w:rsid w:val="000A3B84"/>
    <w:rsid w:val="000A3DA1"/>
    <w:rsid w:val="000A422F"/>
    <w:rsid w:val="000A57D2"/>
    <w:rsid w:val="000A69F1"/>
    <w:rsid w:val="000A6D0E"/>
    <w:rsid w:val="000A6DFB"/>
    <w:rsid w:val="000B0DF0"/>
    <w:rsid w:val="000B0E0F"/>
    <w:rsid w:val="000B1042"/>
    <w:rsid w:val="000B187E"/>
    <w:rsid w:val="000B1953"/>
    <w:rsid w:val="000B1A55"/>
    <w:rsid w:val="000B2051"/>
    <w:rsid w:val="000B25D5"/>
    <w:rsid w:val="000B2AC6"/>
    <w:rsid w:val="000B2C1A"/>
    <w:rsid w:val="000B2E3B"/>
    <w:rsid w:val="000B2E5A"/>
    <w:rsid w:val="000B337B"/>
    <w:rsid w:val="000B37EF"/>
    <w:rsid w:val="000B4B37"/>
    <w:rsid w:val="000B56D0"/>
    <w:rsid w:val="000B5C1B"/>
    <w:rsid w:val="000B5D4F"/>
    <w:rsid w:val="000B5E99"/>
    <w:rsid w:val="000B6C1A"/>
    <w:rsid w:val="000B6CFA"/>
    <w:rsid w:val="000B6E2D"/>
    <w:rsid w:val="000B70FD"/>
    <w:rsid w:val="000B7634"/>
    <w:rsid w:val="000B77A3"/>
    <w:rsid w:val="000C0979"/>
    <w:rsid w:val="000C0DB3"/>
    <w:rsid w:val="000C0FDD"/>
    <w:rsid w:val="000C131E"/>
    <w:rsid w:val="000C1583"/>
    <w:rsid w:val="000C1B37"/>
    <w:rsid w:val="000C2137"/>
    <w:rsid w:val="000C2264"/>
    <w:rsid w:val="000C2CF7"/>
    <w:rsid w:val="000C3911"/>
    <w:rsid w:val="000C50C2"/>
    <w:rsid w:val="000C6A96"/>
    <w:rsid w:val="000C6AFE"/>
    <w:rsid w:val="000C76EA"/>
    <w:rsid w:val="000D0AED"/>
    <w:rsid w:val="000D0C8C"/>
    <w:rsid w:val="000D0DE5"/>
    <w:rsid w:val="000D29CF"/>
    <w:rsid w:val="000D2F51"/>
    <w:rsid w:val="000D33D7"/>
    <w:rsid w:val="000D39A7"/>
    <w:rsid w:val="000D4704"/>
    <w:rsid w:val="000D49DE"/>
    <w:rsid w:val="000D4C63"/>
    <w:rsid w:val="000D4F4A"/>
    <w:rsid w:val="000D5335"/>
    <w:rsid w:val="000D539F"/>
    <w:rsid w:val="000D5DE8"/>
    <w:rsid w:val="000D62BA"/>
    <w:rsid w:val="000D67A5"/>
    <w:rsid w:val="000D6ABE"/>
    <w:rsid w:val="000D72E2"/>
    <w:rsid w:val="000D75D7"/>
    <w:rsid w:val="000D76B5"/>
    <w:rsid w:val="000E0333"/>
    <w:rsid w:val="000E0C6E"/>
    <w:rsid w:val="000E0D22"/>
    <w:rsid w:val="000E12CA"/>
    <w:rsid w:val="000E14B9"/>
    <w:rsid w:val="000E1B63"/>
    <w:rsid w:val="000E2008"/>
    <w:rsid w:val="000E2ED5"/>
    <w:rsid w:val="000E368C"/>
    <w:rsid w:val="000E3854"/>
    <w:rsid w:val="000E3A10"/>
    <w:rsid w:val="000E46B4"/>
    <w:rsid w:val="000E4816"/>
    <w:rsid w:val="000E4BF9"/>
    <w:rsid w:val="000E4EF9"/>
    <w:rsid w:val="000E4FE9"/>
    <w:rsid w:val="000E5557"/>
    <w:rsid w:val="000E639C"/>
    <w:rsid w:val="000E651D"/>
    <w:rsid w:val="000E6568"/>
    <w:rsid w:val="000E69F3"/>
    <w:rsid w:val="000E7DA0"/>
    <w:rsid w:val="000E7FBE"/>
    <w:rsid w:val="000F01DC"/>
    <w:rsid w:val="000F05DA"/>
    <w:rsid w:val="000F0B6B"/>
    <w:rsid w:val="000F0E26"/>
    <w:rsid w:val="000F0F6B"/>
    <w:rsid w:val="000F1EAD"/>
    <w:rsid w:val="000F2687"/>
    <w:rsid w:val="000F2AE9"/>
    <w:rsid w:val="000F2DC9"/>
    <w:rsid w:val="000F3144"/>
    <w:rsid w:val="000F55CB"/>
    <w:rsid w:val="000F5E81"/>
    <w:rsid w:val="000F614C"/>
    <w:rsid w:val="000F6A3F"/>
    <w:rsid w:val="000F6A4F"/>
    <w:rsid w:val="000F6CBC"/>
    <w:rsid w:val="000F6E9C"/>
    <w:rsid w:val="000F6F07"/>
    <w:rsid w:val="000F6F56"/>
    <w:rsid w:val="000F7BD8"/>
    <w:rsid w:val="0010085D"/>
    <w:rsid w:val="00100B57"/>
    <w:rsid w:val="00100DF7"/>
    <w:rsid w:val="001016E7"/>
    <w:rsid w:val="001035ED"/>
    <w:rsid w:val="0010389A"/>
    <w:rsid w:val="001042FB"/>
    <w:rsid w:val="00105363"/>
    <w:rsid w:val="0010557C"/>
    <w:rsid w:val="001057C1"/>
    <w:rsid w:val="00105BEB"/>
    <w:rsid w:val="001060E2"/>
    <w:rsid w:val="001065B4"/>
    <w:rsid w:val="001067FD"/>
    <w:rsid w:val="0010684D"/>
    <w:rsid w:val="00106926"/>
    <w:rsid w:val="001069C0"/>
    <w:rsid w:val="00106A27"/>
    <w:rsid w:val="00106B61"/>
    <w:rsid w:val="001073D6"/>
    <w:rsid w:val="00110078"/>
    <w:rsid w:val="00110293"/>
    <w:rsid w:val="001113FB"/>
    <w:rsid w:val="0011157C"/>
    <w:rsid w:val="00111878"/>
    <w:rsid w:val="00112165"/>
    <w:rsid w:val="001126CB"/>
    <w:rsid w:val="00112702"/>
    <w:rsid w:val="00112B80"/>
    <w:rsid w:val="001151CC"/>
    <w:rsid w:val="00115206"/>
    <w:rsid w:val="0011551D"/>
    <w:rsid w:val="001167FD"/>
    <w:rsid w:val="00116813"/>
    <w:rsid w:val="00116B59"/>
    <w:rsid w:val="001172F0"/>
    <w:rsid w:val="00117364"/>
    <w:rsid w:val="001177AE"/>
    <w:rsid w:val="0011785F"/>
    <w:rsid w:val="00117892"/>
    <w:rsid w:val="001209A7"/>
    <w:rsid w:val="001209B0"/>
    <w:rsid w:val="00121A24"/>
    <w:rsid w:val="00121C2E"/>
    <w:rsid w:val="0012283B"/>
    <w:rsid w:val="001229C8"/>
    <w:rsid w:val="00123148"/>
    <w:rsid w:val="00123C93"/>
    <w:rsid w:val="00124585"/>
    <w:rsid w:val="001247AB"/>
    <w:rsid w:val="00124D27"/>
    <w:rsid w:val="00127043"/>
    <w:rsid w:val="00127541"/>
    <w:rsid w:val="00127A75"/>
    <w:rsid w:val="00127E3A"/>
    <w:rsid w:val="0013053C"/>
    <w:rsid w:val="00131392"/>
    <w:rsid w:val="00131D5A"/>
    <w:rsid w:val="001323B1"/>
    <w:rsid w:val="0013281C"/>
    <w:rsid w:val="001330B9"/>
    <w:rsid w:val="0013358D"/>
    <w:rsid w:val="001342BC"/>
    <w:rsid w:val="00134AD2"/>
    <w:rsid w:val="00134CA9"/>
    <w:rsid w:val="0013556F"/>
    <w:rsid w:val="001357B7"/>
    <w:rsid w:val="0013592D"/>
    <w:rsid w:val="001360A2"/>
    <w:rsid w:val="00136C37"/>
    <w:rsid w:val="0013728A"/>
    <w:rsid w:val="00137547"/>
    <w:rsid w:val="00137E1E"/>
    <w:rsid w:val="0014078B"/>
    <w:rsid w:val="00141183"/>
    <w:rsid w:val="00141F45"/>
    <w:rsid w:val="0014346B"/>
    <w:rsid w:val="00143560"/>
    <w:rsid w:val="00143698"/>
    <w:rsid w:val="00143CD2"/>
    <w:rsid w:val="00143F05"/>
    <w:rsid w:val="001442AE"/>
    <w:rsid w:val="001447BC"/>
    <w:rsid w:val="001450E9"/>
    <w:rsid w:val="00146295"/>
    <w:rsid w:val="0014688B"/>
    <w:rsid w:val="00146A5A"/>
    <w:rsid w:val="00146BDC"/>
    <w:rsid w:val="00146F98"/>
    <w:rsid w:val="00146FAE"/>
    <w:rsid w:val="00147E41"/>
    <w:rsid w:val="00147E8C"/>
    <w:rsid w:val="00147F73"/>
    <w:rsid w:val="00150586"/>
    <w:rsid w:val="001507D5"/>
    <w:rsid w:val="00150FA2"/>
    <w:rsid w:val="00150FC0"/>
    <w:rsid w:val="0015104D"/>
    <w:rsid w:val="00151269"/>
    <w:rsid w:val="001516E9"/>
    <w:rsid w:val="00151B3A"/>
    <w:rsid w:val="0015230C"/>
    <w:rsid w:val="00152D76"/>
    <w:rsid w:val="00152E22"/>
    <w:rsid w:val="00153B80"/>
    <w:rsid w:val="001546D1"/>
    <w:rsid w:val="00154A25"/>
    <w:rsid w:val="00154A87"/>
    <w:rsid w:val="00155124"/>
    <w:rsid w:val="00155457"/>
    <w:rsid w:val="00155A2D"/>
    <w:rsid w:val="00157159"/>
    <w:rsid w:val="00157BB7"/>
    <w:rsid w:val="0016016B"/>
    <w:rsid w:val="001602EE"/>
    <w:rsid w:val="00160347"/>
    <w:rsid w:val="00160663"/>
    <w:rsid w:val="00160F6E"/>
    <w:rsid w:val="00161053"/>
    <w:rsid w:val="001612D4"/>
    <w:rsid w:val="00161EF2"/>
    <w:rsid w:val="00161FC4"/>
    <w:rsid w:val="001624FA"/>
    <w:rsid w:val="001628BB"/>
    <w:rsid w:val="001631EC"/>
    <w:rsid w:val="00164425"/>
    <w:rsid w:val="001656CA"/>
    <w:rsid w:val="0016584B"/>
    <w:rsid w:val="00165D82"/>
    <w:rsid w:val="0016629E"/>
    <w:rsid w:val="00166598"/>
    <w:rsid w:val="00166684"/>
    <w:rsid w:val="00166699"/>
    <w:rsid w:val="00166ECA"/>
    <w:rsid w:val="0016742C"/>
    <w:rsid w:val="00167B0A"/>
    <w:rsid w:val="00170551"/>
    <w:rsid w:val="00170902"/>
    <w:rsid w:val="00171A6F"/>
    <w:rsid w:val="00171AE7"/>
    <w:rsid w:val="00171C40"/>
    <w:rsid w:val="00171DD5"/>
    <w:rsid w:val="00172194"/>
    <w:rsid w:val="00172226"/>
    <w:rsid w:val="00172583"/>
    <w:rsid w:val="001729E5"/>
    <w:rsid w:val="00172EF7"/>
    <w:rsid w:val="00173070"/>
    <w:rsid w:val="001738DE"/>
    <w:rsid w:val="0017476E"/>
    <w:rsid w:val="00174979"/>
    <w:rsid w:val="00174B00"/>
    <w:rsid w:val="00174C38"/>
    <w:rsid w:val="00175781"/>
    <w:rsid w:val="001759D5"/>
    <w:rsid w:val="00175DF3"/>
    <w:rsid w:val="00175E08"/>
    <w:rsid w:val="001760D2"/>
    <w:rsid w:val="001778AB"/>
    <w:rsid w:val="00177E14"/>
    <w:rsid w:val="00177E4F"/>
    <w:rsid w:val="001804C7"/>
    <w:rsid w:val="001805DF"/>
    <w:rsid w:val="00180824"/>
    <w:rsid w:val="0018098F"/>
    <w:rsid w:val="00180D80"/>
    <w:rsid w:val="00181499"/>
    <w:rsid w:val="00181D57"/>
    <w:rsid w:val="001824F5"/>
    <w:rsid w:val="00182747"/>
    <w:rsid w:val="0018295A"/>
    <w:rsid w:val="00182A08"/>
    <w:rsid w:val="00182AB3"/>
    <w:rsid w:val="001835B5"/>
    <w:rsid w:val="00183B72"/>
    <w:rsid w:val="0018462E"/>
    <w:rsid w:val="00184AC1"/>
    <w:rsid w:val="00184DE9"/>
    <w:rsid w:val="001850C4"/>
    <w:rsid w:val="00185D49"/>
    <w:rsid w:val="001866D7"/>
    <w:rsid w:val="001867F0"/>
    <w:rsid w:val="00186817"/>
    <w:rsid w:val="00186CC0"/>
    <w:rsid w:val="00187FA9"/>
    <w:rsid w:val="00190347"/>
    <w:rsid w:val="001903BD"/>
    <w:rsid w:val="00190FE0"/>
    <w:rsid w:val="0019193A"/>
    <w:rsid w:val="0019237E"/>
    <w:rsid w:val="00192A5B"/>
    <w:rsid w:val="00193354"/>
    <w:rsid w:val="00193929"/>
    <w:rsid w:val="00194E64"/>
    <w:rsid w:val="00195936"/>
    <w:rsid w:val="00196271"/>
    <w:rsid w:val="001968FD"/>
    <w:rsid w:val="00196A9F"/>
    <w:rsid w:val="00196AB3"/>
    <w:rsid w:val="00196E65"/>
    <w:rsid w:val="00197174"/>
    <w:rsid w:val="00197452"/>
    <w:rsid w:val="001A0B4B"/>
    <w:rsid w:val="001A15DC"/>
    <w:rsid w:val="001A187C"/>
    <w:rsid w:val="001A1A0E"/>
    <w:rsid w:val="001A1CF7"/>
    <w:rsid w:val="001A1D7D"/>
    <w:rsid w:val="001A1E85"/>
    <w:rsid w:val="001A2DCD"/>
    <w:rsid w:val="001A3228"/>
    <w:rsid w:val="001A3AE4"/>
    <w:rsid w:val="001A3BDC"/>
    <w:rsid w:val="001A4089"/>
    <w:rsid w:val="001A48F2"/>
    <w:rsid w:val="001A4E4C"/>
    <w:rsid w:val="001A6343"/>
    <w:rsid w:val="001A6968"/>
    <w:rsid w:val="001A6AD7"/>
    <w:rsid w:val="001A6B78"/>
    <w:rsid w:val="001A735D"/>
    <w:rsid w:val="001A747D"/>
    <w:rsid w:val="001A7B67"/>
    <w:rsid w:val="001A7CE6"/>
    <w:rsid w:val="001A7D0B"/>
    <w:rsid w:val="001B043D"/>
    <w:rsid w:val="001B05F5"/>
    <w:rsid w:val="001B0FB6"/>
    <w:rsid w:val="001B11A6"/>
    <w:rsid w:val="001B14E5"/>
    <w:rsid w:val="001B16A7"/>
    <w:rsid w:val="001B1C7C"/>
    <w:rsid w:val="001B2972"/>
    <w:rsid w:val="001B318D"/>
    <w:rsid w:val="001B3738"/>
    <w:rsid w:val="001B3BB1"/>
    <w:rsid w:val="001B40BE"/>
    <w:rsid w:val="001B569E"/>
    <w:rsid w:val="001B5E7F"/>
    <w:rsid w:val="001B6112"/>
    <w:rsid w:val="001B687E"/>
    <w:rsid w:val="001B695E"/>
    <w:rsid w:val="001B6ABD"/>
    <w:rsid w:val="001B7594"/>
    <w:rsid w:val="001B75D2"/>
    <w:rsid w:val="001B7E36"/>
    <w:rsid w:val="001C114E"/>
    <w:rsid w:val="001C154F"/>
    <w:rsid w:val="001C1711"/>
    <w:rsid w:val="001C1AE2"/>
    <w:rsid w:val="001C254D"/>
    <w:rsid w:val="001C33CF"/>
    <w:rsid w:val="001C41E0"/>
    <w:rsid w:val="001C4703"/>
    <w:rsid w:val="001C47A3"/>
    <w:rsid w:val="001C47E7"/>
    <w:rsid w:val="001C47F4"/>
    <w:rsid w:val="001C48BE"/>
    <w:rsid w:val="001C4964"/>
    <w:rsid w:val="001C4E6B"/>
    <w:rsid w:val="001C60CE"/>
    <w:rsid w:val="001C6533"/>
    <w:rsid w:val="001C654E"/>
    <w:rsid w:val="001C66E3"/>
    <w:rsid w:val="001C68F9"/>
    <w:rsid w:val="001C6A41"/>
    <w:rsid w:val="001C763A"/>
    <w:rsid w:val="001C7770"/>
    <w:rsid w:val="001C7E76"/>
    <w:rsid w:val="001C7F9C"/>
    <w:rsid w:val="001D035B"/>
    <w:rsid w:val="001D093B"/>
    <w:rsid w:val="001D0BCF"/>
    <w:rsid w:val="001D0C53"/>
    <w:rsid w:val="001D3BE0"/>
    <w:rsid w:val="001D4AD0"/>
    <w:rsid w:val="001D58AA"/>
    <w:rsid w:val="001D5A4C"/>
    <w:rsid w:val="001D5ACC"/>
    <w:rsid w:val="001D62DB"/>
    <w:rsid w:val="001D63C1"/>
    <w:rsid w:val="001D6617"/>
    <w:rsid w:val="001D6E01"/>
    <w:rsid w:val="001D71AD"/>
    <w:rsid w:val="001D760F"/>
    <w:rsid w:val="001D782F"/>
    <w:rsid w:val="001D787F"/>
    <w:rsid w:val="001D79F3"/>
    <w:rsid w:val="001E01A5"/>
    <w:rsid w:val="001E09D2"/>
    <w:rsid w:val="001E0FDA"/>
    <w:rsid w:val="001E112F"/>
    <w:rsid w:val="001E3126"/>
    <w:rsid w:val="001E35DE"/>
    <w:rsid w:val="001E3EAB"/>
    <w:rsid w:val="001E4059"/>
    <w:rsid w:val="001E4473"/>
    <w:rsid w:val="001E449C"/>
    <w:rsid w:val="001E4643"/>
    <w:rsid w:val="001E4BBC"/>
    <w:rsid w:val="001E542A"/>
    <w:rsid w:val="001E58F9"/>
    <w:rsid w:val="001E6EBD"/>
    <w:rsid w:val="001E71B7"/>
    <w:rsid w:val="001F09B8"/>
    <w:rsid w:val="001F0BA1"/>
    <w:rsid w:val="001F1195"/>
    <w:rsid w:val="001F126E"/>
    <w:rsid w:val="001F1659"/>
    <w:rsid w:val="001F17D2"/>
    <w:rsid w:val="001F18C7"/>
    <w:rsid w:val="001F1B30"/>
    <w:rsid w:val="001F1B96"/>
    <w:rsid w:val="001F261A"/>
    <w:rsid w:val="001F2DAC"/>
    <w:rsid w:val="001F2F42"/>
    <w:rsid w:val="001F31C1"/>
    <w:rsid w:val="001F4296"/>
    <w:rsid w:val="001F42DC"/>
    <w:rsid w:val="001F436D"/>
    <w:rsid w:val="001F4D2F"/>
    <w:rsid w:val="001F4ED2"/>
    <w:rsid w:val="001F691E"/>
    <w:rsid w:val="001F6B63"/>
    <w:rsid w:val="001F6D81"/>
    <w:rsid w:val="001F7086"/>
    <w:rsid w:val="002001C0"/>
    <w:rsid w:val="00200539"/>
    <w:rsid w:val="0020062A"/>
    <w:rsid w:val="00200675"/>
    <w:rsid w:val="00200C84"/>
    <w:rsid w:val="00201D80"/>
    <w:rsid w:val="00201D9C"/>
    <w:rsid w:val="002025F7"/>
    <w:rsid w:val="00202AA3"/>
    <w:rsid w:val="00203A2A"/>
    <w:rsid w:val="002040D9"/>
    <w:rsid w:val="00205096"/>
    <w:rsid w:val="0020514A"/>
    <w:rsid w:val="00205A86"/>
    <w:rsid w:val="00205B04"/>
    <w:rsid w:val="00205D8E"/>
    <w:rsid w:val="002065D7"/>
    <w:rsid w:val="002066C8"/>
    <w:rsid w:val="00206845"/>
    <w:rsid w:val="00206944"/>
    <w:rsid w:val="0020762B"/>
    <w:rsid w:val="00207A85"/>
    <w:rsid w:val="00207DA5"/>
    <w:rsid w:val="00207EE1"/>
    <w:rsid w:val="0021075E"/>
    <w:rsid w:val="00210C3B"/>
    <w:rsid w:val="00210CDD"/>
    <w:rsid w:val="00210DA5"/>
    <w:rsid w:val="00210F75"/>
    <w:rsid w:val="00211AB2"/>
    <w:rsid w:val="00211E5D"/>
    <w:rsid w:val="002121EF"/>
    <w:rsid w:val="00212218"/>
    <w:rsid w:val="00213DEB"/>
    <w:rsid w:val="00214224"/>
    <w:rsid w:val="00214850"/>
    <w:rsid w:val="0021629A"/>
    <w:rsid w:val="002162BB"/>
    <w:rsid w:val="002167FF"/>
    <w:rsid w:val="002176E3"/>
    <w:rsid w:val="00217A15"/>
    <w:rsid w:val="00217E1E"/>
    <w:rsid w:val="0022029F"/>
    <w:rsid w:val="00220BB0"/>
    <w:rsid w:val="00220D86"/>
    <w:rsid w:val="00220DFC"/>
    <w:rsid w:val="00222889"/>
    <w:rsid w:val="00222FAE"/>
    <w:rsid w:val="002230AD"/>
    <w:rsid w:val="002237E3"/>
    <w:rsid w:val="00223A29"/>
    <w:rsid w:val="00223AD0"/>
    <w:rsid w:val="00223C3A"/>
    <w:rsid w:val="00223D74"/>
    <w:rsid w:val="00224389"/>
    <w:rsid w:val="002251E6"/>
    <w:rsid w:val="00225BF1"/>
    <w:rsid w:val="00225CF2"/>
    <w:rsid w:val="002268F0"/>
    <w:rsid w:val="00226B28"/>
    <w:rsid w:val="00226BD9"/>
    <w:rsid w:val="00227151"/>
    <w:rsid w:val="00227348"/>
    <w:rsid w:val="00227F42"/>
    <w:rsid w:val="002310FC"/>
    <w:rsid w:val="002311FC"/>
    <w:rsid w:val="00231598"/>
    <w:rsid w:val="002316DB"/>
    <w:rsid w:val="00231A24"/>
    <w:rsid w:val="00232726"/>
    <w:rsid w:val="00233127"/>
    <w:rsid w:val="00233D07"/>
    <w:rsid w:val="002349A8"/>
    <w:rsid w:val="00234A94"/>
    <w:rsid w:val="00234C5C"/>
    <w:rsid w:val="00234ED3"/>
    <w:rsid w:val="002356C9"/>
    <w:rsid w:val="00235E3F"/>
    <w:rsid w:val="00235FD2"/>
    <w:rsid w:val="00236489"/>
    <w:rsid w:val="00236D91"/>
    <w:rsid w:val="00237FB2"/>
    <w:rsid w:val="00237FEA"/>
    <w:rsid w:val="00240095"/>
    <w:rsid w:val="002400C4"/>
    <w:rsid w:val="00240571"/>
    <w:rsid w:val="00241BD9"/>
    <w:rsid w:val="00241CEF"/>
    <w:rsid w:val="00241DFC"/>
    <w:rsid w:val="0024205E"/>
    <w:rsid w:val="00242556"/>
    <w:rsid w:val="00243872"/>
    <w:rsid w:val="002455AA"/>
    <w:rsid w:val="002457AA"/>
    <w:rsid w:val="002459FD"/>
    <w:rsid w:val="00246135"/>
    <w:rsid w:val="00246B78"/>
    <w:rsid w:val="00246C2D"/>
    <w:rsid w:val="00247E70"/>
    <w:rsid w:val="002507C5"/>
    <w:rsid w:val="002509C6"/>
    <w:rsid w:val="00251D2C"/>
    <w:rsid w:val="00252404"/>
    <w:rsid w:val="002534D0"/>
    <w:rsid w:val="00253D93"/>
    <w:rsid w:val="00254297"/>
    <w:rsid w:val="00254494"/>
    <w:rsid w:val="002547B5"/>
    <w:rsid w:val="00254F21"/>
    <w:rsid w:val="00255038"/>
    <w:rsid w:val="00255D33"/>
    <w:rsid w:val="00256731"/>
    <w:rsid w:val="002567B5"/>
    <w:rsid w:val="002578D6"/>
    <w:rsid w:val="00260421"/>
    <w:rsid w:val="0026114D"/>
    <w:rsid w:val="0026166F"/>
    <w:rsid w:val="00261F26"/>
    <w:rsid w:val="00262266"/>
    <w:rsid w:val="00262CDB"/>
    <w:rsid w:val="00263247"/>
    <w:rsid w:val="00263C58"/>
    <w:rsid w:val="00264EE6"/>
    <w:rsid w:val="0026523A"/>
    <w:rsid w:val="002656B6"/>
    <w:rsid w:val="002658A6"/>
    <w:rsid w:val="00265BB3"/>
    <w:rsid w:val="00265EEB"/>
    <w:rsid w:val="002673B9"/>
    <w:rsid w:val="002677E4"/>
    <w:rsid w:val="00270CD0"/>
    <w:rsid w:val="00270F0D"/>
    <w:rsid w:val="0027112E"/>
    <w:rsid w:val="0027148F"/>
    <w:rsid w:val="00271C40"/>
    <w:rsid w:val="00271E07"/>
    <w:rsid w:val="00272094"/>
    <w:rsid w:val="00273857"/>
    <w:rsid w:val="00273D0D"/>
    <w:rsid w:val="002742D8"/>
    <w:rsid w:val="00274C7C"/>
    <w:rsid w:val="00275200"/>
    <w:rsid w:val="00275540"/>
    <w:rsid w:val="00275595"/>
    <w:rsid w:val="00275654"/>
    <w:rsid w:val="00275F44"/>
    <w:rsid w:val="00276500"/>
    <w:rsid w:val="00276C22"/>
    <w:rsid w:val="00276EB3"/>
    <w:rsid w:val="0028046D"/>
    <w:rsid w:val="00280A31"/>
    <w:rsid w:val="00281A98"/>
    <w:rsid w:val="002822F0"/>
    <w:rsid w:val="00282358"/>
    <w:rsid w:val="002827DE"/>
    <w:rsid w:val="00282801"/>
    <w:rsid w:val="00283089"/>
    <w:rsid w:val="00283502"/>
    <w:rsid w:val="00283A54"/>
    <w:rsid w:val="00284775"/>
    <w:rsid w:val="00284A18"/>
    <w:rsid w:val="00284E53"/>
    <w:rsid w:val="00285F17"/>
    <w:rsid w:val="00286072"/>
    <w:rsid w:val="002860CC"/>
    <w:rsid w:val="00286274"/>
    <w:rsid w:val="0028662E"/>
    <w:rsid w:val="002868EB"/>
    <w:rsid w:val="0028695C"/>
    <w:rsid w:val="00286977"/>
    <w:rsid w:val="00286E2B"/>
    <w:rsid w:val="0028749D"/>
    <w:rsid w:val="002905DD"/>
    <w:rsid w:val="002905FD"/>
    <w:rsid w:val="00290A94"/>
    <w:rsid w:val="0029142C"/>
    <w:rsid w:val="002914D4"/>
    <w:rsid w:val="00291540"/>
    <w:rsid w:val="00291C45"/>
    <w:rsid w:val="002920A0"/>
    <w:rsid w:val="00292A93"/>
    <w:rsid w:val="00292D95"/>
    <w:rsid w:val="00292EBB"/>
    <w:rsid w:val="00293748"/>
    <w:rsid w:val="00293E18"/>
    <w:rsid w:val="002945B1"/>
    <w:rsid w:val="00294943"/>
    <w:rsid w:val="00294D43"/>
    <w:rsid w:val="00295BD5"/>
    <w:rsid w:val="002960A6"/>
    <w:rsid w:val="0029667F"/>
    <w:rsid w:val="00297A88"/>
    <w:rsid w:val="002A02FF"/>
    <w:rsid w:val="002A0ABE"/>
    <w:rsid w:val="002A0D24"/>
    <w:rsid w:val="002A13B5"/>
    <w:rsid w:val="002A1450"/>
    <w:rsid w:val="002A17C3"/>
    <w:rsid w:val="002A186D"/>
    <w:rsid w:val="002A1F40"/>
    <w:rsid w:val="002A21B2"/>
    <w:rsid w:val="002A2214"/>
    <w:rsid w:val="002A2363"/>
    <w:rsid w:val="002A26C0"/>
    <w:rsid w:val="002A2B56"/>
    <w:rsid w:val="002A2CB8"/>
    <w:rsid w:val="002A4072"/>
    <w:rsid w:val="002A507C"/>
    <w:rsid w:val="002A534A"/>
    <w:rsid w:val="002A55F9"/>
    <w:rsid w:val="002A5633"/>
    <w:rsid w:val="002A59CF"/>
    <w:rsid w:val="002A6511"/>
    <w:rsid w:val="002A67ED"/>
    <w:rsid w:val="002A6AB0"/>
    <w:rsid w:val="002A6C8C"/>
    <w:rsid w:val="002A75A3"/>
    <w:rsid w:val="002A7978"/>
    <w:rsid w:val="002B0033"/>
    <w:rsid w:val="002B030A"/>
    <w:rsid w:val="002B09CE"/>
    <w:rsid w:val="002B0A6E"/>
    <w:rsid w:val="002B0B09"/>
    <w:rsid w:val="002B0B4B"/>
    <w:rsid w:val="002B1A53"/>
    <w:rsid w:val="002B2F4D"/>
    <w:rsid w:val="002B314D"/>
    <w:rsid w:val="002B3202"/>
    <w:rsid w:val="002B3405"/>
    <w:rsid w:val="002B35E1"/>
    <w:rsid w:val="002B3CF6"/>
    <w:rsid w:val="002B4243"/>
    <w:rsid w:val="002B42A6"/>
    <w:rsid w:val="002B4D06"/>
    <w:rsid w:val="002B4DB4"/>
    <w:rsid w:val="002B4FA5"/>
    <w:rsid w:val="002B5CEE"/>
    <w:rsid w:val="002B6659"/>
    <w:rsid w:val="002B6CA6"/>
    <w:rsid w:val="002B7494"/>
    <w:rsid w:val="002B7527"/>
    <w:rsid w:val="002B77C4"/>
    <w:rsid w:val="002B79EE"/>
    <w:rsid w:val="002B7B97"/>
    <w:rsid w:val="002C0B3D"/>
    <w:rsid w:val="002C0EEB"/>
    <w:rsid w:val="002C0F77"/>
    <w:rsid w:val="002C100C"/>
    <w:rsid w:val="002C1308"/>
    <w:rsid w:val="002C19F1"/>
    <w:rsid w:val="002C1E25"/>
    <w:rsid w:val="002C21F6"/>
    <w:rsid w:val="002C2976"/>
    <w:rsid w:val="002C411D"/>
    <w:rsid w:val="002C47D3"/>
    <w:rsid w:val="002C4F80"/>
    <w:rsid w:val="002C510B"/>
    <w:rsid w:val="002C6981"/>
    <w:rsid w:val="002C721E"/>
    <w:rsid w:val="002C7887"/>
    <w:rsid w:val="002D0006"/>
    <w:rsid w:val="002D0705"/>
    <w:rsid w:val="002D0B61"/>
    <w:rsid w:val="002D17DF"/>
    <w:rsid w:val="002D1B53"/>
    <w:rsid w:val="002D21DC"/>
    <w:rsid w:val="002D2921"/>
    <w:rsid w:val="002D29D1"/>
    <w:rsid w:val="002D2B41"/>
    <w:rsid w:val="002D2ED3"/>
    <w:rsid w:val="002D2FD1"/>
    <w:rsid w:val="002D36E6"/>
    <w:rsid w:val="002D3DA7"/>
    <w:rsid w:val="002D3DAF"/>
    <w:rsid w:val="002D3F1A"/>
    <w:rsid w:val="002D4151"/>
    <w:rsid w:val="002D46A2"/>
    <w:rsid w:val="002D4B55"/>
    <w:rsid w:val="002D516A"/>
    <w:rsid w:val="002D5D1C"/>
    <w:rsid w:val="002D6276"/>
    <w:rsid w:val="002D6495"/>
    <w:rsid w:val="002D64E3"/>
    <w:rsid w:val="002D671E"/>
    <w:rsid w:val="002D6762"/>
    <w:rsid w:val="002D7043"/>
    <w:rsid w:val="002D70C0"/>
    <w:rsid w:val="002D7121"/>
    <w:rsid w:val="002D751F"/>
    <w:rsid w:val="002D7DB2"/>
    <w:rsid w:val="002E0130"/>
    <w:rsid w:val="002E09B2"/>
    <w:rsid w:val="002E0F2E"/>
    <w:rsid w:val="002E0FA3"/>
    <w:rsid w:val="002E13B3"/>
    <w:rsid w:val="002E2241"/>
    <w:rsid w:val="002E259E"/>
    <w:rsid w:val="002E31CA"/>
    <w:rsid w:val="002E321B"/>
    <w:rsid w:val="002E42BF"/>
    <w:rsid w:val="002E49FC"/>
    <w:rsid w:val="002E4FCD"/>
    <w:rsid w:val="002E5871"/>
    <w:rsid w:val="002E58D7"/>
    <w:rsid w:val="002E5C8C"/>
    <w:rsid w:val="002E5E58"/>
    <w:rsid w:val="002E6191"/>
    <w:rsid w:val="002E6543"/>
    <w:rsid w:val="002E6CCE"/>
    <w:rsid w:val="002E6DD3"/>
    <w:rsid w:val="002E78E2"/>
    <w:rsid w:val="002F0076"/>
    <w:rsid w:val="002F101E"/>
    <w:rsid w:val="002F1CDF"/>
    <w:rsid w:val="002F1ECD"/>
    <w:rsid w:val="002F2720"/>
    <w:rsid w:val="002F2E88"/>
    <w:rsid w:val="002F2F57"/>
    <w:rsid w:val="002F394C"/>
    <w:rsid w:val="002F42EF"/>
    <w:rsid w:val="002F49F9"/>
    <w:rsid w:val="002F56A8"/>
    <w:rsid w:val="002F5FAE"/>
    <w:rsid w:val="002F60EF"/>
    <w:rsid w:val="002F676A"/>
    <w:rsid w:val="002F6BE0"/>
    <w:rsid w:val="002F748F"/>
    <w:rsid w:val="002F7A0C"/>
    <w:rsid w:val="00300BA9"/>
    <w:rsid w:val="00300D13"/>
    <w:rsid w:val="00301EB4"/>
    <w:rsid w:val="00302582"/>
    <w:rsid w:val="00302C9B"/>
    <w:rsid w:val="003031F9"/>
    <w:rsid w:val="0030320D"/>
    <w:rsid w:val="0030334F"/>
    <w:rsid w:val="00304BBE"/>
    <w:rsid w:val="00304C7C"/>
    <w:rsid w:val="003069B5"/>
    <w:rsid w:val="00306CDC"/>
    <w:rsid w:val="00306E98"/>
    <w:rsid w:val="00307472"/>
    <w:rsid w:val="003079E2"/>
    <w:rsid w:val="00310D1A"/>
    <w:rsid w:val="00310D5F"/>
    <w:rsid w:val="00310FC7"/>
    <w:rsid w:val="00311100"/>
    <w:rsid w:val="00311DCC"/>
    <w:rsid w:val="0031269B"/>
    <w:rsid w:val="00312A4E"/>
    <w:rsid w:val="003130E6"/>
    <w:rsid w:val="003139E9"/>
    <w:rsid w:val="00313C26"/>
    <w:rsid w:val="00314A9D"/>
    <w:rsid w:val="00314C71"/>
    <w:rsid w:val="00315329"/>
    <w:rsid w:val="00315532"/>
    <w:rsid w:val="00315AF2"/>
    <w:rsid w:val="0031605A"/>
    <w:rsid w:val="003161B9"/>
    <w:rsid w:val="003164E4"/>
    <w:rsid w:val="003167AB"/>
    <w:rsid w:val="00316DC9"/>
    <w:rsid w:val="00316F5B"/>
    <w:rsid w:val="00317204"/>
    <w:rsid w:val="0031779C"/>
    <w:rsid w:val="00317BB3"/>
    <w:rsid w:val="00317CF8"/>
    <w:rsid w:val="00317DE0"/>
    <w:rsid w:val="00317FC5"/>
    <w:rsid w:val="00320373"/>
    <w:rsid w:val="003208EE"/>
    <w:rsid w:val="00320A4D"/>
    <w:rsid w:val="00320C2F"/>
    <w:rsid w:val="003215EF"/>
    <w:rsid w:val="00321F30"/>
    <w:rsid w:val="0032212B"/>
    <w:rsid w:val="003221B0"/>
    <w:rsid w:val="00322957"/>
    <w:rsid w:val="00322CBA"/>
    <w:rsid w:val="00322D9C"/>
    <w:rsid w:val="00323364"/>
    <w:rsid w:val="003234EF"/>
    <w:rsid w:val="00323614"/>
    <w:rsid w:val="003239A7"/>
    <w:rsid w:val="00323FE7"/>
    <w:rsid w:val="003242CE"/>
    <w:rsid w:val="0032439C"/>
    <w:rsid w:val="00325314"/>
    <w:rsid w:val="003257EF"/>
    <w:rsid w:val="003263D7"/>
    <w:rsid w:val="0032670A"/>
    <w:rsid w:val="00326AE2"/>
    <w:rsid w:val="0032726B"/>
    <w:rsid w:val="003272E8"/>
    <w:rsid w:val="00330166"/>
    <w:rsid w:val="00330454"/>
    <w:rsid w:val="00330582"/>
    <w:rsid w:val="00330CD2"/>
    <w:rsid w:val="0033131E"/>
    <w:rsid w:val="003318F2"/>
    <w:rsid w:val="0033226F"/>
    <w:rsid w:val="00332369"/>
    <w:rsid w:val="00332C79"/>
    <w:rsid w:val="00333139"/>
    <w:rsid w:val="003336BC"/>
    <w:rsid w:val="0033372B"/>
    <w:rsid w:val="00333982"/>
    <w:rsid w:val="00334469"/>
    <w:rsid w:val="00334A54"/>
    <w:rsid w:val="003360D8"/>
    <w:rsid w:val="00336925"/>
    <w:rsid w:val="00336C02"/>
    <w:rsid w:val="0033796F"/>
    <w:rsid w:val="00340963"/>
    <w:rsid w:val="0034096E"/>
    <w:rsid w:val="003410C2"/>
    <w:rsid w:val="00341418"/>
    <w:rsid w:val="0034193A"/>
    <w:rsid w:val="00342760"/>
    <w:rsid w:val="0034331D"/>
    <w:rsid w:val="003433EF"/>
    <w:rsid w:val="00343415"/>
    <w:rsid w:val="0034676C"/>
    <w:rsid w:val="00346A06"/>
    <w:rsid w:val="00347466"/>
    <w:rsid w:val="0035037E"/>
    <w:rsid w:val="00350FD4"/>
    <w:rsid w:val="00351D73"/>
    <w:rsid w:val="00351E0F"/>
    <w:rsid w:val="00351F79"/>
    <w:rsid w:val="003520DB"/>
    <w:rsid w:val="0035296C"/>
    <w:rsid w:val="00353B10"/>
    <w:rsid w:val="003541E0"/>
    <w:rsid w:val="003547BE"/>
    <w:rsid w:val="00354CCA"/>
    <w:rsid w:val="003559F0"/>
    <w:rsid w:val="00355B1A"/>
    <w:rsid w:val="0035662B"/>
    <w:rsid w:val="00357293"/>
    <w:rsid w:val="003573AE"/>
    <w:rsid w:val="00360B33"/>
    <w:rsid w:val="00360DBD"/>
    <w:rsid w:val="00361500"/>
    <w:rsid w:val="00361848"/>
    <w:rsid w:val="00361C9A"/>
    <w:rsid w:val="00362345"/>
    <w:rsid w:val="003628CF"/>
    <w:rsid w:val="00362C6E"/>
    <w:rsid w:val="0036460E"/>
    <w:rsid w:val="00365541"/>
    <w:rsid w:val="003655BF"/>
    <w:rsid w:val="00365D07"/>
    <w:rsid w:val="003674D0"/>
    <w:rsid w:val="00367581"/>
    <w:rsid w:val="00367D65"/>
    <w:rsid w:val="00367EF6"/>
    <w:rsid w:val="00370066"/>
    <w:rsid w:val="003704B0"/>
    <w:rsid w:val="00370E07"/>
    <w:rsid w:val="00371599"/>
    <w:rsid w:val="00371A2F"/>
    <w:rsid w:val="00371B2E"/>
    <w:rsid w:val="00372C9D"/>
    <w:rsid w:val="00372ED1"/>
    <w:rsid w:val="00373120"/>
    <w:rsid w:val="00373426"/>
    <w:rsid w:val="00373C32"/>
    <w:rsid w:val="0037455E"/>
    <w:rsid w:val="003745F9"/>
    <w:rsid w:val="0037568D"/>
    <w:rsid w:val="003762A5"/>
    <w:rsid w:val="003763BF"/>
    <w:rsid w:val="00376678"/>
    <w:rsid w:val="00376938"/>
    <w:rsid w:val="00377A19"/>
    <w:rsid w:val="00377E56"/>
    <w:rsid w:val="003803CB"/>
    <w:rsid w:val="0038065F"/>
    <w:rsid w:val="0038079D"/>
    <w:rsid w:val="00380D1A"/>
    <w:rsid w:val="003812F7"/>
    <w:rsid w:val="00381D6E"/>
    <w:rsid w:val="00383647"/>
    <w:rsid w:val="00383AC8"/>
    <w:rsid w:val="0038423D"/>
    <w:rsid w:val="00384688"/>
    <w:rsid w:val="003850AD"/>
    <w:rsid w:val="00385436"/>
    <w:rsid w:val="003856B9"/>
    <w:rsid w:val="00385FF5"/>
    <w:rsid w:val="0038618F"/>
    <w:rsid w:val="00386191"/>
    <w:rsid w:val="00386463"/>
    <w:rsid w:val="00386C5D"/>
    <w:rsid w:val="003872A7"/>
    <w:rsid w:val="003907FE"/>
    <w:rsid w:val="00391689"/>
    <w:rsid w:val="0039185B"/>
    <w:rsid w:val="0039258E"/>
    <w:rsid w:val="003925EC"/>
    <w:rsid w:val="00392DAE"/>
    <w:rsid w:val="00393203"/>
    <w:rsid w:val="003936E3"/>
    <w:rsid w:val="003950CA"/>
    <w:rsid w:val="00395244"/>
    <w:rsid w:val="00395323"/>
    <w:rsid w:val="003961E0"/>
    <w:rsid w:val="00396396"/>
    <w:rsid w:val="00396397"/>
    <w:rsid w:val="003963CE"/>
    <w:rsid w:val="003968E8"/>
    <w:rsid w:val="00396AD5"/>
    <w:rsid w:val="00397A27"/>
    <w:rsid w:val="00397D0E"/>
    <w:rsid w:val="00397DAE"/>
    <w:rsid w:val="003A0837"/>
    <w:rsid w:val="003A0B3A"/>
    <w:rsid w:val="003A12B8"/>
    <w:rsid w:val="003A1579"/>
    <w:rsid w:val="003A1AC9"/>
    <w:rsid w:val="003A1F9E"/>
    <w:rsid w:val="003A3441"/>
    <w:rsid w:val="003A43CA"/>
    <w:rsid w:val="003A453B"/>
    <w:rsid w:val="003A465D"/>
    <w:rsid w:val="003A4FD5"/>
    <w:rsid w:val="003A551F"/>
    <w:rsid w:val="003A593B"/>
    <w:rsid w:val="003A7953"/>
    <w:rsid w:val="003B0146"/>
    <w:rsid w:val="003B0893"/>
    <w:rsid w:val="003B0C47"/>
    <w:rsid w:val="003B0E20"/>
    <w:rsid w:val="003B10C7"/>
    <w:rsid w:val="003B1FD2"/>
    <w:rsid w:val="003B20CE"/>
    <w:rsid w:val="003B2557"/>
    <w:rsid w:val="003B28EA"/>
    <w:rsid w:val="003B2FC5"/>
    <w:rsid w:val="003B3888"/>
    <w:rsid w:val="003B3C14"/>
    <w:rsid w:val="003B51F4"/>
    <w:rsid w:val="003B5937"/>
    <w:rsid w:val="003B5EF3"/>
    <w:rsid w:val="003B6AD0"/>
    <w:rsid w:val="003B6B28"/>
    <w:rsid w:val="003B7974"/>
    <w:rsid w:val="003B7B64"/>
    <w:rsid w:val="003C0757"/>
    <w:rsid w:val="003C07F3"/>
    <w:rsid w:val="003C08AD"/>
    <w:rsid w:val="003C0DEB"/>
    <w:rsid w:val="003C2B26"/>
    <w:rsid w:val="003C2CBA"/>
    <w:rsid w:val="003C3C18"/>
    <w:rsid w:val="003C42B8"/>
    <w:rsid w:val="003C4354"/>
    <w:rsid w:val="003C4903"/>
    <w:rsid w:val="003C56AF"/>
    <w:rsid w:val="003C674E"/>
    <w:rsid w:val="003C6A2A"/>
    <w:rsid w:val="003C6BF7"/>
    <w:rsid w:val="003C6DD3"/>
    <w:rsid w:val="003C727B"/>
    <w:rsid w:val="003D0324"/>
    <w:rsid w:val="003D08D1"/>
    <w:rsid w:val="003D10AA"/>
    <w:rsid w:val="003D1213"/>
    <w:rsid w:val="003D1CE9"/>
    <w:rsid w:val="003D1F07"/>
    <w:rsid w:val="003D2202"/>
    <w:rsid w:val="003D3CF8"/>
    <w:rsid w:val="003D4811"/>
    <w:rsid w:val="003D4E68"/>
    <w:rsid w:val="003D5277"/>
    <w:rsid w:val="003D5852"/>
    <w:rsid w:val="003D5BCD"/>
    <w:rsid w:val="003D62BF"/>
    <w:rsid w:val="003D70FE"/>
    <w:rsid w:val="003E0036"/>
    <w:rsid w:val="003E019F"/>
    <w:rsid w:val="003E0F99"/>
    <w:rsid w:val="003E13F6"/>
    <w:rsid w:val="003E2A76"/>
    <w:rsid w:val="003E2DB5"/>
    <w:rsid w:val="003E405D"/>
    <w:rsid w:val="003E41FC"/>
    <w:rsid w:val="003E5294"/>
    <w:rsid w:val="003E53BA"/>
    <w:rsid w:val="003E54E8"/>
    <w:rsid w:val="003E561B"/>
    <w:rsid w:val="003E5FC1"/>
    <w:rsid w:val="003E6221"/>
    <w:rsid w:val="003E64CB"/>
    <w:rsid w:val="003E64F8"/>
    <w:rsid w:val="003E68EF"/>
    <w:rsid w:val="003E6FE3"/>
    <w:rsid w:val="003E7355"/>
    <w:rsid w:val="003E7BD2"/>
    <w:rsid w:val="003F0395"/>
    <w:rsid w:val="003F1BC3"/>
    <w:rsid w:val="003F1F38"/>
    <w:rsid w:val="003F1FAA"/>
    <w:rsid w:val="003F2B16"/>
    <w:rsid w:val="003F2BB4"/>
    <w:rsid w:val="003F35C3"/>
    <w:rsid w:val="003F3812"/>
    <w:rsid w:val="003F4005"/>
    <w:rsid w:val="003F40F2"/>
    <w:rsid w:val="003F4277"/>
    <w:rsid w:val="003F43FC"/>
    <w:rsid w:val="003F5BC6"/>
    <w:rsid w:val="003F6199"/>
    <w:rsid w:val="003F6B66"/>
    <w:rsid w:val="003F715F"/>
    <w:rsid w:val="003F719B"/>
    <w:rsid w:val="003F739B"/>
    <w:rsid w:val="003F7403"/>
    <w:rsid w:val="00400725"/>
    <w:rsid w:val="0040121C"/>
    <w:rsid w:val="00402007"/>
    <w:rsid w:val="00402091"/>
    <w:rsid w:val="0040248C"/>
    <w:rsid w:val="004024E6"/>
    <w:rsid w:val="004025DA"/>
    <w:rsid w:val="00402B25"/>
    <w:rsid w:val="00402C56"/>
    <w:rsid w:val="00403462"/>
    <w:rsid w:val="00404222"/>
    <w:rsid w:val="0040460F"/>
    <w:rsid w:val="0040480E"/>
    <w:rsid w:val="004048AA"/>
    <w:rsid w:val="00404D42"/>
    <w:rsid w:val="00405821"/>
    <w:rsid w:val="00405C66"/>
    <w:rsid w:val="00405FA2"/>
    <w:rsid w:val="00406218"/>
    <w:rsid w:val="004069BE"/>
    <w:rsid w:val="0040718D"/>
    <w:rsid w:val="004072CF"/>
    <w:rsid w:val="0040768E"/>
    <w:rsid w:val="00407880"/>
    <w:rsid w:val="00410134"/>
    <w:rsid w:val="00410302"/>
    <w:rsid w:val="0041093B"/>
    <w:rsid w:val="00410A5E"/>
    <w:rsid w:val="00410D2D"/>
    <w:rsid w:val="00411B7A"/>
    <w:rsid w:val="00412532"/>
    <w:rsid w:val="0041256C"/>
    <w:rsid w:val="004128FF"/>
    <w:rsid w:val="00412EE4"/>
    <w:rsid w:val="0041334D"/>
    <w:rsid w:val="00414128"/>
    <w:rsid w:val="00414621"/>
    <w:rsid w:val="00415FA1"/>
    <w:rsid w:val="004160B2"/>
    <w:rsid w:val="0041708D"/>
    <w:rsid w:val="00417223"/>
    <w:rsid w:val="00417579"/>
    <w:rsid w:val="00420002"/>
    <w:rsid w:val="0042007A"/>
    <w:rsid w:val="0042049F"/>
    <w:rsid w:val="00421354"/>
    <w:rsid w:val="00422934"/>
    <w:rsid w:val="004229FF"/>
    <w:rsid w:val="00422CA7"/>
    <w:rsid w:val="00422DED"/>
    <w:rsid w:val="004237F5"/>
    <w:rsid w:val="00423AC1"/>
    <w:rsid w:val="00424C77"/>
    <w:rsid w:val="00425507"/>
    <w:rsid w:val="004261EA"/>
    <w:rsid w:val="00426502"/>
    <w:rsid w:val="004278BB"/>
    <w:rsid w:val="004279A2"/>
    <w:rsid w:val="00430BAD"/>
    <w:rsid w:val="00431CB1"/>
    <w:rsid w:val="00431DEF"/>
    <w:rsid w:val="0043330A"/>
    <w:rsid w:val="0043359F"/>
    <w:rsid w:val="004336AA"/>
    <w:rsid w:val="004338E7"/>
    <w:rsid w:val="00433A9F"/>
    <w:rsid w:val="00434214"/>
    <w:rsid w:val="00434DBE"/>
    <w:rsid w:val="00434E31"/>
    <w:rsid w:val="00434FA9"/>
    <w:rsid w:val="00435A5B"/>
    <w:rsid w:val="00436208"/>
    <w:rsid w:val="00436793"/>
    <w:rsid w:val="00437152"/>
    <w:rsid w:val="004371A2"/>
    <w:rsid w:val="00437316"/>
    <w:rsid w:val="004376B5"/>
    <w:rsid w:val="004379E5"/>
    <w:rsid w:val="00437DA1"/>
    <w:rsid w:val="00440623"/>
    <w:rsid w:val="0044064D"/>
    <w:rsid w:val="0044166D"/>
    <w:rsid w:val="00442007"/>
    <w:rsid w:val="00442ED9"/>
    <w:rsid w:val="00442FF8"/>
    <w:rsid w:val="004433AE"/>
    <w:rsid w:val="00443A27"/>
    <w:rsid w:val="00444572"/>
    <w:rsid w:val="00444929"/>
    <w:rsid w:val="00444EB2"/>
    <w:rsid w:val="00446747"/>
    <w:rsid w:val="00447730"/>
    <w:rsid w:val="00447861"/>
    <w:rsid w:val="00447F3C"/>
    <w:rsid w:val="00450546"/>
    <w:rsid w:val="0045076E"/>
    <w:rsid w:val="00450AAF"/>
    <w:rsid w:val="00451292"/>
    <w:rsid w:val="0045160E"/>
    <w:rsid w:val="004519C5"/>
    <w:rsid w:val="004519F6"/>
    <w:rsid w:val="004527F5"/>
    <w:rsid w:val="00452CEA"/>
    <w:rsid w:val="004530BA"/>
    <w:rsid w:val="00453803"/>
    <w:rsid w:val="004541AD"/>
    <w:rsid w:val="00454743"/>
    <w:rsid w:val="00454AF8"/>
    <w:rsid w:val="004557F7"/>
    <w:rsid w:val="00455ED7"/>
    <w:rsid w:val="00456000"/>
    <w:rsid w:val="0045620A"/>
    <w:rsid w:val="00456A06"/>
    <w:rsid w:val="00456B15"/>
    <w:rsid w:val="00457B4A"/>
    <w:rsid w:val="00457BFB"/>
    <w:rsid w:val="00460CF5"/>
    <w:rsid w:val="00460EE5"/>
    <w:rsid w:val="0046106F"/>
    <w:rsid w:val="00461091"/>
    <w:rsid w:val="004610CA"/>
    <w:rsid w:val="0046121E"/>
    <w:rsid w:val="00461225"/>
    <w:rsid w:val="00461A52"/>
    <w:rsid w:val="00461E9D"/>
    <w:rsid w:val="00462396"/>
    <w:rsid w:val="004623D3"/>
    <w:rsid w:val="00462589"/>
    <w:rsid w:val="00463350"/>
    <w:rsid w:val="0046353B"/>
    <w:rsid w:val="00463696"/>
    <w:rsid w:val="0046383B"/>
    <w:rsid w:val="00463E75"/>
    <w:rsid w:val="004648DE"/>
    <w:rsid w:val="00464957"/>
    <w:rsid w:val="004649B2"/>
    <w:rsid w:val="00464FF1"/>
    <w:rsid w:val="004656F0"/>
    <w:rsid w:val="0046676C"/>
    <w:rsid w:val="004668AA"/>
    <w:rsid w:val="00466C2D"/>
    <w:rsid w:val="00467F31"/>
    <w:rsid w:val="00470040"/>
    <w:rsid w:val="004702A4"/>
    <w:rsid w:val="004703BE"/>
    <w:rsid w:val="004711F6"/>
    <w:rsid w:val="00471913"/>
    <w:rsid w:val="004722B9"/>
    <w:rsid w:val="00472958"/>
    <w:rsid w:val="00472F6B"/>
    <w:rsid w:val="00473449"/>
    <w:rsid w:val="00473D72"/>
    <w:rsid w:val="00474004"/>
    <w:rsid w:val="0047495E"/>
    <w:rsid w:val="00474FB8"/>
    <w:rsid w:val="004752BC"/>
    <w:rsid w:val="0047589B"/>
    <w:rsid w:val="00476406"/>
    <w:rsid w:val="004765FF"/>
    <w:rsid w:val="004767F4"/>
    <w:rsid w:val="00476AB7"/>
    <w:rsid w:val="00476CB8"/>
    <w:rsid w:val="00477109"/>
    <w:rsid w:val="00477241"/>
    <w:rsid w:val="00477ABE"/>
    <w:rsid w:val="00477BFF"/>
    <w:rsid w:val="004805EE"/>
    <w:rsid w:val="00480609"/>
    <w:rsid w:val="00481597"/>
    <w:rsid w:val="0048192D"/>
    <w:rsid w:val="004819AA"/>
    <w:rsid w:val="004819EF"/>
    <w:rsid w:val="00481CE2"/>
    <w:rsid w:val="00482700"/>
    <w:rsid w:val="00483503"/>
    <w:rsid w:val="004835B9"/>
    <w:rsid w:val="004835CD"/>
    <w:rsid w:val="004837F3"/>
    <w:rsid w:val="00483DC6"/>
    <w:rsid w:val="00483E44"/>
    <w:rsid w:val="0048432F"/>
    <w:rsid w:val="00484C3D"/>
    <w:rsid w:val="0048501C"/>
    <w:rsid w:val="00485169"/>
    <w:rsid w:val="004855BA"/>
    <w:rsid w:val="00485656"/>
    <w:rsid w:val="00485972"/>
    <w:rsid w:val="00485CEB"/>
    <w:rsid w:val="00486784"/>
    <w:rsid w:val="00486E60"/>
    <w:rsid w:val="0048764A"/>
    <w:rsid w:val="00487906"/>
    <w:rsid w:val="00487CBA"/>
    <w:rsid w:val="00487CE4"/>
    <w:rsid w:val="00487E5F"/>
    <w:rsid w:val="0049038D"/>
    <w:rsid w:val="00491710"/>
    <w:rsid w:val="004918F6"/>
    <w:rsid w:val="00491C95"/>
    <w:rsid w:val="00491CC7"/>
    <w:rsid w:val="004920E2"/>
    <w:rsid w:val="00492B91"/>
    <w:rsid w:val="0049318D"/>
    <w:rsid w:val="0049329A"/>
    <w:rsid w:val="004932D2"/>
    <w:rsid w:val="00493EFE"/>
    <w:rsid w:val="004940AF"/>
    <w:rsid w:val="00494118"/>
    <w:rsid w:val="004944C8"/>
    <w:rsid w:val="00494554"/>
    <w:rsid w:val="004949E9"/>
    <w:rsid w:val="00495C4F"/>
    <w:rsid w:val="00495EA2"/>
    <w:rsid w:val="00496811"/>
    <w:rsid w:val="00496BA4"/>
    <w:rsid w:val="00496E28"/>
    <w:rsid w:val="00496F40"/>
    <w:rsid w:val="00497922"/>
    <w:rsid w:val="00497A8C"/>
    <w:rsid w:val="004A0197"/>
    <w:rsid w:val="004A01B2"/>
    <w:rsid w:val="004A0A79"/>
    <w:rsid w:val="004A1400"/>
    <w:rsid w:val="004A1487"/>
    <w:rsid w:val="004A1848"/>
    <w:rsid w:val="004A206C"/>
    <w:rsid w:val="004A28CE"/>
    <w:rsid w:val="004A310F"/>
    <w:rsid w:val="004A3941"/>
    <w:rsid w:val="004A3BD7"/>
    <w:rsid w:val="004A4312"/>
    <w:rsid w:val="004A4729"/>
    <w:rsid w:val="004A5F3B"/>
    <w:rsid w:val="004A61DF"/>
    <w:rsid w:val="004A625F"/>
    <w:rsid w:val="004A67BA"/>
    <w:rsid w:val="004A6E1E"/>
    <w:rsid w:val="004A6EFC"/>
    <w:rsid w:val="004A7E63"/>
    <w:rsid w:val="004B1085"/>
    <w:rsid w:val="004B15D9"/>
    <w:rsid w:val="004B15E5"/>
    <w:rsid w:val="004B16FF"/>
    <w:rsid w:val="004B19E5"/>
    <w:rsid w:val="004B1DB3"/>
    <w:rsid w:val="004B2DF5"/>
    <w:rsid w:val="004B33D9"/>
    <w:rsid w:val="004B3831"/>
    <w:rsid w:val="004B40FD"/>
    <w:rsid w:val="004B45D4"/>
    <w:rsid w:val="004B48FA"/>
    <w:rsid w:val="004B5277"/>
    <w:rsid w:val="004B5D15"/>
    <w:rsid w:val="004B6B0D"/>
    <w:rsid w:val="004B7392"/>
    <w:rsid w:val="004B767B"/>
    <w:rsid w:val="004B7900"/>
    <w:rsid w:val="004C1933"/>
    <w:rsid w:val="004C1A7B"/>
    <w:rsid w:val="004C21A1"/>
    <w:rsid w:val="004C23E0"/>
    <w:rsid w:val="004C2A44"/>
    <w:rsid w:val="004C2D4F"/>
    <w:rsid w:val="004C35C7"/>
    <w:rsid w:val="004C3938"/>
    <w:rsid w:val="004C3D7E"/>
    <w:rsid w:val="004C47DA"/>
    <w:rsid w:val="004C4FE3"/>
    <w:rsid w:val="004C59BF"/>
    <w:rsid w:val="004C60AD"/>
    <w:rsid w:val="004C651C"/>
    <w:rsid w:val="004C6A49"/>
    <w:rsid w:val="004C7178"/>
    <w:rsid w:val="004C7220"/>
    <w:rsid w:val="004C73F6"/>
    <w:rsid w:val="004C7D91"/>
    <w:rsid w:val="004D034C"/>
    <w:rsid w:val="004D0C5F"/>
    <w:rsid w:val="004D106C"/>
    <w:rsid w:val="004D1483"/>
    <w:rsid w:val="004D1A9D"/>
    <w:rsid w:val="004D1BFE"/>
    <w:rsid w:val="004D1CBA"/>
    <w:rsid w:val="004D1CE5"/>
    <w:rsid w:val="004D2F5F"/>
    <w:rsid w:val="004D3646"/>
    <w:rsid w:val="004D36DB"/>
    <w:rsid w:val="004D3A55"/>
    <w:rsid w:val="004D3E52"/>
    <w:rsid w:val="004D539F"/>
    <w:rsid w:val="004D5700"/>
    <w:rsid w:val="004D5AF6"/>
    <w:rsid w:val="004D6820"/>
    <w:rsid w:val="004D6BEC"/>
    <w:rsid w:val="004D6C7C"/>
    <w:rsid w:val="004D6D70"/>
    <w:rsid w:val="004D6E3B"/>
    <w:rsid w:val="004D6EA9"/>
    <w:rsid w:val="004D7186"/>
    <w:rsid w:val="004D731A"/>
    <w:rsid w:val="004D735C"/>
    <w:rsid w:val="004D7AE9"/>
    <w:rsid w:val="004D7EA3"/>
    <w:rsid w:val="004E05CC"/>
    <w:rsid w:val="004E0AF1"/>
    <w:rsid w:val="004E160C"/>
    <w:rsid w:val="004E16F8"/>
    <w:rsid w:val="004E1CC8"/>
    <w:rsid w:val="004E218A"/>
    <w:rsid w:val="004E2762"/>
    <w:rsid w:val="004E2781"/>
    <w:rsid w:val="004E2BBA"/>
    <w:rsid w:val="004E2D4D"/>
    <w:rsid w:val="004E2E48"/>
    <w:rsid w:val="004E3756"/>
    <w:rsid w:val="004E3B94"/>
    <w:rsid w:val="004E3FFE"/>
    <w:rsid w:val="004E4468"/>
    <w:rsid w:val="004E4539"/>
    <w:rsid w:val="004E4711"/>
    <w:rsid w:val="004E4A07"/>
    <w:rsid w:val="004E4E7C"/>
    <w:rsid w:val="004E50DA"/>
    <w:rsid w:val="004E5493"/>
    <w:rsid w:val="004E5609"/>
    <w:rsid w:val="004E5DD2"/>
    <w:rsid w:val="004E656E"/>
    <w:rsid w:val="004E666B"/>
    <w:rsid w:val="004E6A39"/>
    <w:rsid w:val="004E6DCB"/>
    <w:rsid w:val="004E6FB6"/>
    <w:rsid w:val="004E7074"/>
    <w:rsid w:val="004E71BE"/>
    <w:rsid w:val="004E75E2"/>
    <w:rsid w:val="004F0CE9"/>
    <w:rsid w:val="004F0DF8"/>
    <w:rsid w:val="004F10E5"/>
    <w:rsid w:val="004F134D"/>
    <w:rsid w:val="004F1401"/>
    <w:rsid w:val="004F18E8"/>
    <w:rsid w:val="004F2071"/>
    <w:rsid w:val="004F264D"/>
    <w:rsid w:val="004F28DA"/>
    <w:rsid w:val="004F2BEA"/>
    <w:rsid w:val="004F2EF8"/>
    <w:rsid w:val="004F31D9"/>
    <w:rsid w:val="004F34C5"/>
    <w:rsid w:val="004F399F"/>
    <w:rsid w:val="004F39BF"/>
    <w:rsid w:val="004F3E19"/>
    <w:rsid w:val="004F3FE3"/>
    <w:rsid w:val="004F4A43"/>
    <w:rsid w:val="004F4B99"/>
    <w:rsid w:val="004F4E97"/>
    <w:rsid w:val="004F4F6E"/>
    <w:rsid w:val="004F5168"/>
    <w:rsid w:val="004F5231"/>
    <w:rsid w:val="004F529B"/>
    <w:rsid w:val="004F5A8D"/>
    <w:rsid w:val="004F65CA"/>
    <w:rsid w:val="004F69A4"/>
    <w:rsid w:val="004F6DC0"/>
    <w:rsid w:val="004F72A0"/>
    <w:rsid w:val="004F7328"/>
    <w:rsid w:val="004F7B11"/>
    <w:rsid w:val="004F7E18"/>
    <w:rsid w:val="00500148"/>
    <w:rsid w:val="00500DF1"/>
    <w:rsid w:val="00501801"/>
    <w:rsid w:val="00501807"/>
    <w:rsid w:val="005019BB"/>
    <w:rsid w:val="00501CAC"/>
    <w:rsid w:val="00501E24"/>
    <w:rsid w:val="00501FF3"/>
    <w:rsid w:val="00502516"/>
    <w:rsid w:val="00502B63"/>
    <w:rsid w:val="00502E78"/>
    <w:rsid w:val="00503083"/>
    <w:rsid w:val="005030B2"/>
    <w:rsid w:val="005031D6"/>
    <w:rsid w:val="00503D28"/>
    <w:rsid w:val="00503F9A"/>
    <w:rsid w:val="005040E4"/>
    <w:rsid w:val="00504B2B"/>
    <w:rsid w:val="00504BBC"/>
    <w:rsid w:val="0050539F"/>
    <w:rsid w:val="005059F4"/>
    <w:rsid w:val="00505A54"/>
    <w:rsid w:val="00505A8F"/>
    <w:rsid w:val="00505FAF"/>
    <w:rsid w:val="00506DBC"/>
    <w:rsid w:val="00507192"/>
    <w:rsid w:val="00507492"/>
    <w:rsid w:val="005100A2"/>
    <w:rsid w:val="005102BD"/>
    <w:rsid w:val="00510388"/>
    <w:rsid w:val="005103CF"/>
    <w:rsid w:val="00511656"/>
    <w:rsid w:val="005122C0"/>
    <w:rsid w:val="00513947"/>
    <w:rsid w:val="005140A0"/>
    <w:rsid w:val="0051485E"/>
    <w:rsid w:val="00516B3F"/>
    <w:rsid w:val="00516F2B"/>
    <w:rsid w:val="005177A4"/>
    <w:rsid w:val="00520048"/>
    <w:rsid w:val="00520FA4"/>
    <w:rsid w:val="005219F5"/>
    <w:rsid w:val="00522320"/>
    <w:rsid w:val="005239EE"/>
    <w:rsid w:val="005240FC"/>
    <w:rsid w:val="005244B2"/>
    <w:rsid w:val="005246FC"/>
    <w:rsid w:val="00524B07"/>
    <w:rsid w:val="00524DA8"/>
    <w:rsid w:val="005250AC"/>
    <w:rsid w:val="00525D31"/>
    <w:rsid w:val="00525E1C"/>
    <w:rsid w:val="005269F2"/>
    <w:rsid w:val="005279D1"/>
    <w:rsid w:val="00527BE5"/>
    <w:rsid w:val="00527BE7"/>
    <w:rsid w:val="00530641"/>
    <w:rsid w:val="00530E5A"/>
    <w:rsid w:val="0053114D"/>
    <w:rsid w:val="005313FB"/>
    <w:rsid w:val="00531967"/>
    <w:rsid w:val="00531D31"/>
    <w:rsid w:val="00531D91"/>
    <w:rsid w:val="00531EE4"/>
    <w:rsid w:val="00532DF5"/>
    <w:rsid w:val="0053320D"/>
    <w:rsid w:val="00533959"/>
    <w:rsid w:val="00533ED6"/>
    <w:rsid w:val="005350B5"/>
    <w:rsid w:val="00535667"/>
    <w:rsid w:val="0053569D"/>
    <w:rsid w:val="00535806"/>
    <w:rsid w:val="005367C8"/>
    <w:rsid w:val="00537257"/>
    <w:rsid w:val="00540284"/>
    <w:rsid w:val="005403FF"/>
    <w:rsid w:val="00540566"/>
    <w:rsid w:val="00540AAF"/>
    <w:rsid w:val="0054163C"/>
    <w:rsid w:val="005417FF"/>
    <w:rsid w:val="005419D3"/>
    <w:rsid w:val="00541D83"/>
    <w:rsid w:val="00541DD2"/>
    <w:rsid w:val="00543624"/>
    <w:rsid w:val="00543DFA"/>
    <w:rsid w:val="005450B9"/>
    <w:rsid w:val="00546743"/>
    <w:rsid w:val="00546855"/>
    <w:rsid w:val="0054720D"/>
    <w:rsid w:val="00547243"/>
    <w:rsid w:val="0054770A"/>
    <w:rsid w:val="005478DC"/>
    <w:rsid w:val="005501BA"/>
    <w:rsid w:val="00550EA4"/>
    <w:rsid w:val="0055115F"/>
    <w:rsid w:val="005513BB"/>
    <w:rsid w:val="00551A24"/>
    <w:rsid w:val="00551E37"/>
    <w:rsid w:val="00552B68"/>
    <w:rsid w:val="00553836"/>
    <w:rsid w:val="00553B7C"/>
    <w:rsid w:val="00553C30"/>
    <w:rsid w:val="00555AB8"/>
    <w:rsid w:val="00555D32"/>
    <w:rsid w:val="0055655D"/>
    <w:rsid w:val="005567B0"/>
    <w:rsid w:val="00557F3A"/>
    <w:rsid w:val="005605CE"/>
    <w:rsid w:val="00560EC9"/>
    <w:rsid w:val="005623A4"/>
    <w:rsid w:val="00562EE8"/>
    <w:rsid w:val="005638EF"/>
    <w:rsid w:val="00563B9C"/>
    <w:rsid w:val="00564077"/>
    <w:rsid w:val="00564155"/>
    <w:rsid w:val="005643D0"/>
    <w:rsid w:val="00565210"/>
    <w:rsid w:val="005653CD"/>
    <w:rsid w:val="00566545"/>
    <w:rsid w:val="00566B17"/>
    <w:rsid w:val="00566EA6"/>
    <w:rsid w:val="00567B1A"/>
    <w:rsid w:val="00570643"/>
    <w:rsid w:val="00570B1F"/>
    <w:rsid w:val="00570CA5"/>
    <w:rsid w:val="0057103D"/>
    <w:rsid w:val="00571BBD"/>
    <w:rsid w:val="00571CCE"/>
    <w:rsid w:val="00572565"/>
    <w:rsid w:val="00573223"/>
    <w:rsid w:val="0057332E"/>
    <w:rsid w:val="005734DC"/>
    <w:rsid w:val="00573586"/>
    <w:rsid w:val="0057388F"/>
    <w:rsid w:val="005739A9"/>
    <w:rsid w:val="00573E6E"/>
    <w:rsid w:val="0057404A"/>
    <w:rsid w:val="00574732"/>
    <w:rsid w:val="00574B45"/>
    <w:rsid w:val="005755F2"/>
    <w:rsid w:val="00575F1F"/>
    <w:rsid w:val="005760D5"/>
    <w:rsid w:val="005769FC"/>
    <w:rsid w:val="00576F1D"/>
    <w:rsid w:val="00577693"/>
    <w:rsid w:val="00580422"/>
    <w:rsid w:val="00580518"/>
    <w:rsid w:val="00580590"/>
    <w:rsid w:val="0058059D"/>
    <w:rsid w:val="005805CA"/>
    <w:rsid w:val="00581376"/>
    <w:rsid w:val="005814B9"/>
    <w:rsid w:val="005819DF"/>
    <w:rsid w:val="0058231C"/>
    <w:rsid w:val="00582481"/>
    <w:rsid w:val="00582645"/>
    <w:rsid w:val="00582CD9"/>
    <w:rsid w:val="00583293"/>
    <w:rsid w:val="0058373C"/>
    <w:rsid w:val="0058381A"/>
    <w:rsid w:val="00583C96"/>
    <w:rsid w:val="005842EC"/>
    <w:rsid w:val="00584375"/>
    <w:rsid w:val="00585711"/>
    <w:rsid w:val="0058594F"/>
    <w:rsid w:val="00585B54"/>
    <w:rsid w:val="00585C26"/>
    <w:rsid w:val="0058626C"/>
    <w:rsid w:val="005869CD"/>
    <w:rsid w:val="00586B5F"/>
    <w:rsid w:val="00586FAB"/>
    <w:rsid w:val="0059001A"/>
    <w:rsid w:val="00590C89"/>
    <w:rsid w:val="0059112F"/>
    <w:rsid w:val="005919B4"/>
    <w:rsid w:val="00591C09"/>
    <w:rsid w:val="00592620"/>
    <w:rsid w:val="00592E45"/>
    <w:rsid w:val="00593A88"/>
    <w:rsid w:val="00594E82"/>
    <w:rsid w:val="00595211"/>
    <w:rsid w:val="005952DE"/>
    <w:rsid w:val="00595F07"/>
    <w:rsid w:val="005964BB"/>
    <w:rsid w:val="005966F6"/>
    <w:rsid w:val="005975AB"/>
    <w:rsid w:val="00597AD6"/>
    <w:rsid w:val="005A0425"/>
    <w:rsid w:val="005A07D9"/>
    <w:rsid w:val="005A0B0F"/>
    <w:rsid w:val="005A152D"/>
    <w:rsid w:val="005A20FC"/>
    <w:rsid w:val="005A2BEB"/>
    <w:rsid w:val="005A2EC7"/>
    <w:rsid w:val="005A3089"/>
    <w:rsid w:val="005A3D94"/>
    <w:rsid w:val="005A3EC3"/>
    <w:rsid w:val="005A4254"/>
    <w:rsid w:val="005A44E2"/>
    <w:rsid w:val="005A4D96"/>
    <w:rsid w:val="005A4F9B"/>
    <w:rsid w:val="005A5372"/>
    <w:rsid w:val="005A6AD6"/>
    <w:rsid w:val="005A770B"/>
    <w:rsid w:val="005A7874"/>
    <w:rsid w:val="005A7E19"/>
    <w:rsid w:val="005B0510"/>
    <w:rsid w:val="005B1C63"/>
    <w:rsid w:val="005B1D42"/>
    <w:rsid w:val="005B2A50"/>
    <w:rsid w:val="005B3589"/>
    <w:rsid w:val="005B35AE"/>
    <w:rsid w:val="005B3CFE"/>
    <w:rsid w:val="005B5AF6"/>
    <w:rsid w:val="005B5B23"/>
    <w:rsid w:val="005B5FB1"/>
    <w:rsid w:val="005B611F"/>
    <w:rsid w:val="005B6AC0"/>
    <w:rsid w:val="005B6B13"/>
    <w:rsid w:val="005B6ED1"/>
    <w:rsid w:val="005B6EF6"/>
    <w:rsid w:val="005B72A6"/>
    <w:rsid w:val="005B77BB"/>
    <w:rsid w:val="005B7BDF"/>
    <w:rsid w:val="005C0197"/>
    <w:rsid w:val="005C06B6"/>
    <w:rsid w:val="005C095D"/>
    <w:rsid w:val="005C0B45"/>
    <w:rsid w:val="005C0DF6"/>
    <w:rsid w:val="005C3072"/>
    <w:rsid w:val="005C38B2"/>
    <w:rsid w:val="005C3B79"/>
    <w:rsid w:val="005C402D"/>
    <w:rsid w:val="005C4752"/>
    <w:rsid w:val="005C48E2"/>
    <w:rsid w:val="005C4924"/>
    <w:rsid w:val="005C51E9"/>
    <w:rsid w:val="005C5238"/>
    <w:rsid w:val="005C53FC"/>
    <w:rsid w:val="005C5697"/>
    <w:rsid w:val="005C6332"/>
    <w:rsid w:val="005C6505"/>
    <w:rsid w:val="005C6BBF"/>
    <w:rsid w:val="005C6DDD"/>
    <w:rsid w:val="005C6F1F"/>
    <w:rsid w:val="005C70A7"/>
    <w:rsid w:val="005C79CC"/>
    <w:rsid w:val="005C7A80"/>
    <w:rsid w:val="005D0350"/>
    <w:rsid w:val="005D0F68"/>
    <w:rsid w:val="005D11DC"/>
    <w:rsid w:val="005D178D"/>
    <w:rsid w:val="005D1A35"/>
    <w:rsid w:val="005D291D"/>
    <w:rsid w:val="005D30DC"/>
    <w:rsid w:val="005D343C"/>
    <w:rsid w:val="005D35EC"/>
    <w:rsid w:val="005D38B8"/>
    <w:rsid w:val="005D4391"/>
    <w:rsid w:val="005D4AC2"/>
    <w:rsid w:val="005D4AD3"/>
    <w:rsid w:val="005D4D83"/>
    <w:rsid w:val="005D56F0"/>
    <w:rsid w:val="005D5AEB"/>
    <w:rsid w:val="005D5B65"/>
    <w:rsid w:val="005D5BFC"/>
    <w:rsid w:val="005D5ED6"/>
    <w:rsid w:val="005D6238"/>
    <w:rsid w:val="005D6570"/>
    <w:rsid w:val="005D6D24"/>
    <w:rsid w:val="005D731F"/>
    <w:rsid w:val="005D73B5"/>
    <w:rsid w:val="005D78CD"/>
    <w:rsid w:val="005D7902"/>
    <w:rsid w:val="005E19F1"/>
    <w:rsid w:val="005E2554"/>
    <w:rsid w:val="005E2843"/>
    <w:rsid w:val="005E2F7C"/>
    <w:rsid w:val="005E3D75"/>
    <w:rsid w:val="005E3E8B"/>
    <w:rsid w:val="005E44C1"/>
    <w:rsid w:val="005E4984"/>
    <w:rsid w:val="005E4DEE"/>
    <w:rsid w:val="005E5073"/>
    <w:rsid w:val="005E5361"/>
    <w:rsid w:val="005E5B31"/>
    <w:rsid w:val="005E5D3C"/>
    <w:rsid w:val="005E5E88"/>
    <w:rsid w:val="005E6A55"/>
    <w:rsid w:val="005E6EF2"/>
    <w:rsid w:val="005E7652"/>
    <w:rsid w:val="005E767C"/>
    <w:rsid w:val="005E77D8"/>
    <w:rsid w:val="005E78E3"/>
    <w:rsid w:val="005F0998"/>
    <w:rsid w:val="005F09D0"/>
    <w:rsid w:val="005F0AE4"/>
    <w:rsid w:val="005F1638"/>
    <w:rsid w:val="005F180A"/>
    <w:rsid w:val="005F18CD"/>
    <w:rsid w:val="005F1E9B"/>
    <w:rsid w:val="005F1F33"/>
    <w:rsid w:val="005F22E8"/>
    <w:rsid w:val="005F244F"/>
    <w:rsid w:val="005F2763"/>
    <w:rsid w:val="005F305E"/>
    <w:rsid w:val="005F3D04"/>
    <w:rsid w:val="005F461B"/>
    <w:rsid w:val="005F472E"/>
    <w:rsid w:val="005F49BB"/>
    <w:rsid w:val="005F4F5A"/>
    <w:rsid w:val="005F5434"/>
    <w:rsid w:val="005F61F2"/>
    <w:rsid w:val="005F6DAC"/>
    <w:rsid w:val="005F7B26"/>
    <w:rsid w:val="00600026"/>
    <w:rsid w:val="00600283"/>
    <w:rsid w:val="006003D0"/>
    <w:rsid w:val="0060053B"/>
    <w:rsid w:val="0060130E"/>
    <w:rsid w:val="00601CE8"/>
    <w:rsid w:val="00601CE9"/>
    <w:rsid w:val="00601D46"/>
    <w:rsid w:val="006023B0"/>
    <w:rsid w:val="006023B5"/>
    <w:rsid w:val="006028D0"/>
    <w:rsid w:val="00603846"/>
    <w:rsid w:val="00604893"/>
    <w:rsid w:val="006053A3"/>
    <w:rsid w:val="006053C3"/>
    <w:rsid w:val="00605709"/>
    <w:rsid w:val="0060583E"/>
    <w:rsid w:val="00605CB4"/>
    <w:rsid w:val="00605DD3"/>
    <w:rsid w:val="006064F2"/>
    <w:rsid w:val="0060652C"/>
    <w:rsid w:val="00606BFC"/>
    <w:rsid w:val="00606FF1"/>
    <w:rsid w:val="0060777A"/>
    <w:rsid w:val="00607876"/>
    <w:rsid w:val="00607D58"/>
    <w:rsid w:val="006102B4"/>
    <w:rsid w:val="006106D5"/>
    <w:rsid w:val="00610808"/>
    <w:rsid w:val="006110C4"/>
    <w:rsid w:val="00611605"/>
    <w:rsid w:val="0061187F"/>
    <w:rsid w:val="006118B6"/>
    <w:rsid w:val="00611ACC"/>
    <w:rsid w:val="00611C0B"/>
    <w:rsid w:val="00611D5E"/>
    <w:rsid w:val="0061411C"/>
    <w:rsid w:val="006144A4"/>
    <w:rsid w:val="006147C5"/>
    <w:rsid w:val="006148E5"/>
    <w:rsid w:val="00614904"/>
    <w:rsid w:val="00614A2E"/>
    <w:rsid w:val="00614AA7"/>
    <w:rsid w:val="00614F56"/>
    <w:rsid w:val="0061517C"/>
    <w:rsid w:val="00615226"/>
    <w:rsid w:val="00616127"/>
    <w:rsid w:val="00616577"/>
    <w:rsid w:val="00616E44"/>
    <w:rsid w:val="00616E6D"/>
    <w:rsid w:val="00617498"/>
    <w:rsid w:val="006175AE"/>
    <w:rsid w:val="0061796A"/>
    <w:rsid w:val="006203EA"/>
    <w:rsid w:val="006209BB"/>
    <w:rsid w:val="006209BC"/>
    <w:rsid w:val="00620DFF"/>
    <w:rsid w:val="00620FD9"/>
    <w:rsid w:val="00621081"/>
    <w:rsid w:val="00621C86"/>
    <w:rsid w:val="00622EEE"/>
    <w:rsid w:val="00622FD6"/>
    <w:rsid w:val="00624615"/>
    <w:rsid w:val="00625050"/>
    <w:rsid w:val="006252E9"/>
    <w:rsid w:val="00625535"/>
    <w:rsid w:val="0062649C"/>
    <w:rsid w:val="006272C0"/>
    <w:rsid w:val="006317F9"/>
    <w:rsid w:val="0063220A"/>
    <w:rsid w:val="006326A7"/>
    <w:rsid w:val="00632C8C"/>
    <w:rsid w:val="00632F75"/>
    <w:rsid w:val="00633103"/>
    <w:rsid w:val="006342B2"/>
    <w:rsid w:val="00634726"/>
    <w:rsid w:val="0063511C"/>
    <w:rsid w:val="006351CE"/>
    <w:rsid w:val="006351E7"/>
    <w:rsid w:val="00635409"/>
    <w:rsid w:val="006355AC"/>
    <w:rsid w:val="0063781B"/>
    <w:rsid w:val="006379BB"/>
    <w:rsid w:val="00640E30"/>
    <w:rsid w:val="00640ED0"/>
    <w:rsid w:val="00641200"/>
    <w:rsid w:val="00642ED4"/>
    <w:rsid w:val="00643402"/>
    <w:rsid w:val="00643F90"/>
    <w:rsid w:val="006447AA"/>
    <w:rsid w:val="00644E56"/>
    <w:rsid w:val="00644ED9"/>
    <w:rsid w:val="0064537D"/>
    <w:rsid w:val="00646552"/>
    <w:rsid w:val="0064671D"/>
    <w:rsid w:val="0064691C"/>
    <w:rsid w:val="00646CAA"/>
    <w:rsid w:val="00650083"/>
    <w:rsid w:val="00650DA2"/>
    <w:rsid w:val="00650FF7"/>
    <w:rsid w:val="006513F8"/>
    <w:rsid w:val="00651CCD"/>
    <w:rsid w:val="0065260C"/>
    <w:rsid w:val="00652CCC"/>
    <w:rsid w:val="006539C4"/>
    <w:rsid w:val="00653C3C"/>
    <w:rsid w:val="00653FA5"/>
    <w:rsid w:val="00654490"/>
    <w:rsid w:val="00654AFB"/>
    <w:rsid w:val="00654BA0"/>
    <w:rsid w:val="00654E27"/>
    <w:rsid w:val="006562C6"/>
    <w:rsid w:val="006564C8"/>
    <w:rsid w:val="00656C0D"/>
    <w:rsid w:val="006575C8"/>
    <w:rsid w:val="006577F9"/>
    <w:rsid w:val="00657F76"/>
    <w:rsid w:val="0066074A"/>
    <w:rsid w:val="00660A4A"/>
    <w:rsid w:val="00661EC4"/>
    <w:rsid w:val="006623B4"/>
    <w:rsid w:val="00662B30"/>
    <w:rsid w:val="00662C86"/>
    <w:rsid w:val="00662E07"/>
    <w:rsid w:val="00663591"/>
    <w:rsid w:val="00663D6D"/>
    <w:rsid w:val="00663EEC"/>
    <w:rsid w:val="006641CB"/>
    <w:rsid w:val="0066454E"/>
    <w:rsid w:val="00664867"/>
    <w:rsid w:val="00664E5C"/>
    <w:rsid w:val="0066529C"/>
    <w:rsid w:val="0066588F"/>
    <w:rsid w:val="006659BC"/>
    <w:rsid w:val="006663FA"/>
    <w:rsid w:val="00666464"/>
    <w:rsid w:val="00666539"/>
    <w:rsid w:val="006665DA"/>
    <w:rsid w:val="00666948"/>
    <w:rsid w:val="00666A89"/>
    <w:rsid w:val="00666FE4"/>
    <w:rsid w:val="0066751C"/>
    <w:rsid w:val="00667D15"/>
    <w:rsid w:val="00667E13"/>
    <w:rsid w:val="00667EB6"/>
    <w:rsid w:val="006700E0"/>
    <w:rsid w:val="00670F74"/>
    <w:rsid w:val="00671C24"/>
    <w:rsid w:val="006722E8"/>
    <w:rsid w:val="006723A2"/>
    <w:rsid w:val="00672937"/>
    <w:rsid w:val="00672E47"/>
    <w:rsid w:val="006735B6"/>
    <w:rsid w:val="00673DF6"/>
    <w:rsid w:val="00674E4B"/>
    <w:rsid w:val="00674EC7"/>
    <w:rsid w:val="006758B8"/>
    <w:rsid w:val="00675C34"/>
    <w:rsid w:val="00676B40"/>
    <w:rsid w:val="006777ED"/>
    <w:rsid w:val="00677B66"/>
    <w:rsid w:val="00680447"/>
    <w:rsid w:val="006804FE"/>
    <w:rsid w:val="00681919"/>
    <w:rsid w:val="00682344"/>
    <w:rsid w:val="00682978"/>
    <w:rsid w:val="00682AF1"/>
    <w:rsid w:val="00682E19"/>
    <w:rsid w:val="00682EFA"/>
    <w:rsid w:val="00683379"/>
    <w:rsid w:val="00683673"/>
    <w:rsid w:val="00683BB7"/>
    <w:rsid w:val="0068429A"/>
    <w:rsid w:val="006842C3"/>
    <w:rsid w:val="00684605"/>
    <w:rsid w:val="00684C48"/>
    <w:rsid w:val="006852D9"/>
    <w:rsid w:val="00685514"/>
    <w:rsid w:val="0068585D"/>
    <w:rsid w:val="00686367"/>
    <w:rsid w:val="00686408"/>
    <w:rsid w:val="0068700D"/>
    <w:rsid w:val="0068763E"/>
    <w:rsid w:val="00687898"/>
    <w:rsid w:val="00690786"/>
    <w:rsid w:val="0069169B"/>
    <w:rsid w:val="00691B44"/>
    <w:rsid w:val="00691D0F"/>
    <w:rsid w:val="0069384E"/>
    <w:rsid w:val="006940B6"/>
    <w:rsid w:val="006944D9"/>
    <w:rsid w:val="00694776"/>
    <w:rsid w:val="00694C4F"/>
    <w:rsid w:val="00694D75"/>
    <w:rsid w:val="00695077"/>
    <w:rsid w:val="00695A46"/>
    <w:rsid w:val="006966A9"/>
    <w:rsid w:val="0069674D"/>
    <w:rsid w:val="00696D32"/>
    <w:rsid w:val="0069779D"/>
    <w:rsid w:val="006977E3"/>
    <w:rsid w:val="00697960"/>
    <w:rsid w:val="006979B7"/>
    <w:rsid w:val="006A0EE0"/>
    <w:rsid w:val="006A1145"/>
    <w:rsid w:val="006A18F7"/>
    <w:rsid w:val="006A1EA4"/>
    <w:rsid w:val="006A25E9"/>
    <w:rsid w:val="006A2BE0"/>
    <w:rsid w:val="006A3991"/>
    <w:rsid w:val="006A3F93"/>
    <w:rsid w:val="006A4885"/>
    <w:rsid w:val="006A4BE2"/>
    <w:rsid w:val="006A4CA2"/>
    <w:rsid w:val="006A5218"/>
    <w:rsid w:val="006A52AD"/>
    <w:rsid w:val="006A59F4"/>
    <w:rsid w:val="006A6254"/>
    <w:rsid w:val="006A634E"/>
    <w:rsid w:val="006A6D54"/>
    <w:rsid w:val="006A78DC"/>
    <w:rsid w:val="006A79DC"/>
    <w:rsid w:val="006A7DDD"/>
    <w:rsid w:val="006A7E7F"/>
    <w:rsid w:val="006B0A97"/>
    <w:rsid w:val="006B0D38"/>
    <w:rsid w:val="006B0E47"/>
    <w:rsid w:val="006B2DFA"/>
    <w:rsid w:val="006B3713"/>
    <w:rsid w:val="006B39C0"/>
    <w:rsid w:val="006B3B36"/>
    <w:rsid w:val="006B3D83"/>
    <w:rsid w:val="006B4961"/>
    <w:rsid w:val="006B4AF5"/>
    <w:rsid w:val="006B50A4"/>
    <w:rsid w:val="006B599F"/>
    <w:rsid w:val="006B632F"/>
    <w:rsid w:val="006B6495"/>
    <w:rsid w:val="006B72AE"/>
    <w:rsid w:val="006B72BA"/>
    <w:rsid w:val="006B7791"/>
    <w:rsid w:val="006C01AF"/>
    <w:rsid w:val="006C0E93"/>
    <w:rsid w:val="006C1BED"/>
    <w:rsid w:val="006C231F"/>
    <w:rsid w:val="006C3DC3"/>
    <w:rsid w:val="006C4528"/>
    <w:rsid w:val="006C47EE"/>
    <w:rsid w:val="006C5AB0"/>
    <w:rsid w:val="006C5C21"/>
    <w:rsid w:val="006C5F23"/>
    <w:rsid w:val="006C6938"/>
    <w:rsid w:val="006C6FA6"/>
    <w:rsid w:val="006C7501"/>
    <w:rsid w:val="006C7695"/>
    <w:rsid w:val="006C7C2E"/>
    <w:rsid w:val="006C7D34"/>
    <w:rsid w:val="006C7D89"/>
    <w:rsid w:val="006C7FEA"/>
    <w:rsid w:val="006D0102"/>
    <w:rsid w:val="006D0126"/>
    <w:rsid w:val="006D0833"/>
    <w:rsid w:val="006D0DC0"/>
    <w:rsid w:val="006D0E13"/>
    <w:rsid w:val="006D12B7"/>
    <w:rsid w:val="006D1953"/>
    <w:rsid w:val="006D2332"/>
    <w:rsid w:val="006D23D7"/>
    <w:rsid w:val="006D2AA7"/>
    <w:rsid w:val="006D2C6B"/>
    <w:rsid w:val="006D4E5A"/>
    <w:rsid w:val="006D5F24"/>
    <w:rsid w:val="006D623E"/>
    <w:rsid w:val="006D638B"/>
    <w:rsid w:val="006D64AE"/>
    <w:rsid w:val="006D661D"/>
    <w:rsid w:val="006D676F"/>
    <w:rsid w:val="006D711E"/>
    <w:rsid w:val="006D73DD"/>
    <w:rsid w:val="006D75C4"/>
    <w:rsid w:val="006D78A7"/>
    <w:rsid w:val="006E084B"/>
    <w:rsid w:val="006E09AB"/>
    <w:rsid w:val="006E0C4A"/>
    <w:rsid w:val="006E0EDF"/>
    <w:rsid w:val="006E0F1D"/>
    <w:rsid w:val="006E109B"/>
    <w:rsid w:val="006E10B1"/>
    <w:rsid w:val="006E120C"/>
    <w:rsid w:val="006E1273"/>
    <w:rsid w:val="006E1628"/>
    <w:rsid w:val="006E1B4D"/>
    <w:rsid w:val="006E1C4D"/>
    <w:rsid w:val="006E1C62"/>
    <w:rsid w:val="006E20BF"/>
    <w:rsid w:val="006E2DDA"/>
    <w:rsid w:val="006E3588"/>
    <w:rsid w:val="006E35E8"/>
    <w:rsid w:val="006E3AEC"/>
    <w:rsid w:val="006E3C85"/>
    <w:rsid w:val="006E3D4C"/>
    <w:rsid w:val="006E3D56"/>
    <w:rsid w:val="006E42E8"/>
    <w:rsid w:val="006E4516"/>
    <w:rsid w:val="006E4916"/>
    <w:rsid w:val="006E4925"/>
    <w:rsid w:val="006E4B3E"/>
    <w:rsid w:val="006E57A4"/>
    <w:rsid w:val="006E594D"/>
    <w:rsid w:val="006E5C23"/>
    <w:rsid w:val="006E61F8"/>
    <w:rsid w:val="006E6BE4"/>
    <w:rsid w:val="006E7385"/>
    <w:rsid w:val="006F127F"/>
    <w:rsid w:val="006F1C7C"/>
    <w:rsid w:val="006F1E81"/>
    <w:rsid w:val="006F208B"/>
    <w:rsid w:val="006F2C00"/>
    <w:rsid w:val="006F3533"/>
    <w:rsid w:val="006F379B"/>
    <w:rsid w:val="006F399A"/>
    <w:rsid w:val="006F4735"/>
    <w:rsid w:val="006F5415"/>
    <w:rsid w:val="006F5B4A"/>
    <w:rsid w:val="006F6B52"/>
    <w:rsid w:val="006F6EA9"/>
    <w:rsid w:val="006F7403"/>
    <w:rsid w:val="006F7653"/>
    <w:rsid w:val="007000B0"/>
    <w:rsid w:val="00700621"/>
    <w:rsid w:val="00701130"/>
    <w:rsid w:val="00701DDE"/>
    <w:rsid w:val="007020A1"/>
    <w:rsid w:val="00702614"/>
    <w:rsid w:val="00702D4F"/>
    <w:rsid w:val="00702D70"/>
    <w:rsid w:val="00702E3B"/>
    <w:rsid w:val="00702E5B"/>
    <w:rsid w:val="00703706"/>
    <w:rsid w:val="0070372F"/>
    <w:rsid w:val="007041C1"/>
    <w:rsid w:val="00704244"/>
    <w:rsid w:val="007044BA"/>
    <w:rsid w:val="00704626"/>
    <w:rsid w:val="007050AB"/>
    <w:rsid w:val="0070514B"/>
    <w:rsid w:val="00706A29"/>
    <w:rsid w:val="007105B6"/>
    <w:rsid w:val="00710A00"/>
    <w:rsid w:val="00710D1C"/>
    <w:rsid w:val="007118F0"/>
    <w:rsid w:val="007128B0"/>
    <w:rsid w:val="00712AD3"/>
    <w:rsid w:val="00712B67"/>
    <w:rsid w:val="00712E77"/>
    <w:rsid w:val="007130CF"/>
    <w:rsid w:val="007138DF"/>
    <w:rsid w:val="00713BE4"/>
    <w:rsid w:val="00713CD8"/>
    <w:rsid w:val="00714936"/>
    <w:rsid w:val="00715F6F"/>
    <w:rsid w:val="00716279"/>
    <w:rsid w:val="00717583"/>
    <w:rsid w:val="00717F64"/>
    <w:rsid w:val="00720200"/>
    <w:rsid w:val="0072042F"/>
    <w:rsid w:val="00720C42"/>
    <w:rsid w:val="00721362"/>
    <w:rsid w:val="00721673"/>
    <w:rsid w:val="00721F13"/>
    <w:rsid w:val="007227CE"/>
    <w:rsid w:val="00722946"/>
    <w:rsid w:val="00722A3A"/>
    <w:rsid w:val="00722C87"/>
    <w:rsid w:val="00722CD0"/>
    <w:rsid w:val="007238F2"/>
    <w:rsid w:val="00723F94"/>
    <w:rsid w:val="00724119"/>
    <w:rsid w:val="007241ED"/>
    <w:rsid w:val="0072591C"/>
    <w:rsid w:val="00725EC9"/>
    <w:rsid w:val="00726021"/>
    <w:rsid w:val="007264F1"/>
    <w:rsid w:val="00727275"/>
    <w:rsid w:val="00727F99"/>
    <w:rsid w:val="007300EA"/>
    <w:rsid w:val="00730A56"/>
    <w:rsid w:val="00730ADB"/>
    <w:rsid w:val="00730ECC"/>
    <w:rsid w:val="00731FF9"/>
    <w:rsid w:val="0073249F"/>
    <w:rsid w:val="00732610"/>
    <w:rsid w:val="007326B1"/>
    <w:rsid w:val="00732883"/>
    <w:rsid w:val="00733003"/>
    <w:rsid w:val="00733374"/>
    <w:rsid w:val="00733B75"/>
    <w:rsid w:val="00733D2E"/>
    <w:rsid w:val="00734979"/>
    <w:rsid w:val="00735554"/>
    <w:rsid w:val="00735889"/>
    <w:rsid w:val="00735CB0"/>
    <w:rsid w:val="007364E5"/>
    <w:rsid w:val="007365B5"/>
    <w:rsid w:val="00737714"/>
    <w:rsid w:val="00737CF3"/>
    <w:rsid w:val="007409E2"/>
    <w:rsid w:val="00740CA0"/>
    <w:rsid w:val="00740E05"/>
    <w:rsid w:val="007411F9"/>
    <w:rsid w:val="00741210"/>
    <w:rsid w:val="00741765"/>
    <w:rsid w:val="007419F5"/>
    <w:rsid w:val="00741FD4"/>
    <w:rsid w:val="00742B4C"/>
    <w:rsid w:val="00742DFB"/>
    <w:rsid w:val="00742F09"/>
    <w:rsid w:val="0074312A"/>
    <w:rsid w:val="007431FD"/>
    <w:rsid w:val="0074375F"/>
    <w:rsid w:val="00743A73"/>
    <w:rsid w:val="0074420E"/>
    <w:rsid w:val="00744714"/>
    <w:rsid w:val="007455FA"/>
    <w:rsid w:val="00746A91"/>
    <w:rsid w:val="00746FDB"/>
    <w:rsid w:val="0074718B"/>
    <w:rsid w:val="007509B2"/>
    <w:rsid w:val="007514FB"/>
    <w:rsid w:val="007519A8"/>
    <w:rsid w:val="00752453"/>
    <w:rsid w:val="007526ED"/>
    <w:rsid w:val="00753955"/>
    <w:rsid w:val="007543B6"/>
    <w:rsid w:val="007545AC"/>
    <w:rsid w:val="007546DA"/>
    <w:rsid w:val="00757E16"/>
    <w:rsid w:val="00757EED"/>
    <w:rsid w:val="0076062F"/>
    <w:rsid w:val="007612DB"/>
    <w:rsid w:val="007614A8"/>
    <w:rsid w:val="007617F1"/>
    <w:rsid w:val="00761814"/>
    <w:rsid w:val="00761BAB"/>
    <w:rsid w:val="00762F90"/>
    <w:rsid w:val="0076365D"/>
    <w:rsid w:val="00763C31"/>
    <w:rsid w:val="00763FA7"/>
    <w:rsid w:val="0076482E"/>
    <w:rsid w:val="007649DD"/>
    <w:rsid w:val="00764CAD"/>
    <w:rsid w:val="007650EE"/>
    <w:rsid w:val="00766109"/>
    <w:rsid w:val="00766B15"/>
    <w:rsid w:val="00766B58"/>
    <w:rsid w:val="00766E87"/>
    <w:rsid w:val="00766FE8"/>
    <w:rsid w:val="00767238"/>
    <w:rsid w:val="00770F3B"/>
    <w:rsid w:val="007717A9"/>
    <w:rsid w:val="00771AD5"/>
    <w:rsid w:val="00771F87"/>
    <w:rsid w:val="007721B2"/>
    <w:rsid w:val="007722DD"/>
    <w:rsid w:val="007726FD"/>
    <w:rsid w:val="00773879"/>
    <w:rsid w:val="0077389C"/>
    <w:rsid w:val="00774019"/>
    <w:rsid w:val="0077469D"/>
    <w:rsid w:val="00774878"/>
    <w:rsid w:val="00774971"/>
    <w:rsid w:val="00774BDA"/>
    <w:rsid w:val="00774C8A"/>
    <w:rsid w:val="00775689"/>
    <w:rsid w:val="00775747"/>
    <w:rsid w:val="007761BA"/>
    <w:rsid w:val="007766EC"/>
    <w:rsid w:val="00776AE8"/>
    <w:rsid w:val="00776C73"/>
    <w:rsid w:val="007771B8"/>
    <w:rsid w:val="007778D4"/>
    <w:rsid w:val="007810AC"/>
    <w:rsid w:val="00781626"/>
    <w:rsid w:val="00781C60"/>
    <w:rsid w:val="00781DEC"/>
    <w:rsid w:val="00782C33"/>
    <w:rsid w:val="007837E0"/>
    <w:rsid w:val="00784117"/>
    <w:rsid w:val="0078417F"/>
    <w:rsid w:val="00784BCD"/>
    <w:rsid w:val="0078598C"/>
    <w:rsid w:val="00786843"/>
    <w:rsid w:val="00787655"/>
    <w:rsid w:val="007878CE"/>
    <w:rsid w:val="00791CA8"/>
    <w:rsid w:val="00791EC8"/>
    <w:rsid w:val="00792682"/>
    <w:rsid w:val="00792BFF"/>
    <w:rsid w:val="00792E97"/>
    <w:rsid w:val="00792F39"/>
    <w:rsid w:val="00793057"/>
    <w:rsid w:val="007935DD"/>
    <w:rsid w:val="007938E4"/>
    <w:rsid w:val="0079504D"/>
    <w:rsid w:val="007950A5"/>
    <w:rsid w:val="00795F71"/>
    <w:rsid w:val="00796089"/>
    <w:rsid w:val="00796120"/>
    <w:rsid w:val="007964A1"/>
    <w:rsid w:val="007966FF"/>
    <w:rsid w:val="007977E2"/>
    <w:rsid w:val="007A03F4"/>
    <w:rsid w:val="007A0C13"/>
    <w:rsid w:val="007A1341"/>
    <w:rsid w:val="007A1C16"/>
    <w:rsid w:val="007A333C"/>
    <w:rsid w:val="007A37ED"/>
    <w:rsid w:val="007A491B"/>
    <w:rsid w:val="007A4989"/>
    <w:rsid w:val="007A4BAB"/>
    <w:rsid w:val="007A4D35"/>
    <w:rsid w:val="007A5029"/>
    <w:rsid w:val="007A5393"/>
    <w:rsid w:val="007A5ABC"/>
    <w:rsid w:val="007A5BB4"/>
    <w:rsid w:val="007A6459"/>
    <w:rsid w:val="007A69A8"/>
    <w:rsid w:val="007A7265"/>
    <w:rsid w:val="007A76A6"/>
    <w:rsid w:val="007A7B23"/>
    <w:rsid w:val="007B003A"/>
    <w:rsid w:val="007B026D"/>
    <w:rsid w:val="007B03C0"/>
    <w:rsid w:val="007B08D0"/>
    <w:rsid w:val="007B0C34"/>
    <w:rsid w:val="007B1488"/>
    <w:rsid w:val="007B1BA2"/>
    <w:rsid w:val="007B1E65"/>
    <w:rsid w:val="007B2DFA"/>
    <w:rsid w:val="007B4213"/>
    <w:rsid w:val="007B429A"/>
    <w:rsid w:val="007B46F7"/>
    <w:rsid w:val="007B4AC9"/>
    <w:rsid w:val="007B5817"/>
    <w:rsid w:val="007B6E3D"/>
    <w:rsid w:val="007B718E"/>
    <w:rsid w:val="007B7381"/>
    <w:rsid w:val="007B7E61"/>
    <w:rsid w:val="007C0D02"/>
    <w:rsid w:val="007C211D"/>
    <w:rsid w:val="007C2356"/>
    <w:rsid w:val="007C2A88"/>
    <w:rsid w:val="007C2B5E"/>
    <w:rsid w:val="007C2BF0"/>
    <w:rsid w:val="007C2CDC"/>
    <w:rsid w:val="007C34C9"/>
    <w:rsid w:val="007C3596"/>
    <w:rsid w:val="007C35EF"/>
    <w:rsid w:val="007C369A"/>
    <w:rsid w:val="007C4556"/>
    <w:rsid w:val="007C478E"/>
    <w:rsid w:val="007C4A30"/>
    <w:rsid w:val="007C5231"/>
    <w:rsid w:val="007C5A46"/>
    <w:rsid w:val="007C6255"/>
    <w:rsid w:val="007C77B5"/>
    <w:rsid w:val="007C7C18"/>
    <w:rsid w:val="007D00A8"/>
    <w:rsid w:val="007D0295"/>
    <w:rsid w:val="007D09FD"/>
    <w:rsid w:val="007D0D48"/>
    <w:rsid w:val="007D2070"/>
    <w:rsid w:val="007D2E1D"/>
    <w:rsid w:val="007D319E"/>
    <w:rsid w:val="007D3CAE"/>
    <w:rsid w:val="007D3E79"/>
    <w:rsid w:val="007D49B2"/>
    <w:rsid w:val="007D4A19"/>
    <w:rsid w:val="007D52B2"/>
    <w:rsid w:val="007D5459"/>
    <w:rsid w:val="007D55AA"/>
    <w:rsid w:val="007D573F"/>
    <w:rsid w:val="007D5A1A"/>
    <w:rsid w:val="007D5AB8"/>
    <w:rsid w:val="007D6022"/>
    <w:rsid w:val="007D60BB"/>
    <w:rsid w:val="007D622D"/>
    <w:rsid w:val="007D64F3"/>
    <w:rsid w:val="007D6509"/>
    <w:rsid w:val="007D6A83"/>
    <w:rsid w:val="007D7AE0"/>
    <w:rsid w:val="007D7E02"/>
    <w:rsid w:val="007D7F9D"/>
    <w:rsid w:val="007E0069"/>
    <w:rsid w:val="007E0147"/>
    <w:rsid w:val="007E0674"/>
    <w:rsid w:val="007E0CB2"/>
    <w:rsid w:val="007E1293"/>
    <w:rsid w:val="007E2128"/>
    <w:rsid w:val="007E27C3"/>
    <w:rsid w:val="007E29BC"/>
    <w:rsid w:val="007E3098"/>
    <w:rsid w:val="007E32A4"/>
    <w:rsid w:val="007E3744"/>
    <w:rsid w:val="007E3A45"/>
    <w:rsid w:val="007E4F06"/>
    <w:rsid w:val="007E6288"/>
    <w:rsid w:val="007E6440"/>
    <w:rsid w:val="007E6602"/>
    <w:rsid w:val="007E7441"/>
    <w:rsid w:val="007E7A5D"/>
    <w:rsid w:val="007F13DD"/>
    <w:rsid w:val="007F23DA"/>
    <w:rsid w:val="007F26F6"/>
    <w:rsid w:val="007F2D60"/>
    <w:rsid w:val="007F3604"/>
    <w:rsid w:val="007F43EE"/>
    <w:rsid w:val="007F4C11"/>
    <w:rsid w:val="007F4C36"/>
    <w:rsid w:val="007F5C7B"/>
    <w:rsid w:val="007F5E2F"/>
    <w:rsid w:val="007F5EB3"/>
    <w:rsid w:val="007F696D"/>
    <w:rsid w:val="007F6E51"/>
    <w:rsid w:val="007F71D0"/>
    <w:rsid w:val="007F78A4"/>
    <w:rsid w:val="007F7E1E"/>
    <w:rsid w:val="0080103A"/>
    <w:rsid w:val="00801257"/>
    <w:rsid w:val="008016EE"/>
    <w:rsid w:val="008018A3"/>
    <w:rsid w:val="00803845"/>
    <w:rsid w:val="00804271"/>
    <w:rsid w:val="00804FE3"/>
    <w:rsid w:val="00805102"/>
    <w:rsid w:val="00805585"/>
    <w:rsid w:val="00806098"/>
    <w:rsid w:val="00806545"/>
    <w:rsid w:val="008075F0"/>
    <w:rsid w:val="0080772D"/>
    <w:rsid w:val="00810A2D"/>
    <w:rsid w:val="00810E2C"/>
    <w:rsid w:val="00810F5A"/>
    <w:rsid w:val="00811345"/>
    <w:rsid w:val="00812207"/>
    <w:rsid w:val="008134C9"/>
    <w:rsid w:val="00813678"/>
    <w:rsid w:val="008137C1"/>
    <w:rsid w:val="00813DE9"/>
    <w:rsid w:val="008149A4"/>
    <w:rsid w:val="0081582F"/>
    <w:rsid w:val="00815BCB"/>
    <w:rsid w:val="0081701F"/>
    <w:rsid w:val="00820101"/>
    <w:rsid w:val="008201B0"/>
    <w:rsid w:val="008206A1"/>
    <w:rsid w:val="00821859"/>
    <w:rsid w:val="008218F5"/>
    <w:rsid w:val="008235FE"/>
    <w:rsid w:val="0082379B"/>
    <w:rsid w:val="0082398F"/>
    <w:rsid w:val="00823E02"/>
    <w:rsid w:val="00823FF1"/>
    <w:rsid w:val="008243D8"/>
    <w:rsid w:val="008245E4"/>
    <w:rsid w:val="00824936"/>
    <w:rsid w:val="00824D76"/>
    <w:rsid w:val="00825211"/>
    <w:rsid w:val="00825EF2"/>
    <w:rsid w:val="008260C7"/>
    <w:rsid w:val="00826F40"/>
    <w:rsid w:val="008274CD"/>
    <w:rsid w:val="00827927"/>
    <w:rsid w:val="00827FA2"/>
    <w:rsid w:val="0083054D"/>
    <w:rsid w:val="00831ED6"/>
    <w:rsid w:val="008321A9"/>
    <w:rsid w:val="00832592"/>
    <w:rsid w:val="008328E8"/>
    <w:rsid w:val="00832E13"/>
    <w:rsid w:val="00832F25"/>
    <w:rsid w:val="00832FCB"/>
    <w:rsid w:val="00833BF8"/>
    <w:rsid w:val="008340E3"/>
    <w:rsid w:val="0083504A"/>
    <w:rsid w:val="00835B2F"/>
    <w:rsid w:val="00836038"/>
    <w:rsid w:val="0083606F"/>
    <w:rsid w:val="00836D7E"/>
    <w:rsid w:val="008376AE"/>
    <w:rsid w:val="008379D1"/>
    <w:rsid w:val="00837D0B"/>
    <w:rsid w:val="008402A2"/>
    <w:rsid w:val="0084196C"/>
    <w:rsid w:val="00841A32"/>
    <w:rsid w:val="00842B90"/>
    <w:rsid w:val="00843116"/>
    <w:rsid w:val="008434D1"/>
    <w:rsid w:val="0084359F"/>
    <w:rsid w:val="008436CD"/>
    <w:rsid w:val="00843B59"/>
    <w:rsid w:val="00844129"/>
    <w:rsid w:val="0084524E"/>
    <w:rsid w:val="008453C6"/>
    <w:rsid w:val="00845C0E"/>
    <w:rsid w:val="008461A4"/>
    <w:rsid w:val="0084699F"/>
    <w:rsid w:val="008475FF"/>
    <w:rsid w:val="00850147"/>
    <w:rsid w:val="00850495"/>
    <w:rsid w:val="008507C4"/>
    <w:rsid w:val="00850E06"/>
    <w:rsid w:val="00850E0D"/>
    <w:rsid w:val="008515C6"/>
    <w:rsid w:val="0085212E"/>
    <w:rsid w:val="00852497"/>
    <w:rsid w:val="00852566"/>
    <w:rsid w:val="00852A64"/>
    <w:rsid w:val="00852D20"/>
    <w:rsid w:val="00852F56"/>
    <w:rsid w:val="008534E9"/>
    <w:rsid w:val="00853DD6"/>
    <w:rsid w:val="00854417"/>
    <w:rsid w:val="008548EF"/>
    <w:rsid w:val="00854CE3"/>
    <w:rsid w:val="0085529B"/>
    <w:rsid w:val="00855B25"/>
    <w:rsid w:val="00855F61"/>
    <w:rsid w:val="008560D5"/>
    <w:rsid w:val="008563B6"/>
    <w:rsid w:val="008568D0"/>
    <w:rsid w:val="00856B2B"/>
    <w:rsid w:val="0085716D"/>
    <w:rsid w:val="008573B9"/>
    <w:rsid w:val="00857775"/>
    <w:rsid w:val="00857AC2"/>
    <w:rsid w:val="00857CEF"/>
    <w:rsid w:val="00857DE0"/>
    <w:rsid w:val="00860FDC"/>
    <w:rsid w:val="0086114D"/>
    <w:rsid w:val="00861C4B"/>
    <w:rsid w:val="00861F92"/>
    <w:rsid w:val="0086242F"/>
    <w:rsid w:val="008625C4"/>
    <w:rsid w:val="0086262D"/>
    <w:rsid w:val="00862785"/>
    <w:rsid w:val="00862F86"/>
    <w:rsid w:val="00863FED"/>
    <w:rsid w:val="00864123"/>
    <w:rsid w:val="008646A8"/>
    <w:rsid w:val="00864DD2"/>
    <w:rsid w:val="00865246"/>
    <w:rsid w:val="008654E7"/>
    <w:rsid w:val="008657EA"/>
    <w:rsid w:val="0086719E"/>
    <w:rsid w:val="0086784A"/>
    <w:rsid w:val="00867D37"/>
    <w:rsid w:val="00867FFA"/>
    <w:rsid w:val="008701D5"/>
    <w:rsid w:val="0087074B"/>
    <w:rsid w:val="00870E34"/>
    <w:rsid w:val="0087117A"/>
    <w:rsid w:val="0087151F"/>
    <w:rsid w:val="00871654"/>
    <w:rsid w:val="008719C3"/>
    <w:rsid w:val="00871FB8"/>
    <w:rsid w:val="008731BF"/>
    <w:rsid w:val="008732CB"/>
    <w:rsid w:val="008734DF"/>
    <w:rsid w:val="008744A3"/>
    <w:rsid w:val="0087489A"/>
    <w:rsid w:val="00876148"/>
    <w:rsid w:val="00876285"/>
    <w:rsid w:val="00876EDB"/>
    <w:rsid w:val="00876F6A"/>
    <w:rsid w:val="008809AC"/>
    <w:rsid w:val="008809BE"/>
    <w:rsid w:val="00880C77"/>
    <w:rsid w:val="00880D5C"/>
    <w:rsid w:val="00880F2C"/>
    <w:rsid w:val="00881126"/>
    <w:rsid w:val="008813C6"/>
    <w:rsid w:val="00881414"/>
    <w:rsid w:val="008819D7"/>
    <w:rsid w:val="00882108"/>
    <w:rsid w:val="00882BBD"/>
    <w:rsid w:val="00882D1B"/>
    <w:rsid w:val="00883199"/>
    <w:rsid w:val="008834C4"/>
    <w:rsid w:val="0088442E"/>
    <w:rsid w:val="00884AE2"/>
    <w:rsid w:val="00885113"/>
    <w:rsid w:val="008856B9"/>
    <w:rsid w:val="008857A0"/>
    <w:rsid w:val="008861CB"/>
    <w:rsid w:val="00886F71"/>
    <w:rsid w:val="0089030B"/>
    <w:rsid w:val="0089047A"/>
    <w:rsid w:val="00890A82"/>
    <w:rsid w:val="00891D3D"/>
    <w:rsid w:val="00892286"/>
    <w:rsid w:val="008936F5"/>
    <w:rsid w:val="00893AC7"/>
    <w:rsid w:val="0089479C"/>
    <w:rsid w:val="00894C8D"/>
    <w:rsid w:val="00894F7F"/>
    <w:rsid w:val="00894FE7"/>
    <w:rsid w:val="008957DD"/>
    <w:rsid w:val="00895D39"/>
    <w:rsid w:val="00895DD6"/>
    <w:rsid w:val="00896367"/>
    <w:rsid w:val="00896580"/>
    <w:rsid w:val="008966B7"/>
    <w:rsid w:val="008A00DE"/>
    <w:rsid w:val="008A0A32"/>
    <w:rsid w:val="008A16CE"/>
    <w:rsid w:val="008A1A67"/>
    <w:rsid w:val="008A2382"/>
    <w:rsid w:val="008A2C70"/>
    <w:rsid w:val="008A305B"/>
    <w:rsid w:val="008A32B8"/>
    <w:rsid w:val="008A3364"/>
    <w:rsid w:val="008A425F"/>
    <w:rsid w:val="008A4D84"/>
    <w:rsid w:val="008A4FD7"/>
    <w:rsid w:val="008A515E"/>
    <w:rsid w:val="008A52A9"/>
    <w:rsid w:val="008A5AD5"/>
    <w:rsid w:val="008A5C4D"/>
    <w:rsid w:val="008A5C7D"/>
    <w:rsid w:val="008A609B"/>
    <w:rsid w:val="008A62FA"/>
    <w:rsid w:val="008A662B"/>
    <w:rsid w:val="008A6727"/>
    <w:rsid w:val="008A789E"/>
    <w:rsid w:val="008A7B13"/>
    <w:rsid w:val="008B0020"/>
    <w:rsid w:val="008B101A"/>
    <w:rsid w:val="008B15A0"/>
    <w:rsid w:val="008B212E"/>
    <w:rsid w:val="008B2502"/>
    <w:rsid w:val="008B28F6"/>
    <w:rsid w:val="008B2CAE"/>
    <w:rsid w:val="008B301C"/>
    <w:rsid w:val="008B3755"/>
    <w:rsid w:val="008B3ADA"/>
    <w:rsid w:val="008B3B12"/>
    <w:rsid w:val="008B3FB1"/>
    <w:rsid w:val="008B459E"/>
    <w:rsid w:val="008B4839"/>
    <w:rsid w:val="008B487B"/>
    <w:rsid w:val="008B5312"/>
    <w:rsid w:val="008B5999"/>
    <w:rsid w:val="008B6766"/>
    <w:rsid w:val="008B68B4"/>
    <w:rsid w:val="008B6A9E"/>
    <w:rsid w:val="008B701D"/>
    <w:rsid w:val="008B7681"/>
    <w:rsid w:val="008B7A53"/>
    <w:rsid w:val="008B7D27"/>
    <w:rsid w:val="008B7DC4"/>
    <w:rsid w:val="008C0BED"/>
    <w:rsid w:val="008C0CB4"/>
    <w:rsid w:val="008C13CE"/>
    <w:rsid w:val="008C1475"/>
    <w:rsid w:val="008C1B63"/>
    <w:rsid w:val="008C1D10"/>
    <w:rsid w:val="008C334C"/>
    <w:rsid w:val="008C3E8A"/>
    <w:rsid w:val="008C4C3F"/>
    <w:rsid w:val="008C4CB1"/>
    <w:rsid w:val="008C5B41"/>
    <w:rsid w:val="008C5BA0"/>
    <w:rsid w:val="008C68B6"/>
    <w:rsid w:val="008C697A"/>
    <w:rsid w:val="008C6BDC"/>
    <w:rsid w:val="008C779B"/>
    <w:rsid w:val="008C77AF"/>
    <w:rsid w:val="008C7C22"/>
    <w:rsid w:val="008C7FCE"/>
    <w:rsid w:val="008D06D8"/>
    <w:rsid w:val="008D0F7F"/>
    <w:rsid w:val="008D12C5"/>
    <w:rsid w:val="008D1A3F"/>
    <w:rsid w:val="008D1F53"/>
    <w:rsid w:val="008D230B"/>
    <w:rsid w:val="008D23EB"/>
    <w:rsid w:val="008D25F7"/>
    <w:rsid w:val="008D2C10"/>
    <w:rsid w:val="008D33C2"/>
    <w:rsid w:val="008D37AB"/>
    <w:rsid w:val="008D392C"/>
    <w:rsid w:val="008D3F9A"/>
    <w:rsid w:val="008D46C5"/>
    <w:rsid w:val="008D4A0D"/>
    <w:rsid w:val="008D4E40"/>
    <w:rsid w:val="008D4F45"/>
    <w:rsid w:val="008D5121"/>
    <w:rsid w:val="008D6601"/>
    <w:rsid w:val="008D6716"/>
    <w:rsid w:val="008D7028"/>
    <w:rsid w:val="008E01BF"/>
    <w:rsid w:val="008E03CD"/>
    <w:rsid w:val="008E03F1"/>
    <w:rsid w:val="008E0FF1"/>
    <w:rsid w:val="008E1F08"/>
    <w:rsid w:val="008E2253"/>
    <w:rsid w:val="008E2AAE"/>
    <w:rsid w:val="008E2B75"/>
    <w:rsid w:val="008E2B8B"/>
    <w:rsid w:val="008E2BA4"/>
    <w:rsid w:val="008E31E6"/>
    <w:rsid w:val="008E392E"/>
    <w:rsid w:val="008E3AF6"/>
    <w:rsid w:val="008E4821"/>
    <w:rsid w:val="008E5020"/>
    <w:rsid w:val="008E5498"/>
    <w:rsid w:val="008E57F7"/>
    <w:rsid w:val="008E5F69"/>
    <w:rsid w:val="008E68DF"/>
    <w:rsid w:val="008E7416"/>
    <w:rsid w:val="008E750D"/>
    <w:rsid w:val="008E7F85"/>
    <w:rsid w:val="008F0267"/>
    <w:rsid w:val="008F0896"/>
    <w:rsid w:val="008F1279"/>
    <w:rsid w:val="008F2239"/>
    <w:rsid w:val="008F3009"/>
    <w:rsid w:val="008F3021"/>
    <w:rsid w:val="008F3258"/>
    <w:rsid w:val="008F4B2C"/>
    <w:rsid w:val="008F5C62"/>
    <w:rsid w:val="008F604E"/>
    <w:rsid w:val="008F6F08"/>
    <w:rsid w:val="008F7177"/>
    <w:rsid w:val="008F71D3"/>
    <w:rsid w:val="008F730A"/>
    <w:rsid w:val="008F7566"/>
    <w:rsid w:val="009000C7"/>
    <w:rsid w:val="00900747"/>
    <w:rsid w:val="00900DF1"/>
    <w:rsid w:val="00900E99"/>
    <w:rsid w:val="00902580"/>
    <w:rsid w:val="0090263F"/>
    <w:rsid w:val="00902BBF"/>
    <w:rsid w:val="00903088"/>
    <w:rsid w:val="00903570"/>
    <w:rsid w:val="00904813"/>
    <w:rsid w:val="00904B9B"/>
    <w:rsid w:val="009053DA"/>
    <w:rsid w:val="0090543A"/>
    <w:rsid w:val="0090560A"/>
    <w:rsid w:val="00905CF5"/>
    <w:rsid w:val="00906545"/>
    <w:rsid w:val="0090692F"/>
    <w:rsid w:val="00907996"/>
    <w:rsid w:val="00907AC1"/>
    <w:rsid w:val="00910128"/>
    <w:rsid w:val="0091024E"/>
    <w:rsid w:val="0091142C"/>
    <w:rsid w:val="009118E4"/>
    <w:rsid w:val="00911A49"/>
    <w:rsid w:val="00911EDD"/>
    <w:rsid w:val="009125D7"/>
    <w:rsid w:val="00912CAE"/>
    <w:rsid w:val="00912E90"/>
    <w:rsid w:val="00912E9E"/>
    <w:rsid w:val="00912FEA"/>
    <w:rsid w:val="0091347A"/>
    <w:rsid w:val="0091425B"/>
    <w:rsid w:val="00915C67"/>
    <w:rsid w:val="00916006"/>
    <w:rsid w:val="009161D5"/>
    <w:rsid w:val="0091654A"/>
    <w:rsid w:val="00916AD2"/>
    <w:rsid w:val="00916CC9"/>
    <w:rsid w:val="00916CCE"/>
    <w:rsid w:val="00920077"/>
    <w:rsid w:val="00920327"/>
    <w:rsid w:val="0092049F"/>
    <w:rsid w:val="00920A62"/>
    <w:rsid w:val="00920BC6"/>
    <w:rsid w:val="00920C5A"/>
    <w:rsid w:val="00921990"/>
    <w:rsid w:val="00921D1C"/>
    <w:rsid w:val="00922C35"/>
    <w:rsid w:val="009237C1"/>
    <w:rsid w:val="00923A7A"/>
    <w:rsid w:val="00923EEC"/>
    <w:rsid w:val="00924F6C"/>
    <w:rsid w:val="0092523D"/>
    <w:rsid w:val="009255AC"/>
    <w:rsid w:val="009255B6"/>
    <w:rsid w:val="00925D73"/>
    <w:rsid w:val="00926671"/>
    <w:rsid w:val="00926F2C"/>
    <w:rsid w:val="00927512"/>
    <w:rsid w:val="009275F3"/>
    <w:rsid w:val="00927EB0"/>
    <w:rsid w:val="0093087D"/>
    <w:rsid w:val="00930C0A"/>
    <w:rsid w:val="00931DBB"/>
    <w:rsid w:val="0093206D"/>
    <w:rsid w:val="00932233"/>
    <w:rsid w:val="00932941"/>
    <w:rsid w:val="00932D5A"/>
    <w:rsid w:val="00932FCD"/>
    <w:rsid w:val="009330C8"/>
    <w:rsid w:val="00933E3B"/>
    <w:rsid w:val="00933ECF"/>
    <w:rsid w:val="00933FD4"/>
    <w:rsid w:val="0093496D"/>
    <w:rsid w:val="009353A0"/>
    <w:rsid w:val="00935775"/>
    <w:rsid w:val="0093599E"/>
    <w:rsid w:val="00935DD0"/>
    <w:rsid w:val="009361F9"/>
    <w:rsid w:val="00936313"/>
    <w:rsid w:val="00936A20"/>
    <w:rsid w:val="00936AB2"/>
    <w:rsid w:val="00936EAD"/>
    <w:rsid w:val="009372C3"/>
    <w:rsid w:val="009373F5"/>
    <w:rsid w:val="00937505"/>
    <w:rsid w:val="009379D5"/>
    <w:rsid w:val="00937A40"/>
    <w:rsid w:val="00940741"/>
    <w:rsid w:val="00940E91"/>
    <w:rsid w:val="0094111C"/>
    <w:rsid w:val="0094124F"/>
    <w:rsid w:val="009418E2"/>
    <w:rsid w:val="009418E9"/>
    <w:rsid w:val="00941E86"/>
    <w:rsid w:val="00941E8A"/>
    <w:rsid w:val="00942198"/>
    <w:rsid w:val="00942221"/>
    <w:rsid w:val="00942293"/>
    <w:rsid w:val="00942E1B"/>
    <w:rsid w:val="00942EDE"/>
    <w:rsid w:val="009433CE"/>
    <w:rsid w:val="00943CE3"/>
    <w:rsid w:val="009447D3"/>
    <w:rsid w:val="00944A8D"/>
    <w:rsid w:val="0094515B"/>
    <w:rsid w:val="009457D0"/>
    <w:rsid w:val="00945AF5"/>
    <w:rsid w:val="00945B24"/>
    <w:rsid w:val="00945B95"/>
    <w:rsid w:val="00945EDD"/>
    <w:rsid w:val="00946828"/>
    <w:rsid w:val="0094683A"/>
    <w:rsid w:val="00946CD4"/>
    <w:rsid w:val="00947B54"/>
    <w:rsid w:val="0095024C"/>
    <w:rsid w:val="00950C12"/>
    <w:rsid w:val="00950D4B"/>
    <w:rsid w:val="00951047"/>
    <w:rsid w:val="00951B59"/>
    <w:rsid w:val="00951DE0"/>
    <w:rsid w:val="00952309"/>
    <w:rsid w:val="0095348F"/>
    <w:rsid w:val="00953724"/>
    <w:rsid w:val="00953793"/>
    <w:rsid w:val="0095386B"/>
    <w:rsid w:val="0095388E"/>
    <w:rsid w:val="00953BC9"/>
    <w:rsid w:val="00953EF2"/>
    <w:rsid w:val="0095465D"/>
    <w:rsid w:val="00954700"/>
    <w:rsid w:val="009548D2"/>
    <w:rsid w:val="00954A88"/>
    <w:rsid w:val="00954DFE"/>
    <w:rsid w:val="0095542B"/>
    <w:rsid w:val="00955D14"/>
    <w:rsid w:val="009568CB"/>
    <w:rsid w:val="00956A23"/>
    <w:rsid w:val="00956C8A"/>
    <w:rsid w:val="00956DB5"/>
    <w:rsid w:val="00957197"/>
    <w:rsid w:val="009600A5"/>
    <w:rsid w:val="00960269"/>
    <w:rsid w:val="00963CE3"/>
    <w:rsid w:val="00963F59"/>
    <w:rsid w:val="0096420F"/>
    <w:rsid w:val="00964322"/>
    <w:rsid w:val="0096460C"/>
    <w:rsid w:val="00964B9F"/>
    <w:rsid w:val="009654FF"/>
    <w:rsid w:val="009661AE"/>
    <w:rsid w:val="009667D9"/>
    <w:rsid w:val="00966BE1"/>
    <w:rsid w:val="00966E8C"/>
    <w:rsid w:val="009673BB"/>
    <w:rsid w:val="009673EA"/>
    <w:rsid w:val="009679CB"/>
    <w:rsid w:val="00967CBB"/>
    <w:rsid w:val="0097008F"/>
    <w:rsid w:val="00970131"/>
    <w:rsid w:val="00970A80"/>
    <w:rsid w:val="00970CFC"/>
    <w:rsid w:val="009727EB"/>
    <w:rsid w:val="00973429"/>
    <w:rsid w:val="00973727"/>
    <w:rsid w:val="00973D7E"/>
    <w:rsid w:val="009740FC"/>
    <w:rsid w:val="00974CD5"/>
    <w:rsid w:val="00974DE6"/>
    <w:rsid w:val="00975115"/>
    <w:rsid w:val="00975930"/>
    <w:rsid w:val="00976358"/>
    <w:rsid w:val="009768DD"/>
    <w:rsid w:val="00976A92"/>
    <w:rsid w:val="0097723C"/>
    <w:rsid w:val="00977C46"/>
    <w:rsid w:val="00980421"/>
    <w:rsid w:val="00980850"/>
    <w:rsid w:val="0098176B"/>
    <w:rsid w:val="00981B2E"/>
    <w:rsid w:val="00981C6F"/>
    <w:rsid w:val="00982BED"/>
    <w:rsid w:val="00982CBC"/>
    <w:rsid w:val="0098379F"/>
    <w:rsid w:val="00983910"/>
    <w:rsid w:val="00983C23"/>
    <w:rsid w:val="00983C99"/>
    <w:rsid w:val="00983D1F"/>
    <w:rsid w:val="00985506"/>
    <w:rsid w:val="0098569B"/>
    <w:rsid w:val="00985A2D"/>
    <w:rsid w:val="009866A7"/>
    <w:rsid w:val="00986738"/>
    <w:rsid w:val="009867C6"/>
    <w:rsid w:val="00987255"/>
    <w:rsid w:val="00987D2A"/>
    <w:rsid w:val="0099016E"/>
    <w:rsid w:val="00990738"/>
    <w:rsid w:val="0099094E"/>
    <w:rsid w:val="00991E23"/>
    <w:rsid w:val="009920B3"/>
    <w:rsid w:val="0099275F"/>
    <w:rsid w:val="0099294C"/>
    <w:rsid w:val="00992BCB"/>
    <w:rsid w:val="00992C12"/>
    <w:rsid w:val="00992DAC"/>
    <w:rsid w:val="00993153"/>
    <w:rsid w:val="00993574"/>
    <w:rsid w:val="00993BDB"/>
    <w:rsid w:val="009940CC"/>
    <w:rsid w:val="009947AD"/>
    <w:rsid w:val="00994BD4"/>
    <w:rsid w:val="00995098"/>
    <w:rsid w:val="00995847"/>
    <w:rsid w:val="00995F89"/>
    <w:rsid w:val="00996331"/>
    <w:rsid w:val="00996D00"/>
    <w:rsid w:val="00996E77"/>
    <w:rsid w:val="00997455"/>
    <w:rsid w:val="0099747D"/>
    <w:rsid w:val="0099774D"/>
    <w:rsid w:val="009A0056"/>
    <w:rsid w:val="009A076E"/>
    <w:rsid w:val="009A0D27"/>
    <w:rsid w:val="009A0FCC"/>
    <w:rsid w:val="009A25B3"/>
    <w:rsid w:val="009A2A4F"/>
    <w:rsid w:val="009A2BB8"/>
    <w:rsid w:val="009A2C14"/>
    <w:rsid w:val="009A2EBB"/>
    <w:rsid w:val="009A3803"/>
    <w:rsid w:val="009A3A13"/>
    <w:rsid w:val="009A3F2E"/>
    <w:rsid w:val="009A458F"/>
    <w:rsid w:val="009A4673"/>
    <w:rsid w:val="009A571C"/>
    <w:rsid w:val="009A60F4"/>
    <w:rsid w:val="009A69B7"/>
    <w:rsid w:val="009A7B39"/>
    <w:rsid w:val="009A7F88"/>
    <w:rsid w:val="009B15C4"/>
    <w:rsid w:val="009B1606"/>
    <w:rsid w:val="009B1940"/>
    <w:rsid w:val="009B19EA"/>
    <w:rsid w:val="009B1F3B"/>
    <w:rsid w:val="009B2103"/>
    <w:rsid w:val="009B2CCE"/>
    <w:rsid w:val="009B51CD"/>
    <w:rsid w:val="009B54C9"/>
    <w:rsid w:val="009B5784"/>
    <w:rsid w:val="009B59E2"/>
    <w:rsid w:val="009B66F8"/>
    <w:rsid w:val="009B73C8"/>
    <w:rsid w:val="009B744D"/>
    <w:rsid w:val="009B74C3"/>
    <w:rsid w:val="009B77C6"/>
    <w:rsid w:val="009C05CC"/>
    <w:rsid w:val="009C067A"/>
    <w:rsid w:val="009C0BFA"/>
    <w:rsid w:val="009C1228"/>
    <w:rsid w:val="009C14DF"/>
    <w:rsid w:val="009C1AF1"/>
    <w:rsid w:val="009C1FBF"/>
    <w:rsid w:val="009C214C"/>
    <w:rsid w:val="009C21D2"/>
    <w:rsid w:val="009C3380"/>
    <w:rsid w:val="009C508E"/>
    <w:rsid w:val="009C5517"/>
    <w:rsid w:val="009C5548"/>
    <w:rsid w:val="009C5A7D"/>
    <w:rsid w:val="009C5BAC"/>
    <w:rsid w:val="009C636B"/>
    <w:rsid w:val="009C6F1E"/>
    <w:rsid w:val="009C7067"/>
    <w:rsid w:val="009C7195"/>
    <w:rsid w:val="009C7426"/>
    <w:rsid w:val="009C742A"/>
    <w:rsid w:val="009D0C1F"/>
    <w:rsid w:val="009D0C97"/>
    <w:rsid w:val="009D1193"/>
    <w:rsid w:val="009D1B32"/>
    <w:rsid w:val="009D1E77"/>
    <w:rsid w:val="009D327C"/>
    <w:rsid w:val="009D372A"/>
    <w:rsid w:val="009D379E"/>
    <w:rsid w:val="009D392D"/>
    <w:rsid w:val="009D39E3"/>
    <w:rsid w:val="009D3D89"/>
    <w:rsid w:val="009D3F06"/>
    <w:rsid w:val="009D415E"/>
    <w:rsid w:val="009D4588"/>
    <w:rsid w:val="009D48C7"/>
    <w:rsid w:val="009D4C9C"/>
    <w:rsid w:val="009D4CA7"/>
    <w:rsid w:val="009D58A7"/>
    <w:rsid w:val="009D5D3F"/>
    <w:rsid w:val="009D6592"/>
    <w:rsid w:val="009D6D9C"/>
    <w:rsid w:val="009D6DF3"/>
    <w:rsid w:val="009D76FA"/>
    <w:rsid w:val="009D7F7B"/>
    <w:rsid w:val="009E1621"/>
    <w:rsid w:val="009E179C"/>
    <w:rsid w:val="009E18D2"/>
    <w:rsid w:val="009E1A1B"/>
    <w:rsid w:val="009E1B10"/>
    <w:rsid w:val="009E1DBC"/>
    <w:rsid w:val="009E1F8F"/>
    <w:rsid w:val="009E2DF5"/>
    <w:rsid w:val="009E317E"/>
    <w:rsid w:val="009E35FB"/>
    <w:rsid w:val="009E3E5A"/>
    <w:rsid w:val="009E5206"/>
    <w:rsid w:val="009E57FA"/>
    <w:rsid w:val="009E5C1B"/>
    <w:rsid w:val="009E63DD"/>
    <w:rsid w:val="009E644B"/>
    <w:rsid w:val="009E65A5"/>
    <w:rsid w:val="009E69E2"/>
    <w:rsid w:val="009E72B6"/>
    <w:rsid w:val="009F11C7"/>
    <w:rsid w:val="009F24FC"/>
    <w:rsid w:val="009F2C56"/>
    <w:rsid w:val="009F37A3"/>
    <w:rsid w:val="009F3F28"/>
    <w:rsid w:val="009F4285"/>
    <w:rsid w:val="009F4494"/>
    <w:rsid w:val="009F4507"/>
    <w:rsid w:val="009F457B"/>
    <w:rsid w:val="009F4785"/>
    <w:rsid w:val="009F48AA"/>
    <w:rsid w:val="009F48FA"/>
    <w:rsid w:val="009F4E38"/>
    <w:rsid w:val="009F5742"/>
    <w:rsid w:val="009F5782"/>
    <w:rsid w:val="009F5DDB"/>
    <w:rsid w:val="009F5FBF"/>
    <w:rsid w:val="009F6012"/>
    <w:rsid w:val="00A000BB"/>
    <w:rsid w:val="00A006F9"/>
    <w:rsid w:val="00A00A68"/>
    <w:rsid w:val="00A00D92"/>
    <w:rsid w:val="00A012FD"/>
    <w:rsid w:val="00A0135D"/>
    <w:rsid w:val="00A01697"/>
    <w:rsid w:val="00A01767"/>
    <w:rsid w:val="00A01AFF"/>
    <w:rsid w:val="00A01ECC"/>
    <w:rsid w:val="00A02171"/>
    <w:rsid w:val="00A02501"/>
    <w:rsid w:val="00A02606"/>
    <w:rsid w:val="00A03E4D"/>
    <w:rsid w:val="00A05492"/>
    <w:rsid w:val="00A055E9"/>
    <w:rsid w:val="00A057BB"/>
    <w:rsid w:val="00A0589A"/>
    <w:rsid w:val="00A061A0"/>
    <w:rsid w:val="00A06462"/>
    <w:rsid w:val="00A06F80"/>
    <w:rsid w:val="00A07FF5"/>
    <w:rsid w:val="00A10923"/>
    <w:rsid w:val="00A10D17"/>
    <w:rsid w:val="00A10D82"/>
    <w:rsid w:val="00A11107"/>
    <w:rsid w:val="00A11230"/>
    <w:rsid w:val="00A11620"/>
    <w:rsid w:val="00A11D48"/>
    <w:rsid w:val="00A11EB1"/>
    <w:rsid w:val="00A121D8"/>
    <w:rsid w:val="00A12370"/>
    <w:rsid w:val="00A12529"/>
    <w:rsid w:val="00A1270C"/>
    <w:rsid w:val="00A128C0"/>
    <w:rsid w:val="00A12F30"/>
    <w:rsid w:val="00A12FE2"/>
    <w:rsid w:val="00A132DE"/>
    <w:rsid w:val="00A13410"/>
    <w:rsid w:val="00A13429"/>
    <w:rsid w:val="00A13C9D"/>
    <w:rsid w:val="00A1458E"/>
    <w:rsid w:val="00A14C6F"/>
    <w:rsid w:val="00A150F7"/>
    <w:rsid w:val="00A156F4"/>
    <w:rsid w:val="00A15CC2"/>
    <w:rsid w:val="00A21794"/>
    <w:rsid w:val="00A2179E"/>
    <w:rsid w:val="00A22C71"/>
    <w:rsid w:val="00A22DBD"/>
    <w:rsid w:val="00A22E1D"/>
    <w:rsid w:val="00A2366A"/>
    <w:rsid w:val="00A23DCB"/>
    <w:rsid w:val="00A24BB1"/>
    <w:rsid w:val="00A24F67"/>
    <w:rsid w:val="00A253C8"/>
    <w:rsid w:val="00A2554B"/>
    <w:rsid w:val="00A25C55"/>
    <w:rsid w:val="00A268A9"/>
    <w:rsid w:val="00A26CF2"/>
    <w:rsid w:val="00A27617"/>
    <w:rsid w:val="00A27882"/>
    <w:rsid w:val="00A27BFE"/>
    <w:rsid w:val="00A27EBA"/>
    <w:rsid w:val="00A27F2A"/>
    <w:rsid w:val="00A306B5"/>
    <w:rsid w:val="00A30A68"/>
    <w:rsid w:val="00A30E67"/>
    <w:rsid w:val="00A30ED5"/>
    <w:rsid w:val="00A31406"/>
    <w:rsid w:val="00A31498"/>
    <w:rsid w:val="00A32211"/>
    <w:rsid w:val="00A329E9"/>
    <w:rsid w:val="00A33030"/>
    <w:rsid w:val="00A33E6C"/>
    <w:rsid w:val="00A33F47"/>
    <w:rsid w:val="00A34081"/>
    <w:rsid w:val="00A341E3"/>
    <w:rsid w:val="00A3446C"/>
    <w:rsid w:val="00A348A9"/>
    <w:rsid w:val="00A358F4"/>
    <w:rsid w:val="00A35BC0"/>
    <w:rsid w:val="00A35FF8"/>
    <w:rsid w:val="00A36CDF"/>
    <w:rsid w:val="00A36E46"/>
    <w:rsid w:val="00A379C4"/>
    <w:rsid w:val="00A37BFF"/>
    <w:rsid w:val="00A400F3"/>
    <w:rsid w:val="00A404F9"/>
    <w:rsid w:val="00A40D2E"/>
    <w:rsid w:val="00A415F1"/>
    <w:rsid w:val="00A416C6"/>
    <w:rsid w:val="00A41A36"/>
    <w:rsid w:val="00A41DD7"/>
    <w:rsid w:val="00A41FF3"/>
    <w:rsid w:val="00A42611"/>
    <w:rsid w:val="00A42917"/>
    <w:rsid w:val="00A43357"/>
    <w:rsid w:val="00A440DB"/>
    <w:rsid w:val="00A44F77"/>
    <w:rsid w:val="00A459CE"/>
    <w:rsid w:val="00A45B62"/>
    <w:rsid w:val="00A47114"/>
    <w:rsid w:val="00A4787D"/>
    <w:rsid w:val="00A47B38"/>
    <w:rsid w:val="00A50549"/>
    <w:rsid w:val="00A50C0E"/>
    <w:rsid w:val="00A50C86"/>
    <w:rsid w:val="00A511E3"/>
    <w:rsid w:val="00A51358"/>
    <w:rsid w:val="00A5188C"/>
    <w:rsid w:val="00A51EF4"/>
    <w:rsid w:val="00A52258"/>
    <w:rsid w:val="00A53163"/>
    <w:rsid w:val="00A53458"/>
    <w:rsid w:val="00A535EB"/>
    <w:rsid w:val="00A537E2"/>
    <w:rsid w:val="00A54548"/>
    <w:rsid w:val="00A5456A"/>
    <w:rsid w:val="00A5487E"/>
    <w:rsid w:val="00A54DA4"/>
    <w:rsid w:val="00A5516C"/>
    <w:rsid w:val="00A55B01"/>
    <w:rsid w:val="00A56411"/>
    <w:rsid w:val="00A577A9"/>
    <w:rsid w:val="00A578A0"/>
    <w:rsid w:val="00A57AC8"/>
    <w:rsid w:val="00A60D6B"/>
    <w:rsid w:val="00A60DD0"/>
    <w:rsid w:val="00A60E2B"/>
    <w:rsid w:val="00A60FA2"/>
    <w:rsid w:val="00A60FCF"/>
    <w:rsid w:val="00A614ED"/>
    <w:rsid w:val="00A61885"/>
    <w:rsid w:val="00A62157"/>
    <w:rsid w:val="00A62369"/>
    <w:rsid w:val="00A623A1"/>
    <w:rsid w:val="00A629D7"/>
    <w:rsid w:val="00A6332A"/>
    <w:rsid w:val="00A63983"/>
    <w:rsid w:val="00A6464A"/>
    <w:rsid w:val="00A646FA"/>
    <w:rsid w:val="00A649FA"/>
    <w:rsid w:val="00A65477"/>
    <w:rsid w:val="00A654F9"/>
    <w:rsid w:val="00A65FEB"/>
    <w:rsid w:val="00A661D1"/>
    <w:rsid w:val="00A66A8F"/>
    <w:rsid w:val="00A66FA2"/>
    <w:rsid w:val="00A67800"/>
    <w:rsid w:val="00A67DCE"/>
    <w:rsid w:val="00A70131"/>
    <w:rsid w:val="00A706DA"/>
    <w:rsid w:val="00A70E84"/>
    <w:rsid w:val="00A71018"/>
    <w:rsid w:val="00A714E3"/>
    <w:rsid w:val="00A71A8B"/>
    <w:rsid w:val="00A72655"/>
    <w:rsid w:val="00A72B65"/>
    <w:rsid w:val="00A733AB"/>
    <w:rsid w:val="00A746C1"/>
    <w:rsid w:val="00A7474B"/>
    <w:rsid w:val="00A749B2"/>
    <w:rsid w:val="00A75BA4"/>
    <w:rsid w:val="00A75ED2"/>
    <w:rsid w:val="00A76597"/>
    <w:rsid w:val="00A76DB2"/>
    <w:rsid w:val="00A76FF5"/>
    <w:rsid w:val="00A77329"/>
    <w:rsid w:val="00A80313"/>
    <w:rsid w:val="00A8038B"/>
    <w:rsid w:val="00A80998"/>
    <w:rsid w:val="00A80D1A"/>
    <w:rsid w:val="00A81B43"/>
    <w:rsid w:val="00A822A5"/>
    <w:rsid w:val="00A825A2"/>
    <w:rsid w:val="00A82B8F"/>
    <w:rsid w:val="00A82EA1"/>
    <w:rsid w:val="00A844F5"/>
    <w:rsid w:val="00A84BFC"/>
    <w:rsid w:val="00A85131"/>
    <w:rsid w:val="00A85272"/>
    <w:rsid w:val="00A86370"/>
    <w:rsid w:val="00A86484"/>
    <w:rsid w:val="00A866F5"/>
    <w:rsid w:val="00A86C3A"/>
    <w:rsid w:val="00A90828"/>
    <w:rsid w:val="00A90944"/>
    <w:rsid w:val="00A90DAC"/>
    <w:rsid w:val="00A90EF7"/>
    <w:rsid w:val="00A91427"/>
    <w:rsid w:val="00A9293A"/>
    <w:rsid w:val="00A92A4B"/>
    <w:rsid w:val="00A92FFA"/>
    <w:rsid w:val="00A930E9"/>
    <w:rsid w:val="00A93173"/>
    <w:rsid w:val="00A93DB0"/>
    <w:rsid w:val="00A94213"/>
    <w:rsid w:val="00A947CA"/>
    <w:rsid w:val="00A94A4C"/>
    <w:rsid w:val="00A94CB4"/>
    <w:rsid w:val="00A94F3B"/>
    <w:rsid w:val="00A95503"/>
    <w:rsid w:val="00A958D4"/>
    <w:rsid w:val="00A95E85"/>
    <w:rsid w:val="00A96172"/>
    <w:rsid w:val="00A96512"/>
    <w:rsid w:val="00A97C1D"/>
    <w:rsid w:val="00AA003E"/>
    <w:rsid w:val="00AA0479"/>
    <w:rsid w:val="00AA15B1"/>
    <w:rsid w:val="00AA17EA"/>
    <w:rsid w:val="00AA24BC"/>
    <w:rsid w:val="00AA2C34"/>
    <w:rsid w:val="00AA2E49"/>
    <w:rsid w:val="00AA3184"/>
    <w:rsid w:val="00AA356C"/>
    <w:rsid w:val="00AA3D5B"/>
    <w:rsid w:val="00AA4347"/>
    <w:rsid w:val="00AA5028"/>
    <w:rsid w:val="00AA6A67"/>
    <w:rsid w:val="00AA6D63"/>
    <w:rsid w:val="00AA717C"/>
    <w:rsid w:val="00AA71F7"/>
    <w:rsid w:val="00AA7381"/>
    <w:rsid w:val="00AA7587"/>
    <w:rsid w:val="00AA7C43"/>
    <w:rsid w:val="00AB0A57"/>
    <w:rsid w:val="00AB1140"/>
    <w:rsid w:val="00AB1385"/>
    <w:rsid w:val="00AB15CD"/>
    <w:rsid w:val="00AB1B20"/>
    <w:rsid w:val="00AB20B1"/>
    <w:rsid w:val="00AB2887"/>
    <w:rsid w:val="00AB3AAB"/>
    <w:rsid w:val="00AB4301"/>
    <w:rsid w:val="00AB5754"/>
    <w:rsid w:val="00AB597E"/>
    <w:rsid w:val="00AB61E8"/>
    <w:rsid w:val="00AB69F8"/>
    <w:rsid w:val="00AB71B4"/>
    <w:rsid w:val="00AB7E42"/>
    <w:rsid w:val="00AC19F9"/>
    <w:rsid w:val="00AC2716"/>
    <w:rsid w:val="00AC2A33"/>
    <w:rsid w:val="00AC2D5C"/>
    <w:rsid w:val="00AC32AD"/>
    <w:rsid w:val="00AC3979"/>
    <w:rsid w:val="00AC3EB0"/>
    <w:rsid w:val="00AC3F93"/>
    <w:rsid w:val="00AC4410"/>
    <w:rsid w:val="00AC480A"/>
    <w:rsid w:val="00AC4845"/>
    <w:rsid w:val="00AC5AF8"/>
    <w:rsid w:val="00AC6178"/>
    <w:rsid w:val="00AC62FC"/>
    <w:rsid w:val="00AC649B"/>
    <w:rsid w:val="00AC7628"/>
    <w:rsid w:val="00AC76C5"/>
    <w:rsid w:val="00AC788F"/>
    <w:rsid w:val="00AC7B80"/>
    <w:rsid w:val="00AD03B2"/>
    <w:rsid w:val="00AD09A9"/>
    <w:rsid w:val="00AD0BBE"/>
    <w:rsid w:val="00AD17F1"/>
    <w:rsid w:val="00AD1E6E"/>
    <w:rsid w:val="00AD2938"/>
    <w:rsid w:val="00AD29B1"/>
    <w:rsid w:val="00AD3004"/>
    <w:rsid w:val="00AD3146"/>
    <w:rsid w:val="00AD3162"/>
    <w:rsid w:val="00AD3175"/>
    <w:rsid w:val="00AD3E54"/>
    <w:rsid w:val="00AD3F35"/>
    <w:rsid w:val="00AD404C"/>
    <w:rsid w:val="00AD4064"/>
    <w:rsid w:val="00AD42EF"/>
    <w:rsid w:val="00AD44D4"/>
    <w:rsid w:val="00AD4A2F"/>
    <w:rsid w:val="00AD4DAB"/>
    <w:rsid w:val="00AD61FA"/>
    <w:rsid w:val="00AD6807"/>
    <w:rsid w:val="00AD743A"/>
    <w:rsid w:val="00AD75DB"/>
    <w:rsid w:val="00AD7654"/>
    <w:rsid w:val="00AE001F"/>
    <w:rsid w:val="00AE00F6"/>
    <w:rsid w:val="00AE04D8"/>
    <w:rsid w:val="00AE07C6"/>
    <w:rsid w:val="00AE0DA6"/>
    <w:rsid w:val="00AE15BE"/>
    <w:rsid w:val="00AE21C4"/>
    <w:rsid w:val="00AE25EB"/>
    <w:rsid w:val="00AE2965"/>
    <w:rsid w:val="00AE2C28"/>
    <w:rsid w:val="00AE2DF8"/>
    <w:rsid w:val="00AE3072"/>
    <w:rsid w:val="00AE34D8"/>
    <w:rsid w:val="00AE3E27"/>
    <w:rsid w:val="00AE41A7"/>
    <w:rsid w:val="00AE451D"/>
    <w:rsid w:val="00AE4813"/>
    <w:rsid w:val="00AE4D3C"/>
    <w:rsid w:val="00AE5EA5"/>
    <w:rsid w:val="00AE74B3"/>
    <w:rsid w:val="00AE7C82"/>
    <w:rsid w:val="00AF10EB"/>
    <w:rsid w:val="00AF26AF"/>
    <w:rsid w:val="00AF27EF"/>
    <w:rsid w:val="00AF2EC4"/>
    <w:rsid w:val="00AF3198"/>
    <w:rsid w:val="00AF4482"/>
    <w:rsid w:val="00AF4A14"/>
    <w:rsid w:val="00AF4D30"/>
    <w:rsid w:val="00AF5A6D"/>
    <w:rsid w:val="00AF5BC1"/>
    <w:rsid w:val="00AF5BCB"/>
    <w:rsid w:val="00AF6039"/>
    <w:rsid w:val="00AF6716"/>
    <w:rsid w:val="00AF6844"/>
    <w:rsid w:val="00AF6ED9"/>
    <w:rsid w:val="00AF6F18"/>
    <w:rsid w:val="00AF71C7"/>
    <w:rsid w:val="00B00DFC"/>
    <w:rsid w:val="00B00E1D"/>
    <w:rsid w:val="00B012C1"/>
    <w:rsid w:val="00B014EF"/>
    <w:rsid w:val="00B018A8"/>
    <w:rsid w:val="00B01BCA"/>
    <w:rsid w:val="00B01C72"/>
    <w:rsid w:val="00B02061"/>
    <w:rsid w:val="00B022D2"/>
    <w:rsid w:val="00B025C2"/>
    <w:rsid w:val="00B027B9"/>
    <w:rsid w:val="00B0281C"/>
    <w:rsid w:val="00B02FB5"/>
    <w:rsid w:val="00B032ED"/>
    <w:rsid w:val="00B03333"/>
    <w:rsid w:val="00B03AC1"/>
    <w:rsid w:val="00B03DDC"/>
    <w:rsid w:val="00B03F67"/>
    <w:rsid w:val="00B0414E"/>
    <w:rsid w:val="00B04939"/>
    <w:rsid w:val="00B04A84"/>
    <w:rsid w:val="00B04CF4"/>
    <w:rsid w:val="00B0525D"/>
    <w:rsid w:val="00B05780"/>
    <w:rsid w:val="00B05E4C"/>
    <w:rsid w:val="00B06845"/>
    <w:rsid w:val="00B071A7"/>
    <w:rsid w:val="00B07394"/>
    <w:rsid w:val="00B0784A"/>
    <w:rsid w:val="00B078E4"/>
    <w:rsid w:val="00B1100F"/>
    <w:rsid w:val="00B118E2"/>
    <w:rsid w:val="00B11A7F"/>
    <w:rsid w:val="00B123E4"/>
    <w:rsid w:val="00B12947"/>
    <w:rsid w:val="00B13100"/>
    <w:rsid w:val="00B132C2"/>
    <w:rsid w:val="00B138A7"/>
    <w:rsid w:val="00B14276"/>
    <w:rsid w:val="00B1443D"/>
    <w:rsid w:val="00B146EC"/>
    <w:rsid w:val="00B147E3"/>
    <w:rsid w:val="00B1493D"/>
    <w:rsid w:val="00B149BA"/>
    <w:rsid w:val="00B14FF3"/>
    <w:rsid w:val="00B15781"/>
    <w:rsid w:val="00B15C63"/>
    <w:rsid w:val="00B15C89"/>
    <w:rsid w:val="00B15EFE"/>
    <w:rsid w:val="00B173F8"/>
    <w:rsid w:val="00B17401"/>
    <w:rsid w:val="00B20930"/>
    <w:rsid w:val="00B20B06"/>
    <w:rsid w:val="00B20C08"/>
    <w:rsid w:val="00B20C2A"/>
    <w:rsid w:val="00B211EF"/>
    <w:rsid w:val="00B2138F"/>
    <w:rsid w:val="00B221B2"/>
    <w:rsid w:val="00B226F3"/>
    <w:rsid w:val="00B23EE6"/>
    <w:rsid w:val="00B24298"/>
    <w:rsid w:val="00B244F4"/>
    <w:rsid w:val="00B24965"/>
    <w:rsid w:val="00B24A67"/>
    <w:rsid w:val="00B24D24"/>
    <w:rsid w:val="00B24D66"/>
    <w:rsid w:val="00B25453"/>
    <w:rsid w:val="00B258C5"/>
    <w:rsid w:val="00B2627D"/>
    <w:rsid w:val="00B26C4E"/>
    <w:rsid w:val="00B26F4C"/>
    <w:rsid w:val="00B27871"/>
    <w:rsid w:val="00B27EE3"/>
    <w:rsid w:val="00B30929"/>
    <w:rsid w:val="00B309D3"/>
    <w:rsid w:val="00B30AA1"/>
    <w:rsid w:val="00B310F1"/>
    <w:rsid w:val="00B31CC8"/>
    <w:rsid w:val="00B31EF2"/>
    <w:rsid w:val="00B32AC8"/>
    <w:rsid w:val="00B33154"/>
    <w:rsid w:val="00B33C9A"/>
    <w:rsid w:val="00B33D43"/>
    <w:rsid w:val="00B33E25"/>
    <w:rsid w:val="00B33F41"/>
    <w:rsid w:val="00B34330"/>
    <w:rsid w:val="00B34935"/>
    <w:rsid w:val="00B34AF3"/>
    <w:rsid w:val="00B34E34"/>
    <w:rsid w:val="00B355EB"/>
    <w:rsid w:val="00B366F4"/>
    <w:rsid w:val="00B36DEF"/>
    <w:rsid w:val="00B37280"/>
    <w:rsid w:val="00B37581"/>
    <w:rsid w:val="00B37944"/>
    <w:rsid w:val="00B37B71"/>
    <w:rsid w:val="00B37D0B"/>
    <w:rsid w:val="00B37FAF"/>
    <w:rsid w:val="00B400B4"/>
    <w:rsid w:val="00B406AA"/>
    <w:rsid w:val="00B40822"/>
    <w:rsid w:val="00B41086"/>
    <w:rsid w:val="00B410B7"/>
    <w:rsid w:val="00B4192B"/>
    <w:rsid w:val="00B41CC9"/>
    <w:rsid w:val="00B420EC"/>
    <w:rsid w:val="00B421A9"/>
    <w:rsid w:val="00B42A2F"/>
    <w:rsid w:val="00B42C4B"/>
    <w:rsid w:val="00B4311C"/>
    <w:rsid w:val="00B43323"/>
    <w:rsid w:val="00B43D69"/>
    <w:rsid w:val="00B44810"/>
    <w:rsid w:val="00B44A6F"/>
    <w:rsid w:val="00B4525E"/>
    <w:rsid w:val="00B45884"/>
    <w:rsid w:val="00B46CFC"/>
    <w:rsid w:val="00B4764C"/>
    <w:rsid w:val="00B47C59"/>
    <w:rsid w:val="00B500AF"/>
    <w:rsid w:val="00B5027E"/>
    <w:rsid w:val="00B50282"/>
    <w:rsid w:val="00B505F5"/>
    <w:rsid w:val="00B506DF"/>
    <w:rsid w:val="00B50E6A"/>
    <w:rsid w:val="00B50EB1"/>
    <w:rsid w:val="00B5134F"/>
    <w:rsid w:val="00B513B0"/>
    <w:rsid w:val="00B5180A"/>
    <w:rsid w:val="00B51B88"/>
    <w:rsid w:val="00B52087"/>
    <w:rsid w:val="00B52E48"/>
    <w:rsid w:val="00B531A6"/>
    <w:rsid w:val="00B536A1"/>
    <w:rsid w:val="00B5406B"/>
    <w:rsid w:val="00B54589"/>
    <w:rsid w:val="00B5473C"/>
    <w:rsid w:val="00B55BDD"/>
    <w:rsid w:val="00B55E2D"/>
    <w:rsid w:val="00B55E9F"/>
    <w:rsid w:val="00B55FA3"/>
    <w:rsid w:val="00B563DA"/>
    <w:rsid w:val="00B56947"/>
    <w:rsid w:val="00B5705E"/>
    <w:rsid w:val="00B57104"/>
    <w:rsid w:val="00B60D1C"/>
    <w:rsid w:val="00B60E19"/>
    <w:rsid w:val="00B60EDB"/>
    <w:rsid w:val="00B60FD6"/>
    <w:rsid w:val="00B611A1"/>
    <w:rsid w:val="00B618F3"/>
    <w:rsid w:val="00B61910"/>
    <w:rsid w:val="00B62278"/>
    <w:rsid w:val="00B627B1"/>
    <w:rsid w:val="00B63089"/>
    <w:rsid w:val="00B632BF"/>
    <w:rsid w:val="00B639C6"/>
    <w:rsid w:val="00B63A4C"/>
    <w:rsid w:val="00B63EB5"/>
    <w:rsid w:val="00B64045"/>
    <w:rsid w:val="00B64506"/>
    <w:rsid w:val="00B64CFE"/>
    <w:rsid w:val="00B65C7B"/>
    <w:rsid w:val="00B65CD6"/>
    <w:rsid w:val="00B6619D"/>
    <w:rsid w:val="00B675DF"/>
    <w:rsid w:val="00B702EF"/>
    <w:rsid w:val="00B70CA2"/>
    <w:rsid w:val="00B70EBD"/>
    <w:rsid w:val="00B70F84"/>
    <w:rsid w:val="00B715A3"/>
    <w:rsid w:val="00B71F4C"/>
    <w:rsid w:val="00B721A4"/>
    <w:rsid w:val="00B72377"/>
    <w:rsid w:val="00B72BBB"/>
    <w:rsid w:val="00B72F3C"/>
    <w:rsid w:val="00B733E9"/>
    <w:rsid w:val="00B7467E"/>
    <w:rsid w:val="00B749A3"/>
    <w:rsid w:val="00B749C6"/>
    <w:rsid w:val="00B758E5"/>
    <w:rsid w:val="00B75F21"/>
    <w:rsid w:val="00B7650D"/>
    <w:rsid w:val="00B76B84"/>
    <w:rsid w:val="00B77557"/>
    <w:rsid w:val="00B77BE6"/>
    <w:rsid w:val="00B81042"/>
    <w:rsid w:val="00B8205C"/>
    <w:rsid w:val="00B822A9"/>
    <w:rsid w:val="00B827D9"/>
    <w:rsid w:val="00B83001"/>
    <w:rsid w:val="00B83053"/>
    <w:rsid w:val="00B832AB"/>
    <w:rsid w:val="00B8347C"/>
    <w:rsid w:val="00B841D9"/>
    <w:rsid w:val="00B84AB2"/>
    <w:rsid w:val="00B84CBF"/>
    <w:rsid w:val="00B850B8"/>
    <w:rsid w:val="00B857F9"/>
    <w:rsid w:val="00B85CB0"/>
    <w:rsid w:val="00B85D20"/>
    <w:rsid w:val="00B8659D"/>
    <w:rsid w:val="00B867B6"/>
    <w:rsid w:val="00B86F95"/>
    <w:rsid w:val="00B870B4"/>
    <w:rsid w:val="00B87570"/>
    <w:rsid w:val="00B875CD"/>
    <w:rsid w:val="00B902BA"/>
    <w:rsid w:val="00B902E8"/>
    <w:rsid w:val="00B90556"/>
    <w:rsid w:val="00B908C5"/>
    <w:rsid w:val="00B908DB"/>
    <w:rsid w:val="00B921C1"/>
    <w:rsid w:val="00B92523"/>
    <w:rsid w:val="00B92527"/>
    <w:rsid w:val="00B92E42"/>
    <w:rsid w:val="00B93477"/>
    <w:rsid w:val="00B9396D"/>
    <w:rsid w:val="00B944DA"/>
    <w:rsid w:val="00B946BE"/>
    <w:rsid w:val="00B9476A"/>
    <w:rsid w:val="00B94869"/>
    <w:rsid w:val="00B94B60"/>
    <w:rsid w:val="00B9558C"/>
    <w:rsid w:val="00B95756"/>
    <w:rsid w:val="00B95968"/>
    <w:rsid w:val="00BA0232"/>
    <w:rsid w:val="00BA0DEE"/>
    <w:rsid w:val="00BA2145"/>
    <w:rsid w:val="00BA253B"/>
    <w:rsid w:val="00BA34C8"/>
    <w:rsid w:val="00BA351F"/>
    <w:rsid w:val="00BA391F"/>
    <w:rsid w:val="00BA446B"/>
    <w:rsid w:val="00BA47EB"/>
    <w:rsid w:val="00BA661F"/>
    <w:rsid w:val="00BA6F45"/>
    <w:rsid w:val="00BA6FAB"/>
    <w:rsid w:val="00BA7286"/>
    <w:rsid w:val="00BA7923"/>
    <w:rsid w:val="00BA7EE7"/>
    <w:rsid w:val="00BB02AB"/>
    <w:rsid w:val="00BB1291"/>
    <w:rsid w:val="00BB1721"/>
    <w:rsid w:val="00BB3CCF"/>
    <w:rsid w:val="00BB41F5"/>
    <w:rsid w:val="00BB4613"/>
    <w:rsid w:val="00BB4B72"/>
    <w:rsid w:val="00BB4FB3"/>
    <w:rsid w:val="00BB53E7"/>
    <w:rsid w:val="00BB67A1"/>
    <w:rsid w:val="00BB7587"/>
    <w:rsid w:val="00BC1422"/>
    <w:rsid w:val="00BC15A0"/>
    <w:rsid w:val="00BC319C"/>
    <w:rsid w:val="00BC33E9"/>
    <w:rsid w:val="00BC344C"/>
    <w:rsid w:val="00BC44AD"/>
    <w:rsid w:val="00BC4B65"/>
    <w:rsid w:val="00BC4C14"/>
    <w:rsid w:val="00BC4C6B"/>
    <w:rsid w:val="00BC54B6"/>
    <w:rsid w:val="00BC54F4"/>
    <w:rsid w:val="00BC670E"/>
    <w:rsid w:val="00BC6E73"/>
    <w:rsid w:val="00BC7160"/>
    <w:rsid w:val="00BC729E"/>
    <w:rsid w:val="00BC732B"/>
    <w:rsid w:val="00BC7835"/>
    <w:rsid w:val="00BC7911"/>
    <w:rsid w:val="00BC7A9C"/>
    <w:rsid w:val="00BC7AB4"/>
    <w:rsid w:val="00BD0680"/>
    <w:rsid w:val="00BD131F"/>
    <w:rsid w:val="00BD1709"/>
    <w:rsid w:val="00BD1B51"/>
    <w:rsid w:val="00BD1B7F"/>
    <w:rsid w:val="00BD1BEB"/>
    <w:rsid w:val="00BD27E0"/>
    <w:rsid w:val="00BD28B2"/>
    <w:rsid w:val="00BD2B77"/>
    <w:rsid w:val="00BD2CAD"/>
    <w:rsid w:val="00BD3655"/>
    <w:rsid w:val="00BD391E"/>
    <w:rsid w:val="00BD3A42"/>
    <w:rsid w:val="00BD3B80"/>
    <w:rsid w:val="00BD438E"/>
    <w:rsid w:val="00BD4969"/>
    <w:rsid w:val="00BD5A75"/>
    <w:rsid w:val="00BD5DFE"/>
    <w:rsid w:val="00BD637B"/>
    <w:rsid w:val="00BD6CE3"/>
    <w:rsid w:val="00BD6F57"/>
    <w:rsid w:val="00BD7F4E"/>
    <w:rsid w:val="00BE00DF"/>
    <w:rsid w:val="00BE0787"/>
    <w:rsid w:val="00BE0824"/>
    <w:rsid w:val="00BE0D41"/>
    <w:rsid w:val="00BE1972"/>
    <w:rsid w:val="00BE1CEF"/>
    <w:rsid w:val="00BE2CDC"/>
    <w:rsid w:val="00BE2F2A"/>
    <w:rsid w:val="00BE43D1"/>
    <w:rsid w:val="00BE5E1E"/>
    <w:rsid w:val="00BE5EF3"/>
    <w:rsid w:val="00BE6818"/>
    <w:rsid w:val="00BE6AAC"/>
    <w:rsid w:val="00BE6CC6"/>
    <w:rsid w:val="00BE7B8F"/>
    <w:rsid w:val="00BE7E22"/>
    <w:rsid w:val="00BF1510"/>
    <w:rsid w:val="00BF28E0"/>
    <w:rsid w:val="00BF3D3B"/>
    <w:rsid w:val="00BF41FA"/>
    <w:rsid w:val="00BF4CD6"/>
    <w:rsid w:val="00BF4F77"/>
    <w:rsid w:val="00BF5034"/>
    <w:rsid w:val="00BF507D"/>
    <w:rsid w:val="00BF6DAA"/>
    <w:rsid w:val="00BF7C4A"/>
    <w:rsid w:val="00BF7C94"/>
    <w:rsid w:val="00BF7DC0"/>
    <w:rsid w:val="00C00006"/>
    <w:rsid w:val="00C00C39"/>
    <w:rsid w:val="00C00D7E"/>
    <w:rsid w:val="00C00D9C"/>
    <w:rsid w:val="00C0104A"/>
    <w:rsid w:val="00C035D2"/>
    <w:rsid w:val="00C03CB6"/>
    <w:rsid w:val="00C0487B"/>
    <w:rsid w:val="00C04ACA"/>
    <w:rsid w:val="00C05132"/>
    <w:rsid w:val="00C0622A"/>
    <w:rsid w:val="00C062F2"/>
    <w:rsid w:val="00C06A7F"/>
    <w:rsid w:val="00C06DF3"/>
    <w:rsid w:val="00C06F4A"/>
    <w:rsid w:val="00C074D0"/>
    <w:rsid w:val="00C07618"/>
    <w:rsid w:val="00C07A97"/>
    <w:rsid w:val="00C10BA5"/>
    <w:rsid w:val="00C11052"/>
    <w:rsid w:val="00C1174A"/>
    <w:rsid w:val="00C11A76"/>
    <w:rsid w:val="00C11B91"/>
    <w:rsid w:val="00C1249D"/>
    <w:rsid w:val="00C134D6"/>
    <w:rsid w:val="00C135D1"/>
    <w:rsid w:val="00C13AF8"/>
    <w:rsid w:val="00C13C5F"/>
    <w:rsid w:val="00C13EFE"/>
    <w:rsid w:val="00C13F1A"/>
    <w:rsid w:val="00C14CE9"/>
    <w:rsid w:val="00C16322"/>
    <w:rsid w:val="00C1735C"/>
    <w:rsid w:val="00C17A63"/>
    <w:rsid w:val="00C17BC8"/>
    <w:rsid w:val="00C20282"/>
    <w:rsid w:val="00C20A90"/>
    <w:rsid w:val="00C22308"/>
    <w:rsid w:val="00C22AB7"/>
    <w:rsid w:val="00C22D94"/>
    <w:rsid w:val="00C237CF"/>
    <w:rsid w:val="00C2426C"/>
    <w:rsid w:val="00C2447D"/>
    <w:rsid w:val="00C246C7"/>
    <w:rsid w:val="00C24814"/>
    <w:rsid w:val="00C24D84"/>
    <w:rsid w:val="00C252E0"/>
    <w:rsid w:val="00C25874"/>
    <w:rsid w:val="00C258CE"/>
    <w:rsid w:val="00C26A61"/>
    <w:rsid w:val="00C27387"/>
    <w:rsid w:val="00C275D8"/>
    <w:rsid w:val="00C27669"/>
    <w:rsid w:val="00C276AC"/>
    <w:rsid w:val="00C27844"/>
    <w:rsid w:val="00C27E19"/>
    <w:rsid w:val="00C30004"/>
    <w:rsid w:val="00C3163B"/>
    <w:rsid w:val="00C3173E"/>
    <w:rsid w:val="00C31A1D"/>
    <w:rsid w:val="00C32908"/>
    <w:rsid w:val="00C32AD7"/>
    <w:rsid w:val="00C339BF"/>
    <w:rsid w:val="00C34743"/>
    <w:rsid w:val="00C34A74"/>
    <w:rsid w:val="00C34D11"/>
    <w:rsid w:val="00C34FFF"/>
    <w:rsid w:val="00C353B1"/>
    <w:rsid w:val="00C358D9"/>
    <w:rsid w:val="00C35E3E"/>
    <w:rsid w:val="00C35E6F"/>
    <w:rsid w:val="00C36927"/>
    <w:rsid w:val="00C3708B"/>
    <w:rsid w:val="00C37135"/>
    <w:rsid w:val="00C3713F"/>
    <w:rsid w:val="00C374DD"/>
    <w:rsid w:val="00C37BA8"/>
    <w:rsid w:val="00C37BFE"/>
    <w:rsid w:val="00C40144"/>
    <w:rsid w:val="00C41401"/>
    <w:rsid w:val="00C415B5"/>
    <w:rsid w:val="00C41E49"/>
    <w:rsid w:val="00C41F6F"/>
    <w:rsid w:val="00C42453"/>
    <w:rsid w:val="00C42466"/>
    <w:rsid w:val="00C42FD0"/>
    <w:rsid w:val="00C444D1"/>
    <w:rsid w:val="00C446FC"/>
    <w:rsid w:val="00C44FC7"/>
    <w:rsid w:val="00C4554B"/>
    <w:rsid w:val="00C458D4"/>
    <w:rsid w:val="00C45A84"/>
    <w:rsid w:val="00C46440"/>
    <w:rsid w:val="00C47AFF"/>
    <w:rsid w:val="00C50078"/>
    <w:rsid w:val="00C50187"/>
    <w:rsid w:val="00C50EFD"/>
    <w:rsid w:val="00C51904"/>
    <w:rsid w:val="00C51A7D"/>
    <w:rsid w:val="00C520EC"/>
    <w:rsid w:val="00C526BD"/>
    <w:rsid w:val="00C52781"/>
    <w:rsid w:val="00C52ABE"/>
    <w:rsid w:val="00C53105"/>
    <w:rsid w:val="00C5335A"/>
    <w:rsid w:val="00C53AF2"/>
    <w:rsid w:val="00C544EE"/>
    <w:rsid w:val="00C54AAB"/>
    <w:rsid w:val="00C54DBB"/>
    <w:rsid w:val="00C55581"/>
    <w:rsid w:val="00C55B82"/>
    <w:rsid w:val="00C55F2E"/>
    <w:rsid w:val="00C56347"/>
    <w:rsid w:val="00C5730C"/>
    <w:rsid w:val="00C579F6"/>
    <w:rsid w:val="00C57CD5"/>
    <w:rsid w:val="00C60002"/>
    <w:rsid w:val="00C6013D"/>
    <w:rsid w:val="00C6106C"/>
    <w:rsid w:val="00C6116B"/>
    <w:rsid w:val="00C6118D"/>
    <w:rsid w:val="00C61546"/>
    <w:rsid w:val="00C61664"/>
    <w:rsid w:val="00C619D4"/>
    <w:rsid w:val="00C61C95"/>
    <w:rsid w:val="00C61D28"/>
    <w:rsid w:val="00C62351"/>
    <w:rsid w:val="00C642EE"/>
    <w:rsid w:val="00C643CA"/>
    <w:rsid w:val="00C6442C"/>
    <w:rsid w:val="00C6476E"/>
    <w:rsid w:val="00C64A39"/>
    <w:rsid w:val="00C64B0C"/>
    <w:rsid w:val="00C6606F"/>
    <w:rsid w:val="00C66586"/>
    <w:rsid w:val="00C66AED"/>
    <w:rsid w:val="00C66F40"/>
    <w:rsid w:val="00C66FDD"/>
    <w:rsid w:val="00C678AA"/>
    <w:rsid w:val="00C67B1B"/>
    <w:rsid w:val="00C67CA4"/>
    <w:rsid w:val="00C708B7"/>
    <w:rsid w:val="00C70F6D"/>
    <w:rsid w:val="00C71080"/>
    <w:rsid w:val="00C719C4"/>
    <w:rsid w:val="00C72073"/>
    <w:rsid w:val="00C72353"/>
    <w:rsid w:val="00C72D19"/>
    <w:rsid w:val="00C7363A"/>
    <w:rsid w:val="00C73CCD"/>
    <w:rsid w:val="00C73F8C"/>
    <w:rsid w:val="00C74130"/>
    <w:rsid w:val="00C74EB9"/>
    <w:rsid w:val="00C75C60"/>
    <w:rsid w:val="00C75E30"/>
    <w:rsid w:val="00C7675F"/>
    <w:rsid w:val="00C76FB9"/>
    <w:rsid w:val="00C80798"/>
    <w:rsid w:val="00C80A68"/>
    <w:rsid w:val="00C80BB2"/>
    <w:rsid w:val="00C80CE0"/>
    <w:rsid w:val="00C80FA1"/>
    <w:rsid w:val="00C81B55"/>
    <w:rsid w:val="00C821A3"/>
    <w:rsid w:val="00C82C1B"/>
    <w:rsid w:val="00C83FEA"/>
    <w:rsid w:val="00C84C35"/>
    <w:rsid w:val="00C84D8B"/>
    <w:rsid w:val="00C85033"/>
    <w:rsid w:val="00C8530E"/>
    <w:rsid w:val="00C858EE"/>
    <w:rsid w:val="00C85D7B"/>
    <w:rsid w:val="00C85F57"/>
    <w:rsid w:val="00C86713"/>
    <w:rsid w:val="00C867BC"/>
    <w:rsid w:val="00C86A0D"/>
    <w:rsid w:val="00C86E53"/>
    <w:rsid w:val="00C8701E"/>
    <w:rsid w:val="00C87290"/>
    <w:rsid w:val="00C876DD"/>
    <w:rsid w:val="00C87841"/>
    <w:rsid w:val="00C90843"/>
    <w:rsid w:val="00C90FEE"/>
    <w:rsid w:val="00C9154E"/>
    <w:rsid w:val="00C924D9"/>
    <w:rsid w:val="00C92EA0"/>
    <w:rsid w:val="00C9333C"/>
    <w:rsid w:val="00C934E1"/>
    <w:rsid w:val="00C93792"/>
    <w:rsid w:val="00C93C2D"/>
    <w:rsid w:val="00C9430F"/>
    <w:rsid w:val="00C9434D"/>
    <w:rsid w:val="00C94BE6"/>
    <w:rsid w:val="00C94DE5"/>
    <w:rsid w:val="00C951C5"/>
    <w:rsid w:val="00C95877"/>
    <w:rsid w:val="00C95988"/>
    <w:rsid w:val="00C959DC"/>
    <w:rsid w:val="00C95A19"/>
    <w:rsid w:val="00C95D4A"/>
    <w:rsid w:val="00C95D79"/>
    <w:rsid w:val="00C96612"/>
    <w:rsid w:val="00C97E4A"/>
    <w:rsid w:val="00CA00C2"/>
    <w:rsid w:val="00CA0125"/>
    <w:rsid w:val="00CA061E"/>
    <w:rsid w:val="00CA1050"/>
    <w:rsid w:val="00CA20A4"/>
    <w:rsid w:val="00CA216B"/>
    <w:rsid w:val="00CA219E"/>
    <w:rsid w:val="00CA2EF0"/>
    <w:rsid w:val="00CA2EFB"/>
    <w:rsid w:val="00CA2FF0"/>
    <w:rsid w:val="00CA33C6"/>
    <w:rsid w:val="00CA3603"/>
    <w:rsid w:val="00CA3CDE"/>
    <w:rsid w:val="00CA3E7F"/>
    <w:rsid w:val="00CA3E8B"/>
    <w:rsid w:val="00CA47BD"/>
    <w:rsid w:val="00CA4C09"/>
    <w:rsid w:val="00CA4E50"/>
    <w:rsid w:val="00CA50D9"/>
    <w:rsid w:val="00CA56F2"/>
    <w:rsid w:val="00CA6713"/>
    <w:rsid w:val="00CA6758"/>
    <w:rsid w:val="00CA72E7"/>
    <w:rsid w:val="00CB09E5"/>
    <w:rsid w:val="00CB10A1"/>
    <w:rsid w:val="00CB1437"/>
    <w:rsid w:val="00CB1C92"/>
    <w:rsid w:val="00CB202E"/>
    <w:rsid w:val="00CB3072"/>
    <w:rsid w:val="00CB360C"/>
    <w:rsid w:val="00CB3CB1"/>
    <w:rsid w:val="00CB4350"/>
    <w:rsid w:val="00CB445E"/>
    <w:rsid w:val="00CB4F01"/>
    <w:rsid w:val="00CB5A32"/>
    <w:rsid w:val="00CB6631"/>
    <w:rsid w:val="00CB67FD"/>
    <w:rsid w:val="00CB74E8"/>
    <w:rsid w:val="00CB760B"/>
    <w:rsid w:val="00CB79C0"/>
    <w:rsid w:val="00CB79D7"/>
    <w:rsid w:val="00CB7DB9"/>
    <w:rsid w:val="00CC180B"/>
    <w:rsid w:val="00CC18F1"/>
    <w:rsid w:val="00CC2E62"/>
    <w:rsid w:val="00CC380E"/>
    <w:rsid w:val="00CC3A6B"/>
    <w:rsid w:val="00CC4011"/>
    <w:rsid w:val="00CC4432"/>
    <w:rsid w:val="00CC4E92"/>
    <w:rsid w:val="00CC5E4B"/>
    <w:rsid w:val="00CC5F43"/>
    <w:rsid w:val="00CC6AF6"/>
    <w:rsid w:val="00CC6DCF"/>
    <w:rsid w:val="00CC75CD"/>
    <w:rsid w:val="00CC7C4E"/>
    <w:rsid w:val="00CD04B9"/>
    <w:rsid w:val="00CD04ED"/>
    <w:rsid w:val="00CD0590"/>
    <w:rsid w:val="00CD0718"/>
    <w:rsid w:val="00CD0CF2"/>
    <w:rsid w:val="00CD1091"/>
    <w:rsid w:val="00CD1C6D"/>
    <w:rsid w:val="00CD2803"/>
    <w:rsid w:val="00CD325B"/>
    <w:rsid w:val="00CD3F03"/>
    <w:rsid w:val="00CD42E4"/>
    <w:rsid w:val="00CD43B7"/>
    <w:rsid w:val="00CD43F2"/>
    <w:rsid w:val="00CD4416"/>
    <w:rsid w:val="00CD4487"/>
    <w:rsid w:val="00CD47BC"/>
    <w:rsid w:val="00CD4825"/>
    <w:rsid w:val="00CD64EE"/>
    <w:rsid w:val="00CD6887"/>
    <w:rsid w:val="00CE0048"/>
    <w:rsid w:val="00CE016F"/>
    <w:rsid w:val="00CE0204"/>
    <w:rsid w:val="00CE027E"/>
    <w:rsid w:val="00CE0330"/>
    <w:rsid w:val="00CE08ED"/>
    <w:rsid w:val="00CE0D77"/>
    <w:rsid w:val="00CE2329"/>
    <w:rsid w:val="00CE2353"/>
    <w:rsid w:val="00CE2941"/>
    <w:rsid w:val="00CE2B7C"/>
    <w:rsid w:val="00CE2C32"/>
    <w:rsid w:val="00CE2F72"/>
    <w:rsid w:val="00CE39BA"/>
    <w:rsid w:val="00CE437E"/>
    <w:rsid w:val="00CE4ADD"/>
    <w:rsid w:val="00CE50EB"/>
    <w:rsid w:val="00CE5201"/>
    <w:rsid w:val="00CE5DEB"/>
    <w:rsid w:val="00CE5E4E"/>
    <w:rsid w:val="00CE6D24"/>
    <w:rsid w:val="00CE6E41"/>
    <w:rsid w:val="00CE778D"/>
    <w:rsid w:val="00CE78AE"/>
    <w:rsid w:val="00CE7AA0"/>
    <w:rsid w:val="00CF0C23"/>
    <w:rsid w:val="00CF1259"/>
    <w:rsid w:val="00CF12DE"/>
    <w:rsid w:val="00CF137D"/>
    <w:rsid w:val="00CF1CE8"/>
    <w:rsid w:val="00CF2470"/>
    <w:rsid w:val="00CF2869"/>
    <w:rsid w:val="00CF289D"/>
    <w:rsid w:val="00CF30F4"/>
    <w:rsid w:val="00CF312E"/>
    <w:rsid w:val="00CF3A13"/>
    <w:rsid w:val="00CF3A73"/>
    <w:rsid w:val="00CF3A9B"/>
    <w:rsid w:val="00CF4216"/>
    <w:rsid w:val="00CF47CC"/>
    <w:rsid w:val="00CF4CF0"/>
    <w:rsid w:val="00CF54A1"/>
    <w:rsid w:val="00CF5654"/>
    <w:rsid w:val="00CF567D"/>
    <w:rsid w:val="00CF58A7"/>
    <w:rsid w:val="00CF5C0E"/>
    <w:rsid w:val="00CF5DC4"/>
    <w:rsid w:val="00CF6026"/>
    <w:rsid w:val="00CF60BC"/>
    <w:rsid w:val="00CF708C"/>
    <w:rsid w:val="00CF722A"/>
    <w:rsid w:val="00CF74D2"/>
    <w:rsid w:val="00CF7AB9"/>
    <w:rsid w:val="00CF7C15"/>
    <w:rsid w:val="00D00B51"/>
    <w:rsid w:val="00D00BD2"/>
    <w:rsid w:val="00D015E4"/>
    <w:rsid w:val="00D02458"/>
    <w:rsid w:val="00D033D7"/>
    <w:rsid w:val="00D03728"/>
    <w:rsid w:val="00D0421F"/>
    <w:rsid w:val="00D054B6"/>
    <w:rsid w:val="00D05860"/>
    <w:rsid w:val="00D05FE3"/>
    <w:rsid w:val="00D06528"/>
    <w:rsid w:val="00D0665E"/>
    <w:rsid w:val="00D06EF2"/>
    <w:rsid w:val="00D07060"/>
    <w:rsid w:val="00D0753E"/>
    <w:rsid w:val="00D0795E"/>
    <w:rsid w:val="00D1048E"/>
    <w:rsid w:val="00D10C55"/>
    <w:rsid w:val="00D11182"/>
    <w:rsid w:val="00D11A2F"/>
    <w:rsid w:val="00D11FFC"/>
    <w:rsid w:val="00D120D8"/>
    <w:rsid w:val="00D12B80"/>
    <w:rsid w:val="00D12BF9"/>
    <w:rsid w:val="00D13ED6"/>
    <w:rsid w:val="00D169E6"/>
    <w:rsid w:val="00D1778D"/>
    <w:rsid w:val="00D17B61"/>
    <w:rsid w:val="00D17D3D"/>
    <w:rsid w:val="00D17F21"/>
    <w:rsid w:val="00D20181"/>
    <w:rsid w:val="00D20365"/>
    <w:rsid w:val="00D21313"/>
    <w:rsid w:val="00D2156C"/>
    <w:rsid w:val="00D21866"/>
    <w:rsid w:val="00D218F3"/>
    <w:rsid w:val="00D21AFD"/>
    <w:rsid w:val="00D22136"/>
    <w:rsid w:val="00D225DA"/>
    <w:rsid w:val="00D23FC7"/>
    <w:rsid w:val="00D244AC"/>
    <w:rsid w:val="00D2493C"/>
    <w:rsid w:val="00D253B5"/>
    <w:rsid w:val="00D2589B"/>
    <w:rsid w:val="00D26A7A"/>
    <w:rsid w:val="00D27704"/>
    <w:rsid w:val="00D27F2C"/>
    <w:rsid w:val="00D3015E"/>
    <w:rsid w:val="00D30203"/>
    <w:rsid w:val="00D30FC6"/>
    <w:rsid w:val="00D31FA9"/>
    <w:rsid w:val="00D321E6"/>
    <w:rsid w:val="00D3256A"/>
    <w:rsid w:val="00D32A23"/>
    <w:rsid w:val="00D33B64"/>
    <w:rsid w:val="00D33E51"/>
    <w:rsid w:val="00D33EE7"/>
    <w:rsid w:val="00D34AC4"/>
    <w:rsid w:val="00D359B2"/>
    <w:rsid w:val="00D35BD3"/>
    <w:rsid w:val="00D35F77"/>
    <w:rsid w:val="00D35F79"/>
    <w:rsid w:val="00D3610A"/>
    <w:rsid w:val="00D36AE0"/>
    <w:rsid w:val="00D37536"/>
    <w:rsid w:val="00D37E4C"/>
    <w:rsid w:val="00D40274"/>
    <w:rsid w:val="00D40F21"/>
    <w:rsid w:val="00D41135"/>
    <w:rsid w:val="00D411A6"/>
    <w:rsid w:val="00D4126E"/>
    <w:rsid w:val="00D4129F"/>
    <w:rsid w:val="00D4209D"/>
    <w:rsid w:val="00D4299C"/>
    <w:rsid w:val="00D435B2"/>
    <w:rsid w:val="00D44A3C"/>
    <w:rsid w:val="00D45468"/>
    <w:rsid w:val="00D45890"/>
    <w:rsid w:val="00D45A59"/>
    <w:rsid w:val="00D45DD8"/>
    <w:rsid w:val="00D465A8"/>
    <w:rsid w:val="00D46693"/>
    <w:rsid w:val="00D469D1"/>
    <w:rsid w:val="00D46A27"/>
    <w:rsid w:val="00D47170"/>
    <w:rsid w:val="00D476AA"/>
    <w:rsid w:val="00D476DD"/>
    <w:rsid w:val="00D47B9C"/>
    <w:rsid w:val="00D50759"/>
    <w:rsid w:val="00D50CDA"/>
    <w:rsid w:val="00D50D94"/>
    <w:rsid w:val="00D51B24"/>
    <w:rsid w:val="00D51B3E"/>
    <w:rsid w:val="00D5205B"/>
    <w:rsid w:val="00D52383"/>
    <w:rsid w:val="00D523EE"/>
    <w:rsid w:val="00D5258F"/>
    <w:rsid w:val="00D525D5"/>
    <w:rsid w:val="00D52C76"/>
    <w:rsid w:val="00D53010"/>
    <w:rsid w:val="00D53557"/>
    <w:rsid w:val="00D53BD0"/>
    <w:rsid w:val="00D53EDD"/>
    <w:rsid w:val="00D54AC6"/>
    <w:rsid w:val="00D5502D"/>
    <w:rsid w:val="00D55C7C"/>
    <w:rsid w:val="00D560F9"/>
    <w:rsid w:val="00D5663E"/>
    <w:rsid w:val="00D57276"/>
    <w:rsid w:val="00D575ED"/>
    <w:rsid w:val="00D60937"/>
    <w:rsid w:val="00D60CD4"/>
    <w:rsid w:val="00D60CDE"/>
    <w:rsid w:val="00D6136D"/>
    <w:rsid w:val="00D6146E"/>
    <w:rsid w:val="00D615AB"/>
    <w:rsid w:val="00D6196F"/>
    <w:rsid w:val="00D61D68"/>
    <w:rsid w:val="00D61F65"/>
    <w:rsid w:val="00D62D02"/>
    <w:rsid w:val="00D62FD0"/>
    <w:rsid w:val="00D63121"/>
    <w:rsid w:val="00D6363E"/>
    <w:rsid w:val="00D648C4"/>
    <w:rsid w:val="00D64BB8"/>
    <w:rsid w:val="00D64DB7"/>
    <w:rsid w:val="00D651E3"/>
    <w:rsid w:val="00D6522D"/>
    <w:rsid w:val="00D65439"/>
    <w:rsid w:val="00D65665"/>
    <w:rsid w:val="00D65AEC"/>
    <w:rsid w:val="00D65E38"/>
    <w:rsid w:val="00D65F43"/>
    <w:rsid w:val="00D6606A"/>
    <w:rsid w:val="00D66EDB"/>
    <w:rsid w:val="00D67797"/>
    <w:rsid w:val="00D6786D"/>
    <w:rsid w:val="00D67928"/>
    <w:rsid w:val="00D67CA6"/>
    <w:rsid w:val="00D7135C"/>
    <w:rsid w:val="00D71471"/>
    <w:rsid w:val="00D72288"/>
    <w:rsid w:val="00D72658"/>
    <w:rsid w:val="00D73B14"/>
    <w:rsid w:val="00D73DD8"/>
    <w:rsid w:val="00D74580"/>
    <w:rsid w:val="00D745EB"/>
    <w:rsid w:val="00D7477E"/>
    <w:rsid w:val="00D7485E"/>
    <w:rsid w:val="00D760EC"/>
    <w:rsid w:val="00D7797F"/>
    <w:rsid w:val="00D805BB"/>
    <w:rsid w:val="00D808E5"/>
    <w:rsid w:val="00D80E80"/>
    <w:rsid w:val="00D8130D"/>
    <w:rsid w:val="00D81E65"/>
    <w:rsid w:val="00D8246B"/>
    <w:rsid w:val="00D82CCB"/>
    <w:rsid w:val="00D8385B"/>
    <w:rsid w:val="00D844C0"/>
    <w:rsid w:val="00D84954"/>
    <w:rsid w:val="00D84C02"/>
    <w:rsid w:val="00D84DF6"/>
    <w:rsid w:val="00D8571E"/>
    <w:rsid w:val="00D858E5"/>
    <w:rsid w:val="00D85B43"/>
    <w:rsid w:val="00D85FA3"/>
    <w:rsid w:val="00D864AF"/>
    <w:rsid w:val="00D879E5"/>
    <w:rsid w:val="00D90198"/>
    <w:rsid w:val="00D90853"/>
    <w:rsid w:val="00D90F21"/>
    <w:rsid w:val="00D91062"/>
    <w:rsid w:val="00D91B86"/>
    <w:rsid w:val="00D9260C"/>
    <w:rsid w:val="00D92E6F"/>
    <w:rsid w:val="00D92F97"/>
    <w:rsid w:val="00D9337F"/>
    <w:rsid w:val="00D93BF0"/>
    <w:rsid w:val="00D949DA"/>
    <w:rsid w:val="00D94C3C"/>
    <w:rsid w:val="00D950B5"/>
    <w:rsid w:val="00D950DE"/>
    <w:rsid w:val="00D951B0"/>
    <w:rsid w:val="00D96604"/>
    <w:rsid w:val="00D978A1"/>
    <w:rsid w:val="00D97A70"/>
    <w:rsid w:val="00DA0169"/>
    <w:rsid w:val="00DA0220"/>
    <w:rsid w:val="00DA0972"/>
    <w:rsid w:val="00DA0CEE"/>
    <w:rsid w:val="00DA0D85"/>
    <w:rsid w:val="00DA10F2"/>
    <w:rsid w:val="00DA1213"/>
    <w:rsid w:val="00DA1BC9"/>
    <w:rsid w:val="00DA1C04"/>
    <w:rsid w:val="00DA1EFA"/>
    <w:rsid w:val="00DA242A"/>
    <w:rsid w:val="00DA2512"/>
    <w:rsid w:val="00DA27E1"/>
    <w:rsid w:val="00DA2C55"/>
    <w:rsid w:val="00DA39EF"/>
    <w:rsid w:val="00DA41AD"/>
    <w:rsid w:val="00DA4A77"/>
    <w:rsid w:val="00DA4F4D"/>
    <w:rsid w:val="00DA591C"/>
    <w:rsid w:val="00DA6517"/>
    <w:rsid w:val="00DA677F"/>
    <w:rsid w:val="00DA75AB"/>
    <w:rsid w:val="00DA78C7"/>
    <w:rsid w:val="00DA7ED7"/>
    <w:rsid w:val="00DB0058"/>
    <w:rsid w:val="00DB0122"/>
    <w:rsid w:val="00DB0E12"/>
    <w:rsid w:val="00DB263E"/>
    <w:rsid w:val="00DB386B"/>
    <w:rsid w:val="00DB394D"/>
    <w:rsid w:val="00DB3DC7"/>
    <w:rsid w:val="00DB55A1"/>
    <w:rsid w:val="00DB632C"/>
    <w:rsid w:val="00DB6BC6"/>
    <w:rsid w:val="00DB6C1E"/>
    <w:rsid w:val="00DB702E"/>
    <w:rsid w:val="00DB75D9"/>
    <w:rsid w:val="00DB7B98"/>
    <w:rsid w:val="00DB7E9E"/>
    <w:rsid w:val="00DC0A24"/>
    <w:rsid w:val="00DC0C94"/>
    <w:rsid w:val="00DC0D20"/>
    <w:rsid w:val="00DC1201"/>
    <w:rsid w:val="00DC1A48"/>
    <w:rsid w:val="00DC1B3D"/>
    <w:rsid w:val="00DC1E25"/>
    <w:rsid w:val="00DC2DC1"/>
    <w:rsid w:val="00DC317A"/>
    <w:rsid w:val="00DC3455"/>
    <w:rsid w:val="00DC3606"/>
    <w:rsid w:val="00DC3813"/>
    <w:rsid w:val="00DC3B1D"/>
    <w:rsid w:val="00DC3E77"/>
    <w:rsid w:val="00DC40CD"/>
    <w:rsid w:val="00DC4E44"/>
    <w:rsid w:val="00DC4FB1"/>
    <w:rsid w:val="00DC4FDD"/>
    <w:rsid w:val="00DC6426"/>
    <w:rsid w:val="00DC7203"/>
    <w:rsid w:val="00DC7921"/>
    <w:rsid w:val="00DD01CD"/>
    <w:rsid w:val="00DD0201"/>
    <w:rsid w:val="00DD0D0B"/>
    <w:rsid w:val="00DD1426"/>
    <w:rsid w:val="00DD1C30"/>
    <w:rsid w:val="00DD1EF4"/>
    <w:rsid w:val="00DD2126"/>
    <w:rsid w:val="00DD3309"/>
    <w:rsid w:val="00DD4BCD"/>
    <w:rsid w:val="00DD52F6"/>
    <w:rsid w:val="00DD62C7"/>
    <w:rsid w:val="00DD73E9"/>
    <w:rsid w:val="00DE0675"/>
    <w:rsid w:val="00DE073D"/>
    <w:rsid w:val="00DE0ABB"/>
    <w:rsid w:val="00DE0E0A"/>
    <w:rsid w:val="00DE0EDD"/>
    <w:rsid w:val="00DE17EA"/>
    <w:rsid w:val="00DE1ECA"/>
    <w:rsid w:val="00DE2882"/>
    <w:rsid w:val="00DE36D4"/>
    <w:rsid w:val="00DE399A"/>
    <w:rsid w:val="00DE44A9"/>
    <w:rsid w:val="00DE5416"/>
    <w:rsid w:val="00DE5476"/>
    <w:rsid w:val="00DE57F7"/>
    <w:rsid w:val="00DE5A72"/>
    <w:rsid w:val="00DE5FF7"/>
    <w:rsid w:val="00DE61F7"/>
    <w:rsid w:val="00DE7028"/>
    <w:rsid w:val="00DF027D"/>
    <w:rsid w:val="00DF04B1"/>
    <w:rsid w:val="00DF06E8"/>
    <w:rsid w:val="00DF08E7"/>
    <w:rsid w:val="00DF0943"/>
    <w:rsid w:val="00DF0DB1"/>
    <w:rsid w:val="00DF1BD3"/>
    <w:rsid w:val="00DF1D13"/>
    <w:rsid w:val="00DF444C"/>
    <w:rsid w:val="00DF536F"/>
    <w:rsid w:val="00DF586B"/>
    <w:rsid w:val="00DF630A"/>
    <w:rsid w:val="00DF630E"/>
    <w:rsid w:val="00DF6A1C"/>
    <w:rsid w:val="00DF6AC2"/>
    <w:rsid w:val="00DF731F"/>
    <w:rsid w:val="00DF7CF0"/>
    <w:rsid w:val="00E00A62"/>
    <w:rsid w:val="00E01706"/>
    <w:rsid w:val="00E01B64"/>
    <w:rsid w:val="00E01EA0"/>
    <w:rsid w:val="00E020F4"/>
    <w:rsid w:val="00E0227E"/>
    <w:rsid w:val="00E023CC"/>
    <w:rsid w:val="00E032D2"/>
    <w:rsid w:val="00E040C3"/>
    <w:rsid w:val="00E040FC"/>
    <w:rsid w:val="00E04400"/>
    <w:rsid w:val="00E054FF"/>
    <w:rsid w:val="00E06227"/>
    <w:rsid w:val="00E063C7"/>
    <w:rsid w:val="00E0683C"/>
    <w:rsid w:val="00E07755"/>
    <w:rsid w:val="00E07BB8"/>
    <w:rsid w:val="00E115FB"/>
    <w:rsid w:val="00E11CED"/>
    <w:rsid w:val="00E11DA2"/>
    <w:rsid w:val="00E12259"/>
    <w:rsid w:val="00E12369"/>
    <w:rsid w:val="00E123B1"/>
    <w:rsid w:val="00E128DD"/>
    <w:rsid w:val="00E12CBB"/>
    <w:rsid w:val="00E12DFA"/>
    <w:rsid w:val="00E1399E"/>
    <w:rsid w:val="00E13A9E"/>
    <w:rsid w:val="00E13C93"/>
    <w:rsid w:val="00E147B6"/>
    <w:rsid w:val="00E14AF4"/>
    <w:rsid w:val="00E14F50"/>
    <w:rsid w:val="00E1503A"/>
    <w:rsid w:val="00E1589A"/>
    <w:rsid w:val="00E15A72"/>
    <w:rsid w:val="00E1610E"/>
    <w:rsid w:val="00E165FE"/>
    <w:rsid w:val="00E1685B"/>
    <w:rsid w:val="00E16DAE"/>
    <w:rsid w:val="00E176F0"/>
    <w:rsid w:val="00E17FD7"/>
    <w:rsid w:val="00E17FF7"/>
    <w:rsid w:val="00E2014D"/>
    <w:rsid w:val="00E2093F"/>
    <w:rsid w:val="00E20FB7"/>
    <w:rsid w:val="00E21009"/>
    <w:rsid w:val="00E21015"/>
    <w:rsid w:val="00E211F0"/>
    <w:rsid w:val="00E21400"/>
    <w:rsid w:val="00E21DB0"/>
    <w:rsid w:val="00E22228"/>
    <w:rsid w:val="00E22541"/>
    <w:rsid w:val="00E22E55"/>
    <w:rsid w:val="00E23624"/>
    <w:rsid w:val="00E23B09"/>
    <w:rsid w:val="00E242A6"/>
    <w:rsid w:val="00E2465C"/>
    <w:rsid w:val="00E252EF"/>
    <w:rsid w:val="00E255D1"/>
    <w:rsid w:val="00E262A7"/>
    <w:rsid w:val="00E26E84"/>
    <w:rsid w:val="00E270DB"/>
    <w:rsid w:val="00E27135"/>
    <w:rsid w:val="00E275C6"/>
    <w:rsid w:val="00E27969"/>
    <w:rsid w:val="00E27A2F"/>
    <w:rsid w:val="00E27C41"/>
    <w:rsid w:val="00E300CA"/>
    <w:rsid w:val="00E305C4"/>
    <w:rsid w:val="00E3245A"/>
    <w:rsid w:val="00E325BC"/>
    <w:rsid w:val="00E32658"/>
    <w:rsid w:val="00E33B64"/>
    <w:rsid w:val="00E33CDB"/>
    <w:rsid w:val="00E34668"/>
    <w:rsid w:val="00E3475A"/>
    <w:rsid w:val="00E348A2"/>
    <w:rsid w:val="00E35BB2"/>
    <w:rsid w:val="00E364D7"/>
    <w:rsid w:val="00E36C29"/>
    <w:rsid w:val="00E36F7F"/>
    <w:rsid w:val="00E370F3"/>
    <w:rsid w:val="00E37183"/>
    <w:rsid w:val="00E37469"/>
    <w:rsid w:val="00E375D4"/>
    <w:rsid w:val="00E4036D"/>
    <w:rsid w:val="00E404D2"/>
    <w:rsid w:val="00E4059F"/>
    <w:rsid w:val="00E406B6"/>
    <w:rsid w:val="00E40F87"/>
    <w:rsid w:val="00E41393"/>
    <w:rsid w:val="00E420FF"/>
    <w:rsid w:val="00E42567"/>
    <w:rsid w:val="00E42731"/>
    <w:rsid w:val="00E43489"/>
    <w:rsid w:val="00E436C7"/>
    <w:rsid w:val="00E43ACA"/>
    <w:rsid w:val="00E44F6F"/>
    <w:rsid w:val="00E44FC5"/>
    <w:rsid w:val="00E457D2"/>
    <w:rsid w:val="00E45E08"/>
    <w:rsid w:val="00E46577"/>
    <w:rsid w:val="00E466B2"/>
    <w:rsid w:val="00E46752"/>
    <w:rsid w:val="00E468CB"/>
    <w:rsid w:val="00E46CD3"/>
    <w:rsid w:val="00E46D60"/>
    <w:rsid w:val="00E4725C"/>
    <w:rsid w:val="00E4748A"/>
    <w:rsid w:val="00E47C00"/>
    <w:rsid w:val="00E47C89"/>
    <w:rsid w:val="00E50039"/>
    <w:rsid w:val="00E50159"/>
    <w:rsid w:val="00E50652"/>
    <w:rsid w:val="00E50BA4"/>
    <w:rsid w:val="00E50E1C"/>
    <w:rsid w:val="00E5124E"/>
    <w:rsid w:val="00E51B01"/>
    <w:rsid w:val="00E51F72"/>
    <w:rsid w:val="00E53B98"/>
    <w:rsid w:val="00E5424C"/>
    <w:rsid w:val="00E550EC"/>
    <w:rsid w:val="00E5568B"/>
    <w:rsid w:val="00E5678B"/>
    <w:rsid w:val="00E567AF"/>
    <w:rsid w:val="00E56E78"/>
    <w:rsid w:val="00E570BC"/>
    <w:rsid w:val="00E570F3"/>
    <w:rsid w:val="00E57ADB"/>
    <w:rsid w:val="00E57C23"/>
    <w:rsid w:val="00E57ECC"/>
    <w:rsid w:val="00E60B05"/>
    <w:rsid w:val="00E60D6C"/>
    <w:rsid w:val="00E61673"/>
    <w:rsid w:val="00E6187B"/>
    <w:rsid w:val="00E61F0A"/>
    <w:rsid w:val="00E622D0"/>
    <w:rsid w:val="00E62577"/>
    <w:rsid w:val="00E62826"/>
    <w:rsid w:val="00E6284D"/>
    <w:rsid w:val="00E62B6B"/>
    <w:rsid w:val="00E62DCD"/>
    <w:rsid w:val="00E636C3"/>
    <w:rsid w:val="00E63B85"/>
    <w:rsid w:val="00E63B94"/>
    <w:rsid w:val="00E63DBC"/>
    <w:rsid w:val="00E64A3E"/>
    <w:rsid w:val="00E65612"/>
    <w:rsid w:val="00E65636"/>
    <w:rsid w:val="00E657E7"/>
    <w:rsid w:val="00E6596D"/>
    <w:rsid w:val="00E65D03"/>
    <w:rsid w:val="00E65EF5"/>
    <w:rsid w:val="00E66371"/>
    <w:rsid w:val="00E66EA6"/>
    <w:rsid w:val="00E6784E"/>
    <w:rsid w:val="00E7004A"/>
    <w:rsid w:val="00E70BD6"/>
    <w:rsid w:val="00E70C44"/>
    <w:rsid w:val="00E7104A"/>
    <w:rsid w:val="00E713B2"/>
    <w:rsid w:val="00E722B4"/>
    <w:rsid w:val="00E72513"/>
    <w:rsid w:val="00E72C89"/>
    <w:rsid w:val="00E72E2C"/>
    <w:rsid w:val="00E73958"/>
    <w:rsid w:val="00E73BE0"/>
    <w:rsid w:val="00E73F45"/>
    <w:rsid w:val="00E73FAB"/>
    <w:rsid w:val="00E7412F"/>
    <w:rsid w:val="00E74C17"/>
    <w:rsid w:val="00E74DDE"/>
    <w:rsid w:val="00E74EEE"/>
    <w:rsid w:val="00E7505E"/>
    <w:rsid w:val="00E75496"/>
    <w:rsid w:val="00E754ED"/>
    <w:rsid w:val="00E76380"/>
    <w:rsid w:val="00E76A23"/>
    <w:rsid w:val="00E76CBA"/>
    <w:rsid w:val="00E77868"/>
    <w:rsid w:val="00E77B8C"/>
    <w:rsid w:val="00E81345"/>
    <w:rsid w:val="00E81397"/>
    <w:rsid w:val="00E814F3"/>
    <w:rsid w:val="00E81528"/>
    <w:rsid w:val="00E8242B"/>
    <w:rsid w:val="00E827EC"/>
    <w:rsid w:val="00E82A88"/>
    <w:rsid w:val="00E83046"/>
    <w:rsid w:val="00E846FD"/>
    <w:rsid w:val="00E84736"/>
    <w:rsid w:val="00E84DBA"/>
    <w:rsid w:val="00E8530D"/>
    <w:rsid w:val="00E85EC9"/>
    <w:rsid w:val="00E866B8"/>
    <w:rsid w:val="00E86D03"/>
    <w:rsid w:val="00E87664"/>
    <w:rsid w:val="00E8775D"/>
    <w:rsid w:val="00E87C97"/>
    <w:rsid w:val="00E87CBB"/>
    <w:rsid w:val="00E906C4"/>
    <w:rsid w:val="00E90C38"/>
    <w:rsid w:val="00E90EB7"/>
    <w:rsid w:val="00E90FB0"/>
    <w:rsid w:val="00E91632"/>
    <w:rsid w:val="00E91756"/>
    <w:rsid w:val="00E9272B"/>
    <w:rsid w:val="00E92A34"/>
    <w:rsid w:val="00E93179"/>
    <w:rsid w:val="00E9325F"/>
    <w:rsid w:val="00E93460"/>
    <w:rsid w:val="00E93678"/>
    <w:rsid w:val="00E9389D"/>
    <w:rsid w:val="00E93FC2"/>
    <w:rsid w:val="00E94473"/>
    <w:rsid w:val="00E94DD3"/>
    <w:rsid w:val="00E94EC9"/>
    <w:rsid w:val="00E95633"/>
    <w:rsid w:val="00E95A0D"/>
    <w:rsid w:val="00E962D4"/>
    <w:rsid w:val="00E96C1B"/>
    <w:rsid w:val="00E9706E"/>
    <w:rsid w:val="00E975F4"/>
    <w:rsid w:val="00E97F47"/>
    <w:rsid w:val="00E97FF2"/>
    <w:rsid w:val="00EA059B"/>
    <w:rsid w:val="00EA1234"/>
    <w:rsid w:val="00EA1E7C"/>
    <w:rsid w:val="00EA2599"/>
    <w:rsid w:val="00EA26C7"/>
    <w:rsid w:val="00EA5072"/>
    <w:rsid w:val="00EA5294"/>
    <w:rsid w:val="00EA5355"/>
    <w:rsid w:val="00EA5420"/>
    <w:rsid w:val="00EA591D"/>
    <w:rsid w:val="00EA5C06"/>
    <w:rsid w:val="00EA5D8B"/>
    <w:rsid w:val="00EA6725"/>
    <w:rsid w:val="00EA77E7"/>
    <w:rsid w:val="00EA7D99"/>
    <w:rsid w:val="00EB0977"/>
    <w:rsid w:val="00EB12B0"/>
    <w:rsid w:val="00EB2392"/>
    <w:rsid w:val="00EB2605"/>
    <w:rsid w:val="00EB2D5D"/>
    <w:rsid w:val="00EB35C3"/>
    <w:rsid w:val="00EB3654"/>
    <w:rsid w:val="00EB3711"/>
    <w:rsid w:val="00EB3751"/>
    <w:rsid w:val="00EB3898"/>
    <w:rsid w:val="00EB38B0"/>
    <w:rsid w:val="00EB39BB"/>
    <w:rsid w:val="00EB42D0"/>
    <w:rsid w:val="00EB4F41"/>
    <w:rsid w:val="00EB5347"/>
    <w:rsid w:val="00EB571D"/>
    <w:rsid w:val="00EB5998"/>
    <w:rsid w:val="00EB59E8"/>
    <w:rsid w:val="00EB72E4"/>
    <w:rsid w:val="00EB76BE"/>
    <w:rsid w:val="00EB79A0"/>
    <w:rsid w:val="00EC039C"/>
    <w:rsid w:val="00EC04E4"/>
    <w:rsid w:val="00EC0B35"/>
    <w:rsid w:val="00EC0E81"/>
    <w:rsid w:val="00EC0FB4"/>
    <w:rsid w:val="00EC13E3"/>
    <w:rsid w:val="00EC16E6"/>
    <w:rsid w:val="00EC19D8"/>
    <w:rsid w:val="00EC1B32"/>
    <w:rsid w:val="00EC21DD"/>
    <w:rsid w:val="00EC267C"/>
    <w:rsid w:val="00EC2870"/>
    <w:rsid w:val="00EC2ABF"/>
    <w:rsid w:val="00EC2C5A"/>
    <w:rsid w:val="00EC2EDB"/>
    <w:rsid w:val="00EC2FE9"/>
    <w:rsid w:val="00EC32AD"/>
    <w:rsid w:val="00EC3643"/>
    <w:rsid w:val="00EC408E"/>
    <w:rsid w:val="00EC4869"/>
    <w:rsid w:val="00EC4DC0"/>
    <w:rsid w:val="00EC4E8A"/>
    <w:rsid w:val="00EC617D"/>
    <w:rsid w:val="00EC6250"/>
    <w:rsid w:val="00EC6402"/>
    <w:rsid w:val="00EC65E7"/>
    <w:rsid w:val="00ED0DDF"/>
    <w:rsid w:val="00ED1354"/>
    <w:rsid w:val="00ED219F"/>
    <w:rsid w:val="00ED226F"/>
    <w:rsid w:val="00ED2A74"/>
    <w:rsid w:val="00ED2B1E"/>
    <w:rsid w:val="00ED2F3A"/>
    <w:rsid w:val="00ED3330"/>
    <w:rsid w:val="00ED35D4"/>
    <w:rsid w:val="00ED364F"/>
    <w:rsid w:val="00ED4475"/>
    <w:rsid w:val="00ED58BE"/>
    <w:rsid w:val="00ED5B87"/>
    <w:rsid w:val="00ED6142"/>
    <w:rsid w:val="00ED6258"/>
    <w:rsid w:val="00ED6F82"/>
    <w:rsid w:val="00ED6FFD"/>
    <w:rsid w:val="00ED7D2A"/>
    <w:rsid w:val="00EE0C39"/>
    <w:rsid w:val="00EE0E41"/>
    <w:rsid w:val="00EE1539"/>
    <w:rsid w:val="00EE157E"/>
    <w:rsid w:val="00EE18F7"/>
    <w:rsid w:val="00EE2C83"/>
    <w:rsid w:val="00EE3263"/>
    <w:rsid w:val="00EE33D7"/>
    <w:rsid w:val="00EE346E"/>
    <w:rsid w:val="00EE3F8B"/>
    <w:rsid w:val="00EE3FAB"/>
    <w:rsid w:val="00EE54D7"/>
    <w:rsid w:val="00EE5A39"/>
    <w:rsid w:val="00EE5A6E"/>
    <w:rsid w:val="00EE5C68"/>
    <w:rsid w:val="00EE6E00"/>
    <w:rsid w:val="00EE6F33"/>
    <w:rsid w:val="00EE749A"/>
    <w:rsid w:val="00EE7630"/>
    <w:rsid w:val="00EF0803"/>
    <w:rsid w:val="00EF081C"/>
    <w:rsid w:val="00EF0D77"/>
    <w:rsid w:val="00EF0E75"/>
    <w:rsid w:val="00EF1295"/>
    <w:rsid w:val="00EF13A1"/>
    <w:rsid w:val="00EF19FF"/>
    <w:rsid w:val="00EF1F79"/>
    <w:rsid w:val="00EF2C94"/>
    <w:rsid w:val="00EF3699"/>
    <w:rsid w:val="00EF4F0F"/>
    <w:rsid w:val="00EF54B1"/>
    <w:rsid w:val="00EF56C5"/>
    <w:rsid w:val="00EF6B4F"/>
    <w:rsid w:val="00EF7342"/>
    <w:rsid w:val="00EF7D21"/>
    <w:rsid w:val="00F00983"/>
    <w:rsid w:val="00F00985"/>
    <w:rsid w:val="00F00DAE"/>
    <w:rsid w:val="00F01410"/>
    <w:rsid w:val="00F015B0"/>
    <w:rsid w:val="00F0166D"/>
    <w:rsid w:val="00F017DF"/>
    <w:rsid w:val="00F021C0"/>
    <w:rsid w:val="00F02283"/>
    <w:rsid w:val="00F02440"/>
    <w:rsid w:val="00F02C78"/>
    <w:rsid w:val="00F0366B"/>
    <w:rsid w:val="00F03B3C"/>
    <w:rsid w:val="00F03C06"/>
    <w:rsid w:val="00F03F29"/>
    <w:rsid w:val="00F04477"/>
    <w:rsid w:val="00F049DD"/>
    <w:rsid w:val="00F04C75"/>
    <w:rsid w:val="00F05BDB"/>
    <w:rsid w:val="00F0604D"/>
    <w:rsid w:val="00F06C14"/>
    <w:rsid w:val="00F06C89"/>
    <w:rsid w:val="00F0744E"/>
    <w:rsid w:val="00F07548"/>
    <w:rsid w:val="00F07B6F"/>
    <w:rsid w:val="00F10C8D"/>
    <w:rsid w:val="00F116F5"/>
    <w:rsid w:val="00F11F7E"/>
    <w:rsid w:val="00F12C9E"/>
    <w:rsid w:val="00F13B19"/>
    <w:rsid w:val="00F13D82"/>
    <w:rsid w:val="00F1492E"/>
    <w:rsid w:val="00F14EDE"/>
    <w:rsid w:val="00F14F48"/>
    <w:rsid w:val="00F14F6D"/>
    <w:rsid w:val="00F16636"/>
    <w:rsid w:val="00F16C64"/>
    <w:rsid w:val="00F16F7A"/>
    <w:rsid w:val="00F1754F"/>
    <w:rsid w:val="00F20216"/>
    <w:rsid w:val="00F207FF"/>
    <w:rsid w:val="00F20AF4"/>
    <w:rsid w:val="00F20E35"/>
    <w:rsid w:val="00F20E94"/>
    <w:rsid w:val="00F20EA3"/>
    <w:rsid w:val="00F21C41"/>
    <w:rsid w:val="00F22E10"/>
    <w:rsid w:val="00F2345C"/>
    <w:rsid w:val="00F24CBC"/>
    <w:rsid w:val="00F25854"/>
    <w:rsid w:val="00F25AC5"/>
    <w:rsid w:val="00F25CC1"/>
    <w:rsid w:val="00F265AD"/>
    <w:rsid w:val="00F26730"/>
    <w:rsid w:val="00F27328"/>
    <w:rsid w:val="00F273B7"/>
    <w:rsid w:val="00F30238"/>
    <w:rsid w:val="00F30267"/>
    <w:rsid w:val="00F30976"/>
    <w:rsid w:val="00F31240"/>
    <w:rsid w:val="00F31287"/>
    <w:rsid w:val="00F313A4"/>
    <w:rsid w:val="00F315D3"/>
    <w:rsid w:val="00F3198C"/>
    <w:rsid w:val="00F320A2"/>
    <w:rsid w:val="00F3226A"/>
    <w:rsid w:val="00F32A25"/>
    <w:rsid w:val="00F32BFC"/>
    <w:rsid w:val="00F33327"/>
    <w:rsid w:val="00F341A2"/>
    <w:rsid w:val="00F34511"/>
    <w:rsid w:val="00F350CF"/>
    <w:rsid w:val="00F356A1"/>
    <w:rsid w:val="00F35ADE"/>
    <w:rsid w:val="00F35F58"/>
    <w:rsid w:val="00F362DC"/>
    <w:rsid w:val="00F367D1"/>
    <w:rsid w:val="00F36AF0"/>
    <w:rsid w:val="00F36F9E"/>
    <w:rsid w:val="00F373BB"/>
    <w:rsid w:val="00F4067F"/>
    <w:rsid w:val="00F40BE4"/>
    <w:rsid w:val="00F41510"/>
    <w:rsid w:val="00F41E6A"/>
    <w:rsid w:val="00F420D5"/>
    <w:rsid w:val="00F42980"/>
    <w:rsid w:val="00F43212"/>
    <w:rsid w:val="00F435F0"/>
    <w:rsid w:val="00F43620"/>
    <w:rsid w:val="00F43D41"/>
    <w:rsid w:val="00F44046"/>
    <w:rsid w:val="00F44643"/>
    <w:rsid w:val="00F45817"/>
    <w:rsid w:val="00F45EDC"/>
    <w:rsid w:val="00F46390"/>
    <w:rsid w:val="00F463BB"/>
    <w:rsid w:val="00F46CC0"/>
    <w:rsid w:val="00F46FE1"/>
    <w:rsid w:val="00F4718D"/>
    <w:rsid w:val="00F476EF"/>
    <w:rsid w:val="00F508B2"/>
    <w:rsid w:val="00F51039"/>
    <w:rsid w:val="00F511EC"/>
    <w:rsid w:val="00F515D7"/>
    <w:rsid w:val="00F51706"/>
    <w:rsid w:val="00F519BD"/>
    <w:rsid w:val="00F531A4"/>
    <w:rsid w:val="00F532DF"/>
    <w:rsid w:val="00F53936"/>
    <w:rsid w:val="00F54939"/>
    <w:rsid w:val="00F54E0E"/>
    <w:rsid w:val="00F54E74"/>
    <w:rsid w:val="00F54FA7"/>
    <w:rsid w:val="00F54FBB"/>
    <w:rsid w:val="00F55330"/>
    <w:rsid w:val="00F558B7"/>
    <w:rsid w:val="00F56481"/>
    <w:rsid w:val="00F5685F"/>
    <w:rsid w:val="00F56B25"/>
    <w:rsid w:val="00F56C75"/>
    <w:rsid w:val="00F56D16"/>
    <w:rsid w:val="00F56FA9"/>
    <w:rsid w:val="00F570D1"/>
    <w:rsid w:val="00F57D8A"/>
    <w:rsid w:val="00F60104"/>
    <w:rsid w:val="00F60A40"/>
    <w:rsid w:val="00F60B32"/>
    <w:rsid w:val="00F61470"/>
    <w:rsid w:val="00F63091"/>
    <w:rsid w:val="00F64C7A"/>
    <w:rsid w:val="00F64EA2"/>
    <w:rsid w:val="00F6579A"/>
    <w:rsid w:val="00F65963"/>
    <w:rsid w:val="00F65DE7"/>
    <w:rsid w:val="00F65F3B"/>
    <w:rsid w:val="00F65F45"/>
    <w:rsid w:val="00F663C6"/>
    <w:rsid w:val="00F6763A"/>
    <w:rsid w:val="00F7111C"/>
    <w:rsid w:val="00F7165D"/>
    <w:rsid w:val="00F72094"/>
    <w:rsid w:val="00F721C7"/>
    <w:rsid w:val="00F725DA"/>
    <w:rsid w:val="00F728D3"/>
    <w:rsid w:val="00F72EF9"/>
    <w:rsid w:val="00F73993"/>
    <w:rsid w:val="00F73CF9"/>
    <w:rsid w:val="00F744F4"/>
    <w:rsid w:val="00F74672"/>
    <w:rsid w:val="00F74E70"/>
    <w:rsid w:val="00F75BF9"/>
    <w:rsid w:val="00F75D58"/>
    <w:rsid w:val="00F75F0A"/>
    <w:rsid w:val="00F76AB9"/>
    <w:rsid w:val="00F76B59"/>
    <w:rsid w:val="00F76B61"/>
    <w:rsid w:val="00F76B65"/>
    <w:rsid w:val="00F777F4"/>
    <w:rsid w:val="00F77DC5"/>
    <w:rsid w:val="00F77E6F"/>
    <w:rsid w:val="00F81DB1"/>
    <w:rsid w:val="00F82421"/>
    <w:rsid w:val="00F82C51"/>
    <w:rsid w:val="00F82FEF"/>
    <w:rsid w:val="00F84480"/>
    <w:rsid w:val="00F844B8"/>
    <w:rsid w:val="00F844BA"/>
    <w:rsid w:val="00F84AF9"/>
    <w:rsid w:val="00F850D6"/>
    <w:rsid w:val="00F855A4"/>
    <w:rsid w:val="00F85E3E"/>
    <w:rsid w:val="00F864BA"/>
    <w:rsid w:val="00F86C17"/>
    <w:rsid w:val="00F87073"/>
    <w:rsid w:val="00F8735D"/>
    <w:rsid w:val="00F877ED"/>
    <w:rsid w:val="00F90488"/>
    <w:rsid w:val="00F915EF"/>
    <w:rsid w:val="00F91816"/>
    <w:rsid w:val="00F91ED5"/>
    <w:rsid w:val="00F92008"/>
    <w:rsid w:val="00F9219D"/>
    <w:rsid w:val="00F92E68"/>
    <w:rsid w:val="00F9336E"/>
    <w:rsid w:val="00F9372B"/>
    <w:rsid w:val="00F93C23"/>
    <w:rsid w:val="00F9426E"/>
    <w:rsid w:val="00F947EF"/>
    <w:rsid w:val="00F94B37"/>
    <w:rsid w:val="00F95B93"/>
    <w:rsid w:val="00F96941"/>
    <w:rsid w:val="00F976BE"/>
    <w:rsid w:val="00F97A50"/>
    <w:rsid w:val="00F97CEF"/>
    <w:rsid w:val="00FA02C8"/>
    <w:rsid w:val="00FA058E"/>
    <w:rsid w:val="00FA0CA9"/>
    <w:rsid w:val="00FA15F9"/>
    <w:rsid w:val="00FA1A6A"/>
    <w:rsid w:val="00FA2316"/>
    <w:rsid w:val="00FA28AF"/>
    <w:rsid w:val="00FA2B7C"/>
    <w:rsid w:val="00FA2DAE"/>
    <w:rsid w:val="00FA30CC"/>
    <w:rsid w:val="00FA310A"/>
    <w:rsid w:val="00FA3162"/>
    <w:rsid w:val="00FA34B7"/>
    <w:rsid w:val="00FA35CF"/>
    <w:rsid w:val="00FA4DEF"/>
    <w:rsid w:val="00FA5BD4"/>
    <w:rsid w:val="00FA5F59"/>
    <w:rsid w:val="00FA635B"/>
    <w:rsid w:val="00FA63BE"/>
    <w:rsid w:val="00FA65B2"/>
    <w:rsid w:val="00FA65BD"/>
    <w:rsid w:val="00FA6CE3"/>
    <w:rsid w:val="00FA6E14"/>
    <w:rsid w:val="00FA719A"/>
    <w:rsid w:val="00FA7918"/>
    <w:rsid w:val="00FA7C3E"/>
    <w:rsid w:val="00FA7D53"/>
    <w:rsid w:val="00FB041A"/>
    <w:rsid w:val="00FB0F6C"/>
    <w:rsid w:val="00FB1250"/>
    <w:rsid w:val="00FB12B4"/>
    <w:rsid w:val="00FB135D"/>
    <w:rsid w:val="00FB147D"/>
    <w:rsid w:val="00FB166C"/>
    <w:rsid w:val="00FB16E6"/>
    <w:rsid w:val="00FB1EE8"/>
    <w:rsid w:val="00FB259E"/>
    <w:rsid w:val="00FB265B"/>
    <w:rsid w:val="00FB3F00"/>
    <w:rsid w:val="00FB4178"/>
    <w:rsid w:val="00FB4DEC"/>
    <w:rsid w:val="00FB57BB"/>
    <w:rsid w:val="00FB5887"/>
    <w:rsid w:val="00FB5AE5"/>
    <w:rsid w:val="00FB67F6"/>
    <w:rsid w:val="00FB7A4A"/>
    <w:rsid w:val="00FC076D"/>
    <w:rsid w:val="00FC094B"/>
    <w:rsid w:val="00FC14A5"/>
    <w:rsid w:val="00FC1AAE"/>
    <w:rsid w:val="00FC28E8"/>
    <w:rsid w:val="00FC2B79"/>
    <w:rsid w:val="00FC34D6"/>
    <w:rsid w:val="00FC407E"/>
    <w:rsid w:val="00FC4394"/>
    <w:rsid w:val="00FC443F"/>
    <w:rsid w:val="00FC5055"/>
    <w:rsid w:val="00FC512B"/>
    <w:rsid w:val="00FC513F"/>
    <w:rsid w:val="00FC61EA"/>
    <w:rsid w:val="00FC679B"/>
    <w:rsid w:val="00FC71DD"/>
    <w:rsid w:val="00FC74F3"/>
    <w:rsid w:val="00FC7932"/>
    <w:rsid w:val="00FD07E7"/>
    <w:rsid w:val="00FD0949"/>
    <w:rsid w:val="00FD0F01"/>
    <w:rsid w:val="00FD115A"/>
    <w:rsid w:val="00FD13F2"/>
    <w:rsid w:val="00FD17CC"/>
    <w:rsid w:val="00FD21A8"/>
    <w:rsid w:val="00FD26B3"/>
    <w:rsid w:val="00FD3000"/>
    <w:rsid w:val="00FD362B"/>
    <w:rsid w:val="00FD4476"/>
    <w:rsid w:val="00FD49F4"/>
    <w:rsid w:val="00FD4BB5"/>
    <w:rsid w:val="00FD4BF3"/>
    <w:rsid w:val="00FD508B"/>
    <w:rsid w:val="00FD508D"/>
    <w:rsid w:val="00FD5707"/>
    <w:rsid w:val="00FD6547"/>
    <w:rsid w:val="00FD6C8F"/>
    <w:rsid w:val="00FD7323"/>
    <w:rsid w:val="00FD750D"/>
    <w:rsid w:val="00FD7F7D"/>
    <w:rsid w:val="00FE03B5"/>
    <w:rsid w:val="00FE06C6"/>
    <w:rsid w:val="00FE1B8B"/>
    <w:rsid w:val="00FE1CE3"/>
    <w:rsid w:val="00FE1E81"/>
    <w:rsid w:val="00FE2414"/>
    <w:rsid w:val="00FE34F2"/>
    <w:rsid w:val="00FE3AF6"/>
    <w:rsid w:val="00FE404E"/>
    <w:rsid w:val="00FE40CA"/>
    <w:rsid w:val="00FE5D28"/>
    <w:rsid w:val="00FE6F0A"/>
    <w:rsid w:val="00FE77FE"/>
    <w:rsid w:val="00FF0118"/>
    <w:rsid w:val="00FF031D"/>
    <w:rsid w:val="00FF04DE"/>
    <w:rsid w:val="00FF084B"/>
    <w:rsid w:val="00FF0997"/>
    <w:rsid w:val="00FF0D12"/>
    <w:rsid w:val="00FF1392"/>
    <w:rsid w:val="00FF1582"/>
    <w:rsid w:val="00FF1923"/>
    <w:rsid w:val="00FF21E9"/>
    <w:rsid w:val="00FF2250"/>
    <w:rsid w:val="00FF2F04"/>
    <w:rsid w:val="00FF370A"/>
    <w:rsid w:val="00FF4103"/>
    <w:rsid w:val="00FF4ABA"/>
    <w:rsid w:val="00FF4C57"/>
    <w:rsid w:val="00FF507F"/>
    <w:rsid w:val="00FF6A3D"/>
    <w:rsid w:val="00FF72BE"/>
    <w:rsid w:val="00FF77B5"/>
    <w:rsid w:val="00FF7F25"/>
    <w:rsid w:val="00FF7F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76E019"/>
  <w15:chartTrackingRefBased/>
  <w15:docId w15:val="{F0F29795-7226-4CB2-BE68-177FF19B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B0"/>
    <w:rPr>
      <w:rFonts w:ascii="Times New Roman" w:hAnsi="Times New Roman"/>
      <w:sz w:val="24"/>
    </w:rPr>
  </w:style>
  <w:style w:type="paragraph" w:styleId="Heading1">
    <w:name w:val="heading 1"/>
    <w:basedOn w:val="Normal"/>
    <w:link w:val="Heading1Char"/>
    <w:uiPriority w:val="9"/>
    <w:qFormat/>
    <w:rsid w:val="000F5E81"/>
    <w:pPr>
      <w:spacing w:before="100" w:beforeAutospacing="1" w:after="100" w:afterAutospacing="1" w:line="240" w:lineRule="auto"/>
      <w:outlineLvl w:val="0"/>
    </w:pPr>
    <w:rPr>
      <w:rFonts w:eastAsia="Times New Roman" w:cs="Times New Roman"/>
      <w:b/>
      <w:bCs/>
      <w:color w:val="2F5496" w:themeColor="accent1" w:themeShade="BF"/>
      <w:kern w:val="36"/>
      <w:sz w:val="28"/>
      <w:szCs w:val="48"/>
      <w:lang w:eastAsia="da-DK"/>
    </w:rPr>
  </w:style>
  <w:style w:type="paragraph" w:styleId="Heading2">
    <w:name w:val="heading 2"/>
    <w:basedOn w:val="Normal"/>
    <w:next w:val="Normal"/>
    <w:link w:val="Heading2Char"/>
    <w:uiPriority w:val="9"/>
    <w:unhideWhenUsed/>
    <w:qFormat/>
    <w:rsid w:val="003F5BC6"/>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F4E"/>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F9"/>
    <w:pPr>
      <w:ind w:left="720"/>
      <w:contextualSpacing/>
    </w:pPr>
  </w:style>
  <w:style w:type="character" w:customStyle="1" w:styleId="Heading1Char">
    <w:name w:val="Heading 1 Char"/>
    <w:basedOn w:val="DefaultParagraphFont"/>
    <w:link w:val="Heading1"/>
    <w:uiPriority w:val="9"/>
    <w:rsid w:val="000F5E81"/>
    <w:rPr>
      <w:rFonts w:ascii="Times New Roman" w:eastAsia="Times New Roman" w:hAnsi="Times New Roman" w:cs="Times New Roman"/>
      <w:b/>
      <w:bCs/>
      <w:color w:val="2F5496" w:themeColor="accent1" w:themeShade="BF"/>
      <w:kern w:val="36"/>
      <w:sz w:val="28"/>
      <w:szCs w:val="48"/>
      <w:lang w:eastAsia="da-DK"/>
    </w:rPr>
  </w:style>
  <w:style w:type="paragraph" w:styleId="TOCHeading">
    <w:name w:val="TOC Heading"/>
    <w:basedOn w:val="Heading1"/>
    <w:next w:val="Normal"/>
    <w:uiPriority w:val="39"/>
    <w:unhideWhenUsed/>
    <w:qFormat/>
    <w:rsid w:val="002A534A"/>
    <w:pPr>
      <w:keepNext/>
      <w:keepLines/>
      <w:spacing w:before="240" w:beforeAutospacing="0" w:after="0" w:afterAutospacing="0" w:line="259" w:lineRule="auto"/>
      <w:outlineLvl w:val="9"/>
    </w:pPr>
    <w:rPr>
      <w:rFonts w:eastAsiaTheme="majorEastAsia" w:cstheme="majorBidi"/>
      <w:b w:val="0"/>
      <w:bCs w:val="0"/>
      <w:kern w:val="0"/>
      <w:sz w:val="32"/>
      <w:szCs w:val="32"/>
    </w:rPr>
  </w:style>
  <w:style w:type="paragraph" w:styleId="TOC1">
    <w:name w:val="toc 1"/>
    <w:basedOn w:val="Normal"/>
    <w:next w:val="Normal"/>
    <w:autoRedefine/>
    <w:uiPriority w:val="39"/>
    <w:unhideWhenUsed/>
    <w:rsid w:val="002A534A"/>
    <w:pPr>
      <w:spacing w:after="100"/>
    </w:pPr>
  </w:style>
  <w:style w:type="character" w:styleId="Hyperlink">
    <w:name w:val="Hyperlink"/>
    <w:basedOn w:val="DefaultParagraphFont"/>
    <w:uiPriority w:val="99"/>
    <w:unhideWhenUsed/>
    <w:rsid w:val="002A534A"/>
    <w:rPr>
      <w:color w:val="0563C1" w:themeColor="hyperlink"/>
      <w:u w:val="single"/>
    </w:rPr>
  </w:style>
  <w:style w:type="table" w:styleId="TableGrid">
    <w:name w:val="Table Grid"/>
    <w:basedOn w:val="TableNormal"/>
    <w:uiPriority w:val="39"/>
    <w:rsid w:val="0033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D7F4E"/>
    <w:rPr>
      <w:rFonts w:ascii="Times New Roman" w:eastAsiaTheme="majorEastAsia" w:hAnsi="Times New Roman" w:cstheme="majorBidi"/>
      <w:color w:val="1F3763" w:themeColor="accent1" w:themeShade="7F"/>
      <w:sz w:val="24"/>
      <w:szCs w:val="24"/>
    </w:rPr>
  </w:style>
  <w:style w:type="character" w:customStyle="1" w:styleId="Heading2Char">
    <w:name w:val="Heading 2 Char"/>
    <w:basedOn w:val="DefaultParagraphFont"/>
    <w:link w:val="Heading2"/>
    <w:uiPriority w:val="9"/>
    <w:rsid w:val="003F5BC6"/>
    <w:rPr>
      <w:rFonts w:ascii="Times New Roman" w:eastAsiaTheme="majorEastAsia" w:hAnsi="Times New Roman" w:cstheme="majorBidi"/>
      <w:color w:val="2F5496" w:themeColor="accent1" w:themeShade="BF"/>
      <w:sz w:val="26"/>
      <w:szCs w:val="26"/>
    </w:rPr>
  </w:style>
  <w:style w:type="paragraph" w:styleId="TOC2">
    <w:name w:val="toc 2"/>
    <w:basedOn w:val="Normal"/>
    <w:next w:val="Normal"/>
    <w:autoRedefine/>
    <w:uiPriority w:val="39"/>
    <w:unhideWhenUsed/>
    <w:rsid w:val="0060583E"/>
    <w:pPr>
      <w:spacing w:after="100"/>
      <w:ind w:left="220"/>
    </w:pPr>
  </w:style>
  <w:style w:type="character" w:customStyle="1" w:styleId="Ulstomtale1">
    <w:name w:val="Uløst omtale1"/>
    <w:basedOn w:val="DefaultParagraphFont"/>
    <w:uiPriority w:val="99"/>
    <w:semiHidden/>
    <w:unhideWhenUsed/>
    <w:rsid w:val="004765FF"/>
    <w:rPr>
      <w:color w:val="605E5C"/>
      <w:shd w:val="clear" w:color="auto" w:fill="E1DFDD"/>
    </w:rPr>
  </w:style>
  <w:style w:type="paragraph" w:customStyle="1" w:styleId="ydp5eefc5e5msonormal">
    <w:name w:val="ydp5eefc5e5msonormal"/>
    <w:basedOn w:val="Normal"/>
    <w:rsid w:val="005B6ED1"/>
    <w:pPr>
      <w:spacing w:before="100" w:beforeAutospacing="1" w:after="100" w:afterAutospacing="1" w:line="240" w:lineRule="auto"/>
    </w:pPr>
    <w:rPr>
      <w:rFonts w:eastAsiaTheme="minorEastAsia" w:cs="Times New Roman"/>
      <w:szCs w:val="24"/>
      <w:lang w:eastAsia="da-DK"/>
    </w:rPr>
  </w:style>
  <w:style w:type="paragraph" w:styleId="NormalWeb">
    <w:name w:val="Normal (Web)"/>
    <w:basedOn w:val="Normal"/>
    <w:uiPriority w:val="99"/>
    <w:semiHidden/>
    <w:unhideWhenUsed/>
    <w:rsid w:val="00DD3309"/>
    <w:pPr>
      <w:spacing w:before="100" w:beforeAutospacing="1" w:after="100" w:afterAutospacing="1" w:line="240" w:lineRule="auto"/>
    </w:pPr>
    <w:rPr>
      <w:rFonts w:eastAsia="Times New Roman" w:cs="Times New Roman"/>
      <w:szCs w:val="24"/>
      <w:lang w:eastAsia="da-DK"/>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CommentText">
    <w:name w:val="annotation text"/>
    <w:basedOn w:val="Normal"/>
    <w:link w:val="CommentTextChar"/>
    <w:uiPriority w:val="99"/>
    <w:unhideWhenUsed/>
    <w:rsid w:val="00485169"/>
    <w:pPr>
      <w:spacing w:after="0" w:line="240" w:lineRule="auto"/>
    </w:pPr>
    <w:rPr>
      <w:rFonts w:ascii="Cambria" w:eastAsia="MS Mincho" w:hAnsi="Cambria" w:cs="Times New Roman"/>
      <w:sz w:val="20"/>
      <w:szCs w:val="20"/>
      <w:lang w:eastAsia="da-DK"/>
    </w:rPr>
  </w:style>
  <w:style w:type="character" w:customStyle="1" w:styleId="CommentTextChar">
    <w:name w:val="Comment Text Char"/>
    <w:basedOn w:val="DefaultParagraphFont"/>
    <w:link w:val="CommentText"/>
    <w:uiPriority w:val="99"/>
    <w:rsid w:val="00485169"/>
    <w:rPr>
      <w:rFonts w:ascii="Cambria" w:eastAsia="MS Mincho" w:hAnsi="Cambria" w:cs="Times New Roman"/>
      <w:sz w:val="20"/>
      <w:szCs w:val="20"/>
      <w:lang w:eastAsia="da-DK"/>
    </w:rPr>
  </w:style>
  <w:style w:type="character" w:styleId="Strong">
    <w:name w:val="Strong"/>
    <w:basedOn w:val="DefaultParagraphFont"/>
    <w:uiPriority w:val="22"/>
    <w:qFormat/>
    <w:rsid w:val="00485169"/>
    <w:rPr>
      <w:b/>
      <w:bCs/>
    </w:rPr>
  </w:style>
  <w:style w:type="character" w:styleId="CommentReference">
    <w:name w:val="annotation reference"/>
    <w:basedOn w:val="DefaultParagraphFont"/>
    <w:uiPriority w:val="99"/>
    <w:semiHidden/>
    <w:unhideWhenUsed/>
    <w:rsid w:val="003239A7"/>
    <w:rPr>
      <w:sz w:val="16"/>
      <w:szCs w:val="16"/>
    </w:rPr>
  </w:style>
  <w:style w:type="paragraph" w:styleId="CommentSubject">
    <w:name w:val="annotation subject"/>
    <w:basedOn w:val="CommentText"/>
    <w:next w:val="CommentText"/>
    <w:link w:val="CommentSubjectChar"/>
    <w:uiPriority w:val="99"/>
    <w:semiHidden/>
    <w:unhideWhenUsed/>
    <w:rsid w:val="003239A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239A7"/>
    <w:rPr>
      <w:rFonts w:ascii="Cambria" w:eastAsia="MS Mincho" w:hAnsi="Cambria" w:cs="Times New Roman"/>
      <w:b/>
      <w:bCs/>
      <w:sz w:val="20"/>
      <w:szCs w:val="20"/>
      <w:lang w:eastAsia="da-DK"/>
    </w:rPr>
  </w:style>
  <w:style w:type="paragraph" w:customStyle="1" w:styleId="Default">
    <w:name w:val="Default"/>
    <w:rsid w:val="003239A7"/>
    <w:pPr>
      <w:autoSpaceDE w:val="0"/>
      <w:autoSpaceDN w:val="0"/>
      <w:adjustRightInd w:val="0"/>
      <w:spacing w:after="0" w:line="240" w:lineRule="auto"/>
    </w:pPr>
    <w:rPr>
      <w:rFonts w:ascii="Harriet Text Light" w:hAnsi="Harriet Text Light" w:cs="Harriet Text Light"/>
      <w:color w:val="000000"/>
      <w:sz w:val="24"/>
      <w:szCs w:val="24"/>
    </w:rPr>
  </w:style>
  <w:style w:type="paragraph" w:customStyle="1" w:styleId="EndNoteBibliographyTitle">
    <w:name w:val="EndNote Bibliography Title"/>
    <w:basedOn w:val="Normal"/>
    <w:link w:val="EndNoteBibliographyTitleTegn"/>
    <w:rsid w:val="00484C3D"/>
    <w:pPr>
      <w:spacing w:after="0"/>
      <w:jc w:val="center"/>
    </w:pPr>
    <w:rPr>
      <w:rFonts w:cs="Times New Roman"/>
      <w:noProof/>
      <w:lang w:val="en-US"/>
    </w:rPr>
  </w:style>
  <w:style w:type="character" w:customStyle="1" w:styleId="EndNoteBibliographyTitleTegn">
    <w:name w:val="EndNote Bibliography Title Tegn"/>
    <w:basedOn w:val="DefaultParagraphFont"/>
    <w:link w:val="EndNoteBibliographyTitle"/>
    <w:rsid w:val="00484C3D"/>
    <w:rPr>
      <w:rFonts w:ascii="Times New Roman" w:hAnsi="Times New Roman" w:cs="Times New Roman"/>
      <w:noProof/>
      <w:sz w:val="24"/>
      <w:lang w:val="en-US"/>
    </w:rPr>
  </w:style>
  <w:style w:type="paragraph" w:customStyle="1" w:styleId="EndNoteBibliography">
    <w:name w:val="EndNote Bibliography"/>
    <w:basedOn w:val="Normal"/>
    <w:link w:val="EndNoteBibliographyTegn"/>
    <w:rsid w:val="00484C3D"/>
    <w:pPr>
      <w:spacing w:line="240" w:lineRule="auto"/>
    </w:pPr>
    <w:rPr>
      <w:rFonts w:cs="Times New Roman"/>
      <w:noProof/>
      <w:lang w:val="en-US"/>
    </w:rPr>
  </w:style>
  <w:style w:type="character" w:customStyle="1" w:styleId="EndNoteBibliographyTegn">
    <w:name w:val="EndNote Bibliography Tegn"/>
    <w:basedOn w:val="DefaultParagraphFont"/>
    <w:link w:val="EndNoteBibliography"/>
    <w:rsid w:val="00484C3D"/>
    <w:rPr>
      <w:rFonts w:ascii="Times New Roman" w:hAnsi="Times New Roman" w:cs="Times New Roman"/>
      <w:noProof/>
      <w:sz w:val="24"/>
      <w:lang w:val="en-US"/>
    </w:rPr>
  </w:style>
  <w:style w:type="paragraph" w:styleId="TOC3">
    <w:name w:val="toc 3"/>
    <w:basedOn w:val="Normal"/>
    <w:next w:val="Normal"/>
    <w:autoRedefine/>
    <w:uiPriority w:val="39"/>
    <w:unhideWhenUsed/>
    <w:rsid w:val="004557F7"/>
    <w:pPr>
      <w:spacing w:after="100"/>
      <w:ind w:left="440"/>
    </w:pPr>
    <w:rPr>
      <w:rFonts w:asciiTheme="minorHAnsi" w:eastAsiaTheme="minorEastAsia" w:hAnsiTheme="minorHAnsi" w:cs="Times New Roman"/>
      <w:sz w:val="22"/>
      <w:lang w:eastAsia="da-DK"/>
    </w:rPr>
  </w:style>
  <w:style w:type="character" w:customStyle="1" w:styleId="highlight">
    <w:name w:val="highlight"/>
    <w:basedOn w:val="DefaultParagraphFont"/>
    <w:rsid w:val="007935DD"/>
  </w:style>
  <w:style w:type="paragraph" w:styleId="HTMLPreformatted">
    <w:name w:val="HTML Preformatted"/>
    <w:basedOn w:val="Normal"/>
    <w:link w:val="HTMLPreformattedChar"/>
    <w:uiPriority w:val="99"/>
    <w:semiHidden/>
    <w:unhideWhenUsed/>
    <w:rsid w:val="0081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813678"/>
    <w:rPr>
      <w:rFonts w:ascii="Courier New" w:eastAsia="Times New Roman" w:hAnsi="Courier New" w:cs="Courier New"/>
      <w:sz w:val="20"/>
      <w:szCs w:val="20"/>
      <w:lang w:eastAsia="da-DK"/>
    </w:rPr>
  </w:style>
  <w:style w:type="paragraph" w:styleId="Caption">
    <w:name w:val="caption"/>
    <w:basedOn w:val="Normal"/>
    <w:next w:val="Normal"/>
    <w:uiPriority w:val="35"/>
    <w:unhideWhenUsed/>
    <w:qFormat/>
    <w:rsid w:val="008C0CB4"/>
    <w:pPr>
      <w:spacing w:after="200" w:line="240" w:lineRule="auto"/>
    </w:pPr>
    <w:rPr>
      <w:i/>
      <w:iCs/>
      <w:color w:val="44546A" w:themeColor="text2"/>
      <w:sz w:val="18"/>
      <w:szCs w:val="18"/>
    </w:rPr>
  </w:style>
  <w:style w:type="table" w:styleId="ListTable1Light-Accent1">
    <w:name w:val="List Table 1 Light Accent 1"/>
    <w:basedOn w:val="TableNormal"/>
    <w:uiPriority w:val="46"/>
    <w:rsid w:val="008C0CB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8C0CB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8C0C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41418"/>
    <w:pPr>
      <w:spacing w:after="0" w:line="240" w:lineRule="auto"/>
    </w:pPr>
    <w:rPr>
      <w:rFonts w:ascii="Times New Roman" w:hAnsi="Times New Roman"/>
      <w:sz w:val="24"/>
    </w:rPr>
  </w:style>
  <w:style w:type="table" w:styleId="PlainTable5">
    <w:name w:val="Plain Table 5"/>
    <w:basedOn w:val="TableNormal"/>
    <w:uiPriority w:val="45"/>
    <w:rsid w:val="00211E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11E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211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211E5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uthor">
    <w:name w:val="author"/>
    <w:basedOn w:val="DefaultParagraphFont"/>
    <w:rsid w:val="00456B15"/>
  </w:style>
  <w:style w:type="character" w:styleId="Emphasis">
    <w:name w:val="Emphasis"/>
    <w:basedOn w:val="DefaultParagraphFont"/>
    <w:uiPriority w:val="20"/>
    <w:qFormat/>
    <w:rsid w:val="00FF1582"/>
    <w:rPr>
      <w:i/>
      <w:iCs/>
    </w:rPr>
  </w:style>
  <w:style w:type="character" w:customStyle="1" w:styleId="ej-keyword">
    <w:name w:val="ej-keyword"/>
    <w:basedOn w:val="DefaultParagraphFont"/>
    <w:rsid w:val="00F53936"/>
  </w:style>
  <w:style w:type="character" w:styleId="FollowedHyperlink">
    <w:name w:val="FollowedHyperlink"/>
    <w:basedOn w:val="DefaultParagraphFont"/>
    <w:uiPriority w:val="99"/>
    <w:semiHidden/>
    <w:unhideWhenUsed/>
    <w:rsid w:val="00F02440"/>
    <w:rPr>
      <w:color w:val="954F72" w:themeColor="followedHyperlink"/>
      <w:u w:val="single"/>
    </w:rPr>
  </w:style>
  <w:style w:type="paragraph" w:styleId="Header">
    <w:name w:val="header"/>
    <w:basedOn w:val="Normal"/>
    <w:link w:val="HeaderChar"/>
    <w:uiPriority w:val="99"/>
    <w:unhideWhenUsed/>
    <w:rsid w:val="001C15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154F"/>
    <w:rPr>
      <w:rFonts w:ascii="Times New Roman" w:hAnsi="Times New Roman"/>
      <w:sz w:val="24"/>
    </w:rPr>
  </w:style>
  <w:style w:type="paragraph" w:styleId="Footer">
    <w:name w:val="footer"/>
    <w:basedOn w:val="Normal"/>
    <w:link w:val="FooterChar"/>
    <w:uiPriority w:val="99"/>
    <w:unhideWhenUsed/>
    <w:rsid w:val="001C15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C154F"/>
    <w:rPr>
      <w:rFonts w:ascii="Times New Roman" w:hAnsi="Times New Roman"/>
      <w:sz w:val="24"/>
    </w:rPr>
  </w:style>
  <w:style w:type="character" w:styleId="PlaceholderText">
    <w:name w:val="Placeholder Text"/>
    <w:basedOn w:val="DefaultParagraphFont"/>
    <w:uiPriority w:val="99"/>
    <w:semiHidden/>
    <w:rsid w:val="003F4005"/>
    <w:rPr>
      <w:color w:val="808080"/>
    </w:rPr>
  </w:style>
  <w:style w:type="character" w:customStyle="1" w:styleId="med1">
    <w:name w:val="med1"/>
    <w:basedOn w:val="DefaultParagraphFont"/>
    <w:rsid w:val="00292A93"/>
  </w:style>
  <w:style w:type="paragraph" w:styleId="Title">
    <w:name w:val="Title"/>
    <w:basedOn w:val="Normal"/>
    <w:next w:val="Normal"/>
    <w:link w:val="TitleChar"/>
    <w:uiPriority w:val="10"/>
    <w:qFormat/>
    <w:rsid w:val="006700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0E0"/>
    <w:rPr>
      <w:rFonts w:asciiTheme="majorHAnsi" w:eastAsiaTheme="majorEastAsia" w:hAnsiTheme="majorHAnsi" w:cstheme="majorBidi"/>
      <w:spacing w:val="-10"/>
      <w:kern w:val="28"/>
      <w:sz w:val="56"/>
      <w:szCs w:val="56"/>
    </w:rPr>
  </w:style>
  <w:style w:type="paragraph" w:customStyle="1" w:styleId="chapter-para">
    <w:name w:val="chapter-para"/>
    <w:basedOn w:val="Normal"/>
    <w:rsid w:val="00BB4B72"/>
    <w:pPr>
      <w:spacing w:before="100" w:beforeAutospacing="1" w:after="100" w:afterAutospacing="1" w:line="240" w:lineRule="auto"/>
    </w:pPr>
    <w:rPr>
      <w:rFonts w:eastAsia="Times New Roman" w:cs="Times New Roman"/>
      <w:szCs w:val="24"/>
      <w:lang w:eastAsia="da-DK"/>
    </w:rPr>
  </w:style>
  <w:style w:type="paragraph" w:styleId="PlainText">
    <w:name w:val="Plain Text"/>
    <w:basedOn w:val="Normal"/>
    <w:link w:val="PlainTextChar"/>
    <w:uiPriority w:val="99"/>
    <w:unhideWhenUsed/>
    <w:rsid w:val="00DD73E9"/>
    <w:pPr>
      <w:spacing w:after="0" w:line="240" w:lineRule="auto"/>
    </w:pPr>
    <w:rPr>
      <w:rFonts w:ascii="Calibri" w:eastAsiaTheme="minorEastAsia" w:hAnsi="Calibri"/>
      <w:sz w:val="22"/>
      <w:szCs w:val="21"/>
      <w:lang w:eastAsia="da-DK"/>
    </w:rPr>
  </w:style>
  <w:style w:type="character" w:customStyle="1" w:styleId="PlainTextChar">
    <w:name w:val="Plain Text Char"/>
    <w:basedOn w:val="DefaultParagraphFont"/>
    <w:link w:val="PlainText"/>
    <w:uiPriority w:val="99"/>
    <w:rsid w:val="00DD73E9"/>
    <w:rPr>
      <w:rFonts w:ascii="Calibri" w:eastAsiaTheme="minorEastAsia" w:hAnsi="Calibri"/>
      <w:szCs w:val="21"/>
      <w:lang w:eastAsia="da-DK"/>
    </w:rPr>
  </w:style>
  <w:style w:type="paragraph" w:styleId="Bibliography">
    <w:name w:val="Bibliography"/>
    <w:basedOn w:val="Normal"/>
    <w:next w:val="Normal"/>
    <w:uiPriority w:val="37"/>
    <w:unhideWhenUsed/>
    <w:rsid w:val="00DC1E25"/>
    <w:pPr>
      <w:tabs>
        <w:tab w:val="left" w:pos="504"/>
      </w:tabs>
      <w:spacing w:after="240" w:line="240" w:lineRule="auto"/>
      <w:ind w:left="504" w:hanging="504"/>
    </w:pPr>
  </w:style>
  <w:style w:type="character" w:customStyle="1" w:styleId="A3">
    <w:name w:val="A3"/>
    <w:uiPriority w:val="99"/>
    <w:rsid w:val="00A50C0E"/>
    <w:rPr>
      <w:rFonts w:cs="Sabon"/>
      <w:color w:val="000000"/>
      <w:sz w:val="11"/>
      <w:szCs w:val="11"/>
    </w:rPr>
  </w:style>
  <w:style w:type="character" w:styleId="LineNumber">
    <w:name w:val="line number"/>
    <w:basedOn w:val="DefaultParagraphFont"/>
    <w:uiPriority w:val="99"/>
    <w:semiHidden/>
    <w:unhideWhenUsed/>
    <w:rsid w:val="0086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576">
      <w:bodyDiv w:val="1"/>
      <w:marLeft w:val="0"/>
      <w:marRight w:val="0"/>
      <w:marTop w:val="0"/>
      <w:marBottom w:val="0"/>
      <w:divBdr>
        <w:top w:val="none" w:sz="0" w:space="0" w:color="auto"/>
        <w:left w:val="none" w:sz="0" w:space="0" w:color="auto"/>
        <w:bottom w:val="none" w:sz="0" w:space="0" w:color="auto"/>
        <w:right w:val="none" w:sz="0" w:space="0" w:color="auto"/>
      </w:divBdr>
    </w:div>
    <w:div w:id="44263710">
      <w:bodyDiv w:val="1"/>
      <w:marLeft w:val="0"/>
      <w:marRight w:val="0"/>
      <w:marTop w:val="0"/>
      <w:marBottom w:val="0"/>
      <w:divBdr>
        <w:top w:val="none" w:sz="0" w:space="0" w:color="auto"/>
        <w:left w:val="none" w:sz="0" w:space="0" w:color="auto"/>
        <w:bottom w:val="none" w:sz="0" w:space="0" w:color="auto"/>
        <w:right w:val="none" w:sz="0" w:space="0" w:color="auto"/>
      </w:divBdr>
    </w:div>
    <w:div w:id="61998634">
      <w:bodyDiv w:val="1"/>
      <w:marLeft w:val="0"/>
      <w:marRight w:val="0"/>
      <w:marTop w:val="0"/>
      <w:marBottom w:val="0"/>
      <w:divBdr>
        <w:top w:val="none" w:sz="0" w:space="0" w:color="auto"/>
        <w:left w:val="none" w:sz="0" w:space="0" w:color="auto"/>
        <w:bottom w:val="none" w:sz="0" w:space="0" w:color="auto"/>
        <w:right w:val="none" w:sz="0" w:space="0" w:color="auto"/>
      </w:divBdr>
    </w:div>
    <w:div w:id="68308695">
      <w:bodyDiv w:val="1"/>
      <w:marLeft w:val="0"/>
      <w:marRight w:val="0"/>
      <w:marTop w:val="0"/>
      <w:marBottom w:val="0"/>
      <w:divBdr>
        <w:top w:val="none" w:sz="0" w:space="0" w:color="auto"/>
        <w:left w:val="none" w:sz="0" w:space="0" w:color="auto"/>
        <w:bottom w:val="none" w:sz="0" w:space="0" w:color="auto"/>
        <w:right w:val="none" w:sz="0" w:space="0" w:color="auto"/>
      </w:divBdr>
    </w:div>
    <w:div w:id="76052609">
      <w:bodyDiv w:val="1"/>
      <w:marLeft w:val="0"/>
      <w:marRight w:val="0"/>
      <w:marTop w:val="0"/>
      <w:marBottom w:val="0"/>
      <w:divBdr>
        <w:top w:val="none" w:sz="0" w:space="0" w:color="auto"/>
        <w:left w:val="none" w:sz="0" w:space="0" w:color="auto"/>
        <w:bottom w:val="none" w:sz="0" w:space="0" w:color="auto"/>
        <w:right w:val="none" w:sz="0" w:space="0" w:color="auto"/>
      </w:divBdr>
    </w:div>
    <w:div w:id="110638164">
      <w:bodyDiv w:val="1"/>
      <w:marLeft w:val="0"/>
      <w:marRight w:val="0"/>
      <w:marTop w:val="0"/>
      <w:marBottom w:val="0"/>
      <w:divBdr>
        <w:top w:val="none" w:sz="0" w:space="0" w:color="auto"/>
        <w:left w:val="none" w:sz="0" w:space="0" w:color="auto"/>
        <w:bottom w:val="none" w:sz="0" w:space="0" w:color="auto"/>
        <w:right w:val="none" w:sz="0" w:space="0" w:color="auto"/>
      </w:divBdr>
    </w:div>
    <w:div w:id="140729554">
      <w:bodyDiv w:val="1"/>
      <w:marLeft w:val="0"/>
      <w:marRight w:val="0"/>
      <w:marTop w:val="0"/>
      <w:marBottom w:val="0"/>
      <w:divBdr>
        <w:top w:val="none" w:sz="0" w:space="0" w:color="auto"/>
        <w:left w:val="none" w:sz="0" w:space="0" w:color="auto"/>
        <w:bottom w:val="none" w:sz="0" w:space="0" w:color="auto"/>
        <w:right w:val="none" w:sz="0" w:space="0" w:color="auto"/>
      </w:divBdr>
    </w:div>
    <w:div w:id="158808570">
      <w:bodyDiv w:val="1"/>
      <w:marLeft w:val="0"/>
      <w:marRight w:val="0"/>
      <w:marTop w:val="0"/>
      <w:marBottom w:val="0"/>
      <w:divBdr>
        <w:top w:val="none" w:sz="0" w:space="0" w:color="auto"/>
        <w:left w:val="none" w:sz="0" w:space="0" w:color="auto"/>
        <w:bottom w:val="none" w:sz="0" w:space="0" w:color="auto"/>
        <w:right w:val="none" w:sz="0" w:space="0" w:color="auto"/>
      </w:divBdr>
    </w:div>
    <w:div w:id="164975039">
      <w:bodyDiv w:val="1"/>
      <w:marLeft w:val="0"/>
      <w:marRight w:val="0"/>
      <w:marTop w:val="0"/>
      <w:marBottom w:val="0"/>
      <w:divBdr>
        <w:top w:val="none" w:sz="0" w:space="0" w:color="auto"/>
        <w:left w:val="none" w:sz="0" w:space="0" w:color="auto"/>
        <w:bottom w:val="none" w:sz="0" w:space="0" w:color="auto"/>
        <w:right w:val="none" w:sz="0" w:space="0" w:color="auto"/>
      </w:divBdr>
    </w:div>
    <w:div w:id="268199161">
      <w:bodyDiv w:val="1"/>
      <w:marLeft w:val="0"/>
      <w:marRight w:val="0"/>
      <w:marTop w:val="0"/>
      <w:marBottom w:val="0"/>
      <w:divBdr>
        <w:top w:val="none" w:sz="0" w:space="0" w:color="auto"/>
        <w:left w:val="none" w:sz="0" w:space="0" w:color="auto"/>
        <w:bottom w:val="none" w:sz="0" w:space="0" w:color="auto"/>
        <w:right w:val="none" w:sz="0" w:space="0" w:color="auto"/>
      </w:divBdr>
    </w:div>
    <w:div w:id="280496525">
      <w:bodyDiv w:val="1"/>
      <w:marLeft w:val="0"/>
      <w:marRight w:val="0"/>
      <w:marTop w:val="0"/>
      <w:marBottom w:val="0"/>
      <w:divBdr>
        <w:top w:val="none" w:sz="0" w:space="0" w:color="auto"/>
        <w:left w:val="none" w:sz="0" w:space="0" w:color="auto"/>
        <w:bottom w:val="none" w:sz="0" w:space="0" w:color="auto"/>
        <w:right w:val="none" w:sz="0" w:space="0" w:color="auto"/>
      </w:divBdr>
    </w:div>
    <w:div w:id="295454694">
      <w:bodyDiv w:val="1"/>
      <w:marLeft w:val="0"/>
      <w:marRight w:val="0"/>
      <w:marTop w:val="0"/>
      <w:marBottom w:val="0"/>
      <w:divBdr>
        <w:top w:val="none" w:sz="0" w:space="0" w:color="auto"/>
        <w:left w:val="none" w:sz="0" w:space="0" w:color="auto"/>
        <w:bottom w:val="none" w:sz="0" w:space="0" w:color="auto"/>
        <w:right w:val="none" w:sz="0" w:space="0" w:color="auto"/>
      </w:divBdr>
    </w:div>
    <w:div w:id="310450412">
      <w:bodyDiv w:val="1"/>
      <w:marLeft w:val="0"/>
      <w:marRight w:val="0"/>
      <w:marTop w:val="0"/>
      <w:marBottom w:val="0"/>
      <w:divBdr>
        <w:top w:val="none" w:sz="0" w:space="0" w:color="auto"/>
        <w:left w:val="none" w:sz="0" w:space="0" w:color="auto"/>
        <w:bottom w:val="none" w:sz="0" w:space="0" w:color="auto"/>
        <w:right w:val="none" w:sz="0" w:space="0" w:color="auto"/>
      </w:divBdr>
    </w:div>
    <w:div w:id="378284307">
      <w:bodyDiv w:val="1"/>
      <w:marLeft w:val="0"/>
      <w:marRight w:val="0"/>
      <w:marTop w:val="0"/>
      <w:marBottom w:val="0"/>
      <w:divBdr>
        <w:top w:val="none" w:sz="0" w:space="0" w:color="auto"/>
        <w:left w:val="none" w:sz="0" w:space="0" w:color="auto"/>
        <w:bottom w:val="none" w:sz="0" w:space="0" w:color="auto"/>
        <w:right w:val="none" w:sz="0" w:space="0" w:color="auto"/>
      </w:divBdr>
    </w:div>
    <w:div w:id="425884923">
      <w:bodyDiv w:val="1"/>
      <w:marLeft w:val="0"/>
      <w:marRight w:val="0"/>
      <w:marTop w:val="0"/>
      <w:marBottom w:val="0"/>
      <w:divBdr>
        <w:top w:val="none" w:sz="0" w:space="0" w:color="auto"/>
        <w:left w:val="none" w:sz="0" w:space="0" w:color="auto"/>
        <w:bottom w:val="none" w:sz="0" w:space="0" w:color="auto"/>
        <w:right w:val="none" w:sz="0" w:space="0" w:color="auto"/>
      </w:divBdr>
    </w:div>
    <w:div w:id="428048140">
      <w:bodyDiv w:val="1"/>
      <w:marLeft w:val="0"/>
      <w:marRight w:val="0"/>
      <w:marTop w:val="0"/>
      <w:marBottom w:val="0"/>
      <w:divBdr>
        <w:top w:val="none" w:sz="0" w:space="0" w:color="auto"/>
        <w:left w:val="none" w:sz="0" w:space="0" w:color="auto"/>
        <w:bottom w:val="none" w:sz="0" w:space="0" w:color="auto"/>
        <w:right w:val="none" w:sz="0" w:space="0" w:color="auto"/>
      </w:divBdr>
    </w:div>
    <w:div w:id="541093990">
      <w:bodyDiv w:val="1"/>
      <w:marLeft w:val="0"/>
      <w:marRight w:val="0"/>
      <w:marTop w:val="0"/>
      <w:marBottom w:val="0"/>
      <w:divBdr>
        <w:top w:val="none" w:sz="0" w:space="0" w:color="auto"/>
        <w:left w:val="none" w:sz="0" w:space="0" w:color="auto"/>
        <w:bottom w:val="none" w:sz="0" w:space="0" w:color="auto"/>
        <w:right w:val="none" w:sz="0" w:space="0" w:color="auto"/>
      </w:divBdr>
    </w:div>
    <w:div w:id="603148406">
      <w:bodyDiv w:val="1"/>
      <w:marLeft w:val="0"/>
      <w:marRight w:val="0"/>
      <w:marTop w:val="0"/>
      <w:marBottom w:val="0"/>
      <w:divBdr>
        <w:top w:val="none" w:sz="0" w:space="0" w:color="auto"/>
        <w:left w:val="none" w:sz="0" w:space="0" w:color="auto"/>
        <w:bottom w:val="none" w:sz="0" w:space="0" w:color="auto"/>
        <w:right w:val="none" w:sz="0" w:space="0" w:color="auto"/>
      </w:divBdr>
    </w:div>
    <w:div w:id="612327302">
      <w:bodyDiv w:val="1"/>
      <w:marLeft w:val="0"/>
      <w:marRight w:val="0"/>
      <w:marTop w:val="0"/>
      <w:marBottom w:val="0"/>
      <w:divBdr>
        <w:top w:val="none" w:sz="0" w:space="0" w:color="auto"/>
        <w:left w:val="none" w:sz="0" w:space="0" w:color="auto"/>
        <w:bottom w:val="none" w:sz="0" w:space="0" w:color="auto"/>
        <w:right w:val="none" w:sz="0" w:space="0" w:color="auto"/>
      </w:divBdr>
    </w:div>
    <w:div w:id="654260604">
      <w:bodyDiv w:val="1"/>
      <w:marLeft w:val="0"/>
      <w:marRight w:val="0"/>
      <w:marTop w:val="0"/>
      <w:marBottom w:val="0"/>
      <w:divBdr>
        <w:top w:val="none" w:sz="0" w:space="0" w:color="auto"/>
        <w:left w:val="none" w:sz="0" w:space="0" w:color="auto"/>
        <w:bottom w:val="none" w:sz="0" w:space="0" w:color="auto"/>
        <w:right w:val="none" w:sz="0" w:space="0" w:color="auto"/>
      </w:divBdr>
    </w:div>
    <w:div w:id="702631644">
      <w:bodyDiv w:val="1"/>
      <w:marLeft w:val="0"/>
      <w:marRight w:val="0"/>
      <w:marTop w:val="0"/>
      <w:marBottom w:val="0"/>
      <w:divBdr>
        <w:top w:val="none" w:sz="0" w:space="0" w:color="auto"/>
        <w:left w:val="none" w:sz="0" w:space="0" w:color="auto"/>
        <w:bottom w:val="none" w:sz="0" w:space="0" w:color="auto"/>
        <w:right w:val="none" w:sz="0" w:space="0" w:color="auto"/>
      </w:divBdr>
    </w:div>
    <w:div w:id="715813128">
      <w:bodyDiv w:val="1"/>
      <w:marLeft w:val="0"/>
      <w:marRight w:val="0"/>
      <w:marTop w:val="0"/>
      <w:marBottom w:val="0"/>
      <w:divBdr>
        <w:top w:val="none" w:sz="0" w:space="0" w:color="auto"/>
        <w:left w:val="none" w:sz="0" w:space="0" w:color="auto"/>
        <w:bottom w:val="none" w:sz="0" w:space="0" w:color="auto"/>
        <w:right w:val="none" w:sz="0" w:space="0" w:color="auto"/>
      </w:divBdr>
    </w:div>
    <w:div w:id="750541591">
      <w:bodyDiv w:val="1"/>
      <w:marLeft w:val="0"/>
      <w:marRight w:val="0"/>
      <w:marTop w:val="0"/>
      <w:marBottom w:val="0"/>
      <w:divBdr>
        <w:top w:val="none" w:sz="0" w:space="0" w:color="auto"/>
        <w:left w:val="none" w:sz="0" w:space="0" w:color="auto"/>
        <w:bottom w:val="none" w:sz="0" w:space="0" w:color="auto"/>
        <w:right w:val="none" w:sz="0" w:space="0" w:color="auto"/>
      </w:divBdr>
    </w:div>
    <w:div w:id="785655378">
      <w:bodyDiv w:val="1"/>
      <w:marLeft w:val="0"/>
      <w:marRight w:val="0"/>
      <w:marTop w:val="0"/>
      <w:marBottom w:val="0"/>
      <w:divBdr>
        <w:top w:val="none" w:sz="0" w:space="0" w:color="auto"/>
        <w:left w:val="none" w:sz="0" w:space="0" w:color="auto"/>
        <w:bottom w:val="none" w:sz="0" w:space="0" w:color="auto"/>
        <w:right w:val="none" w:sz="0" w:space="0" w:color="auto"/>
      </w:divBdr>
    </w:div>
    <w:div w:id="818613612">
      <w:bodyDiv w:val="1"/>
      <w:marLeft w:val="0"/>
      <w:marRight w:val="0"/>
      <w:marTop w:val="0"/>
      <w:marBottom w:val="0"/>
      <w:divBdr>
        <w:top w:val="none" w:sz="0" w:space="0" w:color="auto"/>
        <w:left w:val="none" w:sz="0" w:space="0" w:color="auto"/>
        <w:bottom w:val="none" w:sz="0" w:space="0" w:color="auto"/>
        <w:right w:val="none" w:sz="0" w:space="0" w:color="auto"/>
      </w:divBdr>
    </w:div>
    <w:div w:id="819612011">
      <w:bodyDiv w:val="1"/>
      <w:marLeft w:val="0"/>
      <w:marRight w:val="0"/>
      <w:marTop w:val="0"/>
      <w:marBottom w:val="0"/>
      <w:divBdr>
        <w:top w:val="none" w:sz="0" w:space="0" w:color="auto"/>
        <w:left w:val="none" w:sz="0" w:space="0" w:color="auto"/>
        <w:bottom w:val="none" w:sz="0" w:space="0" w:color="auto"/>
        <w:right w:val="none" w:sz="0" w:space="0" w:color="auto"/>
      </w:divBdr>
    </w:div>
    <w:div w:id="851333435">
      <w:bodyDiv w:val="1"/>
      <w:marLeft w:val="0"/>
      <w:marRight w:val="0"/>
      <w:marTop w:val="0"/>
      <w:marBottom w:val="0"/>
      <w:divBdr>
        <w:top w:val="none" w:sz="0" w:space="0" w:color="auto"/>
        <w:left w:val="none" w:sz="0" w:space="0" w:color="auto"/>
        <w:bottom w:val="none" w:sz="0" w:space="0" w:color="auto"/>
        <w:right w:val="none" w:sz="0" w:space="0" w:color="auto"/>
      </w:divBdr>
    </w:div>
    <w:div w:id="878393874">
      <w:bodyDiv w:val="1"/>
      <w:marLeft w:val="0"/>
      <w:marRight w:val="0"/>
      <w:marTop w:val="0"/>
      <w:marBottom w:val="0"/>
      <w:divBdr>
        <w:top w:val="none" w:sz="0" w:space="0" w:color="auto"/>
        <w:left w:val="none" w:sz="0" w:space="0" w:color="auto"/>
        <w:bottom w:val="none" w:sz="0" w:space="0" w:color="auto"/>
        <w:right w:val="none" w:sz="0" w:space="0" w:color="auto"/>
      </w:divBdr>
    </w:div>
    <w:div w:id="999697447">
      <w:bodyDiv w:val="1"/>
      <w:marLeft w:val="0"/>
      <w:marRight w:val="0"/>
      <w:marTop w:val="0"/>
      <w:marBottom w:val="0"/>
      <w:divBdr>
        <w:top w:val="none" w:sz="0" w:space="0" w:color="auto"/>
        <w:left w:val="none" w:sz="0" w:space="0" w:color="auto"/>
        <w:bottom w:val="none" w:sz="0" w:space="0" w:color="auto"/>
        <w:right w:val="none" w:sz="0" w:space="0" w:color="auto"/>
      </w:divBdr>
    </w:div>
    <w:div w:id="1004477103">
      <w:bodyDiv w:val="1"/>
      <w:marLeft w:val="0"/>
      <w:marRight w:val="0"/>
      <w:marTop w:val="0"/>
      <w:marBottom w:val="0"/>
      <w:divBdr>
        <w:top w:val="none" w:sz="0" w:space="0" w:color="auto"/>
        <w:left w:val="none" w:sz="0" w:space="0" w:color="auto"/>
        <w:bottom w:val="none" w:sz="0" w:space="0" w:color="auto"/>
        <w:right w:val="none" w:sz="0" w:space="0" w:color="auto"/>
      </w:divBdr>
    </w:div>
    <w:div w:id="1016469102">
      <w:bodyDiv w:val="1"/>
      <w:marLeft w:val="0"/>
      <w:marRight w:val="0"/>
      <w:marTop w:val="0"/>
      <w:marBottom w:val="0"/>
      <w:divBdr>
        <w:top w:val="none" w:sz="0" w:space="0" w:color="auto"/>
        <w:left w:val="none" w:sz="0" w:space="0" w:color="auto"/>
        <w:bottom w:val="none" w:sz="0" w:space="0" w:color="auto"/>
        <w:right w:val="none" w:sz="0" w:space="0" w:color="auto"/>
      </w:divBdr>
    </w:div>
    <w:div w:id="1017729700">
      <w:bodyDiv w:val="1"/>
      <w:marLeft w:val="0"/>
      <w:marRight w:val="0"/>
      <w:marTop w:val="0"/>
      <w:marBottom w:val="0"/>
      <w:divBdr>
        <w:top w:val="none" w:sz="0" w:space="0" w:color="auto"/>
        <w:left w:val="none" w:sz="0" w:space="0" w:color="auto"/>
        <w:bottom w:val="none" w:sz="0" w:space="0" w:color="auto"/>
        <w:right w:val="none" w:sz="0" w:space="0" w:color="auto"/>
      </w:divBdr>
    </w:div>
    <w:div w:id="1025251871">
      <w:bodyDiv w:val="1"/>
      <w:marLeft w:val="0"/>
      <w:marRight w:val="0"/>
      <w:marTop w:val="0"/>
      <w:marBottom w:val="0"/>
      <w:divBdr>
        <w:top w:val="none" w:sz="0" w:space="0" w:color="auto"/>
        <w:left w:val="none" w:sz="0" w:space="0" w:color="auto"/>
        <w:bottom w:val="none" w:sz="0" w:space="0" w:color="auto"/>
        <w:right w:val="none" w:sz="0" w:space="0" w:color="auto"/>
      </w:divBdr>
    </w:div>
    <w:div w:id="1040861789">
      <w:bodyDiv w:val="1"/>
      <w:marLeft w:val="0"/>
      <w:marRight w:val="0"/>
      <w:marTop w:val="0"/>
      <w:marBottom w:val="0"/>
      <w:divBdr>
        <w:top w:val="none" w:sz="0" w:space="0" w:color="auto"/>
        <w:left w:val="none" w:sz="0" w:space="0" w:color="auto"/>
        <w:bottom w:val="none" w:sz="0" w:space="0" w:color="auto"/>
        <w:right w:val="none" w:sz="0" w:space="0" w:color="auto"/>
      </w:divBdr>
    </w:div>
    <w:div w:id="1052271550">
      <w:bodyDiv w:val="1"/>
      <w:marLeft w:val="0"/>
      <w:marRight w:val="0"/>
      <w:marTop w:val="0"/>
      <w:marBottom w:val="0"/>
      <w:divBdr>
        <w:top w:val="none" w:sz="0" w:space="0" w:color="auto"/>
        <w:left w:val="none" w:sz="0" w:space="0" w:color="auto"/>
        <w:bottom w:val="none" w:sz="0" w:space="0" w:color="auto"/>
        <w:right w:val="none" w:sz="0" w:space="0" w:color="auto"/>
      </w:divBdr>
    </w:div>
    <w:div w:id="1065109314">
      <w:bodyDiv w:val="1"/>
      <w:marLeft w:val="0"/>
      <w:marRight w:val="0"/>
      <w:marTop w:val="0"/>
      <w:marBottom w:val="0"/>
      <w:divBdr>
        <w:top w:val="none" w:sz="0" w:space="0" w:color="auto"/>
        <w:left w:val="none" w:sz="0" w:space="0" w:color="auto"/>
        <w:bottom w:val="none" w:sz="0" w:space="0" w:color="auto"/>
        <w:right w:val="none" w:sz="0" w:space="0" w:color="auto"/>
      </w:divBdr>
    </w:div>
    <w:div w:id="1072897415">
      <w:bodyDiv w:val="1"/>
      <w:marLeft w:val="0"/>
      <w:marRight w:val="0"/>
      <w:marTop w:val="0"/>
      <w:marBottom w:val="0"/>
      <w:divBdr>
        <w:top w:val="none" w:sz="0" w:space="0" w:color="auto"/>
        <w:left w:val="none" w:sz="0" w:space="0" w:color="auto"/>
        <w:bottom w:val="none" w:sz="0" w:space="0" w:color="auto"/>
        <w:right w:val="none" w:sz="0" w:space="0" w:color="auto"/>
      </w:divBdr>
    </w:div>
    <w:div w:id="1106735705">
      <w:bodyDiv w:val="1"/>
      <w:marLeft w:val="0"/>
      <w:marRight w:val="0"/>
      <w:marTop w:val="0"/>
      <w:marBottom w:val="0"/>
      <w:divBdr>
        <w:top w:val="none" w:sz="0" w:space="0" w:color="auto"/>
        <w:left w:val="none" w:sz="0" w:space="0" w:color="auto"/>
        <w:bottom w:val="none" w:sz="0" w:space="0" w:color="auto"/>
        <w:right w:val="none" w:sz="0" w:space="0" w:color="auto"/>
      </w:divBdr>
    </w:div>
    <w:div w:id="1112553351">
      <w:bodyDiv w:val="1"/>
      <w:marLeft w:val="0"/>
      <w:marRight w:val="0"/>
      <w:marTop w:val="0"/>
      <w:marBottom w:val="0"/>
      <w:divBdr>
        <w:top w:val="none" w:sz="0" w:space="0" w:color="auto"/>
        <w:left w:val="none" w:sz="0" w:space="0" w:color="auto"/>
        <w:bottom w:val="none" w:sz="0" w:space="0" w:color="auto"/>
        <w:right w:val="none" w:sz="0" w:space="0" w:color="auto"/>
      </w:divBdr>
      <w:divsChild>
        <w:div w:id="842473786">
          <w:marLeft w:val="0"/>
          <w:marRight w:val="0"/>
          <w:marTop w:val="90"/>
          <w:marBottom w:val="0"/>
          <w:divBdr>
            <w:top w:val="none" w:sz="0" w:space="0" w:color="auto"/>
            <w:left w:val="none" w:sz="0" w:space="0" w:color="auto"/>
            <w:bottom w:val="none" w:sz="0" w:space="0" w:color="auto"/>
            <w:right w:val="none" w:sz="0" w:space="0" w:color="auto"/>
          </w:divBdr>
          <w:divsChild>
            <w:div w:id="1114665967">
              <w:marLeft w:val="0"/>
              <w:marRight w:val="0"/>
              <w:marTop w:val="0"/>
              <w:marBottom w:val="405"/>
              <w:divBdr>
                <w:top w:val="none" w:sz="0" w:space="0" w:color="auto"/>
                <w:left w:val="none" w:sz="0" w:space="0" w:color="auto"/>
                <w:bottom w:val="none" w:sz="0" w:space="0" w:color="auto"/>
                <w:right w:val="none" w:sz="0" w:space="0" w:color="auto"/>
              </w:divBdr>
              <w:divsChild>
                <w:div w:id="1125927449">
                  <w:marLeft w:val="0"/>
                  <w:marRight w:val="0"/>
                  <w:marTop w:val="0"/>
                  <w:marBottom w:val="0"/>
                  <w:divBdr>
                    <w:top w:val="none" w:sz="0" w:space="0" w:color="auto"/>
                    <w:left w:val="none" w:sz="0" w:space="0" w:color="auto"/>
                    <w:bottom w:val="none" w:sz="0" w:space="0" w:color="auto"/>
                    <w:right w:val="none" w:sz="0" w:space="0" w:color="auto"/>
                  </w:divBdr>
                  <w:divsChild>
                    <w:div w:id="12015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8366">
      <w:bodyDiv w:val="1"/>
      <w:marLeft w:val="0"/>
      <w:marRight w:val="0"/>
      <w:marTop w:val="0"/>
      <w:marBottom w:val="0"/>
      <w:divBdr>
        <w:top w:val="none" w:sz="0" w:space="0" w:color="auto"/>
        <w:left w:val="none" w:sz="0" w:space="0" w:color="auto"/>
        <w:bottom w:val="none" w:sz="0" w:space="0" w:color="auto"/>
        <w:right w:val="none" w:sz="0" w:space="0" w:color="auto"/>
      </w:divBdr>
    </w:div>
    <w:div w:id="1138374528">
      <w:bodyDiv w:val="1"/>
      <w:marLeft w:val="0"/>
      <w:marRight w:val="0"/>
      <w:marTop w:val="0"/>
      <w:marBottom w:val="0"/>
      <w:divBdr>
        <w:top w:val="none" w:sz="0" w:space="0" w:color="auto"/>
        <w:left w:val="none" w:sz="0" w:space="0" w:color="auto"/>
        <w:bottom w:val="none" w:sz="0" w:space="0" w:color="auto"/>
        <w:right w:val="none" w:sz="0" w:space="0" w:color="auto"/>
      </w:divBdr>
    </w:div>
    <w:div w:id="1142893112">
      <w:bodyDiv w:val="1"/>
      <w:marLeft w:val="0"/>
      <w:marRight w:val="0"/>
      <w:marTop w:val="0"/>
      <w:marBottom w:val="0"/>
      <w:divBdr>
        <w:top w:val="none" w:sz="0" w:space="0" w:color="auto"/>
        <w:left w:val="none" w:sz="0" w:space="0" w:color="auto"/>
        <w:bottom w:val="none" w:sz="0" w:space="0" w:color="auto"/>
        <w:right w:val="none" w:sz="0" w:space="0" w:color="auto"/>
      </w:divBdr>
    </w:div>
    <w:div w:id="1180967508">
      <w:bodyDiv w:val="1"/>
      <w:marLeft w:val="0"/>
      <w:marRight w:val="0"/>
      <w:marTop w:val="0"/>
      <w:marBottom w:val="0"/>
      <w:divBdr>
        <w:top w:val="none" w:sz="0" w:space="0" w:color="auto"/>
        <w:left w:val="none" w:sz="0" w:space="0" w:color="auto"/>
        <w:bottom w:val="none" w:sz="0" w:space="0" w:color="auto"/>
        <w:right w:val="none" w:sz="0" w:space="0" w:color="auto"/>
      </w:divBdr>
    </w:div>
    <w:div w:id="1210603462">
      <w:bodyDiv w:val="1"/>
      <w:marLeft w:val="0"/>
      <w:marRight w:val="0"/>
      <w:marTop w:val="0"/>
      <w:marBottom w:val="0"/>
      <w:divBdr>
        <w:top w:val="none" w:sz="0" w:space="0" w:color="auto"/>
        <w:left w:val="none" w:sz="0" w:space="0" w:color="auto"/>
        <w:bottom w:val="none" w:sz="0" w:space="0" w:color="auto"/>
        <w:right w:val="none" w:sz="0" w:space="0" w:color="auto"/>
      </w:divBdr>
    </w:div>
    <w:div w:id="1232039734">
      <w:bodyDiv w:val="1"/>
      <w:marLeft w:val="0"/>
      <w:marRight w:val="0"/>
      <w:marTop w:val="0"/>
      <w:marBottom w:val="0"/>
      <w:divBdr>
        <w:top w:val="none" w:sz="0" w:space="0" w:color="auto"/>
        <w:left w:val="none" w:sz="0" w:space="0" w:color="auto"/>
        <w:bottom w:val="none" w:sz="0" w:space="0" w:color="auto"/>
        <w:right w:val="none" w:sz="0" w:space="0" w:color="auto"/>
      </w:divBdr>
    </w:div>
    <w:div w:id="1285968634">
      <w:bodyDiv w:val="1"/>
      <w:marLeft w:val="0"/>
      <w:marRight w:val="0"/>
      <w:marTop w:val="0"/>
      <w:marBottom w:val="0"/>
      <w:divBdr>
        <w:top w:val="none" w:sz="0" w:space="0" w:color="auto"/>
        <w:left w:val="none" w:sz="0" w:space="0" w:color="auto"/>
        <w:bottom w:val="none" w:sz="0" w:space="0" w:color="auto"/>
        <w:right w:val="none" w:sz="0" w:space="0" w:color="auto"/>
      </w:divBdr>
    </w:div>
    <w:div w:id="1287345614">
      <w:bodyDiv w:val="1"/>
      <w:marLeft w:val="0"/>
      <w:marRight w:val="0"/>
      <w:marTop w:val="0"/>
      <w:marBottom w:val="0"/>
      <w:divBdr>
        <w:top w:val="none" w:sz="0" w:space="0" w:color="auto"/>
        <w:left w:val="none" w:sz="0" w:space="0" w:color="auto"/>
        <w:bottom w:val="none" w:sz="0" w:space="0" w:color="auto"/>
        <w:right w:val="none" w:sz="0" w:space="0" w:color="auto"/>
      </w:divBdr>
    </w:div>
    <w:div w:id="1288438241">
      <w:bodyDiv w:val="1"/>
      <w:marLeft w:val="0"/>
      <w:marRight w:val="0"/>
      <w:marTop w:val="0"/>
      <w:marBottom w:val="0"/>
      <w:divBdr>
        <w:top w:val="none" w:sz="0" w:space="0" w:color="auto"/>
        <w:left w:val="none" w:sz="0" w:space="0" w:color="auto"/>
        <w:bottom w:val="none" w:sz="0" w:space="0" w:color="auto"/>
        <w:right w:val="none" w:sz="0" w:space="0" w:color="auto"/>
      </w:divBdr>
    </w:div>
    <w:div w:id="1312253608">
      <w:bodyDiv w:val="1"/>
      <w:marLeft w:val="0"/>
      <w:marRight w:val="0"/>
      <w:marTop w:val="0"/>
      <w:marBottom w:val="0"/>
      <w:divBdr>
        <w:top w:val="none" w:sz="0" w:space="0" w:color="auto"/>
        <w:left w:val="none" w:sz="0" w:space="0" w:color="auto"/>
        <w:bottom w:val="none" w:sz="0" w:space="0" w:color="auto"/>
        <w:right w:val="none" w:sz="0" w:space="0" w:color="auto"/>
      </w:divBdr>
    </w:div>
    <w:div w:id="1328091197">
      <w:bodyDiv w:val="1"/>
      <w:marLeft w:val="0"/>
      <w:marRight w:val="0"/>
      <w:marTop w:val="0"/>
      <w:marBottom w:val="0"/>
      <w:divBdr>
        <w:top w:val="none" w:sz="0" w:space="0" w:color="auto"/>
        <w:left w:val="none" w:sz="0" w:space="0" w:color="auto"/>
        <w:bottom w:val="none" w:sz="0" w:space="0" w:color="auto"/>
        <w:right w:val="none" w:sz="0" w:space="0" w:color="auto"/>
      </w:divBdr>
      <w:divsChild>
        <w:div w:id="1360736245">
          <w:marLeft w:val="0"/>
          <w:marRight w:val="0"/>
          <w:marTop w:val="90"/>
          <w:marBottom w:val="0"/>
          <w:divBdr>
            <w:top w:val="none" w:sz="0" w:space="0" w:color="auto"/>
            <w:left w:val="none" w:sz="0" w:space="0" w:color="auto"/>
            <w:bottom w:val="none" w:sz="0" w:space="0" w:color="auto"/>
            <w:right w:val="none" w:sz="0" w:space="0" w:color="auto"/>
          </w:divBdr>
          <w:divsChild>
            <w:div w:id="183714809">
              <w:marLeft w:val="0"/>
              <w:marRight w:val="0"/>
              <w:marTop w:val="0"/>
              <w:marBottom w:val="405"/>
              <w:divBdr>
                <w:top w:val="none" w:sz="0" w:space="0" w:color="auto"/>
                <w:left w:val="none" w:sz="0" w:space="0" w:color="auto"/>
                <w:bottom w:val="none" w:sz="0" w:space="0" w:color="auto"/>
                <w:right w:val="none" w:sz="0" w:space="0" w:color="auto"/>
              </w:divBdr>
              <w:divsChild>
                <w:div w:id="456948535">
                  <w:marLeft w:val="0"/>
                  <w:marRight w:val="0"/>
                  <w:marTop w:val="0"/>
                  <w:marBottom w:val="0"/>
                  <w:divBdr>
                    <w:top w:val="none" w:sz="0" w:space="0" w:color="auto"/>
                    <w:left w:val="none" w:sz="0" w:space="0" w:color="auto"/>
                    <w:bottom w:val="none" w:sz="0" w:space="0" w:color="auto"/>
                    <w:right w:val="none" w:sz="0" w:space="0" w:color="auto"/>
                  </w:divBdr>
                  <w:divsChild>
                    <w:div w:id="10896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64">
      <w:bodyDiv w:val="1"/>
      <w:marLeft w:val="0"/>
      <w:marRight w:val="0"/>
      <w:marTop w:val="0"/>
      <w:marBottom w:val="0"/>
      <w:divBdr>
        <w:top w:val="none" w:sz="0" w:space="0" w:color="auto"/>
        <w:left w:val="none" w:sz="0" w:space="0" w:color="auto"/>
        <w:bottom w:val="none" w:sz="0" w:space="0" w:color="auto"/>
        <w:right w:val="none" w:sz="0" w:space="0" w:color="auto"/>
      </w:divBdr>
    </w:div>
    <w:div w:id="1352948852">
      <w:bodyDiv w:val="1"/>
      <w:marLeft w:val="0"/>
      <w:marRight w:val="0"/>
      <w:marTop w:val="0"/>
      <w:marBottom w:val="0"/>
      <w:divBdr>
        <w:top w:val="none" w:sz="0" w:space="0" w:color="auto"/>
        <w:left w:val="none" w:sz="0" w:space="0" w:color="auto"/>
        <w:bottom w:val="none" w:sz="0" w:space="0" w:color="auto"/>
        <w:right w:val="none" w:sz="0" w:space="0" w:color="auto"/>
      </w:divBdr>
    </w:div>
    <w:div w:id="1377006496">
      <w:bodyDiv w:val="1"/>
      <w:marLeft w:val="0"/>
      <w:marRight w:val="0"/>
      <w:marTop w:val="0"/>
      <w:marBottom w:val="0"/>
      <w:divBdr>
        <w:top w:val="none" w:sz="0" w:space="0" w:color="auto"/>
        <w:left w:val="none" w:sz="0" w:space="0" w:color="auto"/>
        <w:bottom w:val="none" w:sz="0" w:space="0" w:color="auto"/>
        <w:right w:val="none" w:sz="0" w:space="0" w:color="auto"/>
      </w:divBdr>
    </w:div>
    <w:div w:id="1386560514">
      <w:bodyDiv w:val="1"/>
      <w:marLeft w:val="0"/>
      <w:marRight w:val="0"/>
      <w:marTop w:val="0"/>
      <w:marBottom w:val="0"/>
      <w:divBdr>
        <w:top w:val="none" w:sz="0" w:space="0" w:color="auto"/>
        <w:left w:val="none" w:sz="0" w:space="0" w:color="auto"/>
        <w:bottom w:val="none" w:sz="0" w:space="0" w:color="auto"/>
        <w:right w:val="none" w:sz="0" w:space="0" w:color="auto"/>
      </w:divBdr>
    </w:div>
    <w:div w:id="1415004733">
      <w:bodyDiv w:val="1"/>
      <w:marLeft w:val="0"/>
      <w:marRight w:val="0"/>
      <w:marTop w:val="0"/>
      <w:marBottom w:val="0"/>
      <w:divBdr>
        <w:top w:val="none" w:sz="0" w:space="0" w:color="auto"/>
        <w:left w:val="none" w:sz="0" w:space="0" w:color="auto"/>
        <w:bottom w:val="none" w:sz="0" w:space="0" w:color="auto"/>
        <w:right w:val="none" w:sz="0" w:space="0" w:color="auto"/>
      </w:divBdr>
    </w:div>
    <w:div w:id="1430471593">
      <w:bodyDiv w:val="1"/>
      <w:marLeft w:val="0"/>
      <w:marRight w:val="0"/>
      <w:marTop w:val="0"/>
      <w:marBottom w:val="0"/>
      <w:divBdr>
        <w:top w:val="none" w:sz="0" w:space="0" w:color="auto"/>
        <w:left w:val="none" w:sz="0" w:space="0" w:color="auto"/>
        <w:bottom w:val="none" w:sz="0" w:space="0" w:color="auto"/>
        <w:right w:val="none" w:sz="0" w:space="0" w:color="auto"/>
      </w:divBdr>
    </w:div>
    <w:div w:id="1443575749">
      <w:bodyDiv w:val="1"/>
      <w:marLeft w:val="0"/>
      <w:marRight w:val="0"/>
      <w:marTop w:val="0"/>
      <w:marBottom w:val="0"/>
      <w:divBdr>
        <w:top w:val="none" w:sz="0" w:space="0" w:color="auto"/>
        <w:left w:val="none" w:sz="0" w:space="0" w:color="auto"/>
        <w:bottom w:val="none" w:sz="0" w:space="0" w:color="auto"/>
        <w:right w:val="none" w:sz="0" w:space="0" w:color="auto"/>
      </w:divBdr>
    </w:div>
    <w:div w:id="1512990035">
      <w:bodyDiv w:val="1"/>
      <w:marLeft w:val="0"/>
      <w:marRight w:val="0"/>
      <w:marTop w:val="0"/>
      <w:marBottom w:val="0"/>
      <w:divBdr>
        <w:top w:val="none" w:sz="0" w:space="0" w:color="auto"/>
        <w:left w:val="none" w:sz="0" w:space="0" w:color="auto"/>
        <w:bottom w:val="none" w:sz="0" w:space="0" w:color="auto"/>
        <w:right w:val="none" w:sz="0" w:space="0" w:color="auto"/>
      </w:divBdr>
    </w:div>
    <w:div w:id="1523586060">
      <w:bodyDiv w:val="1"/>
      <w:marLeft w:val="0"/>
      <w:marRight w:val="0"/>
      <w:marTop w:val="0"/>
      <w:marBottom w:val="0"/>
      <w:divBdr>
        <w:top w:val="none" w:sz="0" w:space="0" w:color="auto"/>
        <w:left w:val="none" w:sz="0" w:space="0" w:color="auto"/>
        <w:bottom w:val="none" w:sz="0" w:space="0" w:color="auto"/>
        <w:right w:val="none" w:sz="0" w:space="0" w:color="auto"/>
      </w:divBdr>
    </w:div>
    <w:div w:id="1565290857">
      <w:bodyDiv w:val="1"/>
      <w:marLeft w:val="0"/>
      <w:marRight w:val="0"/>
      <w:marTop w:val="0"/>
      <w:marBottom w:val="0"/>
      <w:divBdr>
        <w:top w:val="none" w:sz="0" w:space="0" w:color="auto"/>
        <w:left w:val="none" w:sz="0" w:space="0" w:color="auto"/>
        <w:bottom w:val="none" w:sz="0" w:space="0" w:color="auto"/>
        <w:right w:val="none" w:sz="0" w:space="0" w:color="auto"/>
      </w:divBdr>
    </w:div>
    <w:div w:id="1628000606">
      <w:bodyDiv w:val="1"/>
      <w:marLeft w:val="0"/>
      <w:marRight w:val="0"/>
      <w:marTop w:val="0"/>
      <w:marBottom w:val="0"/>
      <w:divBdr>
        <w:top w:val="none" w:sz="0" w:space="0" w:color="auto"/>
        <w:left w:val="none" w:sz="0" w:space="0" w:color="auto"/>
        <w:bottom w:val="none" w:sz="0" w:space="0" w:color="auto"/>
        <w:right w:val="none" w:sz="0" w:space="0" w:color="auto"/>
      </w:divBdr>
    </w:div>
    <w:div w:id="1643659940">
      <w:bodyDiv w:val="1"/>
      <w:marLeft w:val="0"/>
      <w:marRight w:val="0"/>
      <w:marTop w:val="0"/>
      <w:marBottom w:val="0"/>
      <w:divBdr>
        <w:top w:val="none" w:sz="0" w:space="0" w:color="auto"/>
        <w:left w:val="none" w:sz="0" w:space="0" w:color="auto"/>
        <w:bottom w:val="none" w:sz="0" w:space="0" w:color="auto"/>
        <w:right w:val="none" w:sz="0" w:space="0" w:color="auto"/>
      </w:divBdr>
    </w:div>
    <w:div w:id="1675499549">
      <w:bodyDiv w:val="1"/>
      <w:marLeft w:val="0"/>
      <w:marRight w:val="0"/>
      <w:marTop w:val="0"/>
      <w:marBottom w:val="0"/>
      <w:divBdr>
        <w:top w:val="none" w:sz="0" w:space="0" w:color="auto"/>
        <w:left w:val="none" w:sz="0" w:space="0" w:color="auto"/>
        <w:bottom w:val="none" w:sz="0" w:space="0" w:color="auto"/>
        <w:right w:val="none" w:sz="0" w:space="0" w:color="auto"/>
      </w:divBdr>
    </w:div>
    <w:div w:id="1679963945">
      <w:bodyDiv w:val="1"/>
      <w:marLeft w:val="0"/>
      <w:marRight w:val="0"/>
      <w:marTop w:val="0"/>
      <w:marBottom w:val="0"/>
      <w:divBdr>
        <w:top w:val="none" w:sz="0" w:space="0" w:color="auto"/>
        <w:left w:val="none" w:sz="0" w:space="0" w:color="auto"/>
        <w:bottom w:val="none" w:sz="0" w:space="0" w:color="auto"/>
        <w:right w:val="none" w:sz="0" w:space="0" w:color="auto"/>
      </w:divBdr>
    </w:div>
    <w:div w:id="1690257385">
      <w:bodyDiv w:val="1"/>
      <w:marLeft w:val="0"/>
      <w:marRight w:val="0"/>
      <w:marTop w:val="0"/>
      <w:marBottom w:val="0"/>
      <w:divBdr>
        <w:top w:val="none" w:sz="0" w:space="0" w:color="auto"/>
        <w:left w:val="none" w:sz="0" w:space="0" w:color="auto"/>
        <w:bottom w:val="none" w:sz="0" w:space="0" w:color="auto"/>
        <w:right w:val="none" w:sz="0" w:space="0" w:color="auto"/>
      </w:divBdr>
    </w:div>
    <w:div w:id="1712413041">
      <w:bodyDiv w:val="1"/>
      <w:marLeft w:val="0"/>
      <w:marRight w:val="0"/>
      <w:marTop w:val="0"/>
      <w:marBottom w:val="0"/>
      <w:divBdr>
        <w:top w:val="none" w:sz="0" w:space="0" w:color="auto"/>
        <w:left w:val="none" w:sz="0" w:space="0" w:color="auto"/>
        <w:bottom w:val="none" w:sz="0" w:space="0" w:color="auto"/>
        <w:right w:val="none" w:sz="0" w:space="0" w:color="auto"/>
      </w:divBdr>
    </w:div>
    <w:div w:id="1751081514">
      <w:bodyDiv w:val="1"/>
      <w:marLeft w:val="0"/>
      <w:marRight w:val="0"/>
      <w:marTop w:val="0"/>
      <w:marBottom w:val="0"/>
      <w:divBdr>
        <w:top w:val="none" w:sz="0" w:space="0" w:color="auto"/>
        <w:left w:val="none" w:sz="0" w:space="0" w:color="auto"/>
        <w:bottom w:val="none" w:sz="0" w:space="0" w:color="auto"/>
        <w:right w:val="none" w:sz="0" w:space="0" w:color="auto"/>
      </w:divBdr>
    </w:div>
    <w:div w:id="1771968698">
      <w:bodyDiv w:val="1"/>
      <w:marLeft w:val="0"/>
      <w:marRight w:val="0"/>
      <w:marTop w:val="0"/>
      <w:marBottom w:val="0"/>
      <w:divBdr>
        <w:top w:val="none" w:sz="0" w:space="0" w:color="auto"/>
        <w:left w:val="none" w:sz="0" w:space="0" w:color="auto"/>
        <w:bottom w:val="none" w:sz="0" w:space="0" w:color="auto"/>
        <w:right w:val="none" w:sz="0" w:space="0" w:color="auto"/>
      </w:divBdr>
    </w:div>
    <w:div w:id="1797604202">
      <w:bodyDiv w:val="1"/>
      <w:marLeft w:val="0"/>
      <w:marRight w:val="0"/>
      <w:marTop w:val="0"/>
      <w:marBottom w:val="0"/>
      <w:divBdr>
        <w:top w:val="none" w:sz="0" w:space="0" w:color="auto"/>
        <w:left w:val="none" w:sz="0" w:space="0" w:color="auto"/>
        <w:bottom w:val="none" w:sz="0" w:space="0" w:color="auto"/>
        <w:right w:val="none" w:sz="0" w:space="0" w:color="auto"/>
      </w:divBdr>
    </w:div>
    <w:div w:id="1919511951">
      <w:bodyDiv w:val="1"/>
      <w:marLeft w:val="0"/>
      <w:marRight w:val="0"/>
      <w:marTop w:val="0"/>
      <w:marBottom w:val="0"/>
      <w:divBdr>
        <w:top w:val="none" w:sz="0" w:space="0" w:color="auto"/>
        <w:left w:val="none" w:sz="0" w:space="0" w:color="auto"/>
        <w:bottom w:val="none" w:sz="0" w:space="0" w:color="auto"/>
        <w:right w:val="none" w:sz="0" w:space="0" w:color="auto"/>
      </w:divBdr>
    </w:div>
    <w:div w:id="1939748848">
      <w:bodyDiv w:val="1"/>
      <w:marLeft w:val="0"/>
      <w:marRight w:val="0"/>
      <w:marTop w:val="0"/>
      <w:marBottom w:val="0"/>
      <w:divBdr>
        <w:top w:val="none" w:sz="0" w:space="0" w:color="auto"/>
        <w:left w:val="none" w:sz="0" w:space="0" w:color="auto"/>
        <w:bottom w:val="none" w:sz="0" w:space="0" w:color="auto"/>
        <w:right w:val="none" w:sz="0" w:space="0" w:color="auto"/>
      </w:divBdr>
    </w:div>
    <w:div w:id="1942294729">
      <w:bodyDiv w:val="1"/>
      <w:marLeft w:val="0"/>
      <w:marRight w:val="0"/>
      <w:marTop w:val="0"/>
      <w:marBottom w:val="0"/>
      <w:divBdr>
        <w:top w:val="none" w:sz="0" w:space="0" w:color="auto"/>
        <w:left w:val="none" w:sz="0" w:space="0" w:color="auto"/>
        <w:bottom w:val="none" w:sz="0" w:space="0" w:color="auto"/>
        <w:right w:val="none" w:sz="0" w:space="0" w:color="auto"/>
      </w:divBdr>
    </w:div>
    <w:div w:id="1951278736">
      <w:bodyDiv w:val="1"/>
      <w:marLeft w:val="0"/>
      <w:marRight w:val="0"/>
      <w:marTop w:val="0"/>
      <w:marBottom w:val="0"/>
      <w:divBdr>
        <w:top w:val="none" w:sz="0" w:space="0" w:color="auto"/>
        <w:left w:val="none" w:sz="0" w:space="0" w:color="auto"/>
        <w:bottom w:val="none" w:sz="0" w:space="0" w:color="auto"/>
        <w:right w:val="none" w:sz="0" w:space="0" w:color="auto"/>
      </w:divBdr>
    </w:div>
    <w:div w:id="1966303426">
      <w:bodyDiv w:val="1"/>
      <w:marLeft w:val="0"/>
      <w:marRight w:val="0"/>
      <w:marTop w:val="0"/>
      <w:marBottom w:val="0"/>
      <w:divBdr>
        <w:top w:val="none" w:sz="0" w:space="0" w:color="auto"/>
        <w:left w:val="none" w:sz="0" w:space="0" w:color="auto"/>
        <w:bottom w:val="none" w:sz="0" w:space="0" w:color="auto"/>
        <w:right w:val="none" w:sz="0" w:space="0" w:color="auto"/>
      </w:divBdr>
    </w:div>
    <w:div w:id="1986350216">
      <w:bodyDiv w:val="1"/>
      <w:marLeft w:val="0"/>
      <w:marRight w:val="0"/>
      <w:marTop w:val="0"/>
      <w:marBottom w:val="0"/>
      <w:divBdr>
        <w:top w:val="none" w:sz="0" w:space="0" w:color="auto"/>
        <w:left w:val="none" w:sz="0" w:space="0" w:color="auto"/>
        <w:bottom w:val="none" w:sz="0" w:space="0" w:color="auto"/>
        <w:right w:val="none" w:sz="0" w:space="0" w:color="auto"/>
      </w:divBdr>
    </w:div>
    <w:div w:id="2062434597">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102140674">
      <w:bodyDiv w:val="1"/>
      <w:marLeft w:val="0"/>
      <w:marRight w:val="0"/>
      <w:marTop w:val="0"/>
      <w:marBottom w:val="0"/>
      <w:divBdr>
        <w:top w:val="none" w:sz="0" w:space="0" w:color="auto"/>
        <w:left w:val="none" w:sz="0" w:space="0" w:color="auto"/>
        <w:bottom w:val="none" w:sz="0" w:space="0" w:color="auto"/>
        <w:right w:val="none" w:sz="0" w:space="0" w:color="auto"/>
      </w:divBdr>
    </w:div>
    <w:div w:id="21285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5B74CA1AD6AA4DB8A3922FAB24942F" ma:contentTypeVersion="13" ma:contentTypeDescription="Opret et nyt dokument." ma:contentTypeScope="" ma:versionID="405e0b4dc7922d70d603ecb04300d844">
  <xsd:schema xmlns:xsd="http://www.w3.org/2001/XMLSchema" xmlns:xs="http://www.w3.org/2001/XMLSchema" xmlns:p="http://schemas.microsoft.com/office/2006/metadata/properties" xmlns:ns3="5c8fb8ca-1331-47de-9579-a8297bdf3015" xmlns:ns4="1319495d-3c43-4556-87e4-881565ede34f" targetNamespace="http://schemas.microsoft.com/office/2006/metadata/properties" ma:root="true" ma:fieldsID="6c3639b4774abc5c7ddb7e3c7844ce0a" ns3:_="" ns4:_="">
    <xsd:import namespace="5c8fb8ca-1331-47de-9579-a8297bdf3015"/>
    <xsd:import namespace="1319495d-3c43-4556-87e4-881565ede3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b8ca-1331-47de-9579-a8297bdf301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9495d-3c43-4556-87e4-881565ede3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7E78-B171-40E8-8508-A81ACE32CF69}">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1319495d-3c43-4556-87e4-881565ede34f"/>
    <ds:schemaRef ds:uri="http://schemas.microsoft.com/office/infopath/2007/PartnerControls"/>
    <ds:schemaRef ds:uri="http://schemas.openxmlformats.org/package/2006/metadata/core-properties"/>
    <ds:schemaRef ds:uri="5c8fb8ca-1331-47de-9579-a8297bdf3015"/>
    <ds:schemaRef ds:uri="http://purl.org/dc/dcmitype/"/>
  </ds:schemaRefs>
</ds:datastoreItem>
</file>

<file path=customXml/itemProps2.xml><?xml version="1.0" encoding="utf-8"?>
<ds:datastoreItem xmlns:ds="http://schemas.openxmlformats.org/officeDocument/2006/customXml" ds:itemID="{CC3D0E2B-54B7-41D3-A6D5-3CB7ED2B8113}">
  <ds:schemaRefs>
    <ds:schemaRef ds:uri="http://schemas.microsoft.com/sharepoint/v3/contenttype/forms"/>
  </ds:schemaRefs>
</ds:datastoreItem>
</file>

<file path=customXml/itemProps3.xml><?xml version="1.0" encoding="utf-8"?>
<ds:datastoreItem xmlns:ds="http://schemas.openxmlformats.org/officeDocument/2006/customXml" ds:itemID="{243D1DFC-2A64-45A2-8EBA-2A8F0594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fb8ca-1331-47de-9579-a8297bdf3015"/>
    <ds:schemaRef ds:uri="1319495d-3c43-4556-87e4-881565ede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28FBE-F9BA-4464-8286-08D6336C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31879</Words>
  <Characters>181711</Characters>
  <Application>Microsoft Office Word</Application>
  <DocSecurity>0</DocSecurity>
  <Lines>1514</Lines>
  <Paragraphs>426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Sommer</dc:creator>
  <cp:keywords/>
  <dc:description/>
  <cp:lastModifiedBy>Petre, C.</cp:lastModifiedBy>
  <cp:revision>2</cp:revision>
  <cp:lastPrinted>2020-11-17T10:23:00Z</cp:lastPrinted>
  <dcterms:created xsi:type="dcterms:W3CDTF">2022-10-05T11:16:00Z</dcterms:created>
  <dcterms:modified xsi:type="dcterms:W3CDTF">2022-10-05T11:16:00Z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0x0101008E5B74CA1AD6AA4DB8A3922FAB24942F</vt:lpwstr>
  </property>
  <property fmtid="{D5CDD505-2E9C-101B-9397-08002B2CF9AE}" pid="3" name="ZOTERO_PREF_1">
    <vt:lpwstr>&lt;data data-version="3" zotero-version="5.0.96.3"&gt;&lt;session id="fDMiHu3v"/&gt;&lt;style id="http://www.zotero.org/styles/vancouver" locale="en-US" hasBibliography="1" bibliographyStyleHasBeenSet="1"/&gt;&lt;prefs&gt;&lt;pref name="fieldType" value="Field"/&gt;&lt;pref name="automa</vt:lpwstr>
  </property>
  <property fmtid="{D5CDD505-2E9C-101B-9397-08002B2CF9AE}" pid="4" name="ZOTERO_PREF_2">
    <vt:lpwstr>ticJournalAbbreviations" value="true"/&gt;&lt;/prefs&gt;&lt;/data&gt;</vt:lpwstr>
  </property>
  <property fmtid="{D5CDD505-2E9C-101B-9397-08002B2CF9AE}" pid="5" name="OfficeInstanceGUID">
    <vt:lpwstr>{939D4656-5719-410C-99DD-44D155D696B6}</vt:lpwstr>
  </property>
</Properties>
</file>