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30B8" w14:textId="5EBE19E2" w:rsidR="0017512D" w:rsidRPr="001C0D1A" w:rsidRDefault="00BD2352" w:rsidP="00665F81">
      <w:pPr>
        <w:keepNext/>
        <w:pBdr>
          <w:top w:val="nil"/>
          <w:left w:val="nil"/>
          <w:bottom w:val="nil"/>
          <w:right w:val="nil"/>
          <w:between w:val="nil"/>
        </w:pBdr>
        <w:spacing w:before="240" w:after="60" w:line="480" w:lineRule="auto"/>
        <w:jc w:val="both"/>
        <w:rPr>
          <w:rFonts w:ascii="Arial" w:hAnsi="Arial" w:cs="Arial"/>
          <w:b/>
          <w:color w:val="70AD47" w:themeColor="accent6"/>
          <w:u w:val="single"/>
        </w:rPr>
      </w:pPr>
      <w:bookmarkStart w:id="0" w:name="_Hlk112931725"/>
      <w:r w:rsidRPr="001C0D1A">
        <w:rPr>
          <w:rFonts w:ascii="Arial" w:hAnsi="Arial" w:cs="Arial"/>
          <w:b/>
          <w:i/>
          <w:color w:val="70AD47" w:themeColor="accent6"/>
          <w:u w:val="single"/>
        </w:rPr>
        <w:t>HOXA9</w:t>
      </w:r>
      <w:r w:rsidR="002E0BA0" w:rsidRPr="001C0D1A">
        <w:rPr>
          <w:rFonts w:ascii="Arial" w:hAnsi="Arial" w:cs="Arial"/>
          <w:b/>
          <w:color w:val="70AD47" w:themeColor="accent6"/>
          <w:u w:val="single"/>
        </w:rPr>
        <w:t xml:space="preserve"> </w:t>
      </w:r>
      <w:r w:rsidR="003F0E53" w:rsidRPr="001C0D1A">
        <w:rPr>
          <w:rFonts w:ascii="Arial" w:hAnsi="Arial" w:cs="Arial"/>
          <w:b/>
          <w:color w:val="70AD47" w:themeColor="accent6"/>
          <w:u w:val="single"/>
        </w:rPr>
        <w:t>has the hallmarks of</w:t>
      </w:r>
      <w:r w:rsidR="00146601" w:rsidRPr="001C0D1A">
        <w:rPr>
          <w:rFonts w:ascii="Arial" w:hAnsi="Arial" w:cs="Arial"/>
          <w:b/>
          <w:color w:val="70AD47" w:themeColor="accent6"/>
          <w:u w:val="single"/>
        </w:rPr>
        <w:t xml:space="preserve"> a </w:t>
      </w:r>
      <w:r w:rsidR="001C0D1A">
        <w:rPr>
          <w:rFonts w:ascii="Arial" w:hAnsi="Arial" w:cs="Arial"/>
          <w:b/>
          <w:color w:val="70AD47" w:themeColor="accent6"/>
          <w:u w:val="single"/>
        </w:rPr>
        <w:t>biological switch</w:t>
      </w:r>
      <w:r w:rsidR="00146601" w:rsidRPr="001C0D1A" w:rsidDel="00146601">
        <w:rPr>
          <w:rFonts w:ascii="Arial" w:hAnsi="Arial" w:cs="Arial"/>
          <w:b/>
          <w:color w:val="70AD47" w:themeColor="accent6"/>
          <w:u w:val="single"/>
        </w:rPr>
        <w:t xml:space="preserve"> </w:t>
      </w:r>
      <w:r w:rsidR="00BE6D27" w:rsidRPr="001C0D1A">
        <w:rPr>
          <w:rFonts w:ascii="Arial" w:hAnsi="Arial" w:cs="Arial"/>
          <w:b/>
          <w:color w:val="70AD47" w:themeColor="accent6"/>
          <w:u w:val="single"/>
        </w:rPr>
        <w:t xml:space="preserve">with implications </w:t>
      </w:r>
      <w:r w:rsidR="001C0D1A" w:rsidRPr="001C0D1A">
        <w:rPr>
          <w:rFonts w:ascii="Arial" w:hAnsi="Arial" w:cs="Arial"/>
          <w:b/>
          <w:color w:val="70AD47" w:themeColor="accent6"/>
          <w:u w:val="single"/>
        </w:rPr>
        <w:t xml:space="preserve">in blood </w:t>
      </w:r>
      <w:r w:rsidR="00F116F2">
        <w:rPr>
          <w:rFonts w:ascii="Arial" w:hAnsi="Arial" w:cs="Arial"/>
          <w:b/>
          <w:color w:val="70AD47" w:themeColor="accent6"/>
          <w:u w:val="single"/>
        </w:rPr>
        <w:t>cancers</w:t>
      </w:r>
    </w:p>
    <w:bookmarkEnd w:id="0"/>
    <w:p w14:paraId="786E5053" w14:textId="7015407B" w:rsidR="00DB48C8" w:rsidRPr="00B854A1" w:rsidRDefault="00DB48C8" w:rsidP="00DB48C8">
      <w:pPr>
        <w:keepNext/>
        <w:pBdr>
          <w:top w:val="nil"/>
          <w:left w:val="nil"/>
          <w:bottom w:val="nil"/>
          <w:right w:val="nil"/>
          <w:between w:val="nil"/>
        </w:pBdr>
        <w:spacing w:before="240" w:after="60" w:line="480" w:lineRule="auto"/>
        <w:jc w:val="both"/>
        <w:rPr>
          <w:rFonts w:ascii="Arial" w:hAnsi="Arial" w:cs="Arial"/>
          <w:b/>
          <w:color w:val="000000" w:themeColor="text1"/>
          <w:u w:val="single"/>
        </w:rPr>
      </w:pPr>
      <w:r w:rsidRPr="00B854A1">
        <w:rPr>
          <w:rFonts w:ascii="Arial" w:hAnsi="Arial" w:cs="Arial"/>
          <w:b/>
          <w:color w:val="000000" w:themeColor="text1"/>
          <w:u w:val="single"/>
        </w:rPr>
        <w:t>Laure Talarmain</w:t>
      </w:r>
      <w:r w:rsidRPr="00B854A1">
        <w:rPr>
          <w:rFonts w:ascii="Arial" w:hAnsi="Arial" w:cs="Arial"/>
          <w:b/>
          <w:color w:val="000000" w:themeColor="text1"/>
          <w:u w:val="single"/>
          <w:vertAlign w:val="superscript"/>
        </w:rPr>
        <w:t>1</w:t>
      </w:r>
      <w:r w:rsidRPr="00B854A1">
        <w:rPr>
          <w:rFonts w:ascii="Arial" w:hAnsi="Arial" w:cs="Arial"/>
          <w:b/>
          <w:color w:val="000000" w:themeColor="text1"/>
          <w:u w:val="single"/>
        </w:rPr>
        <w:t xml:space="preserve">, Matthew </w:t>
      </w:r>
      <w:r w:rsidR="00114649" w:rsidRPr="00B854A1">
        <w:rPr>
          <w:rFonts w:ascii="Arial" w:hAnsi="Arial" w:cs="Arial"/>
          <w:b/>
          <w:color w:val="000000" w:themeColor="text1"/>
          <w:u w:val="single"/>
        </w:rPr>
        <w:t xml:space="preserve">A. </w:t>
      </w:r>
      <w:r w:rsidRPr="00B854A1">
        <w:rPr>
          <w:rFonts w:ascii="Arial" w:hAnsi="Arial" w:cs="Arial"/>
          <w:b/>
          <w:color w:val="000000" w:themeColor="text1"/>
          <w:u w:val="single"/>
        </w:rPr>
        <w:t>Clarke</w:t>
      </w:r>
      <w:r w:rsidRPr="00B854A1">
        <w:rPr>
          <w:rFonts w:ascii="Arial" w:hAnsi="Arial" w:cs="Arial"/>
          <w:b/>
          <w:color w:val="000000" w:themeColor="text1"/>
          <w:u w:val="single"/>
          <w:vertAlign w:val="superscript"/>
        </w:rPr>
        <w:t>2</w:t>
      </w:r>
      <w:r w:rsidRPr="00B854A1">
        <w:rPr>
          <w:rFonts w:ascii="Arial" w:hAnsi="Arial" w:cs="Arial"/>
          <w:b/>
          <w:color w:val="000000" w:themeColor="text1"/>
          <w:u w:val="single"/>
        </w:rPr>
        <w:t>,</w:t>
      </w:r>
      <w:r w:rsidR="0034774B">
        <w:rPr>
          <w:rFonts w:ascii="Arial" w:hAnsi="Arial" w:cs="Arial"/>
          <w:b/>
          <w:color w:val="000000" w:themeColor="text1"/>
          <w:u w:val="single"/>
        </w:rPr>
        <w:t xml:space="preserve"> David Shorthouse</w:t>
      </w:r>
      <w:r w:rsidR="0034774B">
        <w:rPr>
          <w:rFonts w:ascii="Arial" w:hAnsi="Arial" w:cs="Arial"/>
          <w:b/>
          <w:color w:val="000000" w:themeColor="text1"/>
          <w:u w:val="single"/>
          <w:vertAlign w:val="superscript"/>
        </w:rPr>
        <w:t>3</w:t>
      </w:r>
      <w:r w:rsidR="0034774B">
        <w:rPr>
          <w:rFonts w:ascii="Arial" w:hAnsi="Arial" w:cs="Arial"/>
          <w:b/>
          <w:color w:val="000000" w:themeColor="text1"/>
          <w:u w:val="single"/>
        </w:rPr>
        <w:t>,</w:t>
      </w:r>
      <w:r w:rsidRPr="00B854A1">
        <w:rPr>
          <w:rFonts w:ascii="Arial" w:hAnsi="Arial" w:cs="Arial"/>
          <w:b/>
          <w:color w:val="000000" w:themeColor="text1"/>
          <w:u w:val="single"/>
        </w:rPr>
        <w:t xml:space="preserve"> </w:t>
      </w:r>
      <w:r w:rsidR="00B82CB1">
        <w:rPr>
          <w:rFonts w:ascii="Arial" w:hAnsi="Arial" w:cs="Arial"/>
          <w:b/>
          <w:color w:val="000000" w:themeColor="text1"/>
          <w:u w:val="single"/>
        </w:rPr>
        <w:t>Lil</w:t>
      </w:r>
      <w:r w:rsidR="00003DAC">
        <w:rPr>
          <w:rFonts w:ascii="Arial" w:hAnsi="Arial" w:cs="Arial"/>
          <w:b/>
          <w:color w:val="000000" w:themeColor="text1"/>
          <w:u w:val="single"/>
        </w:rPr>
        <w:t>ia</w:t>
      </w:r>
      <w:r w:rsidR="00B82CB1">
        <w:rPr>
          <w:rFonts w:ascii="Arial" w:hAnsi="Arial" w:cs="Arial"/>
          <w:b/>
          <w:color w:val="000000" w:themeColor="text1"/>
          <w:u w:val="single"/>
        </w:rPr>
        <w:t xml:space="preserve"> </w:t>
      </w:r>
      <w:r w:rsidR="00610508" w:rsidRPr="00610508">
        <w:rPr>
          <w:rFonts w:ascii="Arial" w:hAnsi="Arial" w:cs="Arial"/>
          <w:b/>
          <w:color w:val="000000" w:themeColor="text1"/>
          <w:u w:val="single"/>
        </w:rPr>
        <w:t>Cabrera-Cosme</w:t>
      </w:r>
      <w:r w:rsidR="00B234B8">
        <w:rPr>
          <w:rFonts w:ascii="Arial" w:hAnsi="Arial" w:cs="Arial"/>
          <w:b/>
          <w:color w:val="000000" w:themeColor="text1"/>
          <w:u w:val="single"/>
          <w:vertAlign w:val="superscript"/>
        </w:rPr>
        <w:t>4</w:t>
      </w:r>
      <w:r w:rsidR="00B82CB1">
        <w:rPr>
          <w:rFonts w:ascii="Arial" w:hAnsi="Arial" w:cs="Arial"/>
          <w:b/>
          <w:color w:val="000000" w:themeColor="text1"/>
          <w:u w:val="single"/>
        </w:rPr>
        <w:t>, David</w:t>
      </w:r>
      <w:r w:rsidR="0060484A">
        <w:rPr>
          <w:rFonts w:ascii="Arial" w:hAnsi="Arial" w:cs="Arial"/>
          <w:b/>
          <w:color w:val="000000" w:themeColor="text1"/>
          <w:u w:val="single"/>
        </w:rPr>
        <w:t xml:space="preserve"> G.</w:t>
      </w:r>
      <w:r w:rsidR="00B82CB1">
        <w:rPr>
          <w:rFonts w:ascii="Arial" w:hAnsi="Arial" w:cs="Arial"/>
          <w:b/>
          <w:color w:val="000000" w:themeColor="text1"/>
          <w:u w:val="single"/>
        </w:rPr>
        <w:t xml:space="preserve"> Kent</w:t>
      </w:r>
      <w:r w:rsidR="00B234B8">
        <w:rPr>
          <w:rFonts w:ascii="Arial" w:hAnsi="Arial" w:cs="Arial"/>
          <w:b/>
          <w:color w:val="000000" w:themeColor="text1"/>
          <w:u w:val="single"/>
          <w:vertAlign w:val="superscript"/>
        </w:rPr>
        <w:t>4</w:t>
      </w:r>
      <w:r w:rsidR="00B82CB1">
        <w:rPr>
          <w:rFonts w:ascii="Arial" w:hAnsi="Arial" w:cs="Arial"/>
          <w:b/>
          <w:color w:val="000000" w:themeColor="text1"/>
          <w:u w:val="single"/>
        </w:rPr>
        <w:t xml:space="preserve">, </w:t>
      </w:r>
      <w:r w:rsidRPr="00B854A1">
        <w:rPr>
          <w:rFonts w:ascii="Arial" w:hAnsi="Arial" w:cs="Arial"/>
          <w:b/>
          <w:color w:val="000000" w:themeColor="text1"/>
          <w:u w:val="single"/>
        </w:rPr>
        <w:t>Jasmin Fisher</w:t>
      </w:r>
      <w:r w:rsidRPr="00B854A1">
        <w:rPr>
          <w:rFonts w:ascii="Arial" w:hAnsi="Arial" w:cs="Arial"/>
          <w:b/>
          <w:color w:val="000000" w:themeColor="text1"/>
          <w:u w:val="single"/>
          <w:vertAlign w:val="superscript"/>
        </w:rPr>
        <w:t>2</w:t>
      </w:r>
      <w:r w:rsidRPr="00B854A1">
        <w:rPr>
          <w:rFonts w:ascii="Arial" w:hAnsi="Arial" w:cs="Arial"/>
          <w:b/>
          <w:color w:val="000000" w:themeColor="text1"/>
          <w:u w:val="single"/>
        </w:rPr>
        <w:t>, Benjamin A Hall</w:t>
      </w:r>
      <w:r w:rsidR="00C83565" w:rsidRPr="00B854A1">
        <w:rPr>
          <w:rFonts w:ascii="Arial" w:hAnsi="Arial" w:cs="Arial"/>
          <w:b/>
          <w:color w:val="000000" w:themeColor="text1"/>
          <w:u w:val="single"/>
          <w:vertAlign w:val="superscript"/>
        </w:rPr>
        <w:t>3</w:t>
      </w:r>
      <w:r w:rsidRPr="00B854A1">
        <w:rPr>
          <w:rFonts w:ascii="Arial" w:hAnsi="Arial" w:cs="Arial"/>
          <w:b/>
          <w:color w:val="000000" w:themeColor="text1"/>
          <w:u w:val="single"/>
        </w:rPr>
        <w:t>*</w:t>
      </w:r>
    </w:p>
    <w:p w14:paraId="45D9A2F7" w14:textId="0D5F545A" w:rsidR="00DB48C8" w:rsidRPr="00B854A1" w:rsidRDefault="008E3B20" w:rsidP="00DB48C8">
      <w:pPr>
        <w:pStyle w:val="ListParagraph"/>
        <w:keepNext/>
        <w:numPr>
          <w:ilvl w:val="0"/>
          <w:numId w:val="6"/>
        </w:numPr>
        <w:pBdr>
          <w:top w:val="nil"/>
          <w:left w:val="nil"/>
          <w:bottom w:val="nil"/>
          <w:right w:val="nil"/>
          <w:between w:val="nil"/>
        </w:pBdr>
        <w:spacing w:before="240" w:after="60" w:line="480" w:lineRule="auto"/>
        <w:jc w:val="both"/>
        <w:rPr>
          <w:rFonts w:ascii="Arial" w:hAnsi="Arial" w:cs="Arial"/>
          <w:color w:val="000000" w:themeColor="text1"/>
        </w:rPr>
      </w:pPr>
      <w:bookmarkStart w:id="1" w:name="_Hlk61032686"/>
      <w:r>
        <w:rPr>
          <w:rFonts w:ascii="Arial" w:hAnsi="Arial" w:cs="Arial"/>
          <w:color w:val="000000" w:themeColor="text1"/>
        </w:rPr>
        <w:t>Peter MacCallum Cancer Centre, 305 Grattan Street, Melbourne VIC 3000, Australia</w:t>
      </w:r>
    </w:p>
    <w:bookmarkEnd w:id="1"/>
    <w:p w14:paraId="5921C34F" w14:textId="2976291B" w:rsidR="00DB48C8" w:rsidRPr="00B854A1" w:rsidRDefault="00DB48C8" w:rsidP="00DB48C8">
      <w:pPr>
        <w:pStyle w:val="ListParagraph"/>
        <w:keepNext/>
        <w:numPr>
          <w:ilvl w:val="0"/>
          <w:numId w:val="6"/>
        </w:numPr>
        <w:pBdr>
          <w:top w:val="nil"/>
          <w:left w:val="nil"/>
          <w:bottom w:val="nil"/>
          <w:right w:val="nil"/>
          <w:between w:val="nil"/>
        </w:pBdr>
        <w:spacing w:before="240" w:after="60" w:line="480" w:lineRule="auto"/>
        <w:jc w:val="both"/>
        <w:rPr>
          <w:rFonts w:ascii="Arial" w:hAnsi="Arial" w:cs="Arial"/>
          <w:color w:val="000000" w:themeColor="text1"/>
        </w:rPr>
      </w:pPr>
      <w:r w:rsidRPr="00B854A1">
        <w:rPr>
          <w:rFonts w:ascii="Arial" w:hAnsi="Arial" w:cs="Arial"/>
          <w:color w:val="000000" w:themeColor="text1"/>
          <w:shd w:val="clear" w:color="auto" w:fill="FFFFFF"/>
        </w:rPr>
        <w:t>UCL Cancer Institute</w:t>
      </w:r>
      <w:r w:rsidRPr="00B854A1">
        <w:rPr>
          <w:rFonts w:ascii="Arial" w:hAnsi="Arial" w:cs="Arial"/>
          <w:color w:val="000000" w:themeColor="text1"/>
        </w:rPr>
        <w:t>,</w:t>
      </w:r>
      <w:r w:rsidR="0071367E">
        <w:rPr>
          <w:rFonts w:ascii="Arial" w:hAnsi="Arial" w:cs="Arial"/>
          <w:color w:val="000000" w:themeColor="text1"/>
        </w:rPr>
        <w:t xml:space="preserve"> </w:t>
      </w:r>
      <w:r w:rsidR="0071367E" w:rsidRPr="00B854A1">
        <w:rPr>
          <w:rFonts w:ascii="Arial" w:hAnsi="Arial" w:cs="Arial"/>
          <w:color w:val="000000" w:themeColor="text1"/>
          <w:shd w:val="clear" w:color="auto" w:fill="FFFFFF"/>
        </w:rPr>
        <w:t>University College London</w:t>
      </w:r>
      <w:r w:rsidR="00661264">
        <w:rPr>
          <w:rFonts w:ascii="Arial" w:hAnsi="Arial" w:cs="Arial"/>
          <w:color w:val="000000" w:themeColor="text1"/>
          <w:shd w:val="clear" w:color="auto" w:fill="FFFFFF"/>
        </w:rPr>
        <w:t>,</w:t>
      </w:r>
      <w:r w:rsidRPr="00B854A1">
        <w:rPr>
          <w:rFonts w:ascii="Arial" w:hAnsi="Arial" w:cs="Arial"/>
          <w:color w:val="000000" w:themeColor="text1"/>
        </w:rPr>
        <w:t xml:space="preserve"> </w:t>
      </w:r>
      <w:r w:rsidRPr="00B854A1">
        <w:rPr>
          <w:rFonts w:ascii="Arial" w:hAnsi="Arial" w:cs="Arial"/>
          <w:color w:val="000000" w:themeColor="text1"/>
          <w:shd w:val="clear" w:color="auto" w:fill="FFFFFF"/>
        </w:rPr>
        <w:t>Paul O'Gorman Building, 72 Huntley Street,</w:t>
      </w:r>
      <w:r w:rsidRPr="00B854A1">
        <w:rPr>
          <w:rFonts w:ascii="Arial" w:hAnsi="Arial" w:cs="Arial"/>
          <w:color w:val="000000" w:themeColor="text1"/>
        </w:rPr>
        <w:br/>
      </w:r>
      <w:r w:rsidR="00F80854" w:rsidRPr="00B854A1">
        <w:rPr>
          <w:rFonts w:ascii="Arial" w:hAnsi="Arial" w:cs="Arial"/>
          <w:color w:val="000000" w:themeColor="text1"/>
          <w:shd w:val="clear" w:color="auto" w:fill="FFFFFF"/>
        </w:rPr>
        <w:t xml:space="preserve">London, WC1E </w:t>
      </w:r>
      <w:r w:rsidRPr="00B854A1">
        <w:rPr>
          <w:rFonts w:ascii="Arial" w:hAnsi="Arial" w:cs="Arial"/>
          <w:color w:val="000000" w:themeColor="text1"/>
          <w:shd w:val="clear" w:color="auto" w:fill="FFFFFF"/>
        </w:rPr>
        <w:t>6BT</w:t>
      </w:r>
      <w:r w:rsidR="00F80854" w:rsidRPr="00B854A1">
        <w:rPr>
          <w:rFonts w:ascii="Arial" w:hAnsi="Arial" w:cs="Arial"/>
          <w:color w:val="000000" w:themeColor="text1"/>
        </w:rPr>
        <w:t xml:space="preserve">, </w:t>
      </w:r>
      <w:r w:rsidRPr="00B854A1">
        <w:rPr>
          <w:rFonts w:ascii="Arial" w:hAnsi="Arial" w:cs="Arial"/>
          <w:color w:val="000000" w:themeColor="text1"/>
          <w:shd w:val="clear" w:color="auto" w:fill="FFFFFF"/>
        </w:rPr>
        <w:t>United Kingdom</w:t>
      </w:r>
    </w:p>
    <w:p w14:paraId="0A7742C9" w14:textId="2690757E" w:rsidR="00C83565" w:rsidRDefault="00C83565" w:rsidP="003A6827">
      <w:pPr>
        <w:pStyle w:val="ListParagraph"/>
        <w:keepNext/>
        <w:numPr>
          <w:ilvl w:val="0"/>
          <w:numId w:val="6"/>
        </w:numPr>
        <w:pBdr>
          <w:top w:val="nil"/>
          <w:left w:val="nil"/>
          <w:bottom w:val="nil"/>
          <w:right w:val="nil"/>
          <w:between w:val="nil"/>
        </w:pBdr>
        <w:spacing w:before="240" w:after="60" w:line="480" w:lineRule="auto"/>
        <w:jc w:val="both"/>
        <w:rPr>
          <w:rFonts w:ascii="Arial" w:hAnsi="Arial" w:cs="Arial"/>
          <w:color w:val="000000" w:themeColor="text1"/>
          <w:shd w:val="clear" w:color="auto" w:fill="FFFFFF"/>
        </w:rPr>
      </w:pPr>
      <w:r w:rsidRPr="00B854A1">
        <w:rPr>
          <w:rFonts w:ascii="Arial" w:hAnsi="Arial" w:cs="Arial"/>
          <w:color w:val="000000" w:themeColor="text1"/>
          <w:shd w:val="clear" w:color="auto" w:fill="FFFFFF"/>
        </w:rPr>
        <w:t xml:space="preserve">Department of Medical Physics and Biomedical </w:t>
      </w:r>
      <w:r w:rsidR="00EE7EF8" w:rsidRPr="00B854A1">
        <w:rPr>
          <w:rFonts w:ascii="Arial" w:hAnsi="Arial" w:cs="Arial"/>
          <w:color w:val="000000" w:themeColor="text1"/>
          <w:shd w:val="clear" w:color="auto" w:fill="FFFFFF"/>
        </w:rPr>
        <w:t>Engineering</w:t>
      </w:r>
      <w:r w:rsidRPr="00B854A1">
        <w:rPr>
          <w:rFonts w:ascii="Arial" w:hAnsi="Arial" w:cs="Arial"/>
          <w:color w:val="000000" w:themeColor="text1"/>
          <w:shd w:val="clear" w:color="auto" w:fill="FFFFFF"/>
        </w:rPr>
        <w:t xml:space="preserve">, </w:t>
      </w:r>
      <w:r w:rsidR="00F03772" w:rsidRPr="00B854A1">
        <w:rPr>
          <w:rFonts w:ascii="Arial" w:hAnsi="Arial" w:cs="Arial"/>
          <w:color w:val="000000" w:themeColor="text1"/>
          <w:shd w:val="clear" w:color="auto" w:fill="FFFFFF"/>
        </w:rPr>
        <w:t>Malet Place Engineering Building</w:t>
      </w:r>
      <w:r w:rsidR="003A6827" w:rsidRPr="00B854A1">
        <w:rPr>
          <w:rFonts w:ascii="Arial" w:hAnsi="Arial" w:cs="Arial"/>
          <w:color w:val="000000" w:themeColor="text1"/>
          <w:shd w:val="clear" w:color="auto" w:fill="FFFFFF"/>
        </w:rPr>
        <w:t xml:space="preserve">, </w:t>
      </w:r>
      <w:r w:rsidR="00F03772" w:rsidRPr="00B854A1">
        <w:rPr>
          <w:rFonts w:ascii="Arial" w:hAnsi="Arial" w:cs="Arial"/>
          <w:color w:val="000000" w:themeColor="text1"/>
          <w:shd w:val="clear" w:color="auto" w:fill="FFFFFF"/>
        </w:rPr>
        <w:t>University College London</w:t>
      </w:r>
      <w:r w:rsidR="003A6827" w:rsidRPr="00B854A1">
        <w:rPr>
          <w:rFonts w:ascii="Arial" w:hAnsi="Arial" w:cs="Arial"/>
          <w:color w:val="000000" w:themeColor="text1"/>
          <w:shd w:val="clear" w:color="auto" w:fill="FFFFFF"/>
        </w:rPr>
        <w:t xml:space="preserve">, </w:t>
      </w:r>
      <w:r w:rsidR="00F03772" w:rsidRPr="00B854A1">
        <w:rPr>
          <w:rFonts w:ascii="Arial" w:hAnsi="Arial" w:cs="Arial"/>
          <w:color w:val="000000" w:themeColor="text1"/>
          <w:shd w:val="clear" w:color="auto" w:fill="FFFFFF"/>
        </w:rPr>
        <w:t>Gower Street</w:t>
      </w:r>
      <w:r w:rsidR="003A6827" w:rsidRPr="00B854A1">
        <w:rPr>
          <w:rFonts w:ascii="Arial" w:hAnsi="Arial" w:cs="Arial"/>
          <w:color w:val="000000" w:themeColor="text1"/>
          <w:shd w:val="clear" w:color="auto" w:fill="FFFFFF"/>
        </w:rPr>
        <w:t xml:space="preserve">, </w:t>
      </w:r>
      <w:r w:rsidR="00F03772" w:rsidRPr="00B854A1">
        <w:rPr>
          <w:rFonts w:ascii="Arial" w:hAnsi="Arial" w:cs="Arial"/>
          <w:color w:val="000000" w:themeColor="text1"/>
          <w:shd w:val="clear" w:color="auto" w:fill="FFFFFF"/>
        </w:rPr>
        <w:t>London WC1E 6BT</w:t>
      </w:r>
      <w:r w:rsidR="003A6827" w:rsidRPr="00B854A1">
        <w:rPr>
          <w:rFonts w:ascii="Arial" w:hAnsi="Arial" w:cs="Arial"/>
          <w:color w:val="000000" w:themeColor="text1"/>
          <w:shd w:val="clear" w:color="auto" w:fill="FFFFFF"/>
        </w:rPr>
        <w:t>, United Kingdom</w:t>
      </w:r>
    </w:p>
    <w:p w14:paraId="129BA5CC" w14:textId="5424FB91" w:rsidR="00B234B8" w:rsidRPr="00CA7982" w:rsidRDefault="00003DAC" w:rsidP="00F44C02">
      <w:pPr>
        <w:pStyle w:val="ListParagraph"/>
        <w:keepNext/>
        <w:numPr>
          <w:ilvl w:val="0"/>
          <w:numId w:val="6"/>
        </w:numPr>
        <w:pBdr>
          <w:top w:val="nil"/>
          <w:left w:val="nil"/>
          <w:bottom w:val="nil"/>
          <w:right w:val="nil"/>
          <w:between w:val="nil"/>
        </w:pBdr>
        <w:spacing w:before="240" w:after="60" w:line="480" w:lineRule="auto"/>
        <w:jc w:val="both"/>
        <w:rPr>
          <w:rFonts w:ascii="Arial" w:hAnsi="Arial" w:cs="Arial"/>
          <w:color w:val="000000" w:themeColor="text1"/>
          <w:shd w:val="clear" w:color="auto" w:fill="FFFFFF"/>
        </w:rPr>
      </w:pPr>
      <w:r w:rsidRPr="00003DAC">
        <w:rPr>
          <w:rFonts w:ascii="Arial" w:hAnsi="Arial" w:cs="Arial"/>
          <w:color w:val="000000" w:themeColor="text1"/>
          <w:shd w:val="clear" w:color="auto" w:fill="FFFFFF"/>
        </w:rPr>
        <w:t>York Biomedical Research Institute, Department of Biology, University of York, YO10 5DD, United Kingdom</w:t>
      </w:r>
      <w:r>
        <w:rPr>
          <w:rFonts w:ascii="Arial" w:hAnsi="Arial" w:cs="Arial"/>
          <w:color w:val="000000" w:themeColor="text1"/>
          <w:shd w:val="clear" w:color="auto" w:fill="FFFFFF"/>
        </w:rPr>
        <w:t xml:space="preserve"> </w:t>
      </w:r>
    </w:p>
    <w:p w14:paraId="76F45000" w14:textId="2F555ED1" w:rsidR="00AD7466" w:rsidRPr="00B854A1" w:rsidRDefault="00DB48C8" w:rsidP="00C160A8">
      <w:pPr>
        <w:keepNext/>
        <w:pBdr>
          <w:top w:val="nil"/>
          <w:left w:val="nil"/>
          <w:bottom w:val="nil"/>
          <w:right w:val="nil"/>
          <w:between w:val="nil"/>
        </w:pBdr>
        <w:spacing w:before="240" w:after="60" w:line="480" w:lineRule="auto"/>
        <w:jc w:val="both"/>
        <w:rPr>
          <w:rFonts w:ascii="Arial" w:hAnsi="Arial" w:cs="Arial"/>
          <w:color w:val="000000" w:themeColor="text1"/>
        </w:rPr>
      </w:pPr>
      <w:r w:rsidRPr="00B854A1">
        <w:rPr>
          <w:rFonts w:ascii="Arial" w:hAnsi="Arial" w:cs="Arial"/>
          <w:color w:val="000000" w:themeColor="text1"/>
        </w:rPr>
        <w:t xml:space="preserve">*to whom correspondence should be addressed </w:t>
      </w:r>
      <w:r w:rsidR="007E3095" w:rsidRPr="00B854A1">
        <w:rPr>
          <w:rStyle w:val="Hyperlink"/>
          <w:rFonts w:ascii="Arial" w:hAnsi="Arial" w:cs="Arial"/>
          <w:color w:val="000000" w:themeColor="text1"/>
        </w:rPr>
        <w:t>b.hall@ucl.ac.uk</w:t>
      </w:r>
      <w:r w:rsidR="00AD7466" w:rsidRPr="00B854A1">
        <w:rPr>
          <w:rFonts w:ascii="Arial" w:hAnsi="Arial" w:cs="Arial"/>
          <w:color w:val="000000" w:themeColor="text1"/>
        </w:rPr>
        <w:br w:type="page"/>
      </w:r>
    </w:p>
    <w:p w14:paraId="1CF0E4FF" w14:textId="77777777" w:rsidR="00E64C97" w:rsidRPr="00B854A1" w:rsidRDefault="004A079F" w:rsidP="00F80854">
      <w:pPr>
        <w:keepNext/>
        <w:pBdr>
          <w:top w:val="nil"/>
          <w:left w:val="nil"/>
          <w:bottom w:val="nil"/>
          <w:right w:val="nil"/>
          <w:between w:val="nil"/>
        </w:pBdr>
        <w:spacing w:before="240" w:after="60" w:line="480" w:lineRule="auto"/>
        <w:jc w:val="both"/>
        <w:rPr>
          <w:rFonts w:ascii="Arial" w:hAnsi="Arial" w:cs="Arial"/>
          <w:b/>
          <w:color w:val="000000" w:themeColor="text1"/>
        </w:rPr>
      </w:pPr>
      <w:r w:rsidRPr="00B854A1">
        <w:rPr>
          <w:rFonts w:ascii="Arial" w:hAnsi="Arial" w:cs="Arial"/>
          <w:b/>
          <w:color w:val="000000" w:themeColor="text1"/>
        </w:rPr>
        <w:lastRenderedPageBreak/>
        <w:t>Abstract</w:t>
      </w:r>
    </w:p>
    <w:p w14:paraId="7215AB9A" w14:textId="59C896BB" w:rsidR="00CD423A" w:rsidRPr="00B854A1" w:rsidRDefault="00F116F2" w:rsidP="00F80854">
      <w:pPr>
        <w:keepNext/>
        <w:pBdr>
          <w:top w:val="nil"/>
          <w:left w:val="nil"/>
          <w:bottom w:val="nil"/>
          <w:right w:val="nil"/>
          <w:between w:val="nil"/>
        </w:pBdr>
        <w:spacing w:before="240" w:after="60" w:line="480" w:lineRule="auto"/>
        <w:jc w:val="both"/>
        <w:rPr>
          <w:rFonts w:ascii="Arial" w:hAnsi="Arial" w:cs="Arial"/>
          <w:b/>
          <w:color w:val="000000" w:themeColor="text1"/>
        </w:rPr>
      </w:pPr>
      <w:r w:rsidRPr="00F116F2">
        <w:rPr>
          <w:rFonts w:ascii="Arial" w:hAnsi="Arial" w:cs="Arial"/>
          <w:color w:val="000000" w:themeColor="text1"/>
        </w:rPr>
        <w:t>Blood malignancies arise from the dysregulation of haematopoiesis. The type of blood cell and the specific order of oncogenic events initiating abnormal growth ultimately determine the cancer subtype and subsequent clinical outcome. HOXA9 plays an important role in acute myeloid leukaemia (AML) prognosis by promoting blood cell expansion and altering differentiation; however, the function of HOXA9 in other blood malignancies is still unclear. Here, we highlight the biological switch and prognosis marker properties of HOXA9 in AML and chronic myeloproliferative neoplasms (MPN). First, we establish the ability of HOXA9 to stratify AML patients with distinct cellular and clinical outcomes. Then, through the use of a computational network model of MP</w:t>
      </w:r>
      <w:r w:rsidR="00E17CCE">
        <w:rPr>
          <w:rFonts w:ascii="Arial" w:hAnsi="Arial" w:cs="Arial"/>
          <w:color w:val="000000" w:themeColor="text1"/>
        </w:rPr>
        <w:t>N</w:t>
      </w:r>
      <w:r w:rsidRPr="00F116F2">
        <w:rPr>
          <w:rFonts w:ascii="Arial" w:hAnsi="Arial" w:cs="Arial"/>
          <w:color w:val="000000" w:themeColor="text1"/>
        </w:rPr>
        <w:t xml:space="preserve">, we show that the self-activation of HOXA9 and its relationship to JAK2 and TET2 can explain the branching progression of JAK2/TET2 mutant MPN patients towards divergent clinical characteristics. Finally, we predict a connection between the RUNX1 and MYB genes and a suppressive role for the NOTCH pathway in MPN diseases. </w:t>
      </w:r>
      <w:r w:rsidR="00CD423A" w:rsidRPr="00B854A1">
        <w:rPr>
          <w:rFonts w:ascii="Arial" w:hAnsi="Arial" w:cs="Arial"/>
          <w:color w:val="000000" w:themeColor="text1"/>
        </w:rPr>
        <w:br w:type="page"/>
      </w:r>
    </w:p>
    <w:p w14:paraId="497E59A6" w14:textId="7FC0E0A5" w:rsidR="00456804" w:rsidRPr="00B854A1" w:rsidRDefault="00456804" w:rsidP="00DB48C8">
      <w:pPr>
        <w:keepNext/>
        <w:pBdr>
          <w:top w:val="nil"/>
          <w:left w:val="nil"/>
          <w:bottom w:val="nil"/>
          <w:right w:val="nil"/>
          <w:between w:val="nil"/>
        </w:pBdr>
        <w:spacing w:before="240" w:after="60" w:line="480" w:lineRule="auto"/>
        <w:jc w:val="both"/>
        <w:rPr>
          <w:rFonts w:ascii="Arial" w:hAnsi="Arial" w:cs="Arial"/>
          <w:b/>
          <w:color w:val="000000" w:themeColor="text1"/>
        </w:rPr>
      </w:pPr>
      <w:r w:rsidRPr="00B854A1">
        <w:rPr>
          <w:rFonts w:ascii="Arial" w:hAnsi="Arial" w:cs="Arial"/>
          <w:b/>
          <w:color w:val="000000" w:themeColor="text1"/>
        </w:rPr>
        <w:lastRenderedPageBreak/>
        <w:t>Introduction</w:t>
      </w:r>
    </w:p>
    <w:p w14:paraId="72482409" w14:textId="2A5CA695" w:rsidR="00A071FE" w:rsidRPr="00B854A1" w:rsidRDefault="00B0087B"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Blood cancers are malignancies that can arise from any type of blood cell and dramatically affect haematopoiesis. Myeloproliferative Neoplasms (MPN</w:t>
      </w:r>
      <w:r w:rsidR="00CC7478" w:rsidRPr="00B854A1">
        <w:rPr>
          <w:rFonts w:ascii="Arial" w:hAnsi="Arial" w:cs="Arial"/>
          <w:color w:val="000000" w:themeColor="text1"/>
        </w:rPr>
        <w:t>s</w:t>
      </w:r>
      <w:r w:rsidRPr="00B854A1">
        <w:rPr>
          <w:rFonts w:ascii="Arial" w:hAnsi="Arial" w:cs="Arial"/>
          <w:color w:val="000000" w:themeColor="text1"/>
        </w:rPr>
        <w:t xml:space="preserve">) are chronic diseases of the myeloid lineage characterised by an excessive production of fully functional terminally differentiated blood cells. These have been classified into 3 types: polycythemia vera (PV), essential thrombocythemia (ET), and primary myelofibrosis (PMF)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BIB_spivak2017myeloproliferative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Despite the relatively good prognosis of these diseases, MPN patients are at high risk of thrombosis and can develop </w:t>
      </w:r>
      <w:r w:rsidR="004D5E01" w:rsidRPr="00B854A1">
        <w:rPr>
          <w:rFonts w:ascii="Arial" w:hAnsi="Arial" w:cs="Arial"/>
          <w:color w:val="000000" w:themeColor="text1"/>
        </w:rPr>
        <w:t xml:space="preserve">a </w:t>
      </w:r>
      <w:r w:rsidRPr="00B854A1">
        <w:rPr>
          <w:rFonts w:ascii="Arial" w:hAnsi="Arial" w:cs="Arial"/>
          <w:color w:val="000000" w:themeColor="text1"/>
        </w:rPr>
        <w:t xml:space="preserve">blast phase MPN (MPN-BP)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BIB_tefferi2018blast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2</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a subtype of the blood cancer Acute Myeloid Leukemia (AML) with poor survival outcomes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BIB_yogarajah2017leukemic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The frequency of MPN transformation to blast phase MPN is highly related to the initial MPN disease type</w:t>
      </w:r>
      <w:r w:rsidR="001D71FE"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BIB_tefferi2014long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4</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B4B_tefferi2013survival \* MERGEFORMAT </w:instrText>
      </w:r>
      <w:r w:rsidR="005D547F" w:rsidRPr="00B854A1">
        <w:rPr>
          <w:rFonts w:ascii="Arial" w:hAnsi="Arial" w:cs="Arial"/>
          <w:color w:val="000000" w:themeColor="text1"/>
        </w:rPr>
        <w:fldChar w:fldCharType="end"/>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BIB_barbui2011survival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6</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Therefore, a better understanding of the molecular events driving the different subtypes of MPNs is essential to help diagnose patients with higher risk of thrombosis and AML progression.</w:t>
      </w:r>
    </w:p>
    <w:p w14:paraId="0304C659" w14:textId="77777777" w:rsidR="00B0087B" w:rsidRPr="00B854A1" w:rsidRDefault="00B0087B"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720A9C3A" w14:textId="61225CD4" w:rsidR="00E05E27" w:rsidRPr="00B854A1" w:rsidRDefault="0095033B"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AML itself is an aggressive blood and bone marrow malignancy defined by the uncontrolled growth of myeloid progenitor cells along with a myeloid-lineage differentiation arrest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BIB_grove2014acute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7</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As with MPN, there exist different types of AML with a broad range of morphologic, cytogenic and immunologic features</w:t>
      </w:r>
      <w:r w:rsidR="007C5688" w:rsidRPr="00B854A1">
        <w:rPr>
          <w:rFonts w:ascii="Arial" w:hAnsi="Arial" w:cs="Arial"/>
          <w:color w:val="000000" w:themeColor="text1"/>
        </w:rPr>
        <w:t>,</w:t>
      </w:r>
      <w:r w:rsidRPr="00B854A1">
        <w:rPr>
          <w:rFonts w:ascii="Arial" w:hAnsi="Arial" w:cs="Arial"/>
          <w:color w:val="000000" w:themeColor="text1"/>
        </w:rPr>
        <w:t xml:space="preserve"> all associated with diverse clinical outcomes</w:t>
      </w:r>
      <w:r w:rsidR="00F31045"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BIB_bacher2005further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8</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w:t>
      </w:r>
      <w:r w:rsidR="00E05E27" w:rsidRPr="00B854A1">
        <w:rPr>
          <w:rFonts w:ascii="Arial" w:hAnsi="Arial" w:cs="Arial"/>
          <w:color w:val="000000" w:themeColor="text1"/>
        </w:rPr>
        <w:t>Despite their similarities</w:t>
      </w:r>
      <w:r w:rsidR="0018578B" w:rsidRPr="00B854A1">
        <w:rPr>
          <w:rFonts w:ascii="Arial" w:hAnsi="Arial" w:cs="Arial"/>
          <w:color w:val="000000" w:themeColor="text1"/>
        </w:rPr>
        <w:t>,</w:t>
      </w:r>
      <w:r w:rsidR="00E05E27" w:rsidRPr="00B854A1">
        <w:rPr>
          <w:rFonts w:ascii="Arial" w:hAnsi="Arial" w:cs="Arial"/>
          <w:color w:val="000000" w:themeColor="text1"/>
        </w:rPr>
        <w:t xml:space="preserve"> prognosis, symptoms, and genetic alterations differ between AML and MPN. For example, </w:t>
      </w:r>
      <w:r w:rsidR="00D74765" w:rsidRPr="00B854A1">
        <w:rPr>
          <w:rFonts w:ascii="Arial" w:hAnsi="Arial" w:cs="Arial"/>
          <w:i/>
          <w:color w:val="000000" w:themeColor="text1"/>
        </w:rPr>
        <w:t>JAK2</w:t>
      </w:r>
      <w:r w:rsidR="00E05E27" w:rsidRPr="00B854A1">
        <w:rPr>
          <w:rFonts w:ascii="Arial" w:hAnsi="Arial" w:cs="Arial"/>
          <w:color w:val="000000" w:themeColor="text1"/>
        </w:rPr>
        <w:t xml:space="preserve"> mutation is the </w:t>
      </w:r>
      <w:r w:rsidR="00E05E27" w:rsidRPr="00B854A1">
        <w:rPr>
          <w:rFonts w:ascii="Arial" w:hAnsi="Arial" w:cs="Arial"/>
          <w:color w:val="000000" w:themeColor="text1"/>
        </w:rPr>
        <w:lastRenderedPageBreak/>
        <w:t xml:space="preserve">main driver event of MPN diseases yet is rarely found in </w:t>
      </w:r>
      <w:r w:rsidR="002C00A3" w:rsidRPr="00B854A1">
        <w:rPr>
          <w:rFonts w:ascii="Arial" w:hAnsi="Arial" w:cs="Arial"/>
          <w:i/>
          <w:color w:val="000000" w:themeColor="text1"/>
        </w:rPr>
        <w:t>de novo</w:t>
      </w:r>
      <w:r w:rsidR="002C00A3" w:rsidRPr="00B854A1">
        <w:rPr>
          <w:rFonts w:ascii="Arial" w:hAnsi="Arial" w:cs="Arial"/>
          <w:color w:val="000000" w:themeColor="text1"/>
        </w:rPr>
        <w:t xml:space="preserve"> </w:t>
      </w:r>
      <w:r w:rsidR="00E05E27" w:rsidRPr="00B854A1">
        <w:rPr>
          <w:rFonts w:ascii="Arial" w:hAnsi="Arial" w:cs="Arial"/>
          <w:color w:val="000000" w:themeColor="text1"/>
        </w:rPr>
        <w:t xml:space="preserve">AML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BIB_aynardi2018jak2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9</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w:t>
      </w:r>
      <w:r w:rsidR="00E05E27" w:rsidRPr="00B854A1">
        <w:rPr>
          <w:rFonts w:ascii="Arial" w:hAnsi="Arial" w:cs="Arial"/>
          <w:color w:val="000000" w:themeColor="text1"/>
        </w:rPr>
        <w:t xml:space="preserve"> However, myeloid lineage dysregulation </w:t>
      </w:r>
      <w:r w:rsidR="0018578B" w:rsidRPr="00B854A1">
        <w:rPr>
          <w:rFonts w:ascii="Arial" w:hAnsi="Arial" w:cs="Arial"/>
          <w:color w:val="000000" w:themeColor="text1"/>
        </w:rPr>
        <w:t xml:space="preserve">occurs in </w:t>
      </w:r>
      <w:r w:rsidR="00E05E27" w:rsidRPr="00B854A1">
        <w:rPr>
          <w:rFonts w:ascii="Arial" w:hAnsi="Arial" w:cs="Arial"/>
          <w:color w:val="000000" w:themeColor="text1"/>
        </w:rPr>
        <w:t>both MPN and AML</w:t>
      </w:r>
      <w:r w:rsidR="0014516E" w:rsidRPr="00B854A1">
        <w:rPr>
          <w:rFonts w:ascii="Arial" w:hAnsi="Arial" w:cs="Arial"/>
          <w:color w:val="000000" w:themeColor="text1"/>
        </w:rPr>
        <w:t>,</w:t>
      </w:r>
      <w:r w:rsidR="00E05E27" w:rsidRPr="00B854A1">
        <w:rPr>
          <w:rFonts w:ascii="Arial" w:hAnsi="Arial" w:cs="Arial"/>
          <w:color w:val="000000" w:themeColor="text1"/>
        </w:rPr>
        <w:t xml:space="preserve"> </w:t>
      </w:r>
      <w:r w:rsidR="0018578B" w:rsidRPr="00B854A1">
        <w:rPr>
          <w:rFonts w:ascii="Arial" w:hAnsi="Arial" w:cs="Arial"/>
          <w:color w:val="000000" w:themeColor="text1"/>
        </w:rPr>
        <w:t>and alongside</w:t>
      </w:r>
      <w:r w:rsidR="00E05E27" w:rsidRPr="00B854A1">
        <w:rPr>
          <w:rFonts w:ascii="Arial" w:hAnsi="Arial" w:cs="Arial"/>
          <w:color w:val="000000" w:themeColor="text1"/>
        </w:rPr>
        <w:t xml:space="preserve"> the ability of MPN to evolve to AML</w:t>
      </w:r>
      <w:r w:rsidR="0014516E" w:rsidRPr="00B854A1">
        <w:rPr>
          <w:rFonts w:ascii="Arial" w:hAnsi="Arial" w:cs="Arial"/>
          <w:color w:val="000000" w:themeColor="text1"/>
        </w:rPr>
        <w:t>,</w:t>
      </w:r>
      <w:r w:rsidR="00E05E27" w:rsidRPr="00B854A1">
        <w:rPr>
          <w:rFonts w:ascii="Arial" w:hAnsi="Arial" w:cs="Arial"/>
          <w:color w:val="000000" w:themeColor="text1"/>
        </w:rPr>
        <w:t xml:space="preserve"> </w:t>
      </w:r>
      <w:r w:rsidR="0018578B" w:rsidRPr="00B854A1">
        <w:rPr>
          <w:rFonts w:ascii="Arial" w:hAnsi="Arial" w:cs="Arial"/>
          <w:color w:val="000000" w:themeColor="text1"/>
        </w:rPr>
        <w:t xml:space="preserve">this </w:t>
      </w:r>
      <w:r w:rsidR="000117A3" w:rsidRPr="00B854A1">
        <w:rPr>
          <w:rFonts w:ascii="Arial" w:hAnsi="Arial" w:cs="Arial"/>
          <w:color w:val="000000" w:themeColor="text1"/>
        </w:rPr>
        <w:t xml:space="preserve">may </w:t>
      </w:r>
      <w:r w:rsidR="0018578B" w:rsidRPr="00B854A1">
        <w:rPr>
          <w:rFonts w:ascii="Arial" w:hAnsi="Arial" w:cs="Arial"/>
          <w:color w:val="000000" w:themeColor="text1"/>
        </w:rPr>
        <w:t xml:space="preserve">suggest </w:t>
      </w:r>
      <w:r w:rsidR="00E05E27" w:rsidRPr="00B854A1">
        <w:rPr>
          <w:rFonts w:ascii="Arial" w:hAnsi="Arial" w:cs="Arial"/>
          <w:color w:val="000000" w:themeColor="text1"/>
        </w:rPr>
        <w:t xml:space="preserve">that both diseases share </w:t>
      </w:r>
      <w:r w:rsidR="0018578B" w:rsidRPr="00B854A1">
        <w:rPr>
          <w:rFonts w:ascii="Arial" w:hAnsi="Arial" w:cs="Arial"/>
          <w:color w:val="000000" w:themeColor="text1"/>
        </w:rPr>
        <w:t xml:space="preserve">common </w:t>
      </w:r>
      <w:r w:rsidR="00E05E27" w:rsidRPr="00B854A1">
        <w:rPr>
          <w:rFonts w:ascii="Arial" w:hAnsi="Arial" w:cs="Arial"/>
          <w:color w:val="000000" w:themeColor="text1"/>
        </w:rPr>
        <w:t xml:space="preserve">biological mechanisms. The identification of these processes </w:t>
      </w:r>
      <w:r w:rsidR="000D2A90" w:rsidRPr="00B854A1">
        <w:rPr>
          <w:rFonts w:ascii="Arial" w:hAnsi="Arial" w:cs="Arial"/>
          <w:color w:val="000000" w:themeColor="text1"/>
        </w:rPr>
        <w:t xml:space="preserve">could </w:t>
      </w:r>
      <w:r w:rsidR="00206E1E" w:rsidRPr="00B854A1">
        <w:rPr>
          <w:rFonts w:ascii="Arial" w:hAnsi="Arial" w:cs="Arial"/>
          <w:color w:val="000000" w:themeColor="text1"/>
        </w:rPr>
        <w:t>help identify aberrant genes and pathways involved in both AML and MPN to detect MPN patients with higher risk of developing AML</w:t>
      </w:r>
      <w:r w:rsidR="00E05E27" w:rsidRPr="00B854A1">
        <w:rPr>
          <w:rFonts w:ascii="Arial" w:hAnsi="Arial" w:cs="Arial"/>
          <w:color w:val="000000" w:themeColor="text1"/>
        </w:rPr>
        <w:t>.</w:t>
      </w:r>
    </w:p>
    <w:p w14:paraId="009AF30A" w14:textId="77777777" w:rsidR="00A071FE" w:rsidRPr="00B854A1" w:rsidRDefault="00A071FE"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1C18582E" w14:textId="138A7105" w:rsidR="00E05E27" w:rsidRPr="00B854A1" w:rsidRDefault="00E05E27"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Better understanding of the patterns of genetic alterations in cancer cells can be used for the classification of blood diseases and </w:t>
      </w:r>
      <w:r w:rsidR="00B858EF" w:rsidRPr="00B854A1">
        <w:rPr>
          <w:rFonts w:ascii="Arial" w:hAnsi="Arial" w:cs="Arial"/>
          <w:color w:val="000000" w:themeColor="text1"/>
        </w:rPr>
        <w:t xml:space="preserve">prediction of progression into more severe </w:t>
      </w:r>
      <w:r w:rsidR="0009572D" w:rsidRPr="00B854A1">
        <w:rPr>
          <w:rFonts w:ascii="Arial" w:hAnsi="Arial" w:cs="Arial"/>
          <w:color w:val="000000" w:themeColor="text1"/>
        </w:rPr>
        <w:t>forms of the disease</w:t>
      </w:r>
      <w:r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BIB_lindsley2017uncoding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10</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w:t>
      </w:r>
      <w:r w:rsidR="0018722F" w:rsidRPr="00B854A1">
        <w:rPr>
          <w:rFonts w:ascii="Arial" w:hAnsi="Arial" w:cs="Arial"/>
          <w:color w:val="000000" w:themeColor="text1"/>
        </w:rPr>
        <w:t>H</w:t>
      </w:r>
      <w:r w:rsidRPr="00B854A1">
        <w:rPr>
          <w:rFonts w:ascii="Arial" w:hAnsi="Arial" w:cs="Arial"/>
          <w:color w:val="000000" w:themeColor="text1"/>
        </w:rPr>
        <w:t xml:space="preserve">ow different combinations </w:t>
      </w:r>
      <w:r w:rsidR="0018722F" w:rsidRPr="00B854A1">
        <w:rPr>
          <w:rFonts w:ascii="Arial" w:hAnsi="Arial" w:cs="Arial"/>
          <w:color w:val="000000" w:themeColor="text1"/>
        </w:rPr>
        <w:t xml:space="preserve">and orders </w:t>
      </w:r>
      <w:r w:rsidRPr="00B854A1">
        <w:rPr>
          <w:rFonts w:ascii="Arial" w:hAnsi="Arial" w:cs="Arial"/>
          <w:color w:val="000000" w:themeColor="text1"/>
        </w:rPr>
        <w:t>of mutations lead to different subtypes of cancer</w:t>
      </w:r>
      <w:r w:rsidR="0018722F" w:rsidRPr="00B854A1">
        <w:rPr>
          <w:rFonts w:ascii="Arial" w:hAnsi="Arial" w:cs="Arial"/>
          <w:color w:val="000000" w:themeColor="text1"/>
        </w:rPr>
        <w:t xml:space="preserve"> remains a major open question</w:t>
      </w:r>
      <w:r w:rsidR="00D92321"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BIB_kent2017order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11</w:t>
      </w:r>
      <w:r w:rsidR="005D547F" w:rsidRPr="00B854A1">
        <w:rPr>
          <w:rFonts w:ascii="Arial" w:hAnsi="Arial" w:cs="Arial"/>
          <w:color w:val="000000" w:themeColor="text1"/>
        </w:rPr>
        <w:fldChar w:fldCharType="end"/>
      </w:r>
      <w:r w:rsidR="005D547F" w:rsidRPr="00B854A1">
        <w:rPr>
          <w:rFonts w:ascii="Arial" w:hAnsi="Arial" w:cs="Arial"/>
          <w:color w:val="000000" w:themeColor="text1"/>
        </w:rPr>
        <w:t xml:space="preserve">, </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BIB_clarke2019using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12</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D92321" w:rsidRPr="00B854A1">
        <w:rPr>
          <w:rFonts w:ascii="Arial" w:hAnsi="Arial" w:cs="Arial"/>
          <w:color w:val="000000" w:themeColor="text1"/>
        </w:rPr>
        <w:t>. T</w:t>
      </w:r>
      <w:r w:rsidRPr="00B854A1">
        <w:rPr>
          <w:rFonts w:ascii="Arial" w:hAnsi="Arial" w:cs="Arial"/>
          <w:color w:val="000000" w:themeColor="text1"/>
        </w:rPr>
        <w:t xml:space="preserve">he importance of mutation order has been demonstrated in MPN by Ortmann et al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BIB_ortmann2015effect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877381" w:rsidRPr="00B854A1">
        <w:rPr>
          <w:rFonts w:ascii="Arial" w:hAnsi="Arial" w:cs="Arial"/>
          <w:color w:val="000000" w:themeColor="text1"/>
        </w:rPr>
        <w:t>,</w:t>
      </w:r>
      <w:r w:rsidRPr="00B854A1">
        <w:rPr>
          <w:rFonts w:ascii="Arial" w:hAnsi="Arial" w:cs="Arial"/>
          <w:color w:val="000000" w:themeColor="text1"/>
        </w:rPr>
        <w:t xml:space="preserve"> who show that two subpopulations</w:t>
      </w:r>
      <w:r w:rsidR="002B2C3E" w:rsidRPr="00B854A1">
        <w:rPr>
          <w:rFonts w:ascii="Arial" w:hAnsi="Arial" w:cs="Arial"/>
          <w:color w:val="000000" w:themeColor="text1"/>
        </w:rPr>
        <w:t xml:space="preserve"> </w:t>
      </w:r>
      <w:r w:rsidRPr="00B854A1">
        <w:rPr>
          <w:rFonts w:ascii="Arial" w:hAnsi="Arial" w:cs="Arial"/>
          <w:color w:val="000000" w:themeColor="text1"/>
        </w:rPr>
        <w:t xml:space="preserve">of patients with MPN can be </w:t>
      </w:r>
      <w:r w:rsidR="00877381" w:rsidRPr="00B854A1">
        <w:rPr>
          <w:rFonts w:ascii="Arial" w:hAnsi="Arial" w:cs="Arial"/>
          <w:color w:val="000000" w:themeColor="text1"/>
        </w:rPr>
        <w:t xml:space="preserve">distinguished </w:t>
      </w:r>
      <w:r w:rsidRPr="00B854A1">
        <w:rPr>
          <w:rFonts w:ascii="Arial" w:hAnsi="Arial" w:cs="Arial"/>
          <w:color w:val="000000" w:themeColor="text1"/>
        </w:rPr>
        <w:t xml:space="preserve">by the order of mutation acquisition between </w:t>
      </w:r>
      <w:r w:rsidR="00BB0E51" w:rsidRPr="00B854A1">
        <w:rPr>
          <w:rFonts w:ascii="Arial" w:hAnsi="Arial" w:cs="Arial"/>
          <w:color w:val="000000" w:themeColor="text1"/>
        </w:rPr>
        <w:t xml:space="preserve">the </w:t>
      </w:r>
      <w:r w:rsidRPr="00B854A1">
        <w:rPr>
          <w:rFonts w:ascii="Arial" w:hAnsi="Arial" w:cs="Arial"/>
          <w:i/>
          <w:color w:val="000000" w:themeColor="text1"/>
        </w:rPr>
        <w:t>TET2</w:t>
      </w:r>
      <w:r w:rsidRPr="00B854A1">
        <w:rPr>
          <w:rFonts w:ascii="Arial" w:hAnsi="Arial" w:cs="Arial"/>
          <w:color w:val="000000" w:themeColor="text1"/>
        </w:rPr>
        <w:t xml:space="preserve"> and </w:t>
      </w:r>
      <w:r w:rsidR="00D74765" w:rsidRPr="00B854A1">
        <w:rPr>
          <w:rFonts w:ascii="Arial" w:hAnsi="Arial" w:cs="Arial"/>
          <w:i/>
          <w:color w:val="000000" w:themeColor="text1"/>
        </w:rPr>
        <w:t>JAK2</w:t>
      </w:r>
      <w:r w:rsidRPr="00B854A1">
        <w:rPr>
          <w:rFonts w:ascii="Arial" w:hAnsi="Arial" w:cs="Arial"/>
          <w:color w:val="000000" w:themeColor="text1"/>
        </w:rPr>
        <w:t xml:space="preserve"> genes</w:t>
      </w:r>
      <w:r w:rsidR="006A4A89" w:rsidRPr="00B854A1">
        <w:rPr>
          <w:rFonts w:ascii="Arial" w:hAnsi="Arial" w:cs="Arial"/>
          <w:color w:val="000000" w:themeColor="text1"/>
        </w:rPr>
        <w:t>,</w:t>
      </w:r>
      <w:r w:rsidR="006947DD" w:rsidRPr="00B854A1">
        <w:rPr>
          <w:rFonts w:ascii="Arial" w:hAnsi="Arial" w:cs="Arial"/>
          <w:color w:val="000000" w:themeColor="text1"/>
        </w:rPr>
        <w:t xml:space="preserve"> and that these subpopulations have distinct clinical characteristics</w:t>
      </w:r>
      <w:r w:rsidRPr="00B854A1">
        <w:rPr>
          <w:rFonts w:ascii="Arial" w:hAnsi="Arial" w:cs="Arial"/>
          <w:color w:val="000000" w:themeColor="text1"/>
        </w:rPr>
        <w:t xml:space="preserve">. Further analyses of these cohorts show that patients with </w:t>
      </w:r>
      <w:r w:rsidRPr="00B854A1">
        <w:rPr>
          <w:rFonts w:ascii="Arial" w:hAnsi="Arial" w:cs="Arial"/>
          <w:i/>
          <w:color w:val="000000" w:themeColor="text1"/>
        </w:rPr>
        <w:t>JAK2</w:t>
      </w:r>
      <w:r w:rsidRPr="00B854A1">
        <w:rPr>
          <w:rFonts w:ascii="Arial" w:hAnsi="Arial" w:cs="Arial"/>
          <w:color w:val="000000" w:themeColor="text1"/>
        </w:rPr>
        <w:t xml:space="preserve"> mutated before </w:t>
      </w:r>
      <w:r w:rsidR="00D74765" w:rsidRPr="00B854A1">
        <w:rPr>
          <w:rFonts w:ascii="Arial" w:hAnsi="Arial" w:cs="Arial"/>
          <w:i/>
          <w:color w:val="000000" w:themeColor="text1"/>
        </w:rPr>
        <w:t>TET2</w:t>
      </w:r>
      <w:r w:rsidRPr="00B854A1">
        <w:rPr>
          <w:rFonts w:ascii="Arial" w:hAnsi="Arial" w:cs="Arial"/>
          <w:color w:val="000000" w:themeColor="text1"/>
        </w:rPr>
        <w:t xml:space="preserve"> are younger at presentation of the disease in clinics, are more likely to present</w:t>
      </w:r>
      <w:r w:rsidR="005923D8" w:rsidRPr="00B854A1">
        <w:rPr>
          <w:rFonts w:ascii="Arial" w:hAnsi="Arial" w:cs="Arial"/>
          <w:color w:val="000000" w:themeColor="text1"/>
        </w:rPr>
        <w:t xml:space="preserve"> with</w:t>
      </w:r>
      <w:r w:rsidRPr="00B854A1">
        <w:rPr>
          <w:rFonts w:ascii="Arial" w:hAnsi="Arial" w:cs="Arial"/>
          <w:color w:val="000000" w:themeColor="text1"/>
        </w:rPr>
        <w:t xml:space="preserve"> PV, have a higher risk of thrombosis</w:t>
      </w:r>
      <w:r w:rsidR="006A4A89" w:rsidRPr="00B854A1">
        <w:rPr>
          <w:rFonts w:ascii="Arial" w:hAnsi="Arial" w:cs="Arial"/>
          <w:color w:val="000000" w:themeColor="text1"/>
        </w:rPr>
        <w:t>,</w:t>
      </w:r>
      <w:r w:rsidRPr="00B854A1">
        <w:rPr>
          <w:rFonts w:ascii="Arial" w:hAnsi="Arial" w:cs="Arial"/>
          <w:color w:val="000000" w:themeColor="text1"/>
        </w:rPr>
        <w:t xml:space="preserve"> and respond better</w:t>
      </w:r>
      <w:r w:rsidR="008D4395" w:rsidRPr="00B854A1">
        <w:rPr>
          <w:rFonts w:ascii="Arial" w:hAnsi="Arial" w:cs="Arial"/>
          <w:color w:val="000000" w:themeColor="text1"/>
        </w:rPr>
        <w:t xml:space="preserve"> </w:t>
      </w:r>
      <w:r w:rsidRPr="00B854A1">
        <w:rPr>
          <w:rFonts w:ascii="Arial" w:hAnsi="Arial" w:cs="Arial"/>
          <w:color w:val="000000" w:themeColor="text1"/>
        </w:rPr>
        <w:t xml:space="preserve">to </w:t>
      </w:r>
      <w:r w:rsidR="00B245D3" w:rsidRPr="00B854A1">
        <w:rPr>
          <w:rFonts w:ascii="Arial" w:hAnsi="Arial" w:cs="Arial"/>
          <w:color w:val="000000" w:themeColor="text1"/>
        </w:rPr>
        <w:t>JAK2 inhibitor r</w:t>
      </w:r>
      <w:r w:rsidRPr="00B854A1">
        <w:rPr>
          <w:rFonts w:ascii="Arial" w:hAnsi="Arial" w:cs="Arial"/>
          <w:color w:val="000000" w:themeColor="text1"/>
        </w:rPr>
        <w:t xml:space="preserve">uxolitinib. However, the molecular interplay between both mutations within cancer cells </w:t>
      </w:r>
      <w:r w:rsidRPr="00B854A1">
        <w:rPr>
          <w:rFonts w:ascii="Arial" w:hAnsi="Arial" w:cs="Arial"/>
          <w:color w:val="000000" w:themeColor="text1"/>
        </w:rPr>
        <w:lastRenderedPageBreak/>
        <w:t>and how their order rather</w:t>
      </w:r>
      <w:r w:rsidR="0012369E" w:rsidRPr="00B854A1">
        <w:rPr>
          <w:rFonts w:ascii="Arial" w:hAnsi="Arial" w:cs="Arial"/>
          <w:color w:val="000000" w:themeColor="text1"/>
        </w:rPr>
        <w:t xml:space="preserve"> than</w:t>
      </w:r>
      <w:r w:rsidRPr="00B854A1">
        <w:rPr>
          <w:rFonts w:ascii="Arial" w:hAnsi="Arial" w:cs="Arial"/>
          <w:color w:val="000000" w:themeColor="text1"/>
        </w:rPr>
        <w:t xml:space="preserve"> their combination triggers dissimilar clinical characteristics have not been investigated.</w:t>
      </w:r>
    </w:p>
    <w:p w14:paraId="6CFBA0F8" w14:textId="77777777" w:rsidR="00E05E27" w:rsidRPr="00B854A1" w:rsidRDefault="00E05E27"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0C5B3625" w14:textId="2C3A8AE5" w:rsidR="00E05E27" w:rsidRPr="00B854A1" w:rsidRDefault="00E05E27"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Overexpression of a single homeobox gene, </w:t>
      </w:r>
      <w:r w:rsidRPr="00B854A1">
        <w:rPr>
          <w:rFonts w:ascii="Arial" w:hAnsi="Arial" w:cs="Arial"/>
          <w:i/>
          <w:color w:val="000000" w:themeColor="text1"/>
        </w:rPr>
        <w:t>HOXA9</w:t>
      </w:r>
      <w:r w:rsidRPr="00B854A1">
        <w:rPr>
          <w:rFonts w:ascii="Arial" w:hAnsi="Arial" w:cs="Arial"/>
          <w:color w:val="000000" w:themeColor="text1"/>
        </w:rPr>
        <w:t xml:space="preserve">, has been reported as sufficient to quickly induce myeloproliferation, gradually followed by AML progression after a period of time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BIB_bach2010leukemogenic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14</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Homeobox genes or HOX genes were first identified in the fruit fly </w:t>
      </w:r>
      <w:r w:rsidRPr="00B854A1">
        <w:rPr>
          <w:rFonts w:ascii="Arial" w:hAnsi="Arial" w:cs="Arial"/>
          <w:i/>
          <w:iCs/>
          <w:color w:val="000000" w:themeColor="text1"/>
        </w:rPr>
        <w:t>Drosophila melanogaster</w:t>
      </w:r>
      <w:r w:rsidRPr="00B854A1">
        <w:rPr>
          <w:rFonts w:ascii="Arial" w:hAnsi="Arial" w:cs="Arial"/>
          <w:color w:val="000000" w:themeColor="text1"/>
        </w:rPr>
        <w:t xml:space="preserve"> as essential regulators of early embryogenesis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BIB_lewis1978gene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15</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95033B" w:rsidRPr="00B854A1">
        <w:rPr>
          <w:rFonts w:ascii="Arial" w:hAnsi="Arial" w:cs="Arial"/>
          <w:color w:val="000000" w:themeColor="text1"/>
        </w:rPr>
        <w:t xml:space="preserve"> </w:t>
      </w:r>
      <w:r w:rsidRPr="00B854A1">
        <w:rPr>
          <w:rFonts w:ascii="Arial" w:hAnsi="Arial" w:cs="Arial"/>
          <w:color w:val="000000" w:themeColor="text1"/>
        </w:rPr>
        <w:t>and are thought to have a critical role in cancer development</w:t>
      </w:r>
      <w:r w:rsidR="00F31045"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BIB_bhatlekar2014hox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16</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95033B" w:rsidRPr="00B854A1">
        <w:rPr>
          <w:rFonts w:ascii="Arial" w:hAnsi="Arial" w:cs="Arial"/>
          <w:color w:val="000000" w:themeColor="text1"/>
        </w:rPr>
        <w:t xml:space="preserve">. </w:t>
      </w:r>
      <w:r w:rsidRPr="00B854A1">
        <w:rPr>
          <w:rFonts w:ascii="Arial" w:hAnsi="Arial" w:cs="Arial"/>
          <w:color w:val="000000" w:themeColor="text1"/>
        </w:rPr>
        <w:t xml:space="preserve">In the HOXA family, </w:t>
      </w:r>
      <w:r w:rsidRPr="00B854A1">
        <w:rPr>
          <w:rFonts w:ascii="Arial" w:hAnsi="Arial" w:cs="Arial"/>
          <w:i/>
          <w:color w:val="000000" w:themeColor="text1"/>
        </w:rPr>
        <w:t>HOXA9</w:t>
      </w:r>
      <w:r w:rsidRPr="00B854A1">
        <w:rPr>
          <w:rFonts w:ascii="Arial" w:hAnsi="Arial" w:cs="Arial"/>
          <w:color w:val="000000" w:themeColor="text1"/>
        </w:rPr>
        <w:t xml:space="preserve"> is the most described gene in literature </w:t>
      </w:r>
      <w:r w:rsidR="0012369E" w:rsidRPr="00B854A1">
        <w:rPr>
          <w:rFonts w:ascii="Arial" w:hAnsi="Arial" w:cs="Arial"/>
          <w:color w:val="000000" w:themeColor="text1"/>
        </w:rPr>
        <w:t xml:space="preserve">and </w:t>
      </w:r>
      <w:r w:rsidRPr="00B854A1">
        <w:rPr>
          <w:rFonts w:ascii="Arial" w:hAnsi="Arial" w:cs="Arial"/>
          <w:color w:val="000000" w:themeColor="text1"/>
        </w:rPr>
        <w:t xml:space="preserve">its expression was shown to be the single most highly correlating factor </w:t>
      </w:r>
      <w:r w:rsidR="00CF038F" w:rsidRPr="00B854A1">
        <w:rPr>
          <w:rFonts w:ascii="Arial" w:hAnsi="Arial" w:cs="Arial"/>
          <w:color w:val="000000" w:themeColor="text1"/>
        </w:rPr>
        <w:t>(</w:t>
      </w:r>
      <w:r w:rsidRPr="00B854A1">
        <w:rPr>
          <w:rFonts w:ascii="Arial" w:hAnsi="Arial" w:cs="Arial"/>
          <w:color w:val="000000" w:themeColor="text1"/>
        </w:rPr>
        <w:t>out of 6817 genes tested</w:t>
      </w:r>
      <w:r w:rsidR="00CF038F" w:rsidRPr="00B854A1">
        <w:rPr>
          <w:rFonts w:ascii="Arial" w:hAnsi="Arial" w:cs="Arial"/>
          <w:color w:val="000000" w:themeColor="text1"/>
        </w:rPr>
        <w:t>)</w:t>
      </w:r>
      <w:r w:rsidRPr="00B854A1">
        <w:rPr>
          <w:rFonts w:ascii="Arial" w:hAnsi="Arial" w:cs="Arial"/>
          <w:color w:val="000000" w:themeColor="text1"/>
        </w:rPr>
        <w:t xml:space="preserve"> for poor prognosis in AML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BIB_golub1999molecular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17</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The importance of </w:t>
      </w:r>
      <w:r w:rsidRPr="00B854A1">
        <w:rPr>
          <w:rFonts w:ascii="Arial" w:hAnsi="Arial" w:cs="Arial"/>
          <w:i/>
          <w:color w:val="000000" w:themeColor="text1"/>
        </w:rPr>
        <w:t>HOXA9</w:t>
      </w:r>
      <w:r w:rsidRPr="00B854A1">
        <w:rPr>
          <w:rFonts w:ascii="Arial" w:hAnsi="Arial" w:cs="Arial"/>
          <w:color w:val="000000" w:themeColor="text1"/>
        </w:rPr>
        <w:t xml:space="preserve"> in AML has been widely explored</w:t>
      </w:r>
      <w:r w:rsidR="0012369E" w:rsidRPr="00B854A1">
        <w:rPr>
          <w:rFonts w:ascii="Arial" w:hAnsi="Arial" w:cs="Arial"/>
          <w:color w:val="000000" w:themeColor="text1"/>
        </w:rPr>
        <w:t>; h</w:t>
      </w:r>
      <w:r w:rsidRPr="00B854A1">
        <w:rPr>
          <w:rFonts w:ascii="Arial" w:hAnsi="Arial" w:cs="Arial"/>
          <w:color w:val="000000" w:themeColor="text1"/>
        </w:rPr>
        <w:t xml:space="preserve">owever, this has mainly focused on specific AML subtypes such as MLL-rearranged </w:t>
      </w:r>
      <w:r w:rsidR="005E2ECF" w:rsidRPr="00B854A1">
        <w:rPr>
          <w:rFonts w:ascii="Arial" w:hAnsi="Arial" w:cs="Arial"/>
          <w:color w:val="000000" w:themeColor="text1"/>
        </w:rPr>
        <w:t>leukaemia</w:t>
      </w:r>
      <w:r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BIB_faber2009hoxa9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18</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and NUP98-</w:t>
      </w:r>
      <w:r w:rsidRPr="00B854A1">
        <w:rPr>
          <w:rFonts w:ascii="Arial" w:hAnsi="Arial" w:cs="Arial"/>
          <w:i/>
          <w:color w:val="000000" w:themeColor="text1"/>
        </w:rPr>
        <w:t>HOXA9</w:t>
      </w:r>
      <w:r w:rsidRPr="00B854A1">
        <w:rPr>
          <w:rFonts w:ascii="Arial" w:hAnsi="Arial" w:cs="Arial"/>
          <w:color w:val="000000" w:themeColor="text1"/>
        </w:rPr>
        <w:t xml:space="preserve"> induced </w:t>
      </w:r>
      <w:r w:rsidR="005E2ECF" w:rsidRPr="00B854A1">
        <w:rPr>
          <w:rFonts w:ascii="Arial" w:hAnsi="Arial" w:cs="Arial"/>
          <w:color w:val="000000" w:themeColor="text1"/>
        </w:rPr>
        <w:t>leukaemia</w:t>
      </w:r>
      <w:r w:rsidR="0095033B"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BIB_shima2017mll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19</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while its role in other blood malignancies such as MPN or other AML subtypes is poorly characterised. Recently, the oncogenic property of </w:t>
      </w:r>
      <w:r w:rsidRPr="00B854A1">
        <w:rPr>
          <w:rFonts w:ascii="Arial" w:hAnsi="Arial" w:cs="Arial"/>
          <w:i/>
          <w:color w:val="000000" w:themeColor="text1"/>
        </w:rPr>
        <w:t>HOXA9</w:t>
      </w:r>
      <w:r w:rsidRPr="00B854A1">
        <w:rPr>
          <w:rFonts w:ascii="Arial" w:hAnsi="Arial" w:cs="Arial"/>
          <w:color w:val="000000" w:themeColor="text1"/>
        </w:rPr>
        <w:t xml:space="preserve"> has been associated with its self-positive feedback loop in myeloid precursor cells as a result of its ability to bind its own promoter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BIB_zhong2018hoxa9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20</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95033B" w:rsidRPr="00B854A1">
        <w:rPr>
          <w:rFonts w:ascii="Arial" w:hAnsi="Arial" w:cs="Arial"/>
          <w:color w:val="000000" w:themeColor="text1"/>
        </w:rPr>
        <w:t xml:space="preserve">. </w:t>
      </w:r>
      <w:r w:rsidRPr="00B854A1">
        <w:rPr>
          <w:rFonts w:ascii="Arial" w:hAnsi="Arial" w:cs="Arial"/>
          <w:color w:val="000000" w:themeColor="text1"/>
        </w:rPr>
        <w:t>We hypothesise in this work that</w:t>
      </w:r>
      <w:r w:rsidR="006A4C37" w:rsidRPr="00B854A1">
        <w:rPr>
          <w:rFonts w:ascii="Arial" w:hAnsi="Arial" w:cs="Arial"/>
          <w:color w:val="000000" w:themeColor="text1"/>
        </w:rPr>
        <w:t>, as a consequence of the underlying gene network,</w:t>
      </w:r>
      <w:r w:rsidRPr="00B854A1">
        <w:rPr>
          <w:rFonts w:ascii="Arial" w:hAnsi="Arial" w:cs="Arial"/>
          <w:color w:val="000000" w:themeColor="text1"/>
        </w:rPr>
        <w:t xml:space="preserve"> </w:t>
      </w:r>
      <w:r w:rsidR="006A4C37" w:rsidRPr="00B854A1">
        <w:rPr>
          <w:rFonts w:ascii="Arial" w:hAnsi="Arial" w:cs="Arial"/>
          <w:color w:val="000000" w:themeColor="text1"/>
        </w:rPr>
        <w:t xml:space="preserve">the expression of </w:t>
      </w:r>
      <w:r w:rsidR="006A4C37" w:rsidRPr="00B854A1">
        <w:rPr>
          <w:rFonts w:ascii="Arial" w:hAnsi="Arial" w:cs="Arial"/>
          <w:i/>
          <w:iCs/>
          <w:color w:val="000000" w:themeColor="text1"/>
        </w:rPr>
        <w:t>HOXA9</w:t>
      </w:r>
      <w:r w:rsidRPr="00B854A1">
        <w:rPr>
          <w:rFonts w:ascii="Arial" w:hAnsi="Arial" w:cs="Arial"/>
          <w:color w:val="000000" w:themeColor="text1"/>
        </w:rPr>
        <w:t xml:space="preserve"> </w:t>
      </w:r>
      <w:r w:rsidR="006A4C37" w:rsidRPr="00B854A1">
        <w:rPr>
          <w:rFonts w:ascii="Arial" w:hAnsi="Arial" w:cs="Arial"/>
          <w:color w:val="000000" w:themeColor="text1"/>
        </w:rPr>
        <w:t>could be used to stratify</w:t>
      </w:r>
      <w:r w:rsidR="00BA5AE0" w:rsidRPr="00B854A1">
        <w:rPr>
          <w:rFonts w:ascii="Arial" w:hAnsi="Arial" w:cs="Arial"/>
          <w:color w:val="000000" w:themeColor="text1"/>
        </w:rPr>
        <w:t xml:space="preserve"> </w:t>
      </w:r>
      <w:r w:rsidRPr="00B854A1">
        <w:rPr>
          <w:rFonts w:ascii="Arial" w:hAnsi="Arial" w:cs="Arial"/>
          <w:color w:val="000000" w:themeColor="text1"/>
        </w:rPr>
        <w:t>patients</w:t>
      </w:r>
      <w:r w:rsidR="00DD1290" w:rsidRPr="00B854A1">
        <w:rPr>
          <w:rFonts w:ascii="Arial" w:hAnsi="Arial" w:cs="Arial"/>
          <w:color w:val="000000" w:themeColor="text1"/>
        </w:rPr>
        <w:t xml:space="preserve"> according to risk</w:t>
      </w:r>
      <w:r w:rsidRPr="00B854A1">
        <w:rPr>
          <w:rFonts w:ascii="Arial" w:hAnsi="Arial" w:cs="Arial"/>
          <w:color w:val="000000" w:themeColor="text1"/>
        </w:rPr>
        <w:t xml:space="preserve"> with blood cancers affecting the myeloid lineage.</w:t>
      </w:r>
    </w:p>
    <w:p w14:paraId="2238DA39" w14:textId="77777777" w:rsidR="00E05E27" w:rsidRPr="00B854A1" w:rsidRDefault="00E05E27"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0E0C5857" w14:textId="25BDE604" w:rsidR="007A1406" w:rsidRPr="00C160A8" w:rsidRDefault="0070500F" w:rsidP="00C160A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2C6F32">
        <w:rPr>
          <w:rFonts w:ascii="Arial" w:hAnsi="Arial" w:cs="Arial"/>
          <w:color w:val="000000" w:themeColor="text1"/>
        </w:rPr>
        <w:t xml:space="preserve">In this study, we define a switch as a molecule that has the ability to self-sustain a positive feedback loop. </w:t>
      </w:r>
      <w:r w:rsidR="00E05E27" w:rsidRPr="002C6F32">
        <w:rPr>
          <w:rFonts w:ascii="Arial" w:hAnsi="Arial" w:cs="Arial"/>
          <w:color w:val="000000" w:themeColor="text1"/>
        </w:rPr>
        <w:t xml:space="preserve">Using public </w:t>
      </w:r>
      <w:r w:rsidR="00E05E27" w:rsidRPr="002C6F32">
        <w:rPr>
          <w:rFonts w:ascii="Arial" w:hAnsi="Arial" w:cs="Arial"/>
          <w:color w:val="000000" w:themeColor="text1"/>
        </w:rPr>
        <w:lastRenderedPageBreak/>
        <w:t>datasets from AML patients and MPN studies</w:t>
      </w:r>
      <w:r w:rsidR="00E05E27" w:rsidRPr="00B854A1">
        <w:rPr>
          <w:rFonts w:ascii="Arial" w:hAnsi="Arial" w:cs="Arial"/>
          <w:color w:val="000000" w:themeColor="text1"/>
        </w:rPr>
        <w:t xml:space="preserve">, we </w:t>
      </w:r>
      <w:r w:rsidR="006770F2" w:rsidRPr="00B854A1">
        <w:rPr>
          <w:rFonts w:ascii="Arial" w:hAnsi="Arial" w:cs="Arial"/>
          <w:color w:val="000000" w:themeColor="text1"/>
        </w:rPr>
        <w:t xml:space="preserve">show that bimodal </w:t>
      </w:r>
      <w:r w:rsidR="006770F2" w:rsidRPr="00B854A1">
        <w:rPr>
          <w:rFonts w:ascii="Arial" w:hAnsi="Arial" w:cs="Arial"/>
          <w:i/>
          <w:iCs/>
          <w:color w:val="000000" w:themeColor="text1"/>
        </w:rPr>
        <w:t>HOXA9</w:t>
      </w:r>
      <w:r w:rsidR="006770F2" w:rsidRPr="00B854A1">
        <w:rPr>
          <w:rFonts w:ascii="Arial" w:hAnsi="Arial" w:cs="Arial"/>
          <w:color w:val="000000" w:themeColor="text1"/>
        </w:rPr>
        <w:t xml:space="preserve"> expression identifies </w:t>
      </w:r>
      <w:r w:rsidR="00E05E27" w:rsidRPr="00B854A1">
        <w:rPr>
          <w:rFonts w:ascii="Arial" w:hAnsi="Arial" w:cs="Arial"/>
          <w:color w:val="000000" w:themeColor="text1"/>
        </w:rPr>
        <w:t>two distinct cohorts of patients/mice</w:t>
      </w:r>
      <w:r w:rsidR="006770F2" w:rsidRPr="00B854A1">
        <w:rPr>
          <w:rFonts w:ascii="Arial" w:hAnsi="Arial" w:cs="Arial"/>
          <w:color w:val="000000" w:themeColor="text1"/>
        </w:rPr>
        <w:t xml:space="preserve">, reflecting the </w:t>
      </w:r>
      <w:r w:rsidR="003817E2" w:rsidRPr="00B854A1">
        <w:rPr>
          <w:rFonts w:ascii="Arial" w:hAnsi="Arial" w:cs="Arial"/>
          <w:color w:val="000000" w:themeColor="text1"/>
        </w:rPr>
        <w:t xml:space="preserve">gene </w:t>
      </w:r>
      <w:r w:rsidR="006770F2" w:rsidRPr="00B854A1">
        <w:rPr>
          <w:rFonts w:ascii="Arial" w:hAnsi="Arial" w:cs="Arial"/>
          <w:color w:val="000000" w:themeColor="text1"/>
        </w:rPr>
        <w:t xml:space="preserve">acting as a </w:t>
      </w:r>
      <w:r w:rsidR="00B00ABF" w:rsidRPr="00B854A1">
        <w:rPr>
          <w:rFonts w:ascii="Arial" w:hAnsi="Arial" w:cs="Arial"/>
          <w:color w:val="000000" w:themeColor="text1"/>
        </w:rPr>
        <w:t xml:space="preserve">binary </w:t>
      </w:r>
      <w:r w:rsidR="006770F2" w:rsidRPr="00B854A1">
        <w:rPr>
          <w:rFonts w:ascii="Arial" w:hAnsi="Arial" w:cs="Arial"/>
          <w:color w:val="000000" w:themeColor="text1"/>
        </w:rPr>
        <w:t>switch in the cell</w:t>
      </w:r>
      <w:r w:rsidR="00E05E27" w:rsidRPr="00B854A1">
        <w:rPr>
          <w:rFonts w:ascii="Arial" w:hAnsi="Arial" w:cs="Arial"/>
          <w:color w:val="000000" w:themeColor="text1"/>
        </w:rPr>
        <w:t>.</w:t>
      </w:r>
      <w:r>
        <w:rPr>
          <w:rFonts w:ascii="Arial" w:hAnsi="Arial" w:cs="Arial"/>
          <w:color w:val="000000" w:themeColor="text1"/>
        </w:rPr>
        <w:t xml:space="preserve"> </w:t>
      </w:r>
      <w:r w:rsidR="00EA5D59" w:rsidRPr="00B854A1">
        <w:rPr>
          <w:rFonts w:ascii="Arial" w:hAnsi="Arial" w:cs="Arial"/>
          <w:color w:val="000000" w:themeColor="text1"/>
        </w:rPr>
        <w:t>First</w:t>
      </w:r>
      <w:r w:rsidR="00FA22D2" w:rsidRPr="00B854A1">
        <w:rPr>
          <w:rFonts w:ascii="Arial" w:hAnsi="Arial" w:cs="Arial"/>
          <w:color w:val="000000" w:themeColor="text1"/>
        </w:rPr>
        <w:t>ly</w:t>
      </w:r>
      <w:r w:rsidR="00EA5D59" w:rsidRPr="00B854A1">
        <w:rPr>
          <w:rFonts w:ascii="Arial" w:hAnsi="Arial" w:cs="Arial"/>
          <w:color w:val="000000" w:themeColor="text1"/>
        </w:rPr>
        <w:t xml:space="preserve">, </w:t>
      </w:r>
      <w:r w:rsidR="00EA5D59" w:rsidRPr="00B854A1">
        <w:rPr>
          <w:rFonts w:ascii="Arial" w:hAnsi="Arial" w:cs="Arial"/>
          <w:i/>
          <w:color w:val="000000" w:themeColor="text1"/>
        </w:rPr>
        <w:t>HOXA9</w:t>
      </w:r>
      <w:r w:rsidR="00EA5D59" w:rsidRPr="00B854A1">
        <w:rPr>
          <w:rFonts w:ascii="Arial" w:hAnsi="Arial" w:cs="Arial"/>
          <w:color w:val="000000" w:themeColor="text1"/>
        </w:rPr>
        <w:t xml:space="preserve"> bimodal expression</w:t>
      </w:r>
      <w:r w:rsidR="00754246" w:rsidRPr="00B854A1">
        <w:rPr>
          <w:rFonts w:ascii="Arial" w:hAnsi="Arial" w:cs="Arial"/>
          <w:color w:val="000000" w:themeColor="text1"/>
        </w:rPr>
        <w:t xml:space="preserve"> in AML</w:t>
      </w:r>
      <w:r w:rsidR="00EA5D59" w:rsidRPr="00B854A1">
        <w:rPr>
          <w:rFonts w:ascii="Arial" w:hAnsi="Arial" w:cs="Arial"/>
          <w:color w:val="000000" w:themeColor="text1"/>
        </w:rPr>
        <w:t xml:space="preserve"> </w:t>
      </w:r>
      <w:r w:rsidR="00BA5AE0" w:rsidRPr="00B854A1">
        <w:rPr>
          <w:rFonts w:ascii="Arial" w:hAnsi="Arial" w:cs="Arial"/>
          <w:color w:val="000000" w:themeColor="text1"/>
        </w:rPr>
        <w:t>is associated with</w:t>
      </w:r>
      <w:r w:rsidR="00EA5D59" w:rsidRPr="00B854A1">
        <w:rPr>
          <w:rFonts w:ascii="Arial" w:hAnsi="Arial" w:cs="Arial"/>
          <w:color w:val="000000" w:themeColor="text1"/>
        </w:rPr>
        <w:t xml:space="preserve"> clinical features</w:t>
      </w:r>
      <w:r w:rsidR="00E94F77" w:rsidRPr="00B854A1">
        <w:rPr>
          <w:rFonts w:ascii="Arial" w:hAnsi="Arial" w:cs="Arial"/>
          <w:color w:val="000000" w:themeColor="text1"/>
        </w:rPr>
        <w:t>,</w:t>
      </w:r>
      <w:r w:rsidR="00EA5D59" w:rsidRPr="00B854A1">
        <w:rPr>
          <w:rFonts w:ascii="Arial" w:hAnsi="Arial" w:cs="Arial"/>
          <w:color w:val="000000" w:themeColor="text1"/>
        </w:rPr>
        <w:t xml:space="preserve"> such as age and white blood cell counts</w:t>
      </w:r>
      <w:r w:rsidR="005E4346" w:rsidRPr="00B854A1">
        <w:rPr>
          <w:rFonts w:ascii="Arial" w:hAnsi="Arial" w:cs="Arial"/>
          <w:color w:val="000000" w:themeColor="text1"/>
        </w:rPr>
        <w:t>,</w:t>
      </w:r>
      <w:r w:rsidR="00930A99" w:rsidRPr="00B854A1">
        <w:rPr>
          <w:rFonts w:ascii="Arial" w:hAnsi="Arial" w:cs="Arial"/>
          <w:color w:val="000000" w:themeColor="text1"/>
        </w:rPr>
        <w:t xml:space="preserve"> </w:t>
      </w:r>
      <w:r w:rsidR="005E4346" w:rsidRPr="00B854A1">
        <w:rPr>
          <w:rFonts w:ascii="Arial" w:hAnsi="Arial" w:cs="Arial"/>
          <w:color w:val="000000" w:themeColor="text1"/>
        </w:rPr>
        <w:t xml:space="preserve">but also patient classification </w:t>
      </w:r>
      <w:r w:rsidR="00EA5D59" w:rsidRPr="00B854A1">
        <w:rPr>
          <w:rFonts w:ascii="Arial" w:hAnsi="Arial" w:cs="Arial"/>
          <w:color w:val="000000" w:themeColor="text1"/>
        </w:rPr>
        <w:t>into specific</w:t>
      </w:r>
      <w:r w:rsidR="00C4218B" w:rsidRPr="00B854A1">
        <w:rPr>
          <w:rFonts w:ascii="Arial" w:hAnsi="Arial" w:cs="Arial"/>
          <w:color w:val="000000" w:themeColor="text1"/>
        </w:rPr>
        <w:t xml:space="preserve"> French-American-British</w:t>
      </w:r>
      <w:r w:rsidR="00EA5D59" w:rsidRPr="00B854A1">
        <w:rPr>
          <w:rFonts w:ascii="Arial" w:hAnsi="Arial" w:cs="Arial"/>
          <w:color w:val="000000" w:themeColor="text1"/>
        </w:rPr>
        <w:t xml:space="preserve"> </w:t>
      </w:r>
      <w:r w:rsidR="00C4218B" w:rsidRPr="00B854A1">
        <w:rPr>
          <w:rFonts w:ascii="Arial" w:hAnsi="Arial" w:cs="Arial"/>
          <w:color w:val="000000" w:themeColor="text1"/>
        </w:rPr>
        <w:t>(</w:t>
      </w:r>
      <w:r w:rsidR="00EA5D59" w:rsidRPr="00B854A1">
        <w:rPr>
          <w:rFonts w:ascii="Arial" w:hAnsi="Arial" w:cs="Arial"/>
          <w:color w:val="000000" w:themeColor="text1"/>
        </w:rPr>
        <w:t>FAB</w:t>
      </w:r>
      <w:r w:rsidR="00C4218B" w:rsidRPr="00B854A1">
        <w:rPr>
          <w:rFonts w:ascii="Arial" w:hAnsi="Arial" w:cs="Arial"/>
          <w:color w:val="000000" w:themeColor="text1"/>
        </w:rPr>
        <w:t>)</w:t>
      </w:r>
      <w:r w:rsidR="00EA5D59" w:rsidRPr="00B854A1">
        <w:rPr>
          <w:rFonts w:ascii="Arial" w:hAnsi="Arial" w:cs="Arial"/>
          <w:color w:val="000000" w:themeColor="text1"/>
        </w:rPr>
        <w:t xml:space="preserve"> or molecular subtypes</w:t>
      </w:r>
      <w:r w:rsidR="00603C34" w:rsidRPr="00B854A1">
        <w:rPr>
          <w:rFonts w:ascii="Arial" w:hAnsi="Arial" w:cs="Arial"/>
          <w:color w:val="000000" w:themeColor="text1"/>
        </w:rPr>
        <w:t xml:space="preserve">. </w:t>
      </w:r>
      <w:r w:rsidR="00FA22D2" w:rsidRPr="00B854A1">
        <w:rPr>
          <w:rFonts w:ascii="Arial" w:hAnsi="Arial" w:cs="Arial"/>
          <w:color w:val="000000" w:themeColor="text1"/>
        </w:rPr>
        <w:t>Secondly</w:t>
      </w:r>
      <w:r w:rsidR="00EA5D59" w:rsidRPr="00B854A1">
        <w:rPr>
          <w:rFonts w:ascii="Arial" w:hAnsi="Arial" w:cs="Arial"/>
          <w:color w:val="000000" w:themeColor="text1"/>
        </w:rPr>
        <w:t>, w</w:t>
      </w:r>
      <w:r w:rsidR="00E05E27" w:rsidRPr="00B854A1">
        <w:rPr>
          <w:rFonts w:ascii="Arial" w:hAnsi="Arial" w:cs="Arial"/>
          <w:color w:val="000000" w:themeColor="text1"/>
        </w:rPr>
        <w:t xml:space="preserve">e design a </w:t>
      </w:r>
      <w:r w:rsidR="003F4618" w:rsidRPr="00B854A1">
        <w:rPr>
          <w:rFonts w:ascii="Arial" w:hAnsi="Arial" w:cs="Arial"/>
          <w:color w:val="000000" w:themeColor="text1"/>
        </w:rPr>
        <w:t xml:space="preserve">computational </w:t>
      </w:r>
      <w:r w:rsidR="00E05E27" w:rsidRPr="00B854A1">
        <w:rPr>
          <w:rFonts w:ascii="Arial" w:hAnsi="Arial" w:cs="Arial"/>
          <w:color w:val="000000" w:themeColor="text1"/>
        </w:rPr>
        <w:t xml:space="preserve">network model </w:t>
      </w:r>
      <w:r w:rsidR="00917EAD" w:rsidRPr="00B854A1">
        <w:rPr>
          <w:rFonts w:ascii="Arial" w:hAnsi="Arial" w:cs="Arial"/>
          <w:color w:val="000000" w:themeColor="text1"/>
        </w:rPr>
        <w:t xml:space="preserve">that offers a mechanistic explanation of the distinct clinical features </w:t>
      </w:r>
      <w:r w:rsidR="007968AC" w:rsidRPr="00B854A1">
        <w:rPr>
          <w:rFonts w:ascii="Arial" w:hAnsi="Arial" w:cs="Arial"/>
          <w:color w:val="000000" w:themeColor="text1"/>
        </w:rPr>
        <w:t xml:space="preserve">of </w:t>
      </w:r>
      <w:r w:rsidR="00E05E27" w:rsidRPr="00B854A1">
        <w:rPr>
          <w:rFonts w:ascii="Arial" w:hAnsi="Arial" w:cs="Arial"/>
          <w:color w:val="000000" w:themeColor="text1"/>
        </w:rPr>
        <w:t xml:space="preserve">MPN progression in patients with </w:t>
      </w:r>
      <w:r w:rsidR="00917EAD" w:rsidRPr="00B854A1">
        <w:rPr>
          <w:rFonts w:ascii="Arial" w:hAnsi="Arial" w:cs="Arial"/>
          <w:color w:val="000000" w:themeColor="text1"/>
        </w:rPr>
        <w:t xml:space="preserve">different </w:t>
      </w:r>
      <w:r w:rsidR="00512110" w:rsidRPr="00B854A1">
        <w:rPr>
          <w:rFonts w:ascii="Arial" w:hAnsi="Arial" w:cs="Arial"/>
          <w:color w:val="000000" w:themeColor="text1"/>
        </w:rPr>
        <w:t xml:space="preserve">orders of </w:t>
      </w:r>
      <w:r w:rsidR="00D74765" w:rsidRPr="00B854A1">
        <w:rPr>
          <w:rFonts w:ascii="Arial" w:hAnsi="Arial" w:cs="Arial"/>
          <w:i/>
          <w:color w:val="000000" w:themeColor="text1"/>
        </w:rPr>
        <w:t>JAK2</w:t>
      </w:r>
      <w:r w:rsidR="00E05E27" w:rsidRPr="00B854A1">
        <w:rPr>
          <w:rFonts w:ascii="Arial" w:hAnsi="Arial" w:cs="Arial"/>
          <w:color w:val="000000" w:themeColor="text1"/>
        </w:rPr>
        <w:t xml:space="preserve"> and </w:t>
      </w:r>
      <w:r w:rsidR="00D74765" w:rsidRPr="00B854A1">
        <w:rPr>
          <w:rFonts w:ascii="Arial" w:hAnsi="Arial" w:cs="Arial"/>
          <w:i/>
          <w:color w:val="000000" w:themeColor="text1"/>
        </w:rPr>
        <w:t>TET2</w:t>
      </w:r>
      <w:r w:rsidR="00E05E27" w:rsidRPr="00B854A1">
        <w:rPr>
          <w:rFonts w:ascii="Arial" w:hAnsi="Arial" w:cs="Arial"/>
          <w:color w:val="000000" w:themeColor="text1"/>
        </w:rPr>
        <w:t xml:space="preserve"> mutations</w:t>
      </w:r>
      <w:r w:rsidR="000E5EF7">
        <w:rPr>
          <w:rFonts w:ascii="Arial" w:hAnsi="Arial" w:cs="Arial"/>
          <w:color w:val="000000" w:themeColor="text1"/>
        </w:rPr>
        <w:t xml:space="preserve"> (</w:t>
      </w:r>
      <w:r w:rsidR="000E5EF7" w:rsidRPr="000E5EF7">
        <w:rPr>
          <w:rFonts w:ascii="Arial" w:hAnsi="Arial" w:cs="Arial"/>
          <w:color w:val="70AD47" w:themeColor="accent6"/>
        </w:rPr>
        <w:t>Figure 1</w:t>
      </w:r>
      <w:r w:rsidR="000E5EF7">
        <w:rPr>
          <w:rFonts w:ascii="Arial" w:hAnsi="Arial" w:cs="Arial"/>
          <w:color w:val="000000" w:themeColor="text1"/>
        </w:rPr>
        <w:t>)</w:t>
      </w:r>
      <w:r w:rsidR="00E05E27" w:rsidRPr="00B854A1">
        <w:rPr>
          <w:rFonts w:ascii="Arial" w:hAnsi="Arial" w:cs="Arial"/>
          <w:color w:val="000000" w:themeColor="text1"/>
        </w:rPr>
        <w:t xml:space="preserve">. </w:t>
      </w:r>
      <w:r w:rsidR="00F4079E" w:rsidRPr="00B854A1">
        <w:rPr>
          <w:rFonts w:ascii="Arial" w:hAnsi="Arial" w:cs="Arial"/>
          <w:color w:val="000000" w:themeColor="text1"/>
        </w:rPr>
        <w:t>Using our</w:t>
      </w:r>
      <w:r w:rsidR="000A5D39" w:rsidRPr="00B854A1">
        <w:rPr>
          <w:rFonts w:ascii="Arial" w:hAnsi="Arial" w:cs="Arial"/>
          <w:color w:val="000000" w:themeColor="text1"/>
        </w:rPr>
        <w:t xml:space="preserve"> computational model</w:t>
      </w:r>
      <w:r w:rsidR="00E17CCE">
        <w:rPr>
          <w:rFonts w:ascii="Arial" w:hAnsi="Arial" w:cs="Arial"/>
          <w:color w:val="000000" w:themeColor="text1"/>
        </w:rPr>
        <w:t xml:space="preserve"> and </w:t>
      </w:r>
      <w:r w:rsidR="00E17CCE" w:rsidRPr="00E17CCE">
        <w:rPr>
          <w:rFonts w:ascii="Arial" w:hAnsi="Arial" w:cs="Arial"/>
          <w:color w:val="70AD47" w:themeColor="accent6"/>
        </w:rPr>
        <w:t>experimental validation</w:t>
      </w:r>
      <w:r w:rsidR="00BA5AE0" w:rsidRPr="00B854A1">
        <w:rPr>
          <w:rFonts w:ascii="Arial" w:hAnsi="Arial" w:cs="Arial"/>
          <w:color w:val="000000" w:themeColor="text1"/>
        </w:rPr>
        <w:t>, we</w:t>
      </w:r>
      <w:r w:rsidR="000A5D39" w:rsidRPr="00B854A1">
        <w:rPr>
          <w:rFonts w:ascii="Arial" w:hAnsi="Arial" w:cs="Arial"/>
          <w:color w:val="000000" w:themeColor="text1"/>
        </w:rPr>
        <w:t xml:space="preserve"> </w:t>
      </w:r>
      <w:r w:rsidR="00F4079E" w:rsidRPr="00B854A1">
        <w:rPr>
          <w:rFonts w:ascii="Arial" w:hAnsi="Arial" w:cs="Arial"/>
          <w:color w:val="000000" w:themeColor="text1"/>
        </w:rPr>
        <w:t>argue</w:t>
      </w:r>
      <w:r w:rsidR="000A5D39" w:rsidRPr="00B854A1">
        <w:rPr>
          <w:rFonts w:ascii="Arial" w:hAnsi="Arial" w:cs="Arial"/>
          <w:color w:val="000000" w:themeColor="text1"/>
        </w:rPr>
        <w:t xml:space="preserve"> that </w:t>
      </w:r>
      <w:r w:rsidR="000A5D39" w:rsidRPr="007B6077">
        <w:rPr>
          <w:rFonts w:ascii="Arial" w:hAnsi="Arial" w:cs="Arial"/>
          <w:i/>
          <w:iCs/>
          <w:color w:val="000000" w:themeColor="text1"/>
        </w:rPr>
        <w:t>HOXA9</w:t>
      </w:r>
      <w:r w:rsidR="000A5D39" w:rsidRPr="00B854A1">
        <w:rPr>
          <w:rFonts w:ascii="Arial" w:hAnsi="Arial" w:cs="Arial"/>
          <w:color w:val="000000" w:themeColor="text1"/>
        </w:rPr>
        <w:t xml:space="preserve"> is downstream of </w:t>
      </w:r>
      <w:r w:rsidR="000A5D39" w:rsidRPr="007B6077">
        <w:rPr>
          <w:rFonts w:ascii="Arial" w:hAnsi="Arial" w:cs="Arial"/>
          <w:i/>
          <w:iCs/>
          <w:color w:val="000000" w:themeColor="text1"/>
        </w:rPr>
        <w:t>JAK2</w:t>
      </w:r>
      <w:r w:rsidR="000A5D39" w:rsidRPr="00B854A1">
        <w:rPr>
          <w:rFonts w:ascii="Arial" w:hAnsi="Arial" w:cs="Arial"/>
          <w:color w:val="000000" w:themeColor="text1"/>
        </w:rPr>
        <w:t xml:space="preserve"> and </w:t>
      </w:r>
      <w:r w:rsidR="000A5D39" w:rsidRPr="007B6077">
        <w:rPr>
          <w:rFonts w:ascii="Arial" w:hAnsi="Arial" w:cs="Arial"/>
          <w:i/>
          <w:iCs/>
          <w:color w:val="000000" w:themeColor="text1"/>
        </w:rPr>
        <w:t>TET2</w:t>
      </w:r>
      <w:r w:rsidR="000A5D39" w:rsidRPr="00B854A1">
        <w:rPr>
          <w:rFonts w:ascii="Arial" w:hAnsi="Arial" w:cs="Arial"/>
          <w:color w:val="000000" w:themeColor="text1"/>
        </w:rPr>
        <w:t xml:space="preserve"> and effectively stores their mutational history. This </w:t>
      </w:r>
      <w:r w:rsidR="00FA22D2" w:rsidRPr="00B854A1">
        <w:rPr>
          <w:rFonts w:ascii="Arial" w:hAnsi="Arial" w:cs="Arial"/>
          <w:color w:val="000000" w:themeColor="text1"/>
        </w:rPr>
        <w:t>“</w:t>
      </w:r>
      <w:r w:rsidR="000A5D39" w:rsidRPr="00B854A1">
        <w:rPr>
          <w:rFonts w:ascii="Arial" w:hAnsi="Arial" w:cs="Arial"/>
          <w:color w:val="000000" w:themeColor="text1"/>
        </w:rPr>
        <w:t>memory</w:t>
      </w:r>
      <w:r w:rsidR="00FA22D2" w:rsidRPr="00B854A1">
        <w:rPr>
          <w:rFonts w:ascii="Arial" w:hAnsi="Arial" w:cs="Arial"/>
          <w:color w:val="000000" w:themeColor="text1"/>
        </w:rPr>
        <w:t>”</w:t>
      </w:r>
      <w:r w:rsidR="000A5D39" w:rsidRPr="00B854A1">
        <w:rPr>
          <w:rFonts w:ascii="Arial" w:hAnsi="Arial" w:cs="Arial"/>
          <w:color w:val="000000" w:themeColor="text1"/>
        </w:rPr>
        <w:t xml:space="preserve"> property of HOXA9 is induced by the presence of its self-activation, captured by a positive feedback loop in our model. This results in a phenotypic switch in double mutant cells </w:t>
      </w:r>
      <w:r w:rsidR="009F6427" w:rsidRPr="00B854A1">
        <w:rPr>
          <w:rFonts w:ascii="Arial" w:hAnsi="Arial" w:cs="Arial"/>
          <w:color w:val="000000" w:themeColor="text1"/>
        </w:rPr>
        <w:t>with different</w:t>
      </w:r>
      <w:r w:rsidR="000A5D39" w:rsidRPr="00B854A1">
        <w:rPr>
          <w:rFonts w:ascii="Arial" w:hAnsi="Arial" w:cs="Arial"/>
          <w:color w:val="000000" w:themeColor="text1"/>
        </w:rPr>
        <w:t xml:space="preserve"> mutation order</w:t>
      </w:r>
      <w:r w:rsidR="009F6427" w:rsidRPr="00B854A1">
        <w:rPr>
          <w:rFonts w:ascii="Arial" w:hAnsi="Arial" w:cs="Arial"/>
          <w:color w:val="000000" w:themeColor="text1"/>
        </w:rPr>
        <w:t>s</w:t>
      </w:r>
      <w:r w:rsidR="000A5D39" w:rsidRPr="00B854A1">
        <w:rPr>
          <w:rFonts w:ascii="Arial" w:hAnsi="Arial" w:cs="Arial"/>
          <w:color w:val="000000" w:themeColor="text1"/>
        </w:rPr>
        <w:t xml:space="preserve"> producing distinct subtypes of the disease. </w:t>
      </w:r>
      <w:r w:rsidR="00EA5D59" w:rsidRPr="00B854A1">
        <w:rPr>
          <w:rFonts w:ascii="Arial" w:hAnsi="Arial" w:cs="Arial"/>
          <w:color w:val="000000" w:themeColor="text1"/>
        </w:rPr>
        <w:t>Finally,</w:t>
      </w:r>
      <w:r w:rsidR="00E05E27" w:rsidRPr="00B854A1">
        <w:rPr>
          <w:rFonts w:ascii="Arial" w:hAnsi="Arial" w:cs="Arial"/>
          <w:color w:val="000000" w:themeColor="text1"/>
        </w:rPr>
        <w:t xml:space="preserve"> </w:t>
      </w:r>
      <w:r w:rsidR="00EA5D59" w:rsidRPr="00B854A1">
        <w:rPr>
          <w:rFonts w:ascii="Arial" w:hAnsi="Arial" w:cs="Arial"/>
          <w:color w:val="000000" w:themeColor="text1"/>
        </w:rPr>
        <w:t>t</w:t>
      </w:r>
      <w:r w:rsidR="00E05E27" w:rsidRPr="00B854A1">
        <w:rPr>
          <w:rFonts w:ascii="Arial" w:hAnsi="Arial" w:cs="Arial"/>
          <w:color w:val="000000" w:themeColor="text1"/>
        </w:rPr>
        <w:t xml:space="preserve">he network </w:t>
      </w:r>
      <w:r w:rsidR="003F4618" w:rsidRPr="00B854A1">
        <w:rPr>
          <w:rFonts w:ascii="Arial" w:hAnsi="Arial" w:cs="Arial"/>
          <w:color w:val="000000" w:themeColor="text1"/>
        </w:rPr>
        <w:t xml:space="preserve">model </w:t>
      </w:r>
      <w:r w:rsidR="00E05E27" w:rsidRPr="00B854A1">
        <w:rPr>
          <w:rFonts w:ascii="Arial" w:hAnsi="Arial" w:cs="Arial"/>
          <w:color w:val="000000" w:themeColor="text1"/>
        </w:rPr>
        <w:t>also predicts a suppressive role for the NOTCH pathway in MPN and a</w:t>
      </w:r>
      <w:r w:rsidR="00A005C5">
        <w:rPr>
          <w:rFonts w:ascii="Arial" w:hAnsi="Arial" w:cs="Arial"/>
          <w:color w:val="000000" w:themeColor="text1"/>
        </w:rPr>
        <w:t>n</w:t>
      </w:r>
      <w:r w:rsidR="00E05E27" w:rsidRPr="00B854A1">
        <w:rPr>
          <w:rFonts w:ascii="Arial" w:hAnsi="Arial" w:cs="Arial"/>
          <w:color w:val="000000" w:themeColor="text1"/>
        </w:rPr>
        <w:t xml:space="preserve"> interaction between </w:t>
      </w:r>
      <w:r w:rsidR="00E05E27" w:rsidRPr="00B854A1">
        <w:rPr>
          <w:rFonts w:ascii="Arial" w:hAnsi="Arial" w:cs="Arial"/>
          <w:i/>
          <w:color w:val="000000" w:themeColor="text1"/>
        </w:rPr>
        <w:t>RUNX1</w:t>
      </w:r>
      <w:r w:rsidR="00E05E27" w:rsidRPr="00B854A1">
        <w:rPr>
          <w:rFonts w:ascii="Arial" w:hAnsi="Arial" w:cs="Arial"/>
          <w:color w:val="000000" w:themeColor="text1"/>
        </w:rPr>
        <w:t xml:space="preserve"> and </w:t>
      </w:r>
      <w:r w:rsidR="00E05E27" w:rsidRPr="00B854A1">
        <w:rPr>
          <w:rFonts w:ascii="Arial" w:hAnsi="Arial" w:cs="Arial"/>
          <w:i/>
          <w:color w:val="000000" w:themeColor="text1"/>
        </w:rPr>
        <w:t>MYB</w:t>
      </w:r>
      <w:r w:rsidR="00E05E27" w:rsidRPr="00B854A1">
        <w:rPr>
          <w:rFonts w:ascii="Arial" w:hAnsi="Arial" w:cs="Arial"/>
          <w:color w:val="000000" w:themeColor="text1"/>
        </w:rPr>
        <w:t xml:space="preserve">. </w:t>
      </w:r>
      <w:r w:rsidR="00CD423A" w:rsidRPr="00B854A1">
        <w:rPr>
          <w:rFonts w:ascii="Arial" w:hAnsi="Arial" w:cs="Arial"/>
          <w:b/>
          <w:color w:val="000000" w:themeColor="text1"/>
        </w:rPr>
        <w:br w:type="page"/>
      </w:r>
    </w:p>
    <w:p w14:paraId="6984454A" w14:textId="77777777" w:rsidR="007A1406" w:rsidRDefault="007A1406" w:rsidP="00DB48C8">
      <w:pPr>
        <w:keepNext/>
        <w:pBdr>
          <w:top w:val="nil"/>
          <w:left w:val="nil"/>
          <w:bottom w:val="nil"/>
          <w:right w:val="nil"/>
          <w:between w:val="nil"/>
        </w:pBdr>
        <w:spacing w:before="240" w:after="60" w:line="480" w:lineRule="auto"/>
        <w:jc w:val="both"/>
        <w:rPr>
          <w:rFonts w:ascii="Arial" w:hAnsi="Arial" w:cs="Arial"/>
          <w:b/>
          <w:color w:val="000000" w:themeColor="text1"/>
        </w:rPr>
      </w:pPr>
    </w:p>
    <w:p w14:paraId="2B121EED" w14:textId="36515706" w:rsidR="005B208E" w:rsidRPr="00B854A1" w:rsidRDefault="005B208E" w:rsidP="00DB48C8">
      <w:pPr>
        <w:keepNext/>
        <w:pBdr>
          <w:top w:val="nil"/>
          <w:left w:val="nil"/>
          <w:bottom w:val="nil"/>
          <w:right w:val="nil"/>
          <w:between w:val="nil"/>
        </w:pBdr>
        <w:spacing w:before="240" w:after="60" w:line="480" w:lineRule="auto"/>
        <w:jc w:val="both"/>
        <w:rPr>
          <w:rFonts w:ascii="Arial" w:hAnsi="Arial" w:cs="Arial"/>
          <w:b/>
          <w:color w:val="000000" w:themeColor="text1"/>
        </w:rPr>
      </w:pPr>
      <w:r w:rsidRPr="00B854A1">
        <w:rPr>
          <w:rFonts w:ascii="Arial" w:hAnsi="Arial" w:cs="Arial"/>
          <w:b/>
          <w:color w:val="000000" w:themeColor="text1"/>
        </w:rPr>
        <w:t>Results</w:t>
      </w:r>
    </w:p>
    <w:p w14:paraId="71393ADE" w14:textId="77777777" w:rsidR="00570AFA" w:rsidRPr="00B854A1" w:rsidRDefault="00570AFA" w:rsidP="00DB48C8">
      <w:pPr>
        <w:spacing w:after="160" w:line="480" w:lineRule="auto"/>
        <w:jc w:val="both"/>
        <w:rPr>
          <w:rFonts w:ascii="Arial" w:hAnsi="Arial" w:cs="Arial"/>
          <w:b/>
          <w:color w:val="000000" w:themeColor="text1"/>
        </w:rPr>
      </w:pPr>
    </w:p>
    <w:p w14:paraId="3B944F82" w14:textId="59048F88" w:rsidR="00570AFA" w:rsidRPr="00B854A1" w:rsidRDefault="00BD2352" w:rsidP="00DB48C8">
      <w:pPr>
        <w:pStyle w:val="ListParagraph"/>
        <w:numPr>
          <w:ilvl w:val="0"/>
          <w:numId w:val="1"/>
        </w:numPr>
        <w:spacing w:after="160" w:line="480" w:lineRule="auto"/>
        <w:jc w:val="both"/>
        <w:rPr>
          <w:rFonts w:ascii="Arial" w:hAnsi="Arial" w:cs="Arial"/>
          <w:b/>
          <w:color w:val="000000" w:themeColor="text1"/>
        </w:rPr>
      </w:pPr>
      <w:r w:rsidRPr="00B854A1">
        <w:rPr>
          <w:rFonts w:ascii="Arial" w:hAnsi="Arial" w:cs="Arial"/>
          <w:b/>
          <w:i/>
          <w:color w:val="000000" w:themeColor="text1"/>
        </w:rPr>
        <w:t>HOXA9</w:t>
      </w:r>
      <w:r w:rsidR="00570AFA" w:rsidRPr="00B854A1">
        <w:rPr>
          <w:rFonts w:ascii="Arial" w:hAnsi="Arial" w:cs="Arial"/>
          <w:b/>
          <w:color w:val="000000" w:themeColor="text1"/>
        </w:rPr>
        <w:t xml:space="preserve"> </w:t>
      </w:r>
      <w:r w:rsidR="00022172" w:rsidRPr="00B854A1">
        <w:rPr>
          <w:rFonts w:ascii="Arial" w:hAnsi="Arial" w:cs="Arial"/>
          <w:b/>
          <w:color w:val="000000" w:themeColor="text1"/>
        </w:rPr>
        <w:t xml:space="preserve">expression </w:t>
      </w:r>
      <w:r w:rsidR="00CC3286" w:rsidRPr="00B854A1">
        <w:rPr>
          <w:rFonts w:ascii="Arial" w:hAnsi="Arial" w:cs="Arial"/>
          <w:b/>
          <w:color w:val="000000" w:themeColor="text1"/>
        </w:rPr>
        <w:t>separates cohorts of</w:t>
      </w:r>
      <w:r w:rsidR="00570AFA" w:rsidRPr="00B854A1">
        <w:rPr>
          <w:rFonts w:ascii="Arial" w:hAnsi="Arial" w:cs="Arial"/>
          <w:b/>
          <w:color w:val="000000" w:themeColor="text1"/>
        </w:rPr>
        <w:t xml:space="preserve"> </w:t>
      </w:r>
      <w:r w:rsidR="002E0BA0" w:rsidRPr="00B854A1">
        <w:rPr>
          <w:rFonts w:ascii="Arial" w:hAnsi="Arial" w:cs="Arial"/>
          <w:b/>
          <w:color w:val="000000" w:themeColor="text1"/>
        </w:rPr>
        <w:t>AML</w:t>
      </w:r>
      <w:r w:rsidR="00CC3286" w:rsidRPr="00B854A1">
        <w:rPr>
          <w:rFonts w:ascii="Arial" w:hAnsi="Arial" w:cs="Arial"/>
          <w:b/>
          <w:color w:val="000000" w:themeColor="text1"/>
        </w:rPr>
        <w:t xml:space="preserve"> patients with distinct clinical features</w:t>
      </w:r>
      <w:r w:rsidR="00570AFA" w:rsidRPr="00B854A1">
        <w:rPr>
          <w:rFonts w:ascii="Arial" w:hAnsi="Arial" w:cs="Arial"/>
          <w:b/>
          <w:color w:val="000000" w:themeColor="text1"/>
        </w:rPr>
        <w:t>.</w:t>
      </w:r>
    </w:p>
    <w:p w14:paraId="34B1FF59" w14:textId="7546ADBA" w:rsidR="00C14305" w:rsidRPr="00B854A1" w:rsidRDefault="00A7272C" w:rsidP="00DB48C8">
      <w:pPr>
        <w:spacing w:after="160" w:line="480" w:lineRule="auto"/>
        <w:jc w:val="both"/>
        <w:rPr>
          <w:rFonts w:ascii="Arial" w:hAnsi="Arial" w:cs="Arial"/>
          <w:color w:val="000000" w:themeColor="text1"/>
        </w:rPr>
      </w:pPr>
      <w:r w:rsidRPr="00B854A1">
        <w:rPr>
          <w:rFonts w:ascii="Arial" w:hAnsi="Arial" w:cs="Arial"/>
          <w:color w:val="000000" w:themeColor="text1"/>
        </w:rPr>
        <w:t xml:space="preserve">Ectopic expression of </w:t>
      </w:r>
      <w:r w:rsidR="004504DD" w:rsidRPr="00B854A1">
        <w:rPr>
          <w:rFonts w:ascii="Arial" w:hAnsi="Arial" w:cs="Arial"/>
          <w:i/>
          <w:color w:val="000000" w:themeColor="text1"/>
        </w:rPr>
        <w:t>HOXA9</w:t>
      </w:r>
      <w:r w:rsidRPr="00B854A1">
        <w:rPr>
          <w:rFonts w:ascii="Arial" w:hAnsi="Arial" w:cs="Arial"/>
          <w:color w:val="000000" w:themeColor="text1"/>
        </w:rPr>
        <w:t xml:space="preserve"> in AML has been widely demonstrated, but few studies have investigated the biological attributes of this transcription factor</w:t>
      </w:r>
      <w:r w:rsidR="0082223F" w:rsidRPr="00B854A1">
        <w:rPr>
          <w:rFonts w:ascii="Arial" w:hAnsi="Arial" w:cs="Arial"/>
          <w:color w:val="000000" w:themeColor="text1"/>
        </w:rPr>
        <w:t xml:space="preserve"> contributing to leukemogenesis</w:t>
      </w:r>
      <w:r w:rsidRPr="00B854A1">
        <w:rPr>
          <w:rFonts w:ascii="Arial" w:hAnsi="Arial" w:cs="Arial"/>
          <w:color w:val="000000" w:themeColor="text1"/>
        </w:rPr>
        <w:t>. Zhong et al</w:t>
      </w:r>
      <w:r w:rsidR="00BD7C5A"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BIB_zhong2018hoxa9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20</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BD7C5A" w:rsidRPr="00B854A1">
        <w:rPr>
          <w:rFonts w:ascii="Arial" w:hAnsi="Arial" w:cs="Arial"/>
          <w:color w:val="000000" w:themeColor="text1"/>
        </w:rPr>
        <w:t xml:space="preserve"> </w:t>
      </w:r>
      <w:r w:rsidRPr="00B854A1">
        <w:rPr>
          <w:rFonts w:ascii="Arial" w:hAnsi="Arial" w:cs="Arial"/>
          <w:color w:val="000000" w:themeColor="text1"/>
        </w:rPr>
        <w:t xml:space="preserve">have shown that </w:t>
      </w:r>
      <w:r w:rsidR="004504DD" w:rsidRPr="00B854A1">
        <w:rPr>
          <w:rFonts w:ascii="Arial" w:hAnsi="Arial" w:cs="Arial"/>
          <w:i/>
          <w:color w:val="000000" w:themeColor="text1"/>
        </w:rPr>
        <w:t>HOXA9</w:t>
      </w:r>
      <w:r w:rsidRPr="00B854A1">
        <w:rPr>
          <w:rFonts w:ascii="Arial" w:hAnsi="Arial" w:cs="Arial"/>
          <w:color w:val="000000" w:themeColor="text1"/>
        </w:rPr>
        <w:t xml:space="preserve"> </w:t>
      </w:r>
      <w:r w:rsidR="004A72A2" w:rsidRPr="00B854A1">
        <w:rPr>
          <w:rFonts w:ascii="Arial" w:hAnsi="Arial" w:cs="Arial"/>
          <w:color w:val="000000" w:themeColor="text1"/>
        </w:rPr>
        <w:t xml:space="preserve">in cell lines </w:t>
      </w:r>
      <w:r w:rsidRPr="00B854A1">
        <w:rPr>
          <w:rFonts w:ascii="Arial" w:hAnsi="Arial" w:cs="Arial"/>
          <w:color w:val="000000" w:themeColor="text1"/>
        </w:rPr>
        <w:t xml:space="preserve">can induce its own expression </w:t>
      </w:r>
      <w:r w:rsidR="00C427B0" w:rsidRPr="00B854A1">
        <w:rPr>
          <w:rFonts w:ascii="Arial" w:hAnsi="Arial" w:cs="Arial"/>
          <w:color w:val="000000" w:themeColor="text1"/>
        </w:rPr>
        <w:t>through</w:t>
      </w:r>
      <w:r w:rsidRPr="00B854A1">
        <w:rPr>
          <w:rFonts w:ascii="Arial" w:hAnsi="Arial" w:cs="Arial"/>
          <w:color w:val="000000" w:themeColor="text1"/>
        </w:rPr>
        <w:t xml:space="preserve"> a positive feedback loop</w:t>
      </w:r>
      <w:r w:rsidR="005E6CA1" w:rsidRPr="00B854A1">
        <w:rPr>
          <w:rFonts w:ascii="Arial" w:hAnsi="Arial" w:cs="Arial"/>
          <w:color w:val="000000" w:themeColor="text1"/>
        </w:rPr>
        <w:t xml:space="preserve">, which promotes a continuous differentiation block and self-renewal </w:t>
      </w:r>
      <w:r w:rsidR="009C2066" w:rsidRPr="00B854A1">
        <w:rPr>
          <w:rFonts w:ascii="Arial" w:hAnsi="Arial" w:cs="Arial"/>
          <w:color w:val="000000" w:themeColor="text1"/>
        </w:rPr>
        <w:t xml:space="preserve">leading to </w:t>
      </w:r>
      <w:r w:rsidR="005E6CA1" w:rsidRPr="00B854A1">
        <w:rPr>
          <w:rFonts w:ascii="Arial" w:hAnsi="Arial" w:cs="Arial"/>
          <w:color w:val="000000" w:themeColor="text1"/>
        </w:rPr>
        <w:t xml:space="preserve">increase of hematopoietic stem cells </w:t>
      </w:r>
      <w:r w:rsidR="009C2066" w:rsidRPr="00B854A1">
        <w:rPr>
          <w:rFonts w:ascii="Arial" w:hAnsi="Arial" w:cs="Arial"/>
          <w:color w:val="000000" w:themeColor="text1"/>
        </w:rPr>
        <w:t xml:space="preserve">and development of </w:t>
      </w:r>
      <w:r w:rsidR="005E2ECF" w:rsidRPr="00B854A1">
        <w:rPr>
          <w:rFonts w:ascii="Arial" w:hAnsi="Arial" w:cs="Arial"/>
          <w:color w:val="000000" w:themeColor="text1"/>
        </w:rPr>
        <w:t>leukaemia</w:t>
      </w:r>
      <w:r w:rsidRPr="00B854A1">
        <w:rPr>
          <w:rFonts w:ascii="Arial" w:hAnsi="Arial" w:cs="Arial"/>
          <w:color w:val="000000" w:themeColor="text1"/>
        </w:rPr>
        <w:t xml:space="preserve">. To </w:t>
      </w:r>
      <w:r w:rsidR="00390D0A" w:rsidRPr="00B854A1">
        <w:rPr>
          <w:rFonts w:ascii="Arial" w:hAnsi="Arial" w:cs="Arial"/>
          <w:color w:val="000000" w:themeColor="text1"/>
        </w:rPr>
        <w:t xml:space="preserve">validate </w:t>
      </w:r>
      <w:r w:rsidR="004504DD" w:rsidRPr="00B854A1">
        <w:rPr>
          <w:rFonts w:ascii="Arial" w:hAnsi="Arial" w:cs="Arial"/>
          <w:i/>
          <w:color w:val="000000" w:themeColor="text1"/>
        </w:rPr>
        <w:t>HOXA9</w:t>
      </w:r>
      <w:r w:rsidR="00390D0A" w:rsidRPr="00B854A1">
        <w:rPr>
          <w:rFonts w:ascii="Arial" w:hAnsi="Arial" w:cs="Arial"/>
          <w:color w:val="000000" w:themeColor="text1"/>
        </w:rPr>
        <w:t xml:space="preserve"> self-activation</w:t>
      </w:r>
      <w:r w:rsidRPr="00B854A1">
        <w:rPr>
          <w:rFonts w:ascii="Arial" w:hAnsi="Arial" w:cs="Arial"/>
          <w:color w:val="000000" w:themeColor="text1"/>
        </w:rPr>
        <w:t xml:space="preserve"> and the oncogenic role in </w:t>
      </w:r>
      <w:r w:rsidR="005E2ECF" w:rsidRPr="00B854A1">
        <w:rPr>
          <w:rFonts w:ascii="Arial" w:hAnsi="Arial" w:cs="Arial"/>
          <w:color w:val="000000" w:themeColor="text1"/>
        </w:rPr>
        <w:t>leukaemia</w:t>
      </w:r>
      <w:r w:rsidR="00390D0A" w:rsidRPr="00B854A1">
        <w:rPr>
          <w:rFonts w:ascii="Arial" w:hAnsi="Arial" w:cs="Arial"/>
          <w:color w:val="000000" w:themeColor="text1"/>
        </w:rPr>
        <w:t xml:space="preserve"> in </w:t>
      </w:r>
      <w:r w:rsidR="00DB5305" w:rsidRPr="00B854A1">
        <w:rPr>
          <w:rFonts w:ascii="Arial" w:hAnsi="Arial" w:cs="Arial"/>
          <w:color w:val="000000" w:themeColor="text1"/>
        </w:rPr>
        <w:t>patients</w:t>
      </w:r>
      <w:r w:rsidRPr="00B854A1">
        <w:rPr>
          <w:rFonts w:ascii="Arial" w:hAnsi="Arial" w:cs="Arial"/>
          <w:color w:val="000000" w:themeColor="text1"/>
        </w:rPr>
        <w:t xml:space="preserve">, we </w:t>
      </w:r>
      <w:r w:rsidR="004A72A2" w:rsidRPr="00B854A1">
        <w:rPr>
          <w:rFonts w:ascii="Arial" w:hAnsi="Arial" w:cs="Arial"/>
          <w:color w:val="000000" w:themeColor="text1"/>
        </w:rPr>
        <w:t>studied</w:t>
      </w:r>
      <w:r w:rsidRPr="00B854A1">
        <w:rPr>
          <w:rFonts w:ascii="Arial" w:hAnsi="Arial" w:cs="Arial"/>
          <w:color w:val="000000" w:themeColor="text1"/>
        </w:rPr>
        <w:t xml:space="preserve"> </w:t>
      </w:r>
      <w:r w:rsidR="00390D0A" w:rsidRPr="00B854A1">
        <w:rPr>
          <w:rFonts w:ascii="Arial" w:hAnsi="Arial" w:cs="Arial"/>
          <w:color w:val="000000" w:themeColor="text1"/>
        </w:rPr>
        <w:t>its</w:t>
      </w:r>
      <w:r w:rsidRPr="00B854A1">
        <w:rPr>
          <w:rFonts w:ascii="Arial" w:hAnsi="Arial" w:cs="Arial"/>
          <w:color w:val="000000" w:themeColor="text1"/>
        </w:rPr>
        <w:t xml:space="preserve"> expression in</w:t>
      </w:r>
      <w:r w:rsidR="00973E47" w:rsidRPr="00B854A1">
        <w:rPr>
          <w:rFonts w:ascii="Arial" w:hAnsi="Arial" w:cs="Arial"/>
          <w:color w:val="000000" w:themeColor="text1"/>
        </w:rPr>
        <w:t xml:space="preserve"> untreated </w:t>
      </w:r>
      <w:r w:rsidR="00973E47" w:rsidRPr="00B854A1">
        <w:rPr>
          <w:rFonts w:ascii="Arial" w:hAnsi="Arial" w:cs="Arial"/>
          <w:i/>
          <w:iCs/>
          <w:color w:val="000000" w:themeColor="text1"/>
        </w:rPr>
        <w:t>de novo</w:t>
      </w:r>
      <w:r w:rsidRPr="00B854A1">
        <w:rPr>
          <w:rFonts w:ascii="Arial" w:hAnsi="Arial" w:cs="Arial"/>
          <w:color w:val="000000" w:themeColor="text1"/>
        </w:rPr>
        <w:t xml:space="preserve"> AML</w:t>
      </w:r>
      <w:r w:rsidR="00973E47" w:rsidRPr="00B854A1">
        <w:rPr>
          <w:rFonts w:ascii="Arial" w:hAnsi="Arial" w:cs="Arial"/>
          <w:color w:val="000000" w:themeColor="text1"/>
        </w:rPr>
        <w:t xml:space="preserve"> RNA sequencing</w:t>
      </w:r>
      <w:r w:rsidR="004A72A2" w:rsidRPr="00B854A1">
        <w:rPr>
          <w:rFonts w:ascii="Arial" w:hAnsi="Arial" w:cs="Arial"/>
          <w:color w:val="000000" w:themeColor="text1"/>
        </w:rPr>
        <w:t xml:space="preserve"> data from</w:t>
      </w:r>
      <w:r w:rsidRPr="00B854A1">
        <w:rPr>
          <w:rFonts w:ascii="Arial" w:hAnsi="Arial" w:cs="Arial"/>
          <w:color w:val="000000" w:themeColor="text1"/>
        </w:rPr>
        <w:t xml:space="preserve"> The Cancer Genome Atlas (TCGA)</w:t>
      </w:r>
      <w:r w:rsidR="00652A76"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BIB_cancer2013genomic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29</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652A76" w:rsidRPr="00B854A1">
        <w:rPr>
          <w:rFonts w:ascii="Arial" w:hAnsi="Arial" w:cs="Arial"/>
          <w:color w:val="000000" w:themeColor="text1"/>
        </w:rPr>
        <w:t xml:space="preserve">. We find that </w:t>
      </w:r>
      <w:r w:rsidR="004504DD" w:rsidRPr="00B854A1">
        <w:rPr>
          <w:rFonts w:ascii="Arial" w:hAnsi="Arial" w:cs="Arial"/>
          <w:i/>
          <w:color w:val="000000" w:themeColor="text1"/>
        </w:rPr>
        <w:t>HOXA9</w:t>
      </w:r>
      <w:r w:rsidR="00652A76" w:rsidRPr="00B854A1">
        <w:rPr>
          <w:rFonts w:ascii="Arial" w:hAnsi="Arial" w:cs="Arial"/>
          <w:color w:val="000000" w:themeColor="text1"/>
        </w:rPr>
        <w:t xml:space="preserve"> has </w:t>
      </w:r>
      <w:r w:rsidRPr="00B854A1">
        <w:rPr>
          <w:rFonts w:ascii="Arial" w:hAnsi="Arial" w:cs="Arial"/>
          <w:color w:val="000000" w:themeColor="text1"/>
        </w:rPr>
        <w:t xml:space="preserve">bimodal expression in </w:t>
      </w:r>
      <w:r w:rsidR="005E127D" w:rsidRPr="00B854A1">
        <w:rPr>
          <w:rFonts w:ascii="Arial" w:hAnsi="Arial" w:cs="Arial"/>
          <w:color w:val="000000" w:themeColor="text1"/>
        </w:rPr>
        <w:t xml:space="preserve">this </w:t>
      </w:r>
      <w:r w:rsidRPr="00B854A1">
        <w:rPr>
          <w:rFonts w:ascii="Arial" w:hAnsi="Arial" w:cs="Arial"/>
          <w:color w:val="000000" w:themeColor="text1"/>
        </w:rPr>
        <w:t>data</w:t>
      </w:r>
      <w:r w:rsidR="005E127D" w:rsidRPr="00B854A1">
        <w:rPr>
          <w:rFonts w:ascii="Arial" w:hAnsi="Arial" w:cs="Arial"/>
          <w:color w:val="000000" w:themeColor="text1"/>
        </w:rPr>
        <w:t>set</w:t>
      </w:r>
      <w:r w:rsidRPr="00B854A1">
        <w:rPr>
          <w:rFonts w:ascii="Arial" w:hAnsi="Arial" w:cs="Arial"/>
          <w:color w:val="000000" w:themeColor="text1"/>
        </w:rPr>
        <w:t xml:space="preserve"> (Fig. </w:t>
      </w:r>
      <w:r w:rsidR="000E5EF7" w:rsidRPr="000E5EF7">
        <w:rPr>
          <w:rFonts w:ascii="Arial" w:hAnsi="Arial" w:cs="Arial"/>
          <w:color w:val="70AD47" w:themeColor="accent6"/>
        </w:rPr>
        <w:t>2</w:t>
      </w:r>
      <w:r w:rsidR="00D13BF6">
        <w:rPr>
          <w:rFonts w:ascii="Arial" w:hAnsi="Arial" w:cs="Arial"/>
          <w:color w:val="70AD47" w:themeColor="accent6"/>
        </w:rPr>
        <w:t>a</w:t>
      </w:r>
      <w:r w:rsidRPr="00B854A1">
        <w:rPr>
          <w:rFonts w:ascii="Arial" w:hAnsi="Arial" w:cs="Arial"/>
          <w:color w:val="000000" w:themeColor="text1"/>
        </w:rPr>
        <w:t>).</w:t>
      </w:r>
      <w:r w:rsidR="000D4BE6">
        <w:rPr>
          <w:rFonts w:ascii="Arial" w:hAnsi="Arial" w:cs="Arial"/>
          <w:color w:val="000000" w:themeColor="text1"/>
        </w:rPr>
        <w:t xml:space="preserve"> </w:t>
      </w:r>
      <w:r w:rsidR="000D4BE6" w:rsidRPr="002C6F32">
        <w:rPr>
          <w:rFonts w:ascii="Arial" w:hAnsi="Arial" w:cs="Arial"/>
          <w:color w:val="000000" w:themeColor="text1"/>
        </w:rPr>
        <w:t xml:space="preserve">Whilst we find other </w:t>
      </w:r>
      <w:r w:rsidR="000D4BE6" w:rsidRPr="002C6F32">
        <w:rPr>
          <w:rFonts w:ascii="Arial" w:hAnsi="Arial" w:cs="Arial"/>
          <w:i/>
          <w:iCs/>
          <w:color w:val="000000" w:themeColor="text1"/>
        </w:rPr>
        <w:t>HOX</w:t>
      </w:r>
      <w:r w:rsidR="000D4BE6" w:rsidRPr="002C6F32">
        <w:rPr>
          <w:rFonts w:ascii="Arial" w:hAnsi="Arial" w:cs="Arial"/>
          <w:color w:val="000000" w:themeColor="text1"/>
        </w:rPr>
        <w:t xml:space="preserve"> genes to also have a bimodal expression, they are correlated</w:t>
      </w:r>
      <w:r w:rsidR="003110F3" w:rsidRPr="002C6F32">
        <w:rPr>
          <w:rFonts w:ascii="Arial" w:hAnsi="Arial" w:cs="Arial"/>
          <w:color w:val="000000" w:themeColor="text1"/>
        </w:rPr>
        <w:t xml:space="preserve"> or anti-correlated</w:t>
      </w:r>
      <w:r w:rsidR="000D4BE6" w:rsidRPr="002C6F32">
        <w:rPr>
          <w:rFonts w:ascii="Arial" w:hAnsi="Arial" w:cs="Arial"/>
          <w:color w:val="000000" w:themeColor="text1"/>
        </w:rPr>
        <w:t xml:space="preserve"> with </w:t>
      </w:r>
      <w:r w:rsidR="000D4BE6" w:rsidRPr="002C6F32">
        <w:rPr>
          <w:rFonts w:ascii="Arial" w:hAnsi="Arial" w:cs="Arial"/>
          <w:i/>
          <w:iCs/>
          <w:color w:val="000000" w:themeColor="text1"/>
        </w:rPr>
        <w:t>HOXA9</w:t>
      </w:r>
      <w:r w:rsidR="000D4BE6" w:rsidRPr="002C6F32">
        <w:rPr>
          <w:rFonts w:ascii="Arial" w:hAnsi="Arial" w:cs="Arial"/>
          <w:color w:val="000000" w:themeColor="text1"/>
        </w:rPr>
        <w:t xml:space="preserve"> and to the best of our knowledge </w:t>
      </w:r>
      <w:r w:rsidR="000D4BE6" w:rsidRPr="002C6F32">
        <w:rPr>
          <w:rFonts w:ascii="Arial" w:hAnsi="Arial" w:cs="Arial"/>
          <w:i/>
          <w:iCs/>
          <w:color w:val="000000" w:themeColor="text1"/>
        </w:rPr>
        <w:t>HOXA9</w:t>
      </w:r>
      <w:r w:rsidR="000D4BE6" w:rsidRPr="002C6F32">
        <w:rPr>
          <w:rFonts w:ascii="Arial" w:hAnsi="Arial" w:cs="Arial"/>
          <w:color w:val="000000" w:themeColor="text1"/>
        </w:rPr>
        <w:t xml:space="preserve"> is uniquely </w:t>
      </w:r>
      <w:r w:rsidR="008658CA" w:rsidRPr="002C6F32">
        <w:rPr>
          <w:rFonts w:ascii="Arial" w:hAnsi="Arial" w:cs="Arial"/>
          <w:color w:val="000000" w:themeColor="text1"/>
        </w:rPr>
        <w:t>downstream of</w:t>
      </w:r>
      <w:r w:rsidR="000D4BE6" w:rsidRPr="002C6F32">
        <w:rPr>
          <w:rFonts w:ascii="Arial" w:hAnsi="Arial" w:cs="Arial"/>
          <w:color w:val="000000" w:themeColor="text1"/>
        </w:rPr>
        <w:t xml:space="preserve"> both </w:t>
      </w:r>
      <w:r w:rsidR="000D4BE6" w:rsidRPr="002C6F32">
        <w:rPr>
          <w:rFonts w:ascii="Arial" w:hAnsi="Arial" w:cs="Arial"/>
          <w:i/>
          <w:iCs/>
          <w:color w:val="000000" w:themeColor="text1"/>
        </w:rPr>
        <w:t>JAK2</w:t>
      </w:r>
      <w:r w:rsidR="000D4BE6" w:rsidRPr="002C6F32">
        <w:rPr>
          <w:rFonts w:ascii="Arial" w:hAnsi="Arial" w:cs="Arial"/>
          <w:color w:val="000000" w:themeColor="text1"/>
        </w:rPr>
        <w:t xml:space="preserve"> and </w:t>
      </w:r>
      <w:r w:rsidR="000D4BE6" w:rsidRPr="002C6F32">
        <w:rPr>
          <w:rFonts w:ascii="Arial" w:hAnsi="Arial" w:cs="Arial"/>
          <w:i/>
          <w:iCs/>
          <w:color w:val="000000" w:themeColor="text1"/>
        </w:rPr>
        <w:t>TET2</w:t>
      </w:r>
      <w:r w:rsidR="000D4BE6" w:rsidRPr="002C6F32">
        <w:rPr>
          <w:rFonts w:ascii="Arial" w:hAnsi="Arial" w:cs="Arial"/>
          <w:color w:val="000000" w:themeColor="text1"/>
        </w:rPr>
        <w:t>.</w:t>
      </w:r>
      <w:r w:rsidR="00964D9E" w:rsidRPr="002C6F32">
        <w:rPr>
          <w:rFonts w:ascii="Arial" w:hAnsi="Arial" w:cs="Arial"/>
          <w:color w:val="000000" w:themeColor="text1"/>
        </w:rPr>
        <w:t xml:space="preserve"> We further find</w:t>
      </w:r>
      <w:r w:rsidR="00BE7DBE" w:rsidRPr="002C6F32">
        <w:rPr>
          <w:rFonts w:ascii="Arial" w:hAnsi="Arial" w:cs="Arial"/>
          <w:color w:val="000000" w:themeColor="text1"/>
        </w:rPr>
        <w:t xml:space="preserve"> two other genes,</w:t>
      </w:r>
      <w:r w:rsidR="00964D9E" w:rsidRPr="002C6F32">
        <w:rPr>
          <w:rFonts w:ascii="Arial" w:hAnsi="Arial" w:cs="Arial"/>
          <w:color w:val="000000" w:themeColor="text1"/>
        </w:rPr>
        <w:t xml:space="preserve"> </w:t>
      </w:r>
      <w:r w:rsidR="00964D9E" w:rsidRPr="002C6F32">
        <w:rPr>
          <w:rFonts w:ascii="Arial" w:hAnsi="Arial" w:cs="Arial"/>
          <w:i/>
          <w:iCs/>
          <w:color w:val="000000" w:themeColor="text1"/>
        </w:rPr>
        <w:t>APP</w:t>
      </w:r>
      <w:r w:rsidR="00964D9E" w:rsidRPr="002C6F32">
        <w:rPr>
          <w:rFonts w:ascii="Arial" w:hAnsi="Arial" w:cs="Arial"/>
          <w:color w:val="000000" w:themeColor="text1"/>
        </w:rPr>
        <w:t xml:space="preserve"> and </w:t>
      </w:r>
      <w:r w:rsidR="00964D9E" w:rsidRPr="002C6F32">
        <w:rPr>
          <w:rFonts w:ascii="Arial" w:hAnsi="Arial" w:cs="Arial"/>
          <w:i/>
          <w:iCs/>
          <w:color w:val="000000" w:themeColor="text1"/>
        </w:rPr>
        <w:t>IGSF10</w:t>
      </w:r>
      <w:r w:rsidR="00BE7DBE" w:rsidRPr="002C6F32">
        <w:rPr>
          <w:rFonts w:ascii="Arial" w:hAnsi="Arial" w:cs="Arial"/>
          <w:color w:val="000000" w:themeColor="text1"/>
        </w:rPr>
        <w:t>, w</w:t>
      </w:r>
      <w:r w:rsidR="00F20AC4" w:rsidRPr="002C6F32">
        <w:rPr>
          <w:rFonts w:ascii="Arial" w:hAnsi="Arial" w:cs="Arial"/>
          <w:color w:val="000000" w:themeColor="text1"/>
        </w:rPr>
        <w:t xml:space="preserve">hich are not clearly </w:t>
      </w:r>
      <w:r w:rsidR="00BC7768" w:rsidRPr="002C6F32">
        <w:rPr>
          <w:rFonts w:ascii="Arial" w:hAnsi="Arial" w:cs="Arial"/>
          <w:color w:val="000000" w:themeColor="text1"/>
        </w:rPr>
        <w:t xml:space="preserve">correlated to </w:t>
      </w:r>
      <w:r w:rsidR="00BC7768" w:rsidRPr="002C6F32">
        <w:rPr>
          <w:rFonts w:ascii="Arial" w:hAnsi="Arial" w:cs="Arial"/>
          <w:i/>
          <w:iCs/>
          <w:color w:val="000000" w:themeColor="text1"/>
        </w:rPr>
        <w:t>HOXA9</w:t>
      </w:r>
      <w:r w:rsidR="00BC7768" w:rsidRPr="002C6F32">
        <w:rPr>
          <w:rFonts w:ascii="Arial" w:hAnsi="Arial" w:cs="Arial"/>
          <w:color w:val="000000" w:themeColor="text1"/>
        </w:rPr>
        <w:t xml:space="preserve"> status.</w:t>
      </w:r>
      <w:r w:rsidR="00964D9E" w:rsidRPr="002C6F32">
        <w:rPr>
          <w:rFonts w:ascii="Arial" w:hAnsi="Arial" w:cs="Arial"/>
          <w:color w:val="000000" w:themeColor="text1"/>
        </w:rPr>
        <w:t xml:space="preserve"> </w:t>
      </w:r>
      <w:r w:rsidR="005B238C" w:rsidRPr="002C6F32">
        <w:rPr>
          <w:rFonts w:ascii="Arial" w:hAnsi="Arial" w:cs="Arial"/>
          <w:color w:val="000000" w:themeColor="text1"/>
        </w:rPr>
        <w:t>C</w:t>
      </w:r>
      <w:r w:rsidR="00BC7768" w:rsidRPr="002C6F32">
        <w:rPr>
          <w:rFonts w:ascii="Arial" w:hAnsi="Arial" w:cs="Arial"/>
          <w:color w:val="000000" w:themeColor="text1"/>
        </w:rPr>
        <w:t>orrelation</w:t>
      </w:r>
      <w:r w:rsidR="005B238C" w:rsidRPr="002C6F32">
        <w:rPr>
          <w:rFonts w:ascii="Arial" w:hAnsi="Arial" w:cs="Arial"/>
          <w:color w:val="000000" w:themeColor="text1"/>
        </w:rPr>
        <w:t xml:space="preserve"> or anti-correlation</w:t>
      </w:r>
      <w:r w:rsidR="00BC7768" w:rsidRPr="002C6F32">
        <w:rPr>
          <w:rFonts w:ascii="Arial" w:hAnsi="Arial" w:cs="Arial"/>
          <w:color w:val="000000" w:themeColor="text1"/>
        </w:rPr>
        <w:t xml:space="preserve"> with </w:t>
      </w:r>
      <w:r w:rsidR="00BC7768" w:rsidRPr="002C6F32">
        <w:rPr>
          <w:rFonts w:ascii="Arial" w:hAnsi="Arial" w:cs="Arial"/>
          <w:i/>
          <w:iCs/>
          <w:color w:val="000000" w:themeColor="text1"/>
        </w:rPr>
        <w:t xml:space="preserve">HOXA9 </w:t>
      </w:r>
      <w:r w:rsidR="00BC7768" w:rsidRPr="002C6F32">
        <w:rPr>
          <w:rFonts w:ascii="Arial" w:hAnsi="Arial" w:cs="Arial"/>
          <w:color w:val="000000" w:themeColor="text1"/>
        </w:rPr>
        <w:t>confounds survival analysis</w:t>
      </w:r>
      <w:r w:rsidR="005B238C" w:rsidRPr="002C6F32">
        <w:rPr>
          <w:rFonts w:ascii="Arial" w:hAnsi="Arial" w:cs="Arial"/>
          <w:color w:val="000000" w:themeColor="text1"/>
        </w:rPr>
        <w:t xml:space="preserve">, </w:t>
      </w:r>
      <w:r w:rsidR="00FA53F6" w:rsidRPr="002C6F32">
        <w:rPr>
          <w:rFonts w:ascii="Arial" w:hAnsi="Arial" w:cs="Arial"/>
          <w:color w:val="000000" w:themeColor="text1"/>
        </w:rPr>
        <w:t>limiting our ability to analyse the contribution of the second gene</w:t>
      </w:r>
      <w:r w:rsidR="004F0139" w:rsidRPr="002C6F32">
        <w:rPr>
          <w:rFonts w:ascii="Arial" w:hAnsi="Arial" w:cs="Arial"/>
          <w:color w:val="000000" w:themeColor="text1"/>
        </w:rPr>
        <w:t>. W</w:t>
      </w:r>
      <w:r w:rsidR="00BC7768" w:rsidRPr="002C6F32">
        <w:rPr>
          <w:rFonts w:ascii="Arial" w:hAnsi="Arial" w:cs="Arial"/>
          <w:color w:val="000000" w:themeColor="text1"/>
        </w:rPr>
        <w:t xml:space="preserve">e </w:t>
      </w:r>
      <w:r w:rsidR="005F6ED8" w:rsidRPr="002C6F32">
        <w:rPr>
          <w:rFonts w:ascii="Arial" w:hAnsi="Arial" w:cs="Arial"/>
          <w:color w:val="000000" w:themeColor="text1"/>
        </w:rPr>
        <w:t xml:space="preserve">do however </w:t>
      </w:r>
      <w:r w:rsidR="00BC7768" w:rsidRPr="002C6F32">
        <w:rPr>
          <w:rFonts w:ascii="Arial" w:hAnsi="Arial" w:cs="Arial"/>
          <w:color w:val="000000" w:themeColor="text1"/>
        </w:rPr>
        <w:t xml:space="preserve">find within </w:t>
      </w:r>
      <w:r w:rsidR="006C0592" w:rsidRPr="002C6F32">
        <w:rPr>
          <w:rFonts w:ascii="Arial" w:hAnsi="Arial" w:cs="Arial"/>
          <w:color w:val="000000" w:themeColor="text1"/>
        </w:rPr>
        <w:t xml:space="preserve">low or high </w:t>
      </w:r>
      <w:r w:rsidR="006C0592" w:rsidRPr="002C6F32">
        <w:rPr>
          <w:rFonts w:ascii="Arial" w:hAnsi="Arial" w:cs="Arial"/>
          <w:i/>
          <w:iCs/>
          <w:color w:val="000000" w:themeColor="text1"/>
        </w:rPr>
        <w:t>HOXA9</w:t>
      </w:r>
      <w:r w:rsidR="006C0592" w:rsidRPr="002C6F32">
        <w:rPr>
          <w:rFonts w:ascii="Arial" w:hAnsi="Arial" w:cs="Arial"/>
          <w:color w:val="000000" w:themeColor="text1"/>
        </w:rPr>
        <w:t xml:space="preserve"> cohorts</w:t>
      </w:r>
      <w:r w:rsidR="00BC7768" w:rsidRPr="002C6F32">
        <w:rPr>
          <w:rFonts w:ascii="Arial" w:hAnsi="Arial" w:cs="Arial"/>
          <w:color w:val="000000" w:themeColor="text1"/>
        </w:rPr>
        <w:t xml:space="preserve"> </w:t>
      </w:r>
      <w:r w:rsidR="006C0592" w:rsidRPr="002C6F32">
        <w:rPr>
          <w:rFonts w:ascii="Arial" w:hAnsi="Arial" w:cs="Arial"/>
          <w:color w:val="000000" w:themeColor="text1"/>
        </w:rPr>
        <w:t xml:space="preserve">no significant survival differences with </w:t>
      </w:r>
      <w:r w:rsidR="006C0592" w:rsidRPr="002C6F32">
        <w:rPr>
          <w:rFonts w:ascii="Arial" w:hAnsi="Arial" w:cs="Arial"/>
          <w:i/>
          <w:iCs/>
          <w:color w:val="000000" w:themeColor="text1"/>
        </w:rPr>
        <w:lastRenderedPageBreak/>
        <w:t>IGSF10</w:t>
      </w:r>
      <w:r w:rsidR="005F6ED8" w:rsidRPr="002C6F32">
        <w:rPr>
          <w:rFonts w:ascii="Arial" w:hAnsi="Arial" w:cs="Arial"/>
          <w:i/>
          <w:iCs/>
          <w:color w:val="000000" w:themeColor="text1"/>
        </w:rPr>
        <w:t>,</w:t>
      </w:r>
      <w:r w:rsidR="006C0592" w:rsidRPr="002C6F32">
        <w:rPr>
          <w:rFonts w:ascii="Arial" w:hAnsi="Arial" w:cs="Arial"/>
          <w:color w:val="000000" w:themeColor="text1"/>
        </w:rPr>
        <w:t xml:space="preserve"> a</w:t>
      </w:r>
      <w:r w:rsidR="0016084C" w:rsidRPr="002C6F32">
        <w:rPr>
          <w:rFonts w:ascii="Arial" w:hAnsi="Arial" w:cs="Arial"/>
          <w:color w:val="000000" w:themeColor="text1"/>
        </w:rPr>
        <w:t xml:space="preserve">nd a </w:t>
      </w:r>
      <w:r w:rsidR="002018A5" w:rsidRPr="002C6F32">
        <w:rPr>
          <w:rFonts w:ascii="Arial" w:hAnsi="Arial" w:cs="Arial"/>
          <w:color w:val="000000" w:themeColor="text1"/>
        </w:rPr>
        <w:t xml:space="preserve">survival difference between high/low </w:t>
      </w:r>
      <w:r w:rsidR="002018A5" w:rsidRPr="002C6F32">
        <w:rPr>
          <w:rFonts w:ascii="Arial" w:hAnsi="Arial" w:cs="Arial"/>
          <w:i/>
          <w:iCs/>
          <w:color w:val="000000" w:themeColor="text1"/>
        </w:rPr>
        <w:t>APP</w:t>
      </w:r>
      <w:r w:rsidR="002018A5" w:rsidRPr="002C6F32">
        <w:rPr>
          <w:rFonts w:ascii="Arial" w:hAnsi="Arial" w:cs="Arial"/>
          <w:color w:val="000000" w:themeColor="text1"/>
        </w:rPr>
        <w:t xml:space="preserve"> expression</w:t>
      </w:r>
      <w:r w:rsidR="005B238C" w:rsidRPr="002C6F32">
        <w:rPr>
          <w:rFonts w:ascii="Arial" w:hAnsi="Arial" w:cs="Arial"/>
          <w:color w:val="000000" w:themeColor="text1"/>
        </w:rPr>
        <w:t xml:space="preserve"> within the cohort with low APP expression</w:t>
      </w:r>
      <w:r w:rsidR="002018A5" w:rsidRPr="002C6F32">
        <w:rPr>
          <w:rFonts w:ascii="Arial" w:hAnsi="Arial" w:cs="Arial"/>
          <w:color w:val="000000" w:themeColor="text1"/>
        </w:rPr>
        <w:t xml:space="preserve">. </w:t>
      </w:r>
      <w:r w:rsidR="00206E1E" w:rsidRPr="00B854A1">
        <w:rPr>
          <w:rFonts w:ascii="Arial" w:hAnsi="Arial" w:cs="Arial"/>
          <w:color w:val="000000" w:themeColor="text1"/>
        </w:rPr>
        <w:t xml:space="preserve">To </w:t>
      </w:r>
      <w:r w:rsidR="005E127D" w:rsidRPr="00B854A1">
        <w:rPr>
          <w:rFonts w:ascii="Arial" w:hAnsi="Arial" w:cs="Arial"/>
          <w:color w:val="000000" w:themeColor="text1"/>
        </w:rPr>
        <w:t xml:space="preserve">explore the differences between patients with different levels of </w:t>
      </w:r>
      <w:r w:rsidR="005E127D" w:rsidRPr="00511ED5">
        <w:rPr>
          <w:rFonts w:ascii="Arial" w:hAnsi="Arial" w:cs="Arial"/>
          <w:i/>
          <w:iCs/>
          <w:color w:val="000000" w:themeColor="text1"/>
        </w:rPr>
        <w:t>HOXA9</w:t>
      </w:r>
      <w:r w:rsidR="005E127D" w:rsidRPr="00B854A1">
        <w:rPr>
          <w:rFonts w:ascii="Arial" w:hAnsi="Arial" w:cs="Arial"/>
          <w:color w:val="000000" w:themeColor="text1"/>
        </w:rPr>
        <w:t xml:space="preserve"> expression</w:t>
      </w:r>
      <w:r w:rsidR="00AE2340" w:rsidRPr="00B854A1">
        <w:rPr>
          <w:rFonts w:ascii="Arial" w:hAnsi="Arial" w:cs="Arial"/>
          <w:color w:val="000000" w:themeColor="text1"/>
        </w:rPr>
        <w:t xml:space="preserve"> and disregard external factors that could cause this bimodality</w:t>
      </w:r>
      <w:r w:rsidR="00187162" w:rsidRPr="00B854A1">
        <w:rPr>
          <w:rFonts w:ascii="Arial" w:hAnsi="Arial" w:cs="Arial"/>
          <w:color w:val="000000" w:themeColor="text1"/>
        </w:rPr>
        <w:t>,</w:t>
      </w:r>
      <w:r w:rsidRPr="00B854A1">
        <w:rPr>
          <w:rFonts w:ascii="Arial" w:hAnsi="Arial" w:cs="Arial"/>
          <w:color w:val="000000" w:themeColor="text1"/>
        </w:rPr>
        <w:t xml:space="preserve"> </w:t>
      </w:r>
      <w:r w:rsidR="00187162" w:rsidRPr="00B854A1">
        <w:rPr>
          <w:rFonts w:ascii="Arial" w:hAnsi="Arial" w:cs="Arial"/>
          <w:color w:val="000000" w:themeColor="text1"/>
        </w:rPr>
        <w:t>we</w:t>
      </w:r>
      <w:r w:rsidRPr="00B854A1">
        <w:rPr>
          <w:rFonts w:ascii="Arial" w:hAnsi="Arial" w:cs="Arial"/>
          <w:color w:val="000000" w:themeColor="text1"/>
        </w:rPr>
        <w:t xml:space="preserve"> separate</w:t>
      </w:r>
      <w:r w:rsidR="005E127D" w:rsidRPr="00B854A1">
        <w:rPr>
          <w:rFonts w:ascii="Arial" w:hAnsi="Arial" w:cs="Arial"/>
          <w:color w:val="000000" w:themeColor="text1"/>
        </w:rPr>
        <w:t>d</w:t>
      </w:r>
      <w:r w:rsidRPr="00B854A1">
        <w:rPr>
          <w:rFonts w:ascii="Arial" w:hAnsi="Arial" w:cs="Arial"/>
          <w:color w:val="000000" w:themeColor="text1"/>
        </w:rPr>
        <w:t xml:space="preserve"> patients into two cohorts</w:t>
      </w:r>
      <w:r w:rsidR="005E127D" w:rsidRPr="00B854A1">
        <w:rPr>
          <w:rFonts w:ascii="Arial" w:hAnsi="Arial" w:cs="Arial"/>
          <w:color w:val="000000" w:themeColor="text1"/>
        </w:rPr>
        <w:t>, with</w:t>
      </w:r>
      <w:r w:rsidRPr="00B854A1">
        <w:rPr>
          <w:rFonts w:ascii="Arial" w:hAnsi="Arial" w:cs="Arial"/>
          <w:color w:val="000000" w:themeColor="text1"/>
        </w:rPr>
        <w:t xml:space="preserve"> 31 patients in the low expression peak, and 80 patients in the high expression peak. </w:t>
      </w:r>
      <w:r w:rsidR="00512110" w:rsidRPr="00B854A1">
        <w:rPr>
          <w:rFonts w:ascii="Arial" w:hAnsi="Arial" w:cs="Arial"/>
          <w:color w:val="000000" w:themeColor="text1"/>
        </w:rPr>
        <w:t>A</w:t>
      </w:r>
      <w:r w:rsidRPr="00B854A1">
        <w:rPr>
          <w:rFonts w:ascii="Arial" w:hAnsi="Arial" w:cs="Arial"/>
          <w:color w:val="000000" w:themeColor="text1"/>
        </w:rPr>
        <w:t xml:space="preserve"> survival analyses </w:t>
      </w:r>
      <w:r w:rsidR="00512110" w:rsidRPr="00B854A1">
        <w:rPr>
          <w:rFonts w:ascii="Arial" w:hAnsi="Arial" w:cs="Arial"/>
          <w:color w:val="000000" w:themeColor="text1"/>
        </w:rPr>
        <w:t xml:space="preserve">of </w:t>
      </w:r>
      <w:r w:rsidRPr="00B854A1">
        <w:rPr>
          <w:rFonts w:ascii="Arial" w:hAnsi="Arial" w:cs="Arial"/>
          <w:color w:val="000000" w:themeColor="text1"/>
        </w:rPr>
        <w:t>both groups using Kaplan-Meier survival curves and the log-rank test confirm</w:t>
      </w:r>
      <w:r w:rsidR="00366F20" w:rsidRPr="00B854A1">
        <w:rPr>
          <w:rFonts w:ascii="Arial" w:hAnsi="Arial" w:cs="Arial"/>
          <w:color w:val="000000" w:themeColor="text1"/>
        </w:rPr>
        <w:t>ed</w:t>
      </w:r>
      <w:r w:rsidRPr="00B854A1">
        <w:rPr>
          <w:rFonts w:ascii="Arial" w:hAnsi="Arial" w:cs="Arial"/>
          <w:color w:val="000000" w:themeColor="text1"/>
        </w:rPr>
        <w:t xml:space="preserve"> </w:t>
      </w:r>
      <w:r w:rsidR="00C82583" w:rsidRPr="00B854A1">
        <w:rPr>
          <w:rFonts w:ascii="Arial" w:hAnsi="Arial" w:cs="Arial"/>
          <w:color w:val="000000" w:themeColor="text1"/>
        </w:rPr>
        <w:t xml:space="preserve">that </w:t>
      </w:r>
      <w:r w:rsidR="004504DD" w:rsidRPr="00B854A1">
        <w:rPr>
          <w:rFonts w:ascii="Arial" w:hAnsi="Arial" w:cs="Arial"/>
          <w:i/>
          <w:color w:val="000000" w:themeColor="text1"/>
        </w:rPr>
        <w:t>HOXA9</w:t>
      </w:r>
      <w:r w:rsidR="00652A76" w:rsidRPr="00B854A1">
        <w:rPr>
          <w:rFonts w:ascii="Arial" w:hAnsi="Arial" w:cs="Arial"/>
          <w:color w:val="000000" w:themeColor="text1"/>
        </w:rPr>
        <w:t xml:space="preserve"> can be used</w:t>
      </w:r>
      <w:r w:rsidRPr="00B854A1">
        <w:rPr>
          <w:rFonts w:ascii="Arial" w:hAnsi="Arial" w:cs="Arial"/>
          <w:color w:val="000000" w:themeColor="text1"/>
        </w:rPr>
        <w:t xml:space="preserve"> as a marker of poor prognosis in AML</w:t>
      </w:r>
      <w:r w:rsidR="009F332B">
        <w:rPr>
          <w:rFonts w:ascii="Arial" w:hAnsi="Arial" w:cs="Arial"/>
          <w:color w:val="000000" w:themeColor="text1"/>
        </w:rPr>
        <w:t xml:space="preserve"> (</w:t>
      </w:r>
      <w:r w:rsidR="009F332B" w:rsidRPr="00021A53">
        <w:rPr>
          <w:rFonts w:ascii="Arial" w:hAnsi="Arial" w:cs="Arial"/>
          <w:i/>
          <w:iCs/>
          <w:color w:val="000000" w:themeColor="text1"/>
        </w:rPr>
        <w:t>p</w:t>
      </w:r>
      <w:r w:rsidR="009F332B">
        <w:rPr>
          <w:rFonts w:ascii="Arial" w:hAnsi="Arial" w:cs="Arial"/>
          <w:color w:val="000000" w:themeColor="text1"/>
        </w:rPr>
        <w:t xml:space="preserve"> &lt; 0.001, Hazard Ratio </w:t>
      </w:r>
      <w:r w:rsidR="007D1F48">
        <w:rPr>
          <w:rFonts w:ascii="Arial" w:hAnsi="Arial" w:cs="Arial"/>
          <w:color w:val="000000" w:themeColor="text1"/>
        </w:rPr>
        <w:t>0.29 for low expression)</w:t>
      </w:r>
      <w:r w:rsidRPr="00B854A1">
        <w:rPr>
          <w:rFonts w:ascii="Arial" w:hAnsi="Arial" w:cs="Arial"/>
          <w:color w:val="000000" w:themeColor="text1"/>
        </w:rPr>
        <w:t xml:space="preserve"> (</w:t>
      </w:r>
      <w:r w:rsidRPr="000E5EF7">
        <w:rPr>
          <w:rFonts w:ascii="Arial" w:hAnsi="Arial" w:cs="Arial"/>
          <w:color w:val="70AD47" w:themeColor="accent6"/>
        </w:rPr>
        <w:t xml:space="preserve">Fig. </w:t>
      </w:r>
      <w:r w:rsidR="000E5EF7" w:rsidRPr="000E5EF7">
        <w:rPr>
          <w:rFonts w:ascii="Arial" w:hAnsi="Arial" w:cs="Arial"/>
          <w:color w:val="70AD47" w:themeColor="accent6"/>
        </w:rPr>
        <w:t>2</w:t>
      </w:r>
      <w:r w:rsidR="00D13BF6">
        <w:rPr>
          <w:rFonts w:ascii="Arial" w:hAnsi="Arial" w:cs="Arial"/>
          <w:color w:val="70AD47" w:themeColor="accent6"/>
        </w:rPr>
        <w:t>b</w:t>
      </w:r>
      <w:r w:rsidRPr="00B854A1">
        <w:rPr>
          <w:rFonts w:ascii="Arial" w:hAnsi="Arial" w:cs="Arial"/>
          <w:color w:val="000000" w:themeColor="text1"/>
        </w:rPr>
        <w:t>)</w:t>
      </w:r>
      <w:r w:rsidR="00143531" w:rsidRPr="00B854A1">
        <w:rPr>
          <w:rFonts w:ascii="Arial" w:hAnsi="Arial" w:cs="Arial"/>
          <w:color w:val="000000" w:themeColor="text1"/>
        </w:rPr>
        <w:t xml:space="preserve"> regardless of age (Fig. S</w:t>
      </w:r>
      <w:r w:rsidR="00740E00" w:rsidRPr="00B854A1">
        <w:rPr>
          <w:rFonts w:ascii="Arial" w:hAnsi="Arial" w:cs="Arial"/>
          <w:color w:val="000000" w:themeColor="text1"/>
        </w:rPr>
        <w:t>3</w:t>
      </w:r>
      <w:r w:rsidR="00143531" w:rsidRPr="00B854A1">
        <w:rPr>
          <w:rFonts w:ascii="Arial" w:hAnsi="Arial" w:cs="Arial"/>
          <w:color w:val="000000" w:themeColor="text1"/>
        </w:rPr>
        <w:t>)</w:t>
      </w:r>
      <w:r w:rsidR="00512110" w:rsidRPr="00B854A1">
        <w:rPr>
          <w:rFonts w:ascii="Arial" w:hAnsi="Arial" w:cs="Arial"/>
          <w:color w:val="000000" w:themeColor="text1"/>
        </w:rPr>
        <w:t xml:space="preserve">. </w:t>
      </w:r>
      <w:r w:rsidR="00B2412E" w:rsidRPr="00B854A1">
        <w:rPr>
          <w:rFonts w:ascii="Arial" w:hAnsi="Arial" w:cs="Arial"/>
          <w:color w:val="000000" w:themeColor="text1"/>
        </w:rPr>
        <w:t xml:space="preserve">This patient </w:t>
      </w:r>
      <w:r w:rsidR="004D1F35" w:rsidRPr="00B854A1">
        <w:rPr>
          <w:rFonts w:ascii="Arial" w:hAnsi="Arial" w:cs="Arial"/>
          <w:color w:val="000000" w:themeColor="text1"/>
        </w:rPr>
        <w:t>stratification based upon</w:t>
      </w:r>
      <w:r w:rsidR="00B2412E" w:rsidRPr="00B854A1">
        <w:rPr>
          <w:rFonts w:ascii="Arial" w:hAnsi="Arial" w:cs="Arial"/>
          <w:color w:val="000000" w:themeColor="text1"/>
        </w:rPr>
        <w:t xml:space="preserve"> </w:t>
      </w:r>
      <w:r w:rsidR="004504DD" w:rsidRPr="00B854A1">
        <w:rPr>
          <w:rFonts w:ascii="Arial" w:hAnsi="Arial" w:cs="Arial"/>
          <w:i/>
          <w:color w:val="000000" w:themeColor="text1"/>
        </w:rPr>
        <w:t>HOXA9</w:t>
      </w:r>
      <w:r w:rsidR="00B2412E" w:rsidRPr="00B854A1">
        <w:rPr>
          <w:rFonts w:ascii="Arial" w:hAnsi="Arial" w:cs="Arial"/>
          <w:color w:val="000000" w:themeColor="text1"/>
        </w:rPr>
        <w:t xml:space="preserve"> expression </w:t>
      </w:r>
      <w:r w:rsidR="00512110" w:rsidRPr="00B854A1">
        <w:rPr>
          <w:rFonts w:ascii="Arial" w:hAnsi="Arial" w:cs="Arial"/>
          <w:color w:val="000000" w:themeColor="text1"/>
        </w:rPr>
        <w:t xml:space="preserve">is consistent with </w:t>
      </w:r>
      <w:r w:rsidR="00B2412E" w:rsidRPr="00B854A1">
        <w:rPr>
          <w:rFonts w:ascii="Arial" w:hAnsi="Arial" w:cs="Arial"/>
          <w:color w:val="000000" w:themeColor="text1"/>
        </w:rPr>
        <w:t xml:space="preserve">the </w:t>
      </w:r>
      <w:r w:rsidR="004D1F35" w:rsidRPr="00B854A1">
        <w:rPr>
          <w:rFonts w:ascii="Arial" w:hAnsi="Arial" w:cs="Arial"/>
          <w:color w:val="000000" w:themeColor="text1"/>
        </w:rPr>
        <w:t xml:space="preserve">reported </w:t>
      </w:r>
      <w:r w:rsidR="00B2412E" w:rsidRPr="00B854A1">
        <w:rPr>
          <w:rFonts w:ascii="Arial" w:hAnsi="Arial" w:cs="Arial"/>
          <w:color w:val="000000" w:themeColor="text1"/>
        </w:rPr>
        <w:t>positive feedback loop characteristic of this gene</w:t>
      </w:r>
      <w:r w:rsidRPr="00B854A1">
        <w:rPr>
          <w:rFonts w:ascii="Arial" w:hAnsi="Arial" w:cs="Arial"/>
          <w:color w:val="000000" w:themeColor="text1"/>
        </w:rPr>
        <w:t xml:space="preserve"> and suggests that o</w:t>
      </w:r>
      <w:r w:rsidR="00B2412E" w:rsidRPr="00B854A1">
        <w:rPr>
          <w:rFonts w:ascii="Arial" w:hAnsi="Arial" w:cs="Arial"/>
          <w:color w:val="000000" w:themeColor="text1"/>
        </w:rPr>
        <w:t>nce activated or inhibited, the gene</w:t>
      </w:r>
      <w:r w:rsidRPr="00B854A1">
        <w:rPr>
          <w:rFonts w:ascii="Arial" w:hAnsi="Arial" w:cs="Arial"/>
          <w:color w:val="000000" w:themeColor="text1"/>
        </w:rPr>
        <w:t xml:space="preserve"> would </w:t>
      </w:r>
      <w:r w:rsidR="00F633B1" w:rsidRPr="00B854A1">
        <w:rPr>
          <w:rFonts w:ascii="Arial" w:hAnsi="Arial" w:cs="Arial"/>
          <w:color w:val="000000" w:themeColor="text1"/>
        </w:rPr>
        <w:t>maintain</w:t>
      </w:r>
      <w:r w:rsidR="00B2412E" w:rsidRPr="00B854A1">
        <w:rPr>
          <w:rFonts w:ascii="Arial" w:hAnsi="Arial" w:cs="Arial"/>
          <w:color w:val="000000" w:themeColor="text1"/>
        </w:rPr>
        <w:t xml:space="preserve"> its expression </w:t>
      </w:r>
      <w:r w:rsidR="00F633B1" w:rsidRPr="00B854A1">
        <w:rPr>
          <w:rFonts w:ascii="Arial" w:hAnsi="Arial" w:cs="Arial"/>
          <w:color w:val="000000" w:themeColor="text1"/>
        </w:rPr>
        <w:t>level</w:t>
      </w:r>
      <w:r w:rsidR="003765A7" w:rsidRPr="00B854A1">
        <w:rPr>
          <w:rFonts w:ascii="Arial" w:hAnsi="Arial" w:cs="Arial"/>
          <w:color w:val="000000" w:themeColor="text1"/>
        </w:rPr>
        <w:t>, leading to divergence in the</w:t>
      </w:r>
      <w:r w:rsidR="00B45867" w:rsidRPr="00B854A1">
        <w:rPr>
          <w:rFonts w:ascii="Arial" w:hAnsi="Arial" w:cs="Arial"/>
          <w:color w:val="000000" w:themeColor="text1"/>
        </w:rPr>
        <w:t xml:space="preserve"> di</w:t>
      </w:r>
      <w:r w:rsidR="00303E46" w:rsidRPr="00B854A1">
        <w:rPr>
          <w:rFonts w:ascii="Arial" w:hAnsi="Arial" w:cs="Arial"/>
          <w:color w:val="000000" w:themeColor="text1"/>
        </w:rPr>
        <w:t>s</w:t>
      </w:r>
      <w:r w:rsidR="00B45867" w:rsidRPr="00B854A1">
        <w:rPr>
          <w:rFonts w:ascii="Arial" w:hAnsi="Arial" w:cs="Arial"/>
          <w:color w:val="000000" w:themeColor="text1"/>
        </w:rPr>
        <w:t>ease</w:t>
      </w:r>
      <w:r w:rsidR="003765A7" w:rsidRPr="00B854A1">
        <w:rPr>
          <w:rFonts w:ascii="Arial" w:hAnsi="Arial" w:cs="Arial"/>
          <w:color w:val="000000" w:themeColor="text1"/>
        </w:rPr>
        <w:t xml:space="preserve"> progression</w:t>
      </w:r>
      <w:r w:rsidR="00B2412E" w:rsidRPr="00B854A1">
        <w:rPr>
          <w:rFonts w:ascii="Arial" w:hAnsi="Arial" w:cs="Arial"/>
          <w:color w:val="000000" w:themeColor="text1"/>
        </w:rPr>
        <w:t>.</w:t>
      </w:r>
    </w:p>
    <w:p w14:paraId="76598DE3" w14:textId="77777777" w:rsidR="00CC3286" w:rsidRPr="00B854A1" w:rsidRDefault="00CC3286" w:rsidP="00DB48C8">
      <w:pPr>
        <w:spacing w:after="160" w:line="480" w:lineRule="auto"/>
        <w:jc w:val="both"/>
        <w:rPr>
          <w:rFonts w:ascii="Arial" w:hAnsi="Arial" w:cs="Arial"/>
          <w:color w:val="000000" w:themeColor="text1"/>
        </w:rPr>
      </w:pPr>
    </w:p>
    <w:p w14:paraId="79F50D93" w14:textId="13217B5E" w:rsidR="00CC3286" w:rsidRPr="00B854A1" w:rsidRDefault="00CC3286" w:rsidP="00CC3286">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To investigate</w:t>
      </w:r>
      <w:r w:rsidR="00E54051" w:rsidRPr="00B854A1">
        <w:rPr>
          <w:rFonts w:ascii="Arial" w:hAnsi="Arial" w:cs="Arial"/>
          <w:color w:val="000000" w:themeColor="text1"/>
        </w:rPr>
        <w:t xml:space="preserve"> if the switch role property</w:t>
      </w:r>
      <w:r w:rsidRPr="00B854A1">
        <w:rPr>
          <w:rFonts w:ascii="Arial" w:hAnsi="Arial" w:cs="Arial"/>
          <w:color w:val="000000" w:themeColor="text1"/>
        </w:rPr>
        <w:t xml:space="preserve"> of </w:t>
      </w:r>
      <w:r w:rsidR="004504DD" w:rsidRPr="00B854A1">
        <w:rPr>
          <w:rFonts w:ascii="Arial" w:hAnsi="Arial" w:cs="Arial"/>
          <w:i/>
          <w:color w:val="000000" w:themeColor="text1"/>
        </w:rPr>
        <w:t>HOXA9</w:t>
      </w:r>
      <w:r w:rsidRPr="00B854A1">
        <w:rPr>
          <w:rFonts w:ascii="Arial" w:hAnsi="Arial" w:cs="Arial"/>
          <w:color w:val="000000" w:themeColor="text1"/>
        </w:rPr>
        <w:t xml:space="preserve"> i</w:t>
      </w:r>
      <w:r w:rsidR="00E54051" w:rsidRPr="00B854A1">
        <w:rPr>
          <w:rFonts w:ascii="Arial" w:hAnsi="Arial" w:cs="Arial"/>
          <w:color w:val="000000" w:themeColor="text1"/>
        </w:rPr>
        <w:t>mpacts</w:t>
      </w:r>
      <w:r w:rsidRPr="00B854A1">
        <w:rPr>
          <w:rFonts w:ascii="Arial" w:hAnsi="Arial" w:cs="Arial"/>
          <w:color w:val="000000" w:themeColor="text1"/>
        </w:rPr>
        <w:t xml:space="preserve"> AML subtypes, we look</w:t>
      </w:r>
      <w:r w:rsidR="009B4C7D" w:rsidRPr="00B854A1">
        <w:rPr>
          <w:rFonts w:ascii="Arial" w:hAnsi="Arial" w:cs="Arial"/>
          <w:color w:val="000000" w:themeColor="text1"/>
        </w:rPr>
        <w:t>ed</w:t>
      </w:r>
      <w:r w:rsidRPr="00B854A1">
        <w:rPr>
          <w:rFonts w:ascii="Arial" w:hAnsi="Arial" w:cs="Arial"/>
          <w:color w:val="000000" w:themeColor="text1"/>
        </w:rPr>
        <w:t xml:space="preserve"> at the distribution of French-American-British (FAB</w:t>
      </w:r>
      <w:r w:rsidR="00F263C8" w:rsidRPr="00B854A1">
        <w:rPr>
          <w:rFonts w:ascii="Arial" w:hAnsi="Arial" w:cs="Arial"/>
          <w:color w:val="000000" w:themeColor="text1"/>
        </w:rPr>
        <w:t>,</w:t>
      </w:r>
      <w:r w:rsidRPr="00B854A1">
        <w:rPr>
          <w:rFonts w:ascii="Arial" w:hAnsi="Arial" w:cs="Arial"/>
          <w:color w:val="000000" w:themeColor="text1"/>
        </w:rPr>
        <w:t xml:space="preserve"> named M0-M7</w:t>
      </w:r>
      <w:r w:rsidR="00F263C8" w:rsidRPr="00B854A1">
        <w:rPr>
          <w:rFonts w:ascii="Arial" w:hAnsi="Arial" w:cs="Arial"/>
          <w:color w:val="000000" w:themeColor="text1"/>
        </w:rPr>
        <w:t>)</w:t>
      </w:r>
      <w:r w:rsidRPr="00B854A1">
        <w:rPr>
          <w:rFonts w:ascii="Arial" w:hAnsi="Arial" w:cs="Arial"/>
          <w:color w:val="000000" w:themeColor="text1"/>
        </w:rPr>
        <w:t xml:space="preserve"> and molecular classifications among the two </w:t>
      </w:r>
      <w:r w:rsidR="004504DD" w:rsidRPr="00B854A1">
        <w:rPr>
          <w:rFonts w:ascii="Arial" w:hAnsi="Arial" w:cs="Arial"/>
          <w:i/>
          <w:color w:val="000000" w:themeColor="text1"/>
        </w:rPr>
        <w:t>HOXA9</w:t>
      </w:r>
      <w:r w:rsidRPr="00B854A1">
        <w:rPr>
          <w:rFonts w:ascii="Arial" w:hAnsi="Arial" w:cs="Arial"/>
          <w:color w:val="000000" w:themeColor="text1"/>
        </w:rPr>
        <w:t xml:space="preserve"> cohorts. We show that</w:t>
      </w:r>
      <w:r w:rsidR="00110BD9" w:rsidRPr="00B854A1">
        <w:rPr>
          <w:rFonts w:ascii="Arial" w:hAnsi="Arial" w:cs="Arial"/>
          <w:color w:val="000000" w:themeColor="text1"/>
        </w:rPr>
        <w:t xml:space="preserve"> different</w:t>
      </w:r>
      <w:r w:rsidRPr="00B854A1">
        <w:rPr>
          <w:rFonts w:ascii="Arial" w:hAnsi="Arial" w:cs="Arial"/>
          <w:color w:val="000000" w:themeColor="text1"/>
        </w:rPr>
        <w:t xml:space="preserve"> </w:t>
      </w:r>
      <w:r w:rsidR="004504DD" w:rsidRPr="00B854A1">
        <w:rPr>
          <w:rFonts w:ascii="Arial" w:hAnsi="Arial" w:cs="Arial"/>
          <w:i/>
          <w:color w:val="000000" w:themeColor="text1"/>
        </w:rPr>
        <w:t>HOXA9</w:t>
      </w:r>
      <w:r w:rsidRPr="00B854A1">
        <w:rPr>
          <w:rFonts w:ascii="Arial" w:hAnsi="Arial" w:cs="Arial"/>
          <w:color w:val="000000" w:themeColor="text1"/>
        </w:rPr>
        <w:t xml:space="preserve"> </w:t>
      </w:r>
      <w:r w:rsidR="00110BD9" w:rsidRPr="00B854A1">
        <w:rPr>
          <w:rFonts w:ascii="Arial" w:hAnsi="Arial" w:cs="Arial"/>
          <w:color w:val="000000" w:themeColor="text1"/>
        </w:rPr>
        <w:t>expression cohorts exclude specific</w:t>
      </w:r>
      <w:r w:rsidRPr="00B854A1">
        <w:rPr>
          <w:rFonts w:ascii="Arial" w:hAnsi="Arial" w:cs="Arial"/>
          <w:color w:val="000000" w:themeColor="text1"/>
        </w:rPr>
        <w:t xml:space="preserve"> FAB subtypes (Fig. </w:t>
      </w:r>
      <w:r w:rsidR="00B40077" w:rsidRPr="00B854A1">
        <w:rPr>
          <w:rFonts w:ascii="Arial" w:hAnsi="Arial" w:cs="Arial"/>
          <w:color w:val="000000" w:themeColor="text1"/>
        </w:rPr>
        <w:t>S</w:t>
      </w:r>
      <w:r w:rsidR="00740E00" w:rsidRPr="00B854A1">
        <w:rPr>
          <w:rFonts w:ascii="Arial" w:hAnsi="Arial" w:cs="Arial"/>
          <w:color w:val="000000" w:themeColor="text1"/>
        </w:rPr>
        <w:t>4</w:t>
      </w:r>
      <w:r w:rsidR="00D13BF6">
        <w:rPr>
          <w:rFonts w:ascii="Arial" w:hAnsi="Arial" w:cs="Arial"/>
          <w:color w:val="000000" w:themeColor="text1"/>
        </w:rPr>
        <w:t>a</w:t>
      </w:r>
      <w:r w:rsidRPr="00B854A1">
        <w:rPr>
          <w:rFonts w:ascii="Arial" w:hAnsi="Arial" w:cs="Arial"/>
          <w:color w:val="000000" w:themeColor="text1"/>
        </w:rPr>
        <w:t xml:space="preserve">). </w:t>
      </w:r>
      <w:r w:rsidR="001F6214" w:rsidRPr="00B854A1">
        <w:rPr>
          <w:rFonts w:ascii="Arial" w:hAnsi="Arial" w:cs="Arial"/>
          <w:color w:val="000000" w:themeColor="text1"/>
        </w:rPr>
        <w:t xml:space="preserve">This </w:t>
      </w:r>
      <w:r w:rsidR="007464B7" w:rsidRPr="00B854A1">
        <w:rPr>
          <w:rFonts w:ascii="Arial" w:hAnsi="Arial" w:cs="Arial"/>
          <w:color w:val="000000" w:themeColor="text1"/>
        </w:rPr>
        <w:t>suggests</w:t>
      </w:r>
      <w:r w:rsidR="001F6214" w:rsidRPr="00B854A1">
        <w:rPr>
          <w:rFonts w:ascii="Arial" w:hAnsi="Arial" w:cs="Arial"/>
          <w:color w:val="000000" w:themeColor="text1"/>
        </w:rPr>
        <w:t xml:space="preserve"> that </w:t>
      </w:r>
      <w:r w:rsidR="001F6214" w:rsidRPr="00B854A1">
        <w:rPr>
          <w:rFonts w:ascii="Arial" w:hAnsi="Arial" w:cs="Arial"/>
          <w:i/>
          <w:iCs/>
          <w:color w:val="000000" w:themeColor="text1"/>
        </w:rPr>
        <w:t>HOXA9</w:t>
      </w:r>
      <w:r w:rsidR="001F6214" w:rsidRPr="00B854A1">
        <w:rPr>
          <w:rFonts w:ascii="Arial" w:hAnsi="Arial" w:cs="Arial"/>
          <w:color w:val="000000" w:themeColor="text1"/>
        </w:rPr>
        <w:t xml:space="preserve"> expression is strongly coupled to</w:t>
      </w:r>
      <w:r w:rsidR="00BA5AE0" w:rsidRPr="00B854A1">
        <w:rPr>
          <w:rFonts w:ascii="Arial" w:hAnsi="Arial" w:cs="Arial"/>
          <w:color w:val="000000" w:themeColor="text1"/>
        </w:rPr>
        <w:t xml:space="preserve"> some</w:t>
      </w:r>
      <w:r w:rsidR="001F6214" w:rsidRPr="00B854A1">
        <w:rPr>
          <w:rFonts w:ascii="Arial" w:hAnsi="Arial" w:cs="Arial"/>
          <w:color w:val="000000" w:themeColor="text1"/>
        </w:rPr>
        <w:t xml:space="preserve"> FAB sub</w:t>
      </w:r>
      <w:r w:rsidR="00D92573" w:rsidRPr="00B854A1">
        <w:rPr>
          <w:rFonts w:ascii="Arial" w:hAnsi="Arial" w:cs="Arial"/>
          <w:color w:val="000000" w:themeColor="text1"/>
        </w:rPr>
        <w:t>t</w:t>
      </w:r>
      <w:r w:rsidR="001F6214" w:rsidRPr="00B854A1">
        <w:rPr>
          <w:rFonts w:ascii="Arial" w:hAnsi="Arial" w:cs="Arial"/>
          <w:color w:val="000000" w:themeColor="text1"/>
        </w:rPr>
        <w:t>ype</w:t>
      </w:r>
      <w:r w:rsidR="00D92573" w:rsidRPr="00B854A1">
        <w:rPr>
          <w:rFonts w:ascii="Arial" w:hAnsi="Arial" w:cs="Arial"/>
          <w:color w:val="000000" w:themeColor="text1"/>
        </w:rPr>
        <w:t>s</w:t>
      </w:r>
      <w:r w:rsidR="001F6214" w:rsidRPr="00B854A1">
        <w:rPr>
          <w:rFonts w:ascii="Arial" w:hAnsi="Arial" w:cs="Arial"/>
          <w:color w:val="000000" w:themeColor="text1"/>
        </w:rPr>
        <w:t xml:space="preserve">. </w:t>
      </w:r>
    </w:p>
    <w:p w14:paraId="4916C51A" w14:textId="77777777" w:rsidR="00CC3286" w:rsidRPr="00B854A1" w:rsidRDefault="00CC3286" w:rsidP="00CC3286">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180CE6E3" w14:textId="0A800A8D" w:rsidR="00CC3286" w:rsidRPr="00B854A1" w:rsidRDefault="008F6B76" w:rsidP="00CC3286">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In light of these findings, we looked to characterise the common features of </w:t>
      </w:r>
      <w:r w:rsidRPr="00B854A1">
        <w:rPr>
          <w:rFonts w:ascii="Arial" w:hAnsi="Arial" w:cs="Arial"/>
          <w:i/>
          <w:iCs/>
          <w:color w:val="000000" w:themeColor="text1"/>
        </w:rPr>
        <w:t>HOXA9</w:t>
      </w:r>
      <w:r w:rsidRPr="00B854A1">
        <w:rPr>
          <w:rFonts w:ascii="Arial" w:hAnsi="Arial" w:cs="Arial"/>
          <w:color w:val="000000" w:themeColor="text1"/>
        </w:rPr>
        <w:t xml:space="preserve"> expression cohorts. </w:t>
      </w:r>
      <w:r w:rsidR="00CC3286" w:rsidRPr="00B854A1">
        <w:rPr>
          <w:rFonts w:ascii="Arial" w:hAnsi="Arial" w:cs="Arial"/>
          <w:color w:val="000000" w:themeColor="text1"/>
        </w:rPr>
        <w:t xml:space="preserve">Cytogenic aberrations </w:t>
      </w:r>
      <w:r w:rsidR="00CC3286" w:rsidRPr="00B854A1">
        <w:rPr>
          <w:rFonts w:ascii="Arial" w:hAnsi="Arial" w:cs="Arial"/>
          <w:color w:val="000000" w:themeColor="text1"/>
        </w:rPr>
        <w:lastRenderedPageBreak/>
        <w:t xml:space="preserve">and gene rearrangements are frequent in AML and </w:t>
      </w:r>
      <w:r w:rsidR="008E19D7" w:rsidRPr="00B854A1">
        <w:rPr>
          <w:rFonts w:ascii="Arial" w:hAnsi="Arial" w:cs="Arial"/>
          <w:color w:val="000000" w:themeColor="text1"/>
        </w:rPr>
        <w:t xml:space="preserve">are known to </w:t>
      </w:r>
      <w:r w:rsidR="00CC3286" w:rsidRPr="00B854A1">
        <w:rPr>
          <w:rFonts w:ascii="Arial" w:hAnsi="Arial" w:cs="Arial"/>
          <w:color w:val="000000" w:themeColor="text1"/>
        </w:rPr>
        <w:t xml:space="preserve">alter the disease morphology as well as the clinical features and prognosis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BIB_cancer2013genomic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29</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CC3286" w:rsidRPr="00B854A1">
        <w:rPr>
          <w:rFonts w:ascii="Arial" w:hAnsi="Arial" w:cs="Arial"/>
          <w:color w:val="000000" w:themeColor="text1"/>
        </w:rPr>
        <w:t xml:space="preserve">. We </w:t>
      </w:r>
      <w:r w:rsidR="00722459" w:rsidRPr="00B854A1">
        <w:rPr>
          <w:rFonts w:ascii="Arial" w:hAnsi="Arial" w:cs="Arial"/>
          <w:color w:val="000000" w:themeColor="text1"/>
        </w:rPr>
        <w:t xml:space="preserve">found </w:t>
      </w:r>
      <w:r w:rsidR="00CC3286" w:rsidRPr="00B854A1">
        <w:rPr>
          <w:rFonts w:ascii="Arial" w:hAnsi="Arial" w:cs="Arial"/>
          <w:color w:val="000000" w:themeColor="text1"/>
        </w:rPr>
        <w:t xml:space="preserve">that </w:t>
      </w:r>
      <w:r w:rsidR="00CC3286" w:rsidRPr="00B854A1">
        <w:rPr>
          <w:rFonts w:ascii="Arial" w:hAnsi="Arial" w:cs="Arial"/>
          <w:i/>
          <w:color w:val="000000" w:themeColor="text1"/>
        </w:rPr>
        <w:t>HOXA9</w:t>
      </w:r>
      <w:r w:rsidR="00CC3286" w:rsidRPr="00B854A1">
        <w:rPr>
          <w:rFonts w:ascii="Arial" w:hAnsi="Arial" w:cs="Arial"/>
          <w:color w:val="000000" w:themeColor="text1"/>
        </w:rPr>
        <w:t xml:space="preserve"> </w:t>
      </w:r>
      <w:r w:rsidR="00046E35" w:rsidRPr="00B854A1">
        <w:rPr>
          <w:rFonts w:ascii="Arial" w:hAnsi="Arial" w:cs="Arial"/>
          <w:color w:val="000000" w:themeColor="text1"/>
        </w:rPr>
        <w:t xml:space="preserve">expression </w:t>
      </w:r>
      <w:r w:rsidR="002F14DE" w:rsidRPr="00B854A1">
        <w:rPr>
          <w:rFonts w:ascii="Arial" w:hAnsi="Arial" w:cs="Arial"/>
          <w:color w:val="000000" w:themeColor="text1"/>
        </w:rPr>
        <w:t xml:space="preserve">separates </w:t>
      </w:r>
      <w:r w:rsidR="00CC3286" w:rsidRPr="00B854A1">
        <w:rPr>
          <w:rFonts w:ascii="Arial" w:hAnsi="Arial" w:cs="Arial"/>
          <w:color w:val="000000" w:themeColor="text1"/>
        </w:rPr>
        <w:t xml:space="preserve">patients with different molecular classification (Fig. </w:t>
      </w:r>
      <w:r w:rsidR="00B40077" w:rsidRPr="00B854A1">
        <w:rPr>
          <w:rFonts w:ascii="Arial" w:hAnsi="Arial" w:cs="Arial"/>
          <w:color w:val="000000" w:themeColor="text1"/>
        </w:rPr>
        <w:t>S</w:t>
      </w:r>
      <w:r w:rsidR="00740E00" w:rsidRPr="00B854A1">
        <w:rPr>
          <w:rFonts w:ascii="Arial" w:hAnsi="Arial" w:cs="Arial"/>
          <w:color w:val="000000" w:themeColor="text1"/>
        </w:rPr>
        <w:t>4</w:t>
      </w:r>
      <w:r w:rsidR="00D13BF6">
        <w:rPr>
          <w:rFonts w:ascii="Arial" w:hAnsi="Arial" w:cs="Arial"/>
          <w:color w:val="000000" w:themeColor="text1"/>
        </w:rPr>
        <w:t>b</w:t>
      </w:r>
      <w:r w:rsidR="00CC3286" w:rsidRPr="00B854A1">
        <w:rPr>
          <w:rFonts w:ascii="Arial" w:hAnsi="Arial" w:cs="Arial"/>
          <w:color w:val="000000" w:themeColor="text1"/>
        </w:rPr>
        <w:t>).</w:t>
      </w:r>
      <w:r w:rsidR="00960BED" w:rsidRPr="00B854A1">
        <w:rPr>
          <w:rFonts w:ascii="Arial" w:hAnsi="Arial" w:cs="Arial"/>
          <w:color w:val="000000" w:themeColor="text1"/>
        </w:rPr>
        <w:t xml:space="preserve"> </w:t>
      </w:r>
      <w:r w:rsidR="00CC3286" w:rsidRPr="00B854A1">
        <w:rPr>
          <w:rFonts w:ascii="Arial" w:hAnsi="Arial" w:cs="Arial"/>
          <w:color w:val="000000" w:themeColor="text1"/>
        </w:rPr>
        <w:t xml:space="preserve">MLL-induced </w:t>
      </w:r>
      <w:r w:rsidR="001B7243" w:rsidRPr="00B854A1">
        <w:rPr>
          <w:rFonts w:ascii="Arial" w:hAnsi="Arial" w:cs="Arial"/>
          <w:color w:val="000000" w:themeColor="text1"/>
        </w:rPr>
        <w:t>leukaemia</w:t>
      </w:r>
      <w:r w:rsidR="00CC3286" w:rsidRPr="00B854A1">
        <w:rPr>
          <w:rFonts w:ascii="Arial" w:hAnsi="Arial" w:cs="Arial"/>
          <w:color w:val="000000" w:themeColor="text1"/>
        </w:rPr>
        <w:t xml:space="preserve"> has been linked to high </w:t>
      </w:r>
      <w:r w:rsidR="00CC3286" w:rsidRPr="00B854A1">
        <w:rPr>
          <w:rFonts w:ascii="Arial" w:hAnsi="Arial" w:cs="Arial"/>
          <w:i/>
          <w:color w:val="000000" w:themeColor="text1"/>
        </w:rPr>
        <w:t>HOXA9</w:t>
      </w:r>
      <w:r w:rsidR="00CC3286"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BIB_faber2009hoxa9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18</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CC3286" w:rsidRPr="00B854A1">
        <w:rPr>
          <w:rFonts w:ascii="Arial" w:hAnsi="Arial" w:cs="Arial"/>
          <w:color w:val="000000" w:themeColor="text1"/>
        </w:rPr>
        <w:t xml:space="preserve">, while M3 AML subtype </w:t>
      </w:r>
      <w:r w:rsidR="007A0E50" w:rsidRPr="00B854A1">
        <w:rPr>
          <w:rFonts w:ascii="Arial" w:hAnsi="Arial" w:cs="Arial"/>
          <w:color w:val="000000" w:themeColor="text1"/>
        </w:rPr>
        <w:t>is characterised by</w:t>
      </w:r>
      <w:r w:rsidR="00CC3286" w:rsidRPr="00B854A1">
        <w:rPr>
          <w:rFonts w:ascii="Arial" w:hAnsi="Arial" w:cs="Arial"/>
          <w:color w:val="000000" w:themeColor="text1"/>
        </w:rPr>
        <w:t xml:space="preserve"> </w:t>
      </w:r>
      <w:r w:rsidR="00CC3286" w:rsidRPr="00511ED5">
        <w:rPr>
          <w:rFonts w:ascii="Arial" w:hAnsi="Arial" w:cs="Arial"/>
          <w:i/>
          <w:iCs/>
          <w:color w:val="000000" w:themeColor="text1"/>
        </w:rPr>
        <w:t>PML-RARα</w:t>
      </w:r>
      <w:r w:rsidR="00CC3286" w:rsidRPr="00B854A1">
        <w:rPr>
          <w:rFonts w:ascii="Arial" w:hAnsi="Arial" w:cs="Arial"/>
          <w:color w:val="000000" w:themeColor="text1"/>
        </w:rPr>
        <w:t xml:space="preserve"> translocation and low </w:t>
      </w:r>
      <w:r w:rsidR="00CC3286" w:rsidRPr="00B854A1">
        <w:rPr>
          <w:rFonts w:ascii="Arial" w:hAnsi="Arial" w:cs="Arial"/>
          <w:i/>
          <w:color w:val="000000" w:themeColor="text1"/>
        </w:rPr>
        <w:t>HOXA9</w:t>
      </w:r>
      <w:r w:rsidR="00CC3286" w:rsidRPr="00B854A1">
        <w:rPr>
          <w:rFonts w:ascii="Arial" w:hAnsi="Arial" w:cs="Arial"/>
          <w:color w:val="000000" w:themeColor="text1"/>
        </w:rPr>
        <w:t xml:space="preserve"> in the literature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BIB_rejlova2018low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30</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CC3286" w:rsidRPr="00B854A1">
        <w:rPr>
          <w:rFonts w:ascii="Arial" w:hAnsi="Arial" w:cs="Arial"/>
          <w:color w:val="000000" w:themeColor="text1"/>
        </w:rPr>
        <w:t xml:space="preserve">. Low </w:t>
      </w:r>
      <w:r w:rsidR="00CC3286" w:rsidRPr="00B854A1">
        <w:rPr>
          <w:rFonts w:ascii="Arial" w:hAnsi="Arial" w:cs="Arial"/>
          <w:i/>
          <w:color w:val="000000" w:themeColor="text1"/>
        </w:rPr>
        <w:t>HOXA9</w:t>
      </w:r>
      <w:r w:rsidR="00CC3286" w:rsidRPr="00B854A1">
        <w:rPr>
          <w:rFonts w:ascii="Arial" w:hAnsi="Arial" w:cs="Arial"/>
          <w:color w:val="000000" w:themeColor="text1"/>
        </w:rPr>
        <w:t xml:space="preserve"> expression in AML with </w:t>
      </w:r>
      <w:r w:rsidR="00CC3286" w:rsidRPr="00511ED5">
        <w:rPr>
          <w:rFonts w:ascii="Arial" w:hAnsi="Arial" w:cs="Arial"/>
          <w:i/>
          <w:iCs/>
          <w:color w:val="000000" w:themeColor="text1"/>
        </w:rPr>
        <w:t>RUNX1-RUNXT1</w:t>
      </w:r>
      <w:r w:rsidR="00CC3286" w:rsidRPr="00B854A1">
        <w:rPr>
          <w:rFonts w:ascii="Arial" w:hAnsi="Arial" w:cs="Arial"/>
          <w:color w:val="000000" w:themeColor="text1"/>
        </w:rPr>
        <w:t xml:space="preserve"> and </w:t>
      </w:r>
      <w:r w:rsidR="00CC3286" w:rsidRPr="00511ED5">
        <w:rPr>
          <w:rFonts w:ascii="Arial" w:hAnsi="Arial" w:cs="Arial"/>
          <w:i/>
          <w:iCs/>
          <w:color w:val="000000" w:themeColor="text1"/>
        </w:rPr>
        <w:t>CBFB-MYH11</w:t>
      </w:r>
      <w:r w:rsidR="00CC3286" w:rsidRPr="00B854A1">
        <w:rPr>
          <w:rFonts w:ascii="Arial" w:hAnsi="Arial" w:cs="Arial"/>
          <w:color w:val="000000" w:themeColor="text1"/>
        </w:rPr>
        <w:t xml:space="preserve"> abnormalities, which constitute the core binding factor (CBF) AML, </w:t>
      </w:r>
      <w:r w:rsidR="00046E35" w:rsidRPr="00B854A1">
        <w:rPr>
          <w:rFonts w:ascii="Arial" w:hAnsi="Arial" w:cs="Arial"/>
          <w:color w:val="000000" w:themeColor="text1"/>
        </w:rPr>
        <w:t xml:space="preserve">has also been </w:t>
      </w:r>
      <w:r w:rsidR="00CC3286" w:rsidRPr="00B854A1">
        <w:rPr>
          <w:rFonts w:ascii="Arial" w:hAnsi="Arial" w:cs="Arial"/>
          <w:color w:val="000000" w:themeColor="text1"/>
        </w:rPr>
        <w:t xml:space="preserve">established in literature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BIB_lasa2004meis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31</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CC3286" w:rsidRPr="00B854A1">
        <w:rPr>
          <w:rFonts w:ascii="Arial" w:hAnsi="Arial" w:cs="Arial"/>
          <w:color w:val="000000" w:themeColor="text1"/>
        </w:rPr>
        <w:t xml:space="preserve">. </w:t>
      </w:r>
      <w:r w:rsidR="00046E35" w:rsidRPr="00B854A1">
        <w:rPr>
          <w:rFonts w:ascii="Arial" w:hAnsi="Arial" w:cs="Arial"/>
          <w:color w:val="000000" w:themeColor="text1"/>
        </w:rPr>
        <w:t>Our findings</w:t>
      </w:r>
      <w:r w:rsidR="00E06464" w:rsidRPr="00B854A1">
        <w:rPr>
          <w:rFonts w:ascii="Arial" w:hAnsi="Arial" w:cs="Arial"/>
          <w:color w:val="000000" w:themeColor="text1"/>
        </w:rPr>
        <w:t xml:space="preserve"> confirm these </w:t>
      </w:r>
      <w:r w:rsidR="00046E35" w:rsidRPr="00B854A1">
        <w:rPr>
          <w:rFonts w:ascii="Arial" w:hAnsi="Arial" w:cs="Arial"/>
          <w:color w:val="000000" w:themeColor="text1"/>
        </w:rPr>
        <w:t xml:space="preserve">observations </w:t>
      </w:r>
      <w:r w:rsidR="00E06464" w:rsidRPr="00B854A1">
        <w:rPr>
          <w:rFonts w:ascii="Arial" w:hAnsi="Arial" w:cs="Arial"/>
          <w:color w:val="000000" w:themeColor="text1"/>
        </w:rPr>
        <w:t>and</w:t>
      </w:r>
      <w:r w:rsidR="00CC3286" w:rsidRPr="00B854A1">
        <w:rPr>
          <w:rFonts w:ascii="Arial" w:hAnsi="Arial" w:cs="Arial"/>
          <w:color w:val="000000" w:themeColor="text1"/>
        </w:rPr>
        <w:t xml:space="preserve"> further establish the correlation between high </w:t>
      </w:r>
      <w:r w:rsidR="00CC3286" w:rsidRPr="00B854A1">
        <w:rPr>
          <w:rFonts w:ascii="Arial" w:hAnsi="Arial" w:cs="Arial"/>
          <w:i/>
          <w:color w:val="000000" w:themeColor="text1"/>
        </w:rPr>
        <w:t>HOXA9</w:t>
      </w:r>
      <w:r w:rsidR="00CC3286" w:rsidRPr="00B854A1">
        <w:rPr>
          <w:rFonts w:ascii="Arial" w:hAnsi="Arial" w:cs="Arial"/>
          <w:color w:val="000000" w:themeColor="text1"/>
        </w:rPr>
        <w:t xml:space="preserve"> expression and the M0 and M5 subtypes </w:t>
      </w:r>
      <w:r w:rsidR="00046E35" w:rsidRPr="00B854A1">
        <w:rPr>
          <w:rFonts w:ascii="Arial" w:hAnsi="Arial" w:cs="Arial"/>
          <w:color w:val="000000" w:themeColor="text1"/>
        </w:rPr>
        <w:t>in addition to</w:t>
      </w:r>
      <w:r w:rsidR="00CC3286" w:rsidRPr="00B854A1">
        <w:rPr>
          <w:rFonts w:ascii="Arial" w:hAnsi="Arial" w:cs="Arial"/>
          <w:color w:val="000000" w:themeColor="text1"/>
        </w:rPr>
        <w:t xml:space="preserve"> complex cytogenetics. Finally, we </w:t>
      </w:r>
      <w:r w:rsidR="003208FA" w:rsidRPr="00B854A1">
        <w:rPr>
          <w:rFonts w:ascii="Arial" w:hAnsi="Arial" w:cs="Arial"/>
          <w:color w:val="000000" w:themeColor="text1"/>
        </w:rPr>
        <w:t>searched for</w:t>
      </w:r>
      <w:r w:rsidR="00CC3286" w:rsidRPr="00B854A1">
        <w:rPr>
          <w:rFonts w:ascii="Arial" w:hAnsi="Arial" w:cs="Arial"/>
          <w:color w:val="000000" w:themeColor="text1"/>
        </w:rPr>
        <w:t xml:space="preserve"> other clinical </w:t>
      </w:r>
      <w:r w:rsidR="003208FA" w:rsidRPr="00B854A1">
        <w:rPr>
          <w:rFonts w:ascii="Arial" w:hAnsi="Arial" w:cs="Arial"/>
          <w:color w:val="000000" w:themeColor="text1"/>
        </w:rPr>
        <w:t>difference</w:t>
      </w:r>
      <w:r w:rsidR="009F332B">
        <w:rPr>
          <w:rFonts w:ascii="Arial" w:hAnsi="Arial" w:cs="Arial"/>
          <w:color w:val="000000" w:themeColor="text1"/>
        </w:rPr>
        <w:t>s</w:t>
      </w:r>
      <w:r w:rsidR="003208FA" w:rsidRPr="00B854A1">
        <w:rPr>
          <w:rFonts w:ascii="Arial" w:hAnsi="Arial" w:cs="Arial"/>
          <w:color w:val="000000" w:themeColor="text1"/>
        </w:rPr>
        <w:t xml:space="preserve"> between cohorts, finding</w:t>
      </w:r>
      <w:r w:rsidR="00CC3286" w:rsidRPr="00B854A1">
        <w:rPr>
          <w:rFonts w:ascii="Arial" w:hAnsi="Arial" w:cs="Arial"/>
          <w:color w:val="000000" w:themeColor="text1"/>
        </w:rPr>
        <w:t xml:space="preserve"> that </w:t>
      </w:r>
      <w:r w:rsidR="00CC3286" w:rsidRPr="00B854A1">
        <w:rPr>
          <w:rFonts w:ascii="Arial" w:hAnsi="Arial" w:cs="Arial"/>
          <w:i/>
          <w:color w:val="000000" w:themeColor="text1"/>
        </w:rPr>
        <w:t>HOXA9</w:t>
      </w:r>
      <w:r w:rsidR="00CC3286" w:rsidRPr="00B854A1">
        <w:rPr>
          <w:rFonts w:ascii="Arial" w:hAnsi="Arial" w:cs="Arial"/>
          <w:color w:val="000000" w:themeColor="text1"/>
        </w:rPr>
        <w:t xml:space="preserve"> expression correlates with age, white blood cell count (WBC) and blast percentage in the bone marrow (Fig. </w:t>
      </w:r>
      <w:r w:rsidR="00B40077" w:rsidRPr="00B854A1">
        <w:rPr>
          <w:rFonts w:ascii="Arial" w:hAnsi="Arial" w:cs="Arial"/>
          <w:color w:val="000000" w:themeColor="text1"/>
        </w:rPr>
        <w:t>S</w:t>
      </w:r>
      <w:r w:rsidR="00740E00" w:rsidRPr="00B854A1">
        <w:rPr>
          <w:rFonts w:ascii="Arial" w:hAnsi="Arial" w:cs="Arial"/>
          <w:color w:val="000000" w:themeColor="text1"/>
        </w:rPr>
        <w:t>4</w:t>
      </w:r>
      <w:r w:rsidR="00D13BF6">
        <w:rPr>
          <w:rFonts w:ascii="Arial" w:hAnsi="Arial" w:cs="Arial"/>
          <w:color w:val="000000" w:themeColor="text1"/>
        </w:rPr>
        <w:t>c</w:t>
      </w:r>
      <w:r w:rsidR="00CC3286" w:rsidRPr="00B854A1">
        <w:rPr>
          <w:rFonts w:ascii="Arial" w:hAnsi="Arial" w:cs="Arial"/>
          <w:color w:val="000000" w:themeColor="text1"/>
        </w:rPr>
        <w:t xml:space="preserve">). </w:t>
      </w:r>
      <w:r w:rsidR="00187162" w:rsidRPr="00B854A1">
        <w:rPr>
          <w:rFonts w:ascii="Arial" w:hAnsi="Arial" w:cs="Arial"/>
          <w:color w:val="000000" w:themeColor="text1"/>
        </w:rPr>
        <w:t>The</w:t>
      </w:r>
      <w:r w:rsidR="005F6F7C" w:rsidRPr="00B854A1">
        <w:rPr>
          <w:rFonts w:ascii="Arial" w:hAnsi="Arial" w:cs="Arial"/>
          <w:color w:val="000000" w:themeColor="text1"/>
        </w:rPr>
        <w:t>se</w:t>
      </w:r>
      <w:r w:rsidR="00187162" w:rsidRPr="00B854A1">
        <w:rPr>
          <w:rFonts w:ascii="Arial" w:hAnsi="Arial" w:cs="Arial"/>
          <w:color w:val="000000" w:themeColor="text1"/>
        </w:rPr>
        <w:t xml:space="preserve"> divergent characteristics </w:t>
      </w:r>
      <w:r w:rsidR="005F6F7C" w:rsidRPr="00B854A1">
        <w:rPr>
          <w:rFonts w:ascii="Arial" w:hAnsi="Arial" w:cs="Arial"/>
          <w:color w:val="000000" w:themeColor="text1"/>
        </w:rPr>
        <w:t>between cohorts</w:t>
      </w:r>
      <w:r w:rsidR="00187162" w:rsidRPr="00B854A1">
        <w:rPr>
          <w:rFonts w:ascii="Arial" w:hAnsi="Arial" w:cs="Arial"/>
          <w:color w:val="000000" w:themeColor="text1"/>
        </w:rPr>
        <w:t xml:space="preserve"> suggest</w:t>
      </w:r>
      <w:r w:rsidR="005F6F7C" w:rsidRPr="00B854A1">
        <w:rPr>
          <w:rFonts w:ascii="Arial" w:hAnsi="Arial" w:cs="Arial"/>
          <w:color w:val="000000" w:themeColor="text1"/>
        </w:rPr>
        <w:t xml:space="preserve"> that</w:t>
      </w:r>
      <w:r w:rsidR="00187162" w:rsidRPr="00B854A1">
        <w:rPr>
          <w:rFonts w:ascii="Arial" w:hAnsi="Arial" w:cs="Arial"/>
          <w:color w:val="000000" w:themeColor="text1"/>
        </w:rPr>
        <w:t xml:space="preserve"> the observed bimodality is not induced by external</w:t>
      </w:r>
      <w:r w:rsidR="007E44AD" w:rsidRPr="00B854A1">
        <w:rPr>
          <w:rFonts w:ascii="Arial" w:hAnsi="Arial" w:cs="Arial"/>
          <w:color w:val="000000" w:themeColor="text1"/>
        </w:rPr>
        <w:t>/</w:t>
      </w:r>
      <w:r w:rsidR="004903BB" w:rsidRPr="00B854A1">
        <w:rPr>
          <w:rFonts w:ascii="Arial" w:hAnsi="Arial" w:cs="Arial"/>
          <w:color w:val="000000" w:themeColor="text1"/>
        </w:rPr>
        <w:t>sequencing</w:t>
      </w:r>
      <w:r w:rsidR="00187162" w:rsidRPr="00B854A1">
        <w:rPr>
          <w:rFonts w:ascii="Arial" w:hAnsi="Arial" w:cs="Arial"/>
          <w:color w:val="000000" w:themeColor="text1"/>
        </w:rPr>
        <w:t xml:space="preserve"> factors.</w:t>
      </w:r>
    </w:p>
    <w:p w14:paraId="3FCE0999" w14:textId="77777777" w:rsidR="00960BED" w:rsidRPr="00B854A1" w:rsidRDefault="00960BED" w:rsidP="00CC3286">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42024CAF" w14:textId="766E23FE" w:rsidR="00CC3286" w:rsidRPr="00B854A1" w:rsidRDefault="00CC3286" w:rsidP="00CC3286">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511ED5">
        <w:rPr>
          <w:rFonts w:ascii="Arial" w:hAnsi="Arial" w:cs="Arial"/>
          <w:i/>
          <w:iCs/>
          <w:color w:val="000000" w:themeColor="text1"/>
        </w:rPr>
        <w:t>PML-RARα</w:t>
      </w:r>
      <w:r w:rsidRPr="00B854A1">
        <w:rPr>
          <w:rFonts w:ascii="Arial" w:hAnsi="Arial" w:cs="Arial"/>
          <w:color w:val="000000" w:themeColor="text1"/>
        </w:rPr>
        <w:t xml:space="preserve">, </w:t>
      </w:r>
      <w:r w:rsidRPr="00511ED5">
        <w:rPr>
          <w:rFonts w:ascii="Arial" w:hAnsi="Arial" w:cs="Arial"/>
          <w:i/>
          <w:iCs/>
          <w:color w:val="000000" w:themeColor="text1"/>
        </w:rPr>
        <w:t>RUNX1-RUNXT1</w:t>
      </w:r>
      <w:r w:rsidRPr="00B854A1">
        <w:rPr>
          <w:rFonts w:ascii="Arial" w:hAnsi="Arial" w:cs="Arial"/>
          <w:color w:val="000000" w:themeColor="text1"/>
        </w:rPr>
        <w:t xml:space="preserve"> (AML1-ETO) or </w:t>
      </w:r>
      <w:r w:rsidRPr="00511ED5">
        <w:rPr>
          <w:rFonts w:ascii="Arial" w:hAnsi="Arial" w:cs="Arial"/>
          <w:i/>
          <w:iCs/>
          <w:color w:val="000000" w:themeColor="text1"/>
        </w:rPr>
        <w:t>CBFB-MYH11</w:t>
      </w:r>
      <w:r w:rsidRPr="00B854A1">
        <w:rPr>
          <w:rFonts w:ascii="Arial" w:hAnsi="Arial" w:cs="Arial"/>
          <w:color w:val="000000" w:themeColor="text1"/>
        </w:rPr>
        <w:t xml:space="preserve"> chromosomal abnormalities </w:t>
      </w:r>
      <w:r w:rsidR="0053183A" w:rsidRPr="00B854A1">
        <w:rPr>
          <w:rFonts w:ascii="Arial" w:hAnsi="Arial" w:cs="Arial"/>
          <w:color w:val="000000" w:themeColor="text1"/>
        </w:rPr>
        <w:t xml:space="preserve">predict </w:t>
      </w:r>
      <w:r w:rsidRPr="00B854A1">
        <w:rPr>
          <w:rFonts w:ascii="Arial" w:hAnsi="Arial" w:cs="Arial"/>
          <w:color w:val="000000" w:themeColor="text1"/>
        </w:rPr>
        <w:t xml:space="preserve">good prognosis in AML patients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BIB_byrd2002pretreatment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32</w:t>
      </w:r>
      <w:r w:rsidR="005D547F" w:rsidRPr="00B854A1">
        <w:rPr>
          <w:rFonts w:ascii="Arial" w:hAnsi="Arial" w:cs="Arial"/>
          <w:color w:val="000000" w:themeColor="text1"/>
        </w:rPr>
        <w:fldChar w:fldCharType="end"/>
      </w:r>
      <w:r w:rsidR="005D547F" w:rsidRPr="00B854A1">
        <w:rPr>
          <w:rFonts w:ascii="Arial" w:hAnsi="Arial" w:cs="Arial"/>
          <w:color w:val="000000" w:themeColor="text1"/>
        </w:rPr>
        <w:t xml:space="preserve">, </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BIB_wang2008acute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33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All these aberrations are linked to low </w:t>
      </w:r>
      <w:r w:rsidRPr="00B854A1">
        <w:rPr>
          <w:rFonts w:ascii="Arial" w:hAnsi="Arial" w:cs="Arial"/>
          <w:i/>
          <w:color w:val="000000" w:themeColor="text1"/>
        </w:rPr>
        <w:t>HOXA9</w:t>
      </w:r>
      <w:r w:rsidRPr="00B854A1">
        <w:rPr>
          <w:rFonts w:ascii="Arial" w:hAnsi="Arial" w:cs="Arial"/>
          <w:color w:val="000000" w:themeColor="text1"/>
        </w:rPr>
        <w:t xml:space="preserve"> expression which also exhibits good survival prognosis among patients compared to high expression. To confirm that high </w:t>
      </w:r>
      <w:r w:rsidRPr="00B854A1">
        <w:rPr>
          <w:rFonts w:ascii="Arial" w:hAnsi="Arial" w:cs="Arial"/>
          <w:i/>
          <w:color w:val="000000" w:themeColor="text1"/>
        </w:rPr>
        <w:t>HOXA9</w:t>
      </w:r>
      <w:r w:rsidRPr="00B854A1">
        <w:rPr>
          <w:rFonts w:ascii="Arial" w:hAnsi="Arial" w:cs="Arial"/>
          <w:color w:val="000000" w:themeColor="text1"/>
        </w:rPr>
        <w:t xml:space="preserve"> is a marker </w:t>
      </w:r>
      <w:r w:rsidR="00973E47" w:rsidRPr="00B854A1">
        <w:rPr>
          <w:rFonts w:ascii="Arial" w:hAnsi="Arial" w:cs="Arial"/>
          <w:color w:val="000000" w:themeColor="text1"/>
        </w:rPr>
        <w:t xml:space="preserve">of poor prognosis </w:t>
      </w:r>
      <w:r w:rsidRPr="00B854A1">
        <w:rPr>
          <w:rFonts w:ascii="Arial" w:hAnsi="Arial" w:cs="Arial"/>
          <w:color w:val="000000" w:themeColor="text1"/>
        </w:rPr>
        <w:t xml:space="preserve">independently of its associated molecular aberrations or FAB subtypes, we </w:t>
      </w:r>
      <w:r w:rsidR="0053183A" w:rsidRPr="00B854A1">
        <w:rPr>
          <w:rFonts w:ascii="Arial" w:hAnsi="Arial" w:cs="Arial"/>
          <w:color w:val="000000" w:themeColor="text1"/>
        </w:rPr>
        <w:t>studied</w:t>
      </w:r>
      <w:r w:rsidRPr="00B854A1">
        <w:rPr>
          <w:rFonts w:ascii="Arial" w:hAnsi="Arial" w:cs="Arial"/>
          <w:color w:val="000000" w:themeColor="text1"/>
        </w:rPr>
        <w:t xml:space="preserve"> survival outcomes within FAB classes. M0, M3 and M5 being all specific to one cohort, we examine</w:t>
      </w:r>
      <w:r w:rsidR="0053183A" w:rsidRPr="00B854A1">
        <w:rPr>
          <w:rFonts w:ascii="Arial" w:hAnsi="Arial" w:cs="Arial"/>
          <w:color w:val="000000" w:themeColor="text1"/>
        </w:rPr>
        <w:t>d</w:t>
      </w:r>
      <w:r w:rsidRPr="00B854A1">
        <w:rPr>
          <w:rFonts w:ascii="Arial" w:hAnsi="Arial" w:cs="Arial"/>
          <w:color w:val="000000" w:themeColor="text1"/>
        </w:rPr>
        <w:t xml:space="preserve"> the survival of patients </w:t>
      </w:r>
      <w:r w:rsidRPr="00B854A1">
        <w:rPr>
          <w:rFonts w:ascii="Arial" w:hAnsi="Arial" w:cs="Arial"/>
          <w:color w:val="000000" w:themeColor="text1"/>
        </w:rPr>
        <w:lastRenderedPageBreak/>
        <w:t xml:space="preserve">within the M2 and M4 subtypes for high and low </w:t>
      </w:r>
      <w:r w:rsidRPr="00B854A1">
        <w:rPr>
          <w:rFonts w:ascii="Arial" w:hAnsi="Arial" w:cs="Arial"/>
          <w:i/>
          <w:color w:val="000000" w:themeColor="text1"/>
        </w:rPr>
        <w:t>HOXA9</w:t>
      </w:r>
      <w:r w:rsidRPr="00B854A1">
        <w:rPr>
          <w:rFonts w:ascii="Arial" w:hAnsi="Arial" w:cs="Arial"/>
          <w:color w:val="000000" w:themeColor="text1"/>
        </w:rPr>
        <w:t xml:space="preserve"> expression. Survival curves and log rank tests within both subtypes confirm the marker </w:t>
      </w:r>
      <w:r w:rsidR="00973E47" w:rsidRPr="00B854A1">
        <w:rPr>
          <w:rFonts w:ascii="Arial" w:hAnsi="Arial" w:cs="Arial"/>
          <w:color w:val="000000" w:themeColor="text1"/>
        </w:rPr>
        <w:t xml:space="preserve">of poor prognosis </w:t>
      </w:r>
      <w:r w:rsidRPr="00B854A1">
        <w:rPr>
          <w:rFonts w:ascii="Arial" w:hAnsi="Arial" w:cs="Arial"/>
          <w:color w:val="000000" w:themeColor="text1"/>
        </w:rPr>
        <w:t xml:space="preserve">function of high </w:t>
      </w:r>
      <w:r w:rsidRPr="00B854A1">
        <w:rPr>
          <w:rFonts w:ascii="Arial" w:hAnsi="Arial" w:cs="Arial"/>
          <w:i/>
          <w:color w:val="000000" w:themeColor="text1"/>
        </w:rPr>
        <w:t>HOXA9</w:t>
      </w:r>
      <w:r w:rsidRPr="00B854A1">
        <w:rPr>
          <w:rFonts w:ascii="Arial" w:hAnsi="Arial" w:cs="Arial"/>
          <w:color w:val="000000" w:themeColor="text1"/>
        </w:rPr>
        <w:t xml:space="preserve"> (Fig. S</w:t>
      </w:r>
      <w:r w:rsidR="00D92E69" w:rsidRPr="00B854A1">
        <w:rPr>
          <w:rFonts w:ascii="Arial" w:hAnsi="Arial" w:cs="Arial"/>
          <w:color w:val="000000" w:themeColor="text1"/>
        </w:rPr>
        <w:t>8</w:t>
      </w:r>
      <w:r w:rsidRPr="00B854A1">
        <w:rPr>
          <w:rFonts w:ascii="Arial" w:hAnsi="Arial" w:cs="Arial"/>
          <w:color w:val="000000" w:themeColor="text1"/>
        </w:rPr>
        <w:t xml:space="preserve"> and S</w:t>
      </w:r>
      <w:r w:rsidR="00D92E69" w:rsidRPr="00B854A1">
        <w:rPr>
          <w:rFonts w:ascii="Arial" w:hAnsi="Arial" w:cs="Arial"/>
          <w:color w:val="000000" w:themeColor="text1"/>
        </w:rPr>
        <w:t>9</w:t>
      </w:r>
      <w:r w:rsidRPr="00B854A1">
        <w:rPr>
          <w:rFonts w:ascii="Arial" w:hAnsi="Arial" w:cs="Arial"/>
          <w:color w:val="000000" w:themeColor="text1"/>
        </w:rPr>
        <w:t xml:space="preserve">). </w:t>
      </w:r>
      <w:r w:rsidR="004539ED" w:rsidRPr="00B854A1">
        <w:rPr>
          <w:rFonts w:ascii="Arial" w:hAnsi="Arial" w:cs="Arial"/>
          <w:color w:val="000000" w:themeColor="text1"/>
        </w:rPr>
        <w:t>Overall our findings</w:t>
      </w:r>
      <w:r w:rsidRPr="00B854A1">
        <w:rPr>
          <w:rFonts w:ascii="Arial" w:hAnsi="Arial" w:cs="Arial"/>
          <w:color w:val="000000" w:themeColor="text1"/>
        </w:rPr>
        <w:t xml:space="preserve"> </w:t>
      </w:r>
      <w:r w:rsidR="0084254D" w:rsidRPr="00B854A1">
        <w:rPr>
          <w:rFonts w:ascii="Arial" w:hAnsi="Arial" w:cs="Arial"/>
          <w:color w:val="000000" w:themeColor="text1"/>
        </w:rPr>
        <w:t xml:space="preserve">are consistent with </w:t>
      </w:r>
      <w:r w:rsidR="0084254D" w:rsidRPr="00B854A1">
        <w:rPr>
          <w:rFonts w:ascii="Arial" w:hAnsi="Arial" w:cs="Arial"/>
          <w:i/>
          <w:color w:val="000000" w:themeColor="text1"/>
        </w:rPr>
        <w:t>HOXA9</w:t>
      </w:r>
      <w:r w:rsidR="0084254D" w:rsidRPr="00B854A1">
        <w:rPr>
          <w:rFonts w:ascii="Arial" w:hAnsi="Arial" w:cs="Arial"/>
          <w:color w:val="000000" w:themeColor="text1"/>
        </w:rPr>
        <w:t xml:space="preserve"> becoming trapped in high- or low- expression states </w:t>
      </w:r>
      <w:r w:rsidR="00DA4CB3" w:rsidRPr="00B854A1">
        <w:rPr>
          <w:rFonts w:ascii="Arial" w:hAnsi="Arial" w:cs="Arial"/>
          <w:color w:val="000000" w:themeColor="text1"/>
        </w:rPr>
        <w:t xml:space="preserve">through self-activation </w:t>
      </w:r>
      <w:r w:rsidR="0084254D" w:rsidRPr="00B854A1">
        <w:rPr>
          <w:rFonts w:ascii="Arial" w:hAnsi="Arial" w:cs="Arial"/>
          <w:color w:val="000000" w:themeColor="text1"/>
        </w:rPr>
        <w:t>in</w:t>
      </w:r>
      <w:r w:rsidRPr="00B854A1">
        <w:rPr>
          <w:rFonts w:ascii="Arial" w:hAnsi="Arial" w:cs="Arial"/>
          <w:color w:val="000000" w:themeColor="text1"/>
        </w:rPr>
        <w:t xml:space="preserve"> AML diseases.</w:t>
      </w:r>
    </w:p>
    <w:p w14:paraId="234FA0D1" w14:textId="77777777" w:rsidR="005E2618" w:rsidRPr="00B854A1" w:rsidRDefault="005E2618" w:rsidP="00DB48C8">
      <w:pPr>
        <w:pBdr>
          <w:top w:val="nil"/>
          <w:left w:val="nil"/>
          <w:bottom w:val="nil"/>
          <w:right w:val="nil"/>
          <w:between w:val="nil"/>
        </w:pBdr>
        <w:spacing w:after="0" w:line="480" w:lineRule="auto"/>
        <w:contextualSpacing/>
        <w:jc w:val="both"/>
        <w:rPr>
          <w:rFonts w:ascii="Arial" w:hAnsi="Arial" w:cs="Arial"/>
          <w:color w:val="000000" w:themeColor="text1"/>
        </w:rPr>
      </w:pPr>
    </w:p>
    <w:p w14:paraId="455DEC3F" w14:textId="43DD6B48" w:rsidR="00CC1E78" w:rsidRPr="00B854A1" w:rsidRDefault="00063D28" w:rsidP="00DB48C8">
      <w:pPr>
        <w:pStyle w:val="ListParagraph"/>
        <w:numPr>
          <w:ilvl w:val="0"/>
          <w:numId w:val="1"/>
        </w:numPr>
        <w:spacing w:after="160" w:line="480" w:lineRule="auto"/>
        <w:jc w:val="both"/>
        <w:rPr>
          <w:rFonts w:ascii="Arial" w:hAnsi="Arial" w:cs="Arial"/>
          <w:b/>
          <w:color w:val="000000" w:themeColor="text1"/>
        </w:rPr>
      </w:pPr>
      <w:r w:rsidRPr="00B854A1">
        <w:rPr>
          <w:rFonts w:ascii="Arial" w:hAnsi="Arial" w:cs="Arial"/>
          <w:b/>
          <w:color w:val="000000" w:themeColor="text1"/>
        </w:rPr>
        <w:t>T</w:t>
      </w:r>
      <w:r w:rsidR="00570AFA" w:rsidRPr="00B854A1">
        <w:rPr>
          <w:rFonts w:ascii="Arial" w:hAnsi="Arial" w:cs="Arial"/>
          <w:b/>
          <w:color w:val="000000" w:themeColor="text1"/>
        </w:rPr>
        <w:t xml:space="preserve">he </w:t>
      </w:r>
      <w:r w:rsidR="00D74765" w:rsidRPr="00B854A1">
        <w:rPr>
          <w:rFonts w:ascii="Arial" w:hAnsi="Arial" w:cs="Arial"/>
          <w:b/>
          <w:i/>
          <w:color w:val="000000" w:themeColor="text1"/>
        </w:rPr>
        <w:t>JAK2</w:t>
      </w:r>
      <w:r w:rsidR="00570AFA" w:rsidRPr="00B854A1">
        <w:rPr>
          <w:rFonts w:ascii="Arial" w:hAnsi="Arial" w:cs="Arial"/>
          <w:b/>
          <w:color w:val="000000" w:themeColor="text1"/>
        </w:rPr>
        <w:t>/</w:t>
      </w:r>
      <w:r w:rsidR="00BD2352" w:rsidRPr="00B854A1">
        <w:rPr>
          <w:rFonts w:ascii="Arial" w:hAnsi="Arial" w:cs="Arial"/>
          <w:b/>
          <w:i/>
          <w:color w:val="000000" w:themeColor="text1"/>
        </w:rPr>
        <w:t>TET2</w:t>
      </w:r>
      <w:r w:rsidR="00570AFA" w:rsidRPr="00B854A1">
        <w:rPr>
          <w:rFonts w:ascii="Arial" w:hAnsi="Arial" w:cs="Arial"/>
          <w:b/>
          <w:color w:val="000000" w:themeColor="text1"/>
        </w:rPr>
        <w:t>/</w:t>
      </w:r>
      <w:r w:rsidR="00BD2352" w:rsidRPr="00B854A1">
        <w:rPr>
          <w:rFonts w:ascii="Arial" w:hAnsi="Arial" w:cs="Arial"/>
          <w:b/>
          <w:i/>
          <w:color w:val="000000" w:themeColor="text1"/>
        </w:rPr>
        <w:t>HOXA9</w:t>
      </w:r>
      <w:r w:rsidR="00570AFA" w:rsidRPr="00B854A1">
        <w:rPr>
          <w:rFonts w:ascii="Arial" w:hAnsi="Arial" w:cs="Arial"/>
          <w:b/>
          <w:color w:val="000000" w:themeColor="text1"/>
        </w:rPr>
        <w:t xml:space="preserve"> </w:t>
      </w:r>
      <w:r w:rsidR="00570AFA" w:rsidRPr="002C6F32">
        <w:rPr>
          <w:rFonts w:ascii="Arial" w:hAnsi="Arial" w:cs="Arial"/>
          <w:b/>
          <w:color w:val="000000" w:themeColor="text1"/>
        </w:rPr>
        <w:t xml:space="preserve">motif </w:t>
      </w:r>
      <w:r w:rsidR="00E17E9F" w:rsidRPr="002C6F32">
        <w:rPr>
          <w:rFonts w:ascii="Arial" w:hAnsi="Arial" w:cs="Arial"/>
          <w:b/>
          <w:color w:val="000000" w:themeColor="text1"/>
        </w:rPr>
        <w:t>can</w:t>
      </w:r>
      <w:r w:rsidR="002048CD" w:rsidRPr="002C6F32">
        <w:rPr>
          <w:rFonts w:ascii="Arial" w:hAnsi="Arial" w:cs="Arial"/>
          <w:b/>
          <w:color w:val="000000" w:themeColor="text1"/>
        </w:rPr>
        <w:t xml:space="preserve"> </w:t>
      </w:r>
      <w:r w:rsidRPr="002C6F32">
        <w:rPr>
          <w:rFonts w:ascii="Arial" w:hAnsi="Arial" w:cs="Arial"/>
          <w:b/>
          <w:color w:val="000000" w:themeColor="text1"/>
        </w:rPr>
        <w:t>explain</w:t>
      </w:r>
      <w:r w:rsidR="00570AFA" w:rsidRPr="002C6F32">
        <w:rPr>
          <w:rFonts w:ascii="Arial" w:hAnsi="Arial" w:cs="Arial"/>
          <w:b/>
          <w:color w:val="000000" w:themeColor="text1"/>
        </w:rPr>
        <w:t xml:space="preserve"> divergent disease clinical outcomes</w:t>
      </w:r>
      <w:r w:rsidRPr="002C6F32">
        <w:rPr>
          <w:rFonts w:ascii="Arial" w:hAnsi="Arial" w:cs="Arial"/>
          <w:b/>
          <w:color w:val="000000" w:themeColor="text1"/>
        </w:rPr>
        <w:t xml:space="preserve"> in MPN</w:t>
      </w:r>
      <w:r w:rsidR="00570AFA" w:rsidRPr="002C6F32">
        <w:rPr>
          <w:rFonts w:ascii="Arial" w:hAnsi="Arial" w:cs="Arial"/>
          <w:b/>
          <w:color w:val="000000" w:themeColor="text1"/>
        </w:rPr>
        <w:t>.</w:t>
      </w:r>
    </w:p>
    <w:p w14:paraId="7042AC9B" w14:textId="7505992F" w:rsidR="00EF7C61" w:rsidRPr="00B854A1" w:rsidRDefault="00754246" w:rsidP="00EF7C61">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iCs/>
          <w:color w:val="000000" w:themeColor="text1"/>
        </w:rPr>
        <w:t xml:space="preserve">The identification of MPN patients </w:t>
      </w:r>
      <w:r w:rsidR="000A0364" w:rsidRPr="00B854A1">
        <w:rPr>
          <w:rFonts w:ascii="Arial" w:hAnsi="Arial" w:cs="Arial"/>
          <w:iCs/>
          <w:color w:val="000000" w:themeColor="text1"/>
        </w:rPr>
        <w:t>at</w:t>
      </w:r>
      <w:r w:rsidRPr="00B854A1">
        <w:rPr>
          <w:rFonts w:ascii="Arial" w:hAnsi="Arial" w:cs="Arial"/>
          <w:iCs/>
          <w:color w:val="000000" w:themeColor="text1"/>
        </w:rPr>
        <w:t xml:space="preserve"> higher risk </w:t>
      </w:r>
      <w:r w:rsidR="000A0364" w:rsidRPr="00B854A1">
        <w:rPr>
          <w:rFonts w:ascii="Arial" w:hAnsi="Arial" w:cs="Arial"/>
          <w:iCs/>
          <w:color w:val="000000" w:themeColor="text1"/>
        </w:rPr>
        <w:t>of</w:t>
      </w:r>
      <w:r w:rsidRPr="00B854A1">
        <w:rPr>
          <w:rFonts w:ascii="Arial" w:hAnsi="Arial" w:cs="Arial"/>
          <w:iCs/>
          <w:color w:val="000000" w:themeColor="text1"/>
        </w:rPr>
        <w:t xml:space="preserve"> develop</w:t>
      </w:r>
      <w:r w:rsidR="000A0364" w:rsidRPr="00B854A1">
        <w:rPr>
          <w:rFonts w:ascii="Arial" w:hAnsi="Arial" w:cs="Arial"/>
          <w:iCs/>
          <w:color w:val="000000" w:themeColor="text1"/>
        </w:rPr>
        <w:t>ing</w:t>
      </w:r>
      <w:r w:rsidRPr="00B854A1">
        <w:rPr>
          <w:rFonts w:ascii="Arial" w:hAnsi="Arial" w:cs="Arial"/>
          <w:iCs/>
          <w:color w:val="000000" w:themeColor="text1"/>
        </w:rPr>
        <w:t xml:space="preserve"> AML remains a major clinical challenge</w:t>
      </w:r>
      <w:r w:rsidRPr="00B854A1">
        <w:rPr>
          <w:rFonts w:ascii="Arial" w:hAnsi="Arial" w:cs="Arial"/>
          <w:i/>
          <w:color w:val="000000" w:themeColor="text1"/>
        </w:rPr>
        <w:t xml:space="preserve">. </w:t>
      </w:r>
      <w:r w:rsidR="00EF7C61" w:rsidRPr="00B854A1">
        <w:rPr>
          <w:rFonts w:ascii="Arial" w:hAnsi="Arial" w:cs="Arial"/>
          <w:i/>
          <w:color w:val="000000" w:themeColor="text1"/>
        </w:rPr>
        <w:t>JAK2</w:t>
      </w:r>
      <w:r w:rsidR="00EF7C61" w:rsidRPr="00B854A1">
        <w:rPr>
          <w:rFonts w:ascii="Arial" w:hAnsi="Arial" w:cs="Arial"/>
          <w:color w:val="000000" w:themeColor="text1"/>
        </w:rPr>
        <w:t xml:space="preserve"> is the m</w:t>
      </w:r>
      <w:r w:rsidR="008B5EA8" w:rsidRPr="00B854A1">
        <w:rPr>
          <w:rFonts w:ascii="Arial" w:hAnsi="Arial" w:cs="Arial"/>
          <w:color w:val="000000" w:themeColor="text1"/>
        </w:rPr>
        <w:t>ost common</w:t>
      </w:r>
      <w:r w:rsidR="00630D3E" w:rsidRPr="00B854A1">
        <w:rPr>
          <w:rFonts w:ascii="Arial" w:hAnsi="Arial" w:cs="Arial"/>
          <w:color w:val="000000" w:themeColor="text1"/>
        </w:rPr>
        <w:t>ly</w:t>
      </w:r>
      <w:r w:rsidR="008B5EA8" w:rsidRPr="00B854A1">
        <w:rPr>
          <w:rFonts w:ascii="Arial" w:hAnsi="Arial" w:cs="Arial"/>
          <w:color w:val="000000" w:themeColor="text1"/>
        </w:rPr>
        <w:t xml:space="preserve"> mutated</w:t>
      </w:r>
      <w:r w:rsidR="00EF7C61" w:rsidRPr="00B854A1">
        <w:rPr>
          <w:rFonts w:ascii="Arial" w:hAnsi="Arial" w:cs="Arial"/>
          <w:color w:val="000000" w:themeColor="text1"/>
        </w:rPr>
        <w:t xml:space="preserve"> </w:t>
      </w:r>
      <w:r w:rsidR="008B5EA8" w:rsidRPr="00B854A1">
        <w:rPr>
          <w:rFonts w:ascii="Arial" w:hAnsi="Arial" w:cs="Arial"/>
          <w:color w:val="000000" w:themeColor="text1"/>
        </w:rPr>
        <w:t>gene</w:t>
      </w:r>
      <w:r w:rsidR="00EF7C61" w:rsidRPr="00B854A1">
        <w:rPr>
          <w:rFonts w:ascii="Arial" w:hAnsi="Arial" w:cs="Arial"/>
          <w:color w:val="000000" w:themeColor="text1"/>
        </w:rPr>
        <w:t xml:space="preserve"> in </w:t>
      </w:r>
      <w:r w:rsidR="00682C4D" w:rsidRPr="00B854A1">
        <w:rPr>
          <w:rFonts w:ascii="Arial" w:hAnsi="Arial" w:cs="Arial"/>
          <w:color w:val="000000" w:themeColor="text1"/>
        </w:rPr>
        <w:t>many</w:t>
      </w:r>
      <w:r w:rsidR="00EF7C61" w:rsidRPr="00B854A1">
        <w:rPr>
          <w:rFonts w:ascii="Arial" w:hAnsi="Arial" w:cs="Arial"/>
          <w:color w:val="000000" w:themeColor="text1"/>
        </w:rPr>
        <w:t xml:space="preserve"> MPN patients, but different subtypes of the disease with distinct clinical traits are observed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BIB_levine2005activating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34</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EF7C61" w:rsidRPr="00B854A1">
        <w:rPr>
          <w:rFonts w:ascii="Arial" w:hAnsi="Arial" w:cs="Arial"/>
          <w:color w:val="000000" w:themeColor="text1"/>
        </w:rPr>
        <w:t>.</w:t>
      </w:r>
      <w:r w:rsidR="00726047" w:rsidRPr="00B854A1">
        <w:rPr>
          <w:rFonts w:ascii="Arial" w:hAnsi="Arial" w:cs="Arial"/>
          <w:color w:val="000000" w:themeColor="text1"/>
        </w:rPr>
        <w:t xml:space="preserve"> In contrast, </w:t>
      </w:r>
      <w:r w:rsidR="00726047" w:rsidRPr="00B854A1">
        <w:rPr>
          <w:rFonts w:ascii="Arial" w:hAnsi="Arial" w:cs="Arial"/>
          <w:i/>
          <w:color w:val="000000" w:themeColor="text1"/>
        </w:rPr>
        <w:t>TET2</w:t>
      </w:r>
      <w:r w:rsidR="00726047" w:rsidRPr="00B854A1">
        <w:rPr>
          <w:rFonts w:ascii="Arial" w:hAnsi="Arial" w:cs="Arial"/>
          <w:color w:val="000000" w:themeColor="text1"/>
        </w:rPr>
        <w:t xml:space="preserve"> </w:t>
      </w:r>
      <w:r w:rsidR="006B27BA" w:rsidRPr="00B854A1">
        <w:rPr>
          <w:rFonts w:ascii="Arial" w:hAnsi="Arial" w:cs="Arial"/>
          <w:color w:val="000000" w:themeColor="text1"/>
        </w:rPr>
        <w:t xml:space="preserve">was only recently </w:t>
      </w:r>
      <w:r w:rsidR="00E875B3" w:rsidRPr="00B854A1">
        <w:rPr>
          <w:rFonts w:ascii="Arial" w:hAnsi="Arial" w:cs="Arial"/>
          <w:color w:val="000000" w:themeColor="text1"/>
        </w:rPr>
        <w:t>identified</w:t>
      </w:r>
      <w:r w:rsidR="006B27BA" w:rsidRPr="00B854A1">
        <w:rPr>
          <w:rFonts w:ascii="Arial" w:hAnsi="Arial" w:cs="Arial"/>
          <w:color w:val="000000" w:themeColor="text1"/>
        </w:rPr>
        <w:t xml:space="preserve"> in </w:t>
      </w:r>
      <w:r w:rsidR="00726047" w:rsidRPr="00B854A1">
        <w:rPr>
          <w:rFonts w:ascii="Arial" w:hAnsi="Arial" w:cs="Arial"/>
          <w:color w:val="000000" w:themeColor="text1"/>
        </w:rPr>
        <w:t xml:space="preserve">blood studies. First discovered in MPN in 2008 by Delhommeau et al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BIB_delhommeau2009mutation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35</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726047" w:rsidRPr="00B854A1">
        <w:rPr>
          <w:rFonts w:ascii="Arial" w:hAnsi="Arial" w:cs="Arial"/>
          <w:color w:val="000000" w:themeColor="text1"/>
        </w:rPr>
        <w:t xml:space="preserve">, </w:t>
      </w:r>
      <w:r w:rsidR="00726047" w:rsidRPr="00B854A1">
        <w:rPr>
          <w:rFonts w:ascii="Arial" w:hAnsi="Arial" w:cs="Arial"/>
          <w:i/>
          <w:color w:val="000000" w:themeColor="text1"/>
        </w:rPr>
        <w:t>TET2</w:t>
      </w:r>
      <w:r w:rsidR="00726047" w:rsidRPr="00B854A1">
        <w:rPr>
          <w:rFonts w:ascii="Arial" w:hAnsi="Arial" w:cs="Arial"/>
          <w:color w:val="000000" w:themeColor="text1"/>
        </w:rPr>
        <w:t xml:space="preserve"> mutation resulting in its loss</w:t>
      </w:r>
      <w:r w:rsidR="0032593D" w:rsidRPr="00B854A1">
        <w:rPr>
          <w:rFonts w:ascii="Arial" w:hAnsi="Arial" w:cs="Arial"/>
          <w:color w:val="000000" w:themeColor="text1"/>
        </w:rPr>
        <w:t xml:space="preserve"> of function</w:t>
      </w:r>
      <w:r w:rsidR="00726047" w:rsidRPr="00B854A1">
        <w:rPr>
          <w:rFonts w:ascii="Arial" w:hAnsi="Arial" w:cs="Arial"/>
          <w:color w:val="000000" w:themeColor="text1"/>
        </w:rPr>
        <w:t xml:space="preserve"> has been associated with diverse </w:t>
      </w:r>
      <w:r w:rsidR="002C7508" w:rsidRPr="00B854A1">
        <w:rPr>
          <w:rFonts w:ascii="Arial" w:hAnsi="Arial" w:cs="Arial"/>
          <w:color w:val="000000" w:themeColor="text1"/>
        </w:rPr>
        <w:t xml:space="preserve">hematologic malignancies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BIB_chiba2017dysregulation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36</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2C7508" w:rsidRPr="00B854A1">
        <w:rPr>
          <w:rFonts w:ascii="Arial" w:hAnsi="Arial" w:cs="Arial"/>
          <w:color w:val="000000" w:themeColor="text1"/>
        </w:rPr>
        <w:t xml:space="preserve">. </w:t>
      </w:r>
      <w:r w:rsidR="00EF7C61" w:rsidRPr="00B854A1">
        <w:rPr>
          <w:rFonts w:ascii="Arial" w:hAnsi="Arial" w:cs="Arial"/>
          <w:color w:val="000000" w:themeColor="text1"/>
        </w:rPr>
        <w:t xml:space="preserve">We </w:t>
      </w:r>
      <w:r w:rsidR="00701BAB" w:rsidRPr="00B854A1">
        <w:rPr>
          <w:rFonts w:ascii="Arial" w:hAnsi="Arial" w:cs="Arial"/>
          <w:color w:val="000000" w:themeColor="text1"/>
        </w:rPr>
        <w:t>have shown</w:t>
      </w:r>
      <w:r w:rsidR="00EF7C61" w:rsidRPr="00B854A1">
        <w:rPr>
          <w:rFonts w:ascii="Arial" w:hAnsi="Arial" w:cs="Arial"/>
          <w:color w:val="000000" w:themeColor="text1"/>
        </w:rPr>
        <w:t xml:space="preserve"> that </w:t>
      </w:r>
      <w:r w:rsidR="00EF7C61" w:rsidRPr="00B854A1">
        <w:rPr>
          <w:rFonts w:ascii="Arial" w:hAnsi="Arial" w:cs="Arial"/>
          <w:i/>
          <w:color w:val="000000" w:themeColor="text1"/>
        </w:rPr>
        <w:t>HOXA9</w:t>
      </w:r>
      <w:r w:rsidR="00EF7C61" w:rsidRPr="00B854A1">
        <w:rPr>
          <w:rFonts w:ascii="Arial" w:hAnsi="Arial" w:cs="Arial"/>
          <w:color w:val="000000" w:themeColor="text1"/>
        </w:rPr>
        <w:t xml:space="preserve"> </w:t>
      </w:r>
      <w:r w:rsidR="00973E47" w:rsidRPr="00B854A1">
        <w:rPr>
          <w:rFonts w:ascii="Arial" w:hAnsi="Arial" w:cs="Arial"/>
          <w:color w:val="000000" w:themeColor="text1"/>
        </w:rPr>
        <w:t>can enable clinical stratification in AML, potentially due to the presence of a positive feedback loop</w:t>
      </w:r>
      <w:r w:rsidR="00EF7C61" w:rsidRPr="00B854A1">
        <w:rPr>
          <w:rFonts w:ascii="Arial" w:hAnsi="Arial" w:cs="Arial"/>
          <w:color w:val="000000" w:themeColor="text1"/>
        </w:rPr>
        <w:t xml:space="preserve">. </w:t>
      </w:r>
      <w:r w:rsidR="00E062D9" w:rsidRPr="00B854A1">
        <w:rPr>
          <w:rFonts w:ascii="Arial" w:hAnsi="Arial" w:cs="Arial"/>
          <w:color w:val="000000" w:themeColor="text1"/>
        </w:rPr>
        <w:t xml:space="preserve">Ortmann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BIB_ortmann2015effect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E062D9" w:rsidRPr="00B854A1">
        <w:rPr>
          <w:rFonts w:ascii="Arial" w:hAnsi="Arial" w:cs="Arial"/>
          <w:color w:val="000000" w:themeColor="text1"/>
        </w:rPr>
        <w:t xml:space="preserve"> describes a bifurcation </w:t>
      </w:r>
      <w:r w:rsidR="002D2F18" w:rsidRPr="00B854A1">
        <w:rPr>
          <w:rFonts w:ascii="Arial" w:hAnsi="Arial" w:cs="Arial"/>
          <w:color w:val="000000" w:themeColor="text1"/>
        </w:rPr>
        <w:t xml:space="preserve">among MPN patients that acquire </w:t>
      </w:r>
      <w:r w:rsidR="002D2F18" w:rsidRPr="00B854A1">
        <w:rPr>
          <w:rFonts w:ascii="Arial" w:hAnsi="Arial" w:cs="Arial"/>
          <w:i/>
          <w:color w:val="000000" w:themeColor="text1"/>
        </w:rPr>
        <w:t>JAK2</w:t>
      </w:r>
      <w:r w:rsidR="002D2F18" w:rsidRPr="00B854A1">
        <w:rPr>
          <w:rFonts w:ascii="Arial" w:hAnsi="Arial" w:cs="Arial"/>
          <w:color w:val="000000" w:themeColor="text1"/>
        </w:rPr>
        <w:t xml:space="preserve"> and </w:t>
      </w:r>
      <w:r w:rsidR="002D2F18" w:rsidRPr="00B854A1">
        <w:rPr>
          <w:rFonts w:ascii="Arial" w:hAnsi="Arial" w:cs="Arial"/>
          <w:i/>
          <w:color w:val="000000" w:themeColor="text1"/>
        </w:rPr>
        <w:t>TET2</w:t>
      </w:r>
      <w:r w:rsidR="002D2F18" w:rsidRPr="00B854A1">
        <w:rPr>
          <w:rFonts w:ascii="Arial" w:hAnsi="Arial" w:cs="Arial"/>
          <w:color w:val="000000" w:themeColor="text1"/>
        </w:rPr>
        <w:t xml:space="preserve"> mutations in different orders</w:t>
      </w:r>
      <w:r w:rsidR="00E062D9" w:rsidRPr="00B854A1">
        <w:rPr>
          <w:rFonts w:ascii="Arial" w:hAnsi="Arial" w:cs="Arial"/>
          <w:color w:val="000000" w:themeColor="text1"/>
        </w:rPr>
        <w:t xml:space="preserve">. </w:t>
      </w:r>
      <w:r w:rsidR="00EF7C61" w:rsidRPr="00B854A1">
        <w:rPr>
          <w:rFonts w:ascii="Arial" w:hAnsi="Arial" w:cs="Arial"/>
          <w:color w:val="000000" w:themeColor="text1"/>
        </w:rPr>
        <w:t xml:space="preserve">This raises the question whether </w:t>
      </w:r>
      <w:r w:rsidR="00EF7C61" w:rsidRPr="00B854A1">
        <w:rPr>
          <w:rFonts w:ascii="Arial" w:hAnsi="Arial" w:cs="Arial"/>
          <w:i/>
          <w:color w:val="000000" w:themeColor="text1"/>
        </w:rPr>
        <w:t xml:space="preserve">HOXA9 </w:t>
      </w:r>
      <w:r w:rsidR="00EF7C61" w:rsidRPr="00B854A1">
        <w:rPr>
          <w:rFonts w:ascii="Arial" w:hAnsi="Arial" w:cs="Arial"/>
          <w:color w:val="000000" w:themeColor="text1"/>
        </w:rPr>
        <w:t>expression c</w:t>
      </w:r>
      <w:r w:rsidR="002D2F18" w:rsidRPr="00B854A1">
        <w:rPr>
          <w:rFonts w:ascii="Arial" w:hAnsi="Arial" w:cs="Arial"/>
          <w:color w:val="000000" w:themeColor="text1"/>
        </w:rPr>
        <w:t>ould</w:t>
      </w:r>
      <w:r w:rsidR="00EF7C61" w:rsidRPr="00B854A1">
        <w:rPr>
          <w:rFonts w:ascii="Arial" w:hAnsi="Arial" w:cs="Arial"/>
          <w:color w:val="000000" w:themeColor="text1"/>
        </w:rPr>
        <w:t xml:space="preserve"> also explain th</w:t>
      </w:r>
      <w:r w:rsidR="00B878C4" w:rsidRPr="00B854A1">
        <w:rPr>
          <w:rFonts w:ascii="Arial" w:hAnsi="Arial" w:cs="Arial"/>
          <w:color w:val="000000" w:themeColor="text1"/>
        </w:rPr>
        <w:t>ese</w:t>
      </w:r>
      <w:r w:rsidR="00EF7C61" w:rsidRPr="00B854A1">
        <w:rPr>
          <w:rFonts w:ascii="Arial" w:hAnsi="Arial" w:cs="Arial"/>
          <w:color w:val="000000" w:themeColor="text1"/>
        </w:rPr>
        <w:t xml:space="preserve"> divergent clinical symptoms</w:t>
      </w:r>
      <w:r w:rsidRPr="00B854A1">
        <w:rPr>
          <w:rFonts w:ascii="Arial" w:hAnsi="Arial" w:cs="Arial"/>
          <w:color w:val="000000" w:themeColor="text1"/>
        </w:rPr>
        <w:t xml:space="preserve"> and help stratify MPN patients with low and high risk to develop AML.</w:t>
      </w:r>
    </w:p>
    <w:p w14:paraId="48E4AC3F" w14:textId="77777777" w:rsidR="00EF7C61" w:rsidRPr="00B854A1" w:rsidRDefault="00EF7C61" w:rsidP="00EF7C61">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07B0C322" w14:textId="1CF35F3B" w:rsidR="00EF7C61" w:rsidRPr="00B854A1" w:rsidRDefault="00EF7C61" w:rsidP="00EF7C61">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To address this question, we constructed a computational network model in a multistep process. In order to </w:t>
      </w:r>
      <w:r w:rsidR="00801E98" w:rsidRPr="00B854A1">
        <w:rPr>
          <w:rFonts w:ascii="Arial" w:hAnsi="Arial" w:cs="Arial"/>
          <w:color w:val="000000" w:themeColor="text1"/>
        </w:rPr>
        <w:t xml:space="preserve">reproduce </w:t>
      </w:r>
      <w:r w:rsidRPr="00B854A1">
        <w:rPr>
          <w:rFonts w:ascii="Arial" w:hAnsi="Arial" w:cs="Arial"/>
          <w:color w:val="000000" w:themeColor="text1"/>
        </w:rPr>
        <w:t>th</w:t>
      </w:r>
      <w:r w:rsidR="002D2F18" w:rsidRPr="00B854A1">
        <w:rPr>
          <w:rFonts w:ascii="Arial" w:hAnsi="Arial" w:cs="Arial"/>
          <w:color w:val="000000" w:themeColor="text1"/>
        </w:rPr>
        <w:t>e</w:t>
      </w:r>
      <w:r w:rsidRPr="00B854A1">
        <w:rPr>
          <w:rFonts w:ascii="Arial" w:hAnsi="Arial" w:cs="Arial"/>
          <w:color w:val="000000" w:themeColor="text1"/>
        </w:rPr>
        <w:t xml:space="preserve"> </w:t>
      </w:r>
      <w:r w:rsidRPr="00B854A1">
        <w:rPr>
          <w:rFonts w:ascii="Arial" w:hAnsi="Arial" w:cs="Arial"/>
          <w:color w:val="000000" w:themeColor="text1"/>
        </w:rPr>
        <w:lastRenderedPageBreak/>
        <w:t>branching</w:t>
      </w:r>
      <w:r w:rsidR="002D2F18" w:rsidRPr="00B854A1">
        <w:rPr>
          <w:rFonts w:ascii="Arial" w:hAnsi="Arial" w:cs="Arial"/>
          <w:color w:val="000000" w:themeColor="text1"/>
        </w:rPr>
        <w:t xml:space="preserve"> in MPN patients</w:t>
      </w:r>
      <w:r w:rsidRPr="00B854A1">
        <w:rPr>
          <w:rFonts w:ascii="Arial" w:hAnsi="Arial" w:cs="Arial"/>
          <w:color w:val="000000" w:themeColor="text1"/>
        </w:rPr>
        <w:t xml:space="preserve">, the underlying network of gene interactions must include genes that are sensitive to the mutation order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BIB_paterson2018toolbox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37</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This requires that parts of the network </w:t>
      </w:r>
      <w:r w:rsidR="00D76C5B" w:rsidRPr="00B854A1">
        <w:rPr>
          <w:rFonts w:ascii="Arial" w:hAnsi="Arial" w:cs="Arial"/>
          <w:color w:val="000000" w:themeColor="text1"/>
        </w:rPr>
        <w:t xml:space="preserve">act a switch, </w:t>
      </w:r>
      <w:r w:rsidRPr="00B854A1">
        <w:rPr>
          <w:rFonts w:ascii="Arial" w:hAnsi="Arial" w:cs="Arial"/>
          <w:color w:val="000000" w:themeColor="text1"/>
        </w:rPr>
        <w:t xml:space="preserve">capable of storing </w:t>
      </w:r>
      <w:r w:rsidR="00EB1B23" w:rsidRPr="00B854A1">
        <w:rPr>
          <w:rFonts w:ascii="Arial" w:hAnsi="Arial" w:cs="Arial"/>
          <w:color w:val="000000" w:themeColor="text1"/>
        </w:rPr>
        <w:t xml:space="preserve">"memory" of </w:t>
      </w:r>
      <w:r w:rsidRPr="00B854A1">
        <w:rPr>
          <w:rFonts w:ascii="Arial" w:hAnsi="Arial" w:cs="Arial"/>
          <w:color w:val="000000" w:themeColor="text1"/>
        </w:rPr>
        <w:t xml:space="preserve">previous events. This “memory” property can be encoded by a positive feedback loop acting on a gene that is downstream of both mutated genes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BIB_xiong2003positive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38</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This hypothetical gene </w:t>
      </w:r>
      <w:r w:rsidRPr="002C6F32">
        <w:rPr>
          <w:rFonts w:ascii="Arial" w:hAnsi="Arial" w:cs="Arial"/>
          <w:color w:val="000000" w:themeColor="text1"/>
        </w:rPr>
        <w:t>must additionally respond differently to each of the mutation</w:t>
      </w:r>
      <w:r w:rsidR="00FF4DB0" w:rsidRPr="002C6F32">
        <w:rPr>
          <w:rFonts w:ascii="Arial" w:hAnsi="Arial" w:cs="Arial"/>
          <w:color w:val="000000" w:themeColor="text1"/>
        </w:rPr>
        <w:t>s</w:t>
      </w:r>
      <w:r w:rsidRPr="002C6F32">
        <w:rPr>
          <w:rFonts w:ascii="Arial" w:hAnsi="Arial" w:cs="Arial"/>
          <w:color w:val="000000" w:themeColor="text1"/>
        </w:rPr>
        <w:t xml:space="preserve">. That is to say, one mutation must activate the gene whilst the other </w:t>
      </w:r>
      <w:r w:rsidR="00345C12" w:rsidRPr="002C6F32">
        <w:rPr>
          <w:rFonts w:ascii="Arial" w:hAnsi="Arial" w:cs="Arial"/>
          <w:color w:val="000000" w:themeColor="text1"/>
        </w:rPr>
        <w:t>reduce</w:t>
      </w:r>
      <w:r w:rsidR="005E683E" w:rsidRPr="002C6F32">
        <w:rPr>
          <w:rFonts w:ascii="Arial" w:hAnsi="Arial" w:cs="Arial"/>
          <w:color w:val="000000" w:themeColor="text1"/>
        </w:rPr>
        <w:t>s</w:t>
      </w:r>
      <w:r w:rsidRPr="002C6F32">
        <w:rPr>
          <w:rFonts w:ascii="Arial" w:hAnsi="Arial" w:cs="Arial"/>
          <w:color w:val="000000" w:themeColor="text1"/>
        </w:rPr>
        <w:t xml:space="preserve"> it, so that the gene can maintain its change in activity after the occurrence of the second mutation.</w:t>
      </w:r>
      <w:r w:rsidR="002C25BC" w:rsidRPr="002C6F32">
        <w:rPr>
          <w:rFonts w:ascii="Arial" w:hAnsi="Arial" w:cs="Arial"/>
          <w:color w:val="000000" w:themeColor="text1"/>
        </w:rPr>
        <w:t xml:space="preserve"> The loop is necessary </w:t>
      </w:r>
      <w:r w:rsidR="002C25BC" w:rsidRPr="00B854A1">
        <w:rPr>
          <w:rFonts w:ascii="Arial" w:hAnsi="Arial" w:cs="Arial"/>
          <w:color w:val="000000" w:themeColor="text1"/>
        </w:rPr>
        <w:t>to induce this inheritable change in the presence of constitutive reset processes such as protein and RNA degradation.</w:t>
      </w:r>
    </w:p>
    <w:p w14:paraId="233AA574" w14:textId="77777777" w:rsidR="00EF7C61" w:rsidRPr="00B854A1" w:rsidRDefault="00EF7C61" w:rsidP="00EF7C61">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6DB300D6" w14:textId="1810A5F0" w:rsidR="00EF7C61" w:rsidRPr="00B854A1" w:rsidRDefault="00EF7C61" w:rsidP="00EF7C61">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We develop</w:t>
      </w:r>
      <w:r w:rsidR="00D6103D" w:rsidRPr="00B854A1">
        <w:rPr>
          <w:rFonts w:ascii="Arial" w:hAnsi="Arial" w:cs="Arial"/>
          <w:color w:val="000000" w:themeColor="text1"/>
        </w:rPr>
        <w:t>ed</w:t>
      </w:r>
      <w:r w:rsidRPr="00B854A1">
        <w:rPr>
          <w:rFonts w:ascii="Arial" w:hAnsi="Arial" w:cs="Arial"/>
          <w:color w:val="000000" w:themeColor="text1"/>
        </w:rPr>
        <w:t xml:space="preserve"> a computational model of this simple gene motif with </w:t>
      </w:r>
      <w:r w:rsidRPr="00B854A1">
        <w:rPr>
          <w:rFonts w:ascii="Arial" w:hAnsi="Arial" w:cs="Arial"/>
          <w:i/>
          <w:color w:val="000000" w:themeColor="text1"/>
        </w:rPr>
        <w:t>JAK2</w:t>
      </w:r>
      <w:r w:rsidRPr="00B854A1">
        <w:rPr>
          <w:rFonts w:ascii="Arial" w:hAnsi="Arial" w:cs="Arial"/>
          <w:color w:val="000000" w:themeColor="text1"/>
        </w:rPr>
        <w:t xml:space="preserve"> and </w:t>
      </w:r>
      <w:r w:rsidRPr="00B854A1">
        <w:rPr>
          <w:rFonts w:ascii="Arial" w:hAnsi="Arial" w:cs="Arial"/>
          <w:i/>
          <w:color w:val="000000" w:themeColor="text1"/>
        </w:rPr>
        <w:t>TET2</w:t>
      </w:r>
      <w:r w:rsidRPr="00B854A1">
        <w:rPr>
          <w:rFonts w:ascii="Arial" w:hAnsi="Arial" w:cs="Arial"/>
          <w:color w:val="000000" w:themeColor="text1"/>
        </w:rPr>
        <w:t xml:space="preserve"> genes and a hypothetical gene target with a positive feedback loop (Fig. </w:t>
      </w:r>
      <w:r w:rsidR="000E5EF7" w:rsidRPr="000E5EF7">
        <w:rPr>
          <w:rFonts w:ascii="Arial" w:hAnsi="Arial" w:cs="Arial"/>
          <w:color w:val="70AD47" w:themeColor="accent6"/>
        </w:rPr>
        <w:t>3</w:t>
      </w:r>
      <w:r w:rsidR="00D13BF6">
        <w:rPr>
          <w:rFonts w:ascii="Arial" w:hAnsi="Arial" w:cs="Arial"/>
          <w:color w:val="70AD47" w:themeColor="accent6"/>
        </w:rPr>
        <w:t>a</w:t>
      </w:r>
      <w:r w:rsidRPr="00B854A1">
        <w:rPr>
          <w:rFonts w:ascii="Arial" w:hAnsi="Arial" w:cs="Arial"/>
          <w:color w:val="000000" w:themeColor="text1"/>
        </w:rPr>
        <w:t>).</w:t>
      </w:r>
      <w:r w:rsidRPr="00B854A1">
        <w:rPr>
          <w:rFonts w:ascii="Arial" w:hAnsi="Arial" w:cs="Arial"/>
          <w:i/>
          <w:color w:val="000000" w:themeColor="text1"/>
        </w:rPr>
        <w:t xml:space="preserve"> TET2</w:t>
      </w:r>
      <w:r w:rsidRPr="00B854A1">
        <w:rPr>
          <w:rFonts w:ascii="Arial" w:hAnsi="Arial" w:cs="Arial"/>
          <w:color w:val="000000" w:themeColor="text1"/>
        </w:rPr>
        <w:t xml:space="preserve"> and </w:t>
      </w:r>
      <w:r w:rsidRPr="00B854A1">
        <w:rPr>
          <w:rFonts w:ascii="Arial" w:hAnsi="Arial" w:cs="Arial"/>
          <w:i/>
          <w:color w:val="000000" w:themeColor="text1"/>
        </w:rPr>
        <w:t>JAK2</w:t>
      </w:r>
      <w:r w:rsidRPr="00B854A1">
        <w:rPr>
          <w:rFonts w:ascii="Arial" w:hAnsi="Arial" w:cs="Arial"/>
          <w:color w:val="000000" w:themeColor="text1"/>
        </w:rPr>
        <w:t xml:space="preserve"> have been indirectly and directly linked to </w:t>
      </w:r>
      <w:r w:rsidRPr="00B854A1">
        <w:rPr>
          <w:rFonts w:ascii="Arial" w:hAnsi="Arial" w:cs="Arial"/>
          <w:i/>
          <w:color w:val="000000" w:themeColor="text1"/>
        </w:rPr>
        <w:t>HOXA9</w:t>
      </w:r>
      <w:r w:rsidRPr="00B854A1">
        <w:rPr>
          <w:rFonts w:ascii="Arial" w:hAnsi="Arial" w:cs="Arial"/>
          <w:color w:val="000000" w:themeColor="text1"/>
        </w:rPr>
        <w:t xml:space="preserve"> activity</w:t>
      </w:r>
      <w:r w:rsidR="00F72029" w:rsidRPr="00B854A1">
        <w:rPr>
          <w:rFonts w:ascii="Arial" w:hAnsi="Arial" w:cs="Arial"/>
          <w:color w:val="000000" w:themeColor="text1"/>
        </w:rPr>
        <w:t xml:space="preserve">. </w:t>
      </w:r>
      <w:r w:rsidRPr="00B854A1">
        <w:rPr>
          <w:rFonts w:ascii="Arial" w:hAnsi="Arial" w:cs="Arial"/>
          <w:i/>
          <w:color w:val="000000" w:themeColor="text1"/>
        </w:rPr>
        <w:t>STAT5</w:t>
      </w:r>
      <w:r w:rsidRPr="00B854A1">
        <w:rPr>
          <w:rFonts w:ascii="Arial" w:hAnsi="Arial" w:cs="Arial"/>
          <w:color w:val="000000" w:themeColor="text1"/>
        </w:rPr>
        <w:t xml:space="preserve"> is a well-known downstream target of </w:t>
      </w:r>
      <w:r w:rsidRPr="00B854A1">
        <w:rPr>
          <w:rFonts w:ascii="Arial" w:hAnsi="Arial" w:cs="Arial"/>
          <w:i/>
          <w:color w:val="000000" w:themeColor="text1"/>
        </w:rPr>
        <w:t>JAK2</w:t>
      </w:r>
      <w:r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BIB_zhao2002jak2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39</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and it is also established that </w:t>
      </w:r>
      <w:r w:rsidRPr="00B854A1">
        <w:rPr>
          <w:rFonts w:ascii="Arial" w:hAnsi="Arial" w:cs="Arial"/>
          <w:i/>
          <w:color w:val="000000" w:themeColor="text1"/>
        </w:rPr>
        <w:t>STAT5</w:t>
      </w:r>
      <w:r w:rsidRPr="00B854A1">
        <w:rPr>
          <w:rFonts w:ascii="Arial" w:hAnsi="Arial" w:cs="Arial"/>
          <w:color w:val="000000" w:themeColor="text1"/>
        </w:rPr>
        <w:t xml:space="preserve"> and </w:t>
      </w:r>
      <w:r w:rsidRPr="00B854A1">
        <w:rPr>
          <w:rFonts w:ascii="Arial" w:hAnsi="Arial" w:cs="Arial"/>
          <w:i/>
          <w:color w:val="000000" w:themeColor="text1"/>
        </w:rPr>
        <w:t>HOXA9</w:t>
      </w:r>
      <w:r w:rsidRPr="00B854A1">
        <w:rPr>
          <w:rFonts w:ascii="Arial" w:hAnsi="Arial" w:cs="Arial"/>
          <w:color w:val="000000" w:themeColor="text1"/>
        </w:rPr>
        <w:t xml:space="preserve"> act as binding partners in hematopoietic cells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BIB_de2018hoxa9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40</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Furthermore, it was recently shown that tyrosine phosphorylation of </w:t>
      </w:r>
      <w:r w:rsidRPr="00B854A1">
        <w:rPr>
          <w:rFonts w:ascii="Arial" w:hAnsi="Arial" w:cs="Arial"/>
          <w:i/>
          <w:color w:val="000000" w:themeColor="text1"/>
        </w:rPr>
        <w:t>HOXA9</w:t>
      </w:r>
      <w:r w:rsidRPr="00B854A1">
        <w:rPr>
          <w:rFonts w:ascii="Arial" w:hAnsi="Arial" w:cs="Arial"/>
          <w:color w:val="000000" w:themeColor="text1"/>
        </w:rPr>
        <w:t xml:space="preserve"> is </w:t>
      </w:r>
      <w:r w:rsidRPr="00B854A1">
        <w:rPr>
          <w:rFonts w:ascii="Arial" w:hAnsi="Arial" w:cs="Arial"/>
          <w:i/>
          <w:color w:val="000000" w:themeColor="text1"/>
        </w:rPr>
        <w:t>JAK2</w:t>
      </w:r>
      <w:r w:rsidRPr="00B854A1">
        <w:rPr>
          <w:rFonts w:ascii="Arial" w:hAnsi="Arial" w:cs="Arial"/>
          <w:color w:val="000000" w:themeColor="text1"/>
        </w:rPr>
        <w:t xml:space="preserve">-dependent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BIB_bei2014regulation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41</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w:t>
      </w:r>
      <w:r w:rsidR="004B466A" w:rsidRPr="00B854A1">
        <w:rPr>
          <w:rFonts w:ascii="Arial" w:hAnsi="Arial" w:cs="Arial"/>
          <w:color w:val="000000" w:themeColor="text1"/>
        </w:rPr>
        <w:t>and</w:t>
      </w:r>
      <w:r w:rsidRPr="00B854A1">
        <w:rPr>
          <w:rFonts w:ascii="Arial" w:hAnsi="Arial" w:cs="Arial"/>
          <w:color w:val="000000" w:themeColor="text1"/>
        </w:rPr>
        <w:t xml:space="preserve"> seems to increase the effect of </w:t>
      </w:r>
      <w:r w:rsidRPr="00B854A1">
        <w:rPr>
          <w:rFonts w:ascii="Arial" w:hAnsi="Arial" w:cs="Arial"/>
          <w:i/>
          <w:color w:val="000000" w:themeColor="text1"/>
        </w:rPr>
        <w:t>HOXA9</w:t>
      </w:r>
      <w:r w:rsidRPr="00B854A1">
        <w:rPr>
          <w:rFonts w:ascii="Arial" w:hAnsi="Arial" w:cs="Arial"/>
          <w:color w:val="000000" w:themeColor="text1"/>
        </w:rPr>
        <w:t xml:space="preserve"> on its downstream targets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BIB_bei2014regulation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41</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Regarding the interaction of </w:t>
      </w:r>
      <w:r w:rsidRPr="00B854A1">
        <w:rPr>
          <w:rFonts w:ascii="Arial" w:hAnsi="Arial" w:cs="Arial"/>
          <w:i/>
          <w:color w:val="000000" w:themeColor="text1"/>
        </w:rPr>
        <w:t>TET2</w:t>
      </w:r>
      <w:r w:rsidRPr="00B854A1">
        <w:rPr>
          <w:rFonts w:ascii="Arial" w:hAnsi="Arial" w:cs="Arial"/>
          <w:color w:val="000000" w:themeColor="text1"/>
        </w:rPr>
        <w:t xml:space="preserve"> with </w:t>
      </w:r>
      <w:r w:rsidRPr="00B854A1">
        <w:rPr>
          <w:rFonts w:ascii="Arial" w:hAnsi="Arial" w:cs="Arial"/>
          <w:i/>
          <w:color w:val="000000" w:themeColor="text1"/>
        </w:rPr>
        <w:t>HOXA9</w:t>
      </w:r>
      <w:r w:rsidRPr="00B854A1">
        <w:rPr>
          <w:rFonts w:ascii="Arial" w:hAnsi="Arial" w:cs="Arial"/>
          <w:color w:val="000000" w:themeColor="text1"/>
        </w:rPr>
        <w:t xml:space="preserve">, Bocker et al found significantly reduced expression of </w:t>
      </w:r>
      <w:r w:rsidRPr="00B854A1">
        <w:rPr>
          <w:rFonts w:ascii="Arial" w:hAnsi="Arial" w:cs="Arial"/>
          <w:i/>
          <w:color w:val="000000" w:themeColor="text1"/>
        </w:rPr>
        <w:t>HOXA</w:t>
      </w:r>
      <w:r w:rsidRPr="00B854A1">
        <w:rPr>
          <w:rFonts w:ascii="Arial" w:hAnsi="Arial" w:cs="Arial"/>
          <w:color w:val="000000" w:themeColor="text1"/>
        </w:rPr>
        <w:t xml:space="preserve"> genes when </w:t>
      </w:r>
      <w:r w:rsidRPr="00B854A1">
        <w:rPr>
          <w:rFonts w:ascii="Arial" w:hAnsi="Arial" w:cs="Arial"/>
          <w:i/>
          <w:color w:val="000000" w:themeColor="text1"/>
        </w:rPr>
        <w:t>TET2</w:t>
      </w:r>
      <w:r w:rsidRPr="00B854A1">
        <w:rPr>
          <w:rFonts w:ascii="Arial" w:hAnsi="Arial" w:cs="Arial"/>
          <w:color w:val="000000" w:themeColor="text1"/>
        </w:rPr>
        <w:t xml:space="preserve"> </w:t>
      </w:r>
      <w:r w:rsidRPr="002C6F32">
        <w:rPr>
          <w:rFonts w:ascii="Arial" w:hAnsi="Arial" w:cs="Arial"/>
          <w:color w:val="000000" w:themeColor="text1"/>
        </w:rPr>
        <w:t xml:space="preserve">expression is lost </w:t>
      </w:r>
      <w:r w:rsidR="005D547F" w:rsidRPr="002C6F32">
        <w:rPr>
          <w:rFonts w:ascii="Arial" w:hAnsi="Arial" w:cs="Arial"/>
          <w:color w:val="000000" w:themeColor="text1"/>
        </w:rPr>
        <w:t>[</w:t>
      </w:r>
      <w:r w:rsidR="005D547F" w:rsidRPr="002C6F32">
        <w:rPr>
          <w:rFonts w:ascii="Arial" w:hAnsi="Arial" w:cs="Arial"/>
          <w:color w:val="000000" w:themeColor="text1"/>
        </w:rPr>
        <w:fldChar w:fldCharType="begin"/>
      </w:r>
      <w:r w:rsidR="005D547F" w:rsidRPr="002C6F32">
        <w:rPr>
          <w:rFonts w:ascii="Arial" w:hAnsi="Arial" w:cs="Arial"/>
          <w:color w:val="000000" w:themeColor="text1"/>
        </w:rPr>
        <w:instrText xml:space="preserve"> REF BIB_bocker2012hydroxylation \* MERGEFORMAT </w:instrText>
      </w:r>
      <w:r w:rsidR="005D547F" w:rsidRPr="002C6F32">
        <w:rPr>
          <w:rFonts w:ascii="Arial" w:hAnsi="Arial" w:cs="Arial"/>
          <w:color w:val="000000" w:themeColor="text1"/>
        </w:rPr>
        <w:fldChar w:fldCharType="separate"/>
      </w:r>
      <w:r w:rsidR="005D547F" w:rsidRPr="002C6F32">
        <w:rPr>
          <w:rFonts w:ascii="Arial" w:hAnsi="Arial" w:cs="Arial"/>
          <w:color w:val="000000" w:themeColor="text1"/>
        </w:rPr>
        <w:t>42</w:t>
      </w:r>
      <w:r w:rsidR="005D547F" w:rsidRPr="002C6F32">
        <w:rPr>
          <w:rFonts w:ascii="Arial" w:hAnsi="Arial" w:cs="Arial"/>
          <w:color w:val="000000" w:themeColor="text1"/>
        </w:rPr>
        <w:fldChar w:fldCharType="end"/>
      </w:r>
      <w:r w:rsidR="005D547F" w:rsidRPr="002C6F32">
        <w:rPr>
          <w:rFonts w:ascii="Arial" w:hAnsi="Arial" w:cs="Arial"/>
          <w:color w:val="000000" w:themeColor="text1"/>
        </w:rPr>
        <w:t>]</w:t>
      </w:r>
      <w:r w:rsidRPr="002C6F32">
        <w:rPr>
          <w:rFonts w:ascii="Arial" w:hAnsi="Arial" w:cs="Arial"/>
          <w:color w:val="000000" w:themeColor="text1"/>
        </w:rPr>
        <w:t xml:space="preserve">. In particular </w:t>
      </w:r>
      <w:r w:rsidRPr="002C6F32">
        <w:rPr>
          <w:rFonts w:ascii="Arial" w:hAnsi="Arial" w:cs="Arial"/>
          <w:i/>
          <w:color w:val="000000" w:themeColor="text1"/>
        </w:rPr>
        <w:t>HOXA9</w:t>
      </w:r>
      <w:r w:rsidRPr="002C6F32">
        <w:rPr>
          <w:rFonts w:ascii="Arial" w:hAnsi="Arial" w:cs="Arial"/>
          <w:color w:val="000000" w:themeColor="text1"/>
        </w:rPr>
        <w:t xml:space="preserve"> expression in kidney is significantly decreased by </w:t>
      </w:r>
      <w:r w:rsidRPr="002C6F32">
        <w:rPr>
          <w:rFonts w:ascii="Arial" w:hAnsi="Arial" w:cs="Arial"/>
          <w:i/>
          <w:color w:val="000000" w:themeColor="text1"/>
        </w:rPr>
        <w:t>TET2</w:t>
      </w:r>
      <w:r w:rsidRPr="002C6F32">
        <w:rPr>
          <w:rFonts w:ascii="Arial" w:hAnsi="Arial" w:cs="Arial"/>
          <w:color w:val="000000" w:themeColor="text1"/>
        </w:rPr>
        <w:t xml:space="preserve"> loss</w:t>
      </w:r>
      <w:r w:rsidR="00B2230C" w:rsidRPr="002C6F32">
        <w:rPr>
          <w:rFonts w:ascii="Arial" w:hAnsi="Arial" w:cs="Arial"/>
          <w:color w:val="000000" w:themeColor="text1"/>
        </w:rPr>
        <w:t>.</w:t>
      </w:r>
      <w:r w:rsidRPr="002C6F32">
        <w:rPr>
          <w:rFonts w:ascii="Arial" w:hAnsi="Arial" w:cs="Arial"/>
          <w:color w:val="000000" w:themeColor="text1"/>
        </w:rPr>
        <w:t xml:space="preserve"> </w:t>
      </w:r>
      <w:r w:rsidRPr="002C6F32">
        <w:rPr>
          <w:rFonts w:ascii="Arial" w:hAnsi="Arial" w:cs="Arial"/>
          <w:i/>
          <w:color w:val="000000" w:themeColor="text1"/>
        </w:rPr>
        <w:t>HOXA9</w:t>
      </w:r>
      <w:r w:rsidRPr="002C6F32">
        <w:rPr>
          <w:rFonts w:ascii="Arial" w:hAnsi="Arial" w:cs="Arial"/>
          <w:color w:val="000000" w:themeColor="text1"/>
        </w:rPr>
        <w:t xml:space="preserve"> is therefore </w:t>
      </w:r>
      <w:r w:rsidR="00345C12" w:rsidRPr="002C6F32">
        <w:rPr>
          <w:rFonts w:ascii="Arial" w:hAnsi="Arial" w:cs="Arial"/>
          <w:color w:val="000000" w:themeColor="text1"/>
        </w:rPr>
        <w:t xml:space="preserve">activated by </w:t>
      </w:r>
      <w:r w:rsidR="00345C12" w:rsidRPr="002C6F32">
        <w:rPr>
          <w:rFonts w:ascii="Arial" w:hAnsi="Arial" w:cs="Arial"/>
          <w:i/>
          <w:iCs/>
          <w:color w:val="000000" w:themeColor="text1"/>
        </w:rPr>
        <w:t>JAK2</w:t>
      </w:r>
      <w:r w:rsidR="00345C12" w:rsidRPr="002C6F32">
        <w:rPr>
          <w:rFonts w:ascii="Arial" w:hAnsi="Arial" w:cs="Arial"/>
          <w:color w:val="000000" w:themeColor="text1"/>
        </w:rPr>
        <w:t xml:space="preserve"> and reduced by </w:t>
      </w:r>
      <w:r w:rsidR="00345C12" w:rsidRPr="002C6F32">
        <w:rPr>
          <w:rFonts w:ascii="Arial" w:hAnsi="Arial" w:cs="Arial"/>
          <w:i/>
          <w:iCs/>
          <w:color w:val="000000" w:themeColor="text1"/>
        </w:rPr>
        <w:t>TET2</w:t>
      </w:r>
      <w:r w:rsidR="00345C12" w:rsidRPr="002C6F32">
        <w:rPr>
          <w:rFonts w:ascii="Arial" w:hAnsi="Arial" w:cs="Arial"/>
          <w:color w:val="000000" w:themeColor="text1"/>
        </w:rPr>
        <w:t xml:space="preserve"> </w:t>
      </w:r>
      <w:r w:rsidR="00345C12" w:rsidRPr="002C6F32">
        <w:rPr>
          <w:rFonts w:ascii="Arial" w:hAnsi="Arial" w:cs="Arial"/>
          <w:color w:val="000000" w:themeColor="text1"/>
        </w:rPr>
        <w:lastRenderedPageBreak/>
        <w:t xml:space="preserve">loss </w:t>
      </w:r>
      <w:r w:rsidRPr="002C6F32">
        <w:rPr>
          <w:rFonts w:ascii="Arial" w:hAnsi="Arial" w:cs="Arial"/>
          <w:color w:val="000000" w:themeColor="text1"/>
        </w:rPr>
        <w:t xml:space="preserve">and possesses a self-positive feedback loop property </w:t>
      </w:r>
      <w:r w:rsidR="005D547F" w:rsidRPr="002C6F32">
        <w:rPr>
          <w:rFonts w:ascii="Arial" w:hAnsi="Arial" w:cs="Arial"/>
          <w:color w:val="000000" w:themeColor="text1"/>
        </w:rPr>
        <w:t>[</w:t>
      </w:r>
      <w:r w:rsidR="005D547F" w:rsidRPr="002C6F32">
        <w:rPr>
          <w:rFonts w:ascii="Arial" w:hAnsi="Arial" w:cs="Arial"/>
          <w:color w:val="000000" w:themeColor="text1"/>
        </w:rPr>
        <w:fldChar w:fldCharType="begin"/>
      </w:r>
      <w:r w:rsidR="005D547F" w:rsidRPr="002C6F32">
        <w:rPr>
          <w:rFonts w:ascii="Arial" w:hAnsi="Arial" w:cs="Arial"/>
          <w:color w:val="000000" w:themeColor="text1"/>
        </w:rPr>
        <w:instrText xml:space="preserve"> REF BIB_zhong2018hoxa9 \* MERGEFORMAT </w:instrText>
      </w:r>
      <w:r w:rsidR="005D547F" w:rsidRPr="002C6F32">
        <w:rPr>
          <w:rFonts w:ascii="Arial" w:hAnsi="Arial" w:cs="Arial"/>
          <w:color w:val="000000" w:themeColor="text1"/>
        </w:rPr>
        <w:fldChar w:fldCharType="separate"/>
      </w:r>
      <w:r w:rsidR="005D547F" w:rsidRPr="002C6F32">
        <w:rPr>
          <w:rFonts w:ascii="Arial" w:hAnsi="Arial" w:cs="Arial"/>
          <w:color w:val="000000" w:themeColor="text1"/>
        </w:rPr>
        <w:t>20</w:t>
      </w:r>
      <w:r w:rsidR="005D547F" w:rsidRPr="002C6F32">
        <w:rPr>
          <w:rFonts w:ascii="Arial" w:hAnsi="Arial" w:cs="Arial"/>
          <w:color w:val="000000" w:themeColor="text1"/>
        </w:rPr>
        <w:fldChar w:fldCharType="end"/>
      </w:r>
      <w:r w:rsidR="005D547F" w:rsidRPr="002C6F32">
        <w:rPr>
          <w:rFonts w:ascii="Arial" w:hAnsi="Arial" w:cs="Arial"/>
          <w:color w:val="000000" w:themeColor="text1"/>
        </w:rPr>
        <w:t>]</w:t>
      </w:r>
      <w:r w:rsidRPr="002C6F32">
        <w:rPr>
          <w:rFonts w:ascii="Arial" w:hAnsi="Arial" w:cs="Arial"/>
          <w:color w:val="000000" w:themeColor="text1"/>
        </w:rPr>
        <w:t xml:space="preserve">. Therefore, the </w:t>
      </w:r>
      <w:r w:rsidRPr="002C6F32">
        <w:rPr>
          <w:rFonts w:ascii="Arial" w:hAnsi="Arial" w:cs="Arial"/>
          <w:i/>
          <w:color w:val="000000" w:themeColor="text1"/>
        </w:rPr>
        <w:t>JAK2</w:t>
      </w:r>
      <w:r w:rsidRPr="002C6F32">
        <w:rPr>
          <w:rFonts w:ascii="Arial" w:hAnsi="Arial" w:cs="Arial"/>
          <w:color w:val="000000" w:themeColor="text1"/>
        </w:rPr>
        <w:t>/</w:t>
      </w:r>
      <w:r w:rsidRPr="002C6F32">
        <w:rPr>
          <w:rFonts w:ascii="Arial" w:hAnsi="Arial" w:cs="Arial"/>
          <w:i/>
          <w:color w:val="000000" w:themeColor="text1"/>
        </w:rPr>
        <w:t>TET2</w:t>
      </w:r>
      <w:r w:rsidRPr="002C6F32">
        <w:rPr>
          <w:rFonts w:ascii="Arial" w:hAnsi="Arial" w:cs="Arial"/>
          <w:color w:val="000000" w:themeColor="text1"/>
        </w:rPr>
        <w:t>/</w:t>
      </w:r>
      <w:r w:rsidRPr="002C6F32">
        <w:rPr>
          <w:rFonts w:ascii="Arial" w:hAnsi="Arial" w:cs="Arial"/>
          <w:i/>
          <w:color w:val="000000" w:themeColor="text1"/>
        </w:rPr>
        <w:t>HOXA9</w:t>
      </w:r>
      <w:r w:rsidRPr="002C6F32">
        <w:rPr>
          <w:rFonts w:ascii="Arial" w:hAnsi="Arial" w:cs="Arial"/>
          <w:color w:val="000000" w:themeColor="text1"/>
        </w:rPr>
        <w:t xml:space="preserve"> motif shares all the required properties for observing a </w:t>
      </w:r>
      <w:r w:rsidR="00A0471C" w:rsidRPr="002C6F32">
        <w:rPr>
          <w:rFonts w:ascii="Arial" w:hAnsi="Arial" w:cs="Arial"/>
          <w:color w:val="000000" w:themeColor="text1"/>
        </w:rPr>
        <w:t xml:space="preserve">clinical </w:t>
      </w:r>
      <w:r w:rsidR="00C84993" w:rsidRPr="00B854A1">
        <w:rPr>
          <w:rFonts w:ascii="Arial" w:hAnsi="Arial" w:cs="Arial"/>
          <w:color w:val="000000" w:themeColor="text1"/>
        </w:rPr>
        <w:t xml:space="preserve">divergence </w:t>
      </w:r>
      <w:r w:rsidRPr="00B854A1">
        <w:rPr>
          <w:rFonts w:ascii="Arial" w:hAnsi="Arial" w:cs="Arial"/>
          <w:color w:val="000000" w:themeColor="text1"/>
        </w:rPr>
        <w:t xml:space="preserve">in blood diseases. </w:t>
      </w:r>
    </w:p>
    <w:p w14:paraId="0733FBC5" w14:textId="77777777" w:rsidR="00EF7C61" w:rsidRPr="00B854A1" w:rsidRDefault="00EF7C61" w:rsidP="00EF7C61">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704E68F0" w14:textId="42AF97AF" w:rsidR="00EF7C61" w:rsidRPr="00B854A1" w:rsidRDefault="00EF7C61" w:rsidP="00EF7C61">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Based on this </w:t>
      </w:r>
      <w:r w:rsidRPr="00B854A1">
        <w:rPr>
          <w:rFonts w:ascii="Arial" w:hAnsi="Arial" w:cs="Arial"/>
          <w:i/>
          <w:color w:val="000000" w:themeColor="text1"/>
        </w:rPr>
        <w:t>JAK2</w:t>
      </w:r>
      <w:r w:rsidRPr="00B854A1">
        <w:rPr>
          <w:rFonts w:ascii="Arial" w:hAnsi="Arial" w:cs="Arial"/>
          <w:color w:val="000000" w:themeColor="text1"/>
        </w:rPr>
        <w:t>/</w:t>
      </w:r>
      <w:r w:rsidRPr="00B854A1">
        <w:rPr>
          <w:rFonts w:ascii="Arial" w:hAnsi="Arial" w:cs="Arial"/>
          <w:i/>
          <w:color w:val="000000" w:themeColor="text1"/>
        </w:rPr>
        <w:t>TET2</w:t>
      </w:r>
      <w:r w:rsidRPr="00B854A1">
        <w:rPr>
          <w:rFonts w:ascii="Arial" w:hAnsi="Arial" w:cs="Arial"/>
          <w:color w:val="000000" w:themeColor="text1"/>
        </w:rPr>
        <w:t>/</w:t>
      </w:r>
      <w:r w:rsidRPr="00B854A1">
        <w:rPr>
          <w:rFonts w:ascii="Arial" w:hAnsi="Arial" w:cs="Arial"/>
          <w:i/>
          <w:color w:val="000000" w:themeColor="text1"/>
        </w:rPr>
        <w:t>HOXA9</w:t>
      </w:r>
      <w:r w:rsidRPr="00B854A1">
        <w:rPr>
          <w:rFonts w:ascii="Arial" w:hAnsi="Arial" w:cs="Arial"/>
          <w:color w:val="000000" w:themeColor="text1"/>
        </w:rPr>
        <w:t xml:space="preserve"> motif, we </w:t>
      </w:r>
      <w:r w:rsidR="0009015A" w:rsidRPr="00B854A1">
        <w:rPr>
          <w:rFonts w:ascii="Arial" w:hAnsi="Arial" w:cs="Arial"/>
          <w:color w:val="000000" w:themeColor="text1"/>
        </w:rPr>
        <w:t>refine</w:t>
      </w:r>
      <w:r w:rsidR="0032593D" w:rsidRPr="00B854A1">
        <w:rPr>
          <w:rFonts w:ascii="Arial" w:hAnsi="Arial" w:cs="Arial"/>
          <w:color w:val="000000" w:themeColor="text1"/>
        </w:rPr>
        <w:t>d</w:t>
      </w:r>
      <w:r w:rsidR="0009015A" w:rsidRPr="00B854A1">
        <w:rPr>
          <w:rFonts w:ascii="Arial" w:hAnsi="Arial" w:cs="Arial"/>
          <w:color w:val="000000" w:themeColor="text1"/>
        </w:rPr>
        <w:t xml:space="preserve"> </w:t>
      </w:r>
      <w:r w:rsidRPr="00B854A1">
        <w:rPr>
          <w:rFonts w:ascii="Arial" w:hAnsi="Arial" w:cs="Arial"/>
          <w:color w:val="000000" w:themeColor="text1"/>
        </w:rPr>
        <w:t xml:space="preserve">our computational model to reproduce the observed biological differences between patients with different combinations of </w:t>
      </w:r>
      <w:r w:rsidRPr="00B854A1">
        <w:rPr>
          <w:rFonts w:ascii="Arial" w:hAnsi="Arial" w:cs="Arial"/>
          <w:i/>
          <w:color w:val="000000" w:themeColor="text1"/>
        </w:rPr>
        <w:t>JAK2</w:t>
      </w:r>
      <w:r w:rsidRPr="00B854A1">
        <w:rPr>
          <w:rFonts w:ascii="Arial" w:hAnsi="Arial" w:cs="Arial"/>
          <w:color w:val="000000" w:themeColor="text1"/>
        </w:rPr>
        <w:t xml:space="preserve"> and </w:t>
      </w:r>
      <w:r w:rsidRPr="00B854A1">
        <w:rPr>
          <w:rFonts w:ascii="Arial" w:hAnsi="Arial" w:cs="Arial"/>
          <w:i/>
          <w:color w:val="000000" w:themeColor="text1"/>
        </w:rPr>
        <w:t>TET2</w:t>
      </w:r>
      <w:r w:rsidRPr="00B854A1">
        <w:rPr>
          <w:rFonts w:ascii="Arial" w:hAnsi="Arial" w:cs="Arial"/>
          <w:color w:val="000000" w:themeColor="text1"/>
        </w:rPr>
        <w:t xml:space="preserve"> mutations. To do so, we extend</w:t>
      </w:r>
      <w:r w:rsidR="0032593D" w:rsidRPr="00B854A1">
        <w:rPr>
          <w:rFonts w:ascii="Arial" w:hAnsi="Arial" w:cs="Arial"/>
          <w:color w:val="000000" w:themeColor="text1"/>
        </w:rPr>
        <w:t>ed</w:t>
      </w:r>
      <w:r w:rsidRPr="00B854A1">
        <w:rPr>
          <w:rFonts w:ascii="Arial" w:hAnsi="Arial" w:cs="Arial"/>
          <w:color w:val="000000" w:themeColor="text1"/>
        </w:rPr>
        <w:t xml:space="preserve"> our computational network</w:t>
      </w:r>
      <w:r w:rsidR="00FF4DB0" w:rsidRPr="00B854A1">
        <w:rPr>
          <w:rFonts w:ascii="Arial" w:hAnsi="Arial" w:cs="Arial"/>
          <w:i/>
          <w:color w:val="000000" w:themeColor="text1"/>
        </w:rPr>
        <w:t xml:space="preserve"> </w:t>
      </w:r>
      <w:r w:rsidR="00FF4DB0" w:rsidRPr="00B854A1">
        <w:rPr>
          <w:rFonts w:ascii="Arial" w:hAnsi="Arial" w:cs="Arial"/>
          <w:color w:val="000000" w:themeColor="text1"/>
        </w:rPr>
        <w:t>with</w:t>
      </w:r>
      <w:r w:rsidRPr="00B854A1">
        <w:rPr>
          <w:rFonts w:ascii="Arial" w:hAnsi="Arial" w:cs="Arial"/>
          <w:color w:val="000000" w:themeColor="text1"/>
        </w:rPr>
        <w:t xml:space="preserve"> six phenotypes relevant to cancer development: stem cell self-renewal, common myeloid progenitor (CMP) expansion, granulocyte-monocyte progenitor (GMP) expansion, GMP differentiation, erythroid differentiation and megakaryocyte-erythroid progenitor (MEP) expansion</w:t>
      </w:r>
      <w:r w:rsidR="00FF4DB0" w:rsidRPr="00B854A1">
        <w:rPr>
          <w:rFonts w:ascii="Arial" w:hAnsi="Arial" w:cs="Arial"/>
          <w:color w:val="000000" w:themeColor="text1"/>
        </w:rPr>
        <w:t xml:space="preserve"> (Fig. </w:t>
      </w:r>
      <w:r w:rsidR="000E5EF7" w:rsidRPr="000E5EF7">
        <w:rPr>
          <w:rFonts w:ascii="Arial" w:hAnsi="Arial" w:cs="Arial"/>
          <w:color w:val="70AD47" w:themeColor="accent6"/>
        </w:rPr>
        <w:t>3</w:t>
      </w:r>
      <w:r w:rsidR="00D13BF6">
        <w:rPr>
          <w:rFonts w:ascii="Arial" w:hAnsi="Arial" w:cs="Arial"/>
          <w:color w:val="70AD47" w:themeColor="accent6"/>
        </w:rPr>
        <w:t>b</w:t>
      </w:r>
      <w:r w:rsidR="00FF4DB0" w:rsidRPr="00B854A1">
        <w:rPr>
          <w:rFonts w:ascii="Arial" w:hAnsi="Arial" w:cs="Arial"/>
          <w:color w:val="000000" w:themeColor="text1"/>
        </w:rPr>
        <w:t>)</w:t>
      </w:r>
      <w:r w:rsidRPr="00B854A1">
        <w:rPr>
          <w:rFonts w:ascii="Arial" w:hAnsi="Arial" w:cs="Arial"/>
          <w:color w:val="000000" w:themeColor="text1"/>
        </w:rPr>
        <w:t xml:space="preserve">. </w:t>
      </w:r>
      <w:r w:rsidR="0085751D" w:rsidRPr="00B854A1">
        <w:rPr>
          <w:rFonts w:ascii="Arial" w:hAnsi="Arial" w:cs="Arial"/>
          <w:color w:val="000000" w:themeColor="text1"/>
        </w:rPr>
        <w:t>W</w:t>
      </w:r>
      <w:r w:rsidRPr="00B854A1">
        <w:rPr>
          <w:rFonts w:ascii="Arial" w:hAnsi="Arial" w:cs="Arial"/>
          <w:color w:val="000000" w:themeColor="text1"/>
        </w:rPr>
        <w:t xml:space="preserve">e further </w:t>
      </w:r>
      <w:r w:rsidR="00FF4DB0" w:rsidRPr="00B854A1">
        <w:rPr>
          <w:rFonts w:ascii="Arial" w:hAnsi="Arial" w:cs="Arial"/>
          <w:color w:val="000000" w:themeColor="text1"/>
        </w:rPr>
        <w:t xml:space="preserve">included </w:t>
      </w:r>
      <w:r w:rsidRPr="00B854A1">
        <w:rPr>
          <w:rFonts w:ascii="Arial" w:hAnsi="Arial" w:cs="Arial"/>
          <w:color w:val="000000" w:themeColor="text1"/>
        </w:rPr>
        <w:t>important hematopoietic markers in our computational model.</w:t>
      </w:r>
      <w:r w:rsidR="00847E1D" w:rsidRPr="00B854A1">
        <w:rPr>
          <w:rFonts w:ascii="Arial" w:hAnsi="Arial" w:cs="Arial"/>
          <w:color w:val="000000" w:themeColor="text1"/>
        </w:rPr>
        <w:t xml:space="preserve"> </w:t>
      </w:r>
      <w:r w:rsidR="00366DD1" w:rsidRPr="00B854A1">
        <w:rPr>
          <w:rFonts w:ascii="Arial" w:hAnsi="Arial" w:cs="Arial"/>
          <w:color w:val="000000" w:themeColor="text1"/>
        </w:rPr>
        <w:t xml:space="preserve">We found that </w:t>
      </w:r>
      <w:r w:rsidR="00A005C5" w:rsidRPr="00A005C5">
        <w:rPr>
          <w:rFonts w:ascii="Arial" w:hAnsi="Arial" w:cs="Arial"/>
          <w:color w:val="70AD47" w:themeColor="accent6"/>
        </w:rPr>
        <w:t>additional</w:t>
      </w:r>
      <w:r w:rsidR="00847E1D" w:rsidRPr="00A005C5">
        <w:rPr>
          <w:rFonts w:ascii="Arial" w:hAnsi="Arial" w:cs="Arial"/>
          <w:color w:val="70AD47" w:themeColor="accent6"/>
        </w:rPr>
        <w:t xml:space="preserve"> interactions </w:t>
      </w:r>
      <w:r w:rsidR="00847E1D" w:rsidRPr="00B854A1">
        <w:rPr>
          <w:rFonts w:ascii="Arial" w:hAnsi="Arial" w:cs="Arial"/>
          <w:color w:val="000000" w:themeColor="text1"/>
        </w:rPr>
        <w:t xml:space="preserve">such as the activation of </w:t>
      </w:r>
      <w:r w:rsidR="00847E1D" w:rsidRPr="00B854A1">
        <w:rPr>
          <w:rFonts w:ascii="Arial" w:hAnsi="Arial" w:cs="Arial"/>
          <w:i/>
          <w:iCs/>
          <w:color w:val="000000" w:themeColor="text1"/>
        </w:rPr>
        <w:t>MYB</w:t>
      </w:r>
      <w:r w:rsidR="00847E1D" w:rsidRPr="00B854A1">
        <w:rPr>
          <w:rFonts w:ascii="Arial" w:hAnsi="Arial" w:cs="Arial"/>
          <w:color w:val="000000" w:themeColor="text1"/>
        </w:rPr>
        <w:t xml:space="preserve"> by </w:t>
      </w:r>
      <w:r w:rsidR="00847E1D" w:rsidRPr="00B854A1">
        <w:rPr>
          <w:rFonts w:ascii="Arial" w:hAnsi="Arial" w:cs="Arial"/>
          <w:i/>
          <w:iCs/>
          <w:color w:val="000000" w:themeColor="text1"/>
        </w:rPr>
        <w:t>RUNX1</w:t>
      </w:r>
      <w:r w:rsidRPr="00B854A1">
        <w:rPr>
          <w:rFonts w:ascii="Arial" w:hAnsi="Arial" w:cs="Arial"/>
          <w:color w:val="000000" w:themeColor="text1"/>
        </w:rPr>
        <w:t xml:space="preserve"> </w:t>
      </w:r>
      <w:r w:rsidR="00847E1D" w:rsidRPr="00B854A1">
        <w:rPr>
          <w:rFonts w:ascii="Arial" w:hAnsi="Arial" w:cs="Arial"/>
          <w:color w:val="000000" w:themeColor="text1"/>
        </w:rPr>
        <w:t xml:space="preserve">are also </w:t>
      </w:r>
      <w:r w:rsidR="00366DD1" w:rsidRPr="00B854A1">
        <w:rPr>
          <w:rFonts w:ascii="Arial" w:hAnsi="Arial" w:cs="Arial"/>
          <w:color w:val="000000" w:themeColor="text1"/>
        </w:rPr>
        <w:t>required</w:t>
      </w:r>
      <w:r w:rsidR="00847E1D" w:rsidRPr="00B854A1">
        <w:rPr>
          <w:rFonts w:ascii="Arial" w:hAnsi="Arial" w:cs="Arial"/>
          <w:color w:val="000000" w:themeColor="text1"/>
        </w:rPr>
        <w:t xml:space="preserve"> to reproduce the correct biological features of MPN (Table 1). </w:t>
      </w:r>
      <w:r w:rsidR="00EE4C42" w:rsidRPr="00B854A1">
        <w:rPr>
          <w:rFonts w:ascii="Arial" w:hAnsi="Arial" w:cs="Arial"/>
          <w:color w:val="000000" w:themeColor="text1"/>
        </w:rPr>
        <w:t>A detailed l</w:t>
      </w:r>
      <w:r w:rsidRPr="00B854A1">
        <w:rPr>
          <w:rFonts w:ascii="Arial" w:hAnsi="Arial" w:cs="Arial"/>
          <w:color w:val="000000" w:themeColor="text1"/>
        </w:rPr>
        <w:t>iterature review and full description of how we built the network model are available in Table</w:t>
      </w:r>
      <w:r w:rsidR="00095E28" w:rsidRPr="00B854A1">
        <w:rPr>
          <w:rFonts w:ascii="Arial" w:hAnsi="Arial" w:cs="Arial"/>
          <w:color w:val="000000" w:themeColor="text1"/>
        </w:rPr>
        <w:t>s</w:t>
      </w:r>
      <w:r w:rsidRPr="00B854A1">
        <w:rPr>
          <w:rFonts w:ascii="Arial" w:hAnsi="Arial" w:cs="Arial"/>
          <w:color w:val="000000" w:themeColor="text1"/>
        </w:rPr>
        <w:t xml:space="preserve"> </w:t>
      </w:r>
      <w:r w:rsidR="005550B4" w:rsidRPr="00B854A1">
        <w:rPr>
          <w:rFonts w:ascii="Arial" w:hAnsi="Arial" w:cs="Arial"/>
          <w:color w:val="000000" w:themeColor="text1"/>
        </w:rPr>
        <w:t>S</w:t>
      </w:r>
      <w:r w:rsidRPr="00B854A1">
        <w:rPr>
          <w:rFonts w:ascii="Arial" w:hAnsi="Arial" w:cs="Arial"/>
          <w:color w:val="000000" w:themeColor="text1"/>
        </w:rPr>
        <w:t>1</w:t>
      </w:r>
      <w:r w:rsidR="00095E28" w:rsidRPr="00B854A1">
        <w:rPr>
          <w:rFonts w:ascii="Arial" w:hAnsi="Arial" w:cs="Arial"/>
          <w:color w:val="000000" w:themeColor="text1"/>
        </w:rPr>
        <w:t xml:space="preserve">-3 </w:t>
      </w:r>
      <w:r w:rsidRPr="00B854A1">
        <w:rPr>
          <w:rFonts w:ascii="Arial" w:hAnsi="Arial" w:cs="Arial"/>
          <w:color w:val="000000" w:themeColor="text1"/>
        </w:rPr>
        <w:t xml:space="preserve">and </w:t>
      </w:r>
      <w:r w:rsidR="00A12A32" w:rsidRPr="00B854A1">
        <w:rPr>
          <w:rFonts w:ascii="Arial" w:hAnsi="Arial" w:cs="Arial"/>
          <w:color w:val="000000" w:themeColor="text1"/>
        </w:rPr>
        <w:t>the Supplemental Methods</w:t>
      </w:r>
      <w:r w:rsidRPr="00B854A1">
        <w:rPr>
          <w:rFonts w:ascii="Arial" w:hAnsi="Arial" w:cs="Arial"/>
          <w:color w:val="000000" w:themeColor="text1"/>
        </w:rPr>
        <w:t xml:space="preserve">. </w:t>
      </w:r>
    </w:p>
    <w:p w14:paraId="0B1CBE1F" w14:textId="77777777" w:rsidR="00EF7C61" w:rsidRPr="00B854A1" w:rsidRDefault="00EF7C61" w:rsidP="00EF7C61">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5B70B0B5" w14:textId="2DD9FE6A" w:rsidR="00C04378" w:rsidRPr="00B854A1" w:rsidRDefault="00EF7C61" w:rsidP="00D811DB">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Finally, four fundamental cancer genotypes are defined: the wild type (no mutation), the </w:t>
      </w:r>
      <w:r w:rsidRPr="00B854A1">
        <w:rPr>
          <w:rFonts w:ascii="Arial" w:hAnsi="Arial" w:cs="Arial"/>
          <w:i/>
          <w:color w:val="000000" w:themeColor="text1"/>
        </w:rPr>
        <w:t>TET2</w:t>
      </w:r>
      <w:r w:rsidRPr="00B854A1">
        <w:rPr>
          <w:rFonts w:ascii="Arial" w:hAnsi="Arial" w:cs="Arial"/>
          <w:color w:val="000000" w:themeColor="text1"/>
        </w:rPr>
        <w:t xml:space="preserve"> single mutant, the </w:t>
      </w:r>
      <w:r w:rsidRPr="00B854A1">
        <w:rPr>
          <w:rFonts w:ascii="Arial" w:hAnsi="Arial" w:cs="Arial"/>
          <w:i/>
          <w:color w:val="000000" w:themeColor="text1"/>
        </w:rPr>
        <w:t>JAK2</w:t>
      </w:r>
      <w:r w:rsidRPr="00B854A1">
        <w:rPr>
          <w:rFonts w:ascii="Arial" w:hAnsi="Arial" w:cs="Arial"/>
          <w:color w:val="000000" w:themeColor="text1"/>
        </w:rPr>
        <w:t xml:space="preserve"> single mutant and the double mutant (in either order) (Table </w:t>
      </w:r>
      <w:r w:rsidR="005550B4" w:rsidRPr="00B854A1">
        <w:rPr>
          <w:rFonts w:ascii="Arial" w:hAnsi="Arial" w:cs="Arial"/>
          <w:color w:val="000000" w:themeColor="text1"/>
        </w:rPr>
        <w:t>1</w:t>
      </w:r>
      <w:r w:rsidRPr="00B854A1">
        <w:rPr>
          <w:rFonts w:ascii="Arial" w:hAnsi="Arial" w:cs="Arial"/>
          <w:color w:val="000000" w:themeColor="text1"/>
        </w:rPr>
        <w:t xml:space="preserve">). The wild type model illustrates haematopoiesis in its healthy state. The single mutants are defined using the literature (see Supplementary Information). The final genotype is the double mutant which can lead to one of two </w:t>
      </w:r>
      <w:r w:rsidR="00F6772F" w:rsidRPr="00B854A1">
        <w:rPr>
          <w:rFonts w:ascii="Arial" w:hAnsi="Arial" w:cs="Arial"/>
          <w:color w:val="000000" w:themeColor="text1"/>
        </w:rPr>
        <w:t>cancer endpoints (</w:t>
      </w:r>
      <w:r w:rsidRPr="00B854A1">
        <w:rPr>
          <w:rFonts w:ascii="Arial" w:hAnsi="Arial" w:cs="Arial"/>
          <w:color w:val="000000" w:themeColor="text1"/>
        </w:rPr>
        <w:t xml:space="preserve">fixpoint </w:t>
      </w:r>
      <w:r w:rsidRPr="00B854A1">
        <w:rPr>
          <w:rFonts w:ascii="Arial" w:hAnsi="Arial" w:cs="Arial"/>
          <w:color w:val="000000" w:themeColor="text1"/>
        </w:rPr>
        <w:lastRenderedPageBreak/>
        <w:t>attractors</w:t>
      </w:r>
      <w:r w:rsidR="00F6772F" w:rsidRPr="00B854A1">
        <w:rPr>
          <w:rFonts w:ascii="Arial" w:hAnsi="Arial" w:cs="Arial"/>
          <w:color w:val="000000" w:themeColor="text1"/>
        </w:rPr>
        <w:t xml:space="preserve"> that represent one of the two clinical outcomes)</w:t>
      </w:r>
      <w:r w:rsidRPr="00B854A1">
        <w:rPr>
          <w:rFonts w:ascii="Arial" w:hAnsi="Arial" w:cs="Arial"/>
          <w:color w:val="000000" w:themeColor="text1"/>
        </w:rPr>
        <w:t xml:space="preserve">. Each fixpoint represents either </w:t>
      </w:r>
      <w:r w:rsidRPr="00B854A1">
        <w:rPr>
          <w:rFonts w:ascii="Arial" w:hAnsi="Arial" w:cs="Arial"/>
          <w:i/>
          <w:color w:val="000000" w:themeColor="text1"/>
        </w:rPr>
        <w:t>TET2</w:t>
      </w:r>
      <w:r w:rsidRPr="00B854A1">
        <w:rPr>
          <w:rFonts w:ascii="Arial" w:hAnsi="Arial" w:cs="Arial"/>
          <w:color w:val="000000" w:themeColor="text1"/>
        </w:rPr>
        <w:t xml:space="preserve"> first or </w:t>
      </w:r>
      <w:r w:rsidRPr="00B854A1">
        <w:rPr>
          <w:rFonts w:ascii="Arial" w:hAnsi="Arial" w:cs="Arial"/>
          <w:i/>
          <w:color w:val="000000" w:themeColor="text1"/>
        </w:rPr>
        <w:t>JAK2</w:t>
      </w:r>
      <w:r w:rsidRPr="00B854A1">
        <w:rPr>
          <w:rFonts w:ascii="Arial" w:hAnsi="Arial" w:cs="Arial"/>
          <w:color w:val="000000" w:themeColor="text1"/>
        </w:rPr>
        <w:t xml:space="preserve"> first double mutants and are defined from results presented by Ortmann </w:t>
      </w:r>
      <w:r w:rsidR="005E4296" w:rsidRPr="00B854A1">
        <w:rPr>
          <w:rFonts w:ascii="Arial" w:hAnsi="Arial" w:cs="Arial"/>
          <w:color w:val="000000" w:themeColor="text1"/>
        </w:rPr>
        <w:t>et al</w:t>
      </w:r>
      <w:r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BIB_ortmann2015effect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Our computational model as shown in Figure </w:t>
      </w:r>
      <w:r w:rsidR="000E5EF7" w:rsidRPr="000E5EF7">
        <w:rPr>
          <w:rFonts w:ascii="Arial" w:hAnsi="Arial" w:cs="Arial"/>
          <w:color w:val="70AD47" w:themeColor="accent6"/>
        </w:rPr>
        <w:t>3</w:t>
      </w:r>
      <w:r w:rsidR="00D13BF6">
        <w:rPr>
          <w:rFonts w:ascii="Arial" w:hAnsi="Arial" w:cs="Arial"/>
          <w:color w:val="70AD47" w:themeColor="accent6"/>
        </w:rPr>
        <w:t>b</w:t>
      </w:r>
      <w:r w:rsidR="0085751D" w:rsidRPr="00B854A1">
        <w:rPr>
          <w:rFonts w:ascii="Arial" w:hAnsi="Arial" w:cs="Arial"/>
          <w:color w:val="000000" w:themeColor="text1"/>
        </w:rPr>
        <w:t xml:space="preserve"> </w:t>
      </w:r>
      <w:r w:rsidRPr="00B854A1">
        <w:rPr>
          <w:rFonts w:ascii="Arial" w:hAnsi="Arial" w:cs="Arial"/>
          <w:color w:val="000000" w:themeColor="text1"/>
        </w:rPr>
        <w:t xml:space="preserve">reproduces the expected behaviours described in Table </w:t>
      </w:r>
      <w:r w:rsidR="005550B4" w:rsidRPr="00B854A1">
        <w:rPr>
          <w:rFonts w:ascii="Arial" w:hAnsi="Arial" w:cs="Arial"/>
          <w:color w:val="000000" w:themeColor="text1"/>
        </w:rPr>
        <w:t>1</w:t>
      </w:r>
      <w:r w:rsidRPr="00B854A1">
        <w:rPr>
          <w:rFonts w:ascii="Arial" w:hAnsi="Arial" w:cs="Arial"/>
          <w:color w:val="000000" w:themeColor="text1"/>
        </w:rPr>
        <w:t xml:space="preserve"> and therefore the </w:t>
      </w:r>
      <w:r w:rsidR="00A0471C" w:rsidRPr="00B854A1">
        <w:rPr>
          <w:rFonts w:ascii="Arial" w:hAnsi="Arial" w:cs="Arial"/>
          <w:color w:val="000000" w:themeColor="text1"/>
        </w:rPr>
        <w:t>clinical stratification</w:t>
      </w:r>
      <w:r w:rsidRPr="00B854A1">
        <w:rPr>
          <w:rFonts w:ascii="Arial" w:hAnsi="Arial" w:cs="Arial"/>
          <w:color w:val="000000" w:themeColor="text1"/>
        </w:rPr>
        <w:t xml:space="preserve"> observed in</w:t>
      </w:r>
      <w:r w:rsidR="00BE371F" w:rsidRPr="00B854A1">
        <w:rPr>
          <w:rFonts w:ascii="Arial" w:hAnsi="Arial" w:cs="Arial"/>
          <w:color w:val="000000" w:themeColor="text1"/>
        </w:rPr>
        <w:t xml:space="preserve"> Ortmann et al</w:t>
      </w:r>
      <w:r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BIB_ortmann2015effect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w:t>
      </w:r>
      <w:r w:rsidR="00166587" w:rsidRPr="00B854A1">
        <w:rPr>
          <w:rFonts w:ascii="Arial" w:hAnsi="Arial" w:cs="Arial"/>
          <w:color w:val="000000" w:themeColor="text1"/>
        </w:rPr>
        <w:t>The m</w:t>
      </w:r>
      <w:r w:rsidRPr="00B854A1">
        <w:rPr>
          <w:rFonts w:ascii="Arial" w:hAnsi="Arial" w:cs="Arial"/>
          <w:color w:val="000000" w:themeColor="text1"/>
        </w:rPr>
        <w:t xml:space="preserve">odel </w:t>
      </w:r>
      <w:r w:rsidR="004757C6" w:rsidRPr="00B854A1">
        <w:rPr>
          <w:rFonts w:ascii="Arial" w:hAnsi="Arial" w:cs="Arial"/>
          <w:color w:val="000000" w:themeColor="text1"/>
        </w:rPr>
        <w:t xml:space="preserve">suggests </w:t>
      </w:r>
      <w:r w:rsidRPr="00B854A1">
        <w:rPr>
          <w:rFonts w:ascii="Arial" w:hAnsi="Arial" w:cs="Arial"/>
          <w:color w:val="000000" w:themeColor="text1"/>
        </w:rPr>
        <w:t xml:space="preserve">that the elevated differentiation observed in the </w:t>
      </w:r>
      <w:r w:rsidRPr="00B854A1">
        <w:rPr>
          <w:rFonts w:ascii="Arial" w:hAnsi="Arial" w:cs="Arial"/>
          <w:i/>
          <w:color w:val="000000" w:themeColor="text1"/>
        </w:rPr>
        <w:t>JAK2</w:t>
      </w:r>
      <w:r w:rsidRPr="00B854A1">
        <w:rPr>
          <w:rFonts w:ascii="Arial" w:hAnsi="Arial" w:cs="Arial"/>
          <w:color w:val="000000" w:themeColor="text1"/>
        </w:rPr>
        <w:t xml:space="preserve"> first double mutants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BIB_ortmann2015effect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is induced by the increased expression of </w:t>
      </w:r>
      <w:r w:rsidRPr="00B854A1">
        <w:rPr>
          <w:rFonts w:ascii="Arial" w:hAnsi="Arial" w:cs="Arial"/>
          <w:i/>
          <w:color w:val="000000" w:themeColor="text1"/>
        </w:rPr>
        <w:t>RUNX1</w:t>
      </w:r>
      <w:r w:rsidRPr="00B854A1">
        <w:rPr>
          <w:rFonts w:ascii="Arial" w:hAnsi="Arial" w:cs="Arial"/>
          <w:color w:val="000000" w:themeColor="text1"/>
        </w:rPr>
        <w:t xml:space="preserve">, </w:t>
      </w:r>
      <w:r w:rsidRPr="00B854A1">
        <w:rPr>
          <w:rFonts w:ascii="Arial" w:hAnsi="Arial" w:cs="Arial"/>
          <w:i/>
          <w:color w:val="000000" w:themeColor="text1"/>
        </w:rPr>
        <w:t>KLF1</w:t>
      </w:r>
      <w:r w:rsidRPr="00B854A1">
        <w:rPr>
          <w:rFonts w:ascii="Arial" w:hAnsi="Arial" w:cs="Arial"/>
          <w:color w:val="000000" w:themeColor="text1"/>
        </w:rPr>
        <w:t xml:space="preserve"> and </w:t>
      </w:r>
      <w:r w:rsidRPr="00B854A1">
        <w:rPr>
          <w:rFonts w:ascii="Arial" w:hAnsi="Arial" w:cs="Arial"/>
          <w:i/>
          <w:color w:val="000000" w:themeColor="text1"/>
        </w:rPr>
        <w:t>GATA1</w:t>
      </w:r>
      <w:r w:rsidRPr="00B854A1">
        <w:rPr>
          <w:rFonts w:ascii="Arial" w:hAnsi="Arial" w:cs="Arial"/>
          <w:color w:val="000000" w:themeColor="text1"/>
        </w:rPr>
        <w:t xml:space="preserve"> as well as the downregulation of </w:t>
      </w:r>
      <w:r w:rsidRPr="00B854A1">
        <w:rPr>
          <w:rFonts w:ascii="Arial" w:hAnsi="Arial" w:cs="Arial"/>
          <w:i/>
          <w:color w:val="000000" w:themeColor="text1"/>
        </w:rPr>
        <w:t xml:space="preserve">MYC </w:t>
      </w:r>
      <w:r w:rsidRPr="00B854A1">
        <w:rPr>
          <w:rFonts w:ascii="Arial" w:hAnsi="Arial" w:cs="Arial"/>
          <w:color w:val="000000" w:themeColor="text1"/>
        </w:rPr>
        <w:t>not found in</w:t>
      </w:r>
      <w:r w:rsidRPr="00B854A1">
        <w:rPr>
          <w:rFonts w:ascii="Arial" w:hAnsi="Arial" w:cs="Arial"/>
          <w:i/>
          <w:color w:val="000000" w:themeColor="text1"/>
        </w:rPr>
        <w:t xml:space="preserve"> TET2 </w:t>
      </w:r>
      <w:r w:rsidRPr="00B854A1">
        <w:rPr>
          <w:rFonts w:ascii="Arial" w:hAnsi="Arial" w:cs="Arial"/>
          <w:color w:val="000000" w:themeColor="text1"/>
        </w:rPr>
        <w:t>first double mutant. This gene expression difference between double mutants can partly explain the divergent clinical behaviours between the two groups of patients, including the increased risk of thrombosis and the faster diagnosis as a result of the abnormally high number of differentiated cells in these patients.</w:t>
      </w:r>
      <w:r w:rsidR="008771EA" w:rsidRPr="00B854A1">
        <w:rPr>
          <w:rFonts w:ascii="Arial" w:hAnsi="Arial" w:cs="Arial"/>
          <w:color w:val="000000" w:themeColor="text1"/>
        </w:rPr>
        <w:t xml:space="preserve"> </w:t>
      </w:r>
    </w:p>
    <w:p w14:paraId="3C9240D2" w14:textId="77777777" w:rsidR="00C04378" w:rsidRPr="00B854A1" w:rsidRDefault="00C04378" w:rsidP="00D811DB">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6FF527E4" w14:textId="11E9041A" w:rsidR="00EF7C61" w:rsidRPr="00B854A1" w:rsidRDefault="005A4371" w:rsidP="00D811DB">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The self-loop on </w:t>
      </w:r>
      <w:r w:rsidRPr="00B854A1">
        <w:rPr>
          <w:rFonts w:ascii="Arial" w:hAnsi="Arial" w:cs="Arial"/>
          <w:i/>
          <w:iCs/>
          <w:color w:val="000000" w:themeColor="text1"/>
        </w:rPr>
        <w:t>HOXA9</w:t>
      </w:r>
      <w:r w:rsidRPr="00B854A1">
        <w:rPr>
          <w:rFonts w:ascii="Arial" w:hAnsi="Arial" w:cs="Arial"/>
          <w:color w:val="000000" w:themeColor="text1"/>
        </w:rPr>
        <w:t xml:space="preserve"> plays a fundamental role in </w:t>
      </w:r>
      <w:r w:rsidR="00BF1DDB" w:rsidRPr="00B854A1">
        <w:rPr>
          <w:rFonts w:ascii="Arial" w:hAnsi="Arial" w:cs="Arial"/>
          <w:color w:val="000000" w:themeColor="text1"/>
        </w:rPr>
        <w:t>determining model behaviour</w:t>
      </w:r>
      <w:r w:rsidR="00675348" w:rsidRPr="00B854A1">
        <w:rPr>
          <w:rFonts w:ascii="Arial" w:hAnsi="Arial" w:cs="Arial"/>
          <w:color w:val="000000" w:themeColor="text1"/>
        </w:rPr>
        <w:t>.</w:t>
      </w:r>
      <w:r w:rsidR="00BF1DDB" w:rsidRPr="00B854A1">
        <w:rPr>
          <w:rFonts w:ascii="Arial" w:hAnsi="Arial" w:cs="Arial"/>
          <w:color w:val="000000" w:themeColor="text1"/>
        </w:rPr>
        <w:t xml:space="preserve"> To explore how it influences cell phenotypes, we </w:t>
      </w:r>
      <w:r w:rsidR="004D3EE9" w:rsidRPr="00B854A1">
        <w:rPr>
          <w:rFonts w:ascii="Arial" w:hAnsi="Arial" w:cs="Arial"/>
          <w:color w:val="000000" w:themeColor="text1"/>
        </w:rPr>
        <w:t>tested three different possible outcomes of removing it from the model.</w:t>
      </w:r>
      <w:r w:rsidR="00675348" w:rsidRPr="00B854A1">
        <w:rPr>
          <w:rFonts w:ascii="Arial" w:hAnsi="Arial" w:cs="Arial"/>
          <w:color w:val="000000" w:themeColor="text1"/>
        </w:rPr>
        <w:t xml:space="preserve"> </w:t>
      </w:r>
      <w:r w:rsidR="00425707" w:rsidRPr="00B854A1">
        <w:rPr>
          <w:rFonts w:ascii="Arial" w:hAnsi="Arial" w:cs="Arial"/>
          <w:color w:val="000000" w:themeColor="text1"/>
        </w:rPr>
        <w:t>Simply r</w:t>
      </w:r>
      <w:r w:rsidR="008771EA" w:rsidRPr="00B854A1">
        <w:rPr>
          <w:rFonts w:ascii="Arial" w:hAnsi="Arial" w:cs="Arial"/>
          <w:color w:val="000000" w:themeColor="text1"/>
        </w:rPr>
        <w:t xml:space="preserve">emoving </w:t>
      </w:r>
      <w:r w:rsidR="00C04378" w:rsidRPr="00B854A1">
        <w:rPr>
          <w:rFonts w:ascii="Arial" w:hAnsi="Arial" w:cs="Arial"/>
          <w:i/>
          <w:color w:val="000000" w:themeColor="text1"/>
        </w:rPr>
        <w:t>HOXA9</w:t>
      </w:r>
      <w:r w:rsidR="00C04378" w:rsidRPr="00B854A1">
        <w:rPr>
          <w:rFonts w:ascii="Arial" w:hAnsi="Arial" w:cs="Arial"/>
          <w:color w:val="000000" w:themeColor="text1"/>
        </w:rPr>
        <w:t xml:space="preserve"> self-activation in our model</w:t>
      </w:r>
      <w:r w:rsidR="001F50B0" w:rsidRPr="00B854A1">
        <w:rPr>
          <w:rFonts w:ascii="Arial" w:hAnsi="Arial" w:cs="Arial"/>
          <w:color w:val="000000" w:themeColor="text1"/>
        </w:rPr>
        <w:t xml:space="preserve"> </w:t>
      </w:r>
      <w:r w:rsidR="00C04378" w:rsidRPr="00B854A1">
        <w:rPr>
          <w:rFonts w:ascii="Arial" w:hAnsi="Arial" w:cs="Arial"/>
          <w:color w:val="000000" w:themeColor="text1"/>
        </w:rPr>
        <w:t>result</w:t>
      </w:r>
      <w:r w:rsidR="001F50B0" w:rsidRPr="00B854A1">
        <w:rPr>
          <w:rFonts w:ascii="Arial" w:hAnsi="Arial" w:cs="Arial"/>
          <w:color w:val="000000" w:themeColor="text1"/>
        </w:rPr>
        <w:t>s</w:t>
      </w:r>
      <w:r w:rsidR="00C04378" w:rsidRPr="00B854A1">
        <w:rPr>
          <w:rFonts w:ascii="Arial" w:hAnsi="Arial" w:cs="Arial"/>
          <w:color w:val="000000" w:themeColor="text1"/>
        </w:rPr>
        <w:t xml:space="preserve"> in its stable overexpression in the double mutant genotype (Fig. S</w:t>
      </w:r>
      <w:r w:rsidR="00740E00" w:rsidRPr="00B854A1">
        <w:rPr>
          <w:rFonts w:ascii="Arial" w:hAnsi="Arial" w:cs="Arial"/>
          <w:color w:val="000000" w:themeColor="text1"/>
        </w:rPr>
        <w:t>5</w:t>
      </w:r>
      <w:r w:rsidR="00C04378" w:rsidRPr="00B854A1">
        <w:rPr>
          <w:rFonts w:ascii="Arial" w:hAnsi="Arial" w:cs="Arial"/>
          <w:color w:val="000000" w:themeColor="text1"/>
        </w:rPr>
        <w:t>)</w:t>
      </w:r>
      <w:r w:rsidR="00196ADC" w:rsidRPr="00B854A1">
        <w:rPr>
          <w:rFonts w:ascii="Arial" w:hAnsi="Arial" w:cs="Arial"/>
          <w:color w:val="000000" w:themeColor="text1"/>
        </w:rPr>
        <w:t>,</w:t>
      </w:r>
      <w:r w:rsidR="009A21FD" w:rsidRPr="00B854A1">
        <w:rPr>
          <w:rFonts w:ascii="Arial" w:hAnsi="Arial" w:cs="Arial"/>
          <w:color w:val="000000" w:themeColor="text1"/>
        </w:rPr>
        <w:t xml:space="preserve"> as </w:t>
      </w:r>
      <w:r w:rsidR="009915AB" w:rsidRPr="00B854A1">
        <w:rPr>
          <w:rFonts w:ascii="Arial" w:hAnsi="Arial" w:cs="Arial"/>
          <w:color w:val="000000" w:themeColor="text1"/>
        </w:rPr>
        <w:t xml:space="preserve">the </w:t>
      </w:r>
      <w:r w:rsidR="00B40862" w:rsidRPr="00B854A1">
        <w:rPr>
          <w:rFonts w:ascii="Arial" w:hAnsi="Arial" w:cs="Arial"/>
          <w:color w:val="000000" w:themeColor="text1"/>
        </w:rPr>
        <w:t xml:space="preserve">impact of the </w:t>
      </w:r>
      <w:r w:rsidR="009A21FD" w:rsidRPr="00511ED5">
        <w:rPr>
          <w:rFonts w:ascii="Arial" w:hAnsi="Arial" w:cs="Arial"/>
          <w:i/>
          <w:iCs/>
          <w:color w:val="000000" w:themeColor="text1"/>
        </w:rPr>
        <w:t>JAK2</w:t>
      </w:r>
      <w:r w:rsidR="009915AB" w:rsidRPr="00B854A1">
        <w:rPr>
          <w:rFonts w:ascii="Arial" w:hAnsi="Arial" w:cs="Arial"/>
          <w:color w:val="000000" w:themeColor="text1"/>
        </w:rPr>
        <w:t xml:space="preserve"> mutation overwhelms the </w:t>
      </w:r>
      <w:r w:rsidR="00B40862" w:rsidRPr="00B854A1">
        <w:rPr>
          <w:rFonts w:ascii="Arial" w:hAnsi="Arial" w:cs="Arial"/>
          <w:color w:val="000000" w:themeColor="text1"/>
        </w:rPr>
        <w:t xml:space="preserve">effect of the </w:t>
      </w:r>
      <w:r w:rsidR="005F7412" w:rsidRPr="00511ED5">
        <w:rPr>
          <w:rFonts w:ascii="Arial" w:hAnsi="Arial" w:cs="Arial"/>
          <w:i/>
          <w:iCs/>
          <w:color w:val="000000" w:themeColor="text1"/>
        </w:rPr>
        <w:t>TET2</w:t>
      </w:r>
      <w:r w:rsidR="005F7412" w:rsidRPr="00B854A1">
        <w:rPr>
          <w:rFonts w:ascii="Arial" w:hAnsi="Arial" w:cs="Arial"/>
          <w:color w:val="000000" w:themeColor="text1"/>
        </w:rPr>
        <w:t xml:space="preserve"> mutation</w:t>
      </w:r>
      <w:r w:rsidR="00C04378" w:rsidRPr="00B854A1">
        <w:rPr>
          <w:rFonts w:ascii="Arial" w:hAnsi="Arial" w:cs="Arial"/>
          <w:color w:val="000000" w:themeColor="text1"/>
        </w:rPr>
        <w:t>.</w:t>
      </w:r>
      <w:r w:rsidR="001F50B0" w:rsidRPr="00B854A1">
        <w:rPr>
          <w:rFonts w:ascii="Arial" w:hAnsi="Arial" w:cs="Arial"/>
          <w:color w:val="000000" w:themeColor="text1"/>
        </w:rPr>
        <w:t xml:space="preserve"> </w:t>
      </w:r>
      <w:r w:rsidR="00F1525E" w:rsidRPr="00B854A1">
        <w:rPr>
          <w:rFonts w:ascii="Arial" w:hAnsi="Arial" w:cs="Arial"/>
          <w:color w:val="000000" w:themeColor="text1"/>
        </w:rPr>
        <w:t xml:space="preserve">However, </w:t>
      </w:r>
      <w:r w:rsidR="009269AE" w:rsidRPr="00B854A1">
        <w:rPr>
          <w:rFonts w:ascii="Arial" w:hAnsi="Arial" w:cs="Arial"/>
          <w:color w:val="000000" w:themeColor="text1"/>
        </w:rPr>
        <w:t>the loss of this interaction could lead to more complex outcomes</w:t>
      </w:r>
      <w:r w:rsidR="00425707" w:rsidRPr="00B854A1">
        <w:rPr>
          <w:rFonts w:ascii="Arial" w:hAnsi="Arial" w:cs="Arial"/>
          <w:color w:val="000000" w:themeColor="text1"/>
        </w:rPr>
        <w:t xml:space="preserve">. </w:t>
      </w:r>
      <w:r w:rsidR="009269AE" w:rsidRPr="00B854A1">
        <w:rPr>
          <w:rFonts w:ascii="Arial" w:hAnsi="Arial" w:cs="Arial"/>
          <w:color w:val="000000" w:themeColor="text1"/>
        </w:rPr>
        <w:t xml:space="preserve">For example, </w:t>
      </w:r>
      <w:r w:rsidR="009269AE" w:rsidRPr="00B854A1">
        <w:rPr>
          <w:rFonts w:ascii="Arial" w:hAnsi="Arial" w:cs="Arial"/>
          <w:i/>
          <w:iCs/>
          <w:color w:val="000000" w:themeColor="text1"/>
        </w:rPr>
        <w:t>HOXA9</w:t>
      </w:r>
      <w:r w:rsidR="009269AE" w:rsidRPr="00B854A1">
        <w:rPr>
          <w:rFonts w:ascii="Arial" w:hAnsi="Arial" w:cs="Arial"/>
          <w:color w:val="000000" w:themeColor="text1"/>
        </w:rPr>
        <w:t xml:space="preserve"> may be dependent on </w:t>
      </w:r>
      <w:r w:rsidR="009232CE" w:rsidRPr="00B854A1">
        <w:rPr>
          <w:rFonts w:ascii="Arial" w:hAnsi="Arial" w:cs="Arial"/>
          <w:color w:val="000000" w:themeColor="text1"/>
        </w:rPr>
        <w:t>a basal level of</w:t>
      </w:r>
      <w:r w:rsidR="009269AE" w:rsidRPr="00B854A1">
        <w:rPr>
          <w:rFonts w:ascii="Arial" w:hAnsi="Arial" w:cs="Arial"/>
          <w:color w:val="000000" w:themeColor="text1"/>
        </w:rPr>
        <w:t xml:space="preserve"> self-</w:t>
      </w:r>
      <w:r w:rsidR="009232CE" w:rsidRPr="00B854A1">
        <w:rPr>
          <w:rFonts w:ascii="Arial" w:hAnsi="Arial" w:cs="Arial"/>
          <w:color w:val="000000" w:themeColor="text1"/>
        </w:rPr>
        <w:t xml:space="preserve">activation to </w:t>
      </w:r>
      <w:r w:rsidR="00FF21F1" w:rsidRPr="00B854A1">
        <w:rPr>
          <w:rFonts w:ascii="Arial" w:hAnsi="Arial" w:cs="Arial"/>
          <w:color w:val="000000" w:themeColor="text1"/>
        </w:rPr>
        <w:t>act in the cell.</w:t>
      </w:r>
      <w:r w:rsidR="009269AE" w:rsidRPr="00B854A1">
        <w:rPr>
          <w:rFonts w:ascii="Arial" w:hAnsi="Arial" w:cs="Arial"/>
          <w:color w:val="000000" w:themeColor="text1"/>
        </w:rPr>
        <w:t xml:space="preserve"> </w:t>
      </w:r>
      <w:r w:rsidR="00FF21F1" w:rsidRPr="00B854A1">
        <w:rPr>
          <w:rFonts w:ascii="Arial" w:hAnsi="Arial" w:cs="Arial"/>
          <w:color w:val="000000" w:themeColor="text1"/>
        </w:rPr>
        <w:t>To explore this, w</w:t>
      </w:r>
      <w:r w:rsidR="001F50B0" w:rsidRPr="00B854A1">
        <w:rPr>
          <w:rFonts w:ascii="Arial" w:hAnsi="Arial" w:cs="Arial"/>
          <w:color w:val="000000" w:themeColor="text1"/>
        </w:rPr>
        <w:t>e also test</w:t>
      </w:r>
      <w:r w:rsidR="00FF21F1" w:rsidRPr="00B854A1">
        <w:rPr>
          <w:rFonts w:ascii="Arial" w:hAnsi="Arial" w:cs="Arial"/>
          <w:color w:val="000000" w:themeColor="text1"/>
        </w:rPr>
        <w:t>ed</w:t>
      </w:r>
      <w:r w:rsidR="001F50B0" w:rsidRPr="00B854A1">
        <w:rPr>
          <w:rFonts w:ascii="Arial" w:hAnsi="Arial" w:cs="Arial"/>
          <w:color w:val="000000" w:themeColor="text1"/>
        </w:rPr>
        <w:t xml:space="preserve"> the case where removal of the self-loop causes </w:t>
      </w:r>
      <w:r w:rsidR="001F50B0" w:rsidRPr="00511ED5">
        <w:rPr>
          <w:rFonts w:ascii="Arial" w:hAnsi="Arial" w:cs="Arial"/>
          <w:i/>
          <w:iCs/>
          <w:color w:val="000000" w:themeColor="text1"/>
        </w:rPr>
        <w:t>HOXA9</w:t>
      </w:r>
      <w:r w:rsidR="001F50B0" w:rsidRPr="00B854A1">
        <w:rPr>
          <w:rFonts w:ascii="Arial" w:hAnsi="Arial" w:cs="Arial"/>
          <w:color w:val="000000" w:themeColor="text1"/>
        </w:rPr>
        <w:t xml:space="preserve"> null activity (Fig. S6)</w:t>
      </w:r>
      <w:r w:rsidR="0006473F" w:rsidRPr="00B854A1">
        <w:rPr>
          <w:rFonts w:ascii="Arial" w:hAnsi="Arial" w:cs="Arial"/>
          <w:color w:val="000000" w:themeColor="text1"/>
        </w:rPr>
        <w:t xml:space="preserve"> and stabilisation of the double mutant</w:t>
      </w:r>
      <w:r w:rsidR="001F50B0" w:rsidRPr="00B854A1">
        <w:rPr>
          <w:rFonts w:ascii="Arial" w:hAnsi="Arial" w:cs="Arial"/>
          <w:color w:val="000000" w:themeColor="text1"/>
        </w:rPr>
        <w:t>.</w:t>
      </w:r>
      <w:r w:rsidR="00D558F7" w:rsidRPr="00B854A1">
        <w:rPr>
          <w:rFonts w:ascii="Arial" w:hAnsi="Arial" w:cs="Arial"/>
          <w:color w:val="000000" w:themeColor="text1"/>
        </w:rPr>
        <w:t xml:space="preserve"> </w:t>
      </w:r>
      <w:r w:rsidR="00D558F7" w:rsidRPr="00B854A1">
        <w:rPr>
          <w:rFonts w:ascii="Arial" w:hAnsi="Arial" w:cs="Arial"/>
          <w:color w:val="000000" w:themeColor="text1"/>
        </w:rPr>
        <w:lastRenderedPageBreak/>
        <w:t>Finally, the impact of the mutations could</w:t>
      </w:r>
      <w:r w:rsidR="0071084E" w:rsidRPr="00B854A1">
        <w:rPr>
          <w:rFonts w:ascii="Arial" w:hAnsi="Arial" w:cs="Arial"/>
          <w:color w:val="000000" w:themeColor="text1"/>
        </w:rPr>
        <w:t xml:space="preserve"> compensate for one another</w:t>
      </w:r>
      <w:r w:rsidR="00F81705" w:rsidRPr="00B854A1">
        <w:rPr>
          <w:rFonts w:ascii="Arial" w:hAnsi="Arial" w:cs="Arial"/>
          <w:color w:val="000000" w:themeColor="text1"/>
        </w:rPr>
        <w:t xml:space="preserve"> in the absence of the self-loop</w:t>
      </w:r>
      <w:r w:rsidR="0071084E" w:rsidRPr="00B854A1">
        <w:rPr>
          <w:rFonts w:ascii="Arial" w:hAnsi="Arial" w:cs="Arial"/>
          <w:color w:val="000000" w:themeColor="text1"/>
        </w:rPr>
        <w:t>, leading the double mutant to have wild type activity levels. In this situation</w:t>
      </w:r>
      <w:r w:rsidR="00CF6B4F" w:rsidRPr="00B854A1">
        <w:rPr>
          <w:rFonts w:ascii="Arial" w:hAnsi="Arial" w:cs="Arial"/>
          <w:color w:val="000000" w:themeColor="text1"/>
        </w:rPr>
        <w:t>,</w:t>
      </w:r>
      <w:r w:rsidR="006F0194" w:rsidRPr="00B854A1">
        <w:rPr>
          <w:rFonts w:ascii="Arial" w:hAnsi="Arial" w:cs="Arial"/>
          <w:color w:val="000000" w:themeColor="text1"/>
        </w:rPr>
        <w:t xml:space="preserve"> </w:t>
      </w:r>
      <w:r w:rsidR="004108FF" w:rsidRPr="00B854A1">
        <w:rPr>
          <w:rFonts w:ascii="Arial" w:hAnsi="Arial" w:cs="Arial"/>
          <w:color w:val="000000" w:themeColor="text1"/>
        </w:rPr>
        <w:t xml:space="preserve">the model is unstable due to the interactions between </w:t>
      </w:r>
      <w:r w:rsidR="004108FF" w:rsidRPr="00B854A1">
        <w:rPr>
          <w:rFonts w:ascii="Arial" w:hAnsi="Arial" w:cs="Arial"/>
          <w:i/>
          <w:iCs/>
          <w:color w:val="000000" w:themeColor="text1"/>
        </w:rPr>
        <w:t>SPI1</w:t>
      </w:r>
      <w:r w:rsidR="004108FF" w:rsidRPr="00B854A1">
        <w:rPr>
          <w:rFonts w:ascii="Arial" w:hAnsi="Arial" w:cs="Arial"/>
          <w:color w:val="000000" w:themeColor="text1"/>
        </w:rPr>
        <w:t xml:space="preserve"> and </w:t>
      </w:r>
      <w:r w:rsidR="004108FF" w:rsidRPr="00B854A1">
        <w:rPr>
          <w:rFonts w:ascii="Arial" w:hAnsi="Arial" w:cs="Arial"/>
          <w:i/>
          <w:iCs/>
          <w:color w:val="000000" w:themeColor="text1"/>
        </w:rPr>
        <w:t xml:space="preserve">GATA1, </w:t>
      </w:r>
      <w:r w:rsidR="004108FF" w:rsidRPr="00B854A1">
        <w:rPr>
          <w:rFonts w:ascii="Arial" w:hAnsi="Arial" w:cs="Arial"/>
          <w:color w:val="000000" w:themeColor="text1"/>
        </w:rPr>
        <w:t>though fewer variables are involved in the instability</w:t>
      </w:r>
      <w:r w:rsidR="00DC621E" w:rsidRPr="00B854A1">
        <w:rPr>
          <w:rFonts w:ascii="Arial" w:hAnsi="Arial" w:cs="Arial"/>
          <w:color w:val="000000" w:themeColor="text1"/>
        </w:rPr>
        <w:t xml:space="preserve"> (Fig. S7)</w:t>
      </w:r>
      <w:r w:rsidR="004108FF" w:rsidRPr="00B854A1">
        <w:rPr>
          <w:rFonts w:ascii="Arial" w:hAnsi="Arial" w:cs="Arial"/>
          <w:color w:val="000000" w:themeColor="text1"/>
        </w:rPr>
        <w:t>.</w:t>
      </w:r>
      <w:r w:rsidR="00CF6B4F" w:rsidRPr="00B854A1">
        <w:rPr>
          <w:rFonts w:ascii="Arial" w:hAnsi="Arial" w:cs="Arial"/>
          <w:color w:val="000000" w:themeColor="text1"/>
        </w:rPr>
        <w:t xml:space="preserve"> </w:t>
      </w:r>
      <w:r w:rsidR="00D558F7" w:rsidRPr="00B854A1">
        <w:rPr>
          <w:rFonts w:ascii="Arial" w:hAnsi="Arial" w:cs="Arial"/>
          <w:color w:val="000000" w:themeColor="text1"/>
        </w:rPr>
        <w:t>W</w:t>
      </w:r>
      <w:r w:rsidR="001F50B0" w:rsidRPr="00B854A1">
        <w:rPr>
          <w:rFonts w:ascii="Arial" w:hAnsi="Arial" w:cs="Arial"/>
          <w:color w:val="000000" w:themeColor="text1"/>
        </w:rPr>
        <w:t xml:space="preserve">e conclude </w:t>
      </w:r>
      <w:r w:rsidR="00CE77F0" w:rsidRPr="00B854A1">
        <w:rPr>
          <w:rFonts w:ascii="Arial" w:hAnsi="Arial" w:cs="Arial"/>
          <w:color w:val="000000" w:themeColor="text1"/>
        </w:rPr>
        <w:t xml:space="preserve">generally </w:t>
      </w:r>
      <w:r w:rsidR="001F50B0" w:rsidRPr="00B854A1">
        <w:rPr>
          <w:rFonts w:ascii="Arial" w:hAnsi="Arial" w:cs="Arial"/>
          <w:color w:val="000000" w:themeColor="text1"/>
        </w:rPr>
        <w:t>that l</w:t>
      </w:r>
      <w:r w:rsidR="00C04378" w:rsidRPr="00B854A1">
        <w:rPr>
          <w:rFonts w:ascii="Arial" w:hAnsi="Arial" w:cs="Arial"/>
          <w:color w:val="000000" w:themeColor="text1"/>
        </w:rPr>
        <w:t xml:space="preserve">oss of </w:t>
      </w:r>
      <w:r w:rsidR="00C04378" w:rsidRPr="00B854A1">
        <w:rPr>
          <w:rFonts w:ascii="Arial" w:hAnsi="Arial" w:cs="Arial"/>
          <w:i/>
          <w:color w:val="000000" w:themeColor="text1"/>
        </w:rPr>
        <w:t>HOXA9</w:t>
      </w:r>
      <w:r w:rsidR="00C04378" w:rsidRPr="00B854A1">
        <w:rPr>
          <w:rFonts w:ascii="Arial" w:hAnsi="Arial" w:cs="Arial"/>
          <w:color w:val="000000" w:themeColor="text1"/>
        </w:rPr>
        <w:t xml:space="preserve"> </w:t>
      </w:r>
      <w:r w:rsidR="00303BB1" w:rsidRPr="00B854A1">
        <w:rPr>
          <w:rFonts w:ascii="Arial" w:hAnsi="Arial" w:cs="Arial"/>
          <w:color w:val="000000" w:themeColor="text1"/>
        </w:rPr>
        <w:t>self-activation</w:t>
      </w:r>
      <w:r w:rsidR="00C04378" w:rsidRPr="00B854A1">
        <w:rPr>
          <w:rFonts w:ascii="Arial" w:hAnsi="Arial" w:cs="Arial"/>
          <w:color w:val="000000" w:themeColor="text1"/>
        </w:rPr>
        <w:t xml:space="preserve"> leads to the </w:t>
      </w:r>
      <w:r w:rsidR="00E54185" w:rsidRPr="00B854A1">
        <w:rPr>
          <w:rFonts w:ascii="Arial" w:hAnsi="Arial" w:cs="Arial"/>
          <w:color w:val="000000" w:themeColor="text1"/>
        </w:rPr>
        <w:t xml:space="preserve">partial or total </w:t>
      </w:r>
      <w:r w:rsidR="00563753" w:rsidRPr="00B854A1">
        <w:rPr>
          <w:rFonts w:ascii="Arial" w:hAnsi="Arial" w:cs="Arial"/>
          <w:color w:val="000000" w:themeColor="text1"/>
        </w:rPr>
        <w:t xml:space="preserve">loss of bifurcation in the model and </w:t>
      </w:r>
      <w:r w:rsidR="00924522" w:rsidRPr="00B854A1">
        <w:rPr>
          <w:rFonts w:ascii="Arial" w:hAnsi="Arial" w:cs="Arial"/>
          <w:color w:val="000000" w:themeColor="text1"/>
        </w:rPr>
        <w:t xml:space="preserve">its </w:t>
      </w:r>
      <w:r w:rsidR="00563753" w:rsidRPr="00B854A1">
        <w:rPr>
          <w:rFonts w:ascii="Arial" w:hAnsi="Arial" w:cs="Arial"/>
          <w:color w:val="000000" w:themeColor="text1"/>
        </w:rPr>
        <w:t>responsiveness to the order of mutations</w:t>
      </w:r>
      <w:r w:rsidR="007A40CA" w:rsidRPr="00B854A1">
        <w:rPr>
          <w:rFonts w:ascii="Arial" w:hAnsi="Arial" w:cs="Arial"/>
          <w:color w:val="000000" w:themeColor="text1"/>
        </w:rPr>
        <w:t>. This</w:t>
      </w:r>
      <w:r w:rsidR="00C04378" w:rsidRPr="00B854A1">
        <w:rPr>
          <w:rFonts w:ascii="Arial" w:hAnsi="Arial" w:cs="Arial"/>
          <w:color w:val="000000" w:themeColor="text1"/>
        </w:rPr>
        <w:t xml:space="preserve"> </w:t>
      </w:r>
      <w:r w:rsidR="007A40CA" w:rsidRPr="00B854A1">
        <w:rPr>
          <w:rFonts w:ascii="Arial" w:hAnsi="Arial" w:cs="Arial"/>
          <w:color w:val="000000" w:themeColor="text1"/>
        </w:rPr>
        <w:t>reinforces</w:t>
      </w:r>
      <w:r w:rsidR="00C04378" w:rsidRPr="00B854A1">
        <w:rPr>
          <w:rFonts w:ascii="Arial" w:hAnsi="Arial" w:cs="Arial"/>
          <w:color w:val="000000" w:themeColor="text1"/>
        </w:rPr>
        <w:t xml:space="preserve"> the importance of the self-positive feedback loop </w:t>
      </w:r>
      <w:r w:rsidR="007A40CA" w:rsidRPr="00B854A1">
        <w:rPr>
          <w:rFonts w:ascii="Arial" w:hAnsi="Arial" w:cs="Arial"/>
          <w:color w:val="000000" w:themeColor="text1"/>
        </w:rPr>
        <w:t>in</w:t>
      </w:r>
      <w:r w:rsidR="00C04378" w:rsidRPr="00B854A1">
        <w:rPr>
          <w:rFonts w:ascii="Arial" w:hAnsi="Arial" w:cs="Arial"/>
          <w:color w:val="000000" w:themeColor="text1"/>
        </w:rPr>
        <w:t xml:space="preserve"> </w:t>
      </w:r>
      <w:r w:rsidR="007A40CA" w:rsidRPr="00B854A1">
        <w:rPr>
          <w:rFonts w:ascii="Arial" w:hAnsi="Arial" w:cs="Arial"/>
          <w:color w:val="000000" w:themeColor="text1"/>
        </w:rPr>
        <w:t>determining cell phenotype and the subsequent</w:t>
      </w:r>
      <w:r w:rsidR="00C04378" w:rsidRPr="00B854A1">
        <w:rPr>
          <w:rFonts w:ascii="Arial" w:hAnsi="Arial" w:cs="Arial"/>
          <w:color w:val="000000" w:themeColor="text1"/>
        </w:rPr>
        <w:t xml:space="preserve"> </w:t>
      </w:r>
      <w:r w:rsidR="00F53BD6" w:rsidRPr="00B854A1">
        <w:rPr>
          <w:rFonts w:ascii="Arial" w:hAnsi="Arial" w:cs="Arial"/>
          <w:color w:val="000000" w:themeColor="text1"/>
        </w:rPr>
        <w:t xml:space="preserve">clinical </w:t>
      </w:r>
      <w:r w:rsidR="00697D84" w:rsidRPr="00B854A1">
        <w:rPr>
          <w:rFonts w:ascii="Arial" w:hAnsi="Arial" w:cs="Arial"/>
          <w:color w:val="000000" w:themeColor="text1"/>
        </w:rPr>
        <w:t>separation of</w:t>
      </w:r>
      <w:r w:rsidR="00C04378" w:rsidRPr="00B854A1">
        <w:rPr>
          <w:rFonts w:ascii="Arial" w:hAnsi="Arial" w:cs="Arial"/>
          <w:color w:val="000000" w:themeColor="text1"/>
        </w:rPr>
        <w:t xml:space="preserve"> patients with </w:t>
      </w:r>
      <w:r w:rsidR="00697D84" w:rsidRPr="00B854A1">
        <w:rPr>
          <w:rFonts w:ascii="Arial" w:hAnsi="Arial" w:cs="Arial"/>
          <w:color w:val="000000" w:themeColor="text1"/>
        </w:rPr>
        <w:t>differing orders of</w:t>
      </w:r>
      <w:r w:rsidR="00C04378" w:rsidRPr="00B854A1">
        <w:rPr>
          <w:rFonts w:ascii="Arial" w:hAnsi="Arial" w:cs="Arial"/>
          <w:color w:val="000000" w:themeColor="text1"/>
        </w:rPr>
        <w:t xml:space="preserve"> </w:t>
      </w:r>
      <w:r w:rsidR="00C04378" w:rsidRPr="00B854A1">
        <w:rPr>
          <w:rFonts w:ascii="Arial" w:hAnsi="Arial" w:cs="Arial"/>
          <w:i/>
          <w:color w:val="000000" w:themeColor="text1"/>
        </w:rPr>
        <w:t>JAK2</w:t>
      </w:r>
      <w:r w:rsidR="00C04378" w:rsidRPr="00B854A1">
        <w:rPr>
          <w:rFonts w:ascii="Arial" w:hAnsi="Arial" w:cs="Arial"/>
          <w:color w:val="000000" w:themeColor="text1"/>
        </w:rPr>
        <w:t xml:space="preserve"> and </w:t>
      </w:r>
      <w:r w:rsidR="00C04378" w:rsidRPr="00B854A1">
        <w:rPr>
          <w:rFonts w:ascii="Arial" w:hAnsi="Arial" w:cs="Arial"/>
          <w:i/>
          <w:color w:val="000000" w:themeColor="text1"/>
        </w:rPr>
        <w:t>TET2</w:t>
      </w:r>
      <w:r w:rsidR="00C04378" w:rsidRPr="00B854A1">
        <w:rPr>
          <w:rFonts w:ascii="Arial" w:hAnsi="Arial" w:cs="Arial"/>
          <w:color w:val="000000" w:themeColor="text1"/>
        </w:rPr>
        <w:t xml:space="preserve"> mutations.</w:t>
      </w:r>
    </w:p>
    <w:p w14:paraId="3E14DD2F" w14:textId="77777777" w:rsidR="00C04378" w:rsidRPr="00B854A1" w:rsidRDefault="00C04378" w:rsidP="00D811DB">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3DB0A3DE" w14:textId="6C0564C1" w:rsidR="00EF7C61" w:rsidRPr="00B854A1" w:rsidRDefault="00EF7C61" w:rsidP="00D811DB">
      <w:pPr>
        <w:pStyle w:val="ListParagraph"/>
        <w:numPr>
          <w:ilvl w:val="0"/>
          <w:numId w:val="1"/>
        </w:numPr>
        <w:spacing w:after="160" w:line="480" w:lineRule="auto"/>
        <w:jc w:val="both"/>
        <w:rPr>
          <w:color w:val="000000" w:themeColor="text1"/>
        </w:rPr>
      </w:pPr>
      <w:r w:rsidRPr="00B854A1">
        <w:rPr>
          <w:rFonts w:ascii="Arial" w:hAnsi="Arial" w:cs="Arial"/>
          <w:b/>
          <w:color w:val="000000" w:themeColor="text1"/>
        </w:rPr>
        <w:t>MPN network predicts gene dynamics and interactions.</w:t>
      </w:r>
    </w:p>
    <w:p w14:paraId="67431B88" w14:textId="073DEE40" w:rsidR="00052BB8" w:rsidRPr="00B854A1" w:rsidRDefault="00EF7C61"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The computational model identifies gene dynamics as part of the MPN disease progression. In the complete network model, </w:t>
      </w:r>
      <w:r w:rsidRPr="00B854A1">
        <w:rPr>
          <w:rFonts w:ascii="Arial" w:hAnsi="Arial" w:cs="Arial"/>
          <w:i/>
          <w:color w:val="000000" w:themeColor="text1"/>
        </w:rPr>
        <w:t>HOXA9</w:t>
      </w:r>
      <w:r w:rsidRPr="00B854A1">
        <w:rPr>
          <w:rFonts w:ascii="Arial" w:hAnsi="Arial" w:cs="Arial"/>
          <w:color w:val="000000" w:themeColor="text1"/>
        </w:rPr>
        <w:t xml:space="preserve"> requires both </w:t>
      </w:r>
      <w:r w:rsidRPr="00B854A1">
        <w:rPr>
          <w:rFonts w:ascii="Arial" w:hAnsi="Arial" w:cs="Arial"/>
          <w:i/>
          <w:color w:val="000000" w:themeColor="text1"/>
        </w:rPr>
        <w:t>JAK2</w:t>
      </w:r>
      <w:r w:rsidRPr="00B854A1">
        <w:rPr>
          <w:rFonts w:ascii="Arial" w:hAnsi="Arial" w:cs="Arial"/>
          <w:color w:val="000000" w:themeColor="text1"/>
        </w:rPr>
        <w:t xml:space="preserve"> and </w:t>
      </w:r>
      <w:r w:rsidRPr="00B854A1">
        <w:rPr>
          <w:rFonts w:ascii="Arial" w:hAnsi="Arial" w:cs="Arial"/>
          <w:i/>
          <w:color w:val="000000" w:themeColor="text1"/>
        </w:rPr>
        <w:t xml:space="preserve">TET2 </w:t>
      </w:r>
      <w:r w:rsidRPr="00B854A1">
        <w:rPr>
          <w:rFonts w:ascii="Arial" w:hAnsi="Arial" w:cs="Arial"/>
          <w:color w:val="000000" w:themeColor="text1"/>
        </w:rPr>
        <w:t>expression to remain active (Table S</w:t>
      </w:r>
      <w:r w:rsidR="004F380F" w:rsidRPr="00B854A1">
        <w:rPr>
          <w:rFonts w:ascii="Arial" w:hAnsi="Arial" w:cs="Arial"/>
          <w:color w:val="000000" w:themeColor="text1"/>
        </w:rPr>
        <w:t>3</w:t>
      </w:r>
      <w:r w:rsidRPr="00B854A1">
        <w:rPr>
          <w:rFonts w:ascii="Arial" w:hAnsi="Arial" w:cs="Arial"/>
          <w:color w:val="000000" w:themeColor="text1"/>
        </w:rPr>
        <w:t xml:space="preserve">). Upregulation of either </w:t>
      </w:r>
      <w:r w:rsidRPr="00B854A1">
        <w:rPr>
          <w:rFonts w:ascii="Arial" w:hAnsi="Arial" w:cs="Arial"/>
          <w:i/>
          <w:color w:val="000000" w:themeColor="text1"/>
        </w:rPr>
        <w:t>JAK2</w:t>
      </w:r>
      <w:r w:rsidRPr="00B854A1">
        <w:rPr>
          <w:rFonts w:ascii="Arial" w:hAnsi="Arial" w:cs="Arial"/>
          <w:color w:val="000000" w:themeColor="text1"/>
        </w:rPr>
        <w:t xml:space="preserve"> or </w:t>
      </w:r>
      <w:r w:rsidRPr="00B854A1">
        <w:rPr>
          <w:rFonts w:ascii="Arial" w:hAnsi="Arial" w:cs="Arial"/>
          <w:i/>
          <w:color w:val="000000" w:themeColor="text1"/>
        </w:rPr>
        <w:t xml:space="preserve">HOXA9 </w:t>
      </w:r>
      <w:r w:rsidRPr="00B854A1">
        <w:rPr>
          <w:rFonts w:ascii="Arial" w:hAnsi="Arial" w:cs="Arial"/>
          <w:color w:val="000000" w:themeColor="text1"/>
        </w:rPr>
        <w:t xml:space="preserve">results in the hyperactivation of </w:t>
      </w:r>
      <w:r w:rsidRPr="00B854A1">
        <w:rPr>
          <w:rFonts w:ascii="Arial" w:hAnsi="Arial" w:cs="Arial"/>
          <w:i/>
          <w:color w:val="000000" w:themeColor="text1"/>
        </w:rPr>
        <w:t>HOXA9</w:t>
      </w:r>
      <w:r w:rsidRPr="00B854A1">
        <w:rPr>
          <w:rFonts w:ascii="Arial" w:hAnsi="Arial" w:cs="Arial"/>
          <w:color w:val="000000" w:themeColor="text1"/>
        </w:rPr>
        <w:t xml:space="preserve"> while </w:t>
      </w:r>
      <w:r w:rsidRPr="00B854A1">
        <w:rPr>
          <w:rFonts w:ascii="Arial" w:hAnsi="Arial" w:cs="Arial"/>
          <w:i/>
          <w:color w:val="000000" w:themeColor="text1"/>
        </w:rPr>
        <w:t>TET2</w:t>
      </w:r>
      <w:r w:rsidRPr="00B854A1">
        <w:rPr>
          <w:rFonts w:ascii="Arial" w:hAnsi="Arial" w:cs="Arial"/>
          <w:color w:val="000000" w:themeColor="text1"/>
        </w:rPr>
        <w:t xml:space="preserve"> loss causes inactivation. Wild type activity is maintained by the balance of these two genes. </w:t>
      </w:r>
      <w:r w:rsidRPr="00511ED5">
        <w:rPr>
          <w:rFonts w:ascii="Arial" w:hAnsi="Arial" w:cs="Arial"/>
          <w:i/>
          <w:iCs/>
          <w:color w:val="000000" w:themeColor="text1"/>
        </w:rPr>
        <w:t>JAK2</w:t>
      </w:r>
      <w:r w:rsidRPr="00B854A1">
        <w:rPr>
          <w:rFonts w:ascii="Arial" w:hAnsi="Arial" w:cs="Arial"/>
          <w:color w:val="000000" w:themeColor="text1"/>
        </w:rPr>
        <w:t xml:space="preserve"> activation mutation </w:t>
      </w:r>
      <w:r w:rsidR="007A1380" w:rsidRPr="00B854A1">
        <w:rPr>
          <w:rFonts w:ascii="Arial" w:hAnsi="Arial" w:cs="Arial"/>
          <w:color w:val="000000" w:themeColor="text1"/>
        </w:rPr>
        <w:t xml:space="preserve">and </w:t>
      </w:r>
      <w:r w:rsidRPr="00511ED5">
        <w:rPr>
          <w:rFonts w:ascii="Arial" w:hAnsi="Arial" w:cs="Arial"/>
          <w:i/>
          <w:iCs/>
          <w:color w:val="000000" w:themeColor="text1"/>
        </w:rPr>
        <w:t>TET2</w:t>
      </w:r>
      <w:r w:rsidRPr="00B854A1">
        <w:rPr>
          <w:rFonts w:ascii="Arial" w:hAnsi="Arial" w:cs="Arial"/>
          <w:color w:val="000000" w:themeColor="text1"/>
        </w:rPr>
        <w:t xml:space="preserve"> loss both drive the system into a committed state. </w:t>
      </w:r>
      <w:r w:rsidRPr="00511ED5">
        <w:rPr>
          <w:rFonts w:ascii="Arial" w:hAnsi="Arial" w:cs="Arial"/>
          <w:i/>
          <w:iCs/>
          <w:color w:val="000000" w:themeColor="text1"/>
        </w:rPr>
        <w:t>JAK2</w:t>
      </w:r>
      <w:r w:rsidRPr="00B854A1">
        <w:rPr>
          <w:rFonts w:ascii="Arial" w:hAnsi="Arial" w:cs="Arial"/>
          <w:color w:val="000000" w:themeColor="text1"/>
        </w:rPr>
        <w:t xml:space="preserve"> activation raises </w:t>
      </w:r>
      <w:r w:rsidRPr="00511ED5">
        <w:rPr>
          <w:rFonts w:ascii="Arial" w:hAnsi="Arial" w:cs="Arial"/>
          <w:i/>
          <w:iCs/>
          <w:color w:val="000000" w:themeColor="text1"/>
        </w:rPr>
        <w:t>HOXA9</w:t>
      </w:r>
      <w:r w:rsidRPr="00B854A1">
        <w:rPr>
          <w:rFonts w:ascii="Arial" w:hAnsi="Arial" w:cs="Arial"/>
          <w:color w:val="000000" w:themeColor="text1"/>
        </w:rPr>
        <w:t xml:space="preserve"> activity to a level at which it can maintain its activity through control of its own expression. Subsequent loss of </w:t>
      </w:r>
      <w:r w:rsidRPr="00511ED5">
        <w:rPr>
          <w:rFonts w:ascii="Arial" w:hAnsi="Arial" w:cs="Arial"/>
          <w:i/>
          <w:iCs/>
          <w:color w:val="000000" w:themeColor="text1"/>
        </w:rPr>
        <w:t>TET2</w:t>
      </w:r>
      <w:r w:rsidRPr="00B854A1">
        <w:rPr>
          <w:rFonts w:ascii="Arial" w:hAnsi="Arial" w:cs="Arial"/>
          <w:color w:val="000000" w:themeColor="text1"/>
        </w:rPr>
        <w:t xml:space="preserve"> does not impact its activity as this hyperactivation makes it independent of </w:t>
      </w:r>
      <w:r w:rsidRPr="00511ED5">
        <w:rPr>
          <w:rFonts w:ascii="Arial" w:hAnsi="Arial" w:cs="Arial"/>
          <w:i/>
          <w:iCs/>
          <w:color w:val="000000" w:themeColor="text1"/>
        </w:rPr>
        <w:t>TET2</w:t>
      </w:r>
      <w:r w:rsidRPr="00B854A1">
        <w:rPr>
          <w:rFonts w:ascii="Arial" w:hAnsi="Arial" w:cs="Arial"/>
          <w:color w:val="000000" w:themeColor="text1"/>
        </w:rPr>
        <w:t xml:space="preserve">. Conversely, </w:t>
      </w:r>
      <w:r w:rsidRPr="00511ED5">
        <w:rPr>
          <w:rFonts w:ascii="Arial" w:hAnsi="Arial" w:cs="Arial"/>
          <w:i/>
          <w:iCs/>
          <w:color w:val="000000" w:themeColor="text1"/>
        </w:rPr>
        <w:t>TET2</w:t>
      </w:r>
      <w:r w:rsidRPr="00B854A1">
        <w:rPr>
          <w:rFonts w:ascii="Arial" w:hAnsi="Arial" w:cs="Arial"/>
          <w:color w:val="000000" w:themeColor="text1"/>
        </w:rPr>
        <w:t xml:space="preserve"> loss causes a loss of </w:t>
      </w:r>
      <w:r w:rsidRPr="00511ED5">
        <w:rPr>
          <w:rFonts w:ascii="Arial" w:hAnsi="Arial" w:cs="Arial"/>
          <w:i/>
          <w:iCs/>
          <w:color w:val="000000" w:themeColor="text1"/>
        </w:rPr>
        <w:lastRenderedPageBreak/>
        <w:t>HOXA9</w:t>
      </w:r>
      <w:r w:rsidRPr="00B854A1">
        <w:rPr>
          <w:rFonts w:ascii="Arial" w:hAnsi="Arial" w:cs="Arial"/>
          <w:color w:val="000000" w:themeColor="text1"/>
        </w:rPr>
        <w:t xml:space="preserve"> expression in the cell, rendering it insensitive to subsequent </w:t>
      </w:r>
      <w:r w:rsidRPr="00511ED5">
        <w:rPr>
          <w:rFonts w:ascii="Arial" w:hAnsi="Arial" w:cs="Arial"/>
          <w:i/>
          <w:iCs/>
          <w:color w:val="000000" w:themeColor="text1"/>
        </w:rPr>
        <w:t>JAK2</w:t>
      </w:r>
      <w:r w:rsidRPr="00B854A1">
        <w:rPr>
          <w:rFonts w:ascii="Arial" w:hAnsi="Arial" w:cs="Arial"/>
          <w:color w:val="000000" w:themeColor="text1"/>
        </w:rPr>
        <w:t xml:space="preserve"> activation. This occurs as </w:t>
      </w:r>
      <w:r w:rsidRPr="00511ED5">
        <w:rPr>
          <w:rFonts w:ascii="Arial" w:hAnsi="Arial" w:cs="Arial"/>
          <w:i/>
          <w:iCs/>
          <w:color w:val="000000" w:themeColor="text1"/>
        </w:rPr>
        <w:t>HOXA9</w:t>
      </w:r>
      <w:r w:rsidRPr="00B854A1">
        <w:rPr>
          <w:rFonts w:ascii="Arial" w:hAnsi="Arial" w:cs="Arial"/>
          <w:color w:val="000000" w:themeColor="text1"/>
        </w:rPr>
        <w:t xml:space="preserve"> expression drops, preventing a subsequent response to </w:t>
      </w:r>
      <w:r w:rsidRPr="00511ED5">
        <w:rPr>
          <w:rFonts w:ascii="Arial" w:hAnsi="Arial" w:cs="Arial"/>
          <w:i/>
          <w:iCs/>
          <w:color w:val="000000" w:themeColor="text1"/>
        </w:rPr>
        <w:t>JAK2</w:t>
      </w:r>
      <w:r w:rsidRPr="00B854A1">
        <w:rPr>
          <w:rFonts w:ascii="Arial" w:hAnsi="Arial" w:cs="Arial"/>
          <w:color w:val="000000" w:themeColor="text1"/>
        </w:rPr>
        <w:t xml:space="preserve"> activation due to low concentration of the protein in the cell. Therefore, </w:t>
      </w:r>
      <w:r w:rsidR="000C1E17" w:rsidRPr="00B854A1">
        <w:rPr>
          <w:rFonts w:ascii="Arial" w:hAnsi="Arial" w:cs="Arial"/>
          <w:color w:val="000000" w:themeColor="text1"/>
        </w:rPr>
        <w:t xml:space="preserve">a possible explanation of the order dependence could be </w:t>
      </w:r>
      <w:r w:rsidRPr="00B854A1">
        <w:rPr>
          <w:rFonts w:ascii="Arial" w:hAnsi="Arial" w:cs="Arial"/>
          <w:color w:val="000000" w:themeColor="text1"/>
        </w:rPr>
        <w:t xml:space="preserve">a combination of mutual dependency </w:t>
      </w:r>
      <w:r w:rsidR="000C1E17" w:rsidRPr="00B854A1">
        <w:rPr>
          <w:rFonts w:ascii="Arial" w:hAnsi="Arial" w:cs="Arial"/>
          <w:color w:val="000000" w:themeColor="text1"/>
        </w:rPr>
        <w:t xml:space="preserve">between </w:t>
      </w:r>
      <w:r w:rsidRPr="00B854A1">
        <w:rPr>
          <w:rFonts w:ascii="Arial" w:hAnsi="Arial" w:cs="Arial"/>
          <w:i/>
          <w:iCs/>
          <w:color w:val="000000" w:themeColor="text1"/>
        </w:rPr>
        <w:t>JAK2</w:t>
      </w:r>
      <w:r w:rsidRPr="00B854A1">
        <w:rPr>
          <w:rFonts w:ascii="Arial" w:hAnsi="Arial" w:cs="Arial"/>
          <w:color w:val="000000" w:themeColor="text1"/>
        </w:rPr>
        <w:t xml:space="preserve"> and </w:t>
      </w:r>
      <w:r w:rsidRPr="00B854A1">
        <w:rPr>
          <w:rFonts w:ascii="Arial" w:hAnsi="Arial" w:cs="Arial"/>
          <w:i/>
          <w:iCs/>
          <w:color w:val="000000" w:themeColor="text1"/>
        </w:rPr>
        <w:t>TET2</w:t>
      </w:r>
      <w:r w:rsidRPr="00B854A1">
        <w:rPr>
          <w:rFonts w:ascii="Arial" w:hAnsi="Arial" w:cs="Arial"/>
          <w:color w:val="000000" w:themeColor="text1"/>
        </w:rPr>
        <w:t xml:space="preserve"> to activate </w:t>
      </w:r>
      <w:r w:rsidRPr="00B854A1">
        <w:rPr>
          <w:rFonts w:ascii="Arial" w:hAnsi="Arial" w:cs="Arial"/>
          <w:i/>
          <w:iCs/>
          <w:color w:val="000000" w:themeColor="text1"/>
        </w:rPr>
        <w:t>HOXA9</w:t>
      </w:r>
      <w:r w:rsidRPr="00B854A1">
        <w:rPr>
          <w:rFonts w:ascii="Arial" w:hAnsi="Arial" w:cs="Arial"/>
          <w:color w:val="000000" w:themeColor="text1"/>
        </w:rPr>
        <w:t xml:space="preserve">, combined with the positive feedback self-loop of </w:t>
      </w:r>
      <w:r w:rsidRPr="00B854A1">
        <w:rPr>
          <w:rFonts w:ascii="Arial" w:hAnsi="Arial" w:cs="Arial"/>
          <w:i/>
          <w:iCs/>
          <w:color w:val="000000" w:themeColor="text1"/>
        </w:rPr>
        <w:t>HOXA9</w:t>
      </w:r>
      <w:r w:rsidRPr="00B854A1">
        <w:rPr>
          <w:rFonts w:ascii="Arial" w:hAnsi="Arial" w:cs="Arial"/>
          <w:color w:val="000000" w:themeColor="text1"/>
        </w:rPr>
        <w:t xml:space="preserve"> itself. </w:t>
      </w:r>
    </w:p>
    <w:p w14:paraId="455999F8" w14:textId="77777777" w:rsidR="00052BB8" w:rsidRPr="00B854A1" w:rsidRDefault="00052BB8"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58063012" w14:textId="50D9490E" w:rsidR="00EF7C61" w:rsidRPr="00B854A1" w:rsidRDefault="00052BB8"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One key feature of </w:t>
      </w:r>
      <w:r w:rsidRPr="00B854A1">
        <w:rPr>
          <w:rFonts w:ascii="Arial" w:hAnsi="Arial" w:cs="Arial"/>
          <w:i/>
          <w:color w:val="000000" w:themeColor="text1"/>
        </w:rPr>
        <w:t>TET2</w:t>
      </w:r>
      <w:r w:rsidRPr="00B854A1">
        <w:rPr>
          <w:rFonts w:ascii="Arial" w:hAnsi="Arial" w:cs="Arial"/>
          <w:color w:val="000000" w:themeColor="text1"/>
        </w:rPr>
        <w:t xml:space="preserve">-first MPN patients is their reduced sensitivity to Ruxolitinib, a JAK2 inhibitor drug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BIB_ortmann2015effect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Interestingly our computational model suggests that after </w:t>
      </w:r>
      <w:r w:rsidRPr="00B854A1">
        <w:rPr>
          <w:rFonts w:ascii="Arial" w:hAnsi="Arial" w:cs="Arial"/>
          <w:i/>
          <w:color w:val="000000" w:themeColor="text1"/>
        </w:rPr>
        <w:t>TET2</w:t>
      </w:r>
      <w:r w:rsidRPr="00B854A1">
        <w:rPr>
          <w:rFonts w:ascii="Arial" w:hAnsi="Arial" w:cs="Arial"/>
          <w:color w:val="000000" w:themeColor="text1"/>
        </w:rPr>
        <w:t xml:space="preserve"> loss, </w:t>
      </w:r>
      <w:r w:rsidR="002127D0" w:rsidRPr="00B854A1">
        <w:rPr>
          <w:rFonts w:ascii="Arial" w:hAnsi="Arial" w:cs="Arial"/>
          <w:i/>
          <w:color w:val="000000" w:themeColor="text1"/>
        </w:rPr>
        <w:t>RUNX1</w:t>
      </w:r>
      <w:r w:rsidR="002127D0" w:rsidRPr="00B854A1">
        <w:rPr>
          <w:rFonts w:ascii="Arial" w:hAnsi="Arial" w:cs="Arial"/>
          <w:color w:val="000000" w:themeColor="text1"/>
        </w:rPr>
        <w:t xml:space="preserve"> expression</w:t>
      </w:r>
      <w:r w:rsidRPr="00B854A1">
        <w:rPr>
          <w:rFonts w:ascii="Arial" w:hAnsi="Arial" w:cs="Arial"/>
          <w:color w:val="000000" w:themeColor="text1"/>
        </w:rPr>
        <w:t xml:space="preserve"> </w:t>
      </w:r>
      <w:r w:rsidR="002127D0" w:rsidRPr="00B854A1">
        <w:rPr>
          <w:rFonts w:ascii="Arial" w:hAnsi="Arial" w:cs="Arial"/>
          <w:color w:val="000000" w:themeColor="text1"/>
        </w:rPr>
        <w:t>is</w:t>
      </w:r>
      <w:r w:rsidRPr="00B854A1">
        <w:rPr>
          <w:rFonts w:ascii="Arial" w:hAnsi="Arial" w:cs="Arial"/>
          <w:color w:val="000000" w:themeColor="text1"/>
        </w:rPr>
        <w:t xml:space="preserve"> unchanged by </w:t>
      </w:r>
      <w:r w:rsidRPr="00B854A1">
        <w:rPr>
          <w:rFonts w:ascii="Arial" w:hAnsi="Arial" w:cs="Arial"/>
          <w:i/>
          <w:color w:val="000000" w:themeColor="text1"/>
        </w:rPr>
        <w:t>JAK2</w:t>
      </w:r>
      <w:r w:rsidRPr="00B854A1">
        <w:rPr>
          <w:rFonts w:ascii="Arial" w:hAnsi="Arial" w:cs="Arial"/>
          <w:color w:val="000000" w:themeColor="text1"/>
        </w:rPr>
        <w:t xml:space="preserve"> activation mutation due to the “switching” property exerted by </w:t>
      </w:r>
      <w:r w:rsidRPr="00B854A1">
        <w:rPr>
          <w:rFonts w:ascii="Arial" w:hAnsi="Arial" w:cs="Arial"/>
          <w:i/>
          <w:color w:val="000000" w:themeColor="text1"/>
        </w:rPr>
        <w:t>HOXA9</w:t>
      </w:r>
      <w:r w:rsidRPr="00B854A1">
        <w:rPr>
          <w:rFonts w:ascii="Arial" w:hAnsi="Arial" w:cs="Arial"/>
          <w:color w:val="000000" w:themeColor="text1"/>
        </w:rPr>
        <w:t xml:space="preserve"> self-loop</w:t>
      </w:r>
      <w:r w:rsidR="002127D0" w:rsidRPr="00B854A1">
        <w:rPr>
          <w:rFonts w:ascii="Arial" w:hAnsi="Arial" w:cs="Arial"/>
          <w:color w:val="000000" w:themeColor="text1"/>
        </w:rPr>
        <w:t xml:space="preserve"> (Fig. </w:t>
      </w:r>
      <w:r w:rsidR="000E5EF7" w:rsidRPr="000E5EF7">
        <w:rPr>
          <w:rFonts w:ascii="Arial" w:hAnsi="Arial" w:cs="Arial"/>
          <w:color w:val="70AD47" w:themeColor="accent6"/>
        </w:rPr>
        <w:t>3</w:t>
      </w:r>
      <w:r w:rsidR="00D13BF6">
        <w:rPr>
          <w:rFonts w:ascii="Arial" w:hAnsi="Arial" w:cs="Arial"/>
          <w:color w:val="70AD47" w:themeColor="accent6"/>
        </w:rPr>
        <w:t>c</w:t>
      </w:r>
      <w:r w:rsidR="002127D0" w:rsidRPr="00B854A1">
        <w:rPr>
          <w:rFonts w:ascii="Arial" w:hAnsi="Arial" w:cs="Arial"/>
          <w:color w:val="000000" w:themeColor="text1"/>
        </w:rPr>
        <w:t>)</w:t>
      </w:r>
      <w:r w:rsidRPr="00B854A1">
        <w:rPr>
          <w:rFonts w:ascii="Arial" w:hAnsi="Arial" w:cs="Arial"/>
          <w:color w:val="000000" w:themeColor="text1"/>
        </w:rPr>
        <w:t>.</w:t>
      </w:r>
      <w:r w:rsidR="002127D0" w:rsidRPr="00B854A1">
        <w:rPr>
          <w:rFonts w:ascii="Arial" w:hAnsi="Arial" w:cs="Arial"/>
          <w:color w:val="000000" w:themeColor="text1"/>
        </w:rPr>
        <w:t xml:space="preserve"> However, this gene is affected by </w:t>
      </w:r>
      <w:r w:rsidR="002127D0" w:rsidRPr="00B854A1">
        <w:rPr>
          <w:rFonts w:ascii="Arial" w:hAnsi="Arial" w:cs="Arial"/>
          <w:i/>
          <w:color w:val="000000" w:themeColor="text1"/>
        </w:rPr>
        <w:t>JAK2</w:t>
      </w:r>
      <w:r w:rsidR="002127D0" w:rsidRPr="00B854A1">
        <w:rPr>
          <w:rFonts w:ascii="Arial" w:hAnsi="Arial" w:cs="Arial"/>
          <w:color w:val="000000" w:themeColor="text1"/>
        </w:rPr>
        <w:t xml:space="preserve"> mutation</w:t>
      </w:r>
      <w:r w:rsidRPr="00B854A1">
        <w:rPr>
          <w:rFonts w:ascii="Arial" w:hAnsi="Arial" w:cs="Arial"/>
          <w:color w:val="000000" w:themeColor="text1"/>
        </w:rPr>
        <w:t xml:space="preserve"> </w:t>
      </w:r>
      <w:r w:rsidR="002127D0" w:rsidRPr="00B854A1">
        <w:rPr>
          <w:rFonts w:ascii="Arial" w:hAnsi="Arial" w:cs="Arial"/>
          <w:color w:val="000000" w:themeColor="text1"/>
        </w:rPr>
        <w:t xml:space="preserve">in the context of </w:t>
      </w:r>
      <w:r w:rsidR="002127D0" w:rsidRPr="00B854A1">
        <w:rPr>
          <w:rFonts w:ascii="Arial" w:hAnsi="Arial" w:cs="Arial"/>
          <w:i/>
          <w:color w:val="000000" w:themeColor="text1"/>
        </w:rPr>
        <w:t>TET2</w:t>
      </w:r>
      <w:r w:rsidR="002127D0" w:rsidRPr="00B854A1">
        <w:rPr>
          <w:rFonts w:ascii="Arial" w:hAnsi="Arial" w:cs="Arial"/>
          <w:color w:val="000000" w:themeColor="text1"/>
        </w:rPr>
        <w:t xml:space="preserve"> wild-type expression (Fig. S</w:t>
      </w:r>
      <w:r w:rsidR="00D92E69" w:rsidRPr="00B854A1">
        <w:rPr>
          <w:rFonts w:ascii="Arial" w:hAnsi="Arial" w:cs="Arial"/>
          <w:color w:val="000000" w:themeColor="text1"/>
        </w:rPr>
        <w:t>10</w:t>
      </w:r>
      <w:r w:rsidR="002127D0" w:rsidRPr="00B854A1">
        <w:rPr>
          <w:rFonts w:ascii="Arial" w:hAnsi="Arial" w:cs="Arial"/>
          <w:color w:val="000000" w:themeColor="text1"/>
        </w:rPr>
        <w:t xml:space="preserve">). </w:t>
      </w:r>
      <w:r w:rsidRPr="00B854A1">
        <w:rPr>
          <w:rFonts w:ascii="Arial" w:hAnsi="Arial" w:cs="Arial"/>
          <w:color w:val="000000" w:themeColor="text1"/>
        </w:rPr>
        <w:t xml:space="preserve">It follows that </w:t>
      </w:r>
      <w:r w:rsidRPr="00B854A1">
        <w:rPr>
          <w:rFonts w:ascii="Arial" w:hAnsi="Arial" w:cs="Arial"/>
          <w:i/>
          <w:color w:val="000000" w:themeColor="text1"/>
        </w:rPr>
        <w:t>JAK2</w:t>
      </w:r>
      <w:r w:rsidRPr="00B854A1">
        <w:rPr>
          <w:rFonts w:ascii="Arial" w:hAnsi="Arial" w:cs="Arial"/>
          <w:color w:val="000000" w:themeColor="text1"/>
        </w:rPr>
        <w:t xml:space="preserve"> inhibition is therefore inefficient for </w:t>
      </w:r>
      <w:r w:rsidR="002127D0" w:rsidRPr="00B854A1">
        <w:rPr>
          <w:rFonts w:ascii="Arial" w:hAnsi="Arial" w:cs="Arial"/>
          <w:color w:val="000000" w:themeColor="text1"/>
        </w:rPr>
        <w:t xml:space="preserve">this important hematopoietic regulator which could explain the reduced effect of Ruxolitinib in </w:t>
      </w:r>
      <w:r w:rsidR="002127D0" w:rsidRPr="00511ED5">
        <w:rPr>
          <w:rFonts w:ascii="Arial" w:hAnsi="Arial" w:cs="Arial"/>
          <w:i/>
          <w:iCs/>
          <w:color w:val="000000" w:themeColor="text1"/>
        </w:rPr>
        <w:t>TET2</w:t>
      </w:r>
      <w:r w:rsidR="002127D0" w:rsidRPr="00B854A1">
        <w:rPr>
          <w:rFonts w:ascii="Arial" w:hAnsi="Arial" w:cs="Arial"/>
          <w:color w:val="000000" w:themeColor="text1"/>
        </w:rPr>
        <w:t xml:space="preserve"> first patients</w:t>
      </w:r>
      <w:r w:rsidRPr="00B854A1">
        <w:rPr>
          <w:rFonts w:ascii="Arial" w:hAnsi="Arial" w:cs="Arial"/>
          <w:color w:val="000000" w:themeColor="text1"/>
        </w:rPr>
        <w:t xml:space="preserve">. </w:t>
      </w:r>
    </w:p>
    <w:p w14:paraId="0D233B31" w14:textId="77777777" w:rsidR="00CC1E78" w:rsidRPr="00B854A1" w:rsidRDefault="00CC1E78"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1BA2782E" w14:textId="5F7818EC" w:rsidR="00CC1E78" w:rsidRPr="00B854A1" w:rsidRDefault="00CC1E78"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Whilst building single mutant </w:t>
      </w:r>
      <w:r w:rsidR="0011203A" w:rsidRPr="00B854A1">
        <w:rPr>
          <w:rFonts w:ascii="Arial" w:hAnsi="Arial" w:cs="Arial"/>
          <w:color w:val="000000" w:themeColor="text1"/>
        </w:rPr>
        <w:t>phenotypes</w:t>
      </w:r>
      <w:r w:rsidRPr="00B854A1">
        <w:rPr>
          <w:rFonts w:ascii="Arial" w:hAnsi="Arial" w:cs="Arial"/>
          <w:color w:val="000000" w:themeColor="text1"/>
        </w:rPr>
        <w:t>, we noticed a</w:t>
      </w:r>
      <w:r w:rsidR="002050C7" w:rsidRPr="00B854A1">
        <w:rPr>
          <w:rFonts w:ascii="Arial" w:hAnsi="Arial" w:cs="Arial"/>
          <w:color w:val="000000" w:themeColor="text1"/>
        </w:rPr>
        <w:t xml:space="preserve"> relationship</w:t>
      </w:r>
      <w:r w:rsidRPr="00B854A1">
        <w:rPr>
          <w:rFonts w:ascii="Arial" w:hAnsi="Arial" w:cs="Arial"/>
          <w:color w:val="000000" w:themeColor="text1"/>
        </w:rPr>
        <w:t xml:space="preserve"> between </w:t>
      </w:r>
      <w:r w:rsidRPr="00B854A1">
        <w:rPr>
          <w:rFonts w:ascii="Arial" w:hAnsi="Arial" w:cs="Arial"/>
          <w:i/>
          <w:color w:val="000000" w:themeColor="text1"/>
        </w:rPr>
        <w:t>JAK2</w:t>
      </w:r>
      <w:r w:rsidRPr="00B854A1">
        <w:rPr>
          <w:rFonts w:ascii="Arial" w:hAnsi="Arial" w:cs="Arial"/>
          <w:color w:val="000000" w:themeColor="text1"/>
        </w:rPr>
        <w:t xml:space="preserve"> and GMP expansion is required to match the increased number of myeloid progenitors observed in organisms with a </w:t>
      </w:r>
      <w:r w:rsidRPr="00B854A1">
        <w:rPr>
          <w:rFonts w:ascii="Arial" w:hAnsi="Arial" w:cs="Arial"/>
          <w:i/>
          <w:color w:val="000000" w:themeColor="text1"/>
        </w:rPr>
        <w:t>JAK2</w:t>
      </w:r>
      <w:r w:rsidRPr="00B854A1">
        <w:rPr>
          <w:rFonts w:ascii="Arial" w:hAnsi="Arial" w:cs="Arial"/>
          <w:color w:val="000000" w:themeColor="text1"/>
        </w:rPr>
        <w:t xml:space="preserve"> mutation. To </w:t>
      </w:r>
      <w:r w:rsidR="001E18F6" w:rsidRPr="00B854A1">
        <w:rPr>
          <w:rFonts w:ascii="Arial" w:hAnsi="Arial" w:cs="Arial"/>
          <w:color w:val="000000" w:themeColor="text1"/>
        </w:rPr>
        <w:t>explore</w:t>
      </w:r>
      <w:r w:rsidR="0013710C" w:rsidRPr="00B854A1">
        <w:rPr>
          <w:rFonts w:ascii="Arial" w:hAnsi="Arial" w:cs="Arial"/>
          <w:color w:val="000000" w:themeColor="text1"/>
        </w:rPr>
        <w:t xml:space="preserve"> possible pathways downstream of </w:t>
      </w:r>
      <w:r w:rsidR="00EF45A9" w:rsidRPr="00B854A1">
        <w:rPr>
          <w:rFonts w:ascii="Arial" w:hAnsi="Arial" w:cs="Arial"/>
          <w:i/>
          <w:color w:val="000000" w:themeColor="text1"/>
        </w:rPr>
        <w:t>JAK2</w:t>
      </w:r>
      <w:r w:rsidR="0013710C" w:rsidRPr="00B854A1">
        <w:rPr>
          <w:rFonts w:ascii="Arial" w:hAnsi="Arial" w:cs="Arial"/>
          <w:color w:val="000000" w:themeColor="text1"/>
        </w:rPr>
        <w:t xml:space="preserve"> that could explain this link to</w:t>
      </w:r>
      <w:r w:rsidRPr="00B854A1">
        <w:rPr>
          <w:rFonts w:ascii="Arial" w:hAnsi="Arial" w:cs="Arial"/>
          <w:color w:val="000000" w:themeColor="text1"/>
        </w:rPr>
        <w:t xml:space="preserve"> myeloid diseases, we </w:t>
      </w:r>
      <w:r w:rsidR="0013710C" w:rsidRPr="00B854A1">
        <w:rPr>
          <w:rFonts w:ascii="Arial" w:hAnsi="Arial" w:cs="Arial"/>
          <w:color w:val="000000" w:themeColor="text1"/>
        </w:rPr>
        <w:t>appl</w:t>
      </w:r>
      <w:r w:rsidR="00BB7DF1" w:rsidRPr="00B854A1">
        <w:rPr>
          <w:rFonts w:ascii="Arial" w:hAnsi="Arial" w:cs="Arial"/>
          <w:color w:val="000000" w:themeColor="text1"/>
        </w:rPr>
        <w:t>ied</w:t>
      </w:r>
      <w:r w:rsidR="0013710C" w:rsidRPr="00B854A1">
        <w:rPr>
          <w:rFonts w:ascii="Arial" w:hAnsi="Arial" w:cs="Arial"/>
          <w:color w:val="000000" w:themeColor="text1"/>
        </w:rPr>
        <w:t xml:space="preserve"> a machine learning approach</w:t>
      </w:r>
      <w:r w:rsidRPr="00B854A1">
        <w:rPr>
          <w:rFonts w:ascii="Arial" w:hAnsi="Arial" w:cs="Arial"/>
          <w:color w:val="000000" w:themeColor="text1"/>
        </w:rPr>
        <w:t xml:space="preserve"> </w:t>
      </w:r>
      <w:r w:rsidR="0013710C" w:rsidRPr="00B854A1">
        <w:rPr>
          <w:rFonts w:ascii="Arial" w:hAnsi="Arial" w:cs="Arial"/>
          <w:color w:val="000000" w:themeColor="text1"/>
        </w:rPr>
        <w:t>(</w:t>
      </w:r>
      <w:r w:rsidRPr="00B854A1">
        <w:rPr>
          <w:rFonts w:ascii="Arial" w:hAnsi="Arial" w:cs="Arial"/>
          <w:color w:val="000000" w:themeColor="text1"/>
        </w:rPr>
        <w:t>XGBoost</w:t>
      </w:r>
      <w:r w:rsidR="0013710C" w:rsidRPr="00B854A1">
        <w:rPr>
          <w:rFonts w:ascii="Arial" w:hAnsi="Arial" w:cs="Arial"/>
          <w:color w:val="000000" w:themeColor="text1"/>
        </w:rPr>
        <w:t>) to AM</w:t>
      </w:r>
      <w:r w:rsidR="00EF7C61" w:rsidRPr="00B854A1">
        <w:rPr>
          <w:rFonts w:ascii="Arial" w:hAnsi="Arial" w:cs="Arial"/>
          <w:color w:val="000000" w:themeColor="text1"/>
        </w:rPr>
        <w:t>L</w:t>
      </w:r>
      <w:r w:rsidR="0013710C" w:rsidRPr="00B854A1">
        <w:rPr>
          <w:rFonts w:ascii="Arial" w:hAnsi="Arial" w:cs="Arial"/>
          <w:color w:val="000000" w:themeColor="text1"/>
        </w:rPr>
        <w:t xml:space="preserve"> TCGA data as a relevant and closely related </w:t>
      </w:r>
      <w:r w:rsidR="001E18F6" w:rsidRPr="00B854A1">
        <w:rPr>
          <w:rFonts w:ascii="Arial" w:hAnsi="Arial" w:cs="Arial"/>
          <w:color w:val="000000" w:themeColor="text1"/>
        </w:rPr>
        <w:t>blood cancer.</w:t>
      </w:r>
      <w:r w:rsidRPr="00B854A1">
        <w:rPr>
          <w:rFonts w:ascii="Arial" w:hAnsi="Arial" w:cs="Arial"/>
          <w:color w:val="000000" w:themeColor="text1"/>
        </w:rPr>
        <w:t xml:space="preserve"> We </w:t>
      </w:r>
      <w:r w:rsidR="00BB7DF1" w:rsidRPr="00B854A1">
        <w:rPr>
          <w:rFonts w:ascii="Arial" w:hAnsi="Arial" w:cs="Arial"/>
          <w:color w:val="000000" w:themeColor="text1"/>
        </w:rPr>
        <w:t xml:space="preserve">found </w:t>
      </w:r>
      <w:r w:rsidRPr="00B854A1">
        <w:rPr>
          <w:rFonts w:ascii="Arial" w:hAnsi="Arial" w:cs="Arial"/>
          <w:color w:val="000000" w:themeColor="text1"/>
        </w:rPr>
        <w:t xml:space="preserve">that </w:t>
      </w:r>
      <w:r w:rsidRPr="00B854A1">
        <w:rPr>
          <w:rFonts w:ascii="Arial" w:hAnsi="Arial" w:cs="Arial"/>
          <w:i/>
          <w:color w:val="000000" w:themeColor="text1"/>
        </w:rPr>
        <w:t>JAK2</w:t>
      </w:r>
      <w:r w:rsidRPr="00B854A1">
        <w:rPr>
          <w:rFonts w:ascii="Arial" w:hAnsi="Arial" w:cs="Arial"/>
          <w:color w:val="000000" w:themeColor="text1"/>
        </w:rPr>
        <w:t xml:space="preserve"> is highly correlated with the </w:t>
      </w:r>
      <w:r w:rsidRPr="007B6077">
        <w:rPr>
          <w:rFonts w:ascii="Arial" w:hAnsi="Arial" w:cs="Arial"/>
          <w:color w:val="000000" w:themeColor="text1"/>
        </w:rPr>
        <w:t>NOTCH</w:t>
      </w:r>
      <w:r w:rsidRPr="00B854A1">
        <w:rPr>
          <w:rFonts w:ascii="Arial" w:hAnsi="Arial" w:cs="Arial"/>
          <w:color w:val="000000" w:themeColor="text1"/>
        </w:rPr>
        <w:t xml:space="preserve"> </w:t>
      </w:r>
      <w:r w:rsidRPr="00B854A1">
        <w:rPr>
          <w:rFonts w:ascii="Arial" w:hAnsi="Arial" w:cs="Arial"/>
          <w:color w:val="000000" w:themeColor="text1"/>
        </w:rPr>
        <w:lastRenderedPageBreak/>
        <w:t xml:space="preserve">pathway (Fig. </w:t>
      </w:r>
      <w:r w:rsidR="000E5EF7" w:rsidRPr="000E5EF7">
        <w:rPr>
          <w:rFonts w:ascii="Arial" w:hAnsi="Arial" w:cs="Arial"/>
          <w:color w:val="70AD47" w:themeColor="accent6"/>
        </w:rPr>
        <w:t>3</w:t>
      </w:r>
      <w:r w:rsidR="00D13BF6">
        <w:rPr>
          <w:rFonts w:ascii="Arial" w:hAnsi="Arial" w:cs="Arial"/>
          <w:color w:val="70AD47" w:themeColor="accent6"/>
        </w:rPr>
        <w:t>d</w:t>
      </w:r>
      <w:r w:rsidRPr="00B854A1">
        <w:rPr>
          <w:rFonts w:ascii="Arial" w:hAnsi="Arial" w:cs="Arial"/>
          <w:color w:val="000000" w:themeColor="text1"/>
        </w:rPr>
        <w:t xml:space="preserve">), which has been found to act as a tumour suppressor in leukemia due to the </w:t>
      </w:r>
      <w:r w:rsidR="001A0644" w:rsidRPr="00B854A1">
        <w:rPr>
          <w:rFonts w:ascii="Arial" w:hAnsi="Arial" w:cs="Arial"/>
          <w:color w:val="000000" w:themeColor="text1"/>
        </w:rPr>
        <w:t xml:space="preserve">large </w:t>
      </w:r>
      <w:r w:rsidRPr="00B854A1">
        <w:rPr>
          <w:rFonts w:ascii="Arial" w:hAnsi="Arial" w:cs="Arial"/>
          <w:color w:val="000000" w:themeColor="text1"/>
        </w:rPr>
        <w:t xml:space="preserve">expansion of GMP cells after loss of </w:t>
      </w:r>
      <w:r w:rsidRPr="007B6077">
        <w:rPr>
          <w:rFonts w:ascii="Arial" w:hAnsi="Arial" w:cs="Arial"/>
          <w:color w:val="000000" w:themeColor="text1"/>
        </w:rPr>
        <w:t>NOTCH</w:t>
      </w:r>
      <w:r w:rsidRPr="00B854A1">
        <w:rPr>
          <w:rFonts w:ascii="Arial" w:hAnsi="Arial" w:cs="Arial"/>
          <w:color w:val="000000" w:themeColor="text1"/>
        </w:rPr>
        <w:t xml:space="preserve"> signalling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BIB_klinakis2011novel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43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From the SHAP scores</w:t>
      </w:r>
      <w:r w:rsidR="00345518" w:rsidRPr="00B854A1">
        <w:rPr>
          <w:rFonts w:ascii="Arial" w:hAnsi="Arial" w:cs="Arial"/>
          <w:color w:val="000000" w:themeColor="text1"/>
        </w:rPr>
        <w:t xml:space="preserve"> (SHapley Additive exPlanations, which are feature contribution measurements) in the classification</w:t>
      </w:r>
      <w:r w:rsidRPr="00B854A1">
        <w:rPr>
          <w:rFonts w:ascii="Arial" w:hAnsi="Arial" w:cs="Arial"/>
          <w:color w:val="000000" w:themeColor="text1"/>
        </w:rPr>
        <w:t xml:space="preserve"> of </w:t>
      </w:r>
      <w:r w:rsidRPr="005C53D3">
        <w:rPr>
          <w:rFonts w:ascii="Arial" w:hAnsi="Arial" w:cs="Arial"/>
          <w:i/>
          <w:iCs/>
          <w:color w:val="000000" w:themeColor="text1"/>
        </w:rPr>
        <w:t>NOTCH</w:t>
      </w:r>
      <w:r w:rsidRPr="00B854A1">
        <w:rPr>
          <w:rFonts w:ascii="Arial" w:hAnsi="Arial" w:cs="Arial"/>
          <w:color w:val="000000" w:themeColor="text1"/>
        </w:rPr>
        <w:t xml:space="preserve"> genes plotted in Figure </w:t>
      </w:r>
      <w:r w:rsidR="000E5EF7" w:rsidRPr="000E5EF7">
        <w:rPr>
          <w:rFonts w:ascii="Arial" w:hAnsi="Arial" w:cs="Arial"/>
          <w:color w:val="70AD47" w:themeColor="accent6"/>
        </w:rPr>
        <w:t>3</w:t>
      </w:r>
      <w:r w:rsidR="00D13BF6">
        <w:rPr>
          <w:rFonts w:ascii="Arial" w:hAnsi="Arial" w:cs="Arial"/>
          <w:color w:val="70AD47" w:themeColor="accent6"/>
        </w:rPr>
        <w:t>e</w:t>
      </w:r>
      <w:r w:rsidRPr="00B854A1">
        <w:rPr>
          <w:rFonts w:ascii="Arial" w:hAnsi="Arial" w:cs="Arial"/>
          <w:color w:val="000000" w:themeColor="text1"/>
        </w:rPr>
        <w:t xml:space="preserve">, </w:t>
      </w:r>
      <w:r w:rsidRPr="003A1208">
        <w:rPr>
          <w:rFonts w:ascii="Arial" w:hAnsi="Arial" w:cs="Arial"/>
          <w:color w:val="70AD47" w:themeColor="accent6"/>
        </w:rPr>
        <w:t>we identif</w:t>
      </w:r>
      <w:r w:rsidR="00BB7DF1" w:rsidRPr="003A1208">
        <w:rPr>
          <w:rFonts w:ascii="Arial" w:hAnsi="Arial" w:cs="Arial"/>
          <w:color w:val="70AD47" w:themeColor="accent6"/>
        </w:rPr>
        <w:t>ied</w:t>
      </w:r>
      <w:r w:rsidRPr="003A1208">
        <w:rPr>
          <w:rFonts w:ascii="Arial" w:hAnsi="Arial" w:cs="Arial"/>
          <w:color w:val="70AD47" w:themeColor="accent6"/>
        </w:rPr>
        <w:t xml:space="preserve"> </w:t>
      </w:r>
      <w:r w:rsidRPr="003A1208">
        <w:rPr>
          <w:rFonts w:ascii="Arial" w:hAnsi="Arial" w:cs="Arial"/>
          <w:i/>
          <w:color w:val="70AD47" w:themeColor="accent6"/>
        </w:rPr>
        <w:t>ITCH</w:t>
      </w:r>
      <w:r w:rsidRPr="003A1208">
        <w:rPr>
          <w:rFonts w:ascii="Arial" w:hAnsi="Arial" w:cs="Arial"/>
          <w:color w:val="70AD47" w:themeColor="accent6"/>
        </w:rPr>
        <w:t xml:space="preserve"> to be among</w:t>
      </w:r>
      <w:r w:rsidR="00780570" w:rsidRPr="003A1208">
        <w:rPr>
          <w:rFonts w:ascii="Arial" w:hAnsi="Arial" w:cs="Arial"/>
          <w:color w:val="70AD47" w:themeColor="accent6"/>
        </w:rPr>
        <w:t xml:space="preserve"> the top </w:t>
      </w:r>
      <w:r w:rsidR="003A1208" w:rsidRPr="003A1208">
        <w:rPr>
          <w:rFonts w:ascii="Arial" w:hAnsi="Arial" w:cs="Arial"/>
          <w:color w:val="70AD47" w:themeColor="accent6"/>
        </w:rPr>
        <w:t>5</w:t>
      </w:r>
      <w:r w:rsidRPr="003A1208">
        <w:rPr>
          <w:rFonts w:ascii="Arial" w:hAnsi="Arial" w:cs="Arial"/>
          <w:color w:val="70AD47" w:themeColor="accent6"/>
        </w:rPr>
        <w:t xml:space="preserve"> genes with </w:t>
      </w:r>
      <w:r w:rsidR="003A1208" w:rsidRPr="003A1208">
        <w:rPr>
          <w:rFonts w:ascii="Arial" w:hAnsi="Arial" w:cs="Arial"/>
          <w:color w:val="70AD47" w:themeColor="accent6"/>
        </w:rPr>
        <w:t>the highest mean</w:t>
      </w:r>
      <w:r w:rsidR="003749FF">
        <w:rPr>
          <w:rFonts w:ascii="Arial" w:hAnsi="Arial" w:cs="Arial"/>
          <w:color w:val="70AD47" w:themeColor="accent6"/>
        </w:rPr>
        <w:t xml:space="preserve"> SHAP</w:t>
      </w:r>
      <w:r w:rsidRPr="003A1208">
        <w:rPr>
          <w:rFonts w:ascii="Arial" w:hAnsi="Arial" w:cs="Arial"/>
          <w:color w:val="70AD47" w:themeColor="accent6"/>
        </w:rPr>
        <w:t xml:space="preserve"> score</w:t>
      </w:r>
      <w:r w:rsidR="003749FF">
        <w:rPr>
          <w:rFonts w:ascii="Arial" w:hAnsi="Arial" w:cs="Arial"/>
          <w:color w:val="70AD47" w:themeColor="accent6"/>
        </w:rPr>
        <w:t>s</w:t>
      </w:r>
      <w:r w:rsidRPr="003A1208">
        <w:rPr>
          <w:rFonts w:ascii="Arial" w:hAnsi="Arial" w:cs="Arial"/>
          <w:color w:val="70AD47" w:themeColor="accent6"/>
        </w:rPr>
        <w:t xml:space="preserve"> in the NOTCH pathway</w:t>
      </w:r>
      <w:r w:rsidR="00E033C6" w:rsidRPr="003A1208">
        <w:rPr>
          <w:rFonts w:ascii="Arial" w:hAnsi="Arial" w:cs="Arial"/>
          <w:color w:val="70AD47" w:themeColor="accent6"/>
        </w:rPr>
        <w:t xml:space="preserve"> </w:t>
      </w:r>
      <w:r w:rsidR="00E033C6" w:rsidRPr="00B854A1">
        <w:rPr>
          <w:rFonts w:ascii="Arial" w:hAnsi="Arial" w:cs="Arial"/>
          <w:color w:val="000000" w:themeColor="text1"/>
        </w:rPr>
        <w:t>and found a</w:t>
      </w:r>
      <w:r w:rsidR="001A0644" w:rsidRPr="00B854A1">
        <w:rPr>
          <w:rFonts w:ascii="Arial" w:hAnsi="Arial" w:cs="Arial"/>
          <w:color w:val="000000" w:themeColor="text1"/>
        </w:rPr>
        <w:t xml:space="preserve"> pathway </w:t>
      </w:r>
      <w:r w:rsidR="0031660E" w:rsidRPr="00B854A1">
        <w:rPr>
          <w:rFonts w:ascii="Arial" w:hAnsi="Arial" w:cs="Arial"/>
          <w:color w:val="000000" w:themeColor="text1"/>
        </w:rPr>
        <w:t>linking</w:t>
      </w:r>
      <w:r w:rsidR="00E033C6" w:rsidRPr="00B854A1">
        <w:rPr>
          <w:rFonts w:ascii="Arial" w:hAnsi="Arial" w:cs="Arial"/>
          <w:color w:val="000000" w:themeColor="text1"/>
        </w:rPr>
        <w:t xml:space="preserve"> </w:t>
      </w:r>
      <w:r w:rsidR="00E033C6" w:rsidRPr="00B854A1">
        <w:rPr>
          <w:rFonts w:ascii="Arial" w:hAnsi="Arial" w:cs="Arial"/>
          <w:i/>
          <w:color w:val="000000" w:themeColor="text1"/>
        </w:rPr>
        <w:t>JAK2</w:t>
      </w:r>
      <w:r w:rsidR="00E033C6" w:rsidRPr="00B854A1">
        <w:rPr>
          <w:rFonts w:ascii="Arial" w:hAnsi="Arial" w:cs="Arial"/>
          <w:color w:val="000000" w:themeColor="text1"/>
        </w:rPr>
        <w:t xml:space="preserve"> </w:t>
      </w:r>
      <w:r w:rsidR="001A0644" w:rsidRPr="00B854A1">
        <w:rPr>
          <w:rFonts w:ascii="Arial" w:hAnsi="Arial" w:cs="Arial"/>
          <w:color w:val="000000" w:themeColor="text1"/>
        </w:rPr>
        <w:t xml:space="preserve">to </w:t>
      </w:r>
      <w:r w:rsidR="001A0644" w:rsidRPr="00B854A1">
        <w:rPr>
          <w:rFonts w:ascii="Arial" w:hAnsi="Arial" w:cs="Arial"/>
          <w:i/>
          <w:iCs/>
          <w:color w:val="000000" w:themeColor="text1"/>
        </w:rPr>
        <w:t>ITCH</w:t>
      </w:r>
      <w:r w:rsidR="001A0644" w:rsidRPr="00B854A1">
        <w:rPr>
          <w:rFonts w:ascii="Arial" w:hAnsi="Arial" w:cs="Arial"/>
          <w:color w:val="000000" w:themeColor="text1"/>
        </w:rPr>
        <w:t xml:space="preserve"> </w:t>
      </w:r>
      <w:r w:rsidR="0031660E" w:rsidRPr="00B854A1">
        <w:rPr>
          <w:rFonts w:ascii="Arial" w:hAnsi="Arial" w:cs="Arial"/>
          <w:color w:val="000000" w:themeColor="text1"/>
        </w:rPr>
        <w:t>from a search of</w:t>
      </w:r>
      <w:r w:rsidR="001A0644" w:rsidRPr="00B854A1">
        <w:rPr>
          <w:rFonts w:ascii="Arial" w:hAnsi="Arial" w:cs="Arial"/>
          <w:color w:val="000000" w:themeColor="text1"/>
        </w:rPr>
        <w:t xml:space="preserve"> the literature</w:t>
      </w:r>
      <w:r w:rsidRPr="00B854A1">
        <w:rPr>
          <w:rFonts w:ascii="Arial" w:hAnsi="Arial" w:cs="Arial"/>
          <w:color w:val="000000" w:themeColor="text1"/>
        </w:rPr>
        <w:t xml:space="preserve">. </w:t>
      </w:r>
      <w:r w:rsidRPr="00B854A1">
        <w:rPr>
          <w:rFonts w:ascii="Arial" w:hAnsi="Arial" w:cs="Arial"/>
          <w:i/>
          <w:color w:val="000000" w:themeColor="text1"/>
        </w:rPr>
        <w:t>ITCH</w:t>
      </w:r>
      <w:r w:rsidRPr="00B854A1">
        <w:rPr>
          <w:rFonts w:ascii="Arial" w:hAnsi="Arial" w:cs="Arial"/>
          <w:color w:val="000000" w:themeColor="text1"/>
        </w:rPr>
        <w:t xml:space="preserve"> controls the degradation of </w:t>
      </w:r>
      <w:r w:rsidRPr="007B6077">
        <w:rPr>
          <w:rFonts w:ascii="Arial" w:hAnsi="Arial" w:cs="Arial"/>
          <w:color w:val="000000" w:themeColor="text1"/>
        </w:rPr>
        <w:t>NOTCH</w:t>
      </w:r>
      <w:r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BIB_chastagner2008aip4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44</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and is found to be induced by </w:t>
      </w:r>
      <w:r w:rsidRPr="005C53D3">
        <w:rPr>
          <w:rFonts w:ascii="Arial" w:hAnsi="Arial" w:cs="Arial"/>
          <w:i/>
          <w:iCs/>
          <w:color w:val="000000" w:themeColor="text1"/>
        </w:rPr>
        <w:t>JNK1</w:t>
      </w:r>
      <w:r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BIB_gallagher2006activation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45</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from the </w:t>
      </w:r>
      <w:r w:rsidRPr="005C53D3">
        <w:rPr>
          <w:rFonts w:ascii="Arial" w:hAnsi="Arial" w:cs="Arial"/>
          <w:i/>
          <w:iCs/>
          <w:color w:val="000000" w:themeColor="text1"/>
        </w:rPr>
        <w:t>MAPK</w:t>
      </w:r>
      <w:r w:rsidRPr="00B854A1">
        <w:rPr>
          <w:rFonts w:ascii="Arial" w:hAnsi="Arial" w:cs="Arial"/>
          <w:color w:val="000000" w:themeColor="text1"/>
        </w:rPr>
        <w:t xml:space="preserve"> pathway which is a well-known downstream pathway of </w:t>
      </w:r>
      <w:r w:rsidRPr="00B854A1">
        <w:rPr>
          <w:rFonts w:ascii="Arial" w:hAnsi="Arial" w:cs="Arial"/>
          <w:i/>
          <w:color w:val="000000" w:themeColor="text1"/>
        </w:rPr>
        <w:t>JAK2</w:t>
      </w:r>
      <w:r w:rsidRPr="00B854A1">
        <w:rPr>
          <w:rFonts w:ascii="Arial" w:hAnsi="Arial" w:cs="Arial"/>
          <w:color w:val="000000" w:themeColor="text1"/>
        </w:rPr>
        <w:t>/</w:t>
      </w:r>
      <w:r w:rsidRPr="00B854A1">
        <w:rPr>
          <w:rFonts w:ascii="Arial" w:hAnsi="Arial" w:cs="Arial"/>
          <w:i/>
          <w:color w:val="000000" w:themeColor="text1"/>
        </w:rPr>
        <w:t>STAT5</w:t>
      </w:r>
      <w:r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BIB_de2015myeloproliferative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46</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We therefore </w:t>
      </w:r>
      <w:r w:rsidR="007773B6" w:rsidRPr="00B854A1">
        <w:rPr>
          <w:rFonts w:ascii="Arial" w:hAnsi="Arial" w:cs="Arial"/>
          <w:color w:val="000000" w:themeColor="text1"/>
        </w:rPr>
        <w:t xml:space="preserve">suggest </w:t>
      </w:r>
      <w:r w:rsidRPr="00B854A1">
        <w:rPr>
          <w:rFonts w:ascii="Arial" w:hAnsi="Arial" w:cs="Arial"/>
          <w:color w:val="000000" w:themeColor="text1"/>
        </w:rPr>
        <w:t>that</w:t>
      </w:r>
      <w:r w:rsidR="00935208" w:rsidRPr="00B854A1">
        <w:rPr>
          <w:rFonts w:ascii="Arial" w:hAnsi="Arial" w:cs="Arial"/>
          <w:color w:val="000000" w:themeColor="text1"/>
        </w:rPr>
        <w:t xml:space="preserve"> the</w:t>
      </w:r>
      <w:r w:rsidRPr="00B854A1">
        <w:rPr>
          <w:rFonts w:ascii="Arial" w:hAnsi="Arial" w:cs="Arial"/>
          <w:color w:val="000000" w:themeColor="text1"/>
        </w:rPr>
        <w:t xml:space="preserve"> </w:t>
      </w:r>
      <w:r w:rsidRPr="00B854A1">
        <w:rPr>
          <w:rFonts w:ascii="Arial" w:hAnsi="Arial" w:cs="Arial"/>
          <w:i/>
          <w:color w:val="000000" w:themeColor="text1"/>
        </w:rPr>
        <w:t>JAK2</w:t>
      </w:r>
      <w:r w:rsidRPr="00B854A1">
        <w:rPr>
          <w:rFonts w:ascii="Arial" w:hAnsi="Arial" w:cs="Arial"/>
          <w:color w:val="000000" w:themeColor="text1"/>
        </w:rPr>
        <w:t xml:space="preserve"> path to GMP expansion could be </w:t>
      </w:r>
      <w:r w:rsidRPr="007B6077">
        <w:rPr>
          <w:rFonts w:ascii="Arial" w:hAnsi="Arial" w:cs="Arial"/>
          <w:color w:val="000000" w:themeColor="text1"/>
        </w:rPr>
        <w:t>MAPK</w:t>
      </w:r>
      <w:r w:rsidRPr="00B854A1">
        <w:rPr>
          <w:rFonts w:ascii="Arial" w:hAnsi="Arial" w:cs="Arial"/>
          <w:color w:val="000000" w:themeColor="text1"/>
        </w:rPr>
        <w:t xml:space="preserve"> and </w:t>
      </w:r>
      <w:r w:rsidRPr="007B6077">
        <w:rPr>
          <w:rFonts w:ascii="Arial" w:hAnsi="Arial" w:cs="Arial"/>
          <w:color w:val="000000" w:themeColor="text1"/>
        </w:rPr>
        <w:t>NOTCH</w:t>
      </w:r>
      <w:r w:rsidRPr="00B854A1">
        <w:rPr>
          <w:rFonts w:ascii="Arial" w:hAnsi="Arial" w:cs="Arial"/>
          <w:color w:val="000000" w:themeColor="text1"/>
        </w:rPr>
        <w:t xml:space="preserve"> </w:t>
      </w:r>
      <w:r w:rsidR="007B6077" w:rsidRPr="007B6077">
        <w:rPr>
          <w:rFonts w:ascii="Arial" w:hAnsi="Arial" w:cs="Arial"/>
          <w:color w:val="70AD47" w:themeColor="accent6"/>
        </w:rPr>
        <w:t xml:space="preserve">pathway </w:t>
      </w:r>
      <w:r w:rsidRPr="00B854A1">
        <w:rPr>
          <w:rFonts w:ascii="Arial" w:hAnsi="Arial" w:cs="Arial"/>
          <w:color w:val="000000" w:themeColor="text1"/>
        </w:rPr>
        <w:t>dependent.</w:t>
      </w:r>
    </w:p>
    <w:p w14:paraId="42E94B16" w14:textId="77777777" w:rsidR="00CC1E78" w:rsidRPr="00B854A1" w:rsidRDefault="00CC1E78"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0AF264AF" w14:textId="561A6860" w:rsidR="00CC1E78" w:rsidRPr="00B854A1" w:rsidRDefault="00CC1E78"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Another</w:t>
      </w:r>
      <w:r w:rsidR="001A2784" w:rsidRPr="00B854A1">
        <w:rPr>
          <w:rFonts w:ascii="Arial" w:hAnsi="Arial" w:cs="Arial"/>
          <w:color w:val="000000" w:themeColor="text1"/>
        </w:rPr>
        <w:t xml:space="preserve"> interaction </w:t>
      </w:r>
      <w:r w:rsidR="00744362" w:rsidRPr="00B854A1">
        <w:rPr>
          <w:rFonts w:ascii="Arial" w:hAnsi="Arial" w:cs="Arial"/>
          <w:color w:val="000000" w:themeColor="text1"/>
        </w:rPr>
        <w:t xml:space="preserve">predicted </w:t>
      </w:r>
      <w:r w:rsidR="00C62106" w:rsidRPr="00B854A1">
        <w:rPr>
          <w:rFonts w:ascii="Arial" w:hAnsi="Arial" w:cs="Arial"/>
          <w:color w:val="000000" w:themeColor="text1"/>
        </w:rPr>
        <w:t xml:space="preserve">by </w:t>
      </w:r>
      <w:r w:rsidRPr="00B854A1">
        <w:rPr>
          <w:rFonts w:ascii="Arial" w:hAnsi="Arial" w:cs="Arial"/>
          <w:color w:val="000000" w:themeColor="text1"/>
        </w:rPr>
        <w:t xml:space="preserve">our network </w:t>
      </w:r>
      <w:r w:rsidR="00E03491" w:rsidRPr="00B854A1">
        <w:rPr>
          <w:rFonts w:ascii="Arial" w:hAnsi="Arial" w:cs="Arial"/>
          <w:color w:val="000000" w:themeColor="text1"/>
        </w:rPr>
        <w:t xml:space="preserve">model </w:t>
      </w:r>
      <w:r w:rsidRPr="00B854A1">
        <w:rPr>
          <w:rFonts w:ascii="Arial" w:hAnsi="Arial" w:cs="Arial"/>
          <w:color w:val="000000" w:themeColor="text1"/>
        </w:rPr>
        <w:t xml:space="preserve">is the </w:t>
      </w:r>
      <w:r w:rsidR="00207701" w:rsidRPr="00B854A1">
        <w:rPr>
          <w:rFonts w:ascii="Arial" w:hAnsi="Arial" w:cs="Arial"/>
          <w:color w:val="000000" w:themeColor="text1"/>
        </w:rPr>
        <w:t>inhibition</w:t>
      </w:r>
      <w:r w:rsidRPr="00B854A1">
        <w:rPr>
          <w:rFonts w:ascii="Arial" w:hAnsi="Arial" w:cs="Arial"/>
          <w:color w:val="000000" w:themeColor="text1"/>
        </w:rPr>
        <w:t xml:space="preserve"> of </w:t>
      </w:r>
      <w:r w:rsidRPr="00B854A1">
        <w:rPr>
          <w:rFonts w:ascii="Arial" w:hAnsi="Arial" w:cs="Arial"/>
          <w:i/>
          <w:color w:val="000000" w:themeColor="text1"/>
        </w:rPr>
        <w:t>MYB</w:t>
      </w:r>
      <w:r w:rsidR="0091470D" w:rsidRPr="00B854A1">
        <w:rPr>
          <w:rFonts w:ascii="Arial" w:hAnsi="Arial" w:cs="Arial"/>
          <w:i/>
          <w:color w:val="000000" w:themeColor="text1"/>
        </w:rPr>
        <w:t xml:space="preserve"> by RUNX1</w:t>
      </w:r>
      <w:r w:rsidRPr="00B854A1">
        <w:rPr>
          <w:rFonts w:ascii="Arial" w:hAnsi="Arial" w:cs="Arial"/>
          <w:color w:val="000000" w:themeColor="text1"/>
        </w:rPr>
        <w:t xml:space="preserve">. The Common Myeloid Progenitors (CMP) are found to be differentially expanded between </w:t>
      </w:r>
      <w:r w:rsidRPr="00B854A1">
        <w:rPr>
          <w:rFonts w:ascii="Arial" w:hAnsi="Arial" w:cs="Arial"/>
          <w:i/>
          <w:color w:val="000000" w:themeColor="text1"/>
        </w:rPr>
        <w:t>JAK2</w:t>
      </w:r>
      <w:r w:rsidRPr="00B854A1">
        <w:rPr>
          <w:rFonts w:ascii="Arial" w:hAnsi="Arial" w:cs="Arial"/>
          <w:color w:val="000000" w:themeColor="text1"/>
        </w:rPr>
        <w:t xml:space="preserve"> and </w:t>
      </w:r>
      <w:r w:rsidRPr="00B854A1">
        <w:rPr>
          <w:rFonts w:ascii="Arial" w:hAnsi="Arial" w:cs="Arial"/>
          <w:i/>
          <w:color w:val="000000" w:themeColor="text1"/>
        </w:rPr>
        <w:t>TET2</w:t>
      </w:r>
      <w:r w:rsidRPr="00B854A1">
        <w:rPr>
          <w:rFonts w:ascii="Arial" w:hAnsi="Arial" w:cs="Arial"/>
          <w:color w:val="000000" w:themeColor="text1"/>
        </w:rPr>
        <w:t xml:space="preserve"> first patients in Ortmann et al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BIB_ortmann2015effect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In our initial model, we </w:t>
      </w:r>
      <w:r w:rsidR="00AC490D" w:rsidRPr="00B854A1">
        <w:rPr>
          <w:rFonts w:ascii="Arial" w:hAnsi="Arial" w:cs="Arial"/>
          <w:color w:val="000000" w:themeColor="text1"/>
        </w:rPr>
        <w:t xml:space="preserve">included </w:t>
      </w:r>
      <w:r w:rsidRPr="00B854A1">
        <w:rPr>
          <w:rFonts w:ascii="Arial" w:hAnsi="Arial" w:cs="Arial"/>
          <w:color w:val="000000" w:themeColor="text1"/>
        </w:rPr>
        <w:t xml:space="preserve">an inhibition interaction between </w:t>
      </w:r>
      <w:r w:rsidRPr="00B854A1">
        <w:rPr>
          <w:rFonts w:ascii="Arial" w:hAnsi="Arial" w:cs="Arial"/>
          <w:i/>
          <w:color w:val="000000" w:themeColor="text1"/>
        </w:rPr>
        <w:t>SPI1</w:t>
      </w:r>
      <w:r w:rsidRPr="00B854A1">
        <w:rPr>
          <w:rFonts w:ascii="Arial" w:hAnsi="Arial" w:cs="Arial"/>
          <w:color w:val="000000" w:themeColor="text1"/>
        </w:rPr>
        <w:t xml:space="preserve"> and </w:t>
      </w:r>
      <w:r w:rsidRPr="00B854A1">
        <w:rPr>
          <w:rFonts w:ascii="Arial" w:hAnsi="Arial" w:cs="Arial"/>
          <w:i/>
          <w:color w:val="000000" w:themeColor="text1"/>
        </w:rPr>
        <w:t>MYB</w:t>
      </w:r>
      <w:r w:rsidRPr="00B854A1">
        <w:rPr>
          <w:rFonts w:ascii="Arial" w:hAnsi="Arial" w:cs="Arial"/>
          <w:color w:val="000000" w:themeColor="text1"/>
        </w:rPr>
        <w:t xml:space="preserve">, our CMP expansion marker, </w:t>
      </w:r>
      <w:r w:rsidR="00744362" w:rsidRPr="00B854A1">
        <w:rPr>
          <w:rFonts w:ascii="Arial" w:hAnsi="Arial" w:cs="Arial"/>
          <w:color w:val="000000" w:themeColor="text1"/>
        </w:rPr>
        <w:t>a</w:t>
      </w:r>
      <w:r w:rsidRPr="00B854A1">
        <w:rPr>
          <w:rFonts w:ascii="Arial" w:hAnsi="Arial" w:cs="Arial"/>
          <w:color w:val="000000" w:themeColor="text1"/>
        </w:rPr>
        <w:t xml:space="preserve"> connection </w:t>
      </w:r>
      <w:r w:rsidR="00744362" w:rsidRPr="00B854A1">
        <w:rPr>
          <w:rFonts w:ascii="Arial" w:hAnsi="Arial" w:cs="Arial"/>
          <w:color w:val="000000" w:themeColor="text1"/>
        </w:rPr>
        <w:t xml:space="preserve">which </w:t>
      </w:r>
      <w:r w:rsidRPr="00B854A1">
        <w:rPr>
          <w:rFonts w:ascii="Arial" w:hAnsi="Arial" w:cs="Arial"/>
          <w:color w:val="000000" w:themeColor="text1"/>
        </w:rPr>
        <w:t xml:space="preserve">has been </w:t>
      </w:r>
      <w:r w:rsidR="001F1C4A" w:rsidRPr="00B854A1">
        <w:rPr>
          <w:rFonts w:ascii="Arial" w:hAnsi="Arial" w:cs="Arial"/>
          <w:color w:val="000000" w:themeColor="text1"/>
        </w:rPr>
        <w:t xml:space="preserve">observed </w:t>
      </w:r>
      <w:r w:rsidRPr="00B854A1">
        <w:rPr>
          <w:rFonts w:ascii="Arial" w:hAnsi="Arial" w:cs="Arial"/>
          <w:color w:val="000000" w:themeColor="text1"/>
        </w:rPr>
        <w:t xml:space="preserve">experimentally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BIB_bellon1997granulocytic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47</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This inhibition and the stable </w:t>
      </w:r>
      <w:r w:rsidRPr="00B854A1">
        <w:rPr>
          <w:rFonts w:ascii="Arial" w:hAnsi="Arial" w:cs="Arial"/>
          <w:i/>
          <w:color w:val="000000" w:themeColor="text1"/>
        </w:rPr>
        <w:t>SPI1</w:t>
      </w:r>
      <w:r w:rsidRPr="00B854A1">
        <w:rPr>
          <w:rFonts w:ascii="Arial" w:hAnsi="Arial" w:cs="Arial"/>
          <w:color w:val="000000" w:themeColor="text1"/>
        </w:rPr>
        <w:t xml:space="preserve"> expression in the double mutant states prevented the known bifurcation in CMP expansion in double mutants. Further investigations lead us to </w:t>
      </w:r>
      <w:r w:rsidR="007773B6" w:rsidRPr="00B854A1">
        <w:rPr>
          <w:rFonts w:ascii="Arial" w:hAnsi="Arial" w:cs="Arial"/>
          <w:color w:val="000000" w:themeColor="text1"/>
        </w:rPr>
        <w:t xml:space="preserve">suggest </w:t>
      </w:r>
      <w:r w:rsidRPr="00B854A1">
        <w:rPr>
          <w:rFonts w:ascii="Arial" w:hAnsi="Arial" w:cs="Arial"/>
          <w:color w:val="000000" w:themeColor="text1"/>
        </w:rPr>
        <w:t xml:space="preserve">that the bifurcation could be obtained by replacing </w:t>
      </w:r>
      <w:r w:rsidRPr="00B854A1">
        <w:rPr>
          <w:rFonts w:ascii="Arial" w:hAnsi="Arial" w:cs="Arial"/>
          <w:i/>
          <w:color w:val="000000" w:themeColor="text1"/>
        </w:rPr>
        <w:t>SPI1</w:t>
      </w:r>
      <w:r w:rsidRPr="00B854A1">
        <w:rPr>
          <w:rFonts w:ascii="Arial" w:hAnsi="Arial" w:cs="Arial"/>
          <w:color w:val="000000" w:themeColor="text1"/>
        </w:rPr>
        <w:t xml:space="preserve"> by </w:t>
      </w:r>
      <w:r w:rsidRPr="00B854A1">
        <w:rPr>
          <w:rFonts w:ascii="Arial" w:hAnsi="Arial" w:cs="Arial"/>
          <w:i/>
          <w:color w:val="000000" w:themeColor="text1"/>
        </w:rPr>
        <w:t>RUNX1</w:t>
      </w:r>
      <w:r w:rsidRPr="00B854A1">
        <w:rPr>
          <w:rFonts w:ascii="Arial" w:hAnsi="Arial" w:cs="Arial"/>
          <w:color w:val="000000" w:themeColor="text1"/>
        </w:rPr>
        <w:t xml:space="preserve"> for </w:t>
      </w:r>
      <w:r w:rsidRPr="00B854A1">
        <w:rPr>
          <w:rFonts w:ascii="Arial" w:hAnsi="Arial" w:cs="Arial"/>
          <w:i/>
          <w:color w:val="000000" w:themeColor="text1"/>
        </w:rPr>
        <w:t>MYB</w:t>
      </w:r>
      <w:r w:rsidRPr="00B854A1">
        <w:rPr>
          <w:rFonts w:ascii="Arial" w:hAnsi="Arial" w:cs="Arial"/>
          <w:color w:val="000000" w:themeColor="text1"/>
        </w:rPr>
        <w:t xml:space="preserve"> inhibition</w:t>
      </w:r>
      <w:r w:rsidR="001F1C4A" w:rsidRPr="00B854A1">
        <w:rPr>
          <w:rFonts w:ascii="Arial" w:hAnsi="Arial" w:cs="Arial"/>
          <w:color w:val="000000" w:themeColor="text1"/>
        </w:rPr>
        <w:t xml:space="preserve">, and this </w:t>
      </w:r>
      <w:r w:rsidR="00A005C5">
        <w:rPr>
          <w:rFonts w:ascii="Arial" w:hAnsi="Arial" w:cs="Arial"/>
          <w:color w:val="000000" w:themeColor="text1"/>
        </w:rPr>
        <w:t>additional</w:t>
      </w:r>
      <w:r w:rsidR="001F1C4A" w:rsidRPr="00B854A1">
        <w:rPr>
          <w:rFonts w:ascii="Arial" w:hAnsi="Arial" w:cs="Arial"/>
          <w:color w:val="000000" w:themeColor="text1"/>
        </w:rPr>
        <w:t xml:space="preserve"> set of interactions</w:t>
      </w:r>
      <w:r w:rsidRPr="00B854A1">
        <w:rPr>
          <w:rFonts w:ascii="Arial" w:hAnsi="Arial" w:cs="Arial"/>
          <w:color w:val="000000" w:themeColor="text1"/>
        </w:rPr>
        <w:t xml:space="preserve"> is supported by </w:t>
      </w:r>
      <w:r w:rsidR="001F1C4A" w:rsidRPr="00B854A1">
        <w:rPr>
          <w:rFonts w:ascii="Arial" w:hAnsi="Arial" w:cs="Arial"/>
          <w:color w:val="000000" w:themeColor="text1"/>
        </w:rPr>
        <w:t xml:space="preserve">multiple </w:t>
      </w:r>
      <w:r w:rsidRPr="00B854A1">
        <w:rPr>
          <w:rFonts w:ascii="Arial" w:hAnsi="Arial" w:cs="Arial"/>
          <w:color w:val="000000" w:themeColor="text1"/>
        </w:rPr>
        <w:t xml:space="preserve">studies. </w:t>
      </w:r>
      <w:r w:rsidRPr="00B854A1">
        <w:rPr>
          <w:rFonts w:ascii="Arial" w:hAnsi="Arial" w:cs="Arial"/>
          <w:i/>
          <w:color w:val="000000" w:themeColor="text1"/>
        </w:rPr>
        <w:t>RUNX1</w:t>
      </w:r>
      <w:r w:rsidRPr="00B854A1">
        <w:rPr>
          <w:rFonts w:ascii="Arial" w:hAnsi="Arial" w:cs="Arial"/>
          <w:color w:val="000000" w:themeColor="text1"/>
        </w:rPr>
        <w:t xml:space="preserve"> activates </w:t>
      </w:r>
      <w:r w:rsidRPr="00B854A1">
        <w:rPr>
          <w:rFonts w:ascii="Arial" w:hAnsi="Arial" w:cs="Arial"/>
          <w:i/>
          <w:color w:val="000000" w:themeColor="text1"/>
        </w:rPr>
        <w:t>SPI1</w:t>
      </w:r>
      <w:r w:rsidRPr="00B854A1">
        <w:rPr>
          <w:rFonts w:ascii="Arial" w:hAnsi="Arial" w:cs="Arial"/>
          <w:color w:val="000000" w:themeColor="text1"/>
        </w:rPr>
        <w:t xml:space="preserve"> and </w:t>
      </w:r>
      <w:r w:rsidRPr="00B854A1">
        <w:rPr>
          <w:rFonts w:ascii="Arial" w:hAnsi="Arial" w:cs="Arial"/>
          <w:i/>
          <w:color w:val="000000" w:themeColor="text1"/>
        </w:rPr>
        <w:t>GATA1</w:t>
      </w:r>
      <w:r w:rsidRPr="00B854A1">
        <w:rPr>
          <w:rFonts w:ascii="Arial" w:hAnsi="Arial" w:cs="Arial"/>
          <w:color w:val="000000" w:themeColor="text1"/>
        </w:rPr>
        <w:t xml:space="preserve">, and both are found to be inhibitors of </w:t>
      </w:r>
      <w:r w:rsidRPr="00B854A1">
        <w:rPr>
          <w:rFonts w:ascii="Arial" w:hAnsi="Arial" w:cs="Arial"/>
          <w:i/>
          <w:color w:val="000000" w:themeColor="text1"/>
        </w:rPr>
        <w:t>MYB</w:t>
      </w:r>
      <w:r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BIB_bellon1997granulocytic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47</w:t>
      </w:r>
      <w:r w:rsidR="005D547F" w:rsidRPr="00B854A1">
        <w:rPr>
          <w:rFonts w:ascii="Arial" w:hAnsi="Arial" w:cs="Arial"/>
          <w:color w:val="000000" w:themeColor="text1"/>
        </w:rPr>
        <w:fldChar w:fldCharType="end"/>
      </w:r>
      <w:r w:rsidR="005D547F" w:rsidRPr="00B854A1">
        <w:rPr>
          <w:rFonts w:ascii="Arial" w:hAnsi="Arial" w:cs="Arial"/>
          <w:color w:val="000000" w:themeColor="text1"/>
        </w:rPr>
        <w:t xml:space="preserve">, </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BIB_zhao2006erythropoietin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48</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Additionally, conditional </w:t>
      </w:r>
      <w:r w:rsidRPr="00B854A1">
        <w:rPr>
          <w:rFonts w:ascii="Arial" w:hAnsi="Arial" w:cs="Arial"/>
          <w:color w:val="000000" w:themeColor="text1"/>
        </w:rPr>
        <w:lastRenderedPageBreak/>
        <w:t xml:space="preserve">knockout of </w:t>
      </w:r>
      <w:r w:rsidRPr="00B854A1">
        <w:rPr>
          <w:rFonts w:ascii="Arial" w:hAnsi="Arial" w:cs="Arial"/>
          <w:i/>
          <w:color w:val="000000" w:themeColor="text1"/>
        </w:rPr>
        <w:t>RUNX1</w:t>
      </w:r>
      <w:r w:rsidRPr="00B854A1">
        <w:rPr>
          <w:rFonts w:ascii="Arial" w:hAnsi="Arial" w:cs="Arial"/>
          <w:color w:val="000000" w:themeColor="text1"/>
        </w:rPr>
        <w:t xml:space="preserve"> in mice results in enhanced CMP frequencies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BIB_ichikawa2004aml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49</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BIB_ichikawa2008aml1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50</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All together, these findings suggest that </w:t>
      </w:r>
      <w:r w:rsidRPr="00B854A1">
        <w:rPr>
          <w:rFonts w:ascii="Arial" w:hAnsi="Arial" w:cs="Arial"/>
          <w:i/>
          <w:color w:val="000000" w:themeColor="text1"/>
        </w:rPr>
        <w:t>RUNX1</w:t>
      </w:r>
      <w:r w:rsidRPr="00B854A1">
        <w:rPr>
          <w:rFonts w:ascii="Arial" w:hAnsi="Arial" w:cs="Arial"/>
          <w:color w:val="000000" w:themeColor="text1"/>
        </w:rPr>
        <w:t xml:space="preserve"> can be linked to CMP expansion via </w:t>
      </w:r>
      <w:r w:rsidRPr="00B854A1">
        <w:rPr>
          <w:rFonts w:ascii="Arial" w:hAnsi="Arial" w:cs="Arial"/>
          <w:i/>
          <w:color w:val="000000" w:themeColor="text1"/>
        </w:rPr>
        <w:t>MYB</w:t>
      </w:r>
      <w:r w:rsidRPr="00B854A1">
        <w:rPr>
          <w:rFonts w:ascii="Arial" w:hAnsi="Arial" w:cs="Arial"/>
          <w:color w:val="000000" w:themeColor="text1"/>
        </w:rPr>
        <w:t xml:space="preserve"> inhibition.</w:t>
      </w:r>
    </w:p>
    <w:p w14:paraId="655135E2" w14:textId="77777777" w:rsidR="00CC1E78" w:rsidRPr="00B854A1" w:rsidRDefault="00CC1E78" w:rsidP="00DB48C8">
      <w:pPr>
        <w:spacing w:after="160" w:line="480" w:lineRule="auto"/>
        <w:jc w:val="both"/>
        <w:rPr>
          <w:rFonts w:ascii="Arial" w:hAnsi="Arial" w:cs="Arial"/>
          <w:b/>
          <w:color w:val="000000" w:themeColor="text1"/>
        </w:rPr>
      </w:pPr>
    </w:p>
    <w:p w14:paraId="3453F67C" w14:textId="269DE1C8" w:rsidR="00CC1E78" w:rsidRPr="00B854A1" w:rsidRDefault="00A571C8" w:rsidP="00DB48C8">
      <w:pPr>
        <w:pStyle w:val="ListParagraph"/>
        <w:numPr>
          <w:ilvl w:val="0"/>
          <w:numId w:val="1"/>
        </w:numPr>
        <w:spacing w:after="160" w:line="480" w:lineRule="auto"/>
        <w:jc w:val="both"/>
        <w:rPr>
          <w:rFonts w:ascii="Arial" w:hAnsi="Arial" w:cs="Arial"/>
          <w:b/>
          <w:color w:val="000000" w:themeColor="text1"/>
        </w:rPr>
      </w:pPr>
      <w:r>
        <w:rPr>
          <w:rFonts w:ascii="Arial" w:hAnsi="Arial" w:cs="Arial"/>
          <w:b/>
          <w:color w:val="000000" w:themeColor="text1"/>
        </w:rPr>
        <w:t>V</w:t>
      </w:r>
      <w:r w:rsidR="00CC1E78" w:rsidRPr="00B854A1">
        <w:rPr>
          <w:rFonts w:ascii="Arial" w:hAnsi="Arial" w:cs="Arial"/>
          <w:b/>
          <w:color w:val="000000" w:themeColor="text1"/>
        </w:rPr>
        <w:t>alidat</w:t>
      </w:r>
      <w:r w:rsidR="00D62656">
        <w:rPr>
          <w:rFonts w:ascii="Arial" w:hAnsi="Arial" w:cs="Arial"/>
          <w:b/>
          <w:color w:val="000000" w:themeColor="text1"/>
        </w:rPr>
        <w:t>ion of</w:t>
      </w:r>
      <w:r w:rsidR="00CC1E78" w:rsidRPr="00B854A1">
        <w:rPr>
          <w:rFonts w:ascii="Arial" w:hAnsi="Arial" w:cs="Arial"/>
          <w:b/>
          <w:color w:val="000000" w:themeColor="text1"/>
        </w:rPr>
        <w:t xml:space="preserve"> </w:t>
      </w:r>
      <w:r w:rsidR="001F1C4A" w:rsidRPr="00B854A1">
        <w:rPr>
          <w:rFonts w:ascii="Arial" w:hAnsi="Arial" w:cs="Arial"/>
          <w:b/>
          <w:color w:val="000000" w:themeColor="text1"/>
        </w:rPr>
        <w:t xml:space="preserve">the role of </w:t>
      </w:r>
      <w:r w:rsidR="00CC1E78" w:rsidRPr="007B6077">
        <w:rPr>
          <w:rFonts w:ascii="Arial" w:hAnsi="Arial" w:cs="Arial"/>
          <w:b/>
          <w:color w:val="000000" w:themeColor="text1"/>
        </w:rPr>
        <w:t>NOTCH</w:t>
      </w:r>
      <w:r w:rsidR="007B6077">
        <w:rPr>
          <w:rFonts w:ascii="Arial" w:hAnsi="Arial" w:cs="Arial"/>
          <w:b/>
          <w:color w:val="000000" w:themeColor="text1"/>
        </w:rPr>
        <w:t xml:space="preserve"> pathway</w:t>
      </w:r>
      <w:r w:rsidR="00D62656">
        <w:rPr>
          <w:rFonts w:ascii="Arial" w:hAnsi="Arial" w:cs="Arial"/>
          <w:b/>
          <w:color w:val="000000" w:themeColor="text1"/>
        </w:rPr>
        <w:t xml:space="preserve">, </w:t>
      </w:r>
      <w:r w:rsidR="00D62656" w:rsidRPr="007B6077">
        <w:rPr>
          <w:rFonts w:ascii="Arial" w:hAnsi="Arial" w:cs="Arial"/>
          <w:b/>
          <w:i/>
          <w:iCs/>
          <w:color w:val="000000" w:themeColor="text1"/>
        </w:rPr>
        <w:t>HOXA9</w:t>
      </w:r>
      <w:r w:rsidR="00D62656">
        <w:rPr>
          <w:rFonts w:ascii="Arial" w:hAnsi="Arial" w:cs="Arial"/>
          <w:b/>
          <w:color w:val="000000" w:themeColor="text1"/>
        </w:rPr>
        <w:t xml:space="preserve"> bimodality</w:t>
      </w:r>
      <w:r w:rsidR="00433D22">
        <w:rPr>
          <w:rFonts w:ascii="Arial" w:hAnsi="Arial" w:cs="Arial"/>
          <w:b/>
          <w:color w:val="000000" w:themeColor="text1"/>
        </w:rPr>
        <w:t xml:space="preserve"> and</w:t>
      </w:r>
      <w:r w:rsidR="00377620">
        <w:rPr>
          <w:rFonts w:ascii="Arial" w:hAnsi="Arial" w:cs="Arial"/>
          <w:b/>
          <w:color w:val="000000" w:themeColor="text1"/>
        </w:rPr>
        <w:t xml:space="preserve"> its link to prognosis</w:t>
      </w:r>
      <w:r w:rsidR="00433D22">
        <w:rPr>
          <w:rFonts w:ascii="Arial" w:hAnsi="Arial" w:cs="Arial"/>
          <w:b/>
          <w:color w:val="000000" w:themeColor="text1"/>
        </w:rPr>
        <w:t>,</w:t>
      </w:r>
      <w:r w:rsidR="00377620">
        <w:rPr>
          <w:rFonts w:ascii="Arial" w:hAnsi="Arial" w:cs="Arial"/>
          <w:b/>
          <w:color w:val="000000" w:themeColor="text1"/>
        </w:rPr>
        <w:t xml:space="preserve"> and the interaction of </w:t>
      </w:r>
      <w:r w:rsidR="00377620" w:rsidRPr="007B6077">
        <w:rPr>
          <w:rFonts w:ascii="Arial" w:hAnsi="Arial" w:cs="Arial"/>
          <w:b/>
          <w:i/>
          <w:iCs/>
          <w:color w:val="000000" w:themeColor="text1"/>
        </w:rPr>
        <w:t>JAK2</w:t>
      </w:r>
      <w:r w:rsidR="00377620">
        <w:rPr>
          <w:rFonts w:ascii="Arial" w:hAnsi="Arial" w:cs="Arial"/>
          <w:b/>
          <w:color w:val="000000" w:themeColor="text1"/>
        </w:rPr>
        <w:t xml:space="preserve"> with </w:t>
      </w:r>
      <w:r w:rsidR="00377620" w:rsidRPr="007B6077">
        <w:rPr>
          <w:rFonts w:ascii="Arial" w:hAnsi="Arial" w:cs="Arial"/>
          <w:b/>
          <w:i/>
          <w:iCs/>
          <w:color w:val="000000" w:themeColor="text1"/>
        </w:rPr>
        <w:t>HOXA9</w:t>
      </w:r>
      <w:r w:rsidR="00377620">
        <w:rPr>
          <w:rFonts w:ascii="Arial" w:hAnsi="Arial" w:cs="Arial"/>
          <w:b/>
          <w:color w:val="000000" w:themeColor="text1"/>
        </w:rPr>
        <w:t xml:space="preserve"> through </w:t>
      </w:r>
      <w:r w:rsidR="000B0F31">
        <w:rPr>
          <w:rFonts w:ascii="Arial" w:hAnsi="Arial" w:cs="Arial"/>
          <w:b/>
          <w:color w:val="000000" w:themeColor="text1"/>
        </w:rPr>
        <w:t>public datasets and experiments</w:t>
      </w:r>
      <w:r w:rsidR="00CC1E78" w:rsidRPr="00B854A1">
        <w:rPr>
          <w:rFonts w:ascii="Arial" w:hAnsi="Arial" w:cs="Arial"/>
          <w:b/>
          <w:color w:val="000000" w:themeColor="text1"/>
        </w:rPr>
        <w:t>.</w:t>
      </w:r>
    </w:p>
    <w:p w14:paraId="53FFDD78" w14:textId="090C081E" w:rsidR="00507435" w:rsidRPr="00B854A1" w:rsidRDefault="00C957ED"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To </w:t>
      </w:r>
      <w:r w:rsidR="00C144E4" w:rsidRPr="00B854A1">
        <w:rPr>
          <w:rFonts w:ascii="Arial" w:hAnsi="Arial" w:cs="Arial"/>
          <w:color w:val="000000" w:themeColor="text1"/>
        </w:rPr>
        <w:t>validate</w:t>
      </w:r>
      <w:r w:rsidRPr="00B854A1">
        <w:rPr>
          <w:rFonts w:ascii="Arial" w:hAnsi="Arial" w:cs="Arial"/>
          <w:color w:val="000000" w:themeColor="text1"/>
        </w:rPr>
        <w:t xml:space="preserve"> the predictions arising from our MPN </w:t>
      </w:r>
      <w:r w:rsidR="00BB5324" w:rsidRPr="00B854A1">
        <w:rPr>
          <w:rFonts w:ascii="Arial" w:hAnsi="Arial" w:cs="Arial"/>
          <w:color w:val="000000" w:themeColor="text1"/>
        </w:rPr>
        <w:t xml:space="preserve">computational </w:t>
      </w:r>
      <w:r w:rsidRPr="00B854A1">
        <w:rPr>
          <w:rFonts w:ascii="Arial" w:hAnsi="Arial" w:cs="Arial"/>
          <w:color w:val="000000" w:themeColor="text1"/>
        </w:rPr>
        <w:t xml:space="preserve">model, we </w:t>
      </w:r>
      <w:r w:rsidR="00C144E4" w:rsidRPr="00B854A1">
        <w:rPr>
          <w:rFonts w:ascii="Arial" w:hAnsi="Arial" w:cs="Arial"/>
          <w:color w:val="000000" w:themeColor="text1"/>
        </w:rPr>
        <w:t>compare</w:t>
      </w:r>
      <w:r w:rsidR="00C22B94" w:rsidRPr="00B854A1">
        <w:rPr>
          <w:rFonts w:ascii="Arial" w:hAnsi="Arial" w:cs="Arial"/>
          <w:color w:val="000000" w:themeColor="text1"/>
        </w:rPr>
        <w:t>d</w:t>
      </w:r>
      <w:r w:rsidRPr="00B854A1">
        <w:rPr>
          <w:rFonts w:ascii="Arial" w:hAnsi="Arial" w:cs="Arial"/>
          <w:color w:val="000000" w:themeColor="text1"/>
        </w:rPr>
        <w:t xml:space="preserve"> our findings </w:t>
      </w:r>
      <w:r w:rsidR="008F4F38" w:rsidRPr="00B854A1">
        <w:rPr>
          <w:rFonts w:ascii="Arial" w:hAnsi="Arial" w:cs="Arial"/>
          <w:color w:val="000000" w:themeColor="text1"/>
        </w:rPr>
        <w:t>to</w:t>
      </w:r>
      <w:r w:rsidRPr="00B854A1">
        <w:rPr>
          <w:rFonts w:ascii="Arial" w:hAnsi="Arial" w:cs="Arial"/>
          <w:color w:val="000000" w:themeColor="text1"/>
        </w:rPr>
        <w:t xml:space="preserve"> </w:t>
      </w:r>
      <w:r w:rsidR="008F4F38" w:rsidRPr="00B854A1">
        <w:rPr>
          <w:rFonts w:ascii="Arial" w:hAnsi="Arial" w:cs="Arial"/>
          <w:color w:val="000000" w:themeColor="text1"/>
        </w:rPr>
        <w:t>public</w:t>
      </w:r>
      <w:r w:rsidRPr="00B854A1">
        <w:rPr>
          <w:rFonts w:ascii="Arial" w:hAnsi="Arial" w:cs="Arial"/>
          <w:color w:val="000000" w:themeColor="text1"/>
        </w:rPr>
        <w:t xml:space="preserve"> MPN data</w:t>
      </w:r>
      <w:r w:rsidR="00FA6189" w:rsidRPr="00B854A1">
        <w:rPr>
          <w:rFonts w:ascii="Arial" w:hAnsi="Arial" w:cs="Arial"/>
          <w:color w:val="000000" w:themeColor="text1"/>
        </w:rPr>
        <w:t xml:space="preserve"> not used </w:t>
      </w:r>
      <w:r w:rsidR="00C22B94" w:rsidRPr="00B854A1">
        <w:rPr>
          <w:rFonts w:ascii="Arial" w:hAnsi="Arial" w:cs="Arial"/>
          <w:color w:val="000000" w:themeColor="text1"/>
        </w:rPr>
        <w:t xml:space="preserve">in </w:t>
      </w:r>
      <w:r w:rsidR="00BB5324" w:rsidRPr="00B854A1">
        <w:rPr>
          <w:rFonts w:ascii="Arial" w:hAnsi="Arial" w:cs="Arial"/>
          <w:color w:val="000000" w:themeColor="text1"/>
        </w:rPr>
        <w:t xml:space="preserve">the </w:t>
      </w:r>
      <w:r w:rsidR="00FA6189" w:rsidRPr="00B854A1">
        <w:rPr>
          <w:rFonts w:ascii="Arial" w:hAnsi="Arial" w:cs="Arial"/>
          <w:color w:val="000000" w:themeColor="text1"/>
        </w:rPr>
        <w:t>model construction</w:t>
      </w:r>
      <w:r w:rsidRPr="00B854A1">
        <w:rPr>
          <w:rFonts w:ascii="Arial" w:hAnsi="Arial" w:cs="Arial"/>
          <w:color w:val="000000" w:themeColor="text1"/>
        </w:rPr>
        <w:t xml:space="preserve">. </w:t>
      </w:r>
      <w:r w:rsidR="008009CD" w:rsidRPr="00B854A1">
        <w:rPr>
          <w:rFonts w:ascii="Arial" w:hAnsi="Arial" w:cs="Arial"/>
          <w:color w:val="000000" w:themeColor="text1"/>
        </w:rPr>
        <w:t xml:space="preserve">Chen et al compare MPN </w:t>
      </w:r>
      <w:r w:rsidR="00DA0049" w:rsidRPr="00B854A1">
        <w:rPr>
          <w:rFonts w:ascii="Arial" w:hAnsi="Arial" w:cs="Arial"/>
          <w:color w:val="000000" w:themeColor="text1"/>
        </w:rPr>
        <w:t xml:space="preserve">with different </w:t>
      </w:r>
      <w:r w:rsidR="00DA0049" w:rsidRPr="00B854A1">
        <w:rPr>
          <w:rFonts w:ascii="Arial" w:hAnsi="Arial" w:cs="Arial"/>
          <w:i/>
          <w:color w:val="000000" w:themeColor="text1"/>
        </w:rPr>
        <w:t>JAK2</w:t>
      </w:r>
      <w:r w:rsidR="00DA0049" w:rsidRPr="00B854A1">
        <w:rPr>
          <w:rFonts w:ascii="Arial" w:hAnsi="Arial" w:cs="Arial"/>
          <w:color w:val="000000" w:themeColor="text1"/>
        </w:rPr>
        <w:t xml:space="preserve"> and </w:t>
      </w:r>
      <w:r w:rsidR="00DA0049" w:rsidRPr="00B854A1">
        <w:rPr>
          <w:rFonts w:ascii="Arial" w:hAnsi="Arial" w:cs="Arial"/>
          <w:i/>
          <w:color w:val="000000" w:themeColor="text1"/>
        </w:rPr>
        <w:t>TET2</w:t>
      </w:r>
      <w:r w:rsidR="00DA0049" w:rsidRPr="00B854A1">
        <w:rPr>
          <w:rFonts w:ascii="Arial" w:hAnsi="Arial" w:cs="Arial"/>
          <w:color w:val="000000" w:themeColor="text1"/>
        </w:rPr>
        <w:t xml:space="preserve"> mutational profiles using transcriptomic mouse data</w:t>
      </w:r>
      <w:r w:rsidR="008009CD"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BIB_chen2015distinct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25</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DA0049" w:rsidRPr="00B854A1">
        <w:rPr>
          <w:rFonts w:ascii="Arial" w:hAnsi="Arial" w:cs="Arial"/>
          <w:color w:val="000000" w:themeColor="text1"/>
        </w:rPr>
        <w:t>. W</w:t>
      </w:r>
      <w:r w:rsidRPr="00B854A1">
        <w:rPr>
          <w:rFonts w:ascii="Arial" w:hAnsi="Arial" w:cs="Arial"/>
          <w:color w:val="000000" w:themeColor="text1"/>
        </w:rPr>
        <w:t>e compare</w:t>
      </w:r>
      <w:r w:rsidR="00E43390" w:rsidRPr="00B854A1">
        <w:rPr>
          <w:rFonts w:ascii="Arial" w:hAnsi="Arial" w:cs="Arial"/>
          <w:color w:val="000000" w:themeColor="text1"/>
        </w:rPr>
        <w:t>d</w:t>
      </w:r>
      <w:r w:rsidRPr="00B854A1">
        <w:rPr>
          <w:rFonts w:ascii="Arial" w:hAnsi="Arial" w:cs="Arial"/>
          <w:color w:val="000000" w:themeColor="text1"/>
        </w:rPr>
        <w:t xml:space="preserve"> the gene expression of pathways/gene subsets to those we have included in our model to determine if our model fits their data. We first find that the </w:t>
      </w:r>
      <w:r w:rsidRPr="005155B5">
        <w:rPr>
          <w:rFonts w:ascii="Arial" w:hAnsi="Arial" w:cs="Arial"/>
          <w:color w:val="000000" w:themeColor="text1"/>
        </w:rPr>
        <w:t>NOTCH</w:t>
      </w:r>
      <w:r w:rsidRPr="00B854A1">
        <w:rPr>
          <w:rFonts w:ascii="Arial" w:hAnsi="Arial" w:cs="Arial"/>
          <w:color w:val="000000" w:themeColor="text1"/>
        </w:rPr>
        <w:t xml:space="preserve"> pathway behaves as predicted (Fig. </w:t>
      </w:r>
      <w:r w:rsidR="000E5EF7" w:rsidRPr="000E5EF7">
        <w:rPr>
          <w:rFonts w:ascii="Arial" w:hAnsi="Arial" w:cs="Arial"/>
          <w:color w:val="70AD47" w:themeColor="accent6"/>
        </w:rPr>
        <w:t>3</w:t>
      </w:r>
      <w:r w:rsidR="00D13BF6">
        <w:rPr>
          <w:rFonts w:ascii="Arial" w:hAnsi="Arial" w:cs="Arial"/>
          <w:color w:val="70AD47" w:themeColor="accent6"/>
        </w:rPr>
        <w:t>f</w:t>
      </w:r>
      <w:r w:rsidR="00EA72D0" w:rsidRPr="00B854A1">
        <w:rPr>
          <w:rFonts w:ascii="Arial" w:hAnsi="Arial" w:cs="Arial"/>
          <w:color w:val="000000" w:themeColor="text1"/>
        </w:rPr>
        <w:t>).</w:t>
      </w:r>
      <w:r w:rsidRPr="00B854A1">
        <w:rPr>
          <w:rFonts w:ascii="Arial" w:hAnsi="Arial" w:cs="Arial"/>
          <w:color w:val="000000" w:themeColor="text1"/>
        </w:rPr>
        <w:t xml:space="preserve"> We also find that the trend in the expression of </w:t>
      </w:r>
      <w:r w:rsidRPr="00B854A1">
        <w:rPr>
          <w:rFonts w:ascii="Arial" w:hAnsi="Arial" w:cs="Arial"/>
          <w:i/>
          <w:color w:val="000000" w:themeColor="text1"/>
        </w:rPr>
        <w:t>RUNX1</w:t>
      </w:r>
      <w:r w:rsidRPr="00B854A1">
        <w:rPr>
          <w:rFonts w:ascii="Arial" w:hAnsi="Arial" w:cs="Arial"/>
          <w:color w:val="000000" w:themeColor="text1"/>
        </w:rPr>
        <w:t xml:space="preserve">, </w:t>
      </w:r>
      <w:r w:rsidRPr="00B854A1">
        <w:rPr>
          <w:rFonts w:ascii="Arial" w:hAnsi="Arial" w:cs="Arial"/>
          <w:i/>
          <w:color w:val="000000" w:themeColor="text1"/>
        </w:rPr>
        <w:t>MYC</w:t>
      </w:r>
      <w:r w:rsidRPr="00B854A1">
        <w:rPr>
          <w:rFonts w:ascii="Arial" w:hAnsi="Arial" w:cs="Arial"/>
          <w:color w:val="000000" w:themeColor="text1"/>
        </w:rPr>
        <w:t xml:space="preserve"> and </w:t>
      </w:r>
      <w:r w:rsidRPr="00B854A1">
        <w:rPr>
          <w:rFonts w:ascii="Arial" w:hAnsi="Arial" w:cs="Arial"/>
          <w:i/>
          <w:color w:val="000000" w:themeColor="text1"/>
        </w:rPr>
        <w:t>MYB</w:t>
      </w:r>
      <w:r w:rsidRPr="00B854A1">
        <w:rPr>
          <w:rFonts w:ascii="Arial" w:hAnsi="Arial" w:cs="Arial"/>
          <w:color w:val="000000" w:themeColor="text1"/>
        </w:rPr>
        <w:t xml:space="preserve"> support our model </w:t>
      </w:r>
      <w:r w:rsidR="00615059" w:rsidRPr="00B854A1">
        <w:rPr>
          <w:rFonts w:ascii="Arial" w:hAnsi="Arial" w:cs="Arial"/>
          <w:color w:val="000000" w:themeColor="text1"/>
        </w:rPr>
        <w:t>(</w:t>
      </w:r>
      <w:r w:rsidRPr="00B854A1">
        <w:rPr>
          <w:rFonts w:ascii="Arial" w:hAnsi="Arial" w:cs="Arial"/>
          <w:color w:val="000000" w:themeColor="text1"/>
        </w:rPr>
        <w:t>Fig. S</w:t>
      </w:r>
      <w:r w:rsidR="00D92E69" w:rsidRPr="00B854A1">
        <w:rPr>
          <w:rFonts w:ascii="Arial" w:hAnsi="Arial" w:cs="Arial"/>
          <w:color w:val="000000" w:themeColor="text1"/>
        </w:rPr>
        <w:t>11</w:t>
      </w:r>
      <w:r w:rsidR="00615059" w:rsidRPr="00B854A1">
        <w:rPr>
          <w:rFonts w:ascii="Arial" w:hAnsi="Arial" w:cs="Arial"/>
          <w:color w:val="000000" w:themeColor="text1"/>
        </w:rPr>
        <w:t>-</w:t>
      </w:r>
      <w:r w:rsidR="00006BFD" w:rsidRPr="00B854A1">
        <w:rPr>
          <w:rFonts w:ascii="Arial" w:hAnsi="Arial" w:cs="Arial"/>
          <w:color w:val="000000" w:themeColor="text1"/>
        </w:rPr>
        <w:t>1</w:t>
      </w:r>
      <w:r w:rsidR="00D92E69" w:rsidRPr="00B854A1">
        <w:rPr>
          <w:rFonts w:ascii="Arial" w:hAnsi="Arial" w:cs="Arial"/>
          <w:color w:val="000000" w:themeColor="text1"/>
        </w:rPr>
        <w:t>3</w:t>
      </w:r>
      <w:r w:rsidR="00615059" w:rsidRPr="00B854A1">
        <w:rPr>
          <w:rFonts w:ascii="Arial" w:hAnsi="Arial" w:cs="Arial"/>
          <w:color w:val="000000" w:themeColor="text1"/>
        </w:rPr>
        <w:t xml:space="preserve"> and Table S2</w:t>
      </w:r>
      <w:r w:rsidRPr="00B854A1">
        <w:rPr>
          <w:rFonts w:ascii="Arial" w:hAnsi="Arial" w:cs="Arial"/>
          <w:color w:val="000000" w:themeColor="text1"/>
        </w:rPr>
        <w:t xml:space="preserve">). </w:t>
      </w:r>
      <w:r w:rsidR="00CD72FC" w:rsidRPr="00B854A1">
        <w:rPr>
          <w:rFonts w:ascii="Arial" w:hAnsi="Arial" w:cs="Arial"/>
          <w:i/>
          <w:color w:val="000000" w:themeColor="text1"/>
        </w:rPr>
        <w:t xml:space="preserve">HOXA9 </w:t>
      </w:r>
      <w:r w:rsidR="00CD72FC" w:rsidRPr="00B854A1">
        <w:rPr>
          <w:rFonts w:ascii="Arial" w:hAnsi="Arial" w:cs="Arial"/>
          <w:color w:val="000000" w:themeColor="text1"/>
        </w:rPr>
        <w:t xml:space="preserve">expression </w:t>
      </w:r>
      <w:r w:rsidR="006C10F4" w:rsidRPr="00B854A1">
        <w:rPr>
          <w:rFonts w:ascii="Arial" w:hAnsi="Arial" w:cs="Arial"/>
          <w:color w:val="000000" w:themeColor="text1"/>
        </w:rPr>
        <w:t xml:space="preserve">also </w:t>
      </w:r>
      <w:r w:rsidR="00CD72FC" w:rsidRPr="00B854A1">
        <w:rPr>
          <w:rFonts w:ascii="Arial" w:hAnsi="Arial" w:cs="Arial"/>
          <w:color w:val="000000" w:themeColor="text1"/>
        </w:rPr>
        <w:t>showed</w:t>
      </w:r>
      <w:r w:rsidR="00FB5A5D" w:rsidRPr="00B854A1">
        <w:rPr>
          <w:rFonts w:ascii="Arial" w:hAnsi="Arial" w:cs="Arial"/>
          <w:color w:val="000000" w:themeColor="text1"/>
        </w:rPr>
        <w:t xml:space="preserve"> a</w:t>
      </w:r>
      <w:r w:rsidR="00CD72FC" w:rsidRPr="00B854A1">
        <w:rPr>
          <w:rFonts w:ascii="Arial" w:hAnsi="Arial" w:cs="Arial"/>
          <w:color w:val="000000" w:themeColor="text1"/>
        </w:rPr>
        <w:t xml:space="preserve"> “</w:t>
      </w:r>
      <w:r w:rsidR="008E2D19" w:rsidRPr="00B854A1">
        <w:rPr>
          <w:rFonts w:ascii="Arial" w:hAnsi="Arial" w:cs="Arial"/>
          <w:color w:val="000000" w:themeColor="text1"/>
        </w:rPr>
        <w:t>switching</w:t>
      </w:r>
      <w:r w:rsidR="00CD72FC" w:rsidRPr="00B854A1">
        <w:rPr>
          <w:rFonts w:ascii="Arial" w:hAnsi="Arial" w:cs="Arial"/>
          <w:color w:val="000000" w:themeColor="text1"/>
        </w:rPr>
        <w:t xml:space="preserve">” behaviour in this mouse </w:t>
      </w:r>
      <w:r w:rsidR="00FB5A5D" w:rsidRPr="00B854A1">
        <w:rPr>
          <w:rFonts w:ascii="Arial" w:hAnsi="Arial" w:cs="Arial"/>
          <w:color w:val="000000" w:themeColor="text1"/>
        </w:rPr>
        <w:t>model</w:t>
      </w:r>
      <w:r w:rsidR="006C10F4" w:rsidRPr="00B854A1">
        <w:rPr>
          <w:rFonts w:ascii="Arial" w:hAnsi="Arial" w:cs="Arial"/>
          <w:color w:val="000000" w:themeColor="text1"/>
        </w:rPr>
        <w:t xml:space="preserve">, that is the first </w:t>
      </w:r>
      <w:r w:rsidR="006C10F4" w:rsidRPr="00B854A1">
        <w:rPr>
          <w:rFonts w:ascii="Arial" w:hAnsi="Arial" w:cs="Arial"/>
          <w:i/>
          <w:iCs/>
          <w:color w:val="000000" w:themeColor="text1"/>
        </w:rPr>
        <w:t>JAK2</w:t>
      </w:r>
      <w:r w:rsidR="006C10F4" w:rsidRPr="00B854A1">
        <w:rPr>
          <w:rFonts w:ascii="Arial" w:hAnsi="Arial" w:cs="Arial"/>
          <w:color w:val="000000" w:themeColor="text1"/>
        </w:rPr>
        <w:t xml:space="preserve"> mutation has locked </w:t>
      </w:r>
      <w:r w:rsidR="006C10F4" w:rsidRPr="005C53D3">
        <w:rPr>
          <w:rFonts w:ascii="Arial" w:hAnsi="Arial" w:cs="Arial"/>
          <w:i/>
          <w:iCs/>
          <w:color w:val="000000" w:themeColor="text1"/>
        </w:rPr>
        <w:t>HOXA9</w:t>
      </w:r>
      <w:r w:rsidR="006C10F4" w:rsidRPr="00B854A1">
        <w:rPr>
          <w:rFonts w:ascii="Arial" w:hAnsi="Arial" w:cs="Arial"/>
          <w:color w:val="000000" w:themeColor="text1"/>
        </w:rPr>
        <w:t xml:space="preserve"> into a specific expression level and the second mutation in the </w:t>
      </w:r>
      <w:r w:rsidR="006C10F4" w:rsidRPr="005C53D3">
        <w:rPr>
          <w:rFonts w:ascii="Arial" w:hAnsi="Arial" w:cs="Arial"/>
          <w:i/>
          <w:iCs/>
          <w:color w:val="000000" w:themeColor="text1"/>
        </w:rPr>
        <w:t>JAK2</w:t>
      </w:r>
      <w:r w:rsidR="006C10F4" w:rsidRPr="00B854A1">
        <w:rPr>
          <w:rFonts w:ascii="Arial" w:hAnsi="Arial" w:cs="Arial"/>
          <w:color w:val="000000" w:themeColor="text1"/>
        </w:rPr>
        <w:t>-first double mutant cohort does not subsequently cause it to revert to wild-type. Confusingly</w:t>
      </w:r>
      <w:r w:rsidR="00E43390" w:rsidRPr="00B854A1">
        <w:rPr>
          <w:rFonts w:ascii="Arial" w:hAnsi="Arial" w:cs="Arial"/>
          <w:color w:val="000000" w:themeColor="text1"/>
        </w:rPr>
        <w:t xml:space="preserve"> however</w:t>
      </w:r>
      <w:r w:rsidR="006C10F4" w:rsidRPr="00B854A1">
        <w:rPr>
          <w:rFonts w:ascii="Arial" w:hAnsi="Arial" w:cs="Arial"/>
          <w:color w:val="000000" w:themeColor="text1"/>
        </w:rPr>
        <w:t xml:space="preserve">, </w:t>
      </w:r>
      <w:r w:rsidR="00CD72FC" w:rsidRPr="00B854A1">
        <w:rPr>
          <w:rFonts w:ascii="Arial" w:hAnsi="Arial" w:cs="Arial"/>
          <w:color w:val="000000" w:themeColor="text1"/>
        </w:rPr>
        <w:t xml:space="preserve">low expression of </w:t>
      </w:r>
      <w:r w:rsidR="00CD72FC" w:rsidRPr="00B854A1">
        <w:rPr>
          <w:rFonts w:ascii="Arial" w:hAnsi="Arial" w:cs="Arial"/>
          <w:i/>
          <w:color w:val="000000" w:themeColor="text1"/>
        </w:rPr>
        <w:t>HOXA9</w:t>
      </w:r>
      <w:r w:rsidR="00CD72FC" w:rsidRPr="00B854A1">
        <w:rPr>
          <w:rFonts w:ascii="Arial" w:hAnsi="Arial" w:cs="Arial"/>
          <w:color w:val="000000" w:themeColor="text1"/>
        </w:rPr>
        <w:t xml:space="preserve"> </w:t>
      </w:r>
      <w:r w:rsidR="006C10F4" w:rsidRPr="00B854A1">
        <w:rPr>
          <w:rFonts w:ascii="Arial" w:hAnsi="Arial" w:cs="Arial"/>
          <w:color w:val="000000" w:themeColor="text1"/>
        </w:rPr>
        <w:t xml:space="preserve">is associated </w:t>
      </w:r>
      <w:r w:rsidR="00CD72FC" w:rsidRPr="00B854A1">
        <w:rPr>
          <w:rFonts w:ascii="Arial" w:hAnsi="Arial" w:cs="Arial"/>
          <w:color w:val="000000" w:themeColor="text1"/>
        </w:rPr>
        <w:t xml:space="preserve">with </w:t>
      </w:r>
      <w:r w:rsidR="00CD72FC" w:rsidRPr="00B854A1">
        <w:rPr>
          <w:rFonts w:ascii="Arial" w:hAnsi="Arial" w:cs="Arial"/>
          <w:i/>
          <w:color w:val="000000" w:themeColor="text1"/>
        </w:rPr>
        <w:t>JAK2</w:t>
      </w:r>
      <w:r w:rsidR="00CD72FC" w:rsidRPr="00B854A1">
        <w:rPr>
          <w:rFonts w:ascii="Arial" w:hAnsi="Arial" w:cs="Arial"/>
          <w:color w:val="000000" w:themeColor="text1"/>
        </w:rPr>
        <w:t xml:space="preserve"> mutations and high expression with </w:t>
      </w:r>
      <w:r w:rsidR="00CD72FC" w:rsidRPr="00B854A1">
        <w:rPr>
          <w:rFonts w:ascii="Arial" w:hAnsi="Arial" w:cs="Arial"/>
          <w:i/>
          <w:color w:val="000000" w:themeColor="text1"/>
        </w:rPr>
        <w:t>TET2</w:t>
      </w:r>
      <w:r w:rsidR="00CD72FC" w:rsidRPr="00B854A1">
        <w:rPr>
          <w:rFonts w:ascii="Arial" w:hAnsi="Arial" w:cs="Arial"/>
          <w:color w:val="000000" w:themeColor="text1"/>
        </w:rPr>
        <w:t xml:space="preserve"> mutations.</w:t>
      </w:r>
      <w:r w:rsidR="001D13BA" w:rsidRPr="00B854A1">
        <w:rPr>
          <w:rFonts w:ascii="Arial" w:hAnsi="Arial" w:cs="Arial"/>
          <w:color w:val="000000" w:themeColor="text1"/>
        </w:rPr>
        <w:t xml:space="preserve"> To confirm this trend, we examine the </w:t>
      </w:r>
      <w:r w:rsidR="001D13BA" w:rsidRPr="00B854A1">
        <w:rPr>
          <w:rFonts w:ascii="Arial" w:hAnsi="Arial" w:cs="Arial"/>
          <w:color w:val="000000" w:themeColor="text1"/>
        </w:rPr>
        <w:lastRenderedPageBreak/>
        <w:t xml:space="preserve">expression of other HOX genes that are closely correlated to </w:t>
      </w:r>
      <w:r w:rsidR="001D13BA" w:rsidRPr="00B854A1">
        <w:rPr>
          <w:rFonts w:ascii="Arial" w:hAnsi="Arial" w:cs="Arial"/>
          <w:i/>
          <w:iCs/>
          <w:color w:val="000000" w:themeColor="text1"/>
        </w:rPr>
        <w:t>HOXA9</w:t>
      </w:r>
      <w:r w:rsidR="001D13BA" w:rsidRPr="00B854A1">
        <w:rPr>
          <w:rFonts w:ascii="Arial" w:hAnsi="Arial" w:cs="Arial"/>
          <w:color w:val="000000" w:themeColor="text1"/>
        </w:rPr>
        <w:t xml:space="preserve"> and find the same pattern.</w:t>
      </w:r>
    </w:p>
    <w:p w14:paraId="483E2000" w14:textId="77777777" w:rsidR="00507435" w:rsidRPr="00B854A1" w:rsidRDefault="00507435"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506D6DC5" w14:textId="094AC82F" w:rsidR="00FD15B0" w:rsidRDefault="00C957ED" w:rsidP="00D9616D">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color w:val="000000" w:themeColor="text1"/>
        </w:rPr>
        <w:t xml:space="preserve">Jeong et al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BIB_jeong2019cytokine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51</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Pr="00B854A1">
        <w:rPr>
          <w:rFonts w:ascii="Arial" w:hAnsi="Arial" w:cs="Arial"/>
          <w:color w:val="000000" w:themeColor="text1"/>
        </w:rPr>
        <w:t xml:space="preserve"> </w:t>
      </w:r>
      <w:r w:rsidR="003A106C" w:rsidRPr="00B854A1">
        <w:rPr>
          <w:rFonts w:ascii="Arial" w:hAnsi="Arial" w:cs="Arial"/>
          <w:color w:val="000000" w:themeColor="text1"/>
        </w:rPr>
        <w:t xml:space="preserve">previously </w:t>
      </w:r>
      <w:r w:rsidR="00E64AD0" w:rsidRPr="00B854A1">
        <w:rPr>
          <w:rFonts w:ascii="Arial" w:hAnsi="Arial" w:cs="Arial"/>
          <w:color w:val="000000" w:themeColor="text1"/>
        </w:rPr>
        <w:t xml:space="preserve">demonstrated the </w:t>
      </w:r>
      <w:r w:rsidR="008009CD" w:rsidRPr="00B854A1">
        <w:rPr>
          <w:rFonts w:ascii="Arial" w:hAnsi="Arial" w:cs="Arial"/>
          <w:color w:val="000000" w:themeColor="text1"/>
        </w:rPr>
        <w:t xml:space="preserve">direct </w:t>
      </w:r>
      <w:r w:rsidR="008028C8" w:rsidRPr="00B854A1">
        <w:rPr>
          <w:rFonts w:ascii="Arial" w:hAnsi="Arial" w:cs="Arial"/>
          <w:color w:val="000000" w:themeColor="text1"/>
        </w:rPr>
        <w:t>phosphorylation</w:t>
      </w:r>
      <w:r w:rsidR="008009CD" w:rsidRPr="00B854A1">
        <w:rPr>
          <w:rFonts w:ascii="Arial" w:hAnsi="Arial" w:cs="Arial"/>
          <w:color w:val="000000" w:themeColor="text1"/>
        </w:rPr>
        <w:t xml:space="preserve"> of </w:t>
      </w:r>
      <w:r w:rsidR="008009CD" w:rsidRPr="00B854A1">
        <w:rPr>
          <w:rFonts w:ascii="Arial" w:hAnsi="Arial" w:cs="Arial"/>
          <w:i/>
          <w:color w:val="000000" w:themeColor="text1"/>
        </w:rPr>
        <w:t>TET2</w:t>
      </w:r>
      <w:r w:rsidR="008009CD" w:rsidRPr="00B854A1">
        <w:rPr>
          <w:rFonts w:ascii="Arial" w:hAnsi="Arial" w:cs="Arial"/>
          <w:color w:val="000000" w:themeColor="text1"/>
        </w:rPr>
        <w:t xml:space="preserve"> by </w:t>
      </w:r>
      <w:r w:rsidR="008009CD" w:rsidRPr="00B854A1">
        <w:rPr>
          <w:rFonts w:ascii="Arial" w:hAnsi="Arial" w:cs="Arial"/>
          <w:i/>
          <w:color w:val="000000" w:themeColor="text1"/>
        </w:rPr>
        <w:t xml:space="preserve">JAK2 </w:t>
      </w:r>
      <w:r w:rsidRPr="00B854A1">
        <w:rPr>
          <w:rFonts w:ascii="Arial" w:hAnsi="Arial" w:cs="Arial"/>
          <w:color w:val="000000" w:themeColor="text1"/>
        </w:rPr>
        <w:t xml:space="preserve">in a combination of </w:t>
      </w:r>
      <w:r w:rsidRPr="00B854A1">
        <w:rPr>
          <w:rFonts w:ascii="Arial" w:hAnsi="Arial" w:cs="Arial"/>
          <w:i/>
          <w:color w:val="000000" w:themeColor="text1"/>
        </w:rPr>
        <w:t>in vitro</w:t>
      </w:r>
      <w:r w:rsidR="00FA6189" w:rsidRPr="00B854A1">
        <w:rPr>
          <w:rFonts w:ascii="Arial" w:hAnsi="Arial" w:cs="Arial"/>
          <w:color w:val="000000" w:themeColor="text1"/>
        </w:rPr>
        <w:t xml:space="preserve"> human/murine hematopoietic </w:t>
      </w:r>
      <w:r w:rsidRPr="00B854A1">
        <w:rPr>
          <w:rFonts w:ascii="Arial" w:hAnsi="Arial" w:cs="Arial"/>
          <w:color w:val="000000" w:themeColor="text1"/>
        </w:rPr>
        <w:t xml:space="preserve">cell lines </w:t>
      </w:r>
      <w:r w:rsidR="008009CD" w:rsidRPr="00B854A1">
        <w:rPr>
          <w:rFonts w:ascii="Arial" w:hAnsi="Arial" w:cs="Arial"/>
          <w:color w:val="000000" w:themeColor="text1"/>
        </w:rPr>
        <w:t>with erythroid characteristics</w:t>
      </w:r>
      <w:r w:rsidR="008028C8" w:rsidRPr="00B854A1">
        <w:rPr>
          <w:rFonts w:ascii="Arial" w:hAnsi="Arial" w:cs="Arial"/>
          <w:color w:val="000000" w:themeColor="text1"/>
        </w:rPr>
        <w:t>. Once phosphorylated</w:t>
      </w:r>
      <w:r w:rsidR="008028C8" w:rsidRPr="00B854A1">
        <w:rPr>
          <w:rFonts w:ascii="Arial" w:hAnsi="Arial" w:cs="Arial"/>
          <w:i/>
          <w:color w:val="000000" w:themeColor="text1"/>
        </w:rPr>
        <w:t xml:space="preserve"> TET2</w:t>
      </w:r>
      <w:r w:rsidR="008028C8" w:rsidRPr="00B854A1">
        <w:rPr>
          <w:rFonts w:ascii="Arial" w:hAnsi="Arial" w:cs="Arial"/>
          <w:color w:val="000000" w:themeColor="text1"/>
        </w:rPr>
        <w:t xml:space="preserve"> activates </w:t>
      </w:r>
      <w:r w:rsidR="008028C8" w:rsidRPr="00B854A1">
        <w:rPr>
          <w:rFonts w:ascii="Arial" w:hAnsi="Arial" w:cs="Arial"/>
          <w:i/>
          <w:color w:val="000000" w:themeColor="text1"/>
        </w:rPr>
        <w:t>KLF1</w:t>
      </w:r>
      <w:r w:rsidR="008028C8" w:rsidRPr="00B854A1">
        <w:rPr>
          <w:rFonts w:ascii="Arial" w:hAnsi="Arial" w:cs="Arial"/>
          <w:color w:val="000000" w:themeColor="text1"/>
        </w:rPr>
        <w:t>, an important positive regulator of erythropoiesis</w:t>
      </w:r>
      <w:r w:rsidR="000E7BBB" w:rsidRPr="00B854A1">
        <w:rPr>
          <w:rFonts w:ascii="Arial" w:hAnsi="Arial" w:cs="Arial"/>
          <w:color w:val="000000" w:themeColor="text1"/>
        </w:rPr>
        <w:t xml:space="preserv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BIB_lohmann2008activation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52</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8028C8" w:rsidRPr="00B854A1">
        <w:rPr>
          <w:rFonts w:ascii="Arial" w:hAnsi="Arial" w:cs="Arial"/>
          <w:color w:val="000000" w:themeColor="text1"/>
        </w:rPr>
        <w:t xml:space="preserve">. In this context, loss of </w:t>
      </w:r>
      <w:r w:rsidR="008028C8" w:rsidRPr="00B854A1">
        <w:rPr>
          <w:rFonts w:ascii="Arial" w:hAnsi="Arial" w:cs="Arial"/>
          <w:i/>
          <w:color w:val="000000" w:themeColor="text1"/>
        </w:rPr>
        <w:t>TET2</w:t>
      </w:r>
      <w:r w:rsidR="008028C8" w:rsidRPr="00B854A1">
        <w:rPr>
          <w:rFonts w:ascii="Arial" w:hAnsi="Arial" w:cs="Arial"/>
          <w:color w:val="000000" w:themeColor="text1"/>
        </w:rPr>
        <w:t xml:space="preserve"> </w:t>
      </w:r>
      <w:r w:rsidR="000E7BBB" w:rsidRPr="00B854A1">
        <w:rPr>
          <w:rFonts w:ascii="Arial" w:hAnsi="Arial" w:cs="Arial"/>
          <w:color w:val="000000" w:themeColor="text1"/>
        </w:rPr>
        <w:t>implies</w:t>
      </w:r>
      <w:r w:rsidR="008028C8" w:rsidRPr="00B854A1">
        <w:rPr>
          <w:rFonts w:ascii="Arial" w:hAnsi="Arial" w:cs="Arial"/>
          <w:color w:val="000000" w:themeColor="text1"/>
        </w:rPr>
        <w:t xml:space="preserve"> reduced erythroid differentiation</w:t>
      </w:r>
      <w:r w:rsidR="000E7BBB" w:rsidRPr="00B854A1">
        <w:rPr>
          <w:rFonts w:ascii="Arial" w:hAnsi="Arial" w:cs="Arial"/>
          <w:color w:val="000000" w:themeColor="text1"/>
        </w:rPr>
        <w:t xml:space="preserve"> which is in </w:t>
      </w:r>
      <w:r w:rsidR="00244A5E" w:rsidRPr="00B854A1">
        <w:rPr>
          <w:rFonts w:ascii="Arial" w:hAnsi="Arial" w:cs="Arial"/>
          <w:color w:val="000000" w:themeColor="text1"/>
        </w:rPr>
        <w:t>agreement</w:t>
      </w:r>
      <w:r w:rsidR="000E7BBB" w:rsidRPr="00B854A1">
        <w:rPr>
          <w:rFonts w:ascii="Arial" w:hAnsi="Arial" w:cs="Arial"/>
          <w:color w:val="000000" w:themeColor="text1"/>
        </w:rPr>
        <w:t xml:space="preserve"> with our model</w:t>
      </w:r>
      <w:r w:rsidR="008028C8" w:rsidRPr="00B854A1">
        <w:rPr>
          <w:rFonts w:ascii="Arial" w:hAnsi="Arial" w:cs="Arial"/>
          <w:color w:val="000000" w:themeColor="text1"/>
        </w:rPr>
        <w:t>. In the same study,</w:t>
      </w:r>
      <w:r w:rsidR="003A738A" w:rsidRPr="00B854A1">
        <w:rPr>
          <w:rFonts w:ascii="Arial" w:hAnsi="Arial" w:cs="Arial"/>
          <w:color w:val="000000" w:themeColor="text1"/>
        </w:rPr>
        <w:t xml:space="preserve"> the</w:t>
      </w:r>
      <w:r w:rsidR="008028C8" w:rsidRPr="00B854A1">
        <w:rPr>
          <w:rFonts w:ascii="Arial" w:hAnsi="Arial" w:cs="Arial"/>
          <w:color w:val="000000" w:themeColor="text1"/>
        </w:rPr>
        <w:t xml:space="preserve"> authors show</w:t>
      </w:r>
      <w:r w:rsidR="008009CD" w:rsidRPr="00B854A1">
        <w:rPr>
          <w:rFonts w:ascii="Arial" w:hAnsi="Arial" w:cs="Arial"/>
          <w:color w:val="000000" w:themeColor="text1"/>
        </w:rPr>
        <w:t xml:space="preserve"> </w:t>
      </w:r>
      <w:r w:rsidRPr="00B854A1">
        <w:rPr>
          <w:rFonts w:ascii="Arial" w:hAnsi="Arial" w:cs="Arial"/>
          <w:color w:val="000000" w:themeColor="text1"/>
        </w:rPr>
        <w:t>in a murine cell line</w:t>
      </w:r>
      <w:r w:rsidR="008028C8" w:rsidRPr="00B854A1">
        <w:rPr>
          <w:rFonts w:ascii="Arial" w:hAnsi="Arial" w:cs="Arial"/>
          <w:color w:val="000000" w:themeColor="text1"/>
        </w:rPr>
        <w:t xml:space="preserve"> that</w:t>
      </w:r>
      <w:r w:rsidRPr="00B854A1">
        <w:rPr>
          <w:rFonts w:ascii="Arial" w:hAnsi="Arial" w:cs="Arial"/>
          <w:color w:val="000000" w:themeColor="text1"/>
        </w:rPr>
        <w:t xml:space="preserve"> </w:t>
      </w:r>
      <w:r w:rsidRPr="00B854A1">
        <w:rPr>
          <w:rFonts w:ascii="Arial" w:hAnsi="Arial" w:cs="Arial"/>
          <w:i/>
          <w:color w:val="000000" w:themeColor="text1"/>
        </w:rPr>
        <w:t>JAK2</w:t>
      </w:r>
      <w:r w:rsidRPr="00B854A1">
        <w:rPr>
          <w:rFonts w:ascii="Arial" w:hAnsi="Arial" w:cs="Arial"/>
          <w:color w:val="000000" w:themeColor="text1"/>
        </w:rPr>
        <w:t xml:space="preserve"> mutation leads to </w:t>
      </w:r>
      <w:r w:rsidRPr="00B854A1">
        <w:rPr>
          <w:rFonts w:ascii="Arial" w:hAnsi="Arial" w:cs="Arial"/>
          <w:i/>
          <w:color w:val="000000" w:themeColor="text1"/>
        </w:rPr>
        <w:t>HOXA9</w:t>
      </w:r>
      <w:r w:rsidRPr="00B854A1">
        <w:rPr>
          <w:rFonts w:ascii="Arial" w:hAnsi="Arial" w:cs="Arial"/>
          <w:color w:val="000000" w:themeColor="text1"/>
        </w:rPr>
        <w:t xml:space="preserve"> upregulation. Th</w:t>
      </w:r>
      <w:r w:rsidR="00482025" w:rsidRPr="00B854A1">
        <w:rPr>
          <w:rFonts w:ascii="Arial" w:hAnsi="Arial" w:cs="Arial"/>
          <w:color w:val="000000" w:themeColor="text1"/>
        </w:rPr>
        <w:t>ese</w:t>
      </w:r>
      <w:r w:rsidRPr="00B854A1">
        <w:rPr>
          <w:rFonts w:ascii="Arial" w:hAnsi="Arial" w:cs="Arial"/>
          <w:color w:val="000000" w:themeColor="text1"/>
        </w:rPr>
        <w:t xml:space="preserve"> finding</w:t>
      </w:r>
      <w:r w:rsidR="00482025" w:rsidRPr="00B854A1">
        <w:rPr>
          <w:rFonts w:ascii="Arial" w:hAnsi="Arial" w:cs="Arial"/>
          <w:color w:val="000000" w:themeColor="text1"/>
        </w:rPr>
        <w:t>s</w:t>
      </w:r>
      <w:r w:rsidRPr="00B854A1">
        <w:rPr>
          <w:rFonts w:ascii="Arial" w:hAnsi="Arial" w:cs="Arial"/>
          <w:color w:val="000000" w:themeColor="text1"/>
        </w:rPr>
        <w:t xml:space="preserve"> </w:t>
      </w:r>
      <w:r w:rsidR="00482025" w:rsidRPr="00B854A1">
        <w:rPr>
          <w:rFonts w:ascii="Arial" w:hAnsi="Arial" w:cs="Arial"/>
          <w:color w:val="000000" w:themeColor="text1"/>
        </w:rPr>
        <w:t>are</w:t>
      </w:r>
      <w:r w:rsidR="00CD72FC" w:rsidRPr="00B854A1">
        <w:rPr>
          <w:rFonts w:ascii="Arial" w:hAnsi="Arial" w:cs="Arial"/>
          <w:color w:val="000000" w:themeColor="text1"/>
        </w:rPr>
        <w:t xml:space="preserve"> consistent with</w:t>
      </w:r>
      <w:r w:rsidRPr="00B854A1">
        <w:rPr>
          <w:rFonts w:ascii="Arial" w:hAnsi="Arial" w:cs="Arial"/>
          <w:color w:val="000000" w:themeColor="text1"/>
        </w:rPr>
        <w:t xml:space="preserve"> our </w:t>
      </w:r>
      <w:r w:rsidRPr="00B854A1">
        <w:rPr>
          <w:rFonts w:ascii="Arial" w:hAnsi="Arial" w:cs="Arial"/>
          <w:i/>
          <w:color w:val="000000" w:themeColor="text1"/>
        </w:rPr>
        <w:t>JAK2</w:t>
      </w:r>
      <w:r w:rsidRPr="00B854A1">
        <w:rPr>
          <w:rFonts w:ascii="Arial" w:hAnsi="Arial" w:cs="Arial"/>
          <w:color w:val="000000" w:themeColor="text1"/>
        </w:rPr>
        <w:t>/</w:t>
      </w:r>
      <w:r w:rsidRPr="00B854A1">
        <w:rPr>
          <w:rFonts w:ascii="Arial" w:hAnsi="Arial" w:cs="Arial"/>
          <w:i/>
          <w:color w:val="000000" w:themeColor="text1"/>
        </w:rPr>
        <w:t>TET2</w:t>
      </w:r>
      <w:r w:rsidRPr="00B854A1">
        <w:rPr>
          <w:rFonts w:ascii="Arial" w:hAnsi="Arial" w:cs="Arial"/>
          <w:color w:val="000000" w:themeColor="text1"/>
        </w:rPr>
        <w:t>/</w:t>
      </w:r>
      <w:r w:rsidRPr="00B854A1">
        <w:rPr>
          <w:rFonts w:ascii="Arial" w:hAnsi="Arial" w:cs="Arial"/>
          <w:i/>
          <w:color w:val="000000" w:themeColor="text1"/>
        </w:rPr>
        <w:t>HOXA9</w:t>
      </w:r>
      <w:r w:rsidRPr="00B854A1">
        <w:rPr>
          <w:rFonts w:ascii="Arial" w:hAnsi="Arial" w:cs="Arial"/>
          <w:color w:val="000000" w:themeColor="text1"/>
        </w:rPr>
        <w:t xml:space="preserve"> motif but </w:t>
      </w:r>
      <w:r w:rsidR="00EE3A42" w:rsidRPr="00B854A1">
        <w:rPr>
          <w:rFonts w:ascii="Arial" w:hAnsi="Arial" w:cs="Arial"/>
          <w:color w:val="000000" w:themeColor="text1"/>
        </w:rPr>
        <w:t>disagree with</w:t>
      </w:r>
      <w:r w:rsidRPr="00B854A1">
        <w:rPr>
          <w:rFonts w:ascii="Arial" w:hAnsi="Arial" w:cs="Arial"/>
          <w:color w:val="000000" w:themeColor="text1"/>
        </w:rPr>
        <w:t xml:space="preserve"> Chen's microarray experiments where </w:t>
      </w:r>
      <w:r w:rsidRPr="00B854A1">
        <w:rPr>
          <w:rFonts w:ascii="Arial" w:hAnsi="Arial" w:cs="Arial"/>
          <w:i/>
          <w:color w:val="000000" w:themeColor="text1"/>
        </w:rPr>
        <w:t>HOXA9</w:t>
      </w:r>
      <w:r w:rsidRPr="00B854A1">
        <w:rPr>
          <w:rFonts w:ascii="Arial" w:hAnsi="Arial" w:cs="Arial"/>
          <w:color w:val="000000" w:themeColor="text1"/>
        </w:rPr>
        <w:t xml:space="preserve"> expression is lowered in </w:t>
      </w:r>
      <w:r w:rsidRPr="00B854A1">
        <w:rPr>
          <w:rFonts w:ascii="Arial" w:hAnsi="Arial" w:cs="Arial"/>
          <w:i/>
          <w:color w:val="000000" w:themeColor="text1"/>
        </w:rPr>
        <w:t>JAK2</w:t>
      </w:r>
      <w:r w:rsidRPr="00B854A1">
        <w:rPr>
          <w:rFonts w:ascii="Arial" w:hAnsi="Arial" w:cs="Arial"/>
          <w:color w:val="000000" w:themeColor="text1"/>
        </w:rPr>
        <w:t xml:space="preserve"> single and double mutants (Fig. </w:t>
      </w:r>
      <w:r w:rsidR="000E5EF7" w:rsidRPr="000E5EF7">
        <w:rPr>
          <w:rFonts w:ascii="Arial" w:hAnsi="Arial" w:cs="Arial"/>
          <w:color w:val="70AD47" w:themeColor="accent6"/>
        </w:rPr>
        <w:t>3</w:t>
      </w:r>
      <w:r w:rsidR="00D13BF6">
        <w:rPr>
          <w:rFonts w:ascii="Arial" w:hAnsi="Arial" w:cs="Arial"/>
          <w:color w:val="70AD47" w:themeColor="accent6"/>
        </w:rPr>
        <w:t>f</w:t>
      </w:r>
      <w:r w:rsidRPr="00B854A1">
        <w:rPr>
          <w:rFonts w:ascii="Arial" w:hAnsi="Arial" w:cs="Arial"/>
          <w:color w:val="000000" w:themeColor="text1"/>
        </w:rPr>
        <w:t xml:space="preserve">). </w:t>
      </w:r>
      <w:r w:rsidR="002D3594" w:rsidRPr="00B854A1">
        <w:rPr>
          <w:rFonts w:ascii="Arial" w:hAnsi="Arial" w:cs="Arial"/>
          <w:color w:val="000000" w:themeColor="text1"/>
        </w:rPr>
        <w:t xml:space="preserve">Given the downstream genes follow the expected expression, this raises the question of whether the </w:t>
      </w:r>
      <w:r w:rsidR="00536A68" w:rsidRPr="00B854A1">
        <w:rPr>
          <w:rFonts w:ascii="Arial" w:hAnsi="Arial" w:cs="Arial"/>
          <w:color w:val="000000" w:themeColor="text1"/>
        </w:rPr>
        <w:t xml:space="preserve">activations </w:t>
      </w:r>
      <w:r w:rsidR="002D3594" w:rsidRPr="00B854A1">
        <w:rPr>
          <w:rFonts w:ascii="Arial" w:hAnsi="Arial" w:cs="Arial"/>
          <w:color w:val="000000" w:themeColor="text1"/>
        </w:rPr>
        <w:t>in the original motif should be replaced by a pair of inhibitions</w:t>
      </w:r>
      <w:r w:rsidR="00536A68" w:rsidRPr="00B854A1">
        <w:rPr>
          <w:rFonts w:ascii="Arial" w:hAnsi="Arial" w:cs="Arial"/>
          <w:color w:val="000000" w:themeColor="text1"/>
        </w:rPr>
        <w:t>, to make the model consistent with</w:t>
      </w:r>
      <w:r w:rsidR="00B077D9" w:rsidRPr="00B854A1">
        <w:rPr>
          <w:rFonts w:ascii="Arial" w:hAnsi="Arial" w:cs="Arial"/>
          <w:color w:val="000000" w:themeColor="text1"/>
        </w:rPr>
        <w:t xml:space="preserve"> Chen data</w:t>
      </w:r>
      <w:r w:rsidR="002D3594" w:rsidRPr="00B854A1">
        <w:rPr>
          <w:rFonts w:ascii="Arial" w:hAnsi="Arial" w:cs="Arial"/>
          <w:color w:val="000000" w:themeColor="text1"/>
        </w:rPr>
        <w:t xml:space="preserve">. Whilst there exist possible routes to connect </w:t>
      </w:r>
      <w:r w:rsidR="002D3594" w:rsidRPr="00B854A1">
        <w:rPr>
          <w:rFonts w:ascii="Arial" w:hAnsi="Arial" w:cs="Arial"/>
          <w:i/>
          <w:color w:val="000000" w:themeColor="text1"/>
        </w:rPr>
        <w:t>TET2</w:t>
      </w:r>
      <w:r w:rsidR="002D3594" w:rsidRPr="00B854A1">
        <w:rPr>
          <w:rFonts w:ascii="Arial" w:hAnsi="Arial" w:cs="Arial"/>
          <w:color w:val="000000" w:themeColor="text1"/>
        </w:rPr>
        <w:t xml:space="preserve"> and </w:t>
      </w:r>
      <w:r w:rsidR="002D3594" w:rsidRPr="00B854A1">
        <w:rPr>
          <w:rFonts w:ascii="Arial" w:hAnsi="Arial" w:cs="Arial"/>
          <w:i/>
          <w:color w:val="000000" w:themeColor="text1"/>
        </w:rPr>
        <w:t>HOXA9</w:t>
      </w:r>
      <w:r w:rsidR="002D3594" w:rsidRPr="00B854A1">
        <w:rPr>
          <w:rFonts w:ascii="Arial" w:hAnsi="Arial" w:cs="Arial"/>
          <w:color w:val="000000" w:themeColor="text1"/>
        </w:rPr>
        <w:t xml:space="preserve"> through an inhibition, </w:t>
      </w:r>
      <w:r w:rsidRPr="00B854A1">
        <w:rPr>
          <w:rFonts w:ascii="Arial" w:hAnsi="Arial" w:cs="Arial"/>
          <w:color w:val="000000" w:themeColor="text1"/>
        </w:rPr>
        <w:t>we</w:t>
      </w:r>
      <w:r w:rsidR="00ED5D22" w:rsidRPr="00B854A1">
        <w:rPr>
          <w:rFonts w:ascii="Arial" w:hAnsi="Arial" w:cs="Arial"/>
          <w:color w:val="000000" w:themeColor="text1"/>
        </w:rPr>
        <w:t xml:space="preserve"> are</w:t>
      </w:r>
      <w:r w:rsidR="002D3594" w:rsidRPr="00B854A1">
        <w:rPr>
          <w:rFonts w:ascii="Arial" w:hAnsi="Arial" w:cs="Arial"/>
          <w:color w:val="000000" w:themeColor="text1"/>
        </w:rPr>
        <w:t xml:space="preserve"> however unable to find evidence of inhibition of </w:t>
      </w:r>
      <w:r w:rsidR="002D3594" w:rsidRPr="00B854A1">
        <w:rPr>
          <w:rFonts w:ascii="Arial" w:hAnsi="Arial" w:cs="Arial"/>
          <w:i/>
          <w:color w:val="000000" w:themeColor="text1"/>
        </w:rPr>
        <w:t>HOXA9</w:t>
      </w:r>
      <w:r w:rsidR="002D3594" w:rsidRPr="00B854A1">
        <w:rPr>
          <w:rFonts w:ascii="Arial" w:hAnsi="Arial" w:cs="Arial"/>
          <w:color w:val="000000" w:themeColor="text1"/>
        </w:rPr>
        <w:t xml:space="preserve"> by </w:t>
      </w:r>
      <w:r w:rsidR="002D3594" w:rsidRPr="00B854A1">
        <w:rPr>
          <w:rFonts w:ascii="Arial" w:hAnsi="Arial" w:cs="Arial"/>
          <w:i/>
          <w:color w:val="000000" w:themeColor="text1"/>
        </w:rPr>
        <w:t>JAK2</w:t>
      </w:r>
      <w:r w:rsidR="002D3594" w:rsidRPr="00B854A1">
        <w:rPr>
          <w:rFonts w:ascii="Arial" w:hAnsi="Arial" w:cs="Arial"/>
          <w:color w:val="000000" w:themeColor="text1"/>
        </w:rPr>
        <w:t>.</w:t>
      </w:r>
      <w:r w:rsidRPr="00B854A1">
        <w:rPr>
          <w:rFonts w:ascii="Arial" w:hAnsi="Arial" w:cs="Arial"/>
          <w:color w:val="000000" w:themeColor="text1"/>
        </w:rPr>
        <w:t xml:space="preserve"> </w:t>
      </w:r>
      <w:r w:rsidR="002D3594" w:rsidRPr="00B854A1">
        <w:rPr>
          <w:rFonts w:ascii="Arial" w:hAnsi="Arial" w:cs="Arial"/>
          <w:color w:val="000000" w:themeColor="text1"/>
        </w:rPr>
        <w:t>We further note that as the Jeong data is human derived, it may be a more representative experimental model system</w:t>
      </w:r>
      <w:r w:rsidR="00CC1E78" w:rsidRPr="00B854A1">
        <w:rPr>
          <w:rFonts w:ascii="Arial" w:hAnsi="Arial" w:cs="Arial"/>
          <w:color w:val="000000" w:themeColor="text1"/>
        </w:rPr>
        <w:t>.</w:t>
      </w:r>
      <w:r w:rsidR="009C7D7E" w:rsidRPr="00B854A1">
        <w:rPr>
          <w:rFonts w:ascii="Arial" w:hAnsi="Arial" w:cs="Arial"/>
          <w:color w:val="000000" w:themeColor="text1"/>
        </w:rPr>
        <w:t xml:space="preserve"> F</w:t>
      </w:r>
      <w:r w:rsidR="006C44B2" w:rsidRPr="00B854A1">
        <w:rPr>
          <w:rFonts w:ascii="Arial" w:hAnsi="Arial" w:cs="Arial"/>
          <w:color w:val="000000" w:themeColor="text1"/>
        </w:rPr>
        <w:t>uture work using experiments in human samples could resolve this discrepancy.</w:t>
      </w:r>
      <w:r w:rsidR="00CC1E78" w:rsidRPr="00B854A1">
        <w:rPr>
          <w:rFonts w:ascii="Arial" w:hAnsi="Arial" w:cs="Arial"/>
          <w:color w:val="000000" w:themeColor="text1"/>
        </w:rPr>
        <w:t xml:space="preserve"> </w:t>
      </w:r>
      <w:r w:rsidR="002D3594" w:rsidRPr="002C6F32">
        <w:rPr>
          <w:rFonts w:ascii="Arial" w:hAnsi="Arial" w:cs="Arial"/>
          <w:color w:val="000000" w:themeColor="text1"/>
        </w:rPr>
        <w:lastRenderedPageBreak/>
        <w:t>Both datasets however</w:t>
      </w:r>
      <w:r w:rsidR="00CC1E78" w:rsidRPr="002C6F32">
        <w:rPr>
          <w:rFonts w:ascii="Arial" w:hAnsi="Arial" w:cs="Arial"/>
          <w:color w:val="000000" w:themeColor="text1"/>
        </w:rPr>
        <w:t xml:space="preserve"> support the role</w:t>
      </w:r>
      <w:r w:rsidR="002D3594" w:rsidRPr="002C6F32">
        <w:rPr>
          <w:rFonts w:ascii="Arial" w:hAnsi="Arial" w:cs="Arial"/>
          <w:color w:val="000000" w:themeColor="text1"/>
        </w:rPr>
        <w:t xml:space="preserve"> of</w:t>
      </w:r>
      <w:r w:rsidR="00CC1E78" w:rsidRPr="002C6F32">
        <w:rPr>
          <w:rFonts w:ascii="Arial" w:hAnsi="Arial" w:cs="Arial"/>
          <w:color w:val="000000" w:themeColor="text1"/>
        </w:rPr>
        <w:t xml:space="preserve"> </w:t>
      </w:r>
      <w:r w:rsidR="00CC1E78" w:rsidRPr="002C6F32">
        <w:rPr>
          <w:rFonts w:ascii="Arial" w:hAnsi="Arial" w:cs="Arial"/>
          <w:i/>
          <w:color w:val="000000" w:themeColor="text1"/>
        </w:rPr>
        <w:t>HOXA9</w:t>
      </w:r>
      <w:r w:rsidR="00CC1E78" w:rsidRPr="002C6F32">
        <w:rPr>
          <w:rFonts w:ascii="Arial" w:hAnsi="Arial" w:cs="Arial"/>
          <w:color w:val="000000" w:themeColor="text1"/>
        </w:rPr>
        <w:t xml:space="preserve"> </w:t>
      </w:r>
      <w:r w:rsidR="002D3594" w:rsidRPr="002C6F32">
        <w:rPr>
          <w:rFonts w:ascii="Arial" w:hAnsi="Arial" w:cs="Arial"/>
          <w:color w:val="000000" w:themeColor="text1"/>
        </w:rPr>
        <w:t>as a</w:t>
      </w:r>
      <w:r w:rsidR="00B00ABF" w:rsidRPr="002C6F32">
        <w:rPr>
          <w:rFonts w:ascii="Arial" w:hAnsi="Arial" w:cs="Arial"/>
          <w:color w:val="000000" w:themeColor="text1"/>
        </w:rPr>
        <w:t xml:space="preserve"> binary</w:t>
      </w:r>
      <w:r w:rsidR="002D3594" w:rsidRPr="002C6F32">
        <w:rPr>
          <w:rFonts w:ascii="Arial" w:hAnsi="Arial" w:cs="Arial"/>
          <w:color w:val="000000" w:themeColor="text1"/>
        </w:rPr>
        <w:t xml:space="preserve"> switch</w:t>
      </w:r>
      <w:r w:rsidR="00CC1E78" w:rsidRPr="002C6F32">
        <w:rPr>
          <w:rFonts w:ascii="Arial" w:hAnsi="Arial" w:cs="Arial"/>
          <w:color w:val="000000" w:themeColor="text1"/>
        </w:rPr>
        <w:t xml:space="preserve"> in MPN</w:t>
      </w:r>
      <w:r w:rsidR="002D3594" w:rsidRPr="002C6F32">
        <w:rPr>
          <w:rFonts w:ascii="Arial" w:hAnsi="Arial" w:cs="Arial"/>
          <w:color w:val="000000" w:themeColor="text1"/>
        </w:rPr>
        <w:t>.</w:t>
      </w:r>
    </w:p>
    <w:p w14:paraId="14EE7983" w14:textId="77777777" w:rsidR="00BD0475" w:rsidRPr="002C6F32" w:rsidRDefault="00BD0475" w:rsidP="00D9616D">
      <w:pPr>
        <w:keepNext/>
        <w:pBdr>
          <w:top w:val="nil"/>
          <w:left w:val="nil"/>
          <w:bottom w:val="nil"/>
          <w:right w:val="nil"/>
          <w:between w:val="nil"/>
        </w:pBdr>
        <w:spacing w:before="240" w:after="60" w:line="480" w:lineRule="auto"/>
        <w:contextualSpacing/>
        <w:jc w:val="both"/>
        <w:rPr>
          <w:rFonts w:ascii="Arial" w:hAnsi="Arial" w:cs="Arial"/>
          <w:color w:val="000000" w:themeColor="text1"/>
        </w:rPr>
      </w:pPr>
    </w:p>
    <w:p w14:paraId="42194478" w14:textId="32EB70B1" w:rsidR="00F408A6" w:rsidRPr="00F408A6" w:rsidRDefault="00BD0475" w:rsidP="00F408A6">
      <w:pPr>
        <w:keepNext/>
        <w:pBdr>
          <w:top w:val="nil"/>
          <w:left w:val="nil"/>
          <w:bottom w:val="nil"/>
          <w:right w:val="nil"/>
          <w:between w:val="nil"/>
        </w:pBdr>
        <w:spacing w:before="240" w:after="60" w:line="480" w:lineRule="auto"/>
        <w:contextualSpacing/>
        <w:jc w:val="both"/>
        <w:rPr>
          <w:rFonts w:ascii="Arial" w:hAnsi="Arial" w:cs="Arial"/>
          <w:color w:val="70AD47" w:themeColor="accent6"/>
          <w:lang w:val="en-AU"/>
        </w:rPr>
      </w:pPr>
      <w:r w:rsidRPr="00BD0475">
        <w:rPr>
          <w:rFonts w:ascii="Arial" w:hAnsi="Arial" w:cs="Arial"/>
          <w:color w:val="70AD47" w:themeColor="accent6"/>
          <w:lang w:val="en-AU"/>
        </w:rPr>
        <w:t xml:space="preserve">In light of these observations, we sought to test the relationship between </w:t>
      </w:r>
      <w:r w:rsidRPr="00BD0475">
        <w:rPr>
          <w:rFonts w:ascii="Arial" w:hAnsi="Arial" w:cs="Arial"/>
          <w:i/>
          <w:iCs/>
          <w:color w:val="70AD47" w:themeColor="accent6"/>
          <w:lang w:val="en-AU"/>
        </w:rPr>
        <w:t>JAK2</w:t>
      </w:r>
      <w:r w:rsidRPr="00BD0475">
        <w:rPr>
          <w:rFonts w:ascii="Arial" w:hAnsi="Arial" w:cs="Arial"/>
          <w:color w:val="70AD47" w:themeColor="accent6"/>
          <w:lang w:val="en-AU"/>
        </w:rPr>
        <w:t xml:space="preserve"> and </w:t>
      </w:r>
      <w:r w:rsidRPr="00BD0475">
        <w:rPr>
          <w:rFonts w:ascii="Arial" w:hAnsi="Arial" w:cs="Arial"/>
          <w:i/>
          <w:iCs/>
          <w:color w:val="70AD47" w:themeColor="accent6"/>
          <w:lang w:val="en-AU"/>
        </w:rPr>
        <w:t>HOXA9</w:t>
      </w:r>
      <w:r w:rsidRPr="00BD0475">
        <w:rPr>
          <w:rFonts w:ascii="Arial" w:hAnsi="Arial" w:cs="Arial"/>
          <w:color w:val="70AD47" w:themeColor="accent6"/>
          <w:lang w:val="en-AU"/>
        </w:rPr>
        <w:t xml:space="preserve"> through experimentation. Our model predicts that mutation of </w:t>
      </w:r>
      <w:r w:rsidRPr="00BD0475">
        <w:rPr>
          <w:rFonts w:ascii="Arial" w:hAnsi="Arial" w:cs="Arial"/>
          <w:i/>
          <w:iCs/>
          <w:color w:val="70AD47" w:themeColor="accent6"/>
          <w:lang w:val="en-AU"/>
        </w:rPr>
        <w:t>JAK2</w:t>
      </w:r>
      <w:r w:rsidRPr="00BD0475">
        <w:rPr>
          <w:rFonts w:ascii="Arial" w:hAnsi="Arial" w:cs="Arial"/>
          <w:color w:val="70AD47" w:themeColor="accent6"/>
          <w:lang w:val="en-AU"/>
        </w:rPr>
        <w:t xml:space="preserve"> would lead to activation of </w:t>
      </w:r>
      <w:r w:rsidRPr="00BD0475">
        <w:rPr>
          <w:rFonts w:ascii="Arial" w:hAnsi="Arial" w:cs="Arial"/>
          <w:i/>
          <w:iCs/>
          <w:color w:val="70AD47" w:themeColor="accent6"/>
          <w:lang w:val="en-AU"/>
        </w:rPr>
        <w:t>HOXA9</w:t>
      </w:r>
      <w:r w:rsidRPr="00BD0475">
        <w:rPr>
          <w:rFonts w:ascii="Arial" w:hAnsi="Arial" w:cs="Arial"/>
          <w:color w:val="70AD47" w:themeColor="accent6"/>
          <w:lang w:val="en-AU"/>
        </w:rPr>
        <w:t xml:space="preserve"> through </w:t>
      </w:r>
      <w:r w:rsidRPr="00BD0475">
        <w:rPr>
          <w:rFonts w:ascii="Arial" w:hAnsi="Arial" w:cs="Arial"/>
          <w:i/>
          <w:iCs/>
          <w:color w:val="70AD47" w:themeColor="accent6"/>
          <w:lang w:val="en-AU"/>
        </w:rPr>
        <w:t>STAT5</w:t>
      </w:r>
      <w:r w:rsidRPr="00BD0475">
        <w:rPr>
          <w:rFonts w:ascii="Arial" w:hAnsi="Arial" w:cs="Arial"/>
          <w:color w:val="70AD47" w:themeColor="accent6"/>
          <w:lang w:val="en-AU"/>
        </w:rPr>
        <w:t xml:space="preserve">. </w:t>
      </w:r>
      <w:r w:rsidRPr="00BD0475">
        <w:rPr>
          <w:rFonts w:ascii="Arial" w:hAnsi="Arial" w:cs="Arial"/>
          <w:i/>
          <w:iCs/>
          <w:color w:val="70AD47" w:themeColor="accent6"/>
          <w:lang w:val="en-AU"/>
        </w:rPr>
        <w:t>HOXA9</w:t>
      </w:r>
      <w:r w:rsidRPr="00BD0475">
        <w:rPr>
          <w:rFonts w:ascii="Arial" w:hAnsi="Arial" w:cs="Arial"/>
          <w:color w:val="70AD47" w:themeColor="accent6"/>
          <w:lang w:val="en-AU"/>
        </w:rPr>
        <w:t xml:space="preserve"> activity has been linked to cell viability</w:t>
      </w:r>
      <w:r w:rsidR="00F408A6">
        <w:rPr>
          <w:rFonts w:ascii="Arial" w:hAnsi="Arial" w:cs="Arial"/>
          <w:color w:val="000000" w:themeColor="text1"/>
          <w:lang w:val="en-AU"/>
        </w:rPr>
        <w:t xml:space="preserve"> </w:t>
      </w:r>
      <w:r w:rsidR="00F408A6" w:rsidRPr="00B933AD">
        <w:rPr>
          <w:rFonts w:ascii="Arial" w:hAnsi="Arial" w:cs="Arial"/>
          <w:color w:val="70AD47" w:themeColor="accent6"/>
        </w:rPr>
        <w:t>[18]</w:t>
      </w:r>
      <w:r w:rsidR="00F408A6">
        <w:rPr>
          <w:rFonts w:ascii="Arial" w:hAnsi="Arial" w:cs="Arial"/>
          <w:color w:val="70AD47" w:themeColor="accent6"/>
        </w:rPr>
        <w:t xml:space="preserve"> </w:t>
      </w:r>
      <w:r w:rsidR="00F408A6" w:rsidRPr="00F408A6">
        <w:rPr>
          <w:rFonts w:ascii="Arial" w:hAnsi="Arial" w:cs="Arial"/>
          <w:color w:val="70AD47" w:themeColor="accent6"/>
          <w:lang w:val="en-AU"/>
        </w:rPr>
        <w:t xml:space="preserve">and inhibition of </w:t>
      </w:r>
      <w:r w:rsidR="00F408A6" w:rsidRPr="00BD0475">
        <w:rPr>
          <w:rFonts w:ascii="Arial" w:hAnsi="Arial" w:cs="Arial"/>
          <w:i/>
          <w:iCs/>
          <w:color w:val="70AD47" w:themeColor="accent6"/>
          <w:lang w:val="en-AU"/>
        </w:rPr>
        <w:t>HOXA9</w:t>
      </w:r>
      <w:r w:rsidR="00F408A6" w:rsidRPr="00F408A6">
        <w:rPr>
          <w:rFonts w:ascii="Arial" w:hAnsi="Arial" w:cs="Arial"/>
          <w:color w:val="70AD47" w:themeColor="accent6"/>
          <w:lang w:val="en-AU"/>
        </w:rPr>
        <w:t xml:space="preserve"> would be expected to lead to a reduction of the number of colonies formed in a plating assay. We would therefore predict that mutation of </w:t>
      </w:r>
      <w:r w:rsidR="00F408A6" w:rsidRPr="00BD0475">
        <w:rPr>
          <w:rFonts w:ascii="Arial" w:hAnsi="Arial" w:cs="Arial"/>
          <w:i/>
          <w:iCs/>
          <w:color w:val="70AD47" w:themeColor="accent6"/>
          <w:lang w:val="en-AU"/>
        </w:rPr>
        <w:t>JAK2</w:t>
      </w:r>
      <w:r w:rsidR="00F408A6" w:rsidRPr="00F408A6">
        <w:rPr>
          <w:rFonts w:ascii="Arial" w:hAnsi="Arial" w:cs="Arial"/>
          <w:color w:val="70AD47" w:themeColor="accent6"/>
          <w:lang w:val="en-AU"/>
        </w:rPr>
        <w:t xml:space="preserve"> would increase colony formation relative to wild-type when </w:t>
      </w:r>
      <w:r w:rsidR="00F408A6" w:rsidRPr="00BD0475">
        <w:rPr>
          <w:rFonts w:ascii="Arial" w:hAnsi="Arial" w:cs="Arial"/>
          <w:i/>
          <w:iCs/>
          <w:color w:val="70AD47" w:themeColor="accent6"/>
          <w:lang w:val="en-AU"/>
        </w:rPr>
        <w:t>HOXA9</w:t>
      </w:r>
      <w:r w:rsidR="00F408A6" w:rsidRPr="00F408A6">
        <w:rPr>
          <w:rFonts w:ascii="Arial" w:hAnsi="Arial" w:cs="Arial"/>
          <w:color w:val="70AD47" w:themeColor="accent6"/>
          <w:lang w:val="en-AU"/>
        </w:rPr>
        <w:t xml:space="preserve"> is inhibited. Using wild-type and </w:t>
      </w:r>
      <w:r w:rsidR="00F408A6" w:rsidRPr="00BD0475">
        <w:rPr>
          <w:rFonts w:ascii="Arial" w:hAnsi="Arial" w:cs="Arial"/>
          <w:i/>
          <w:iCs/>
          <w:color w:val="70AD47" w:themeColor="accent6"/>
          <w:lang w:val="en-AU"/>
        </w:rPr>
        <w:t>JAK2</w:t>
      </w:r>
      <w:r w:rsidR="00F408A6" w:rsidRPr="00F408A6">
        <w:rPr>
          <w:rFonts w:ascii="Arial" w:hAnsi="Arial" w:cs="Arial"/>
          <w:color w:val="70AD47" w:themeColor="accent6"/>
          <w:lang w:val="en-AU"/>
        </w:rPr>
        <w:t xml:space="preserve"> mutated stem and progenitor cells, we knocked down </w:t>
      </w:r>
      <w:r w:rsidR="00F408A6" w:rsidRPr="00BD0475">
        <w:rPr>
          <w:rFonts w:ascii="Arial" w:hAnsi="Arial" w:cs="Arial"/>
          <w:i/>
          <w:iCs/>
          <w:color w:val="70AD47" w:themeColor="accent6"/>
          <w:lang w:val="en-AU"/>
        </w:rPr>
        <w:t>HOXA9</w:t>
      </w:r>
      <w:r w:rsidR="00F408A6" w:rsidRPr="00F408A6">
        <w:rPr>
          <w:rFonts w:ascii="Arial" w:hAnsi="Arial" w:cs="Arial"/>
          <w:color w:val="70AD47" w:themeColor="accent6"/>
          <w:lang w:val="en-AU"/>
        </w:rPr>
        <w:t xml:space="preserve"> and observed a reduction in colony formation in wild-type cells. We do, however, see a slight</w:t>
      </w:r>
      <w:r w:rsidR="00216CAE">
        <w:rPr>
          <w:rFonts w:ascii="Arial" w:hAnsi="Arial" w:cs="Arial"/>
          <w:color w:val="70AD47" w:themeColor="accent6"/>
          <w:lang w:val="en-AU"/>
        </w:rPr>
        <w:t xml:space="preserve"> significant</w:t>
      </w:r>
      <w:r w:rsidR="00F408A6" w:rsidRPr="00F408A6">
        <w:rPr>
          <w:rFonts w:ascii="Arial" w:hAnsi="Arial" w:cs="Arial"/>
          <w:color w:val="70AD47" w:themeColor="accent6"/>
          <w:lang w:val="en-AU"/>
        </w:rPr>
        <w:t xml:space="preserve"> increase in colony formation in </w:t>
      </w:r>
      <w:r w:rsidR="00F408A6" w:rsidRPr="00BD0475">
        <w:rPr>
          <w:rFonts w:ascii="Arial" w:hAnsi="Arial" w:cs="Arial"/>
          <w:i/>
          <w:iCs/>
          <w:color w:val="70AD47" w:themeColor="accent6"/>
          <w:lang w:val="en-AU"/>
        </w:rPr>
        <w:t>JAK2</w:t>
      </w:r>
      <w:r w:rsidR="00F408A6" w:rsidRPr="00F408A6">
        <w:rPr>
          <w:rFonts w:ascii="Arial" w:hAnsi="Arial" w:cs="Arial"/>
          <w:color w:val="70AD47" w:themeColor="accent6"/>
          <w:lang w:val="en-AU"/>
        </w:rPr>
        <w:t xml:space="preserve">-mutant cells relative to wild-type whether or not </w:t>
      </w:r>
      <w:r w:rsidR="00F408A6" w:rsidRPr="00BD0475">
        <w:rPr>
          <w:rFonts w:ascii="Arial" w:hAnsi="Arial" w:cs="Arial"/>
          <w:i/>
          <w:iCs/>
          <w:color w:val="70AD47" w:themeColor="accent6"/>
          <w:lang w:val="en-AU"/>
        </w:rPr>
        <w:t>HOXA9</w:t>
      </w:r>
      <w:r w:rsidR="00F408A6" w:rsidRPr="00F408A6">
        <w:rPr>
          <w:rFonts w:ascii="Arial" w:hAnsi="Arial" w:cs="Arial"/>
          <w:color w:val="70AD47" w:themeColor="accent6"/>
          <w:lang w:val="en-AU"/>
        </w:rPr>
        <w:t xml:space="preserve"> is inhibited</w:t>
      </w:r>
      <w:r w:rsidR="00216CAE">
        <w:rPr>
          <w:rFonts w:ascii="Arial" w:hAnsi="Arial" w:cs="Arial"/>
          <w:color w:val="70AD47" w:themeColor="accent6"/>
          <w:lang w:val="en-AU"/>
        </w:rPr>
        <w:t xml:space="preserve"> (</w:t>
      </w:r>
      <w:r w:rsidR="00216CAE" w:rsidRPr="00216CAE">
        <w:rPr>
          <w:rFonts w:ascii="Arial" w:hAnsi="Arial" w:cs="Arial"/>
          <w:i/>
          <w:iCs/>
          <w:color w:val="70AD47" w:themeColor="accent6"/>
          <w:lang w:val="en-AU"/>
        </w:rPr>
        <w:t xml:space="preserve">q = </w:t>
      </w:r>
      <w:r w:rsidR="00216CAE" w:rsidRPr="00216CAE">
        <w:rPr>
          <w:rFonts w:ascii="Arial" w:hAnsi="Arial" w:cs="Arial"/>
          <w:color w:val="70AD47" w:themeColor="accent6"/>
          <w:lang w:val="en-AU"/>
        </w:rPr>
        <w:t>0.0171</w:t>
      </w:r>
      <w:r w:rsidR="00216CAE">
        <w:rPr>
          <w:rFonts w:ascii="Arial" w:hAnsi="Arial" w:cs="Arial"/>
          <w:color w:val="70AD47" w:themeColor="accent6"/>
          <w:lang w:val="en-AU"/>
        </w:rPr>
        <w:t>)</w:t>
      </w:r>
      <w:r w:rsidR="00F408A6" w:rsidRPr="00F408A6">
        <w:rPr>
          <w:rFonts w:ascii="Arial" w:hAnsi="Arial" w:cs="Arial"/>
          <w:color w:val="70AD47" w:themeColor="accent6"/>
          <w:lang w:val="en-AU"/>
        </w:rPr>
        <w:t xml:space="preserve">. This finding is more consistent with our model, and the dataset from Jeong et al [51], where </w:t>
      </w:r>
      <w:r w:rsidR="00F408A6" w:rsidRPr="00BD0475">
        <w:rPr>
          <w:rFonts w:ascii="Arial" w:hAnsi="Arial" w:cs="Arial"/>
          <w:i/>
          <w:iCs/>
          <w:color w:val="70AD47" w:themeColor="accent6"/>
          <w:lang w:val="en-AU"/>
        </w:rPr>
        <w:t>JAK2</w:t>
      </w:r>
      <w:r w:rsidR="00F408A6" w:rsidRPr="00F408A6">
        <w:rPr>
          <w:rFonts w:ascii="Arial" w:hAnsi="Arial" w:cs="Arial"/>
          <w:color w:val="70AD47" w:themeColor="accent6"/>
          <w:lang w:val="en-AU"/>
        </w:rPr>
        <w:t xml:space="preserve"> activates </w:t>
      </w:r>
      <w:r w:rsidR="00F408A6" w:rsidRPr="00BD0475">
        <w:rPr>
          <w:rFonts w:ascii="Arial" w:hAnsi="Arial" w:cs="Arial"/>
          <w:i/>
          <w:iCs/>
          <w:color w:val="70AD47" w:themeColor="accent6"/>
          <w:lang w:val="en-AU"/>
        </w:rPr>
        <w:t>HOXA9</w:t>
      </w:r>
      <w:r w:rsidR="00F408A6" w:rsidRPr="00F408A6">
        <w:rPr>
          <w:rFonts w:ascii="Arial" w:hAnsi="Arial" w:cs="Arial"/>
          <w:color w:val="70AD47" w:themeColor="accent6"/>
          <w:lang w:val="en-AU"/>
        </w:rPr>
        <w:t xml:space="preserve">. </w:t>
      </w:r>
      <w:r w:rsidR="00F408A6" w:rsidRPr="00BD0475">
        <w:rPr>
          <w:rFonts w:ascii="Arial" w:hAnsi="Arial" w:cs="Arial"/>
          <w:i/>
          <w:iCs/>
          <w:color w:val="70AD47" w:themeColor="accent6"/>
          <w:lang w:val="en-AU"/>
        </w:rPr>
        <w:t>TET2</w:t>
      </w:r>
      <w:r w:rsidR="00F408A6" w:rsidRPr="00F408A6">
        <w:rPr>
          <w:rFonts w:ascii="Arial" w:hAnsi="Arial" w:cs="Arial"/>
          <w:color w:val="70AD47" w:themeColor="accent6"/>
          <w:lang w:val="en-AU"/>
        </w:rPr>
        <w:t xml:space="preserve"> behaviour is more complex, making a</w:t>
      </w:r>
      <w:r w:rsidR="00216CAE">
        <w:rPr>
          <w:rFonts w:ascii="Arial" w:hAnsi="Arial" w:cs="Arial"/>
          <w:color w:val="70AD47" w:themeColor="accent6"/>
          <w:lang w:val="en-AU"/>
        </w:rPr>
        <w:t>n unsignificant</w:t>
      </w:r>
      <w:r w:rsidR="00F408A6" w:rsidRPr="00F408A6">
        <w:rPr>
          <w:rFonts w:ascii="Arial" w:hAnsi="Arial" w:cs="Arial"/>
          <w:color w:val="70AD47" w:themeColor="accent6"/>
          <w:lang w:val="en-AU"/>
        </w:rPr>
        <w:t xml:space="preserve"> increase to viability in WT but apparently synergistically increasing survival when </w:t>
      </w:r>
      <w:r w:rsidR="00F408A6" w:rsidRPr="00BD0475">
        <w:rPr>
          <w:rFonts w:ascii="Arial" w:hAnsi="Arial" w:cs="Arial"/>
          <w:i/>
          <w:iCs/>
          <w:color w:val="70AD47" w:themeColor="accent6"/>
          <w:lang w:val="en-AU"/>
        </w:rPr>
        <w:t>HOXA9</w:t>
      </w:r>
      <w:r w:rsidR="00F408A6" w:rsidRPr="00F408A6">
        <w:rPr>
          <w:rFonts w:ascii="Arial" w:hAnsi="Arial" w:cs="Arial"/>
          <w:color w:val="70AD47" w:themeColor="accent6"/>
          <w:lang w:val="en-AU"/>
        </w:rPr>
        <w:t xml:space="preserve"> is inhibited</w:t>
      </w:r>
      <w:r>
        <w:rPr>
          <w:rFonts w:ascii="Arial" w:hAnsi="Arial" w:cs="Arial"/>
          <w:color w:val="70AD47" w:themeColor="accent6"/>
          <w:lang w:val="en-AU"/>
        </w:rPr>
        <w:t xml:space="preserve"> (</w:t>
      </w:r>
      <w:r w:rsidR="00216CAE" w:rsidRPr="00216CAE">
        <w:rPr>
          <w:rFonts w:ascii="Arial" w:hAnsi="Arial" w:cs="Arial"/>
          <w:i/>
          <w:iCs/>
          <w:color w:val="70AD47" w:themeColor="accent6"/>
          <w:lang w:val="en-AU"/>
        </w:rPr>
        <w:t>q</w:t>
      </w:r>
      <w:r w:rsidR="00216CAE">
        <w:rPr>
          <w:rFonts w:ascii="Arial" w:hAnsi="Arial" w:cs="Arial"/>
          <w:color w:val="70AD47" w:themeColor="accent6"/>
          <w:lang w:val="en-AU"/>
        </w:rPr>
        <w:t xml:space="preserve"> = 0.0032 - </w:t>
      </w:r>
      <w:r>
        <w:rPr>
          <w:rFonts w:ascii="Arial" w:hAnsi="Arial" w:cs="Arial"/>
          <w:color w:val="70AD47" w:themeColor="accent6"/>
          <w:lang w:val="en-AU"/>
        </w:rPr>
        <w:t>Fig 4a,b)</w:t>
      </w:r>
      <w:r w:rsidR="00F408A6" w:rsidRPr="00F408A6">
        <w:rPr>
          <w:rFonts w:ascii="Arial" w:hAnsi="Arial" w:cs="Arial"/>
          <w:color w:val="70AD47" w:themeColor="accent6"/>
          <w:lang w:val="en-AU"/>
        </w:rPr>
        <w:t xml:space="preserve">. This suggests that colony formation is determined through complex </w:t>
      </w:r>
      <w:r w:rsidR="00F408A6" w:rsidRPr="00BD0475">
        <w:rPr>
          <w:rFonts w:ascii="Arial" w:hAnsi="Arial" w:cs="Arial"/>
          <w:i/>
          <w:iCs/>
          <w:color w:val="70AD47" w:themeColor="accent6"/>
          <w:lang w:val="en-AU"/>
        </w:rPr>
        <w:t>HOXA9</w:t>
      </w:r>
      <w:r w:rsidR="00F408A6" w:rsidRPr="00F408A6">
        <w:rPr>
          <w:rFonts w:ascii="Arial" w:hAnsi="Arial" w:cs="Arial"/>
          <w:color w:val="70AD47" w:themeColor="accent6"/>
          <w:lang w:val="en-AU"/>
        </w:rPr>
        <w:t xml:space="preserve"> and </w:t>
      </w:r>
      <w:r w:rsidR="00F408A6" w:rsidRPr="00BD0475">
        <w:rPr>
          <w:rFonts w:ascii="Arial" w:hAnsi="Arial" w:cs="Arial"/>
          <w:i/>
          <w:iCs/>
          <w:color w:val="70AD47" w:themeColor="accent6"/>
          <w:lang w:val="en-AU"/>
        </w:rPr>
        <w:t>TET2</w:t>
      </w:r>
      <w:r w:rsidR="00F408A6" w:rsidRPr="00F408A6">
        <w:rPr>
          <w:rFonts w:ascii="Arial" w:hAnsi="Arial" w:cs="Arial"/>
          <w:color w:val="70AD47" w:themeColor="accent6"/>
          <w:lang w:val="en-AU"/>
        </w:rPr>
        <w:t xml:space="preserve"> interactions, necessitating further study.</w:t>
      </w:r>
    </w:p>
    <w:p w14:paraId="0DD03449" w14:textId="77605DB9" w:rsidR="00DB48C8" w:rsidRPr="00B854A1" w:rsidRDefault="00DB48C8" w:rsidP="00D9616D">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B854A1">
        <w:rPr>
          <w:rFonts w:ascii="Arial" w:hAnsi="Arial" w:cs="Arial"/>
          <w:b/>
          <w:color w:val="000000" w:themeColor="text1"/>
        </w:rPr>
        <w:br w:type="page"/>
      </w:r>
    </w:p>
    <w:p w14:paraId="1AE150B7" w14:textId="6067EBDC" w:rsidR="00EE4436" w:rsidRPr="00B854A1" w:rsidRDefault="00CD5730" w:rsidP="00DB48C8">
      <w:pPr>
        <w:spacing w:after="160" w:line="480" w:lineRule="auto"/>
        <w:jc w:val="both"/>
        <w:rPr>
          <w:rFonts w:ascii="Arial" w:hAnsi="Arial" w:cs="Arial"/>
          <w:b/>
          <w:color w:val="000000" w:themeColor="text1"/>
        </w:rPr>
      </w:pPr>
      <w:r w:rsidRPr="00B854A1">
        <w:rPr>
          <w:rFonts w:ascii="Arial" w:hAnsi="Arial" w:cs="Arial"/>
          <w:b/>
          <w:color w:val="000000" w:themeColor="text1"/>
        </w:rPr>
        <w:lastRenderedPageBreak/>
        <w:t>Discussion</w:t>
      </w:r>
    </w:p>
    <w:p w14:paraId="7750FEAE" w14:textId="02C912C0" w:rsidR="00EE4436" w:rsidRPr="00B854A1" w:rsidRDefault="000E31A8" w:rsidP="00DB48C8">
      <w:pPr>
        <w:pBdr>
          <w:top w:val="nil"/>
          <w:left w:val="nil"/>
          <w:bottom w:val="nil"/>
          <w:right w:val="nil"/>
          <w:between w:val="nil"/>
        </w:pBdr>
        <w:spacing w:after="0" w:line="480" w:lineRule="auto"/>
        <w:contextualSpacing/>
        <w:jc w:val="both"/>
        <w:rPr>
          <w:rFonts w:ascii="Arial" w:hAnsi="Arial" w:cs="Arial"/>
          <w:color w:val="000000" w:themeColor="text1"/>
        </w:rPr>
      </w:pPr>
      <w:r w:rsidRPr="00B854A1">
        <w:rPr>
          <w:rFonts w:ascii="Arial" w:hAnsi="Arial" w:cs="Arial"/>
          <w:color w:val="000000" w:themeColor="text1"/>
        </w:rPr>
        <w:t xml:space="preserve">Out of </w:t>
      </w:r>
      <w:r w:rsidRPr="002C6F32">
        <w:rPr>
          <w:rFonts w:ascii="Arial" w:hAnsi="Arial" w:cs="Arial"/>
          <w:color w:val="000000" w:themeColor="text1"/>
        </w:rPr>
        <w:t xml:space="preserve">6817 genes tested </w:t>
      </w:r>
      <w:r w:rsidRPr="002C6F32">
        <w:rPr>
          <w:rFonts w:ascii="Arial" w:hAnsi="Arial" w:cs="Arial"/>
          <w:i/>
          <w:color w:val="000000" w:themeColor="text1"/>
        </w:rPr>
        <w:t>HOXA9</w:t>
      </w:r>
      <w:r w:rsidRPr="002C6F32">
        <w:rPr>
          <w:rFonts w:ascii="Arial" w:hAnsi="Arial" w:cs="Arial"/>
          <w:color w:val="000000" w:themeColor="text1"/>
        </w:rPr>
        <w:t xml:space="preserve"> is the single most highly correlating factor for poor prognosis due to treatment failure in AML </w:t>
      </w:r>
      <w:r w:rsidR="005D547F" w:rsidRPr="002C6F32">
        <w:rPr>
          <w:rFonts w:ascii="Arial" w:hAnsi="Arial" w:cs="Arial"/>
          <w:color w:val="000000" w:themeColor="text1"/>
        </w:rPr>
        <w:t>[</w:t>
      </w:r>
      <w:r w:rsidR="005D547F" w:rsidRPr="002C6F32">
        <w:rPr>
          <w:rFonts w:ascii="Arial" w:hAnsi="Arial" w:cs="Arial"/>
          <w:color w:val="000000" w:themeColor="text1"/>
        </w:rPr>
        <w:fldChar w:fldCharType="begin"/>
      </w:r>
      <w:r w:rsidR="005D547F" w:rsidRPr="002C6F32">
        <w:rPr>
          <w:rFonts w:ascii="Arial" w:hAnsi="Arial" w:cs="Arial"/>
          <w:color w:val="000000" w:themeColor="text1"/>
        </w:rPr>
        <w:instrText xml:space="preserve"> REF BIB_golub1999molecular \* MERGEFORMAT </w:instrText>
      </w:r>
      <w:r w:rsidR="005D547F" w:rsidRPr="002C6F32">
        <w:rPr>
          <w:rFonts w:ascii="Arial" w:hAnsi="Arial" w:cs="Arial"/>
          <w:color w:val="000000" w:themeColor="text1"/>
        </w:rPr>
        <w:fldChar w:fldCharType="separate"/>
      </w:r>
      <w:r w:rsidR="005D547F" w:rsidRPr="002C6F32">
        <w:rPr>
          <w:rFonts w:ascii="Arial" w:hAnsi="Arial" w:cs="Arial"/>
          <w:color w:val="000000" w:themeColor="text1"/>
        </w:rPr>
        <w:t>17</w:t>
      </w:r>
      <w:r w:rsidR="005D547F" w:rsidRPr="002C6F32">
        <w:rPr>
          <w:rFonts w:ascii="Arial" w:hAnsi="Arial" w:cs="Arial"/>
          <w:color w:val="000000" w:themeColor="text1"/>
        </w:rPr>
        <w:fldChar w:fldCharType="end"/>
      </w:r>
      <w:r w:rsidR="005D547F" w:rsidRPr="002C6F32">
        <w:rPr>
          <w:rFonts w:ascii="Arial" w:hAnsi="Arial" w:cs="Arial"/>
          <w:color w:val="000000" w:themeColor="text1"/>
        </w:rPr>
        <w:t>]</w:t>
      </w:r>
      <w:r w:rsidR="00EE4436" w:rsidRPr="002C6F32">
        <w:rPr>
          <w:rFonts w:ascii="Arial" w:hAnsi="Arial" w:cs="Arial"/>
          <w:color w:val="000000" w:themeColor="text1"/>
        </w:rPr>
        <w:t>.</w:t>
      </w:r>
      <w:r w:rsidR="00345C12" w:rsidRPr="002C6F32">
        <w:rPr>
          <w:rFonts w:ascii="Arial" w:hAnsi="Arial" w:cs="Arial"/>
          <w:color w:val="000000" w:themeColor="text1"/>
        </w:rPr>
        <w:t xml:space="preserve"> </w:t>
      </w:r>
      <w:r w:rsidR="00345C12" w:rsidRPr="002C6F32">
        <w:rPr>
          <w:rFonts w:ascii="Arial" w:hAnsi="Arial" w:cs="Arial"/>
          <w:i/>
          <w:iCs/>
          <w:color w:val="000000" w:themeColor="text1"/>
        </w:rPr>
        <w:t>HOXA9</w:t>
      </w:r>
      <w:r w:rsidR="00345C12" w:rsidRPr="002C6F32">
        <w:rPr>
          <w:rFonts w:ascii="Arial" w:hAnsi="Arial" w:cs="Arial"/>
          <w:color w:val="000000" w:themeColor="text1"/>
        </w:rPr>
        <w:t xml:space="preserve"> could be argued to influence clinical characteristics in a continuous way, for example if there was a broad unimodal distribution of </w:t>
      </w:r>
      <w:r w:rsidR="00345C12" w:rsidRPr="002C6F32">
        <w:rPr>
          <w:rFonts w:ascii="Arial" w:hAnsi="Arial" w:cs="Arial"/>
          <w:i/>
          <w:iCs/>
          <w:color w:val="000000" w:themeColor="text1"/>
        </w:rPr>
        <w:t>HOXA9</w:t>
      </w:r>
      <w:r w:rsidR="00345C12" w:rsidRPr="002C6F32">
        <w:rPr>
          <w:rFonts w:ascii="Arial" w:hAnsi="Arial" w:cs="Arial"/>
          <w:color w:val="000000" w:themeColor="text1"/>
        </w:rPr>
        <w:t xml:space="preserve"> expression across patients and if </w:t>
      </w:r>
      <w:r w:rsidR="00345C12" w:rsidRPr="002C6F32">
        <w:rPr>
          <w:rFonts w:ascii="Arial" w:hAnsi="Arial" w:cs="Arial"/>
          <w:i/>
          <w:iCs/>
          <w:color w:val="000000" w:themeColor="text1"/>
        </w:rPr>
        <w:t>HOXA9</w:t>
      </w:r>
      <w:r w:rsidR="00345C12" w:rsidRPr="002C6F32">
        <w:rPr>
          <w:rFonts w:ascii="Arial" w:hAnsi="Arial" w:cs="Arial"/>
          <w:color w:val="000000" w:themeColor="text1"/>
        </w:rPr>
        <w:t xml:space="preserve"> expression correlated with survival. Here we have demonstrated that </w:t>
      </w:r>
      <w:r w:rsidR="007E245D" w:rsidRPr="002C6F32">
        <w:rPr>
          <w:rFonts w:ascii="Arial" w:hAnsi="Arial" w:cs="Arial"/>
          <w:color w:val="000000" w:themeColor="text1"/>
        </w:rPr>
        <w:t xml:space="preserve">instead </w:t>
      </w:r>
      <w:r w:rsidR="00345C12" w:rsidRPr="002C6F32">
        <w:rPr>
          <w:rFonts w:ascii="Arial" w:hAnsi="Arial" w:cs="Arial"/>
          <w:color w:val="000000" w:themeColor="text1"/>
        </w:rPr>
        <w:t>it acts in AML as a discrete switch rather than a spectrum</w:t>
      </w:r>
      <w:r w:rsidR="00830A48" w:rsidRPr="002C6F32">
        <w:rPr>
          <w:rFonts w:ascii="Arial" w:hAnsi="Arial" w:cs="Arial"/>
          <w:color w:val="000000" w:themeColor="text1"/>
        </w:rPr>
        <w:t>. This</w:t>
      </w:r>
      <w:r w:rsidR="00345C12" w:rsidRPr="002C6F32">
        <w:rPr>
          <w:rFonts w:ascii="Arial" w:hAnsi="Arial" w:cs="Arial"/>
          <w:color w:val="000000" w:themeColor="text1"/>
        </w:rPr>
        <w:t xml:space="preserve"> impacts AML clinical characteristics such as classification and survival. </w:t>
      </w:r>
      <w:r w:rsidR="00870577">
        <w:rPr>
          <w:rFonts w:ascii="Arial" w:hAnsi="Arial" w:cs="Arial"/>
          <w:color w:val="000000" w:themeColor="text1"/>
        </w:rPr>
        <w:t xml:space="preserve">We </w:t>
      </w:r>
      <w:r w:rsidR="00C72AD6">
        <w:rPr>
          <w:rFonts w:ascii="Arial" w:hAnsi="Arial" w:cs="Arial"/>
          <w:color w:val="000000" w:themeColor="text1"/>
        </w:rPr>
        <w:t xml:space="preserve">further </w:t>
      </w:r>
      <w:r w:rsidR="00711FDD" w:rsidRPr="002C6F32">
        <w:rPr>
          <w:rFonts w:ascii="Arial" w:hAnsi="Arial" w:cs="Arial"/>
          <w:color w:val="000000" w:themeColor="text1"/>
        </w:rPr>
        <w:t>propose</w:t>
      </w:r>
      <w:r w:rsidR="00182A92" w:rsidRPr="002C6F32">
        <w:rPr>
          <w:rFonts w:ascii="Arial" w:hAnsi="Arial" w:cs="Arial"/>
          <w:color w:val="000000" w:themeColor="text1"/>
        </w:rPr>
        <w:t xml:space="preserve"> </w:t>
      </w:r>
      <w:r w:rsidR="00EE4436" w:rsidRPr="002C6F32">
        <w:rPr>
          <w:rFonts w:ascii="Arial" w:hAnsi="Arial" w:cs="Arial"/>
          <w:color w:val="000000" w:themeColor="text1"/>
        </w:rPr>
        <w:t xml:space="preserve">the prognosis marker role of </w:t>
      </w:r>
      <w:r w:rsidR="003E1982" w:rsidRPr="002C6F32">
        <w:rPr>
          <w:rFonts w:ascii="Arial" w:hAnsi="Arial" w:cs="Arial"/>
          <w:color w:val="000000" w:themeColor="text1"/>
        </w:rPr>
        <w:t xml:space="preserve">the </w:t>
      </w:r>
      <w:r w:rsidR="003E1982" w:rsidRPr="002C6F32">
        <w:rPr>
          <w:rFonts w:ascii="Arial" w:hAnsi="Arial" w:cs="Arial"/>
          <w:i/>
          <w:color w:val="000000" w:themeColor="text1"/>
        </w:rPr>
        <w:t>HOXA9</w:t>
      </w:r>
      <w:r w:rsidR="003E1982" w:rsidRPr="002C6F32">
        <w:rPr>
          <w:rFonts w:ascii="Arial" w:hAnsi="Arial" w:cs="Arial"/>
          <w:color w:val="000000" w:themeColor="text1"/>
        </w:rPr>
        <w:t xml:space="preserve"> </w:t>
      </w:r>
      <w:r w:rsidRPr="002C6F32">
        <w:rPr>
          <w:rFonts w:ascii="Arial" w:hAnsi="Arial" w:cs="Arial"/>
          <w:color w:val="000000" w:themeColor="text1"/>
        </w:rPr>
        <w:t xml:space="preserve">gene to another blood disorder, MPN. </w:t>
      </w:r>
      <w:r w:rsidR="006706B1" w:rsidRPr="002C6F32">
        <w:rPr>
          <w:rFonts w:ascii="Arial" w:hAnsi="Arial" w:cs="Arial"/>
          <w:color w:val="000000" w:themeColor="text1"/>
        </w:rPr>
        <w:t xml:space="preserve">While </w:t>
      </w:r>
      <w:r w:rsidR="006706B1" w:rsidRPr="002C6F32">
        <w:rPr>
          <w:rFonts w:ascii="Arial" w:hAnsi="Arial" w:cs="Arial"/>
          <w:i/>
          <w:iCs/>
          <w:color w:val="000000" w:themeColor="text1"/>
        </w:rPr>
        <w:t>HOXA9</w:t>
      </w:r>
      <w:r w:rsidR="006706B1" w:rsidRPr="002C6F32">
        <w:rPr>
          <w:rFonts w:ascii="Arial" w:hAnsi="Arial" w:cs="Arial"/>
          <w:color w:val="000000" w:themeColor="text1"/>
        </w:rPr>
        <w:t xml:space="preserve"> loss and overexpression are detrimental for normal cell development </w:t>
      </w:r>
      <w:r w:rsidR="005D547F" w:rsidRPr="002C6F32">
        <w:rPr>
          <w:rFonts w:ascii="Arial" w:hAnsi="Arial" w:cs="Arial"/>
          <w:color w:val="000000" w:themeColor="text1"/>
        </w:rPr>
        <w:t>[</w:t>
      </w:r>
      <w:r w:rsidR="005D547F" w:rsidRPr="002C6F32">
        <w:rPr>
          <w:rFonts w:ascii="Arial" w:hAnsi="Arial" w:cs="Arial"/>
          <w:color w:val="000000" w:themeColor="text1"/>
        </w:rPr>
        <w:fldChar w:fldCharType="begin"/>
      </w:r>
      <w:r w:rsidR="005D547F" w:rsidRPr="002C6F32">
        <w:rPr>
          <w:rFonts w:ascii="Arial" w:hAnsi="Arial" w:cs="Arial"/>
          <w:color w:val="000000" w:themeColor="text1"/>
        </w:rPr>
        <w:instrText xml:space="preserve"> REF BIB_bhatlekar2014hox \* MERGEFORMAT </w:instrText>
      </w:r>
      <w:r w:rsidR="005D547F" w:rsidRPr="002C6F32">
        <w:rPr>
          <w:rFonts w:ascii="Arial" w:hAnsi="Arial" w:cs="Arial"/>
          <w:color w:val="000000" w:themeColor="text1"/>
        </w:rPr>
        <w:fldChar w:fldCharType="separate"/>
      </w:r>
      <w:r w:rsidR="005D547F" w:rsidRPr="002C6F32">
        <w:rPr>
          <w:rFonts w:ascii="Arial" w:hAnsi="Arial" w:cs="Arial"/>
          <w:color w:val="000000" w:themeColor="text1"/>
        </w:rPr>
        <w:t>16</w:t>
      </w:r>
      <w:r w:rsidR="005D547F" w:rsidRPr="002C6F32">
        <w:rPr>
          <w:rFonts w:ascii="Arial" w:hAnsi="Arial" w:cs="Arial"/>
          <w:color w:val="000000" w:themeColor="text1"/>
        </w:rPr>
        <w:fldChar w:fldCharType="end"/>
      </w:r>
      <w:r w:rsidR="005D547F" w:rsidRPr="002C6F32">
        <w:rPr>
          <w:rFonts w:ascii="Arial" w:hAnsi="Arial" w:cs="Arial"/>
          <w:color w:val="000000" w:themeColor="text1"/>
        </w:rPr>
        <w:t>]</w:t>
      </w:r>
      <w:r w:rsidR="006706B1" w:rsidRPr="002C6F32">
        <w:rPr>
          <w:rFonts w:ascii="Arial" w:hAnsi="Arial" w:cs="Arial"/>
          <w:color w:val="000000" w:themeColor="text1"/>
        </w:rPr>
        <w:t xml:space="preserve">, our model assumes an intermediate activity for </w:t>
      </w:r>
      <w:r w:rsidR="006706B1" w:rsidRPr="002C6F32">
        <w:rPr>
          <w:rFonts w:ascii="Arial" w:hAnsi="Arial" w:cs="Arial"/>
          <w:i/>
          <w:iCs/>
          <w:color w:val="000000" w:themeColor="text1"/>
        </w:rPr>
        <w:t>HOXA9</w:t>
      </w:r>
      <w:r w:rsidR="006706B1" w:rsidRPr="002C6F32">
        <w:rPr>
          <w:rFonts w:ascii="Arial" w:hAnsi="Arial" w:cs="Arial"/>
          <w:color w:val="000000" w:themeColor="text1"/>
        </w:rPr>
        <w:t xml:space="preserve"> in the healthy state. </w:t>
      </w:r>
      <w:r w:rsidRPr="002C6F32">
        <w:rPr>
          <w:rFonts w:ascii="Arial" w:hAnsi="Arial" w:cs="Arial"/>
          <w:color w:val="000000" w:themeColor="text1"/>
        </w:rPr>
        <w:t>We show that i</w:t>
      </w:r>
      <w:r w:rsidRPr="00B854A1">
        <w:rPr>
          <w:rFonts w:ascii="Arial" w:hAnsi="Arial" w:cs="Arial"/>
          <w:color w:val="000000" w:themeColor="text1"/>
        </w:rPr>
        <w:t xml:space="preserve">n MPN diseases with </w:t>
      </w:r>
      <w:r w:rsidRPr="00B854A1">
        <w:rPr>
          <w:rFonts w:ascii="Arial" w:hAnsi="Arial" w:cs="Arial"/>
          <w:i/>
          <w:color w:val="000000" w:themeColor="text1"/>
        </w:rPr>
        <w:t>JAK2</w:t>
      </w:r>
      <w:r w:rsidRPr="00B854A1">
        <w:rPr>
          <w:rFonts w:ascii="Arial" w:hAnsi="Arial" w:cs="Arial"/>
          <w:color w:val="000000" w:themeColor="text1"/>
        </w:rPr>
        <w:t>/</w:t>
      </w:r>
      <w:r w:rsidRPr="00B854A1">
        <w:rPr>
          <w:rFonts w:ascii="Arial" w:hAnsi="Arial" w:cs="Arial"/>
          <w:i/>
          <w:color w:val="000000" w:themeColor="text1"/>
        </w:rPr>
        <w:t>TET2</w:t>
      </w:r>
      <w:r w:rsidRPr="00B854A1">
        <w:rPr>
          <w:rFonts w:ascii="Arial" w:hAnsi="Arial" w:cs="Arial"/>
          <w:color w:val="000000" w:themeColor="text1"/>
        </w:rPr>
        <w:t xml:space="preserve"> mutations, </w:t>
      </w:r>
      <w:r w:rsidRPr="00B854A1">
        <w:rPr>
          <w:rFonts w:ascii="Arial" w:hAnsi="Arial" w:cs="Arial"/>
          <w:i/>
          <w:color w:val="000000" w:themeColor="text1"/>
        </w:rPr>
        <w:t>HOXA9</w:t>
      </w:r>
      <w:r w:rsidRPr="00B854A1">
        <w:rPr>
          <w:rFonts w:ascii="Arial" w:hAnsi="Arial" w:cs="Arial"/>
          <w:color w:val="000000" w:themeColor="text1"/>
        </w:rPr>
        <w:t xml:space="preserve"> high expression is found in the </w:t>
      </w:r>
      <w:r w:rsidRPr="00B854A1">
        <w:rPr>
          <w:rFonts w:ascii="Arial" w:hAnsi="Arial" w:cs="Arial"/>
          <w:i/>
          <w:color w:val="000000" w:themeColor="text1"/>
        </w:rPr>
        <w:t>JAK2</w:t>
      </w:r>
      <w:r w:rsidRPr="00B854A1">
        <w:rPr>
          <w:rFonts w:ascii="Arial" w:hAnsi="Arial" w:cs="Arial"/>
          <w:color w:val="000000" w:themeColor="text1"/>
        </w:rPr>
        <w:t xml:space="preserve"> first patients while </w:t>
      </w:r>
      <w:r w:rsidRPr="00B854A1">
        <w:rPr>
          <w:rFonts w:ascii="Arial" w:hAnsi="Arial" w:cs="Arial"/>
          <w:i/>
          <w:color w:val="000000" w:themeColor="text1"/>
        </w:rPr>
        <w:t>TET2</w:t>
      </w:r>
      <w:r w:rsidRPr="00B854A1">
        <w:rPr>
          <w:rFonts w:ascii="Arial" w:hAnsi="Arial" w:cs="Arial"/>
          <w:color w:val="000000" w:themeColor="text1"/>
        </w:rPr>
        <w:t xml:space="preserve"> first patients display lower </w:t>
      </w:r>
      <w:r w:rsidRPr="00B854A1">
        <w:rPr>
          <w:rFonts w:ascii="Arial" w:hAnsi="Arial" w:cs="Arial"/>
          <w:i/>
          <w:color w:val="000000" w:themeColor="text1"/>
        </w:rPr>
        <w:t>HOXA9</w:t>
      </w:r>
      <w:r w:rsidRPr="00B854A1">
        <w:rPr>
          <w:rFonts w:ascii="Arial" w:hAnsi="Arial" w:cs="Arial"/>
          <w:color w:val="000000" w:themeColor="text1"/>
        </w:rPr>
        <w:t xml:space="preserve"> expression. As </w:t>
      </w:r>
      <w:r w:rsidRPr="00B854A1">
        <w:rPr>
          <w:rFonts w:ascii="Arial" w:hAnsi="Arial" w:cs="Arial"/>
          <w:i/>
          <w:color w:val="000000" w:themeColor="text1"/>
        </w:rPr>
        <w:t>JAK2</w:t>
      </w:r>
      <w:r w:rsidRPr="00B854A1">
        <w:rPr>
          <w:rFonts w:ascii="Arial" w:hAnsi="Arial" w:cs="Arial"/>
          <w:color w:val="000000" w:themeColor="text1"/>
        </w:rPr>
        <w:t xml:space="preserve"> first patients have a higher risk of developing thrombosis compared to </w:t>
      </w:r>
      <w:r w:rsidRPr="00B854A1">
        <w:rPr>
          <w:rFonts w:ascii="Arial" w:hAnsi="Arial" w:cs="Arial"/>
          <w:i/>
          <w:color w:val="000000" w:themeColor="text1"/>
        </w:rPr>
        <w:t>TET2</w:t>
      </w:r>
      <w:r w:rsidRPr="00B854A1">
        <w:rPr>
          <w:rFonts w:ascii="Arial" w:hAnsi="Arial" w:cs="Arial"/>
          <w:color w:val="000000" w:themeColor="text1"/>
        </w:rPr>
        <w:t xml:space="preserve"> first patients, </w:t>
      </w:r>
      <w:r w:rsidR="003E65E7" w:rsidRPr="00B854A1">
        <w:rPr>
          <w:rFonts w:ascii="Arial" w:hAnsi="Arial" w:cs="Arial"/>
          <w:color w:val="000000" w:themeColor="text1"/>
        </w:rPr>
        <w:t>and as</w:t>
      </w:r>
      <w:r w:rsidR="00EE4436" w:rsidRPr="00B854A1">
        <w:rPr>
          <w:rFonts w:ascii="Arial" w:hAnsi="Arial" w:cs="Arial"/>
          <w:color w:val="000000" w:themeColor="text1"/>
        </w:rPr>
        <w:t xml:space="preserve"> </w:t>
      </w:r>
      <w:r w:rsidR="003E65E7" w:rsidRPr="00B854A1">
        <w:rPr>
          <w:rFonts w:ascii="Arial" w:hAnsi="Arial" w:cs="Arial"/>
          <w:color w:val="000000" w:themeColor="text1"/>
        </w:rPr>
        <w:t>t</w:t>
      </w:r>
      <w:r w:rsidR="00EE4436" w:rsidRPr="00B854A1">
        <w:rPr>
          <w:rFonts w:ascii="Arial" w:hAnsi="Arial" w:cs="Arial"/>
          <w:color w:val="000000" w:themeColor="text1"/>
        </w:rPr>
        <w:t>hrombo</w:t>
      </w:r>
      <w:r w:rsidR="003E65E7" w:rsidRPr="00B854A1">
        <w:rPr>
          <w:rFonts w:ascii="Arial" w:hAnsi="Arial" w:cs="Arial"/>
          <w:color w:val="000000" w:themeColor="text1"/>
        </w:rPr>
        <w:t>tic events</w:t>
      </w:r>
      <w:r w:rsidR="00EE4436" w:rsidRPr="00B854A1">
        <w:rPr>
          <w:rFonts w:ascii="Arial" w:hAnsi="Arial" w:cs="Arial"/>
          <w:color w:val="000000" w:themeColor="text1"/>
        </w:rPr>
        <w:t xml:space="preserve"> </w:t>
      </w:r>
      <w:r w:rsidR="003E65E7" w:rsidRPr="00B854A1">
        <w:rPr>
          <w:rFonts w:ascii="Arial" w:hAnsi="Arial" w:cs="Arial"/>
          <w:color w:val="000000" w:themeColor="text1"/>
        </w:rPr>
        <w:t>are the main</w:t>
      </w:r>
      <w:r w:rsidR="00EE4436" w:rsidRPr="00B854A1">
        <w:rPr>
          <w:rFonts w:ascii="Arial" w:hAnsi="Arial" w:cs="Arial"/>
          <w:color w:val="000000" w:themeColor="text1"/>
        </w:rPr>
        <w:t xml:space="preserve"> cause</w:t>
      </w:r>
      <w:r w:rsidR="003E65E7" w:rsidRPr="00B854A1">
        <w:rPr>
          <w:rFonts w:ascii="Arial" w:hAnsi="Arial" w:cs="Arial"/>
          <w:color w:val="000000" w:themeColor="text1"/>
        </w:rPr>
        <w:t>s</w:t>
      </w:r>
      <w:r w:rsidR="00EE4436" w:rsidRPr="00B854A1">
        <w:rPr>
          <w:rFonts w:ascii="Arial" w:hAnsi="Arial" w:cs="Arial"/>
          <w:color w:val="000000" w:themeColor="text1"/>
        </w:rPr>
        <w:t xml:space="preserve"> of death </w:t>
      </w:r>
      <w:r w:rsidR="003E65E7" w:rsidRPr="00B854A1">
        <w:rPr>
          <w:rFonts w:ascii="Arial" w:hAnsi="Arial" w:cs="Arial"/>
          <w:color w:val="000000" w:themeColor="text1"/>
        </w:rPr>
        <w:t xml:space="preserve">in </w:t>
      </w:r>
      <w:r w:rsidR="00EE4436" w:rsidRPr="00B854A1">
        <w:rPr>
          <w:rFonts w:ascii="Arial" w:hAnsi="Arial" w:cs="Arial"/>
          <w:color w:val="000000" w:themeColor="text1"/>
        </w:rPr>
        <w:t xml:space="preserve">MPNs patients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BIB_cervantes2008life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53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EE4436" w:rsidRPr="00B854A1">
        <w:rPr>
          <w:rFonts w:ascii="Arial" w:hAnsi="Arial" w:cs="Arial"/>
          <w:color w:val="000000" w:themeColor="text1"/>
        </w:rPr>
        <w:t xml:space="preserve">, </w:t>
      </w:r>
      <w:r w:rsidRPr="00B854A1">
        <w:rPr>
          <w:rFonts w:ascii="Arial" w:hAnsi="Arial" w:cs="Arial"/>
          <w:color w:val="000000" w:themeColor="text1"/>
        </w:rPr>
        <w:t xml:space="preserve">this </w:t>
      </w:r>
      <w:r w:rsidR="000666E4" w:rsidRPr="00B854A1">
        <w:rPr>
          <w:rFonts w:ascii="Arial" w:hAnsi="Arial" w:cs="Arial"/>
          <w:color w:val="000000" w:themeColor="text1"/>
        </w:rPr>
        <w:t xml:space="preserve">further </w:t>
      </w:r>
      <w:r w:rsidRPr="00B854A1">
        <w:rPr>
          <w:rFonts w:ascii="Arial" w:hAnsi="Arial" w:cs="Arial"/>
          <w:color w:val="000000" w:themeColor="text1"/>
        </w:rPr>
        <w:t xml:space="preserve">suggests a </w:t>
      </w:r>
      <w:r w:rsidR="00EE4436" w:rsidRPr="00B854A1">
        <w:rPr>
          <w:rFonts w:ascii="Arial" w:hAnsi="Arial" w:cs="Arial"/>
          <w:color w:val="000000" w:themeColor="text1"/>
        </w:rPr>
        <w:t xml:space="preserve">deleterious influence of </w:t>
      </w:r>
      <w:r w:rsidR="00EE4436" w:rsidRPr="00B854A1">
        <w:rPr>
          <w:rFonts w:ascii="Arial" w:hAnsi="Arial" w:cs="Arial"/>
          <w:i/>
          <w:color w:val="000000" w:themeColor="text1"/>
        </w:rPr>
        <w:t>HOXA9</w:t>
      </w:r>
      <w:r w:rsidR="00EE4436" w:rsidRPr="00B854A1">
        <w:rPr>
          <w:rFonts w:ascii="Arial" w:hAnsi="Arial" w:cs="Arial"/>
          <w:color w:val="000000" w:themeColor="text1"/>
        </w:rPr>
        <w:t xml:space="preserve"> high expression on patient clinical outcomes in another </w:t>
      </w:r>
      <w:r w:rsidRPr="00B854A1">
        <w:rPr>
          <w:rFonts w:ascii="Arial" w:hAnsi="Arial" w:cs="Arial"/>
          <w:color w:val="000000" w:themeColor="text1"/>
        </w:rPr>
        <w:t>myeloid</w:t>
      </w:r>
      <w:r w:rsidR="00EE4436" w:rsidRPr="00B854A1">
        <w:rPr>
          <w:rFonts w:ascii="Arial" w:hAnsi="Arial" w:cs="Arial"/>
          <w:color w:val="000000" w:themeColor="text1"/>
        </w:rPr>
        <w:t xml:space="preserve"> disease and emphasise</w:t>
      </w:r>
      <w:r w:rsidR="003E65E7" w:rsidRPr="00B854A1">
        <w:rPr>
          <w:rFonts w:ascii="Arial" w:hAnsi="Arial" w:cs="Arial"/>
          <w:color w:val="000000" w:themeColor="text1"/>
        </w:rPr>
        <w:t xml:space="preserve"> the role of </w:t>
      </w:r>
      <w:r w:rsidR="00EE4436" w:rsidRPr="00B854A1">
        <w:rPr>
          <w:rFonts w:ascii="Arial" w:hAnsi="Arial" w:cs="Arial"/>
          <w:i/>
          <w:color w:val="000000" w:themeColor="text1"/>
        </w:rPr>
        <w:t>HOXA9</w:t>
      </w:r>
      <w:r w:rsidR="00EE4436" w:rsidRPr="00B854A1">
        <w:rPr>
          <w:rFonts w:ascii="Arial" w:hAnsi="Arial" w:cs="Arial"/>
          <w:color w:val="000000" w:themeColor="text1"/>
        </w:rPr>
        <w:t xml:space="preserve"> as a</w:t>
      </w:r>
      <w:r w:rsidR="006706B1" w:rsidRPr="00B854A1">
        <w:rPr>
          <w:rFonts w:ascii="Arial" w:hAnsi="Arial" w:cs="Arial"/>
          <w:color w:val="000000" w:themeColor="text1"/>
        </w:rPr>
        <w:t xml:space="preserve"> marker of poor</w:t>
      </w:r>
      <w:r w:rsidR="00EE4436" w:rsidRPr="00B854A1">
        <w:rPr>
          <w:rFonts w:ascii="Arial" w:hAnsi="Arial" w:cs="Arial"/>
          <w:color w:val="000000" w:themeColor="text1"/>
        </w:rPr>
        <w:t xml:space="preserve"> prognosis in blood malignancies.</w:t>
      </w:r>
    </w:p>
    <w:p w14:paraId="11F523DC" w14:textId="77777777" w:rsidR="00EE4436" w:rsidRPr="00B854A1" w:rsidRDefault="00EE4436" w:rsidP="00DB48C8">
      <w:pPr>
        <w:pBdr>
          <w:top w:val="nil"/>
          <w:left w:val="nil"/>
          <w:bottom w:val="nil"/>
          <w:right w:val="nil"/>
          <w:between w:val="nil"/>
        </w:pBdr>
        <w:spacing w:after="0" w:line="480" w:lineRule="auto"/>
        <w:contextualSpacing/>
        <w:jc w:val="both"/>
        <w:rPr>
          <w:rFonts w:ascii="Arial" w:hAnsi="Arial" w:cs="Arial"/>
          <w:color w:val="000000" w:themeColor="text1"/>
        </w:rPr>
      </w:pPr>
    </w:p>
    <w:p w14:paraId="0C9766DB" w14:textId="186DC7E3" w:rsidR="00BC3F52" w:rsidRDefault="00622D26" w:rsidP="004348F7">
      <w:pPr>
        <w:pBdr>
          <w:top w:val="nil"/>
          <w:left w:val="nil"/>
          <w:bottom w:val="nil"/>
          <w:right w:val="nil"/>
          <w:between w:val="nil"/>
        </w:pBdr>
        <w:spacing w:after="0" w:line="480" w:lineRule="auto"/>
        <w:contextualSpacing/>
        <w:jc w:val="both"/>
        <w:rPr>
          <w:rFonts w:ascii="Arial" w:hAnsi="Arial" w:cs="Arial"/>
          <w:color w:val="000000" w:themeColor="text1"/>
        </w:rPr>
      </w:pPr>
      <w:r w:rsidRPr="00B854A1">
        <w:rPr>
          <w:rFonts w:ascii="Arial" w:hAnsi="Arial" w:cs="Arial"/>
          <w:color w:val="000000" w:themeColor="text1"/>
        </w:rPr>
        <w:t xml:space="preserve">In addition to </w:t>
      </w:r>
      <w:r w:rsidR="00AB7ACC" w:rsidRPr="00B854A1">
        <w:rPr>
          <w:rFonts w:ascii="Arial" w:hAnsi="Arial" w:cs="Arial"/>
          <w:color w:val="000000" w:themeColor="text1"/>
        </w:rPr>
        <w:t xml:space="preserve">providing </w:t>
      </w:r>
      <w:r w:rsidRPr="00B854A1">
        <w:rPr>
          <w:rFonts w:ascii="Arial" w:hAnsi="Arial" w:cs="Arial"/>
          <w:color w:val="000000" w:themeColor="text1"/>
        </w:rPr>
        <w:t xml:space="preserve">insights into the </w:t>
      </w:r>
      <w:r w:rsidR="00166FFC" w:rsidRPr="00B854A1">
        <w:rPr>
          <w:rFonts w:ascii="Arial" w:hAnsi="Arial" w:cs="Arial"/>
          <w:color w:val="000000" w:themeColor="text1"/>
        </w:rPr>
        <w:t>regulatory</w:t>
      </w:r>
      <w:r w:rsidRPr="00B854A1">
        <w:rPr>
          <w:rFonts w:ascii="Arial" w:hAnsi="Arial" w:cs="Arial"/>
          <w:color w:val="000000" w:themeColor="text1"/>
        </w:rPr>
        <w:t xml:space="preserve"> control of cancer cell fate through </w:t>
      </w:r>
      <w:r w:rsidRPr="00B854A1">
        <w:rPr>
          <w:rFonts w:ascii="Arial" w:hAnsi="Arial" w:cs="Arial"/>
          <w:i/>
          <w:color w:val="000000" w:themeColor="text1"/>
        </w:rPr>
        <w:t>HOXA9</w:t>
      </w:r>
      <w:r w:rsidRPr="00B854A1">
        <w:rPr>
          <w:rFonts w:ascii="Arial" w:hAnsi="Arial" w:cs="Arial"/>
          <w:color w:val="000000" w:themeColor="text1"/>
        </w:rPr>
        <w:t>, our</w:t>
      </w:r>
      <w:r w:rsidR="003E65E7" w:rsidRPr="00B854A1">
        <w:rPr>
          <w:rFonts w:ascii="Arial" w:hAnsi="Arial" w:cs="Arial"/>
          <w:color w:val="000000" w:themeColor="text1"/>
        </w:rPr>
        <w:t xml:space="preserve"> </w:t>
      </w:r>
      <w:r w:rsidR="00FE75B6" w:rsidRPr="00B854A1">
        <w:rPr>
          <w:rFonts w:ascii="Arial" w:hAnsi="Arial" w:cs="Arial"/>
          <w:color w:val="000000" w:themeColor="text1"/>
        </w:rPr>
        <w:t xml:space="preserve">computational network </w:t>
      </w:r>
      <w:r w:rsidR="003E65E7" w:rsidRPr="00B854A1">
        <w:rPr>
          <w:rFonts w:ascii="Arial" w:hAnsi="Arial" w:cs="Arial"/>
          <w:color w:val="000000" w:themeColor="text1"/>
        </w:rPr>
        <w:lastRenderedPageBreak/>
        <w:t>model recapitulates the disease symptoms using well-known hematopoietic transcription factors. Further investigations o</w:t>
      </w:r>
      <w:r w:rsidR="008B0A4A" w:rsidRPr="00B854A1">
        <w:rPr>
          <w:rFonts w:ascii="Arial" w:hAnsi="Arial" w:cs="Arial"/>
          <w:color w:val="000000" w:themeColor="text1"/>
        </w:rPr>
        <w:t>f</w:t>
      </w:r>
      <w:r w:rsidR="003E65E7" w:rsidRPr="00B854A1">
        <w:rPr>
          <w:rFonts w:ascii="Arial" w:hAnsi="Arial" w:cs="Arial"/>
          <w:color w:val="000000" w:themeColor="text1"/>
        </w:rPr>
        <w:t xml:space="preserve"> these genes could benefit clinicians by designing new drugs or applying already existing treatments to reduce symptoms and the risk of developing blast phase MPN.</w:t>
      </w:r>
      <w:r w:rsidR="00052BB8" w:rsidRPr="00B854A1">
        <w:rPr>
          <w:rFonts w:ascii="Arial" w:hAnsi="Arial" w:cs="Arial"/>
          <w:color w:val="000000" w:themeColor="text1"/>
        </w:rPr>
        <w:t xml:space="preserve"> In addition to the specific claims of the model, several other clinical implications arise. W</w:t>
      </w:r>
      <w:r w:rsidR="00C33D0F" w:rsidRPr="00B854A1">
        <w:rPr>
          <w:rFonts w:ascii="Arial" w:hAnsi="Arial" w:cs="Arial"/>
          <w:color w:val="000000" w:themeColor="text1"/>
        </w:rPr>
        <w:t xml:space="preserve">hilst </w:t>
      </w:r>
      <w:r w:rsidR="003E65E7" w:rsidRPr="00B854A1">
        <w:rPr>
          <w:rFonts w:ascii="Arial" w:hAnsi="Arial" w:cs="Arial"/>
          <w:i/>
          <w:color w:val="000000" w:themeColor="text1"/>
        </w:rPr>
        <w:t>JAK2</w:t>
      </w:r>
      <w:r w:rsidR="003E65E7" w:rsidRPr="00B854A1">
        <w:rPr>
          <w:rFonts w:ascii="Arial" w:hAnsi="Arial" w:cs="Arial"/>
          <w:color w:val="000000" w:themeColor="text1"/>
        </w:rPr>
        <w:t xml:space="preserve"> is the main driver mutation found in all MPN patients, different </w:t>
      </w:r>
      <w:r w:rsidR="00B75BD1" w:rsidRPr="00B854A1">
        <w:rPr>
          <w:rFonts w:ascii="Arial" w:hAnsi="Arial" w:cs="Arial"/>
          <w:color w:val="000000" w:themeColor="text1"/>
        </w:rPr>
        <w:t xml:space="preserve">diseases </w:t>
      </w:r>
      <w:r w:rsidR="003E65E7" w:rsidRPr="00B854A1">
        <w:rPr>
          <w:rFonts w:ascii="Arial" w:hAnsi="Arial" w:cs="Arial"/>
          <w:color w:val="000000" w:themeColor="text1"/>
        </w:rPr>
        <w:t xml:space="preserve">with distinct clinical traits can be observed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BIB_levine2005activating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34</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3E65E7" w:rsidRPr="00B854A1">
        <w:rPr>
          <w:rFonts w:ascii="Arial" w:hAnsi="Arial" w:cs="Arial"/>
          <w:color w:val="000000" w:themeColor="text1"/>
        </w:rPr>
        <w:t xml:space="preserve">. Until now, the </w:t>
      </w:r>
      <w:r w:rsidR="00C33D0F" w:rsidRPr="00B854A1">
        <w:rPr>
          <w:rFonts w:ascii="Arial" w:hAnsi="Arial" w:cs="Arial"/>
          <w:color w:val="000000" w:themeColor="text1"/>
        </w:rPr>
        <w:t>source of</w:t>
      </w:r>
      <w:r w:rsidR="003E65E7" w:rsidRPr="00B854A1">
        <w:rPr>
          <w:rFonts w:ascii="Arial" w:hAnsi="Arial" w:cs="Arial"/>
          <w:color w:val="000000" w:themeColor="text1"/>
        </w:rPr>
        <w:t xml:space="preserve"> this clinical diversity following </w:t>
      </w:r>
      <w:r w:rsidR="003E65E7" w:rsidRPr="00B854A1">
        <w:rPr>
          <w:rFonts w:ascii="Arial" w:hAnsi="Arial" w:cs="Arial"/>
          <w:i/>
          <w:color w:val="000000" w:themeColor="text1"/>
        </w:rPr>
        <w:t>JAK2</w:t>
      </w:r>
      <w:r w:rsidR="003E65E7" w:rsidRPr="00B854A1">
        <w:rPr>
          <w:rFonts w:ascii="Arial" w:hAnsi="Arial" w:cs="Arial"/>
          <w:color w:val="000000" w:themeColor="text1"/>
        </w:rPr>
        <w:t xml:space="preserve"> mutation was unclear. Here, we demonstrate that patients who first had a </w:t>
      </w:r>
      <w:r w:rsidR="003E65E7" w:rsidRPr="00B854A1">
        <w:rPr>
          <w:rFonts w:ascii="Arial" w:hAnsi="Arial" w:cs="Arial"/>
          <w:i/>
          <w:color w:val="000000" w:themeColor="text1"/>
        </w:rPr>
        <w:t>TET2</w:t>
      </w:r>
      <w:r w:rsidR="003E65E7" w:rsidRPr="00B854A1">
        <w:rPr>
          <w:rFonts w:ascii="Arial" w:hAnsi="Arial" w:cs="Arial"/>
          <w:color w:val="000000" w:themeColor="text1"/>
        </w:rPr>
        <w:t xml:space="preserve"> mutation have a reduced number of erythroid cells as a result of </w:t>
      </w:r>
      <w:r w:rsidR="003E65E7" w:rsidRPr="00B854A1">
        <w:rPr>
          <w:rFonts w:ascii="Arial" w:hAnsi="Arial" w:cs="Arial"/>
          <w:i/>
          <w:color w:val="000000" w:themeColor="text1"/>
        </w:rPr>
        <w:t>TET2</w:t>
      </w:r>
      <w:r w:rsidR="003E65E7" w:rsidRPr="00B854A1">
        <w:rPr>
          <w:rFonts w:ascii="Arial" w:hAnsi="Arial" w:cs="Arial"/>
          <w:color w:val="000000" w:themeColor="text1"/>
        </w:rPr>
        <w:t xml:space="preserve"> indirect downregulation of </w:t>
      </w:r>
      <w:r w:rsidR="003E65E7" w:rsidRPr="00B854A1">
        <w:rPr>
          <w:rFonts w:ascii="Arial" w:hAnsi="Arial" w:cs="Arial"/>
          <w:i/>
          <w:color w:val="000000" w:themeColor="text1"/>
        </w:rPr>
        <w:t>GATA1</w:t>
      </w:r>
      <w:r w:rsidR="003E65E7" w:rsidRPr="00B854A1">
        <w:rPr>
          <w:rFonts w:ascii="Arial" w:hAnsi="Arial" w:cs="Arial"/>
          <w:color w:val="000000" w:themeColor="text1"/>
        </w:rPr>
        <w:t xml:space="preserve"> and </w:t>
      </w:r>
      <w:r w:rsidR="003E65E7" w:rsidRPr="00B854A1">
        <w:rPr>
          <w:rFonts w:ascii="Arial" w:hAnsi="Arial" w:cs="Arial"/>
          <w:i/>
          <w:color w:val="000000" w:themeColor="text1"/>
        </w:rPr>
        <w:t>KLF1</w:t>
      </w:r>
      <w:r w:rsidR="0097105F" w:rsidRPr="00B854A1">
        <w:rPr>
          <w:rFonts w:ascii="Arial" w:hAnsi="Arial" w:cs="Arial"/>
          <w:i/>
          <w:color w:val="000000" w:themeColor="text1"/>
        </w:rPr>
        <w:t>,</w:t>
      </w:r>
      <w:r w:rsidR="003E65E7" w:rsidRPr="00B854A1">
        <w:rPr>
          <w:rFonts w:ascii="Arial" w:hAnsi="Arial" w:cs="Arial"/>
          <w:color w:val="000000" w:themeColor="text1"/>
        </w:rPr>
        <w:t xml:space="preserve"> which </w:t>
      </w:r>
      <w:r w:rsidR="00C33D0F" w:rsidRPr="00B854A1">
        <w:rPr>
          <w:rFonts w:ascii="Arial" w:hAnsi="Arial" w:cs="Arial"/>
          <w:color w:val="000000" w:themeColor="text1"/>
        </w:rPr>
        <w:t>explain</w:t>
      </w:r>
      <w:r w:rsidR="0097105F" w:rsidRPr="00B854A1">
        <w:rPr>
          <w:rFonts w:ascii="Arial" w:hAnsi="Arial" w:cs="Arial"/>
          <w:color w:val="000000" w:themeColor="text1"/>
        </w:rPr>
        <w:t>s</w:t>
      </w:r>
      <w:r w:rsidR="003E65E7" w:rsidRPr="00B854A1">
        <w:rPr>
          <w:rFonts w:ascii="Arial" w:hAnsi="Arial" w:cs="Arial"/>
          <w:color w:val="000000" w:themeColor="text1"/>
        </w:rPr>
        <w:t xml:space="preserve"> the reduced number of PV diseases in </w:t>
      </w:r>
      <w:r w:rsidR="003E65E7" w:rsidRPr="00B854A1">
        <w:rPr>
          <w:rFonts w:ascii="Arial" w:hAnsi="Arial" w:cs="Arial"/>
          <w:i/>
          <w:color w:val="000000" w:themeColor="text1"/>
        </w:rPr>
        <w:t>TET2</w:t>
      </w:r>
      <w:r w:rsidR="003E65E7" w:rsidRPr="00B854A1">
        <w:rPr>
          <w:rFonts w:ascii="Arial" w:hAnsi="Arial" w:cs="Arial"/>
          <w:color w:val="000000" w:themeColor="text1"/>
        </w:rPr>
        <w:t xml:space="preserve"> first patients despite the presence of </w:t>
      </w:r>
      <w:r w:rsidR="003E65E7" w:rsidRPr="00B854A1">
        <w:rPr>
          <w:rFonts w:ascii="Arial" w:hAnsi="Arial" w:cs="Arial"/>
          <w:i/>
          <w:color w:val="000000" w:themeColor="text1"/>
        </w:rPr>
        <w:t>JAK2</w:t>
      </w:r>
      <w:r w:rsidR="003E65E7" w:rsidRPr="00B854A1">
        <w:rPr>
          <w:rFonts w:ascii="Arial" w:hAnsi="Arial" w:cs="Arial"/>
          <w:color w:val="000000" w:themeColor="text1"/>
        </w:rPr>
        <w:t xml:space="preserve"> mutation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BIB_ortmann2015effect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3E65E7" w:rsidRPr="00B854A1">
        <w:rPr>
          <w:rFonts w:ascii="Arial" w:hAnsi="Arial" w:cs="Arial"/>
          <w:color w:val="000000" w:themeColor="text1"/>
        </w:rPr>
        <w:t xml:space="preserve">. While </w:t>
      </w:r>
      <w:r w:rsidR="003E65E7" w:rsidRPr="00B854A1">
        <w:rPr>
          <w:rFonts w:ascii="Arial" w:hAnsi="Arial" w:cs="Arial"/>
          <w:i/>
          <w:color w:val="000000" w:themeColor="text1"/>
        </w:rPr>
        <w:t>JAK2</w:t>
      </w:r>
      <w:r w:rsidR="003E65E7" w:rsidRPr="00B854A1">
        <w:rPr>
          <w:rFonts w:ascii="Arial" w:hAnsi="Arial" w:cs="Arial"/>
          <w:color w:val="000000" w:themeColor="text1"/>
        </w:rPr>
        <w:t xml:space="preserve"> </w:t>
      </w:r>
      <w:r w:rsidR="0052312A" w:rsidRPr="00B854A1">
        <w:rPr>
          <w:rFonts w:ascii="Arial" w:hAnsi="Arial" w:cs="Arial"/>
          <w:color w:val="000000" w:themeColor="text1"/>
        </w:rPr>
        <w:t>dysregulation</w:t>
      </w:r>
      <w:r w:rsidR="003E65E7" w:rsidRPr="00B854A1">
        <w:rPr>
          <w:rFonts w:ascii="Arial" w:hAnsi="Arial" w:cs="Arial"/>
          <w:color w:val="000000" w:themeColor="text1"/>
        </w:rPr>
        <w:t xml:space="preserve"> may be the principal driver of MPNs, other mutations shape the disease clinical type by altering the normal development of distinct hematopoietic subpopulations.</w:t>
      </w:r>
      <w:r w:rsidR="00C33D0F" w:rsidRPr="00B854A1">
        <w:rPr>
          <w:rFonts w:ascii="Arial" w:hAnsi="Arial" w:cs="Arial"/>
          <w:color w:val="000000" w:themeColor="text1"/>
        </w:rPr>
        <w:t xml:space="preserve"> Finally, we predict</w:t>
      </w:r>
      <w:r w:rsidR="0040583D" w:rsidRPr="00B854A1">
        <w:rPr>
          <w:rFonts w:ascii="Arial" w:hAnsi="Arial" w:cs="Arial"/>
          <w:color w:val="000000" w:themeColor="text1"/>
        </w:rPr>
        <w:t xml:space="preserve"> the involvement of the </w:t>
      </w:r>
      <w:r w:rsidR="0040583D" w:rsidRPr="005155B5">
        <w:rPr>
          <w:rFonts w:ascii="Arial" w:hAnsi="Arial" w:cs="Arial"/>
          <w:color w:val="000000" w:themeColor="text1"/>
        </w:rPr>
        <w:t>NOTCH</w:t>
      </w:r>
      <w:r w:rsidR="0040583D" w:rsidRPr="00B854A1">
        <w:rPr>
          <w:rFonts w:ascii="Arial" w:hAnsi="Arial" w:cs="Arial"/>
          <w:color w:val="000000" w:themeColor="text1"/>
        </w:rPr>
        <w:t xml:space="preserve"> pathway in MPN diseases. </w:t>
      </w:r>
      <w:r w:rsidR="0040583D" w:rsidRPr="005155B5">
        <w:rPr>
          <w:rFonts w:ascii="Arial" w:hAnsi="Arial" w:cs="Arial"/>
          <w:color w:val="000000" w:themeColor="text1"/>
        </w:rPr>
        <w:t>NOTCH</w:t>
      </w:r>
      <w:r w:rsidR="0040583D" w:rsidRPr="00B854A1">
        <w:rPr>
          <w:rFonts w:ascii="Arial" w:hAnsi="Arial" w:cs="Arial"/>
          <w:color w:val="000000" w:themeColor="text1"/>
        </w:rPr>
        <w:t xml:space="preserve"> shows both oncogenic and tumour suppressor roles in different tissues and in the hematopoietic system: </w:t>
      </w:r>
      <w:r w:rsidR="0040583D" w:rsidRPr="005155B5">
        <w:rPr>
          <w:rFonts w:ascii="Arial" w:hAnsi="Arial" w:cs="Arial"/>
          <w:color w:val="000000" w:themeColor="text1"/>
        </w:rPr>
        <w:t>NOTCH</w:t>
      </w:r>
      <w:r w:rsidR="0040583D" w:rsidRPr="00B854A1">
        <w:rPr>
          <w:rFonts w:ascii="Arial" w:hAnsi="Arial" w:cs="Arial"/>
          <w:color w:val="000000" w:themeColor="text1"/>
        </w:rPr>
        <w:t xml:space="preserve"> favours cancer growth in T acute lymphoblastic </w:t>
      </w:r>
      <w:r w:rsidR="00BE2CC6" w:rsidRPr="00B854A1">
        <w:rPr>
          <w:rFonts w:ascii="Arial" w:hAnsi="Arial" w:cs="Arial"/>
          <w:color w:val="000000" w:themeColor="text1"/>
        </w:rPr>
        <w:t>leukemia</w:t>
      </w:r>
      <w:r w:rsidR="0040583D" w:rsidRPr="00B854A1">
        <w:rPr>
          <w:rFonts w:ascii="Arial" w:hAnsi="Arial" w:cs="Arial"/>
          <w:color w:val="000000" w:themeColor="text1"/>
        </w:rPr>
        <w:t xml:space="preserve"> (T-ALL) through its </w:t>
      </w:r>
      <w:r w:rsidR="0040583D" w:rsidRPr="00B854A1">
        <w:rPr>
          <w:rFonts w:ascii="Arial" w:hAnsi="Arial" w:cs="Arial"/>
          <w:i/>
          <w:color w:val="000000" w:themeColor="text1"/>
        </w:rPr>
        <w:t>MYC</w:t>
      </w:r>
      <w:r w:rsidR="0040583D" w:rsidRPr="00B854A1">
        <w:rPr>
          <w:rFonts w:ascii="Arial" w:hAnsi="Arial" w:cs="Arial"/>
          <w:color w:val="000000" w:themeColor="text1"/>
        </w:rPr>
        <w:t xml:space="preserve"> </w:t>
      </w:r>
      <w:r w:rsidR="0052312A" w:rsidRPr="00B854A1">
        <w:rPr>
          <w:rFonts w:ascii="Arial" w:hAnsi="Arial" w:cs="Arial"/>
          <w:color w:val="000000" w:themeColor="text1"/>
        </w:rPr>
        <w:t>activation but</w:t>
      </w:r>
      <w:r w:rsidR="0040583D" w:rsidRPr="00B854A1">
        <w:rPr>
          <w:rFonts w:ascii="Arial" w:hAnsi="Arial" w:cs="Arial"/>
          <w:color w:val="000000" w:themeColor="text1"/>
        </w:rPr>
        <w:t xml:space="preserve"> is also found to augment the host immune response against cancer by activation of M1 macrophages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BIB_aster2017varied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54</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40583D" w:rsidRPr="00B854A1">
        <w:rPr>
          <w:rFonts w:ascii="Arial" w:hAnsi="Arial" w:cs="Arial"/>
          <w:color w:val="000000" w:themeColor="text1"/>
        </w:rPr>
        <w:t xml:space="preserve">. </w:t>
      </w:r>
      <w:r w:rsidR="00A06D99" w:rsidRPr="00B854A1">
        <w:rPr>
          <w:rFonts w:ascii="Arial" w:hAnsi="Arial" w:cs="Arial"/>
          <w:color w:val="000000" w:themeColor="text1"/>
        </w:rPr>
        <w:t>The</w:t>
      </w:r>
      <w:r w:rsidR="0040583D" w:rsidRPr="00B854A1">
        <w:rPr>
          <w:rFonts w:ascii="Arial" w:hAnsi="Arial" w:cs="Arial"/>
          <w:color w:val="000000" w:themeColor="text1"/>
        </w:rPr>
        <w:t xml:space="preserve"> role of </w:t>
      </w:r>
      <w:r w:rsidR="0040583D" w:rsidRPr="005155B5">
        <w:rPr>
          <w:rFonts w:ascii="Arial" w:hAnsi="Arial" w:cs="Arial"/>
          <w:color w:val="000000" w:themeColor="text1"/>
        </w:rPr>
        <w:t>NOTCH</w:t>
      </w:r>
      <w:r w:rsidR="0040583D" w:rsidRPr="00B854A1">
        <w:rPr>
          <w:rFonts w:ascii="Arial" w:hAnsi="Arial" w:cs="Arial"/>
          <w:color w:val="000000" w:themeColor="text1"/>
        </w:rPr>
        <w:t xml:space="preserve"> in hematopoietic stem and progenitor cells is still an on-going debate, however, it seems that a certain level of </w:t>
      </w:r>
      <w:r w:rsidR="0040583D" w:rsidRPr="00ED4F22">
        <w:rPr>
          <w:rFonts w:ascii="Arial" w:hAnsi="Arial" w:cs="Arial"/>
          <w:i/>
          <w:iCs/>
          <w:color w:val="000000" w:themeColor="text1"/>
        </w:rPr>
        <w:t>NOTCH</w:t>
      </w:r>
      <w:r w:rsidR="0040583D" w:rsidRPr="00B854A1">
        <w:rPr>
          <w:rFonts w:ascii="Arial" w:hAnsi="Arial" w:cs="Arial"/>
          <w:color w:val="000000" w:themeColor="text1"/>
        </w:rPr>
        <w:t xml:space="preserve"> signalling is required to protect individuals from hematological malignancies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BIB_lampreia2017notch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55</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40583D" w:rsidRPr="00B854A1">
        <w:rPr>
          <w:rFonts w:ascii="Arial" w:hAnsi="Arial" w:cs="Arial"/>
          <w:color w:val="000000" w:themeColor="text1"/>
        </w:rPr>
        <w:t xml:space="preserve">. </w:t>
      </w:r>
      <w:r w:rsidR="00A06D99" w:rsidRPr="00B854A1">
        <w:rPr>
          <w:rFonts w:ascii="Arial" w:hAnsi="Arial" w:cs="Arial"/>
          <w:color w:val="000000" w:themeColor="text1"/>
        </w:rPr>
        <w:t xml:space="preserve">We </w:t>
      </w:r>
      <w:r w:rsidR="00C33D0F" w:rsidRPr="00B854A1">
        <w:rPr>
          <w:rFonts w:ascii="Arial" w:hAnsi="Arial" w:cs="Arial"/>
          <w:color w:val="000000" w:themeColor="text1"/>
        </w:rPr>
        <w:lastRenderedPageBreak/>
        <w:t>suggest</w:t>
      </w:r>
      <w:r w:rsidR="00A06D99" w:rsidRPr="00B854A1">
        <w:rPr>
          <w:rFonts w:ascii="Arial" w:hAnsi="Arial" w:cs="Arial"/>
          <w:color w:val="000000" w:themeColor="text1"/>
        </w:rPr>
        <w:t xml:space="preserve"> that </w:t>
      </w:r>
      <w:r w:rsidR="00A06D99" w:rsidRPr="00B854A1">
        <w:rPr>
          <w:rFonts w:ascii="Arial" w:hAnsi="Arial" w:cs="Arial"/>
          <w:i/>
          <w:color w:val="000000" w:themeColor="text1"/>
        </w:rPr>
        <w:t>JAK2</w:t>
      </w:r>
      <w:r w:rsidR="00A06D99" w:rsidRPr="00B854A1">
        <w:rPr>
          <w:rFonts w:ascii="Arial" w:hAnsi="Arial" w:cs="Arial"/>
          <w:color w:val="000000" w:themeColor="text1"/>
        </w:rPr>
        <w:t xml:space="preserve"> increases GMP expansion through its inhibitory effect on </w:t>
      </w:r>
      <w:r w:rsidR="00A06D99" w:rsidRPr="005155B5">
        <w:rPr>
          <w:rFonts w:ascii="Arial" w:hAnsi="Arial" w:cs="Arial"/>
          <w:color w:val="000000" w:themeColor="text1"/>
        </w:rPr>
        <w:t xml:space="preserve">NOTCH </w:t>
      </w:r>
      <w:r w:rsidR="00A06D99" w:rsidRPr="00B854A1">
        <w:rPr>
          <w:rFonts w:ascii="Arial" w:hAnsi="Arial" w:cs="Arial"/>
          <w:color w:val="000000" w:themeColor="text1"/>
        </w:rPr>
        <w:t xml:space="preserve">via the </w:t>
      </w:r>
      <w:r w:rsidR="00A06D99" w:rsidRPr="005155B5">
        <w:rPr>
          <w:rFonts w:ascii="Arial" w:hAnsi="Arial" w:cs="Arial"/>
          <w:color w:val="000000" w:themeColor="text1"/>
        </w:rPr>
        <w:t>MAPK</w:t>
      </w:r>
      <w:r w:rsidR="00A06D99" w:rsidRPr="00B854A1">
        <w:rPr>
          <w:rFonts w:ascii="Arial" w:hAnsi="Arial" w:cs="Arial"/>
          <w:color w:val="000000" w:themeColor="text1"/>
        </w:rPr>
        <w:t xml:space="preserve"> pathway and </w:t>
      </w:r>
      <w:r w:rsidR="00A06D99" w:rsidRPr="00ED4F22">
        <w:rPr>
          <w:rFonts w:ascii="Arial" w:hAnsi="Arial" w:cs="Arial"/>
          <w:i/>
          <w:iCs/>
          <w:color w:val="000000" w:themeColor="text1"/>
        </w:rPr>
        <w:t>ITCH</w:t>
      </w:r>
      <w:r w:rsidR="00A06D99" w:rsidRPr="00B854A1">
        <w:rPr>
          <w:rFonts w:ascii="Arial" w:hAnsi="Arial" w:cs="Arial"/>
          <w:color w:val="000000" w:themeColor="text1"/>
        </w:rPr>
        <w:t xml:space="preserve"> and so predict</w:t>
      </w:r>
      <w:r w:rsidR="0040583D" w:rsidRPr="00B854A1">
        <w:rPr>
          <w:rFonts w:ascii="Arial" w:hAnsi="Arial" w:cs="Arial"/>
          <w:color w:val="000000" w:themeColor="text1"/>
        </w:rPr>
        <w:t xml:space="preserve"> a tumour suppressor role for </w:t>
      </w:r>
      <w:r w:rsidR="0040583D" w:rsidRPr="005155B5">
        <w:rPr>
          <w:rFonts w:ascii="Arial" w:hAnsi="Arial" w:cs="Arial"/>
          <w:color w:val="000000" w:themeColor="text1"/>
        </w:rPr>
        <w:t>NOTCH</w:t>
      </w:r>
      <w:r w:rsidR="0040583D" w:rsidRPr="00B854A1">
        <w:rPr>
          <w:rFonts w:ascii="Arial" w:hAnsi="Arial" w:cs="Arial"/>
          <w:color w:val="000000" w:themeColor="text1"/>
        </w:rPr>
        <w:t xml:space="preserve"> in the GMP cell population.</w:t>
      </w:r>
      <w:r w:rsidR="006B4CE7" w:rsidRPr="00B854A1">
        <w:rPr>
          <w:rFonts w:ascii="Arial" w:hAnsi="Arial" w:cs="Arial"/>
          <w:color w:val="000000" w:themeColor="text1"/>
        </w:rPr>
        <w:t xml:space="preserve"> </w:t>
      </w:r>
    </w:p>
    <w:p w14:paraId="469A2149" w14:textId="77777777" w:rsidR="003B73BA" w:rsidRPr="00B854A1" w:rsidRDefault="003B73BA" w:rsidP="004348F7">
      <w:pPr>
        <w:pBdr>
          <w:top w:val="nil"/>
          <w:left w:val="nil"/>
          <w:bottom w:val="nil"/>
          <w:right w:val="nil"/>
          <w:between w:val="nil"/>
        </w:pBdr>
        <w:spacing w:after="0" w:line="480" w:lineRule="auto"/>
        <w:contextualSpacing/>
        <w:jc w:val="both"/>
        <w:rPr>
          <w:rFonts w:ascii="Arial" w:hAnsi="Arial" w:cs="Arial"/>
          <w:color w:val="000000" w:themeColor="text1"/>
        </w:rPr>
      </w:pPr>
    </w:p>
    <w:p w14:paraId="04120E29" w14:textId="2A77476C" w:rsidR="00BC3F52" w:rsidRPr="00B854A1" w:rsidRDefault="0097105F" w:rsidP="004348F7">
      <w:pPr>
        <w:pBdr>
          <w:top w:val="nil"/>
          <w:left w:val="nil"/>
          <w:bottom w:val="nil"/>
          <w:right w:val="nil"/>
          <w:between w:val="nil"/>
        </w:pBdr>
        <w:spacing w:after="0" w:line="480" w:lineRule="auto"/>
        <w:contextualSpacing/>
        <w:jc w:val="both"/>
        <w:rPr>
          <w:rFonts w:ascii="Arial" w:hAnsi="Arial" w:cs="Arial"/>
          <w:color w:val="000000" w:themeColor="text1"/>
        </w:rPr>
      </w:pPr>
      <w:r w:rsidRPr="00B854A1">
        <w:rPr>
          <w:rFonts w:ascii="Arial" w:hAnsi="Arial" w:cs="Arial"/>
          <w:color w:val="000000" w:themeColor="text1"/>
        </w:rPr>
        <w:t>In building these models, several choices were made that potentially limit the further interpretation</w:t>
      </w:r>
      <w:r w:rsidR="00BC3F52" w:rsidRPr="00B854A1">
        <w:rPr>
          <w:rFonts w:ascii="Arial" w:hAnsi="Arial" w:cs="Arial"/>
          <w:color w:val="000000" w:themeColor="text1"/>
        </w:rPr>
        <w:t>.</w:t>
      </w:r>
      <w:r w:rsidR="00EC5974" w:rsidRPr="00B854A1">
        <w:rPr>
          <w:rFonts w:ascii="Arial" w:hAnsi="Arial" w:cs="Arial"/>
          <w:color w:val="000000" w:themeColor="text1"/>
        </w:rPr>
        <w:t xml:space="preserve"> First</w:t>
      </w:r>
      <w:r w:rsidRPr="00B854A1">
        <w:rPr>
          <w:rFonts w:ascii="Arial" w:hAnsi="Arial" w:cs="Arial"/>
          <w:color w:val="000000" w:themeColor="text1"/>
        </w:rPr>
        <w:t>ly</w:t>
      </w:r>
      <w:r w:rsidR="00EC5974" w:rsidRPr="00B854A1">
        <w:rPr>
          <w:rFonts w:ascii="Arial" w:hAnsi="Arial" w:cs="Arial"/>
          <w:color w:val="000000" w:themeColor="text1"/>
        </w:rPr>
        <w:t xml:space="preserve">, </w:t>
      </w:r>
      <w:r w:rsidRPr="00B854A1">
        <w:rPr>
          <w:rFonts w:ascii="Arial" w:hAnsi="Arial" w:cs="Arial"/>
          <w:color w:val="000000" w:themeColor="text1"/>
        </w:rPr>
        <w:t xml:space="preserve">whilst </w:t>
      </w:r>
      <w:r w:rsidR="00514263" w:rsidRPr="00B854A1">
        <w:rPr>
          <w:rFonts w:ascii="Arial" w:hAnsi="Arial" w:cs="Arial"/>
          <w:color w:val="000000" w:themeColor="text1"/>
        </w:rPr>
        <w:t>all gene interactions</w:t>
      </w:r>
      <w:r w:rsidRPr="00B854A1">
        <w:rPr>
          <w:rFonts w:ascii="Arial" w:hAnsi="Arial" w:cs="Arial"/>
          <w:color w:val="000000" w:themeColor="text1"/>
        </w:rPr>
        <w:t xml:space="preserve"> included</w:t>
      </w:r>
      <w:r w:rsidR="00514263" w:rsidRPr="00B854A1">
        <w:rPr>
          <w:rFonts w:ascii="Arial" w:hAnsi="Arial" w:cs="Arial"/>
          <w:color w:val="000000" w:themeColor="text1"/>
        </w:rPr>
        <w:t xml:space="preserve"> in this model are </w:t>
      </w:r>
      <w:r w:rsidRPr="00B854A1">
        <w:rPr>
          <w:rFonts w:ascii="Arial" w:hAnsi="Arial" w:cs="Arial"/>
          <w:color w:val="000000" w:themeColor="text1"/>
        </w:rPr>
        <w:t>derived from studies of</w:t>
      </w:r>
      <w:r w:rsidR="00514263" w:rsidRPr="00B854A1">
        <w:rPr>
          <w:rFonts w:ascii="Arial" w:hAnsi="Arial" w:cs="Arial"/>
          <w:color w:val="000000" w:themeColor="text1"/>
        </w:rPr>
        <w:t xml:space="preserve"> blood</w:t>
      </w:r>
      <w:r w:rsidR="00991C2D" w:rsidRPr="00B854A1">
        <w:rPr>
          <w:rFonts w:ascii="Arial" w:hAnsi="Arial" w:cs="Arial"/>
          <w:color w:val="000000" w:themeColor="text1"/>
        </w:rPr>
        <w:t xml:space="preserve">, </w:t>
      </w:r>
      <w:r w:rsidRPr="00B854A1">
        <w:rPr>
          <w:rFonts w:ascii="Arial" w:hAnsi="Arial" w:cs="Arial"/>
          <w:color w:val="000000" w:themeColor="text1"/>
        </w:rPr>
        <w:t>due to paucity of information individual interactions may come from either mouse and human studies</w:t>
      </w:r>
      <w:r w:rsidR="00514263" w:rsidRPr="00B854A1">
        <w:rPr>
          <w:rFonts w:ascii="Arial" w:hAnsi="Arial" w:cs="Arial"/>
          <w:color w:val="000000" w:themeColor="text1"/>
        </w:rPr>
        <w:t xml:space="preserve">. Secondly, </w:t>
      </w:r>
      <w:r w:rsidRPr="00B854A1">
        <w:rPr>
          <w:rFonts w:ascii="Arial" w:hAnsi="Arial" w:cs="Arial"/>
          <w:color w:val="000000" w:themeColor="text1"/>
        </w:rPr>
        <w:t xml:space="preserve">the precise role of the self-loop on </w:t>
      </w:r>
      <w:r w:rsidRPr="00B854A1">
        <w:rPr>
          <w:rFonts w:ascii="Arial" w:hAnsi="Arial" w:cs="Arial"/>
          <w:i/>
          <w:iCs/>
          <w:color w:val="000000" w:themeColor="text1"/>
        </w:rPr>
        <w:t>HOXA9</w:t>
      </w:r>
      <w:r w:rsidRPr="00B854A1">
        <w:rPr>
          <w:rFonts w:ascii="Arial" w:hAnsi="Arial" w:cs="Arial"/>
          <w:color w:val="000000" w:themeColor="text1"/>
        </w:rPr>
        <w:t xml:space="preserve"> cannot be determined from our model alone. </w:t>
      </w:r>
      <w:r w:rsidR="00DC5A7C" w:rsidRPr="00B854A1">
        <w:rPr>
          <w:rFonts w:ascii="Arial" w:hAnsi="Arial" w:cs="Arial"/>
          <w:color w:val="000000" w:themeColor="text1"/>
        </w:rPr>
        <w:t>In the double mutant, t</w:t>
      </w:r>
      <w:r w:rsidR="005F5466" w:rsidRPr="00B854A1">
        <w:rPr>
          <w:rFonts w:ascii="Arial" w:hAnsi="Arial" w:cs="Arial"/>
          <w:color w:val="000000" w:themeColor="text1"/>
        </w:rPr>
        <w:t>he loss of the self-loop can lead to ei</w:t>
      </w:r>
      <w:r w:rsidR="00A6072D" w:rsidRPr="00B854A1">
        <w:rPr>
          <w:rFonts w:ascii="Arial" w:hAnsi="Arial" w:cs="Arial"/>
          <w:color w:val="000000" w:themeColor="text1"/>
        </w:rPr>
        <w:t>ther</w:t>
      </w:r>
      <w:r w:rsidR="001F50B0" w:rsidRPr="00B854A1">
        <w:rPr>
          <w:rFonts w:ascii="Arial" w:hAnsi="Arial" w:cs="Arial"/>
          <w:color w:val="000000" w:themeColor="text1"/>
        </w:rPr>
        <w:t xml:space="preserve"> abrogation (Fig. S6),</w:t>
      </w:r>
      <w:r w:rsidR="00DC5A7C" w:rsidRPr="00B854A1">
        <w:rPr>
          <w:rFonts w:ascii="Arial" w:hAnsi="Arial" w:cs="Arial"/>
          <w:color w:val="000000" w:themeColor="text1"/>
        </w:rPr>
        <w:t xml:space="preserve"> wild type</w:t>
      </w:r>
      <w:r w:rsidR="001F50B0" w:rsidRPr="00B854A1">
        <w:rPr>
          <w:rFonts w:ascii="Arial" w:hAnsi="Arial" w:cs="Arial"/>
          <w:color w:val="000000" w:themeColor="text1"/>
        </w:rPr>
        <w:t xml:space="preserve"> (Fig. S</w:t>
      </w:r>
      <w:r w:rsidR="00E549DF" w:rsidRPr="00B854A1">
        <w:rPr>
          <w:rFonts w:ascii="Arial" w:hAnsi="Arial" w:cs="Arial"/>
          <w:color w:val="000000" w:themeColor="text1"/>
        </w:rPr>
        <w:t>7</w:t>
      </w:r>
      <w:r w:rsidR="001F50B0" w:rsidRPr="00B854A1">
        <w:rPr>
          <w:rFonts w:ascii="Arial" w:hAnsi="Arial" w:cs="Arial"/>
          <w:color w:val="000000" w:themeColor="text1"/>
        </w:rPr>
        <w:t>)</w:t>
      </w:r>
      <w:r w:rsidR="00DC5A7C" w:rsidRPr="00B854A1">
        <w:rPr>
          <w:rFonts w:ascii="Arial" w:hAnsi="Arial" w:cs="Arial"/>
          <w:color w:val="000000" w:themeColor="text1"/>
        </w:rPr>
        <w:t xml:space="preserve"> or</w:t>
      </w:r>
      <w:r w:rsidR="00A6072D" w:rsidRPr="00B854A1">
        <w:rPr>
          <w:rFonts w:ascii="Arial" w:hAnsi="Arial" w:cs="Arial"/>
          <w:color w:val="000000" w:themeColor="text1"/>
        </w:rPr>
        <w:t xml:space="preserve"> overexpression</w:t>
      </w:r>
      <w:r w:rsidR="00DC5A7C" w:rsidRPr="00B854A1">
        <w:rPr>
          <w:rFonts w:ascii="Arial" w:hAnsi="Arial" w:cs="Arial"/>
          <w:color w:val="000000" w:themeColor="text1"/>
        </w:rPr>
        <w:t xml:space="preserve"> </w:t>
      </w:r>
      <w:r w:rsidR="005F5466" w:rsidRPr="00B854A1">
        <w:rPr>
          <w:rFonts w:ascii="Arial" w:hAnsi="Arial" w:cs="Arial"/>
          <w:color w:val="000000" w:themeColor="text1"/>
        </w:rPr>
        <w:t xml:space="preserve">of </w:t>
      </w:r>
      <w:r w:rsidR="005F5466" w:rsidRPr="00ED4F22">
        <w:rPr>
          <w:rFonts w:ascii="Arial" w:hAnsi="Arial" w:cs="Arial"/>
          <w:i/>
          <w:iCs/>
          <w:color w:val="000000" w:themeColor="text1"/>
        </w:rPr>
        <w:t>HOXA9</w:t>
      </w:r>
      <w:r w:rsidR="00A6072D" w:rsidRPr="00B854A1">
        <w:rPr>
          <w:rFonts w:ascii="Arial" w:hAnsi="Arial" w:cs="Arial"/>
          <w:color w:val="000000" w:themeColor="text1"/>
        </w:rPr>
        <w:t xml:space="preserve"> as a result of JAK2 constitutive </w:t>
      </w:r>
      <w:r w:rsidR="00DC5A7C" w:rsidRPr="00B854A1">
        <w:rPr>
          <w:rFonts w:ascii="Arial" w:hAnsi="Arial" w:cs="Arial"/>
          <w:color w:val="000000" w:themeColor="text1"/>
        </w:rPr>
        <w:t>activity (Fig. S</w:t>
      </w:r>
      <w:r w:rsidR="00E549DF" w:rsidRPr="00B854A1">
        <w:rPr>
          <w:rFonts w:ascii="Arial" w:hAnsi="Arial" w:cs="Arial"/>
          <w:color w:val="000000" w:themeColor="text1"/>
        </w:rPr>
        <w:t>5</w:t>
      </w:r>
      <w:r w:rsidR="00DC5A7C" w:rsidRPr="00B854A1">
        <w:rPr>
          <w:rFonts w:ascii="Arial" w:hAnsi="Arial" w:cs="Arial"/>
          <w:color w:val="000000" w:themeColor="text1"/>
        </w:rPr>
        <w:t>)</w:t>
      </w:r>
      <w:r w:rsidR="005F5466" w:rsidRPr="00B854A1">
        <w:rPr>
          <w:rFonts w:ascii="Arial" w:hAnsi="Arial" w:cs="Arial"/>
          <w:color w:val="000000" w:themeColor="text1"/>
        </w:rPr>
        <w:t xml:space="preserve">. This </w:t>
      </w:r>
      <w:r w:rsidR="001F50B0" w:rsidRPr="00B854A1">
        <w:rPr>
          <w:rFonts w:ascii="Arial" w:hAnsi="Arial" w:cs="Arial"/>
          <w:color w:val="000000" w:themeColor="text1"/>
        </w:rPr>
        <w:t>wild-type</w:t>
      </w:r>
      <w:r w:rsidR="005F5466" w:rsidRPr="00B854A1">
        <w:rPr>
          <w:rFonts w:ascii="Arial" w:hAnsi="Arial" w:cs="Arial"/>
          <w:color w:val="000000" w:themeColor="text1"/>
        </w:rPr>
        <w:t xml:space="preserve"> scenario</w:t>
      </w:r>
      <w:r w:rsidR="00DC5A7C" w:rsidRPr="00B854A1">
        <w:rPr>
          <w:rFonts w:ascii="Arial" w:hAnsi="Arial" w:cs="Arial"/>
          <w:color w:val="000000" w:themeColor="text1"/>
        </w:rPr>
        <w:t xml:space="preserve"> in which </w:t>
      </w:r>
      <w:r w:rsidR="00DC5A7C" w:rsidRPr="00B854A1">
        <w:rPr>
          <w:rFonts w:ascii="Arial" w:hAnsi="Arial" w:cs="Arial"/>
          <w:i/>
          <w:iCs/>
          <w:color w:val="000000" w:themeColor="text1"/>
        </w:rPr>
        <w:t>JAK2</w:t>
      </w:r>
      <w:r w:rsidR="00DC5A7C" w:rsidRPr="00B854A1">
        <w:rPr>
          <w:rFonts w:ascii="Arial" w:hAnsi="Arial" w:cs="Arial"/>
          <w:color w:val="000000" w:themeColor="text1"/>
        </w:rPr>
        <w:t xml:space="preserve"> and </w:t>
      </w:r>
      <w:r w:rsidR="00DC5A7C" w:rsidRPr="00B854A1">
        <w:rPr>
          <w:rFonts w:ascii="Arial" w:hAnsi="Arial" w:cs="Arial"/>
          <w:i/>
          <w:iCs/>
          <w:color w:val="000000" w:themeColor="text1"/>
        </w:rPr>
        <w:t>TET2</w:t>
      </w:r>
      <w:r w:rsidR="00DC5A7C" w:rsidRPr="00B854A1">
        <w:rPr>
          <w:rFonts w:ascii="Arial" w:hAnsi="Arial" w:cs="Arial"/>
          <w:color w:val="000000" w:themeColor="text1"/>
        </w:rPr>
        <w:t xml:space="preserve"> mutations balance out </w:t>
      </w:r>
      <w:r w:rsidR="00DC5A7C" w:rsidRPr="00ED4F22">
        <w:rPr>
          <w:rFonts w:ascii="Arial" w:hAnsi="Arial" w:cs="Arial"/>
          <w:i/>
          <w:iCs/>
          <w:color w:val="000000" w:themeColor="text1"/>
        </w:rPr>
        <w:t>HOXA9</w:t>
      </w:r>
      <w:r w:rsidR="00DC5A7C" w:rsidRPr="00B854A1">
        <w:rPr>
          <w:rFonts w:ascii="Arial" w:hAnsi="Arial" w:cs="Arial"/>
          <w:color w:val="000000" w:themeColor="text1"/>
        </w:rPr>
        <w:t xml:space="preserve"> activity</w:t>
      </w:r>
      <w:r w:rsidR="005F5466" w:rsidRPr="00B854A1">
        <w:rPr>
          <w:rFonts w:ascii="Arial" w:hAnsi="Arial" w:cs="Arial"/>
          <w:color w:val="000000" w:themeColor="text1"/>
        </w:rPr>
        <w:t xml:space="preserve"> is able to respond to alternative orders of mutations through interactions between </w:t>
      </w:r>
      <w:r w:rsidR="005F5466" w:rsidRPr="00B854A1">
        <w:rPr>
          <w:rFonts w:ascii="Arial" w:hAnsi="Arial" w:cs="Arial"/>
          <w:i/>
          <w:iCs/>
          <w:color w:val="000000" w:themeColor="text1"/>
        </w:rPr>
        <w:t>SPI1</w:t>
      </w:r>
      <w:r w:rsidR="005F5466" w:rsidRPr="00B854A1">
        <w:rPr>
          <w:rFonts w:ascii="Arial" w:hAnsi="Arial" w:cs="Arial"/>
          <w:color w:val="000000" w:themeColor="text1"/>
        </w:rPr>
        <w:t xml:space="preserve"> and </w:t>
      </w:r>
      <w:r w:rsidR="005F5466" w:rsidRPr="00B854A1">
        <w:rPr>
          <w:rFonts w:ascii="Arial" w:hAnsi="Arial" w:cs="Arial"/>
          <w:i/>
          <w:iCs/>
          <w:color w:val="000000" w:themeColor="text1"/>
        </w:rPr>
        <w:t>GATA1</w:t>
      </w:r>
      <w:r w:rsidR="005F5466" w:rsidRPr="00B854A1">
        <w:rPr>
          <w:rFonts w:ascii="Arial" w:hAnsi="Arial" w:cs="Arial"/>
          <w:color w:val="000000" w:themeColor="text1"/>
        </w:rPr>
        <w:t xml:space="preserve"> (Fig. S1</w:t>
      </w:r>
      <w:r w:rsidR="00740E00" w:rsidRPr="00B854A1">
        <w:rPr>
          <w:rFonts w:ascii="Arial" w:hAnsi="Arial" w:cs="Arial"/>
          <w:color w:val="000000" w:themeColor="text1"/>
        </w:rPr>
        <w:t>2</w:t>
      </w:r>
      <w:r w:rsidR="005F5466" w:rsidRPr="00B854A1">
        <w:rPr>
          <w:rFonts w:ascii="Arial" w:hAnsi="Arial" w:cs="Arial"/>
          <w:color w:val="000000" w:themeColor="text1"/>
        </w:rPr>
        <w:t xml:space="preserve">), albeit with phenotypes inconsistent with the disease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BIB_ortmann2015effect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5F5466" w:rsidRPr="00B854A1">
        <w:rPr>
          <w:rFonts w:ascii="Arial" w:hAnsi="Arial" w:cs="Arial"/>
          <w:color w:val="000000" w:themeColor="text1"/>
        </w:rPr>
        <w:t xml:space="preserve">.  </w:t>
      </w:r>
      <w:r w:rsidRPr="00B854A1">
        <w:rPr>
          <w:rFonts w:ascii="Arial" w:hAnsi="Arial" w:cs="Arial"/>
          <w:color w:val="000000" w:themeColor="text1"/>
        </w:rPr>
        <w:t>R</w:t>
      </w:r>
      <w:r w:rsidR="00BC3F52" w:rsidRPr="00B854A1">
        <w:rPr>
          <w:rFonts w:ascii="Arial" w:hAnsi="Arial" w:cs="Arial"/>
          <w:color w:val="000000" w:themeColor="text1"/>
        </w:rPr>
        <w:t xml:space="preserve">emoving </w:t>
      </w:r>
      <w:r w:rsidRPr="00B854A1">
        <w:rPr>
          <w:rFonts w:ascii="Arial" w:hAnsi="Arial" w:cs="Arial"/>
          <w:color w:val="000000" w:themeColor="text1"/>
        </w:rPr>
        <w:t xml:space="preserve">the </w:t>
      </w:r>
      <w:r w:rsidR="00B119CB" w:rsidRPr="00B854A1">
        <w:rPr>
          <w:rFonts w:ascii="Arial" w:hAnsi="Arial" w:cs="Arial"/>
          <w:i/>
          <w:color w:val="000000" w:themeColor="text1"/>
        </w:rPr>
        <w:t>HOXA9</w:t>
      </w:r>
      <w:r w:rsidR="00B119CB" w:rsidRPr="00B854A1">
        <w:rPr>
          <w:rFonts w:ascii="Arial" w:hAnsi="Arial" w:cs="Arial"/>
          <w:color w:val="000000" w:themeColor="text1"/>
        </w:rPr>
        <w:t xml:space="preserve"> positive feedback loop in our model</w:t>
      </w:r>
      <w:r w:rsidR="006019F7" w:rsidRPr="00B854A1">
        <w:rPr>
          <w:rFonts w:ascii="Arial" w:hAnsi="Arial" w:cs="Arial"/>
          <w:color w:val="000000" w:themeColor="text1"/>
        </w:rPr>
        <w:t xml:space="preserve"> leads to its overexpression and loss of the bifurcation in the double mutant, changing </w:t>
      </w:r>
      <w:r w:rsidR="006019F7" w:rsidRPr="00B854A1">
        <w:rPr>
          <w:rFonts w:ascii="Arial" w:hAnsi="Arial" w:cs="Arial"/>
          <w:i/>
          <w:color w:val="000000" w:themeColor="text1"/>
        </w:rPr>
        <w:t>HOXA9</w:t>
      </w:r>
      <w:r w:rsidR="006019F7" w:rsidRPr="00B854A1">
        <w:rPr>
          <w:rFonts w:ascii="Arial" w:hAnsi="Arial" w:cs="Arial"/>
          <w:color w:val="000000" w:themeColor="text1"/>
        </w:rPr>
        <w:t xml:space="preserve"> function in our model to obtain a wild-type expression restores the bifurcation in these cells (Fig</w:t>
      </w:r>
      <w:r w:rsidR="00006BFD" w:rsidRPr="00B854A1">
        <w:rPr>
          <w:rFonts w:ascii="Arial" w:hAnsi="Arial" w:cs="Arial"/>
          <w:color w:val="000000" w:themeColor="text1"/>
        </w:rPr>
        <w:t>.</w:t>
      </w:r>
      <w:r w:rsidR="006019F7" w:rsidRPr="00B854A1">
        <w:rPr>
          <w:rFonts w:ascii="Arial" w:hAnsi="Arial" w:cs="Arial"/>
          <w:color w:val="000000" w:themeColor="text1"/>
        </w:rPr>
        <w:t xml:space="preserve"> S1</w:t>
      </w:r>
      <w:r w:rsidR="001E2948" w:rsidRPr="00B854A1">
        <w:rPr>
          <w:rFonts w:ascii="Arial" w:hAnsi="Arial" w:cs="Arial"/>
          <w:color w:val="000000" w:themeColor="text1"/>
        </w:rPr>
        <w:t>2</w:t>
      </w:r>
      <w:r w:rsidR="006019F7" w:rsidRPr="00B854A1">
        <w:rPr>
          <w:rFonts w:ascii="Arial" w:hAnsi="Arial" w:cs="Arial"/>
          <w:color w:val="000000" w:themeColor="text1"/>
        </w:rPr>
        <w:t xml:space="preserve">). However, CMP expansion is stable in both steady states which is not observed in patients with both mutations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BIB_ortmann2015effect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13</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514263" w:rsidRPr="00B854A1">
        <w:rPr>
          <w:rFonts w:ascii="Arial" w:hAnsi="Arial" w:cs="Arial"/>
          <w:color w:val="000000" w:themeColor="text1"/>
        </w:rPr>
        <w:t xml:space="preserve">. Finally, our model </w:t>
      </w:r>
      <w:r w:rsidR="00102560" w:rsidRPr="00B854A1">
        <w:rPr>
          <w:rFonts w:ascii="Arial" w:hAnsi="Arial" w:cs="Arial"/>
          <w:color w:val="000000" w:themeColor="text1"/>
        </w:rPr>
        <w:t>uses</w:t>
      </w:r>
      <w:r w:rsidR="00514263" w:rsidRPr="00B854A1">
        <w:rPr>
          <w:rFonts w:ascii="Arial" w:hAnsi="Arial" w:cs="Arial"/>
          <w:color w:val="000000" w:themeColor="text1"/>
        </w:rPr>
        <w:t xml:space="preserve"> discrete values</w:t>
      </w:r>
      <w:r w:rsidR="00102560" w:rsidRPr="00B854A1">
        <w:rPr>
          <w:rFonts w:ascii="Arial" w:hAnsi="Arial" w:cs="Arial"/>
          <w:color w:val="000000" w:themeColor="text1"/>
        </w:rPr>
        <w:t xml:space="preserve"> for gene expression and</w:t>
      </w:r>
      <w:r w:rsidR="00514263" w:rsidRPr="00B854A1">
        <w:rPr>
          <w:rFonts w:ascii="Arial" w:hAnsi="Arial" w:cs="Arial"/>
          <w:color w:val="000000" w:themeColor="text1"/>
        </w:rPr>
        <w:t xml:space="preserve"> genomic data for validation</w:t>
      </w:r>
      <w:r w:rsidR="005F5466" w:rsidRPr="00B854A1">
        <w:rPr>
          <w:rFonts w:ascii="Arial" w:hAnsi="Arial" w:cs="Arial"/>
          <w:color w:val="000000" w:themeColor="text1"/>
        </w:rPr>
        <w:t xml:space="preserve">, and represents </w:t>
      </w:r>
      <w:r w:rsidR="00F923BE" w:rsidRPr="00B854A1">
        <w:rPr>
          <w:rFonts w:ascii="Arial" w:hAnsi="Arial" w:cs="Arial"/>
          <w:color w:val="000000" w:themeColor="text1"/>
        </w:rPr>
        <w:t>a</w:t>
      </w:r>
      <w:r w:rsidR="005F5466" w:rsidRPr="00B854A1">
        <w:rPr>
          <w:rFonts w:ascii="Arial" w:hAnsi="Arial" w:cs="Arial"/>
          <w:color w:val="000000" w:themeColor="text1"/>
        </w:rPr>
        <w:t xml:space="preserve"> population of </w:t>
      </w:r>
      <w:r w:rsidR="00F923BE" w:rsidRPr="00B854A1">
        <w:rPr>
          <w:rFonts w:ascii="Arial" w:hAnsi="Arial" w:cs="Arial"/>
          <w:color w:val="000000" w:themeColor="text1"/>
        </w:rPr>
        <w:t xml:space="preserve">blood </w:t>
      </w:r>
      <w:r w:rsidR="005F5466" w:rsidRPr="00B854A1">
        <w:rPr>
          <w:rFonts w:ascii="Arial" w:hAnsi="Arial" w:cs="Arial"/>
          <w:color w:val="000000" w:themeColor="text1"/>
        </w:rPr>
        <w:t>cells</w:t>
      </w:r>
      <w:r w:rsidR="00514263" w:rsidRPr="00B854A1">
        <w:rPr>
          <w:rFonts w:ascii="Arial" w:hAnsi="Arial" w:cs="Arial"/>
          <w:color w:val="000000" w:themeColor="text1"/>
        </w:rPr>
        <w:t>.</w:t>
      </w:r>
      <w:r w:rsidR="005F5466" w:rsidRPr="00B854A1">
        <w:rPr>
          <w:rFonts w:ascii="Arial" w:hAnsi="Arial" w:cs="Arial"/>
          <w:color w:val="000000" w:themeColor="text1"/>
        </w:rPr>
        <w:t xml:space="preserve"> Despite the historic successes of such approaches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BIB_emmert2014gene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56</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5F5466" w:rsidRPr="00B854A1">
        <w:rPr>
          <w:rFonts w:ascii="Arial" w:hAnsi="Arial" w:cs="Arial"/>
          <w:color w:val="000000" w:themeColor="text1"/>
        </w:rPr>
        <w:t xml:space="preserve"> modelling this network with </w:t>
      </w:r>
      <w:r w:rsidR="005F5466" w:rsidRPr="00B854A1">
        <w:rPr>
          <w:rFonts w:ascii="Arial" w:hAnsi="Arial" w:cs="Arial"/>
          <w:color w:val="000000" w:themeColor="text1"/>
        </w:rPr>
        <w:lastRenderedPageBreak/>
        <w:t xml:space="preserve">continuous methods could help validate the model and give </w:t>
      </w:r>
      <w:r w:rsidR="00A005C5">
        <w:rPr>
          <w:rFonts w:ascii="Arial" w:hAnsi="Arial" w:cs="Arial"/>
          <w:color w:val="000000" w:themeColor="text1"/>
        </w:rPr>
        <w:t>additional</w:t>
      </w:r>
      <w:r w:rsidR="005F5466" w:rsidRPr="00B854A1">
        <w:rPr>
          <w:rFonts w:ascii="Arial" w:hAnsi="Arial" w:cs="Arial"/>
          <w:color w:val="000000" w:themeColor="text1"/>
        </w:rPr>
        <w:t xml:space="preserve"> insights</w:t>
      </w:r>
      <w:r w:rsidR="00102560" w:rsidRPr="00B854A1">
        <w:rPr>
          <w:rFonts w:ascii="Arial" w:hAnsi="Arial" w:cs="Arial"/>
          <w:color w:val="000000" w:themeColor="text1"/>
        </w:rPr>
        <w:t>.</w:t>
      </w:r>
      <w:r w:rsidR="00022A9B" w:rsidRPr="00B854A1">
        <w:rPr>
          <w:rFonts w:ascii="Arial" w:hAnsi="Arial" w:cs="Arial"/>
          <w:color w:val="000000" w:themeColor="text1"/>
        </w:rPr>
        <w:t xml:space="preserve"> Future work could </w:t>
      </w:r>
      <w:r w:rsidR="005F5466" w:rsidRPr="00B854A1">
        <w:rPr>
          <w:rFonts w:ascii="Arial" w:hAnsi="Arial" w:cs="Arial"/>
          <w:color w:val="000000" w:themeColor="text1"/>
        </w:rPr>
        <w:t xml:space="preserve">also </w:t>
      </w:r>
      <w:r w:rsidR="00022A9B" w:rsidRPr="00B854A1">
        <w:rPr>
          <w:rFonts w:ascii="Arial" w:hAnsi="Arial" w:cs="Arial"/>
          <w:color w:val="000000" w:themeColor="text1"/>
        </w:rPr>
        <w:t xml:space="preserve">include </w:t>
      </w:r>
      <w:r w:rsidR="005F5466" w:rsidRPr="00B854A1">
        <w:rPr>
          <w:rFonts w:ascii="Arial" w:hAnsi="Arial" w:cs="Arial"/>
          <w:color w:val="000000" w:themeColor="text1"/>
        </w:rPr>
        <w:t xml:space="preserve">using </w:t>
      </w:r>
      <w:r w:rsidR="00022A9B" w:rsidRPr="00B854A1">
        <w:rPr>
          <w:rFonts w:ascii="Arial" w:hAnsi="Arial" w:cs="Arial"/>
          <w:color w:val="000000" w:themeColor="text1"/>
        </w:rPr>
        <w:t>asynchronous update</w:t>
      </w:r>
      <w:r w:rsidR="00AC3C3B" w:rsidRPr="00B854A1">
        <w:rPr>
          <w:rFonts w:ascii="Arial" w:hAnsi="Arial" w:cs="Arial"/>
          <w:color w:val="000000" w:themeColor="text1"/>
        </w:rPr>
        <w:t>s</w:t>
      </w:r>
      <w:r w:rsidR="00022A9B" w:rsidRPr="00B854A1">
        <w:rPr>
          <w:rFonts w:ascii="Arial" w:hAnsi="Arial" w:cs="Arial"/>
          <w:color w:val="000000" w:themeColor="text1"/>
        </w:rPr>
        <w:t xml:space="preserve"> </w:t>
      </w:r>
      <w:r w:rsidR="005F5466" w:rsidRPr="00B854A1">
        <w:rPr>
          <w:rFonts w:ascii="Arial" w:hAnsi="Arial" w:cs="Arial"/>
          <w:color w:val="000000" w:themeColor="text1"/>
        </w:rPr>
        <w:t>and modelling the decision</w:t>
      </w:r>
      <w:r w:rsidR="00CF42EC">
        <w:rPr>
          <w:rFonts w:ascii="Arial" w:hAnsi="Arial" w:cs="Arial"/>
          <w:color w:val="000000" w:themeColor="text1"/>
        </w:rPr>
        <w:t>-</w:t>
      </w:r>
      <w:r w:rsidR="005F5466" w:rsidRPr="00B854A1">
        <w:rPr>
          <w:rFonts w:ascii="Arial" w:hAnsi="Arial" w:cs="Arial"/>
          <w:color w:val="000000" w:themeColor="text1"/>
        </w:rPr>
        <w:t xml:space="preserve">making processes of individual cells, </w:t>
      </w:r>
      <w:r w:rsidR="00022A9B" w:rsidRPr="00B854A1">
        <w:rPr>
          <w:rFonts w:ascii="Arial" w:hAnsi="Arial" w:cs="Arial"/>
          <w:color w:val="000000" w:themeColor="text1"/>
        </w:rPr>
        <w:t xml:space="preserve">to </w:t>
      </w:r>
      <w:r w:rsidR="005F5466" w:rsidRPr="00B854A1">
        <w:rPr>
          <w:rFonts w:ascii="Arial" w:hAnsi="Arial" w:cs="Arial"/>
          <w:color w:val="000000" w:themeColor="text1"/>
        </w:rPr>
        <w:t>better understand</w:t>
      </w:r>
      <w:r w:rsidR="004E5B03" w:rsidRPr="00B854A1">
        <w:rPr>
          <w:rFonts w:ascii="Arial" w:hAnsi="Arial" w:cs="Arial"/>
          <w:color w:val="000000" w:themeColor="text1"/>
        </w:rPr>
        <w:t xml:space="preserve"> </w:t>
      </w:r>
      <w:r w:rsidR="005F5466" w:rsidRPr="00B854A1">
        <w:rPr>
          <w:rFonts w:ascii="Arial" w:hAnsi="Arial" w:cs="Arial"/>
          <w:color w:val="000000" w:themeColor="text1"/>
        </w:rPr>
        <w:t xml:space="preserve">cancer fate </w:t>
      </w:r>
      <w:r w:rsidR="005C7826" w:rsidRPr="00B854A1">
        <w:rPr>
          <w:rFonts w:ascii="Arial" w:hAnsi="Arial" w:cs="Arial"/>
          <w:color w:val="000000" w:themeColor="text1"/>
        </w:rPr>
        <w:t>commitment</w:t>
      </w:r>
      <w:r w:rsidR="00022A9B" w:rsidRPr="00B854A1">
        <w:rPr>
          <w:rFonts w:ascii="Arial" w:hAnsi="Arial" w:cs="Arial"/>
          <w:color w:val="000000" w:themeColor="text1"/>
        </w:rPr>
        <w:t>.</w:t>
      </w:r>
    </w:p>
    <w:p w14:paraId="6E8995AE" w14:textId="77777777" w:rsidR="00BC3F52" w:rsidRPr="00B854A1" w:rsidRDefault="00BC3F52" w:rsidP="004348F7">
      <w:pPr>
        <w:pBdr>
          <w:top w:val="nil"/>
          <w:left w:val="nil"/>
          <w:bottom w:val="nil"/>
          <w:right w:val="nil"/>
          <w:between w:val="nil"/>
        </w:pBdr>
        <w:spacing w:after="0" w:line="480" w:lineRule="auto"/>
        <w:contextualSpacing/>
        <w:jc w:val="both"/>
        <w:rPr>
          <w:rFonts w:ascii="Arial" w:hAnsi="Arial" w:cs="Arial"/>
          <w:color w:val="000000" w:themeColor="text1"/>
        </w:rPr>
      </w:pPr>
    </w:p>
    <w:p w14:paraId="0934BAFF" w14:textId="21B39604" w:rsidR="004348F7" w:rsidRDefault="006B4CE7" w:rsidP="004348F7">
      <w:pPr>
        <w:pBdr>
          <w:top w:val="nil"/>
          <w:left w:val="nil"/>
          <w:bottom w:val="nil"/>
          <w:right w:val="nil"/>
          <w:between w:val="nil"/>
        </w:pBdr>
        <w:spacing w:after="0" w:line="480" w:lineRule="auto"/>
        <w:contextualSpacing/>
        <w:jc w:val="both"/>
        <w:rPr>
          <w:rFonts w:ascii="Arial" w:hAnsi="Arial" w:cs="Arial"/>
          <w:color w:val="000000" w:themeColor="text1"/>
        </w:rPr>
      </w:pPr>
      <w:r w:rsidRPr="00B854A1">
        <w:rPr>
          <w:rFonts w:ascii="Arial" w:hAnsi="Arial" w:cs="Arial"/>
          <w:color w:val="000000" w:themeColor="text1"/>
        </w:rPr>
        <w:t xml:space="preserve">Our network model </w:t>
      </w:r>
      <w:r w:rsidR="00226F36" w:rsidRPr="00B854A1">
        <w:rPr>
          <w:rFonts w:ascii="Arial" w:hAnsi="Arial" w:cs="Arial"/>
          <w:color w:val="000000" w:themeColor="text1"/>
        </w:rPr>
        <w:t xml:space="preserve">suggests </w:t>
      </w:r>
      <w:r w:rsidRPr="00B854A1">
        <w:rPr>
          <w:rFonts w:ascii="Arial" w:hAnsi="Arial" w:cs="Arial"/>
          <w:color w:val="000000" w:themeColor="text1"/>
        </w:rPr>
        <w:t xml:space="preserve">a mechanism for understanding how cancer fate can be determined through </w:t>
      </w:r>
      <w:r w:rsidR="00166FFC" w:rsidRPr="00B854A1">
        <w:rPr>
          <w:rFonts w:ascii="Arial" w:hAnsi="Arial" w:cs="Arial"/>
          <w:color w:val="000000" w:themeColor="text1"/>
        </w:rPr>
        <w:t xml:space="preserve">regulatory </w:t>
      </w:r>
      <w:r w:rsidR="00226F36" w:rsidRPr="00B854A1">
        <w:rPr>
          <w:rFonts w:ascii="Arial" w:hAnsi="Arial" w:cs="Arial"/>
          <w:color w:val="000000" w:themeColor="text1"/>
        </w:rPr>
        <w:t>switches and</w:t>
      </w:r>
      <w:r w:rsidRPr="00B854A1">
        <w:rPr>
          <w:rFonts w:ascii="Arial" w:hAnsi="Arial" w:cs="Arial"/>
          <w:color w:val="000000" w:themeColor="text1"/>
        </w:rPr>
        <w:t xml:space="preserve"> highlights several </w:t>
      </w:r>
      <w:r w:rsidR="00A005C5">
        <w:rPr>
          <w:rFonts w:ascii="Arial" w:hAnsi="Arial" w:cs="Arial"/>
          <w:color w:val="000000" w:themeColor="text1"/>
        </w:rPr>
        <w:t>new</w:t>
      </w:r>
      <w:r w:rsidRPr="00B854A1">
        <w:rPr>
          <w:rFonts w:ascii="Arial" w:hAnsi="Arial" w:cs="Arial"/>
          <w:color w:val="000000" w:themeColor="text1"/>
        </w:rPr>
        <w:t xml:space="preserve"> areas for further stud</w:t>
      </w:r>
      <w:r w:rsidR="00622776" w:rsidRPr="00B854A1">
        <w:rPr>
          <w:rFonts w:ascii="Arial" w:hAnsi="Arial" w:cs="Arial"/>
          <w:color w:val="000000" w:themeColor="text1"/>
        </w:rPr>
        <w:t>ies</w:t>
      </w:r>
      <w:r w:rsidRPr="00B854A1">
        <w:rPr>
          <w:rFonts w:ascii="Arial" w:hAnsi="Arial" w:cs="Arial"/>
          <w:color w:val="000000" w:themeColor="text1"/>
        </w:rPr>
        <w:t>.</w:t>
      </w:r>
      <w:r w:rsidR="00917AD6" w:rsidRPr="00B854A1">
        <w:rPr>
          <w:rFonts w:ascii="Arial" w:hAnsi="Arial" w:cs="Arial"/>
          <w:color w:val="000000" w:themeColor="text1"/>
        </w:rPr>
        <w:t xml:space="preserve"> It also </w:t>
      </w:r>
      <w:r w:rsidR="00B77851" w:rsidRPr="00B854A1">
        <w:rPr>
          <w:rFonts w:ascii="Arial" w:hAnsi="Arial" w:cs="Arial"/>
          <w:color w:val="000000" w:themeColor="text1"/>
        </w:rPr>
        <w:t>allows us to</w:t>
      </w:r>
      <w:r w:rsidR="00917AD6" w:rsidRPr="00B854A1">
        <w:rPr>
          <w:rFonts w:ascii="Arial" w:hAnsi="Arial" w:cs="Arial"/>
          <w:color w:val="000000" w:themeColor="text1"/>
        </w:rPr>
        <w:t xml:space="preserve"> </w:t>
      </w:r>
      <w:r w:rsidR="00B77851" w:rsidRPr="00B854A1">
        <w:rPr>
          <w:rFonts w:ascii="Arial" w:hAnsi="Arial" w:cs="Arial"/>
          <w:color w:val="000000" w:themeColor="text1"/>
        </w:rPr>
        <w:t>identify potentially importan</w:t>
      </w:r>
      <w:r w:rsidR="002F0868" w:rsidRPr="00B854A1">
        <w:rPr>
          <w:rFonts w:ascii="Arial" w:hAnsi="Arial" w:cs="Arial"/>
          <w:color w:val="000000" w:themeColor="text1"/>
        </w:rPr>
        <w:t>t</w:t>
      </w:r>
      <w:r w:rsidR="00A16051" w:rsidRPr="00B854A1">
        <w:rPr>
          <w:rFonts w:ascii="Arial" w:hAnsi="Arial" w:cs="Arial"/>
          <w:color w:val="000000" w:themeColor="text1"/>
        </w:rPr>
        <w:t xml:space="preserve"> </w:t>
      </w:r>
      <w:r w:rsidR="00917AD6" w:rsidRPr="00B854A1">
        <w:rPr>
          <w:rFonts w:ascii="Arial" w:hAnsi="Arial" w:cs="Arial"/>
          <w:color w:val="000000" w:themeColor="text1"/>
        </w:rPr>
        <w:t>discrepancies in experimental studies.</w:t>
      </w:r>
    </w:p>
    <w:p w14:paraId="508A0E93" w14:textId="77777777" w:rsidR="00C160A8" w:rsidRPr="00B854A1" w:rsidRDefault="00C160A8" w:rsidP="004348F7">
      <w:pPr>
        <w:pBdr>
          <w:top w:val="nil"/>
          <w:left w:val="nil"/>
          <w:bottom w:val="nil"/>
          <w:right w:val="nil"/>
          <w:between w:val="nil"/>
        </w:pBdr>
        <w:spacing w:after="0" w:line="480" w:lineRule="auto"/>
        <w:contextualSpacing/>
        <w:jc w:val="both"/>
        <w:rPr>
          <w:rFonts w:ascii="Arial" w:hAnsi="Arial" w:cs="Arial"/>
          <w:color w:val="000000" w:themeColor="text1"/>
        </w:rPr>
      </w:pPr>
    </w:p>
    <w:p w14:paraId="58959965" w14:textId="554B9DE8" w:rsidR="00C160A8" w:rsidRPr="00B854A1" w:rsidRDefault="00C160A8" w:rsidP="00C160A8">
      <w:pPr>
        <w:pBdr>
          <w:top w:val="nil"/>
          <w:left w:val="nil"/>
          <w:bottom w:val="nil"/>
          <w:right w:val="nil"/>
          <w:between w:val="nil"/>
        </w:pBdr>
        <w:spacing w:after="0" w:line="480" w:lineRule="auto"/>
        <w:contextualSpacing/>
        <w:jc w:val="both"/>
        <w:rPr>
          <w:rFonts w:ascii="Arial" w:hAnsi="Arial" w:cs="Arial"/>
          <w:b/>
          <w:color w:val="000000" w:themeColor="text1"/>
        </w:rPr>
      </w:pPr>
      <w:r w:rsidRPr="00B854A1">
        <w:rPr>
          <w:rFonts w:ascii="Arial" w:hAnsi="Arial" w:cs="Arial"/>
          <w:b/>
          <w:color w:val="000000" w:themeColor="text1"/>
        </w:rPr>
        <w:t>Methods</w:t>
      </w:r>
    </w:p>
    <w:p w14:paraId="7E2AAF6C" w14:textId="389AB262" w:rsidR="00C160A8" w:rsidRPr="007863B6" w:rsidRDefault="00363BDC" w:rsidP="00C160A8">
      <w:pPr>
        <w:pBdr>
          <w:top w:val="nil"/>
          <w:left w:val="nil"/>
          <w:bottom w:val="nil"/>
          <w:right w:val="nil"/>
          <w:between w:val="nil"/>
        </w:pBdr>
        <w:spacing w:line="480" w:lineRule="auto"/>
        <w:contextualSpacing/>
        <w:jc w:val="both"/>
        <w:rPr>
          <w:rFonts w:ascii="Arial" w:hAnsi="Arial" w:cs="Arial"/>
          <w:color w:val="70AD47" w:themeColor="accent6"/>
        </w:rPr>
      </w:pPr>
      <w:r w:rsidRPr="007863B6">
        <w:rPr>
          <w:rFonts w:ascii="Arial" w:eastAsia="Times New Roman" w:hAnsi="Arial" w:cs="Arial"/>
          <w:color w:val="70AD47" w:themeColor="accent6"/>
        </w:rPr>
        <w:t xml:space="preserve">Our research complies with all relevant ethical regulations. </w:t>
      </w:r>
      <w:r w:rsidRPr="007863B6">
        <w:rPr>
          <w:rFonts w:ascii="Arial" w:hAnsi="Arial" w:cs="Arial"/>
          <w:color w:val="70AD47" w:themeColor="accent6"/>
        </w:rPr>
        <w:t>The mouse study was undertaken under UK Home Office Licence granted to Dr. Kent (PEAD116C1) which was approved by the local AWERB committee and UK Home Office.</w:t>
      </w:r>
    </w:p>
    <w:p w14:paraId="21BA20B6" w14:textId="77777777" w:rsidR="00363BDC" w:rsidRPr="00363BDC" w:rsidRDefault="00363BDC" w:rsidP="00C160A8">
      <w:pPr>
        <w:pBdr>
          <w:top w:val="nil"/>
          <w:left w:val="nil"/>
          <w:bottom w:val="nil"/>
          <w:right w:val="nil"/>
          <w:between w:val="nil"/>
        </w:pBdr>
        <w:spacing w:line="480" w:lineRule="auto"/>
        <w:contextualSpacing/>
        <w:jc w:val="both"/>
        <w:rPr>
          <w:rFonts w:cstheme="minorHAnsi"/>
          <w:color w:val="000000" w:themeColor="text1"/>
        </w:rPr>
      </w:pPr>
    </w:p>
    <w:p w14:paraId="4698CC7A"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u w:val="single"/>
        </w:rPr>
      </w:pPr>
      <w:r w:rsidRPr="00B854A1">
        <w:rPr>
          <w:rFonts w:ascii="Arial" w:hAnsi="Arial" w:cs="Arial"/>
          <w:color w:val="000000" w:themeColor="text1"/>
          <w:u w:val="single"/>
        </w:rPr>
        <w:t>Analysis and visualisation of public cancer datasets</w:t>
      </w:r>
    </w:p>
    <w:p w14:paraId="6EE9431A"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p>
    <w:p w14:paraId="05C03409" w14:textId="06F6658F"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r w:rsidRPr="00677916">
        <w:rPr>
          <w:rFonts w:ascii="Arial" w:hAnsi="Arial" w:cs="Arial"/>
          <w:color w:val="70AD47" w:themeColor="accent6"/>
        </w:rPr>
        <w:t>AML patient data contains RNA sequencing information from 173 patients</w:t>
      </w:r>
      <w:r w:rsidRPr="00B854A1">
        <w:rPr>
          <w:rFonts w:ascii="Arial" w:hAnsi="Arial" w:cs="Arial"/>
          <w:color w:val="000000" w:themeColor="text1"/>
        </w:rPr>
        <w:t>. We used the logarithmic Transcripts Per Million (log</w:t>
      </w:r>
      <w:r>
        <w:rPr>
          <w:rFonts w:ascii="Arial" w:hAnsi="Arial" w:cs="Arial"/>
          <w:color w:val="000000" w:themeColor="text1"/>
        </w:rPr>
        <w:t>2</w:t>
      </w:r>
      <w:r w:rsidRPr="00B854A1">
        <w:rPr>
          <w:rFonts w:ascii="Arial" w:hAnsi="Arial" w:cs="Arial"/>
          <w:color w:val="000000" w:themeColor="text1"/>
        </w:rPr>
        <w:t xml:space="preserve"> TPM+1) normalised data. Low expressed genes are excluded (</w:t>
      </w:r>
      <w:r>
        <w:rPr>
          <w:rFonts w:ascii="Arial" w:hAnsi="Arial" w:cs="Arial"/>
          <w:color w:val="000000" w:themeColor="text1"/>
        </w:rPr>
        <w:t xml:space="preserve">defined as a gene for which more than </w:t>
      </w:r>
      <w:r w:rsidRPr="00B854A1">
        <w:rPr>
          <w:rFonts w:ascii="Arial" w:hAnsi="Arial" w:cs="Arial"/>
          <w:color w:val="000000" w:themeColor="text1"/>
        </w:rPr>
        <w:t xml:space="preserve">50 samples </w:t>
      </w:r>
      <w:r>
        <w:rPr>
          <w:rFonts w:ascii="Arial" w:hAnsi="Arial" w:cs="Arial"/>
          <w:color w:val="000000" w:themeColor="text1"/>
        </w:rPr>
        <w:t>have</w:t>
      </w:r>
      <w:r w:rsidRPr="00B854A1">
        <w:rPr>
          <w:rFonts w:ascii="Arial" w:hAnsi="Arial" w:cs="Arial"/>
          <w:color w:val="000000" w:themeColor="text1"/>
        </w:rPr>
        <w:t xml:space="preserve"> a TPM value less than one). The R package multimode [</w:t>
      </w:r>
      <w:r w:rsidRPr="00B854A1">
        <w:rPr>
          <w:rFonts w:ascii="Arial" w:hAnsi="Arial" w:cs="Arial"/>
          <w:color w:val="000000" w:themeColor="text1"/>
        </w:rPr>
        <w:fldChar w:fldCharType="begin"/>
      </w:r>
      <w:r w:rsidRPr="00B854A1">
        <w:rPr>
          <w:rFonts w:ascii="Arial" w:hAnsi="Arial" w:cs="Arial"/>
          <w:color w:val="000000" w:themeColor="text1"/>
        </w:rPr>
        <w:instrText xml:space="preserve"> REF BIB_ameijeiras2018multimode \* MERGEFORMAT </w:instrText>
      </w:r>
      <w:r w:rsidRPr="00B854A1">
        <w:rPr>
          <w:rFonts w:ascii="Arial" w:hAnsi="Arial" w:cs="Arial"/>
          <w:color w:val="000000" w:themeColor="text1"/>
        </w:rPr>
        <w:fldChar w:fldCharType="separate"/>
      </w:r>
      <w:r w:rsidRPr="00B854A1">
        <w:rPr>
          <w:rFonts w:ascii="Arial" w:hAnsi="Arial" w:cs="Arial"/>
          <w:color w:val="000000" w:themeColor="text1"/>
        </w:rPr>
        <w:t>21</w:t>
      </w:r>
      <w:r w:rsidRPr="00B854A1">
        <w:rPr>
          <w:rFonts w:ascii="Arial" w:hAnsi="Arial" w:cs="Arial"/>
          <w:color w:val="000000" w:themeColor="text1"/>
        </w:rPr>
        <w:fldChar w:fldCharType="end"/>
      </w:r>
      <w:r w:rsidRPr="00B854A1">
        <w:rPr>
          <w:rFonts w:ascii="Arial" w:hAnsi="Arial" w:cs="Arial"/>
          <w:color w:val="000000" w:themeColor="text1"/>
        </w:rPr>
        <w:t>] was used to determine the significance of gene expression bimodality and the</w:t>
      </w:r>
      <w:r w:rsidRPr="00B854A1">
        <w:rPr>
          <w:rFonts w:ascii="Arial" w:hAnsi="Arial" w:cs="Arial"/>
          <w:i/>
          <w:color w:val="000000" w:themeColor="text1"/>
        </w:rPr>
        <w:t xml:space="preserve"> modetest</w:t>
      </w:r>
      <w:r w:rsidRPr="00B854A1">
        <w:rPr>
          <w:rFonts w:ascii="Arial" w:hAnsi="Arial" w:cs="Arial"/>
          <w:color w:val="000000" w:themeColor="text1"/>
        </w:rPr>
        <w:t xml:space="preserve"> command to reject unimodality with the default ACR (Ameijeiras-Crujeiras-Rodríguez) method, a </w:t>
      </w:r>
      <w:r w:rsidRPr="00B854A1">
        <w:rPr>
          <w:rFonts w:ascii="Arial" w:hAnsi="Arial" w:cs="Arial"/>
          <w:color w:val="000000" w:themeColor="text1"/>
        </w:rPr>
        <w:lastRenderedPageBreak/>
        <w:t>multimodality test combining the use of a critical bandwidth and an excess mass statistic [</w:t>
      </w:r>
      <w:r w:rsidRPr="00B854A1">
        <w:rPr>
          <w:rFonts w:ascii="Arial" w:hAnsi="Arial" w:cs="Arial"/>
          <w:color w:val="000000" w:themeColor="text1"/>
        </w:rPr>
        <w:fldChar w:fldCharType="begin"/>
      </w:r>
      <w:r w:rsidRPr="00B854A1">
        <w:rPr>
          <w:rFonts w:ascii="Arial" w:hAnsi="Arial" w:cs="Arial"/>
          <w:color w:val="000000" w:themeColor="text1"/>
        </w:rPr>
        <w:instrText xml:space="preserve"> REF BIB_ameijeiras2019mode \* MERGEFORMAT </w:instrText>
      </w:r>
      <w:r w:rsidRPr="00B854A1">
        <w:rPr>
          <w:rFonts w:ascii="Arial" w:hAnsi="Arial" w:cs="Arial"/>
          <w:color w:val="000000" w:themeColor="text1"/>
        </w:rPr>
        <w:fldChar w:fldCharType="separate"/>
      </w:r>
      <w:r w:rsidRPr="00B854A1">
        <w:rPr>
          <w:rFonts w:ascii="Arial" w:hAnsi="Arial" w:cs="Arial"/>
          <w:color w:val="000000" w:themeColor="text1"/>
        </w:rPr>
        <w:t>22</w:t>
      </w:r>
      <w:r w:rsidRPr="00B854A1">
        <w:rPr>
          <w:rFonts w:ascii="Arial" w:hAnsi="Arial" w:cs="Arial"/>
          <w:color w:val="000000" w:themeColor="text1"/>
        </w:rPr>
        <w:fldChar w:fldCharType="end"/>
      </w:r>
      <w:r w:rsidRPr="00B854A1">
        <w:rPr>
          <w:rFonts w:ascii="Arial" w:hAnsi="Arial" w:cs="Arial"/>
          <w:color w:val="000000" w:themeColor="text1"/>
        </w:rPr>
        <w:t>], using a p-value of 0.05. We used the R package Survival [</w:t>
      </w:r>
      <w:r w:rsidRPr="00B854A1">
        <w:rPr>
          <w:rFonts w:ascii="Arial" w:hAnsi="Arial" w:cs="Arial"/>
          <w:color w:val="000000" w:themeColor="text1"/>
        </w:rPr>
        <w:fldChar w:fldCharType="begin"/>
      </w:r>
      <w:r w:rsidRPr="00B854A1">
        <w:rPr>
          <w:rFonts w:ascii="Arial" w:hAnsi="Arial" w:cs="Arial"/>
          <w:color w:val="000000" w:themeColor="text1"/>
        </w:rPr>
        <w:instrText xml:space="preserve"> REF BIB_therneau2013r \* MERGEFORMAT </w:instrText>
      </w:r>
      <w:r w:rsidRPr="00B854A1">
        <w:rPr>
          <w:rFonts w:ascii="Arial" w:hAnsi="Arial" w:cs="Arial"/>
          <w:color w:val="000000" w:themeColor="text1"/>
        </w:rPr>
        <w:fldChar w:fldCharType="separate"/>
      </w:r>
      <w:r w:rsidRPr="00B854A1">
        <w:rPr>
          <w:rFonts w:ascii="Arial" w:hAnsi="Arial" w:cs="Arial"/>
          <w:color w:val="000000" w:themeColor="text1"/>
        </w:rPr>
        <w:t>23</w:t>
      </w:r>
      <w:r w:rsidRPr="00B854A1">
        <w:rPr>
          <w:rFonts w:ascii="Arial" w:hAnsi="Arial" w:cs="Arial"/>
          <w:color w:val="000000" w:themeColor="text1"/>
        </w:rPr>
        <w:fldChar w:fldCharType="end"/>
      </w:r>
      <w:r w:rsidRPr="00B854A1">
        <w:rPr>
          <w:rFonts w:ascii="Arial" w:hAnsi="Arial" w:cs="Arial"/>
          <w:color w:val="000000" w:themeColor="text1"/>
        </w:rPr>
        <w:t>] to plot the survival curves and compute the p-values of the log rank test. We plotted Sankey diagrams with the Plotly Python Open Source Graphing library (available at https://plot.ly).</w:t>
      </w:r>
    </w:p>
    <w:p w14:paraId="3998ECDA"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p>
    <w:p w14:paraId="3AC327C9"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u w:val="single"/>
        </w:rPr>
      </w:pPr>
      <w:r w:rsidRPr="00B854A1">
        <w:rPr>
          <w:rFonts w:ascii="Arial" w:hAnsi="Arial" w:cs="Arial"/>
          <w:color w:val="000000" w:themeColor="text1"/>
          <w:u w:val="single"/>
        </w:rPr>
        <w:t>Differentially expressed genes in HOXA9 cohorts</w:t>
      </w:r>
    </w:p>
    <w:p w14:paraId="6BDA1386"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p>
    <w:p w14:paraId="282BDCCA" w14:textId="37CCC880"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r w:rsidRPr="00B854A1">
        <w:rPr>
          <w:rFonts w:ascii="Arial" w:hAnsi="Arial" w:cs="Arial"/>
          <w:color w:val="000000" w:themeColor="text1"/>
        </w:rPr>
        <w:t xml:space="preserve">We used a python script to separate patients between the two </w:t>
      </w:r>
      <w:r w:rsidRPr="00B854A1">
        <w:rPr>
          <w:rFonts w:ascii="Arial" w:hAnsi="Arial" w:cs="Arial"/>
          <w:i/>
          <w:color w:val="000000" w:themeColor="text1"/>
        </w:rPr>
        <w:t>HOXA9</w:t>
      </w:r>
      <w:r w:rsidRPr="00B854A1">
        <w:rPr>
          <w:rFonts w:ascii="Arial" w:hAnsi="Arial" w:cs="Arial"/>
          <w:color w:val="000000" w:themeColor="text1"/>
        </w:rPr>
        <w:t xml:space="preserve"> expression peaks found in the AML data from TCGA. 40 patients are found in the low peak (Fig. </w:t>
      </w:r>
      <w:r w:rsidR="000E5EF7" w:rsidRPr="000E5EF7">
        <w:rPr>
          <w:rFonts w:ascii="Arial" w:hAnsi="Arial" w:cs="Arial"/>
          <w:color w:val="70AD47" w:themeColor="accent6"/>
        </w:rPr>
        <w:t>2</w:t>
      </w:r>
      <w:r w:rsidR="00D13BF6">
        <w:rPr>
          <w:rFonts w:ascii="Arial" w:hAnsi="Arial" w:cs="Arial"/>
          <w:color w:val="70AD47" w:themeColor="accent6"/>
        </w:rPr>
        <w:t>a</w:t>
      </w:r>
      <w:r w:rsidRPr="00B854A1">
        <w:rPr>
          <w:rFonts w:ascii="Arial" w:hAnsi="Arial" w:cs="Arial"/>
          <w:color w:val="000000" w:themeColor="text1"/>
        </w:rPr>
        <w:t xml:space="preserve">), in which we remove the 9 patients with a null value for </w:t>
      </w:r>
      <w:r w:rsidRPr="00B854A1">
        <w:rPr>
          <w:rFonts w:ascii="Arial" w:hAnsi="Arial" w:cs="Arial"/>
          <w:i/>
          <w:color w:val="000000" w:themeColor="text1"/>
        </w:rPr>
        <w:t>HOXA9</w:t>
      </w:r>
      <w:r w:rsidRPr="00B854A1">
        <w:rPr>
          <w:rFonts w:ascii="Arial" w:hAnsi="Arial" w:cs="Arial"/>
          <w:color w:val="000000" w:themeColor="text1"/>
        </w:rPr>
        <w:t xml:space="preserve"> expression. We defined the high peak as the 80 patients with an expression between 4 and 5.5 for </w:t>
      </w:r>
      <w:r w:rsidRPr="00A349E7">
        <w:rPr>
          <w:rFonts w:ascii="Arial" w:hAnsi="Arial" w:cs="Arial"/>
          <w:i/>
          <w:iCs/>
          <w:color w:val="000000" w:themeColor="text1"/>
        </w:rPr>
        <w:t>HOXA9</w:t>
      </w:r>
      <w:r w:rsidRPr="00B854A1">
        <w:rPr>
          <w:rFonts w:ascii="Arial" w:hAnsi="Arial" w:cs="Arial"/>
          <w:color w:val="000000" w:themeColor="text1"/>
        </w:rPr>
        <w:t xml:space="preserve">. We found that subsequent analyses are robust to alternative high peak thresholds (Fig. S1). We compute the absolute difference of the mean expression of each gene between each cohort to find the genes which are most differentially expressed between the two groups of patients. We subsequently ranked the genes from the highest to the lowest absolute difference and take the top 30 genes from this list. This workflow was repeated using the fold change between cohorts. The top 30 genes from this set predominantly included either genes in the HOX family or genes with no determined role in haematopoiesis. This finding coincides with subsequent analyses of </w:t>
      </w:r>
      <w:r w:rsidRPr="00A349E7">
        <w:rPr>
          <w:rFonts w:ascii="Arial" w:hAnsi="Arial" w:cs="Arial"/>
          <w:i/>
          <w:iCs/>
          <w:color w:val="000000" w:themeColor="text1"/>
        </w:rPr>
        <w:t>HOXA9</w:t>
      </w:r>
      <w:r w:rsidRPr="00B854A1">
        <w:rPr>
          <w:rFonts w:ascii="Arial" w:hAnsi="Arial" w:cs="Arial"/>
          <w:color w:val="000000" w:themeColor="text1"/>
        </w:rPr>
        <w:t xml:space="preserve"> cohorts using the R package DESeq2 [</w:t>
      </w:r>
      <w:r w:rsidRPr="00B854A1">
        <w:rPr>
          <w:rFonts w:ascii="Arial" w:hAnsi="Arial" w:cs="Arial"/>
          <w:color w:val="000000" w:themeColor="text1"/>
        </w:rPr>
        <w:fldChar w:fldCharType="begin"/>
      </w:r>
      <w:r w:rsidRPr="00B854A1">
        <w:rPr>
          <w:rFonts w:ascii="Arial" w:hAnsi="Arial" w:cs="Arial"/>
          <w:color w:val="000000" w:themeColor="text1"/>
        </w:rPr>
        <w:instrText xml:space="preserve"> REF BIB_love2014differential \* MERGEFORMAT </w:instrText>
      </w:r>
      <w:r w:rsidRPr="00B854A1">
        <w:rPr>
          <w:rFonts w:ascii="Arial" w:hAnsi="Arial" w:cs="Arial"/>
          <w:color w:val="000000" w:themeColor="text1"/>
        </w:rPr>
        <w:fldChar w:fldCharType="separate"/>
      </w:r>
      <w:r w:rsidRPr="00B854A1">
        <w:rPr>
          <w:rFonts w:ascii="Arial" w:hAnsi="Arial" w:cs="Arial"/>
          <w:color w:val="000000" w:themeColor="text1"/>
        </w:rPr>
        <w:t>24</w:t>
      </w:r>
      <w:r w:rsidRPr="00B854A1">
        <w:rPr>
          <w:rFonts w:ascii="Arial" w:hAnsi="Arial" w:cs="Arial"/>
          <w:color w:val="000000" w:themeColor="text1"/>
        </w:rPr>
        <w:fldChar w:fldCharType="end"/>
      </w:r>
      <w:r w:rsidRPr="00B854A1">
        <w:rPr>
          <w:rFonts w:ascii="Arial" w:hAnsi="Arial" w:cs="Arial"/>
          <w:color w:val="000000" w:themeColor="text1"/>
        </w:rPr>
        <w:t>] in which differentially expressed genes cannot be classified into specific hematopoietic functions (Fig. S2).</w:t>
      </w:r>
    </w:p>
    <w:p w14:paraId="35C1F472"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p>
    <w:p w14:paraId="6CCB82B1"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u w:val="single"/>
        </w:rPr>
      </w:pPr>
      <w:r w:rsidRPr="00B854A1">
        <w:rPr>
          <w:rFonts w:ascii="Arial" w:hAnsi="Arial" w:cs="Arial"/>
          <w:color w:val="000000" w:themeColor="text1"/>
          <w:u w:val="single"/>
        </w:rPr>
        <w:t>Microarray data analysis</w:t>
      </w:r>
    </w:p>
    <w:p w14:paraId="5661B2DD"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p>
    <w:p w14:paraId="7D17BE25" w14:textId="5CDC2AB7" w:rsidR="00C160A8" w:rsidRPr="00534FE4" w:rsidRDefault="00C160A8" w:rsidP="00C160A8">
      <w:pPr>
        <w:pBdr>
          <w:top w:val="nil"/>
          <w:left w:val="nil"/>
          <w:bottom w:val="nil"/>
          <w:right w:val="nil"/>
          <w:between w:val="nil"/>
        </w:pBdr>
        <w:spacing w:line="480" w:lineRule="auto"/>
        <w:contextualSpacing/>
        <w:jc w:val="both"/>
        <w:rPr>
          <w:rFonts w:ascii="Arial" w:hAnsi="Arial" w:cs="Arial"/>
          <w:color w:val="70AD47" w:themeColor="accent6"/>
        </w:rPr>
      </w:pPr>
      <w:r w:rsidRPr="00534FE4">
        <w:rPr>
          <w:rFonts w:ascii="Arial" w:hAnsi="Arial" w:cs="Arial"/>
          <w:color w:val="70AD47" w:themeColor="accent6"/>
        </w:rPr>
        <w:t>While 12 samples are described in the paper we used for the MPN mouse transcriptomic data [</w:t>
      </w:r>
      <w:r w:rsidRPr="00534FE4">
        <w:rPr>
          <w:rFonts w:ascii="Arial" w:hAnsi="Arial" w:cs="Arial"/>
          <w:color w:val="70AD47" w:themeColor="accent6"/>
        </w:rPr>
        <w:fldChar w:fldCharType="begin"/>
      </w:r>
      <w:r w:rsidRPr="00534FE4">
        <w:rPr>
          <w:rFonts w:ascii="Arial" w:hAnsi="Arial" w:cs="Arial"/>
          <w:color w:val="70AD47" w:themeColor="accent6"/>
        </w:rPr>
        <w:instrText xml:space="preserve"> REF BIB_chen2015distinct \* MERGEFORMAT </w:instrText>
      </w:r>
      <w:r w:rsidRPr="00534FE4">
        <w:rPr>
          <w:rFonts w:ascii="Arial" w:hAnsi="Arial" w:cs="Arial"/>
          <w:color w:val="70AD47" w:themeColor="accent6"/>
        </w:rPr>
        <w:fldChar w:fldCharType="separate"/>
      </w:r>
      <w:r w:rsidRPr="00534FE4">
        <w:rPr>
          <w:rFonts w:ascii="Arial" w:hAnsi="Arial" w:cs="Arial"/>
          <w:color w:val="70AD47" w:themeColor="accent6"/>
        </w:rPr>
        <w:t>25</w:t>
      </w:r>
      <w:r w:rsidRPr="00534FE4">
        <w:rPr>
          <w:rFonts w:ascii="Arial" w:hAnsi="Arial" w:cs="Arial"/>
          <w:color w:val="70AD47" w:themeColor="accent6"/>
        </w:rPr>
        <w:fldChar w:fldCharType="end"/>
      </w:r>
      <w:r w:rsidRPr="00534FE4">
        <w:rPr>
          <w:rFonts w:ascii="Arial" w:hAnsi="Arial" w:cs="Arial"/>
          <w:color w:val="70AD47" w:themeColor="accent6"/>
        </w:rPr>
        <w:t>], only 11 could be found in the public data, with one wild type sample missing in the microarray.</w:t>
      </w:r>
    </w:p>
    <w:p w14:paraId="12E686EF"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p>
    <w:p w14:paraId="30D32B1C"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r w:rsidRPr="00B854A1">
        <w:rPr>
          <w:rFonts w:ascii="Arial" w:hAnsi="Arial" w:cs="Arial"/>
          <w:color w:val="000000" w:themeColor="text1"/>
        </w:rPr>
        <w:t>For analysis, from the set of all transcripts in the microarray, the genes with a low detection p-value (below 0.05) were filtered and transformed with quantile normalisation. The ComplexHeatmap R library was used to plot the heatmaps [</w:t>
      </w:r>
      <w:r w:rsidRPr="00B854A1">
        <w:rPr>
          <w:rFonts w:ascii="Arial" w:hAnsi="Arial" w:cs="Arial"/>
          <w:color w:val="000000" w:themeColor="text1"/>
        </w:rPr>
        <w:fldChar w:fldCharType="begin"/>
      </w:r>
      <w:r w:rsidRPr="00B854A1">
        <w:rPr>
          <w:rFonts w:ascii="Arial" w:hAnsi="Arial" w:cs="Arial"/>
          <w:color w:val="000000" w:themeColor="text1"/>
        </w:rPr>
        <w:instrText xml:space="preserve"> REF BIB_gu2016complex \* MERGEFORMAT </w:instrText>
      </w:r>
      <w:r w:rsidRPr="00B854A1">
        <w:rPr>
          <w:rFonts w:ascii="Arial" w:hAnsi="Arial" w:cs="Arial"/>
          <w:color w:val="000000" w:themeColor="text1"/>
        </w:rPr>
        <w:fldChar w:fldCharType="separate"/>
      </w:r>
      <w:r w:rsidRPr="00B854A1">
        <w:rPr>
          <w:rFonts w:ascii="Arial" w:hAnsi="Arial" w:cs="Arial"/>
          <w:color w:val="000000" w:themeColor="text1"/>
        </w:rPr>
        <w:t>26</w:t>
      </w:r>
      <w:r w:rsidRPr="00B854A1">
        <w:rPr>
          <w:rFonts w:ascii="Arial" w:hAnsi="Arial" w:cs="Arial"/>
          <w:color w:val="000000" w:themeColor="text1"/>
        </w:rPr>
        <w:fldChar w:fldCharType="end"/>
      </w:r>
      <w:r w:rsidRPr="00B854A1">
        <w:rPr>
          <w:rFonts w:ascii="Arial" w:hAnsi="Arial" w:cs="Arial"/>
          <w:color w:val="000000" w:themeColor="text1"/>
        </w:rPr>
        <w:t>].</w:t>
      </w:r>
    </w:p>
    <w:p w14:paraId="30299210"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p>
    <w:p w14:paraId="45D52ED4"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u w:val="single"/>
        </w:rPr>
      </w:pPr>
      <w:r w:rsidRPr="00B854A1">
        <w:rPr>
          <w:rFonts w:ascii="Arial" w:hAnsi="Arial" w:cs="Arial"/>
          <w:color w:val="000000" w:themeColor="text1"/>
          <w:u w:val="single"/>
        </w:rPr>
        <w:t>XGBoost</w:t>
      </w:r>
    </w:p>
    <w:p w14:paraId="1E724BA4"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p>
    <w:p w14:paraId="21CC9724"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r w:rsidRPr="00B854A1">
        <w:rPr>
          <w:rFonts w:ascii="Arial" w:hAnsi="Arial" w:cs="Arial"/>
          <w:color w:val="000000" w:themeColor="text1"/>
        </w:rPr>
        <w:t>XGBoost (</w:t>
      </w:r>
      <w:r w:rsidRPr="00771EC2">
        <w:rPr>
          <w:rFonts w:ascii="Arial" w:hAnsi="Arial" w:cs="Arial"/>
          <w:color w:val="000000" w:themeColor="text1"/>
        </w:rPr>
        <w:t>eXtreme Gradient Boosting</w:t>
      </w:r>
      <w:r w:rsidRPr="00B854A1">
        <w:rPr>
          <w:rFonts w:ascii="Arial" w:hAnsi="Arial" w:cs="Arial"/>
          <w:color w:val="000000" w:themeColor="text1"/>
        </w:rPr>
        <w:t xml:space="preserve">) was used to rank different gene pathways that have been well described in cancer to identify which pathways and genes amongst these pathways have the highest correlation with </w:t>
      </w:r>
      <w:r w:rsidRPr="00B854A1">
        <w:rPr>
          <w:rFonts w:ascii="Arial" w:hAnsi="Arial" w:cs="Arial"/>
          <w:i/>
          <w:color w:val="000000" w:themeColor="text1"/>
        </w:rPr>
        <w:t>JAK2</w:t>
      </w:r>
      <w:r w:rsidRPr="00B854A1">
        <w:rPr>
          <w:rFonts w:ascii="Arial" w:hAnsi="Arial" w:cs="Arial"/>
          <w:color w:val="000000" w:themeColor="text1"/>
        </w:rPr>
        <w:t xml:space="preserve"> and its expression level in the AML patients [</w:t>
      </w:r>
      <w:r w:rsidRPr="00B854A1">
        <w:rPr>
          <w:rFonts w:ascii="Arial" w:hAnsi="Arial" w:cs="Arial"/>
          <w:color w:val="000000" w:themeColor="text1"/>
        </w:rPr>
        <w:fldChar w:fldCharType="begin"/>
      </w:r>
      <w:r w:rsidRPr="00B854A1">
        <w:rPr>
          <w:rFonts w:ascii="Arial" w:hAnsi="Arial" w:cs="Arial"/>
          <w:color w:val="000000" w:themeColor="text1"/>
        </w:rPr>
        <w:instrText xml:space="preserve"> REF BIB_chen2016xgboost \* MERGEFORMAT </w:instrText>
      </w:r>
      <w:r w:rsidRPr="00B854A1">
        <w:rPr>
          <w:rFonts w:ascii="Arial" w:hAnsi="Arial" w:cs="Arial"/>
          <w:color w:val="000000" w:themeColor="text1"/>
        </w:rPr>
        <w:fldChar w:fldCharType="separate"/>
      </w:r>
      <w:r w:rsidRPr="00B854A1">
        <w:rPr>
          <w:rFonts w:ascii="Arial" w:hAnsi="Arial" w:cs="Arial"/>
          <w:color w:val="000000" w:themeColor="text1"/>
        </w:rPr>
        <w:t>27</w:t>
      </w:r>
      <w:r w:rsidRPr="00B854A1">
        <w:rPr>
          <w:rFonts w:ascii="Arial" w:hAnsi="Arial" w:cs="Arial"/>
          <w:color w:val="000000" w:themeColor="text1"/>
        </w:rPr>
        <w:fldChar w:fldCharType="end"/>
      </w:r>
      <w:r w:rsidRPr="00B854A1">
        <w:rPr>
          <w:rFonts w:ascii="Arial" w:hAnsi="Arial" w:cs="Arial"/>
          <w:color w:val="000000" w:themeColor="text1"/>
        </w:rPr>
        <w:t>]. 13 pathways were chosen through the literature (Table S4). A model is trained and validated for each pathway. More details can be found in the Supplementary Information.</w:t>
      </w:r>
    </w:p>
    <w:p w14:paraId="40CEFB46"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p>
    <w:p w14:paraId="5F8A72F0"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u w:val="single"/>
        </w:rPr>
      </w:pPr>
      <w:r w:rsidRPr="00B854A1">
        <w:rPr>
          <w:rFonts w:ascii="Arial" w:hAnsi="Arial" w:cs="Arial"/>
          <w:color w:val="000000" w:themeColor="text1"/>
          <w:u w:val="single"/>
        </w:rPr>
        <w:t>Executable network model of MPN</w:t>
      </w:r>
    </w:p>
    <w:p w14:paraId="5D68381A" w14:textId="77777777" w:rsidR="00C160A8" w:rsidRPr="00B854A1" w:rsidRDefault="00C160A8" w:rsidP="00C160A8">
      <w:pPr>
        <w:pBdr>
          <w:top w:val="nil"/>
          <w:left w:val="nil"/>
          <w:bottom w:val="nil"/>
          <w:right w:val="nil"/>
          <w:between w:val="nil"/>
        </w:pBdr>
        <w:spacing w:line="480" w:lineRule="auto"/>
        <w:contextualSpacing/>
        <w:jc w:val="both"/>
        <w:rPr>
          <w:rFonts w:ascii="Arial" w:hAnsi="Arial" w:cs="Arial"/>
          <w:color w:val="000000" w:themeColor="text1"/>
          <w:u w:val="single"/>
        </w:rPr>
      </w:pPr>
    </w:p>
    <w:p w14:paraId="023D3243" w14:textId="77777777" w:rsidR="00C160A8"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r w:rsidRPr="00B854A1">
        <w:rPr>
          <w:rFonts w:ascii="Arial" w:hAnsi="Arial" w:cs="Arial"/>
          <w:color w:val="000000" w:themeColor="text1"/>
        </w:rPr>
        <w:t xml:space="preserve">Computational models of MPN cancer fate determination were constructed as a qualitative network (QN) in the </w:t>
      </w:r>
      <w:r w:rsidRPr="00B854A1">
        <w:rPr>
          <w:rFonts w:ascii="Arial" w:hAnsi="Arial" w:cs="Arial"/>
          <w:color w:val="000000" w:themeColor="text1"/>
        </w:rPr>
        <w:lastRenderedPageBreak/>
        <w:t>BioModelAnalyzer [</w:t>
      </w:r>
      <w:r w:rsidRPr="00B854A1">
        <w:rPr>
          <w:rFonts w:ascii="Arial" w:hAnsi="Arial" w:cs="Arial"/>
          <w:color w:val="000000" w:themeColor="text1"/>
        </w:rPr>
        <w:fldChar w:fldCharType="begin"/>
      </w:r>
      <w:r w:rsidRPr="00B854A1">
        <w:rPr>
          <w:rFonts w:ascii="Arial" w:hAnsi="Arial" w:cs="Arial"/>
          <w:color w:val="000000" w:themeColor="text1"/>
        </w:rPr>
        <w:instrText xml:space="preserve"> REF BIB_benque2012bma \* MERGEFORMAT </w:instrText>
      </w:r>
      <w:r w:rsidRPr="00B854A1">
        <w:rPr>
          <w:rFonts w:ascii="Arial" w:hAnsi="Arial" w:cs="Arial"/>
          <w:color w:val="000000" w:themeColor="text1"/>
        </w:rPr>
        <w:fldChar w:fldCharType="separate"/>
      </w:r>
      <w:r w:rsidRPr="00B854A1">
        <w:rPr>
          <w:rFonts w:ascii="Arial" w:hAnsi="Arial" w:cs="Arial"/>
          <w:color w:val="000000" w:themeColor="text1"/>
        </w:rPr>
        <w:t>28</w:t>
      </w:r>
      <w:r w:rsidRPr="00B854A1">
        <w:rPr>
          <w:rFonts w:ascii="Arial" w:hAnsi="Arial" w:cs="Arial"/>
          <w:color w:val="000000" w:themeColor="text1"/>
        </w:rPr>
        <w:fldChar w:fldCharType="end"/>
      </w:r>
      <w:r w:rsidRPr="00B854A1">
        <w:rPr>
          <w:rFonts w:ascii="Arial" w:hAnsi="Arial" w:cs="Arial"/>
          <w:color w:val="000000" w:themeColor="text1"/>
        </w:rPr>
        <w:t>]. This process is described in more detail in Supplemental methods, but briefly QNs are constructed from reported gene interactions in the wider literature, and refined by testing model behaviour against reported phenotypes.</w:t>
      </w:r>
    </w:p>
    <w:p w14:paraId="00BDEEA3" w14:textId="77777777" w:rsidR="00C160A8" w:rsidRDefault="00C160A8" w:rsidP="00C160A8">
      <w:pPr>
        <w:pBdr>
          <w:top w:val="nil"/>
          <w:left w:val="nil"/>
          <w:bottom w:val="nil"/>
          <w:right w:val="nil"/>
          <w:between w:val="nil"/>
        </w:pBdr>
        <w:spacing w:line="480" w:lineRule="auto"/>
        <w:contextualSpacing/>
        <w:jc w:val="both"/>
        <w:rPr>
          <w:rFonts w:ascii="Arial" w:hAnsi="Arial" w:cs="Arial"/>
          <w:color w:val="000000" w:themeColor="text1"/>
          <w:u w:val="single"/>
        </w:rPr>
      </w:pPr>
    </w:p>
    <w:p w14:paraId="1178A2D6" w14:textId="77777777" w:rsidR="00C160A8" w:rsidRPr="002C6F32" w:rsidRDefault="00C160A8" w:rsidP="00C160A8">
      <w:pPr>
        <w:pBdr>
          <w:top w:val="nil"/>
          <w:left w:val="nil"/>
          <w:bottom w:val="nil"/>
          <w:right w:val="nil"/>
          <w:between w:val="nil"/>
        </w:pBdr>
        <w:spacing w:line="480" w:lineRule="auto"/>
        <w:contextualSpacing/>
        <w:jc w:val="both"/>
        <w:rPr>
          <w:rFonts w:ascii="Arial" w:hAnsi="Arial" w:cs="Arial"/>
          <w:color w:val="000000" w:themeColor="text1"/>
          <w:u w:val="single"/>
        </w:rPr>
      </w:pPr>
      <w:r w:rsidRPr="002C6F32">
        <w:rPr>
          <w:rFonts w:ascii="Arial" w:hAnsi="Arial" w:cs="Arial"/>
          <w:color w:val="000000" w:themeColor="text1"/>
          <w:u w:val="single"/>
        </w:rPr>
        <w:t xml:space="preserve">Experimental validation of </w:t>
      </w:r>
      <w:r w:rsidRPr="007B6077">
        <w:rPr>
          <w:rFonts w:ascii="Arial" w:hAnsi="Arial" w:cs="Arial"/>
          <w:i/>
          <w:iCs/>
          <w:color w:val="000000" w:themeColor="text1"/>
          <w:u w:val="single"/>
        </w:rPr>
        <w:t>JAK2</w:t>
      </w:r>
      <w:r w:rsidRPr="002C6F32">
        <w:rPr>
          <w:rFonts w:ascii="Arial" w:hAnsi="Arial" w:cs="Arial"/>
          <w:color w:val="000000" w:themeColor="text1"/>
          <w:u w:val="single"/>
        </w:rPr>
        <w:t>/</w:t>
      </w:r>
      <w:r w:rsidRPr="007B6077">
        <w:rPr>
          <w:rFonts w:ascii="Arial" w:hAnsi="Arial" w:cs="Arial"/>
          <w:i/>
          <w:iCs/>
          <w:color w:val="000000" w:themeColor="text1"/>
          <w:u w:val="single"/>
        </w:rPr>
        <w:t xml:space="preserve">HOXA9 </w:t>
      </w:r>
      <w:r w:rsidRPr="002C6F32">
        <w:rPr>
          <w:rFonts w:ascii="Arial" w:hAnsi="Arial" w:cs="Arial"/>
          <w:color w:val="000000" w:themeColor="text1"/>
          <w:u w:val="single"/>
        </w:rPr>
        <w:t>interaction</w:t>
      </w:r>
    </w:p>
    <w:p w14:paraId="5C0B9804" w14:textId="77777777" w:rsidR="00C160A8" w:rsidRPr="002C6F32" w:rsidRDefault="00C160A8" w:rsidP="00C160A8">
      <w:pPr>
        <w:spacing w:after="160" w:line="259" w:lineRule="auto"/>
        <w:rPr>
          <w:rFonts w:ascii="Arial" w:hAnsi="Arial" w:cs="Arial"/>
          <w:b/>
          <w:color w:val="000000" w:themeColor="text1"/>
        </w:rPr>
      </w:pPr>
    </w:p>
    <w:p w14:paraId="43D3CBF1" w14:textId="1D784913" w:rsidR="00C160A8" w:rsidRPr="00CA7982" w:rsidRDefault="00C160A8" w:rsidP="00C160A8">
      <w:pPr>
        <w:spacing w:line="480" w:lineRule="auto"/>
        <w:jc w:val="both"/>
        <w:rPr>
          <w:rFonts w:ascii="Arial" w:hAnsi="Arial" w:cs="Arial"/>
          <w:bCs/>
          <w:color w:val="000000" w:themeColor="text1"/>
        </w:rPr>
      </w:pPr>
      <w:r w:rsidRPr="002C6F32">
        <w:rPr>
          <w:rFonts w:ascii="Arial" w:hAnsi="Arial" w:cs="Arial"/>
          <w:bCs/>
          <w:color w:val="000000" w:themeColor="text1"/>
        </w:rPr>
        <w:t xml:space="preserve">Full details are presented in Supplementary Methods. </w:t>
      </w:r>
      <w:r w:rsidRPr="007863B6">
        <w:rPr>
          <w:rFonts w:ascii="Arial" w:hAnsi="Arial" w:cs="Arial"/>
          <w:bCs/>
          <w:color w:val="70AD47" w:themeColor="accent6"/>
        </w:rPr>
        <w:t>Briefly,</w:t>
      </w:r>
      <w:r w:rsidR="00363BDC" w:rsidRPr="007863B6">
        <w:rPr>
          <w:rFonts w:ascii="Arial" w:hAnsi="Arial" w:cs="Arial"/>
          <w:bCs/>
          <w:color w:val="70AD47" w:themeColor="accent6"/>
        </w:rPr>
        <w:t xml:space="preserve"> all mice are originally on a C57/Bl6 background with the TET2 mice originally obtained via Prof. Anjana Rao (La Jolla, USA) and the JAK2 V617F mice obtained via Prof. Anthony Green (Cambridge, UK)</w:t>
      </w:r>
      <w:r w:rsidRPr="007863B6">
        <w:rPr>
          <w:rFonts w:ascii="Arial" w:hAnsi="Arial" w:cs="Arial"/>
          <w:bCs/>
          <w:color w:val="70AD47" w:themeColor="accent6"/>
        </w:rPr>
        <w:t>.</w:t>
      </w:r>
      <w:r w:rsidRPr="002C6F32">
        <w:rPr>
          <w:rFonts w:ascii="Arial" w:hAnsi="Arial" w:cs="Arial"/>
          <w:bCs/>
          <w:color w:val="000000" w:themeColor="text1"/>
        </w:rPr>
        <w:t xml:space="preserve"> Haemopoetic stem cells were isolated by flow cytometry cell sorting and cultured</w:t>
      </w:r>
      <w:r w:rsidR="00C01D7D">
        <w:rPr>
          <w:rFonts w:ascii="Arial" w:hAnsi="Arial" w:cs="Arial"/>
          <w:bCs/>
          <w:color w:val="000000" w:themeColor="text1"/>
        </w:rPr>
        <w:t xml:space="preserve"> (</w:t>
      </w:r>
      <w:r w:rsidR="00C01D7D" w:rsidRPr="00C01D7D">
        <w:rPr>
          <w:rFonts w:ascii="Arial" w:hAnsi="Arial" w:cs="Arial"/>
          <w:bCs/>
          <w:color w:val="70AD47" w:themeColor="accent6"/>
        </w:rPr>
        <w:t>Fig. S14,S15</w:t>
      </w:r>
      <w:r w:rsidR="00C01D7D">
        <w:rPr>
          <w:rFonts w:ascii="Arial" w:hAnsi="Arial" w:cs="Arial"/>
          <w:bCs/>
          <w:color w:val="000000" w:themeColor="text1"/>
        </w:rPr>
        <w:t>)</w:t>
      </w:r>
      <w:r w:rsidRPr="002C6F32">
        <w:rPr>
          <w:rFonts w:ascii="Arial" w:hAnsi="Arial" w:cs="Arial"/>
          <w:bCs/>
          <w:color w:val="000000" w:themeColor="text1"/>
        </w:rPr>
        <w:t xml:space="preserve">. For </w:t>
      </w:r>
      <w:r w:rsidRPr="002C6F32">
        <w:rPr>
          <w:rFonts w:ascii="Arial" w:hAnsi="Arial" w:cs="Arial"/>
          <w:bCs/>
          <w:i/>
          <w:iCs/>
          <w:color w:val="000000" w:themeColor="text1"/>
        </w:rPr>
        <w:t>HOXA9</w:t>
      </w:r>
      <w:r w:rsidRPr="002C6F32">
        <w:rPr>
          <w:rFonts w:ascii="Arial" w:hAnsi="Arial" w:cs="Arial"/>
          <w:bCs/>
          <w:color w:val="000000" w:themeColor="text1"/>
        </w:rPr>
        <w:t xml:space="preserve"> gene knockdown experiments, three biological replicates were generated from each genotype for two different conditions (noneffective scrambled control- and shHOXA9-transduced cells). Colony forming assays were performed, with colonies characterised and counted after 14 days. Normalised number of colonies grown in each replicate was calculated per 100 colonies plated into each well. Statistical analysis to determine statistically significant differences was done through an unpaired Student’s t test (GraphPad Prism, v 9.0.2).</w:t>
      </w:r>
      <w:r w:rsidRPr="00B854A1">
        <w:rPr>
          <w:rFonts w:ascii="Arial" w:hAnsi="Arial" w:cs="Arial"/>
          <w:b/>
          <w:color w:val="000000" w:themeColor="text1"/>
        </w:rPr>
        <w:br w:type="page"/>
      </w:r>
    </w:p>
    <w:p w14:paraId="2F43BD96" w14:textId="77777777" w:rsidR="00C160A8" w:rsidRPr="007A1406" w:rsidRDefault="00C160A8" w:rsidP="00C160A8">
      <w:pPr>
        <w:keepNext/>
        <w:pBdr>
          <w:top w:val="nil"/>
          <w:left w:val="nil"/>
          <w:bottom w:val="nil"/>
          <w:right w:val="nil"/>
          <w:between w:val="nil"/>
        </w:pBdr>
        <w:spacing w:before="240" w:after="60" w:line="480" w:lineRule="auto"/>
        <w:jc w:val="both"/>
        <w:rPr>
          <w:rFonts w:ascii="Arial" w:hAnsi="Arial" w:cs="Arial"/>
          <w:b/>
          <w:color w:val="70AD47" w:themeColor="accent6"/>
        </w:rPr>
      </w:pPr>
      <w:r w:rsidRPr="007A1406">
        <w:rPr>
          <w:rFonts w:ascii="Arial" w:hAnsi="Arial" w:cs="Arial"/>
          <w:b/>
          <w:color w:val="70AD47" w:themeColor="accent6"/>
        </w:rPr>
        <w:lastRenderedPageBreak/>
        <w:t>Data availability</w:t>
      </w:r>
    </w:p>
    <w:p w14:paraId="54CCDF95" w14:textId="34556178" w:rsidR="00C160A8" w:rsidRPr="00677916" w:rsidRDefault="00C160A8" w:rsidP="00C160A8">
      <w:pPr>
        <w:keepNext/>
        <w:pBdr>
          <w:top w:val="nil"/>
          <w:left w:val="nil"/>
          <w:bottom w:val="nil"/>
          <w:right w:val="nil"/>
          <w:between w:val="nil"/>
        </w:pBdr>
        <w:spacing w:before="240" w:after="60" w:line="480" w:lineRule="auto"/>
        <w:jc w:val="both"/>
        <w:rPr>
          <w:rFonts w:ascii="Arial" w:hAnsi="Arial" w:cs="Arial"/>
          <w:color w:val="70AD47" w:themeColor="accent6"/>
        </w:rPr>
      </w:pPr>
      <w:r w:rsidRPr="00677916">
        <w:rPr>
          <w:rFonts w:ascii="Arial" w:hAnsi="Arial" w:cs="Arial"/>
          <w:color w:val="70AD47" w:themeColor="accent6"/>
        </w:rPr>
        <w:t>The AML patient data was generated by TCGA and downloaded with Firebrowse (RNAseq</w:t>
      </w:r>
      <w:r w:rsidR="00852D9E">
        <w:rPr>
          <w:rFonts w:ascii="Arial" w:hAnsi="Arial" w:cs="Arial"/>
          <w:color w:val="70AD47" w:themeColor="accent6"/>
        </w:rPr>
        <w:t>, [</w:t>
      </w:r>
      <w:hyperlink r:id="rId8" w:history="1">
        <w:r w:rsidR="00852D9E" w:rsidRPr="00AE3ADE">
          <w:rPr>
            <w:rStyle w:val="Hyperlink"/>
            <w:rFonts w:ascii="Arial" w:hAnsi="Arial" w:cs="Arial"/>
          </w:rPr>
          <w:t>http://firebrowse.org/</w:t>
        </w:r>
      </w:hyperlink>
      <w:r w:rsidR="00852D9E">
        <w:rPr>
          <w:rFonts w:ascii="Arial" w:hAnsi="Arial" w:cs="Arial"/>
          <w:color w:val="70AD47" w:themeColor="accent6"/>
        </w:rPr>
        <w:t>]</w:t>
      </w:r>
      <w:r w:rsidRPr="00677916">
        <w:rPr>
          <w:rFonts w:ascii="Arial" w:hAnsi="Arial" w:cs="Arial"/>
          <w:color w:val="70AD47" w:themeColor="accent6"/>
        </w:rPr>
        <w:t xml:space="preserve">). </w:t>
      </w:r>
      <w:r w:rsidR="004A4729">
        <w:rPr>
          <w:rFonts w:ascii="Arial" w:hAnsi="Arial" w:cs="Arial"/>
          <w:color w:val="70AD47" w:themeColor="accent6"/>
        </w:rPr>
        <w:t>The</w:t>
      </w:r>
      <w:r w:rsidR="004A4729" w:rsidRPr="004A4729">
        <w:rPr>
          <w:rFonts w:ascii="Arial" w:hAnsi="Arial" w:cs="Arial"/>
          <w:color w:val="70AD47" w:themeColor="accent6"/>
        </w:rPr>
        <w:t xml:space="preserve"> AML clinical data from TCGA was downloaded </w:t>
      </w:r>
      <w:r w:rsidR="004A4729">
        <w:rPr>
          <w:rFonts w:ascii="Arial" w:hAnsi="Arial" w:cs="Arial"/>
          <w:color w:val="70AD47" w:themeColor="accent6"/>
        </w:rPr>
        <w:t>with</w:t>
      </w:r>
      <w:r w:rsidR="004A4729" w:rsidRPr="004A4729">
        <w:rPr>
          <w:rFonts w:ascii="Arial" w:hAnsi="Arial" w:cs="Arial"/>
          <w:color w:val="70AD47" w:themeColor="accent6"/>
        </w:rPr>
        <w:t xml:space="preserve"> cBioportal (www.cbioportal.com)</w:t>
      </w:r>
      <w:r w:rsidR="004A4729">
        <w:rPr>
          <w:rFonts w:ascii="Arial" w:hAnsi="Arial" w:cs="Arial"/>
          <w:color w:val="70AD47" w:themeColor="accent6"/>
        </w:rPr>
        <w:t>.</w:t>
      </w:r>
    </w:p>
    <w:p w14:paraId="52AA4AE4" w14:textId="45B78FE1" w:rsidR="00C160A8" w:rsidRDefault="00C160A8" w:rsidP="001419E4">
      <w:pPr>
        <w:keepNext/>
        <w:pBdr>
          <w:top w:val="nil"/>
          <w:left w:val="nil"/>
          <w:bottom w:val="nil"/>
          <w:right w:val="nil"/>
          <w:between w:val="nil"/>
        </w:pBdr>
        <w:spacing w:after="60" w:line="480" w:lineRule="auto"/>
        <w:jc w:val="both"/>
        <w:rPr>
          <w:rFonts w:ascii="Arial" w:hAnsi="Arial" w:cs="Arial"/>
          <w:color w:val="70AD47" w:themeColor="accent6"/>
        </w:rPr>
      </w:pPr>
      <w:r w:rsidRPr="007A1406">
        <w:rPr>
          <w:rFonts w:ascii="Arial" w:hAnsi="Arial" w:cs="Arial"/>
          <w:color w:val="70AD47" w:themeColor="accent6"/>
        </w:rPr>
        <w:t>The microarray data set reported in [</w:t>
      </w:r>
      <w:r w:rsidRPr="007A1406">
        <w:rPr>
          <w:rFonts w:ascii="Arial" w:hAnsi="Arial" w:cs="Arial"/>
          <w:color w:val="70AD47" w:themeColor="accent6"/>
        </w:rPr>
        <w:fldChar w:fldCharType="begin"/>
      </w:r>
      <w:r w:rsidRPr="007A1406">
        <w:rPr>
          <w:rFonts w:ascii="Arial" w:hAnsi="Arial" w:cs="Arial"/>
          <w:color w:val="70AD47" w:themeColor="accent6"/>
        </w:rPr>
        <w:instrText xml:space="preserve"> REF BIB_chen2015distinct \* MERGEFORMAT </w:instrText>
      </w:r>
      <w:r w:rsidRPr="007A1406">
        <w:rPr>
          <w:rFonts w:ascii="Arial" w:hAnsi="Arial" w:cs="Arial"/>
          <w:color w:val="70AD47" w:themeColor="accent6"/>
        </w:rPr>
        <w:fldChar w:fldCharType="separate"/>
      </w:r>
      <w:r w:rsidRPr="007A1406">
        <w:rPr>
          <w:rFonts w:ascii="Arial" w:hAnsi="Arial" w:cs="Arial"/>
          <w:color w:val="70AD47" w:themeColor="accent6"/>
        </w:rPr>
        <w:t>25</w:t>
      </w:r>
      <w:r w:rsidRPr="007A1406">
        <w:rPr>
          <w:rFonts w:ascii="Arial" w:hAnsi="Arial" w:cs="Arial"/>
          <w:color w:val="70AD47" w:themeColor="accent6"/>
        </w:rPr>
        <w:fldChar w:fldCharType="end"/>
      </w:r>
      <w:r w:rsidRPr="007A1406">
        <w:rPr>
          <w:rFonts w:ascii="Arial" w:hAnsi="Arial" w:cs="Arial"/>
          <w:color w:val="70AD47" w:themeColor="accent6"/>
        </w:rPr>
        <w:t>] is available in the ArrayExpress repository at European Molecular Biology Laboratory–European Bioinformatics Institute (http://www.ebi.ac.uk/arrayexpress/) and is accessible through the ArrayExpress accession number E-MTAB-2986</w:t>
      </w:r>
      <w:r w:rsidR="001419E4">
        <w:rPr>
          <w:rFonts w:ascii="Arial" w:hAnsi="Arial" w:cs="Arial"/>
          <w:color w:val="70AD47" w:themeColor="accent6"/>
        </w:rPr>
        <w:t xml:space="preserve"> </w:t>
      </w:r>
      <w:r w:rsidR="009839DE">
        <w:rPr>
          <w:rFonts w:ascii="Arial" w:hAnsi="Arial" w:cs="Arial"/>
          <w:color w:val="70AD47" w:themeColor="accent6"/>
        </w:rPr>
        <w:t>[</w:t>
      </w:r>
      <w:hyperlink r:id="rId9" w:history="1">
        <w:r w:rsidR="009839DE" w:rsidRPr="00AE3ADE">
          <w:rPr>
            <w:rStyle w:val="Hyperlink"/>
            <w:rFonts w:ascii="Arial" w:hAnsi="Arial" w:cs="Arial"/>
          </w:rPr>
          <w:t>https://www.ebi.ac.uk/arrayexpress/experiments/E-MTAB-2986/</w:t>
        </w:r>
      </w:hyperlink>
      <w:r w:rsidR="009839DE">
        <w:rPr>
          <w:rFonts w:ascii="Arial" w:hAnsi="Arial" w:cs="Arial"/>
          <w:color w:val="70AD47" w:themeColor="accent6"/>
        </w:rPr>
        <w:t>]</w:t>
      </w:r>
      <w:r w:rsidRPr="007A1406">
        <w:rPr>
          <w:rFonts w:ascii="Arial" w:hAnsi="Arial" w:cs="Arial"/>
          <w:color w:val="70AD47" w:themeColor="accent6"/>
        </w:rPr>
        <w:t>.</w:t>
      </w:r>
    </w:p>
    <w:p w14:paraId="5832D5BE" w14:textId="12D71531" w:rsidR="00363BDC" w:rsidRPr="00363BDC" w:rsidRDefault="00363BDC" w:rsidP="00C160A8">
      <w:pPr>
        <w:keepNext/>
        <w:pBdr>
          <w:top w:val="nil"/>
          <w:left w:val="nil"/>
          <w:bottom w:val="nil"/>
          <w:right w:val="nil"/>
          <w:between w:val="nil"/>
        </w:pBdr>
        <w:spacing w:before="240" w:after="60" w:line="480" w:lineRule="auto"/>
        <w:jc w:val="both"/>
        <w:rPr>
          <w:rFonts w:ascii="Arial" w:hAnsi="Arial" w:cs="Arial"/>
          <w:color w:val="70AD47" w:themeColor="accent6"/>
          <w:lang w:val="en-AU"/>
        </w:rPr>
      </w:pPr>
      <w:r>
        <w:rPr>
          <w:rFonts w:ascii="Arial" w:hAnsi="Arial" w:cs="Arial"/>
          <w:color w:val="70AD47" w:themeColor="accent6"/>
          <w:lang w:val="en-AU"/>
        </w:rPr>
        <w:t>R</w:t>
      </w:r>
      <w:r w:rsidRPr="00363BDC">
        <w:rPr>
          <w:rFonts w:ascii="Arial" w:hAnsi="Arial" w:cs="Arial"/>
          <w:color w:val="70AD47" w:themeColor="accent6"/>
          <w:lang w:val="en-AU"/>
        </w:rPr>
        <w:t xml:space="preserve">aw colony count data are presented in the paper in full - images of colonies are available </w:t>
      </w:r>
      <w:r w:rsidR="000175CF">
        <w:rPr>
          <w:rFonts w:ascii="Arial" w:hAnsi="Arial" w:cs="Arial"/>
          <w:color w:val="70AD47" w:themeColor="accent6"/>
          <w:lang w:val="en-AU"/>
        </w:rPr>
        <w:t>as Fig S16</w:t>
      </w:r>
      <w:r w:rsidRPr="00363BDC">
        <w:rPr>
          <w:rFonts w:ascii="Arial" w:hAnsi="Arial" w:cs="Arial"/>
          <w:color w:val="70AD47" w:themeColor="accent6"/>
          <w:lang w:val="en-AU"/>
        </w:rPr>
        <w:t>.</w:t>
      </w:r>
    </w:p>
    <w:p w14:paraId="01B8D30E" w14:textId="704F8CB0" w:rsidR="00A44E5F" w:rsidRPr="00A44E5F" w:rsidRDefault="00A44E5F" w:rsidP="00C160A8">
      <w:pPr>
        <w:keepNext/>
        <w:pBdr>
          <w:top w:val="nil"/>
          <w:left w:val="nil"/>
          <w:bottom w:val="nil"/>
          <w:right w:val="nil"/>
          <w:between w:val="nil"/>
        </w:pBdr>
        <w:spacing w:before="240" w:after="60" w:line="480" w:lineRule="auto"/>
        <w:jc w:val="both"/>
        <w:rPr>
          <w:rFonts w:ascii="Arial" w:hAnsi="Arial" w:cs="Arial"/>
          <w:bCs/>
          <w:color w:val="70AD47" w:themeColor="accent6"/>
        </w:rPr>
      </w:pPr>
      <w:r w:rsidRPr="00A44E5F">
        <w:rPr>
          <w:rFonts w:ascii="Arial" w:hAnsi="Arial" w:cs="Arial"/>
          <w:bCs/>
          <w:color w:val="70AD47" w:themeColor="accent6"/>
        </w:rPr>
        <w:t>Source data are provided with this paper.</w:t>
      </w:r>
    </w:p>
    <w:p w14:paraId="6A07FF04" w14:textId="77777777" w:rsidR="00C160A8" w:rsidRPr="007A1406" w:rsidRDefault="00C160A8" w:rsidP="00C160A8">
      <w:pPr>
        <w:keepNext/>
        <w:pBdr>
          <w:top w:val="nil"/>
          <w:left w:val="nil"/>
          <w:bottom w:val="nil"/>
          <w:right w:val="nil"/>
          <w:between w:val="nil"/>
        </w:pBdr>
        <w:spacing w:before="240" w:after="60" w:line="480" w:lineRule="auto"/>
        <w:jc w:val="both"/>
        <w:rPr>
          <w:rFonts w:ascii="Arial" w:hAnsi="Arial" w:cs="Arial"/>
          <w:b/>
          <w:color w:val="70AD47" w:themeColor="accent6"/>
        </w:rPr>
      </w:pPr>
      <w:r w:rsidRPr="007A1406">
        <w:rPr>
          <w:rFonts w:ascii="Arial" w:hAnsi="Arial" w:cs="Arial"/>
          <w:b/>
          <w:color w:val="70AD47" w:themeColor="accent6"/>
        </w:rPr>
        <w:t>Code availability</w:t>
      </w:r>
    </w:p>
    <w:p w14:paraId="56D5813B" w14:textId="193DD23A" w:rsidR="00970D30" w:rsidRDefault="00C160A8" w:rsidP="0069479B">
      <w:pPr>
        <w:pBdr>
          <w:top w:val="nil"/>
          <w:left w:val="nil"/>
          <w:bottom w:val="nil"/>
          <w:right w:val="nil"/>
          <w:between w:val="nil"/>
        </w:pBdr>
        <w:spacing w:before="240" w:after="0" w:line="480" w:lineRule="auto"/>
        <w:contextualSpacing/>
        <w:jc w:val="both"/>
        <w:rPr>
          <w:rFonts w:ascii="Arial" w:hAnsi="Arial" w:cs="Arial"/>
          <w:b/>
          <w:color w:val="000000"/>
        </w:rPr>
      </w:pPr>
      <w:r w:rsidRPr="007A1406">
        <w:rPr>
          <w:rFonts w:ascii="Arial" w:hAnsi="Arial" w:cs="Arial"/>
          <w:color w:val="70AD47" w:themeColor="accent6"/>
        </w:rPr>
        <w:t xml:space="preserve">Python and R scripts described in this section are available at </w:t>
      </w:r>
      <w:r w:rsidR="00742523">
        <w:rPr>
          <w:rFonts w:ascii="Arial" w:hAnsi="Arial" w:cs="Arial"/>
          <w:color w:val="70AD47" w:themeColor="accent6"/>
        </w:rPr>
        <w:t>[57].</w:t>
      </w:r>
    </w:p>
    <w:p w14:paraId="210ACC8C" w14:textId="0E5CE619" w:rsidR="00AD04C0" w:rsidRPr="006838A3" w:rsidRDefault="00AD04C0" w:rsidP="006838A3">
      <w:pPr>
        <w:pBdr>
          <w:top w:val="nil"/>
          <w:left w:val="nil"/>
          <w:bottom w:val="nil"/>
          <w:right w:val="nil"/>
          <w:between w:val="nil"/>
        </w:pBdr>
        <w:spacing w:line="480" w:lineRule="auto"/>
        <w:contextualSpacing/>
        <w:jc w:val="both"/>
        <w:rPr>
          <w:rFonts w:ascii="Arial" w:hAnsi="Arial" w:cs="Arial"/>
          <w:color w:val="000000"/>
        </w:rPr>
      </w:pPr>
      <w:r w:rsidRPr="006838A3">
        <w:rPr>
          <w:rFonts w:ascii="Arial" w:hAnsi="Arial" w:cs="Arial"/>
          <w:color w:val="000000"/>
        </w:rPr>
        <w:br w:type="page"/>
      </w:r>
    </w:p>
    <w:p w14:paraId="3FE13BAC" w14:textId="75A6F4D0" w:rsidR="00CD5730" w:rsidRPr="00CD423A" w:rsidRDefault="00CD5730" w:rsidP="00DB48C8">
      <w:pPr>
        <w:keepNext/>
        <w:pBdr>
          <w:top w:val="nil"/>
          <w:left w:val="nil"/>
          <w:bottom w:val="nil"/>
          <w:right w:val="nil"/>
          <w:between w:val="nil"/>
        </w:pBdr>
        <w:spacing w:before="240" w:after="60" w:line="480" w:lineRule="auto"/>
        <w:jc w:val="both"/>
        <w:rPr>
          <w:rFonts w:ascii="Arial" w:hAnsi="Arial" w:cs="Arial"/>
          <w:b/>
          <w:color w:val="000000"/>
        </w:rPr>
      </w:pPr>
      <w:r w:rsidRPr="00CD423A">
        <w:rPr>
          <w:rFonts w:ascii="Arial" w:hAnsi="Arial" w:cs="Arial"/>
          <w:b/>
          <w:color w:val="000000"/>
        </w:rPr>
        <w:lastRenderedPageBreak/>
        <w:t>References</w:t>
      </w:r>
    </w:p>
    <w:p w14:paraId="1D49712F" w14:textId="77777777" w:rsidR="009D53A8" w:rsidRPr="00CD423A" w:rsidRDefault="009D53A8" w:rsidP="00DB48C8">
      <w:pPr>
        <w:spacing w:after="160" w:line="480" w:lineRule="auto"/>
        <w:jc w:val="both"/>
        <w:rPr>
          <w:rFonts w:ascii="Arial" w:hAnsi="Arial" w:cs="Arial"/>
          <w:color w:val="000000"/>
        </w:rPr>
      </w:pPr>
    </w:p>
    <w:p w14:paraId="555DF373" w14:textId="77777777" w:rsidR="005D547F" w:rsidRDefault="005D547F" w:rsidP="00DB48C8">
      <w:pPr>
        <w:spacing w:after="160" w:line="480" w:lineRule="auto"/>
        <w:jc w:val="both"/>
        <w:rPr>
          <w:rFonts w:ascii="Arial" w:hAnsi="Arial" w:cs="Arial"/>
          <w:color w:val="000000"/>
        </w:rPr>
      </w:pPr>
      <w:bookmarkStart w:id="2" w:name="BIB__bib"/>
      <w:r w:rsidRPr="005D547F">
        <w:rPr>
          <w:rFonts w:ascii="Arial" w:hAnsi="Arial" w:cs="Arial"/>
          <w:color w:val="000000"/>
        </w:rPr>
        <w:t>[</w:t>
      </w:r>
      <w:bookmarkStart w:id="3" w:name="BIB_spivak2017myeloproliferative"/>
      <w:r w:rsidRPr="005D547F">
        <w:rPr>
          <w:rFonts w:ascii="Arial" w:hAnsi="Arial" w:cs="Arial"/>
          <w:color w:val="000000"/>
        </w:rPr>
        <w:t>1</w:t>
      </w:r>
      <w:bookmarkStart w:id="4" w:name="B4B_spivak2017myeloproliferative"/>
      <w:bookmarkEnd w:id="3"/>
      <w:bookmarkEnd w:id="4"/>
      <w:r w:rsidRPr="005D547F">
        <w:rPr>
          <w:rFonts w:ascii="Arial" w:hAnsi="Arial" w:cs="Arial"/>
          <w:color w:val="000000"/>
        </w:rPr>
        <w:t>]</w:t>
      </w:r>
      <w:r w:rsidRPr="005D547F">
        <w:rPr>
          <w:rFonts w:ascii="Arial" w:hAnsi="Arial" w:cs="Arial"/>
          <w:color w:val="000000"/>
        </w:rPr>
        <w:tab/>
        <w:t xml:space="preserve">J. L. Spivak, “Myeloproliferative neoplasms,” </w:t>
      </w:r>
      <w:r w:rsidRPr="005D547F">
        <w:rPr>
          <w:rFonts w:ascii="Arial" w:hAnsi="Arial" w:cs="Arial"/>
          <w:i/>
          <w:color w:val="000000"/>
        </w:rPr>
        <w:t>New England Journal of Medicine</w:t>
      </w:r>
      <w:r w:rsidRPr="005D547F">
        <w:rPr>
          <w:rFonts w:ascii="Arial" w:hAnsi="Arial" w:cs="Arial"/>
          <w:color w:val="000000"/>
        </w:rPr>
        <w:t>, vol. 376, no. 22, pp. 2168–2181, 2017.</w:t>
      </w:r>
    </w:p>
    <w:p w14:paraId="0122848D"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5" w:name="BIB_tefferi2018blast"/>
      <w:r w:rsidRPr="005D547F">
        <w:rPr>
          <w:rFonts w:ascii="Arial" w:hAnsi="Arial" w:cs="Arial"/>
          <w:color w:val="000000"/>
        </w:rPr>
        <w:t>2</w:t>
      </w:r>
      <w:bookmarkStart w:id="6" w:name="B4B_tefferi2018blast"/>
      <w:bookmarkEnd w:id="5"/>
      <w:bookmarkEnd w:id="6"/>
      <w:r w:rsidRPr="005D547F">
        <w:rPr>
          <w:rFonts w:ascii="Arial" w:hAnsi="Arial" w:cs="Arial"/>
          <w:color w:val="000000"/>
        </w:rPr>
        <w:t>]</w:t>
      </w:r>
      <w:r w:rsidRPr="005D547F">
        <w:rPr>
          <w:rFonts w:ascii="Arial" w:hAnsi="Arial" w:cs="Arial"/>
          <w:color w:val="000000"/>
        </w:rPr>
        <w:tab/>
        <w:t xml:space="preserve">A. Tefferi, M. Mudireddy, F. Mannelli, K. H. Begna, M. M. Patnaik, C. A. Hanson, R. P. Ketterling, N. Gangat, M. Yogarajah, V. De Stefano </w:t>
      </w:r>
      <w:r w:rsidRPr="005D547F">
        <w:rPr>
          <w:rFonts w:ascii="Arial" w:hAnsi="Arial" w:cs="Arial"/>
          <w:i/>
          <w:color w:val="000000"/>
        </w:rPr>
        <w:t>et al.</w:t>
      </w:r>
      <w:r w:rsidRPr="005D547F">
        <w:rPr>
          <w:rFonts w:ascii="Arial" w:hAnsi="Arial" w:cs="Arial"/>
          <w:color w:val="000000"/>
        </w:rPr>
        <w:t xml:space="preserve">, “Blast phase myeloproliferative neoplasm: Mayo-agimm study of 410 patients from two separate cohorts,” </w:t>
      </w:r>
      <w:r w:rsidRPr="005D547F">
        <w:rPr>
          <w:rFonts w:ascii="Arial" w:hAnsi="Arial" w:cs="Arial"/>
          <w:i/>
          <w:color w:val="000000"/>
        </w:rPr>
        <w:t>Leukemia</w:t>
      </w:r>
      <w:r w:rsidRPr="005D547F">
        <w:rPr>
          <w:rFonts w:ascii="Arial" w:hAnsi="Arial" w:cs="Arial"/>
          <w:color w:val="000000"/>
        </w:rPr>
        <w:t>, vol. 32, no. 5, pp. 1200–1210, 2018.</w:t>
      </w:r>
    </w:p>
    <w:p w14:paraId="0765EDB1"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7" w:name="BIB_yogarajah2017leukemic"/>
      <w:r w:rsidRPr="005D547F">
        <w:rPr>
          <w:rFonts w:ascii="Arial" w:hAnsi="Arial" w:cs="Arial"/>
          <w:color w:val="000000"/>
        </w:rPr>
        <w:t>3</w:t>
      </w:r>
      <w:bookmarkStart w:id="8" w:name="B4B_yogarajah2017leukemic"/>
      <w:bookmarkEnd w:id="7"/>
      <w:bookmarkEnd w:id="8"/>
      <w:r w:rsidRPr="005D547F">
        <w:rPr>
          <w:rFonts w:ascii="Arial" w:hAnsi="Arial" w:cs="Arial"/>
          <w:color w:val="000000"/>
        </w:rPr>
        <w:t>]</w:t>
      </w:r>
      <w:r w:rsidRPr="005D547F">
        <w:rPr>
          <w:rFonts w:ascii="Arial" w:hAnsi="Arial" w:cs="Arial"/>
          <w:color w:val="000000"/>
        </w:rPr>
        <w:tab/>
        <w:t xml:space="preserve">M. Yogarajah and A. Tefferi, “Leukemic transformation in myeloproliferative neoplasms: a literature review on risk, characteristics, and outcome,” in </w:t>
      </w:r>
      <w:r w:rsidRPr="005D547F">
        <w:rPr>
          <w:rFonts w:ascii="Arial" w:hAnsi="Arial" w:cs="Arial"/>
          <w:i/>
          <w:color w:val="000000"/>
        </w:rPr>
        <w:t>Mayo Clinic Proceedings</w:t>
      </w:r>
      <w:r w:rsidRPr="005D547F">
        <w:rPr>
          <w:rFonts w:ascii="Arial" w:hAnsi="Arial" w:cs="Arial"/>
          <w:color w:val="000000"/>
        </w:rPr>
        <w:t>, vol. 92, no. 7. Elsevier, 2017, pp. 1118–1128.</w:t>
      </w:r>
    </w:p>
    <w:p w14:paraId="4FEE6523"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9" w:name="BIB_tefferi2014long"/>
      <w:r w:rsidRPr="005D547F">
        <w:rPr>
          <w:rFonts w:ascii="Arial" w:hAnsi="Arial" w:cs="Arial"/>
          <w:color w:val="000000"/>
        </w:rPr>
        <w:t>4</w:t>
      </w:r>
      <w:bookmarkStart w:id="10" w:name="B4B_tefferi2014long"/>
      <w:bookmarkEnd w:id="9"/>
      <w:bookmarkEnd w:id="10"/>
      <w:r w:rsidRPr="005D547F">
        <w:rPr>
          <w:rFonts w:ascii="Arial" w:hAnsi="Arial" w:cs="Arial"/>
          <w:color w:val="000000"/>
        </w:rPr>
        <w:t>]</w:t>
      </w:r>
      <w:r w:rsidRPr="005D547F">
        <w:rPr>
          <w:rFonts w:ascii="Arial" w:hAnsi="Arial" w:cs="Arial"/>
          <w:color w:val="000000"/>
        </w:rPr>
        <w:tab/>
        <w:t xml:space="preserve">A. Tefferi, P. Guglielmelli, D. R. Larson, C. Finke, E. A. Wassie, L. Pieri, N. Gangat, R. Fjerza, A. A. Belachew, T. L. Lasho </w:t>
      </w:r>
      <w:r w:rsidRPr="005D547F">
        <w:rPr>
          <w:rFonts w:ascii="Arial" w:hAnsi="Arial" w:cs="Arial"/>
          <w:i/>
          <w:color w:val="000000"/>
        </w:rPr>
        <w:t>et al.</w:t>
      </w:r>
      <w:r w:rsidRPr="005D547F">
        <w:rPr>
          <w:rFonts w:ascii="Arial" w:hAnsi="Arial" w:cs="Arial"/>
          <w:color w:val="000000"/>
        </w:rPr>
        <w:t xml:space="preserve">, “Long-term survival and blast transformation in molecularly annotated essential thrombocythemia, polycythemia vera, and myelofibrosis,” </w:t>
      </w:r>
      <w:r w:rsidRPr="005D547F">
        <w:rPr>
          <w:rFonts w:ascii="Arial" w:hAnsi="Arial" w:cs="Arial"/>
          <w:i/>
          <w:color w:val="000000"/>
        </w:rPr>
        <w:t>Blood, The Journal of the American Society of Hematology</w:t>
      </w:r>
      <w:r w:rsidRPr="005D547F">
        <w:rPr>
          <w:rFonts w:ascii="Arial" w:hAnsi="Arial" w:cs="Arial"/>
          <w:color w:val="000000"/>
        </w:rPr>
        <w:t>, vol. 124, no. 16, pp. 2507–2513, 2014.</w:t>
      </w:r>
    </w:p>
    <w:p w14:paraId="70986815"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11" w:name="BIB_tefferi2013survival"/>
      <w:r w:rsidRPr="005D547F">
        <w:rPr>
          <w:rFonts w:ascii="Arial" w:hAnsi="Arial" w:cs="Arial"/>
          <w:color w:val="000000"/>
        </w:rPr>
        <w:t>5</w:t>
      </w:r>
      <w:bookmarkStart w:id="12" w:name="B4B_tefferi2013survival"/>
      <w:bookmarkEnd w:id="11"/>
      <w:bookmarkEnd w:id="12"/>
      <w:r w:rsidRPr="005D547F">
        <w:rPr>
          <w:rFonts w:ascii="Arial" w:hAnsi="Arial" w:cs="Arial"/>
          <w:color w:val="000000"/>
        </w:rPr>
        <w:t>]</w:t>
      </w:r>
      <w:r w:rsidRPr="005D547F">
        <w:rPr>
          <w:rFonts w:ascii="Arial" w:hAnsi="Arial" w:cs="Arial"/>
          <w:color w:val="000000"/>
        </w:rPr>
        <w:tab/>
        <w:t xml:space="preserve">A. Tefferi, E. Rumi, G. Finazzi, H. Gisslinger, A. Vannucchi, F. Rodeghiero, M. Randi, R. Vaidya, M. Cazzola, A. Rambaldi </w:t>
      </w:r>
      <w:r w:rsidRPr="005D547F">
        <w:rPr>
          <w:rFonts w:ascii="Arial" w:hAnsi="Arial" w:cs="Arial"/>
          <w:i/>
          <w:color w:val="000000"/>
        </w:rPr>
        <w:t>et al.</w:t>
      </w:r>
      <w:r w:rsidRPr="005D547F">
        <w:rPr>
          <w:rFonts w:ascii="Arial" w:hAnsi="Arial" w:cs="Arial"/>
          <w:color w:val="000000"/>
        </w:rPr>
        <w:t xml:space="preserve">, “Survival and prognosis among 1545 </w:t>
      </w:r>
      <w:r w:rsidRPr="005D547F">
        <w:rPr>
          <w:rFonts w:ascii="Arial" w:hAnsi="Arial" w:cs="Arial"/>
          <w:color w:val="000000"/>
        </w:rPr>
        <w:lastRenderedPageBreak/>
        <w:t xml:space="preserve">patients with contemporary polycythemia vera: an international study,” </w:t>
      </w:r>
      <w:r w:rsidRPr="005D547F">
        <w:rPr>
          <w:rFonts w:ascii="Arial" w:hAnsi="Arial" w:cs="Arial"/>
          <w:i/>
          <w:color w:val="000000"/>
        </w:rPr>
        <w:t>Leukemia</w:t>
      </w:r>
      <w:r w:rsidRPr="005D547F">
        <w:rPr>
          <w:rFonts w:ascii="Arial" w:hAnsi="Arial" w:cs="Arial"/>
          <w:color w:val="000000"/>
        </w:rPr>
        <w:t>, vol. 27, no. 9, pp. 1874–1881, 2013.</w:t>
      </w:r>
    </w:p>
    <w:p w14:paraId="11BB8A93"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13" w:name="BIB_barbui2011survival"/>
      <w:r w:rsidRPr="005D547F">
        <w:rPr>
          <w:rFonts w:ascii="Arial" w:hAnsi="Arial" w:cs="Arial"/>
          <w:color w:val="000000"/>
        </w:rPr>
        <w:t>6</w:t>
      </w:r>
      <w:bookmarkStart w:id="14" w:name="B4B_barbui2011survival"/>
      <w:bookmarkEnd w:id="13"/>
      <w:bookmarkEnd w:id="14"/>
      <w:r w:rsidRPr="005D547F">
        <w:rPr>
          <w:rFonts w:ascii="Arial" w:hAnsi="Arial" w:cs="Arial"/>
          <w:color w:val="000000"/>
        </w:rPr>
        <w:t>]</w:t>
      </w:r>
      <w:r w:rsidRPr="005D547F">
        <w:rPr>
          <w:rFonts w:ascii="Arial" w:hAnsi="Arial" w:cs="Arial"/>
          <w:color w:val="000000"/>
        </w:rPr>
        <w:tab/>
        <w:t xml:space="preserve">T. Barbui, J. Thiele, F. Passamonti, E. Rumi, E. Boveri, M. Ruggeri, F. Rodeghiero, E. S. d’Amore, M. L. Randi, I. Bertozzi </w:t>
      </w:r>
      <w:r w:rsidRPr="005D547F">
        <w:rPr>
          <w:rFonts w:ascii="Arial" w:hAnsi="Arial" w:cs="Arial"/>
          <w:i/>
          <w:color w:val="000000"/>
        </w:rPr>
        <w:t>et al.</w:t>
      </w:r>
      <w:r w:rsidRPr="005D547F">
        <w:rPr>
          <w:rFonts w:ascii="Arial" w:hAnsi="Arial" w:cs="Arial"/>
          <w:color w:val="000000"/>
        </w:rPr>
        <w:t xml:space="preserve">, “Survival and disease progression in essential thrombocythemia are significantly influenced by accurate morphologic diagnosis: an international study,” </w:t>
      </w:r>
      <w:r w:rsidRPr="005D547F">
        <w:rPr>
          <w:rFonts w:ascii="Arial" w:hAnsi="Arial" w:cs="Arial"/>
          <w:i/>
          <w:color w:val="000000"/>
        </w:rPr>
        <w:t>Journal of clinical oncology</w:t>
      </w:r>
      <w:r w:rsidRPr="005D547F">
        <w:rPr>
          <w:rFonts w:ascii="Arial" w:hAnsi="Arial" w:cs="Arial"/>
          <w:color w:val="000000"/>
        </w:rPr>
        <w:t>, vol. 29, no. 23, pp. 3179–3184, 2011.</w:t>
      </w:r>
    </w:p>
    <w:p w14:paraId="584E6529"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15" w:name="BIB_grove2014acute"/>
      <w:r w:rsidRPr="005D547F">
        <w:rPr>
          <w:rFonts w:ascii="Arial" w:hAnsi="Arial" w:cs="Arial"/>
          <w:color w:val="000000"/>
        </w:rPr>
        <w:t>7</w:t>
      </w:r>
      <w:bookmarkStart w:id="16" w:name="B4B_grove2014acute"/>
      <w:bookmarkEnd w:id="15"/>
      <w:bookmarkEnd w:id="16"/>
      <w:r w:rsidRPr="005D547F">
        <w:rPr>
          <w:rFonts w:ascii="Arial" w:hAnsi="Arial" w:cs="Arial"/>
          <w:color w:val="000000"/>
        </w:rPr>
        <w:t>]</w:t>
      </w:r>
      <w:r w:rsidRPr="005D547F">
        <w:rPr>
          <w:rFonts w:ascii="Arial" w:hAnsi="Arial" w:cs="Arial"/>
          <w:color w:val="000000"/>
        </w:rPr>
        <w:tab/>
        <w:t xml:space="preserve">C. S. Grove and G. S. Vassiliou, “Acute myeloid leukaemia: a paradigm for the clonal evolution of cancer?” </w:t>
      </w:r>
      <w:r w:rsidRPr="005D547F">
        <w:rPr>
          <w:rFonts w:ascii="Arial" w:hAnsi="Arial" w:cs="Arial"/>
          <w:i/>
          <w:color w:val="000000"/>
        </w:rPr>
        <w:t>Disease models &amp; mechanisms</w:t>
      </w:r>
      <w:r w:rsidRPr="005D547F">
        <w:rPr>
          <w:rFonts w:ascii="Arial" w:hAnsi="Arial" w:cs="Arial"/>
          <w:color w:val="000000"/>
        </w:rPr>
        <w:t>, vol. 7, no. 8, pp. 941–951, 2014.</w:t>
      </w:r>
    </w:p>
    <w:p w14:paraId="68257E8A"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17" w:name="BIB_bacher2005further"/>
      <w:r w:rsidRPr="005D547F">
        <w:rPr>
          <w:rFonts w:ascii="Arial" w:hAnsi="Arial" w:cs="Arial"/>
          <w:color w:val="000000"/>
        </w:rPr>
        <w:t>8</w:t>
      </w:r>
      <w:bookmarkStart w:id="18" w:name="B4B_bacher2005further"/>
      <w:bookmarkEnd w:id="17"/>
      <w:bookmarkEnd w:id="18"/>
      <w:r w:rsidRPr="005D547F">
        <w:rPr>
          <w:rFonts w:ascii="Arial" w:hAnsi="Arial" w:cs="Arial"/>
          <w:color w:val="000000"/>
        </w:rPr>
        <w:t>]</w:t>
      </w:r>
      <w:r w:rsidRPr="005D547F">
        <w:rPr>
          <w:rFonts w:ascii="Arial" w:hAnsi="Arial" w:cs="Arial"/>
          <w:color w:val="000000"/>
        </w:rPr>
        <w:tab/>
        <w:t xml:space="preserve">U. Bacher, W. Kern, S. Schnittger, W. Hiddemann, C. Schoch, and T. Haferlach, “Further correlations of morphology according to fab and who classification to cytogenetics in de novo acute myeloid leukemia: a study on 2,235 patients,” </w:t>
      </w:r>
      <w:r w:rsidRPr="005D547F">
        <w:rPr>
          <w:rFonts w:ascii="Arial" w:hAnsi="Arial" w:cs="Arial"/>
          <w:i/>
          <w:color w:val="000000"/>
        </w:rPr>
        <w:t>Annals of hematology</w:t>
      </w:r>
      <w:r w:rsidRPr="005D547F">
        <w:rPr>
          <w:rFonts w:ascii="Arial" w:hAnsi="Arial" w:cs="Arial"/>
          <w:color w:val="000000"/>
        </w:rPr>
        <w:t>, vol. 84, no. 12, pp. 785–791, 2005.</w:t>
      </w:r>
    </w:p>
    <w:p w14:paraId="1620819F"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19" w:name="BIB_aynardi2018jak2"/>
      <w:r w:rsidRPr="005D547F">
        <w:rPr>
          <w:rFonts w:ascii="Arial" w:hAnsi="Arial" w:cs="Arial"/>
          <w:color w:val="000000"/>
        </w:rPr>
        <w:t>9</w:t>
      </w:r>
      <w:bookmarkStart w:id="20" w:name="B4B_aynardi2018jak2"/>
      <w:bookmarkEnd w:id="19"/>
      <w:bookmarkEnd w:id="20"/>
      <w:r w:rsidRPr="005D547F">
        <w:rPr>
          <w:rFonts w:ascii="Arial" w:hAnsi="Arial" w:cs="Arial"/>
          <w:color w:val="000000"/>
        </w:rPr>
        <w:t>]</w:t>
      </w:r>
      <w:r w:rsidRPr="005D547F">
        <w:rPr>
          <w:rFonts w:ascii="Arial" w:hAnsi="Arial" w:cs="Arial"/>
          <w:color w:val="000000"/>
        </w:rPr>
        <w:tab/>
        <w:t xml:space="preserve">J. Aynardi, R. Manur, P. R. Hess, S. Chekol, J. J. Morrissette, D. Babushok, E. Hexner, H. J. Rogers, E. D. Hsi, E. Margolskee </w:t>
      </w:r>
      <w:r w:rsidRPr="005D547F">
        <w:rPr>
          <w:rFonts w:ascii="Arial" w:hAnsi="Arial" w:cs="Arial"/>
          <w:i/>
          <w:color w:val="000000"/>
        </w:rPr>
        <w:t>et al.</w:t>
      </w:r>
      <w:r w:rsidRPr="005D547F">
        <w:rPr>
          <w:rFonts w:ascii="Arial" w:hAnsi="Arial" w:cs="Arial"/>
          <w:color w:val="000000"/>
        </w:rPr>
        <w:t xml:space="preserve">, “Jak2 v617f-positive acute myeloid leukaemia (aml): a comparison between de novo aml and secondary aml transformed from an underlying myeloproliferative neoplasm. a study from the bone marrow pathology group,” </w:t>
      </w:r>
      <w:r w:rsidRPr="005D547F">
        <w:rPr>
          <w:rFonts w:ascii="Arial" w:hAnsi="Arial" w:cs="Arial"/>
          <w:i/>
          <w:color w:val="000000"/>
        </w:rPr>
        <w:t>British journal of haematology</w:t>
      </w:r>
      <w:r w:rsidRPr="005D547F">
        <w:rPr>
          <w:rFonts w:ascii="Arial" w:hAnsi="Arial" w:cs="Arial"/>
          <w:color w:val="000000"/>
        </w:rPr>
        <w:t>, vol. 182, no. 1, pp. 78–85, 2018.</w:t>
      </w:r>
    </w:p>
    <w:p w14:paraId="6E05F7C9"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lastRenderedPageBreak/>
        <w:t>[</w:t>
      </w:r>
      <w:bookmarkStart w:id="21" w:name="BIB_lindsley2017uncoding"/>
      <w:r w:rsidRPr="005D547F">
        <w:rPr>
          <w:rFonts w:ascii="Arial" w:hAnsi="Arial" w:cs="Arial"/>
          <w:color w:val="000000"/>
        </w:rPr>
        <w:t>10</w:t>
      </w:r>
      <w:bookmarkStart w:id="22" w:name="B4B_lindsley2017uncoding"/>
      <w:bookmarkEnd w:id="21"/>
      <w:bookmarkEnd w:id="22"/>
      <w:r w:rsidRPr="005D547F">
        <w:rPr>
          <w:rFonts w:ascii="Arial" w:hAnsi="Arial" w:cs="Arial"/>
          <w:color w:val="000000"/>
        </w:rPr>
        <w:t>]</w:t>
      </w:r>
      <w:r w:rsidRPr="005D547F">
        <w:rPr>
          <w:rFonts w:ascii="Arial" w:hAnsi="Arial" w:cs="Arial"/>
          <w:color w:val="000000"/>
        </w:rPr>
        <w:tab/>
        <w:t xml:space="preserve">R. C. Lindsley, “Uncoding the genetic heterogeneity of myelodysplastic syndrome,” </w:t>
      </w:r>
      <w:r w:rsidRPr="005D547F">
        <w:rPr>
          <w:rFonts w:ascii="Arial" w:hAnsi="Arial" w:cs="Arial"/>
          <w:i/>
          <w:color w:val="000000"/>
        </w:rPr>
        <w:t>Hematology 2014, the American Society of Hematology Education Program Book</w:t>
      </w:r>
      <w:r w:rsidRPr="005D547F">
        <w:rPr>
          <w:rFonts w:ascii="Arial" w:hAnsi="Arial" w:cs="Arial"/>
          <w:color w:val="000000"/>
        </w:rPr>
        <w:t>, vol. 2017, no. 1, pp. 447–452, 2017.</w:t>
      </w:r>
    </w:p>
    <w:p w14:paraId="54F78966"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23" w:name="BIB_kent2017order"/>
      <w:r w:rsidRPr="005D547F">
        <w:rPr>
          <w:rFonts w:ascii="Arial" w:hAnsi="Arial" w:cs="Arial"/>
          <w:color w:val="000000"/>
        </w:rPr>
        <w:t>11</w:t>
      </w:r>
      <w:bookmarkStart w:id="24" w:name="B4B_kent2017order"/>
      <w:bookmarkEnd w:id="23"/>
      <w:bookmarkEnd w:id="24"/>
      <w:r w:rsidRPr="005D547F">
        <w:rPr>
          <w:rFonts w:ascii="Arial" w:hAnsi="Arial" w:cs="Arial"/>
          <w:color w:val="000000"/>
        </w:rPr>
        <w:t>]</w:t>
      </w:r>
      <w:r w:rsidRPr="005D547F">
        <w:rPr>
          <w:rFonts w:ascii="Arial" w:hAnsi="Arial" w:cs="Arial"/>
          <w:color w:val="000000"/>
        </w:rPr>
        <w:tab/>
        <w:t xml:space="preserve">D. G. Kent and A. R. Green, “Order matters: the order of somatic mutations influences cancer evolution,” </w:t>
      </w:r>
      <w:r w:rsidRPr="005D547F">
        <w:rPr>
          <w:rFonts w:ascii="Arial" w:hAnsi="Arial" w:cs="Arial"/>
          <w:i/>
          <w:color w:val="000000"/>
        </w:rPr>
        <w:t>Cold Spring Harbor perspectives in medicine</w:t>
      </w:r>
      <w:r w:rsidRPr="005D547F">
        <w:rPr>
          <w:rFonts w:ascii="Arial" w:hAnsi="Arial" w:cs="Arial"/>
          <w:color w:val="000000"/>
        </w:rPr>
        <w:t>, vol. 7, no. 4, p. a027060, 2017.</w:t>
      </w:r>
    </w:p>
    <w:p w14:paraId="0D2D852A"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25" w:name="BIB_clarke2019using"/>
      <w:r w:rsidRPr="005D547F">
        <w:rPr>
          <w:rFonts w:ascii="Arial" w:hAnsi="Arial" w:cs="Arial"/>
          <w:color w:val="000000"/>
        </w:rPr>
        <w:t>12</w:t>
      </w:r>
      <w:bookmarkStart w:id="26" w:name="B4B_clarke2019using"/>
      <w:bookmarkEnd w:id="25"/>
      <w:bookmarkEnd w:id="26"/>
      <w:r w:rsidRPr="005D547F">
        <w:rPr>
          <w:rFonts w:ascii="Arial" w:hAnsi="Arial" w:cs="Arial"/>
          <w:color w:val="000000"/>
        </w:rPr>
        <w:t>]</w:t>
      </w:r>
      <w:r w:rsidRPr="005D547F">
        <w:rPr>
          <w:rFonts w:ascii="Arial" w:hAnsi="Arial" w:cs="Arial"/>
          <w:color w:val="000000"/>
        </w:rPr>
        <w:tab/>
        <w:t xml:space="preserve">M. A. Clarke, S. Woodhouse, N. Piterman, B. A. Hall, and J. Fisher, “Using state space exploration to determine how gene regulatory networks constrain mutation order in cancer evolution,” in </w:t>
      </w:r>
      <w:r w:rsidRPr="005D547F">
        <w:rPr>
          <w:rFonts w:ascii="Arial" w:hAnsi="Arial" w:cs="Arial"/>
          <w:i/>
          <w:color w:val="000000"/>
        </w:rPr>
        <w:t>Automated reasoning for systems biology and medicine</w:t>
      </w:r>
      <w:r w:rsidRPr="005D547F">
        <w:rPr>
          <w:rFonts w:ascii="Arial" w:hAnsi="Arial" w:cs="Arial"/>
          <w:color w:val="000000"/>
        </w:rPr>
        <w:t>. Springer, 2019, pp. 133–153.</w:t>
      </w:r>
    </w:p>
    <w:p w14:paraId="3D2F3E5B"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27" w:name="BIB_ortmann2015effect"/>
      <w:r w:rsidRPr="005D547F">
        <w:rPr>
          <w:rFonts w:ascii="Arial" w:hAnsi="Arial" w:cs="Arial"/>
          <w:color w:val="000000"/>
        </w:rPr>
        <w:t>13</w:t>
      </w:r>
      <w:bookmarkStart w:id="28" w:name="B4B_ortmann2015effect"/>
      <w:bookmarkEnd w:id="27"/>
      <w:bookmarkEnd w:id="28"/>
      <w:r w:rsidRPr="005D547F">
        <w:rPr>
          <w:rFonts w:ascii="Arial" w:hAnsi="Arial" w:cs="Arial"/>
          <w:color w:val="000000"/>
        </w:rPr>
        <w:t>]</w:t>
      </w:r>
      <w:r w:rsidRPr="005D547F">
        <w:rPr>
          <w:rFonts w:ascii="Arial" w:hAnsi="Arial" w:cs="Arial"/>
          <w:color w:val="000000"/>
        </w:rPr>
        <w:tab/>
        <w:t xml:space="preserve">C. A. Ortmann, D. G. Kent, J. Nangalia, Y. Silber, D. C. Wedge, J. Grinfeld, E. J. Baxter, C. E. Massie, E. Papaemmanuil, S. Menon </w:t>
      </w:r>
      <w:r w:rsidRPr="005D547F">
        <w:rPr>
          <w:rFonts w:ascii="Arial" w:hAnsi="Arial" w:cs="Arial"/>
          <w:i/>
          <w:color w:val="000000"/>
        </w:rPr>
        <w:t>et al.</w:t>
      </w:r>
      <w:r w:rsidRPr="005D547F">
        <w:rPr>
          <w:rFonts w:ascii="Arial" w:hAnsi="Arial" w:cs="Arial"/>
          <w:color w:val="000000"/>
        </w:rPr>
        <w:t xml:space="preserve">, “Effect of mutation order on myeloproliferative neoplasms,” </w:t>
      </w:r>
      <w:r w:rsidRPr="005D547F">
        <w:rPr>
          <w:rFonts w:ascii="Arial" w:hAnsi="Arial" w:cs="Arial"/>
          <w:i/>
          <w:color w:val="000000"/>
        </w:rPr>
        <w:t>New England Journal of Medicine</w:t>
      </w:r>
      <w:r w:rsidRPr="005D547F">
        <w:rPr>
          <w:rFonts w:ascii="Arial" w:hAnsi="Arial" w:cs="Arial"/>
          <w:color w:val="000000"/>
        </w:rPr>
        <w:t>, vol. 372, no. 7, pp. 601–612, 2015.</w:t>
      </w:r>
    </w:p>
    <w:p w14:paraId="16CD74C9"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29" w:name="BIB_bach2010leukemogenic"/>
      <w:r w:rsidRPr="005D547F">
        <w:rPr>
          <w:rFonts w:ascii="Arial" w:hAnsi="Arial" w:cs="Arial"/>
          <w:color w:val="000000"/>
        </w:rPr>
        <w:t>14</w:t>
      </w:r>
      <w:bookmarkStart w:id="30" w:name="B4B_bach2010leukemogenic"/>
      <w:bookmarkEnd w:id="29"/>
      <w:bookmarkEnd w:id="30"/>
      <w:r w:rsidRPr="005D547F">
        <w:rPr>
          <w:rFonts w:ascii="Arial" w:hAnsi="Arial" w:cs="Arial"/>
          <w:color w:val="000000"/>
        </w:rPr>
        <w:t>]</w:t>
      </w:r>
      <w:r w:rsidRPr="005D547F">
        <w:rPr>
          <w:rFonts w:ascii="Arial" w:hAnsi="Arial" w:cs="Arial"/>
          <w:color w:val="000000"/>
        </w:rPr>
        <w:tab/>
        <w:t xml:space="preserve">C. Bach, S. Buhl, D. Mueller, M.-P. Garcá-Cuéllar, E. Maethner, and R. K. Slany, “Leukemogenic transformation by hoxa cluster genes,” </w:t>
      </w:r>
      <w:r w:rsidRPr="005D547F">
        <w:rPr>
          <w:rFonts w:ascii="Arial" w:hAnsi="Arial" w:cs="Arial"/>
          <w:i/>
          <w:color w:val="000000"/>
        </w:rPr>
        <w:t>Blood, The Journal of the American Society of Hematology</w:t>
      </w:r>
      <w:r w:rsidRPr="005D547F">
        <w:rPr>
          <w:rFonts w:ascii="Arial" w:hAnsi="Arial" w:cs="Arial"/>
          <w:color w:val="000000"/>
        </w:rPr>
        <w:t>, vol. 115, no. 14, pp. 2910–2918, 2010.</w:t>
      </w:r>
    </w:p>
    <w:p w14:paraId="0C727483"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31" w:name="BIB_lewis1978gene"/>
      <w:r w:rsidRPr="005D547F">
        <w:rPr>
          <w:rFonts w:ascii="Arial" w:hAnsi="Arial" w:cs="Arial"/>
          <w:color w:val="000000"/>
        </w:rPr>
        <w:t>15</w:t>
      </w:r>
      <w:bookmarkStart w:id="32" w:name="B4B_lewis1978gene"/>
      <w:bookmarkEnd w:id="31"/>
      <w:bookmarkEnd w:id="32"/>
      <w:r w:rsidRPr="005D547F">
        <w:rPr>
          <w:rFonts w:ascii="Arial" w:hAnsi="Arial" w:cs="Arial"/>
          <w:color w:val="000000"/>
        </w:rPr>
        <w:t>]</w:t>
      </w:r>
      <w:r w:rsidRPr="005D547F">
        <w:rPr>
          <w:rFonts w:ascii="Arial" w:hAnsi="Arial" w:cs="Arial"/>
          <w:color w:val="000000"/>
        </w:rPr>
        <w:tab/>
        <w:t xml:space="preserve">E. B. Lewis, “A gene complex controlling segmentation in drosophila,” in </w:t>
      </w:r>
      <w:r w:rsidRPr="005D547F">
        <w:rPr>
          <w:rFonts w:ascii="Arial" w:hAnsi="Arial" w:cs="Arial"/>
          <w:i/>
          <w:color w:val="000000"/>
        </w:rPr>
        <w:t>Genes, development and cancer</w:t>
      </w:r>
      <w:r w:rsidRPr="005D547F">
        <w:rPr>
          <w:rFonts w:ascii="Arial" w:hAnsi="Arial" w:cs="Arial"/>
          <w:color w:val="000000"/>
        </w:rPr>
        <w:t>. Springer, 1978, pp. 205–217.</w:t>
      </w:r>
    </w:p>
    <w:p w14:paraId="24A14DF4"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lastRenderedPageBreak/>
        <w:t>[</w:t>
      </w:r>
      <w:bookmarkStart w:id="33" w:name="BIB_bhatlekar2014hox"/>
      <w:r w:rsidRPr="005D547F">
        <w:rPr>
          <w:rFonts w:ascii="Arial" w:hAnsi="Arial" w:cs="Arial"/>
          <w:color w:val="000000"/>
        </w:rPr>
        <w:t>16</w:t>
      </w:r>
      <w:bookmarkStart w:id="34" w:name="B4B_bhatlekar2014hox"/>
      <w:bookmarkEnd w:id="33"/>
      <w:bookmarkEnd w:id="34"/>
      <w:r w:rsidRPr="005D547F">
        <w:rPr>
          <w:rFonts w:ascii="Arial" w:hAnsi="Arial" w:cs="Arial"/>
          <w:color w:val="000000"/>
        </w:rPr>
        <w:t>]</w:t>
      </w:r>
      <w:r w:rsidRPr="005D547F">
        <w:rPr>
          <w:rFonts w:ascii="Arial" w:hAnsi="Arial" w:cs="Arial"/>
          <w:color w:val="000000"/>
        </w:rPr>
        <w:tab/>
        <w:t xml:space="preserve">S. Bhatlekar, J. Z. Fields, and B. M. Boman, “Hox genes and their role in the development of human cancers,” </w:t>
      </w:r>
      <w:r w:rsidRPr="005D547F">
        <w:rPr>
          <w:rFonts w:ascii="Arial" w:hAnsi="Arial" w:cs="Arial"/>
          <w:i/>
          <w:color w:val="000000"/>
        </w:rPr>
        <w:t>Journal of molecular medicine</w:t>
      </w:r>
      <w:r w:rsidRPr="005D547F">
        <w:rPr>
          <w:rFonts w:ascii="Arial" w:hAnsi="Arial" w:cs="Arial"/>
          <w:color w:val="000000"/>
        </w:rPr>
        <w:t>, vol. 92, no. 8, pp. 811–823, 2014.</w:t>
      </w:r>
    </w:p>
    <w:p w14:paraId="5613EDA0"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35" w:name="BIB_golub1999molecular"/>
      <w:r w:rsidRPr="005D547F">
        <w:rPr>
          <w:rFonts w:ascii="Arial" w:hAnsi="Arial" w:cs="Arial"/>
          <w:color w:val="000000"/>
        </w:rPr>
        <w:t>17</w:t>
      </w:r>
      <w:bookmarkStart w:id="36" w:name="B4B_golub1999molecular"/>
      <w:bookmarkEnd w:id="35"/>
      <w:bookmarkEnd w:id="36"/>
      <w:r w:rsidRPr="005D547F">
        <w:rPr>
          <w:rFonts w:ascii="Arial" w:hAnsi="Arial" w:cs="Arial"/>
          <w:color w:val="000000"/>
        </w:rPr>
        <w:t>]</w:t>
      </w:r>
      <w:r w:rsidRPr="005D547F">
        <w:rPr>
          <w:rFonts w:ascii="Arial" w:hAnsi="Arial" w:cs="Arial"/>
          <w:color w:val="000000"/>
        </w:rPr>
        <w:tab/>
        <w:t xml:space="preserve">T. R. Golub, D. K. Slonim, P. Tamayo, C. Huard, M. Gaasenbeek, J. P. Mesirov, H. Coller, M. L. Loh, J. R. Downing, M. A. Caligiuri </w:t>
      </w:r>
      <w:r w:rsidRPr="005D547F">
        <w:rPr>
          <w:rFonts w:ascii="Arial" w:hAnsi="Arial" w:cs="Arial"/>
          <w:i/>
          <w:color w:val="000000"/>
        </w:rPr>
        <w:t>et al.</w:t>
      </w:r>
      <w:r w:rsidRPr="005D547F">
        <w:rPr>
          <w:rFonts w:ascii="Arial" w:hAnsi="Arial" w:cs="Arial"/>
          <w:color w:val="000000"/>
        </w:rPr>
        <w:t xml:space="preserve">, “Molecular classification of cancer: class discovery and class prediction by gene expression monitoring,” </w:t>
      </w:r>
      <w:r w:rsidRPr="005D547F">
        <w:rPr>
          <w:rFonts w:ascii="Arial" w:hAnsi="Arial" w:cs="Arial"/>
          <w:i/>
          <w:color w:val="000000"/>
        </w:rPr>
        <w:t>science</w:t>
      </w:r>
      <w:r w:rsidRPr="005D547F">
        <w:rPr>
          <w:rFonts w:ascii="Arial" w:hAnsi="Arial" w:cs="Arial"/>
          <w:color w:val="000000"/>
        </w:rPr>
        <w:t>, vol. 286, no. 5439, pp. 531–537, 1999.</w:t>
      </w:r>
    </w:p>
    <w:p w14:paraId="5464946F"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37" w:name="BIB_faber2009hoxa9"/>
      <w:r w:rsidRPr="005D547F">
        <w:rPr>
          <w:rFonts w:ascii="Arial" w:hAnsi="Arial" w:cs="Arial"/>
          <w:color w:val="000000"/>
        </w:rPr>
        <w:t>18</w:t>
      </w:r>
      <w:bookmarkStart w:id="38" w:name="B4B_faber2009hoxa9"/>
      <w:bookmarkEnd w:id="37"/>
      <w:bookmarkEnd w:id="38"/>
      <w:r w:rsidRPr="005D547F">
        <w:rPr>
          <w:rFonts w:ascii="Arial" w:hAnsi="Arial" w:cs="Arial"/>
          <w:color w:val="000000"/>
        </w:rPr>
        <w:t>]</w:t>
      </w:r>
      <w:r w:rsidRPr="005D547F">
        <w:rPr>
          <w:rFonts w:ascii="Arial" w:hAnsi="Arial" w:cs="Arial"/>
          <w:color w:val="000000"/>
        </w:rPr>
        <w:tab/>
        <w:t xml:space="preserve">J. Faber, A. V. Krivtsov, M. C. Stubbs, R. Wright, T. N. Davis, M. van den Heuvel-Eibrink, C. M. Zwaan, A. L. Kung, and S. A. Armstrong, “Hoxa9 is required for survival in human mll-rearranged acute leukemias,” </w:t>
      </w:r>
      <w:r w:rsidRPr="005D547F">
        <w:rPr>
          <w:rFonts w:ascii="Arial" w:hAnsi="Arial" w:cs="Arial"/>
          <w:i/>
          <w:color w:val="000000"/>
        </w:rPr>
        <w:t>Blood, The Journal of the American Society of Hematology</w:t>
      </w:r>
      <w:r w:rsidRPr="005D547F">
        <w:rPr>
          <w:rFonts w:ascii="Arial" w:hAnsi="Arial" w:cs="Arial"/>
          <w:color w:val="000000"/>
        </w:rPr>
        <w:t>, vol. 113, no. 11, pp. 2375–2385, 2009.</w:t>
      </w:r>
    </w:p>
    <w:p w14:paraId="1DB84905"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39" w:name="BIB_shima2017mll"/>
      <w:r w:rsidRPr="005D547F">
        <w:rPr>
          <w:rFonts w:ascii="Arial" w:hAnsi="Arial" w:cs="Arial"/>
          <w:color w:val="000000"/>
        </w:rPr>
        <w:t>19</w:t>
      </w:r>
      <w:bookmarkStart w:id="40" w:name="B4B_shima2017mll"/>
      <w:bookmarkEnd w:id="39"/>
      <w:bookmarkEnd w:id="40"/>
      <w:r w:rsidRPr="005D547F">
        <w:rPr>
          <w:rFonts w:ascii="Arial" w:hAnsi="Arial" w:cs="Arial"/>
          <w:color w:val="000000"/>
        </w:rPr>
        <w:t>]</w:t>
      </w:r>
      <w:r w:rsidRPr="005D547F">
        <w:rPr>
          <w:rFonts w:ascii="Arial" w:hAnsi="Arial" w:cs="Arial"/>
          <w:color w:val="000000"/>
        </w:rPr>
        <w:tab/>
        <w:t xml:space="preserve">Y. Shima, M. Yumoto, T. Katsumoto, and I. Kitabayashi, “Mll is essential for nup98-hoxa9-induced leukemia,” </w:t>
      </w:r>
      <w:r w:rsidRPr="005D547F">
        <w:rPr>
          <w:rFonts w:ascii="Arial" w:hAnsi="Arial" w:cs="Arial"/>
          <w:i/>
          <w:color w:val="000000"/>
        </w:rPr>
        <w:t>Leukemia</w:t>
      </w:r>
      <w:r w:rsidRPr="005D547F">
        <w:rPr>
          <w:rFonts w:ascii="Arial" w:hAnsi="Arial" w:cs="Arial"/>
          <w:color w:val="000000"/>
        </w:rPr>
        <w:t>, vol. 31, no. 10, pp. 2200–2210, 2017.</w:t>
      </w:r>
    </w:p>
    <w:p w14:paraId="318BF851"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41" w:name="BIB_zhong2018hoxa9"/>
      <w:r w:rsidRPr="005D547F">
        <w:rPr>
          <w:rFonts w:ascii="Arial" w:hAnsi="Arial" w:cs="Arial"/>
          <w:color w:val="000000"/>
        </w:rPr>
        <w:t>20</w:t>
      </w:r>
      <w:bookmarkStart w:id="42" w:name="B4B_zhong2018hoxa9"/>
      <w:bookmarkEnd w:id="41"/>
      <w:bookmarkEnd w:id="42"/>
      <w:r w:rsidRPr="005D547F">
        <w:rPr>
          <w:rFonts w:ascii="Arial" w:hAnsi="Arial" w:cs="Arial"/>
          <w:color w:val="000000"/>
        </w:rPr>
        <w:t>]</w:t>
      </w:r>
      <w:r w:rsidRPr="005D547F">
        <w:rPr>
          <w:rFonts w:ascii="Arial" w:hAnsi="Arial" w:cs="Arial"/>
          <w:color w:val="000000"/>
        </w:rPr>
        <w:tab/>
        <w:t xml:space="preserve">X. Zhong, A. Prinz, J. Steger, M.-P. Garcia-Cuellar, M. Radsak, A. Bentaher, and R. K. Slany, “Hoxa9 transforms murine myeloid cells by a feedback loop driving expression of key oncogenes and cell cycle control genes,” </w:t>
      </w:r>
      <w:r w:rsidRPr="005D547F">
        <w:rPr>
          <w:rFonts w:ascii="Arial" w:hAnsi="Arial" w:cs="Arial"/>
          <w:i/>
          <w:color w:val="000000"/>
        </w:rPr>
        <w:t>Blood advances</w:t>
      </w:r>
      <w:r w:rsidRPr="005D547F">
        <w:rPr>
          <w:rFonts w:ascii="Arial" w:hAnsi="Arial" w:cs="Arial"/>
          <w:color w:val="000000"/>
        </w:rPr>
        <w:t>, vol. 2, no. 22, pp. 3137–3148, 2018.</w:t>
      </w:r>
    </w:p>
    <w:p w14:paraId="492B347B"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43" w:name="BIB_ameijeiras2018multimode"/>
      <w:r w:rsidRPr="005D547F">
        <w:rPr>
          <w:rFonts w:ascii="Arial" w:hAnsi="Arial" w:cs="Arial"/>
          <w:color w:val="000000"/>
        </w:rPr>
        <w:t>21</w:t>
      </w:r>
      <w:bookmarkStart w:id="44" w:name="B4B_ameijeiras2018multimode"/>
      <w:bookmarkEnd w:id="43"/>
      <w:bookmarkEnd w:id="44"/>
      <w:r w:rsidRPr="005D547F">
        <w:rPr>
          <w:rFonts w:ascii="Arial" w:hAnsi="Arial" w:cs="Arial"/>
          <w:color w:val="000000"/>
        </w:rPr>
        <w:t>]</w:t>
      </w:r>
      <w:r w:rsidRPr="005D547F">
        <w:rPr>
          <w:rFonts w:ascii="Arial" w:hAnsi="Arial" w:cs="Arial"/>
          <w:color w:val="000000"/>
        </w:rPr>
        <w:tab/>
        <w:t xml:space="preserve">J. Ameijeiras-Alonso, R. M. Crujeiras, and A. Rodrguez-Casal, “multimode: An r package for mode assessment,” </w:t>
      </w:r>
      <w:r w:rsidRPr="005D547F">
        <w:rPr>
          <w:rFonts w:ascii="Arial" w:hAnsi="Arial" w:cs="Arial"/>
          <w:i/>
          <w:color w:val="000000"/>
        </w:rPr>
        <w:t>árXiv preprint arXiv:1803.00472</w:t>
      </w:r>
      <w:r w:rsidRPr="005D547F">
        <w:rPr>
          <w:rFonts w:ascii="Arial" w:hAnsi="Arial" w:cs="Arial"/>
          <w:color w:val="000000"/>
        </w:rPr>
        <w:t>, 2018.</w:t>
      </w:r>
    </w:p>
    <w:p w14:paraId="5A84471C"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lastRenderedPageBreak/>
        <w:t>[</w:t>
      </w:r>
      <w:bookmarkStart w:id="45" w:name="BIB_ameijeiras2019mode"/>
      <w:r w:rsidRPr="005D547F">
        <w:rPr>
          <w:rFonts w:ascii="Arial" w:hAnsi="Arial" w:cs="Arial"/>
          <w:color w:val="000000"/>
        </w:rPr>
        <w:t>22</w:t>
      </w:r>
      <w:bookmarkStart w:id="46" w:name="B4B_ameijeiras2019mode"/>
      <w:bookmarkEnd w:id="45"/>
      <w:bookmarkEnd w:id="46"/>
      <w:r w:rsidRPr="005D547F">
        <w:rPr>
          <w:rFonts w:ascii="Arial" w:hAnsi="Arial" w:cs="Arial"/>
          <w:color w:val="000000"/>
        </w:rPr>
        <w:t>]</w:t>
      </w:r>
      <w:r w:rsidRPr="005D547F">
        <w:rPr>
          <w:rFonts w:ascii="Arial" w:hAnsi="Arial" w:cs="Arial"/>
          <w:color w:val="000000"/>
        </w:rPr>
        <w:tab/>
        <w:t xml:space="preserve">——, “Mode testing, critical bandwidth and excess mass,” </w:t>
      </w:r>
      <w:r w:rsidRPr="005D547F">
        <w:rPr>
          <w:rFonts w:ascii="Arial" w:hAnsi="Arial" w:cs="Arial"/>
          <w:i/>
          <w:color w:val="000000"/>
        </w:rPr>
        <w:t>Test</w:t>
      </w:r>
      <w:r w:rsidRPr="005D547F">
        <w:rPr>
          <w:rFonts w:ascii="Arial" w:hAnsi="Arial" w:cs="Arial"/>
          <w:color w:val="000000"/>
        </w:rPr>
        <w:t>, vol. 28, no. 3, pp. 900–919, 2019.</w:t>
      </w:r>
    </w:p>
    <w:p w14:paraId="4B0D499C"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47" w:name="BIB_therneau2013r"/>
      <w:r w:rsidRPr="005D547F">
        <w:rPr>
          <w:rFonts w:ascii="Arial" w:hAnsi="Arial" w:cs="Arial"/>
          <w:color w:val="000000"/>
        </w:rPr>
        <w:t>23</w:t>
      </w:r>
      <w:bookmarkStart w:id="48" w:name="B4B_therneau2013r"/>
      <w:bookmarkEnd w:id="47"/>
      <w:bookmarkEnd w:id="48"/>
      <w:r w:rsidRPr="005D547F">
        <w:rPr>
          <w:rFonts w:ascii="Arial" w:hAnsi="Arial" w:cs="Arial"/>
          <w:color w:val="000000"/>
        </w:rPr>
        <w:t>]</w:t>
      </w:r>
      <w:r w:rsidRPr="005D547F">
        <w:rPr>
          <w:rFonts w:ascii="Arial" w:hAnsi="Arial" w:cs="Arial"/>
          <w:color w:val="000000"/>
        </w:rPr>
        <w:tab/>
        <w:t>T. Therneau and T. Lumley, “R survival package,” 2013.</w:t>
      </w:r>
    </w:p>
    <w:p w14:paraId="3EE1CE6A"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49" w:name="BIB_love2014differential"/>
      <w:r w:rsidRPr="005D547F">
        <w:rPr>
          <w:rFonts w:ascii="Arial" w:hAnsi="Arial" w:cs="Arial"/>
          <w:color w:val="000000"/>
        </w:rPr>
        <w:t>24</w:t>
      </w:r>
      <w:bookmarkStart w:id="50" w:name="B4B_love2014differential"/>
      <w:bookmarkEnd w:id="49"/>
      <w:bookmarkEnd w:id="50"/>
      <w:r w:rsidRPr="005D547F">
        <w:rPr>
          <w:rFonts w:ascii="Arial" w:hAnsi="Arial" w:cs="Arial"/>
          <w:color w:val="000000"/>
        </w:rPr>
        <w:t>]</w:t>
      </w:r>
      <w:r w:rsidRPr="005D547F">
        <w:rPr>
          <w:rFonts w:ascii="Arial" w:hAnsi="Arial" w:cs="Arial"/>
          <w:color w:val="000000"/>
        </w:rPr>
        <w:tab/>
        <w:t xml:space="preserve">M. Love, S. Anders, and W. Huber, “Differential analysis of count data–the deseq2 package,” </w:t>
      </w:r>
      <w:r w:rsidRPr="005D547F">
        <w:rPr>
          <w:rFonts w:ascii="Arial" w:hAnsi="Arial" w:cs="Arial"/>
          <w:i/>
          <w:color w:val="000000"/>
        </w:rPr>
        <w:t>Genome Biol</w:t>
      </w:r>
      <w:r w:rsidRPr="005D547F">
        <w:rPr>
          <w:rFonts w:ascii="Arial" w:hAnsi="Arial" w:cs="Arial"/>
          <w:color w:val="000000"/>
        </w:rPr>
        <w:t>, vol. 15, no. 550, pp. 10–1186, 2014.</w:t>
      </w:r>
    </w:p>
    <w:p w14:paraId="2035D9DE"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51" w:name="BIB_chen2015distinct"/>
      <w:r w:rsidRPr="005D547F">
        <w:rPr>
          <w:rFonts w:ascii="Arial" w:hAnsi="Arial" w:cs="Arial"/>
          <w:color w:val="000000"/>
        </w:rPr>
        <w:t>25</w:t>
      </w:r>
      <w:bookmarkStart w:id="52" w:name="B4B_chen2015distinct"/>
      <w:bookmarkEnd w:id="51"/>
      <w:bookmarkEnd w:id="52"/>
      <w:r w:rsidRPr="005D547F">
        <w:rPr>
          <w:rFonts w:ascii="Arial" w:hAnsi="Arial" w:cs="Arial"/>
          <w:color w:val="000000"/>
        </w:rPr>
        <w:t>]</w:t>
      </w:r>
      <w:r w:rsidRPr="005D547F">
        <w:rPr>
          <w:rFonts w:ascii="Arial" w:hAnsi="Arial" w:cs="Arial"/>
          <w:color w:val="000000"/>
        </w:rPr>
        <w:tab/>
        <w:t xml:space="preserve">E. Chen, R. K. Schneider, L. J. Breyfogle, E. A. Rosen, L. Poveromo, S. Elf, A. Ko, K. Brumme, R. Levine, B. L. Ebert </w:t>
      </w:r>
      <w:r w:rsidRPr="005D547F">
        <w:rPr>
          <w:rFonts w:ascii="Arial" w:hAnsi="Arial" w:cs="Arial"/>
          <w:i/>
          <w:color w:val="000000"/>
        </w:rPr>
        <w:t>et al.</w:t>
      </w:r>
      <w:r w:rsidRPr="005D547F">
        <w:rPr>
          <w:rFonts w:ascii="Arial" w:hAnsi="Arial" w:cs="Arial"/>
          <w:color w:val="000000"/>
        </w:rPr>
        <w:t xml:space="preserve">, “Distinct effects of concomitant jak2v617f expression and tet2 loss in mice promote disease progression in myeloproliferative neoplasms,” </w:t>
      </w:r>
      <w:r w:rsidRPr="005D547F">
        <w:rPr>
          <w:rFonts w:ascii="Arial" w:hAnsi="Arial" w:cs="Arial"/>
          <w:i/>
          <w:color w:val="000000"/>
        </w:rPr>
        <w:t>Blood, The Journal of the American Society of Hematology</w:t>
      </w:r>
      <w:r w:rsidRPr="005D547F">
        <w:rPr>
          <w:rFonts w:ascii="Arial" w:hAnsi="Arial" w:cs="Arial"/>
          <w:color w:val="000000"/>
        </w:rPr>
        <w:t>, vol. 125, no. 2, pp. 327–335, 2015.</w:t>
      </w:r>
    </w:p>
    <w:p w14:paraId="13E607D8"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53" w:name="BIB_gu2016complex"/>
      <w:r w:rsidRPr="005D547F">
        <w:rPr>
          <w:rFonts w:ascii="Arial" w:hAnsi="Arial" w:cs="Arial"/>
          <w:color w:val="000000"/>
        </w:rPr>
        <w:t>26</w:t>
      </w:r>
      <w:bookmarkStart w:id="54" w:name="B4B_gu2016complex"/>
      <w:bookmarkEnd w:id="53"/>
      <w:bookmarkEnd w:id="54"/>
      <w:r w:rsidRPr="005D547F">
        <w:rPr>
          <w:rFonts w:ascii="Arial" w:hAnsi="Arial" w:cs="Arial"/>
          <w:color w:val="000000"/>
        </w:rPr>
        <w:t>]</w:t>
      </w:r>
      <w:r w:rsidRPr="005D547F">
        <w:rPr>
          <w:rFonts w:ascii="Arial" w:hAnsi="Arial" w:cs="Arial"/>
          <w:color w:val="000000"/>
        </w:rPr>
        <w:tab/>
        <w:t xml:space="preserve">Z. Gu, R. Eils, and M. Schlesner, “Complex heatmaps reveal patterns and correlations in multidimensional genomic data,” </w:t>
      </w:r>
      <w:r w:rsidRPr="005D547F">
        <w:rPr>
          <w:rFonts w:ascii="Arial" w:hAnsi="Arial" w:cs="Arial"/>
          <w:i/>
          <w:color w:val="000000"/>
        </w:rPr>
        <w:t>Bioinformatics</w:t>
      </w:r>
      <w:r w:rsidRPr="005D547F">
        <w:rPr>
          <w:rFonts w:ascii="Arial" w:hAnsi="Arial" w:cs="Arial"/>
          <w:color w:val="000000"/>
        </w:rPr>
        <w:t>, vol. 32, no. 18, pp. 2847–2849, 2016.</w:t>
      </w:r>
    </w:p>
    <w:p w14:paraId="4A4BD23A"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55" w:name="BIB_chen2016xgboost"/>
      <w:r w:rsidRPr="005D547F">
        <w:rPr>
          <w:rFonts w:ascii="Arial" w:hAnsi="Arial" w:cs="Arial"/>
          <w:color w:val="000000"/>
        </w:rPr>
        <w:t>27</w:t>
      </w:r>
      <w:bookmarkStart w:id="56" w:name="B4B_chen2016xgboost"/>
      <w:bookmarkEnd w:id="55"/>
      <w:bookmarkEnd w:id="56"/>
      <w:r w:rsidRPr="005D547F">
        <w:rPr>
          <w:rFonts w:ascii="Arial" w:hAnsi="Arial" w:cs="Arial"/>
          <w:color w:val="000000"/>
        </w:rPr>
        <w:t>]</w:t>
      </w:r>
      <w:r w:rsidRPr="005D547F">
        <w:rPr>
          <w:rFonts w:ascii="Arial" w:hAnsi="Arial" w:cs="Arial"/>
          <w:color w:val="000000"/>
        </w:rPr>
        <w:tab/>
        <w:t xml:space="preserve">T. Chen and C. Guestrin, “Xgboost: A scalable tree boosting system,” in </w:t>
      </w:r>
      <w:r w:rsidRPr="005D547F">
        <w:rPr>
          <w:rFonts w:ascii="Arial" w:hAnsi="Arial" w:cs="Arial"/>
          <w:i/>
          <w:color w:val="000000"/>
        </w:rPr>
        <w:t>Proceedings of the 22nd acm sigkdd international conference on knowledge discovery and data mining</w:t>
      </w:r>
      <w:r w:rsidRPr="005D547F">
        <w:rPr>
          <w:rFonts w:ascii="Arial" w:hAnsi="Arial" w:cs="Arial"/>
          <w:color w:val="000000"/>
        </w:rPr>
        <w:t>, 2016, pp. 785–794.</w:t>
      </w:r>
    </w:p>
    <w:p w14:paraId="06282E75"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57" w:name="BIB_benque2012bma"/>
      <w:r w:rsidRPr="005D547F">
        <w:rPr>
          <w:rFonts w:ascii="Arial" w:hAnsi="Arial" w:cs="Arial"/>
          <w:color w:val="000000"/>
        </w:rPr>
        <w:t>28</w:t>
      </w:r>
      <w:bookmarkStart w:id="58" w:name="B4B_benque2012bma"/>
      <w:bookmarkEnd w:id="57"/>
      <w:bookmarkEnd w:id="58"/>
      <w:r w:rsidRPr="005D547F">
        <w:rPr>
          <w:rFonts w:ascii="Arial" w:hAnsi="Arial" w:cs="Arial"/>
          <w:color w:val="000000"/>
        </w:rPr>
        <w:t>]</w:t>
      </w:r>
      <w:r w:rsidRPr="005D547F">
        <w:rPr>
          <w:rFonts w:ascii="Arial" w:hAnsi="Arial" w:cs="Arial"/>
          <w:color w:val="000000"/>
        </w:rPr>
        <w:tab/>
        <w:t xml:space="preserve">D. Benque, S. Bourton, C. Cockerton, B. Cook, J. Fisher, S. Ishtiaq, N. Piterman, A. Taylor, and M. Y. Vardi, “Bma: Visual tool for modeling and analyzing biological networks,” in </w:t>
      </w:r>
      <w:r w:rsidRPr="005D547F">
        <w:rPr>
          <w:rFonts w:ascii="Arial" w:hAnsi="Arial" w:cs="Arial"/>
          <w:i/>
          <w:color w:val="000000"/>
        </w:rPr>
        <w:t>International Conference on Computer Aided Verification</w:t>
      </w:r>
      <w:r w:rsidRPr="005D547F">
        <w:rPr>
          <w:rFonts w:ascii="Arial" w:hAnsi="Arial" w:cs="Arial"/>
          <w:color w:val="000000"/>
        </w:rPr>
        <w:t>. Springer, 2012, pp. 686–692.</w:t>
      </w:r>
    </w:p>
    <w:p w14:paraId="3010D9DD"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lastRenderedPageBreak/>
        <w:t>[</w:t>
      </w:r>
      <w:bookmarkStart w:id="59" w:name="BIB_cancer2013genomic"/>
      <w:r w:rsidRPr="005D547F">
        <w:rPr>
          <w:rFonts w:ascii="Arial" w:hAnsi="Arial" w:cs="Arial"/>
          <w:color w:val="000000"/>
        </w:rPr>
        <w:t>29</w:t>
      </w:r>
      <w:bookmarkStart w:id="60" w:name="B4B_cancer2013genomic"/>
      <w:bookmarkEnd w:id="59"/>
      <w:bookmarkEnd w:id="60"/>
      <w:r w:rsidRPr="005D547F">
        <w:rPr>
          <w:rFonts w:ascii="Arial" w:hAnsi="Arial" w:cs="Arial"/>
          <w:color w:val="000000"/>
        </w:rPr>
        <w:t>]</w:t>
      </w:r>
      <w:r w:rsidRPr="005D547F">
        <w:rPr>
          <w:rFonts w:ascii="Arial" w:hAnsi="Arial" w:cs="Arial"/>
          <w:color w:val="000000"/>
        </w:rPr>
        <w:tab/>
        <w:t xml:space="preserve">C. G. A. R. Network, “Genomic and epigenomic landscapes of adult de novo acute myeloid leukemia,” </w:t>
      </w:r>
      <w:r w:rsidRPr="005D547F">
        <w:rPr>
          <w:rFonts w:ascii="Arial" w:hAnsi="Arial" w:cs="Arial"/>
          <w:i/>
          <w:color w:val="000000"/>
        </w:rPr>
        <w:t>New England Journal of Medicine</w:t>
      </w:r>
      <w:r w:rsidRPr="005D547F">
        <w:rPr>
          <w:rFonts w:ascii="Arial" w:hAnsi="Arial" w:cs="Arial"/>
          <w:color w:val="000000"/>
        </w:rPr>
        <w:t>, vol. 368, no. 22, pp. 2059–2074, 2013.</w:t>
      </w:r>
    </w:p>
    <w:p w14:paraId="7F4F91F2"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61" w:name="BIB_rejlova2018low"/>
      <w:r w:rsidRPr="005D547F">
        <w:rPr>
          <w:rFonts w:ascii="Arial" w:hAnsi="Arial" w:cs="Arial"/>
          <w:color w:val="000000"/>
        </w:rPr>
        <w:t>30</w:t>
      </w:r>
      <w:bookmarkStart w:id="62" w:name="B4B_rejlova2018low"/>
      <w:bookmarkEnd w:id="61"/>
      <w:bookmarkEnd w:id="62"/>
      <w:r w:rsidRPr="005D547F">
        <w:rPr>
          <w:rFonts w:ascii="Arial" w:hAnsi="Arial" w:cs="Arial"/>
          <w:color w:val="000000"/>
        </w:rPr>
        <w:t>]</w:t>
      </w:r>
      <w:r w:rsidRPr="005D547F">
        <w:rPr>
          <w:rFonts w:ascii="Arial" w:hAnsi="Arial" w:cs="Arial"/>
          <w:color w:val="000000"/>
        </w:rPr>
        <w:tab/>
        <w:t xml:space="preserve">K. Rejlova, A. Musilova, K. S. Kramarzova, M. Zaliova, K. Fiser, M. Alberich-Jorda, J. Trka, and J. Starkova, “Low hox gene expression in pml-rarα-positive leukemia results from suppressed histone demethylation,” </w:t>
      </w:r>
      <w:r w:rsidRPr="005D547F">
        <w:rPr>
          <w:rFonts w:ascii="Arial" w:hAnsi="Arial" w:cs="Arial"/>
          <w:i/>
          <w:color w:val="000000"/>
        </w:rPr>
        <w:t>Epigenetics</w:t>
      </w:r>
      <w:r w:rsidRPr="005D547F">
        <w:rPr>
          <w:rFonts w:ascii="Arial" w:hAnsi="Arial" w:cs="Arial"/>
          <w:color w:val="000000"/>
        </w:rPr>
        <w:t>, vol. 13, no. 1, pp. 73–84, 2018.</w:t>
      </w:r>
    </w:p>
    <w:p w14:paraId="2348D680"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63" w:name="BIB_lasa2004meis"/>
      <w:r w:rsidRPr="005D547F">
        <w:rPr>
          <w:rFonts w:ascii="Arial" w:hAnsi="Arial" w:cs="Arial"/>
          <w:color w:val="000000"/>
        </w:rPr>
        <w:t>31</w:t>
      </w:r>
      <w:bookmarkStart w:id="64" w:name="B4B_lasa2004meis"/>
      <w:bookmarkEnd w:id="63"/>
      <w:bookmarkEnd w:id="64"/>
      <w:r w:rsidRPr="005D547F">
        <w:rPr>
          <w:rFonts w:ascii="Arial" w:hAnsi="Arial" w:cs="Arial"/>
          <w:color w:val="000000"/>
        </w:rPr>
        <w:t>]</w:t>
      </w:r>
      <w:r w:rsidRPr="005D547F">
        <w:rPr>
          <w:rFonts w:ascii="Arial" w:hAnsi="Arial" w:cs="Arial"/>
          <w:color w:val="000000"/>
        </w:rPr>
        <w:tab/>
        <w:t xml:space="preserve">A. Lasa, M. Carnicer, A. Aventin, C. Estivill, S. Brunet, J. Sierra, and J. Nomdedeu, “Meis 1 expression is downregulated through promoter hypermethylation in aml1-eto acute myeloid leukemias,” </w:t>
      </w:r>
      <w:r w:rsidRPr="005D547F">
        <w:rPr>
          <w:rFonts w:ascii="Arial" w:hAnsi="Arial" w:cs="Arial"/>
          <w:i/>
          <w:color w:val="000000"/>
        </w:rPr>
        <w:t>Leukemia</w:t>
      </w:r>
      <w:r w:rsidRPr="005D547F">
        <w:rPr>
          <w:rFonts w:ascii="Arial" w:hAnsi="Arial" w:cs="Arial"/>
          <w:color w:val="000000"/>
        </w:rPr>
        <w:t>, vol. 18, no. 7, pp. 1231–1237, 2004.</w:t>
      </w:r>
    </w:p>
    <w:p w14:paraId="367E3C4F"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65" w:name="BIB_byrd2002pretreatment"/>
      <w:r w:rsidRPr="005D547F">
        <w:rPr>
          <w:rFonts w:ascii="Arial" w:hAnsi="Arial" w:cs="Arial"/>
          <w:color w:val="000000"/>
        </w:rPr>
        <w:t>32</w:t>
      </w:r>
      <w:bookmarkStart w:id="66" w:name="B4B_byrd2002pretreatment"/>
      <w:bookmarkEnd w:id="65"/>
      <w:bookmarkEnd w:id="66"/>
      <w:r w:rsidRPr="005D547F">
        <w:rPr>
          <w:rFonts w:ascii="Arial" w:hAnsi="Arial" w:cs="Arial"/>
          <w:color w:val="000000"/>
        </w:rPr>
        <w:t>]</w:t>
      </w:r>
      <w:r w:rsidRPr="005D547F">
        <w:rPr>
          <w:rFonts w:ascii="Arial" w:hAnsi="Arial" w:cs="Arial"/>
          <w:color w:val="000000"/>
        </w:rPr>
        <w:tab/>
        <w:t xml:space="preserve">J. C. Byrd, K. Mrózek, R. K. Dodge, A. J. Carroll, C. G. Edwards, D. C. Arthur, M. J. Pettenati, S. R. Patil, K. W. Rao, M. S. Watson </w:t>
      </w:r>
      <w:r w:rsidRPr="005D547F">
        <w:rPr>
          <w:rFonts w:ascii="Arial" w:hAnsi="Arial" w:cs="Arial"/>
          <w:i/>
          <w:color w:val="000000"/>
        </w:rPr>
        <w:t>et al.</w:t>
      </w:r>
      <w:r w:rsidRPr="005D547F">
        <w:rPr>
          <w:rFonts w:ascii="Arial" w:hAnsi="Arial" w:cs="Arial"/>
          <w:color w:val="000000"/>
        </w:rPr>
        <w:t xml:space="preserve">, “Pretreatment cytogenetic abnormalities are predictive of induction success, cumulative incidence of relapse, and overall survival in adult patients with de novo acute myeloid leukemia: results from cancer and leukemia group b (calgb 8461) presented in part at the 43rd annual meeting of the american society of hematology, orlando, fl, december 10, 2001, and published in abstract form. 59,” </w:t>
      </w:r>
      <w:r w:rsidRPr="005D547F">
        <w:rPr>
          <w:rFonts w:ascii="Arial" w:hAnsi="Arial" w:cs="Arial"/>
          <w:i/>
          <w:color w:val="000000"/>
        </w:rPr>
        <w:t>Blood, The Journal of the American Society of Hematology</w:t>
      </w:r>
      <w:r w:rsidRPr="005D547F">
        <w:rPr>
          <w:rFonts w:ascii="Arial" w:hAnsi="Arial" w:cs="Arial"/>
          <w:color w:val="000000"/>
        </w:rPr>
        <w:t>, vol. 100, no. 13, pp. 4325–4336, 2002.</w:t>
      </w:r>
    </w:p>
    <w:p w14:paraId="2AC063B0"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lastRenderedPageBreak/>
        <w:t>[</w:t>
      </w:r>
      <w:bookmarkStart w:id="67" w:name="BIB_wang2008acute"/>
      <w:r w:rsidRPr="005D547F">
        <w:rPr>
          <w:rFonts w:ascii="Arial" w:hAnsi="Arial" w:cs="Arial"/>
          <w:color w:val="000000"/>
        </w:rPr>
        <w:t>33</w:t>
      </w:r>
      <w:bookmarkStart w:id="68" w:name="B4B_wang2008acute"/>
      <w:bookmarkEnd w:id="67"/>
      <w:bookmarkEnd w:id="68"/>
      <w:r w:rsidRPr="005D547F">
        <w:rPr>
          <w:rFonts w:ascii="Arial" w:hAnsi="Arial" w:cs="Arial"/>
          <w:color w:val="000000"/>
        </w:rPr>
        <w:t>]</w:t>
      </w:r>
      <w:r w:rsidRPr="005D547F">
        <w:rPr>
          <w:rFonts w:ascii="Arial" w:hAnsi="Arial" w:cs="Arial"/>
          <w:color w:val="000000"/>
        </w:rPr>
        <w:tab/>
        <w:t xml:space="preserve">Z.-Y. Wang and Z. Chen, “Acute promyelocytic leukemia: from highly fatal to highly curable,” </w:t>
      </w:r>
      <w:r w:rsidRPr="005D547F">
        <w:rPr>
          <w:rFonts w:ascii="Arial" w:hAnsi="Arial" w:cs="Arial"/>
          <w:i/>
          <w:color w:val="000000"/>
        </w:rPr>
        <w:t>Blood, The Journal of the American Society of Hematology</w:t>
      </w:r>
      <w:r w:rsidRPr="005D547F">
        <w:rPr>
          <w:rFonts w:ascii="Arial" w:hAnsi="Arial" w:cs="Arial"/>
          <w:color w:val="000000"/>
        </w:rPr>
        <w:t>, vol. 111, no. 5, pp. 2505–2515, 2008.</w:t>
      </w:r>
    </w:p>
    <w:p w14:paraId="7B8A0ED4"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69" w:name="BIB_levine2005activating"/>
      <w:r w:rsidRPr="005D547F">
        <w:rPr>
          <w:rFonts w:ascii="Arial" w:hAnsi="Arial" w:cs="Arial"/>
          <w:color w:val="000000"/>
        </w:rPr>
        <w:t>34</w:t>
      </w:r>
      <w:bookmarkStart w:id="70" w:name="B4B_levine2005activating"/>
      <w:bookmarkEnd w:id="69"/>
      <w:bookmarkEnd w:id="70"/>
      <w:r w:rsidRPr="005D547F">
        <w:rPr>
          <w:rFonts w:ascii="Arial" w:hAnsi="Arial" w:cs="Arial"/>
          <w:color w:val="000000"/>
        </w:rPr>
        <w:t>]</w:t>
      </w:r>
      <w:r w:rsidRPr="005D547F">
        <w:rPr>
          <w:rFonts w:ascii="Arial" w:hAnsi="Arial" w:cs="Arial"/>
          <w:color w:val="000000"/>
        </w:rPr>
        <w:tab/>
        <w:t xml:space="preserve">R. L. Levine, M. Wadleigh, J. Cools, B. L. Ebert, G. Wernig, B. J. Huntly, T. J. Boggon, I. Wlodarska, J. J. Clark, S. Moore </w:t>
      </w:r>
      <w:r w:rsidRPr="005D547F">
        <w:rPr>
          <w:rFonts w:ascii="Arial" w:hAnsi="Arial" w:cs="Arial"/>
          <w:i/>
          <w:color w:val="000000"/>
        </w:rPr>
        <w:t>et al.</w:t>
      </w:r>
      <w:r w:rsidRPr="005D547F">
        <w:rPr>
          <w:rFonts w:ascii="Arial" w:hAnsi="Arial" w:cs="Arial"/>
          <w:color w:val="000000"/>
        </w:rPr>
        <w:t xml:space="preserve">, “Activating mutation in the tyrosine kinase jak2 in polycythemia vera, essential thrombocythemia, and myeloid metaplasia with myelofibrosis,” </w:t>
      </w:r>
      <w:r w:rsidRPr="005D547F">
        <w:rPr>
          <w:rFonts w:ascii="Arial" w:hAnsi="Arial" w:cs="Arial"/>
          <w:i/>
          <w:color w:val="000000"/>
        </w:rPr>
        <w:t>Cancer cell</w:t>
      </w:r>
      <w:r w:rsidRPr="005D547F">
        <w:rPr>
          <w:rFonts w:ascii="Arial" w:hAnsi="Arial" w:cs="Arial"/>
          <w:color w:val="000000"/>
        </w:rPr>
        <w:t>, vol. 7, no. 4, pp. 387–397, 2005.</w:t>
      </w:r>
    </w:p>
    <w:p w14:paraId="33D82953"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71" w:name="BIB_delhommeau2009mutation"/>
      <w:r w:rsidRPr="005D547F">
        <w:rPr>
          <w:rFonts w:ascii="Arial" w:hAnsi="Arial" w:cs="Arial"/>
          <w:color w:val="000000"/>
        </w:rPr>
        <w:t>35</w:t>
      </w:r>
      <w:bookmarkStart w:id="72" w:name="B4B_delhommeau2009mutation"/>
      <w:bookmarkEnd w:id="71"/>
      <w:bookmarkEnd w:id="72"/>
      <w:r w:rsidRPr="005D547F">
        <w:rPr>
          <w:rFonts w:ascii="Arial" w:hAnsi="Arial" w:cs="Arial"/>
          <w:color w:val="000000"/>
        </w:rPr>
        <w:t>]</w:t>
      </w:r>
      <w:r w:rsidRPr="005D547F">
        <w:rPr>
          <w:rFonts w:ascii="Arial" w:hAnsi="Arial" w:cs="Arial"/>
          <w:color w:val="000000"/>
        </w:rPr>
        <w:tab/>
        <w:t xml:space="preserve">F. Delhommeau, S. Dupont, V. D. Valle, C. James, S. Trannoy, A. Masse, O. Kosmider, J.-P. Le Couedic, F. Robert, A. Alberdi </w:t>
      </w:r>
      <w:r w:rsidRPr="005D547F">
        <w:rPr>
          <w:rFonts w:ascii="Arial" w:hAnsi="Arial" w:cs="Arial"/>
          <w:i/>
          <w:color w:val="000000"/>
        </w:rPr>
        <w:t>et al.</w:t>
      </w:r>
      <w:r w:rsidRPr="005D547F">
        <w:rPr>
          <w:rFonts w:ascii="Arial" w:hAnsi="Arial" w:cs="Arial"/>
          <w:color w:val="000000"/>
        </w:rPr>
        <w:t xml:space="preserve">, “Mutation in tet2 in myeloid cancers,” </w:t>
      </w:r>
      <w:r w:rsidRPr="005D547F">
        <w:rPr>
          <w:rFonts w:ascii="Arial" w:hAnsi="Arial" w:cs="Arial"/>
          <w:i/>
          <w:color w:val="000000"/>
        </w:rPr>
        <w:t>New England Journal of Medicine</w:t>
      </w:r>
      <w:r w:rsidRPr="005D547F">
        <w:rPr>
          <w:rFonts w:ascii="Arial" w:hAnsi="Arial" w:cs="Arial"/>
          <w:color w:val="000000"/>
        </w:rPr>
        <w:t>, vol. 360, no. 22, pp. 2289–2301, 2009.</w:t>
      </w:r>
    </w:p>
    <w:p w14:paraId="4B8A1441"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73" w:name="BIB_chiba2017dysregulation"/>
      <w:r w:rsidRPr="005D547F">
        <w:rPr>
          <w:rFonts w:ascii="Arial" w:hAnsi="Arial" w:cs="Arial"/>
          <w:color w:val="000000"/>
        </w:rPr>
        <w:t>36</w:t>
      </w:r>
      <w:bookmarkStart w:id="74" w:name="B4B_chiba2017dysregulation"/>
      <w:bookmarkEnd w:id="73"/>
      <w:bookmarkEnd w:id="74"/>
      <w:r w:rsidRPr="005D547F">
        <w:rPr>
          <w:rFonts w:ascii="Arial" w:hAnsi="Arial" w:cs="Arial"/>
          <w:color w:val="000000"/>
        </w:rPr>
        <w:t>]</w:t>
      </w:r>
      <w:r w:rsidRPr="005D547F">
        <w:rPr>
          <w:rFonts w:ascii="Arial" w:hAnsi="Arial" w:cs="Arial"/>
          <w:color w:val="000000"/>
        </w:rPr>
        <w:tab/>
        <w:t xml:space="preserve">S. Chiba, “Dysregulation of tet2 in hematologic malignancies,” </w:t>
      </w:r>
      <w:r w:rsidRPr="005D547F">
        <w:rPr>
          <w:rFonts w:ascii="Arial" w:hAnsi="Arial" w:cs="Arial"/>
          <w:i/>
          <w:color w:val="000000"/>
        </w:rPr>
        <w:t>International journal of hematology</w:t>
      </w:r>
      <w:r w:rsidRPr="005D547F">
        <w:rPr>
          <w:rFonts w:ascii="Arial" w:hAnsi="Arial" w:cs="Arial"/>
          <w:color w:val="000000"/>
        </w:rPr>
        <w:t>, vol. 105, no. 1, pp. 17–22, 2017.</w:t>
      </w:r>
    </w:p>
    <w:p w14:paraId="205B67CF"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75" w:name="BIB_paterson2018toolbox"/>
      <w:r w:rsidRPr="005D547F">
        <w:rPr>
          <w:rFonts w:ascii="Arial" w:hAnsi="Arial" w:cs="Arial"/>
          <w:color w:val="000000"/>
        </w:rPr>
        <w:t>37</w:t>
      </w:r>
      <w:bookmarkStart w:id="76" w:name="B4B_paterson2018toolbox"/>
      <w:bookmarkEnd w:id="75"/>
      <w:bookmarkEnd w:id="76"/>
      <w:r w:rsidRPr="005D547F">
        <w:rPr>
          <w:rFonts w:ascii="Arial" w:hAnsi="Arial" w:cs="Arial"/>
          <w:color w:val="000000"/>
        </w:rPr>
        <w:t>]</w:t>
      </w:r>
      <w:r w:rsidRPr="005D547F">
        <w:rPr>
          <w:rFonts w:ascii="Arial" w:hAnsi="Arial" w:cs="Arial"/>
          <w:color w:val="000000"/>
        </w:rPr>
        <w:tab/>
        <w:t xml:space="preserve">Y. Z. Paterson, D. Shorthouse, M. W. Pleijzier, N. Piterman, C. Bendtsen, B. A. Hall, and J. Fisher, “A toolbox for discrete modelling of cell signalling dynamics,” </w:t>
      </w:r>
      <w:r w:rsidRPr="005D547F">
        <w:rPr>
          <w:rFonts w:ascii="Arial" w:hAnsi="Arial" w:cs="Arial"/>
          <w:i/>
          <w:color w:val="000000"/>
        </w:rPr>
        <w:t>Integrative Biology</w:t>
      </w:r>
      <w:r w:rsidRPr="005D547F">
        <w:rPr>
          <w:rFonts w:ascii="Arial" w:hAnsi="Arial" w:cs="Arial"/>
          <w:color w:val="000000"/>
        </w:rPr>
        <w:t>, vol. 10, no. 6, pp. 370–382, 2018.</w:t>
      </w:r>
    </w:p>
    <w:p w14:paraId="05923AC6"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77" w:name="BIB_xiong2003positive"/>
      <w:r w:rsidRPr="005D547F">
        <w:rPr>
          <w:rFonts w:ascii="Arial" w:hAnsi="Arial" w:cs="Arial"/>
          <w:color w:val="000000"/>
        </w:rPr>
        <w:t>38</w:t>
      </w:r>
      <w:bookmarkStart w:id="78" w:name="B4B_xiong2003positive"/>
      <w:bookmarkEnd w:id="77"/>
      <w:bookmarkEnd w:id="78"/>
      <w:r w:rsidRPr="005D547F">
        <w:rPr>
          <w:rFonts w:ascii="Arial" w:hAnsi="Arial" w:cs="Arial"/>
          <w:color w:val="000000"/>
        </w:rPr>
        <w:t>]</w:t>
      </w:r>
      <w:r w:rsidRPr="005D547F">
        <w:rPr>
          <w:rFonts w:ascii="Arial" w:hAnsi="Arial" w:cs="Arial"/>
          <w:color w:val="000000"/>
        </w:rPr>
        <w:tab/>
        <w:t xml:space="preserve">W. Xiong and J. E. Ferrell, “A positive-feedback-based bistable memory module that governs a cell fate decision,” </w:t>
      </w:r>
      <w:r w:rsidRPr="005D547F">
        <w:rPr>
          <w:rFonts w:ascii="Arial" w:hAnsi="Arial" w:cs="Arial"/>
          <w:i/>
          <w:color w:val="000000"/>
        </w:rPr>
        <w:t>Nature</w:t>
      </w:r>
      <w:r w:rsidRPr="005D547F">
        <w:rPr>
          <w:rFonts w:ascii="Arial" w:hAnsi="Arial" w:cs="Arial"/>
          <w:color w:val="000000"/>
        </w:rPr>
        <w:t>, vol. 426, no. 6965, pp. 460–465, 2003.</w:t>
      </w:r>
    </w:p>
    <w:p w14:paraId="0C102FD3"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lastRenderedPageBreak/>
        <w:t>[</w:t>
      </w:r>
      <w:bookmarkStart w:id="79" w:name="BIB_zhao2002jak2"/>
      <w:r w:rsidRPr="005D547F">
        <w:rPr>
          <w:rFonts w:ascii="Arial" w:hAnsi="Arial" w:cs="Arial"/>
          <w:color w:val="000000"/>
        </w:rPr>
        <w:t>39</w:t>
      </w:r>
      <w:bookmarkStart w:id="80" w:name="B4B_zhao2002jak2"/>
      <w:bookmarkEnd w:id="79"/>
      <w:bookmarkEnd w:id="80"/>
      <w:r w:rsidRPr="005D547F">
        <w:rPr>
          <w:rFonts w:ascii="Arial" w:hAnsi="Arial" w:cs="Arial"/>
          <w:color w:val="000000"/>
        </w:rPr>
        <w:t>]</w:t>
      </w:r>
      <w:r w:rsidRPr="005D547F">
        <w:rPr>
          <w:rFonts w:ascii="Arial" w:hAnsi="Arial" w:cs="Arial"/>
          <w:color w:val="000000"/>
        </w:rPr>
        <w:tab/>
        <w:t xml:space="preserve">S. Zhao, K. Zoller, M. Masuko, P. Rojnuckarin, X. O. Yang, E. Parganas, K. Kaushansky, J. N. Ihle, T. Papayannopoulou, D. M. Willerford </w:t>
      </w:r>
      <w:r w:rsidRPr="005D547F">
        <w:rPr>
          <w:rFonts w:ascii="Arial" w:hAnsi="Arial" w:cs="Arial"/>
          <w:i/>
          <w:color w:val="000000"/>
        </w:rPr>
        <w:t>et al.</w:t>
      </w:r>
      <w:r w:rsidRPr="005D547F">
        <w:rPr>
          <w:rFonts w:ascii="Arial" w:hAnsi="Arial" w:cs="Arial"/>
          <w:color w:val="000000"/>
        </w:rPr>
        <w:t xml:space="preserve">, “Jak2, complemented by a second signal from c-kit or flt-3, triggers extensive self-renewal of primary multipotential hemopoietic cells,” </w:t>
      </w:r>
      <w:r w:rsidRPr="005D547F">
        <w:rPr>
          <w:rFonts w:ascii="Arial" w:hAnsi="Arial" w:cs="Arial"/>
          <w:i/>
          <w:color w:val="000000"/>
        </w:rPr>
        <w:t>The EMBO journal</w:t>
      </w:r>
      <w:r w:rsidRPr="005D547F">
        <w:rPr>
          <w:rFonts w:ascii="Arial" w:hAnsi="Arial" w:cs="Arial"/>
          <w:color w:val="000000"/>
        </w:rPr>
        <w:t>, vol. 21, no. 9, pp. 2159–2167, 2002.</w:t>
      </w:r>
    </w:p>
    <w:p w14:paraId="5B6C03FD"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81" w:name="BIB_de2018hoxa9"/>
      <w:r w:rsidRPr="005D547F">
        <w:rPr>
          <w:rFonts w:ascii="Arial" w:hAnsi="Arial" w:cs="Arial"/>
          <w:color w:val="000000"/>
        </w:rPr>
        <w:t>40</w:t>
      </w:r>
      <w:bookmarkStart w:id="82" w:name="B4B_de2018hoxa9"/>
      <w:bookmarkEnd w:id="81"/>
      <w:bookmarkEnd w:id="82"/>
      <w:r w:rsidRPr="005D547F">
        <w:rPr>
          <w:rFonts w:ascii="Arial" w:hAnsi="Arial" w:cs="Arial"/>
          <w:color w:val="000000"/>
        </w:rPr>
        <w:t>]</w:t>
      </w:r>
      <w:r w:rsidRPr="005D547F">
        <w:rPr>
          <w:rFonts w:ascii="Arial" w:hAnsi="Arial" w:cs="Arial"/>
          <w:color w:val="000000"/>
        </w:rPr>
        <w:tab/>
        <w:t xml:space="preserve">C. E. de Bock, S. Demeyer, S. Degryse, D. Verbeke, B. Sweron, O. Gielen, R. Vandepoel, C. Vicente, M. V. Bempt, A. Dagklis </w:t>
      </w:r>
      <w:r w:rsidRPr="005D547F">
        <w:rPr>
          <w:rFonts w:ascii="Arial" w:hAnsi="Arial" w:cs="Arial"/>
          <w:i/>
          <w:color w:val="000000"/>
        </w:rPr>
        <w:t>et al.</w:t>
      </w:r>
      <w:r w:rsidRPr="005D547F">
        <w:rPr>
          <w:rFonts w:ascii="Arial" w:hAnsi="Arial" w:cs="Arial"/>
          <w:color w:val="000000"/>
        </w:rPr>
        <w:t xml:space="preserve">, “Hoxa9 cooperates with activated jak/stat signaling to drive leukemia development,” </w:t>
      </w:r>
      <w:r w:rsidRPr="005D547F">
        <w:rPr>
          <w:rFonts w:ascii="Arial" w:hAnsi="Arial" w:cs="Arial"/>
          <w:i/>
          <w:color w:val="000000"/>
        </w:rPr>
        <w:t>Cancer discovery</w:t>
      </w:r>
      <w:r w:rsidRPr="005D547F">
        <w:rPr>
          <w:rFonts w:ascii="Arial" w:hAnsi="Arial" w:cs="Arial"/>
          <w:color w:val="000000"/>
        </w:rPr>
        <w:t>, vol. 8, no. 5, pp. 616–631, 2018.</w:t>
      </w:r>
    </w:p>
    <w:p w14:paraId="1874D69B"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83" w:name="BIB_bei2014regulation"/>
      <w:r w:rsidRPr="005D547F">
        <w:rPr>
          <w:rFonts w:ascii="Arial" w:hAnsi="Arial" w:cs="Arial"/>
          <w:color w:val="000000"/>
        </w:rPr>
        <w:t>41</w:t>
      </w:r>
      <w:bookmarkStart w:id="84" w:name="B4B_bei2014regulation"/>
      <w:bookmarkEnd w:id="83"/>
      <w:bookmarkEnd w:id="84"/>
      <w:r w:rsidRPr="005D547F">
        <w:rPr>
          <w:rFonts w:ascii="Arial" w:hAnsi="Arial" w:cs="Arial"/>
          <w:color w:val="000000"/>
        </w:rPr>
        <w:t>]</w:t>
      </w:r>
      <w:r w:rsidRPr="005D547F">
        <w:rPr>
          <w:rFonts w:ascii="Arial" w:hAnsi="Arial" w:cs="Arial"/>
          <w:color w:val="000000"/>
        </w:rPr>
        <w:tab/>
        <w:t xml:space="preserve">L. Bei, C. Shah, H. Wang, W. Huang, L. C. Platanias, and E. A. Eklund, “Regulation of cdx4 gene transcription by hoxa9, hoxa10, the mll-ell oncogene and shp2 during leukemogenesis,” </w:t>
      </w:r>
      <w:r w:rsidRPr="005D547F">
        <w:rPr>
          <w:rFonts w:ascii="Arial" w:hAnsi="Arial" w:cs="Arial"/>
          <w:i/>
          <w:color w:val="000000"/>
        </w:rPr>
        <w:t>Oncogenesis</w:t>
      </w:r>
      <w:r w:rsidRPr="005D547F">
        <w:rPr>
          <w:rFonts w:ascii="Arial" w:hAnsi="Arial" w:cs="Arial"/>
          <w:color w:val="000000"/>
        </w:rPr>
        <w:t>, vol. 3, no. 12, pp. e135–e135, 2014.</w:t>
      </w:r>
    </w:p>
    <w:p w14:paraId="56C03F8B"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85" w:name="BIB_bocker2012hydroxylation"/>
      <w:r w:rsidRPr="005D547F">
        <w:rPr>
          <w:rFonts w:ascii="Arial" w:hAnsi="Arial" w:cs="Arial"/>
          <w:color w:val="000000"/>
        </w:rPr>
        <w:t>42</w:t>
      </w:r>
      <w:bookmarkStart w:id="86" w:name="B4B_bocker2012hydroxylation"/>
      <w:bookmarkEnd w:id="85"/>
      <w:bookmarkEnd w:id="86"/>
      <w:r w:rsidRPr="005D547F">
        <w:rPr>
          <w:rFonts w:ascii="Arial" w:hAnsi="Arial" w:cs="Arial"/>
          <w:color w:val="000000"/>
        </w:rPr>
        <w:t>]</w:t>
      </w:r>
      <w:r w:rsidRPr="005D547F">
        <w:rPr>
          <w:rFonts w:ascii="Arial" w:hAnsi="Arial" w:cs="Arial"/>
          <w:color w:val="000000"/>
        </w:rPr>
        <w:tab/>
        <w:t xml:space="preserve">M. T. Bocker, F. Tuorto, G. Raddatz, T. Musch, F.-C. Yang, M. Xu, F. Lyko, and A. Breiling, “Hydroxylation of 5-methylcytosine by tet2 maintains the active state of the mammalian hoxa cluster,” </w:t>
      </w:r>
      <w:r w:rsidRPr="005D547F">
        <w:rPr>
          <w:rFonts w:ascii="Arial" w:hAnsi="Arial" w:cs="Arial"/>
          <w:i/>
          <w:color w:val="000000"/>
        </w:rPr>
        <w:t>Nature communications</w:t>
      </w:r>
      <w:r w:rsidRPr="005D547F">
        <w:rPr>
          <w:rFonts w:ascii="Arial" w:hAnsi="Arial" w:cs="Arial"/>
          <w:color w:val="000000"/>
        </w:rPr>
        <w:t>, vol. 3, no. 1, pp. 1–12, 2012.</w:t>
      </w:r>
    </w:p>
    <w:p w14:paraId="0D414058"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87" w:name="BIB_klinakis2011novel"/>
      <w:r w:rsidRPr="005D547F">
        <w:rPr>
          <w:rFonts w:ascii="Arial" w:hAnsi="Arial" w:cs="Arial"/>
          <w:color w:val="000000"/>
        </w:rPr>
        <w:t>43</w:t>
      </w:r>
      <w:bookmarkStart w:id="88" w:name="B4B_klinakis2011novel"/>
      <w:bookmarkEnd w:id="87"/>
      <w:bookmarkEnd w:id="88"/>
      <w:r w:rsidRPr="005D547F">
        <w:rPr>
          <w:rFonts w:ascii="Arial" w:hAnsi="Arial" w:cs="Arial"/>
          <w:color w:val="000000"/>
        </w:rPr>
        <w:t>]</w:t>
      </w:r>
      <w:r w:rsidRPr="005D547F">
        <w:rPr>
          <w:rFonts w:ascii="Arial" w:hAnsi="Arial" w:cs="Arial"/>
          <w:color w:val="000000"/>
        </w:rPr>
        <w:tab/>
        <w:t xml:space="preserve">A. Klinakis, C. Lobry, O. Abdel-Wahab, P. Oh, H. Haeno, S. Buonamici, I. van De Walle, S. Cathelin, T. Trimarchi, E. Araldi </w:t>
      </w:r>
      <w:r w:rsidRPr="005D547F">
        <w:rPr>
          <w:rFonts w:ascii="Arial" w:hAnsi="Arial" w:cs="Arial"/>
          <w:i/>
          <w:color w:val="000000"/>
        </w:rPr>
        <w:t>et al.</w:t>
      </w:r>
      <w:r w:rsidRPr="005D547F">
        <w:rPr>
          <w:rFonts w:ascii="Arial" w:hAnsi="Arial" w:cs="Arial"/>
          <w:color w:val="000000"/>
        </w:rPr>
        <w:t xml:space="preserve">, “A novel tumour-suppressor function for the notch pathway in myeloid leukaemia,” </w:t>
      </w:r>
      <w:r w:rsidRPr="005D547F">
        <w:rPr>
          <w:rFonts w:ascii="Arial" w:hAnsi="Arial" w:cs="Arial"/>
          <w:i/>
          <w:color w:val="000000"/>
        </w:rPr>
        <w:t>Nature</w:t>
      </w:r>
      <w:r w:rsidRPr="005D547F">
        <w:rPr>
          <w:rFonts w:ascii="Arial" w:hAnsi="Arial" w:cs="Arial"/>
          <w:color w:val="000000"/>
        </w:rPr>
        <w:t>, vol. 473, no. 7346, pp. 230–233, 2011.</w:t>
      </w:r>
    </w:p>
    <w:p w14:paraId="565CE7C8"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lastRenderedPageBreak/>
        <w:t>[</w:t>
      </w:r>
      <w:bookmarkStart w:id="89" w:name="BIB_chastagner2008aip4"/>
      <w:r w:rsidRPr="005D547F">
        <w:rPr>
          <w:rFonts w:ascii="Arial" w:hAnsi="Arial" w:cs="Arial"/>
          <w:color w:val="000000"/>
        </w:rPr>
        <w:t>44</w:t>
      </w:r>
      <w:bookmarkStart w:id="90" w:name="B4B_chastagner2008aip4"/>
      <w:bookmarkEnd w:id="89"/>
      <w:bookmarkEnd w:id="90"/>
      <w:r w:rsidRPr="005D547F">
        <w:rPr>
          <w:rFonts w:ascii="Arial" w:hAnsi="Arial" w:cs="Arial"/>
          <w:color w:val="000000"/>
        </w:rPr>
        <w:t>]</w:t>
      </w:r>
      <w:r w:rsidRPr="005D547F">
        <w:rPr>
          <w:rFonts w:ascii="Arial" w:hAnsi="Arial" w:cs="Arial"/>
          <w:color w:val="000000"/>
        </w:rPr>
        <w:tab/>
        <w:t xml:space="preserve">P. Chastagner, A. Israel, and C. Brou, “Aip4/itch regulates notch receptor degradation in the absence of ligand,” </w:t>
      </w:r>
      <w:r w:rsidRPr="005D547F">
        <w:rPr>
          <w:rFonts w:ascii="Arial" w:hAnsi="Arial" w:cs="Arial"/>
          <w:i/>
          <w:color w:val="000000"/>
        </w:rPr>
        <w:t>PloS one</w:t>
      </w:r>
      <w:r w:rsidRPr="005D547F">
        <w:rPr>
          <w:rFonts w:ascii="Arial" w:hAnsi="Arial" w:cs="Arial"/>
          <w:color w:val="000000"/>
        </w:rPr>
        <w:t>, vol. 3, no. 7, 2008.</w:t>
      </w:r>
    </w:p>
    <w:p w14:paraId="04689AB5"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91" w:name="BIB_gallagher2006activation"/>
      <w:r w:rsidRPr="005D547F">
        <w:rPr>
          <w:rFonts w:ascii="Arial" w:hAnsi="Arial" w:cs="Arial"/>
          <w:color w:val="000000"/>
        </w:rPr>
        <w:t>45</w:t>
      </w:r>
      <w:bookmarkStart w:id="92" w:name="B4B_gallagher2006activation"/>
      <w:bookmarkEnd w:id="91"/>
      <w:bookmarkEnd w:id="92"/>
      <w:r w:rsidRPr="005D547F">
        <w:rPr>
          <w:rFonts w:ascii="Arial" w:hAnsi="Arial" w:cs="Arial"/>
          <w:color w:val="000000"/>
        </w:rPr>
        <w:t>]</w:t>
      </w:r>
      <w:r w:rsidRPr="005D547F">
        <w:rPr>
          <w:rFonts w:ascii="Arial" w:hAnsi="Arial" w:cs="Arial"/>
          <w:color w:val="000000"/>
        </w:rPr>
        <w:tab/>
        <w:t xml:space="preserve">E. Gallagher, M. Gao, Y.-C. Liu, and M. Karin, “Activation of the e3 ubiquitin ligase itch through a phosphorylation-induced conformational change,” </w:t>
      </w:r>
      <w:r w:rsidRPr="005D547F">
        <w:rPr>
          <w:rFonts w:ascii="Arial" w:hAnsi="Arial" w:cs="Arial"/>
          <w:i/>
          <w:color w:val="000000"/>
        </w:rPr>
        <w:t>Proceedings of the National Academy of Sciences</w:t>
      </w:r>
      <w:r w:rsidRPr="005D547F">
        <w:rPr>
          <w:rFonts w:ascii="Arial" w:hAnsi="Arial" w:cs="Arial"/>
          <w:color w:val="000000"/>
        </w:rPr>
        <w:t>, vol. 103, no. 6, pp. 1717–1722, 2006.</w:t>
      </w:r>
    </w:p>
    <w:p w14:paraId="202B7F1D"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93" w:name="BIB_de2015myeloproliferative"/>
      <w:r w:rsidRPr="005D547F">
        <w:rPr>
          <w:rFonts w:ascii="Arial" w:hAnsi="Arial" w:cs="Arial"/>
          <w:color w:val="000000"/>
        </w:rPr>
        <w:t>46</w:t>
      </w:r>
      <w:bookmarkStart w:id="94" w:name="B4B_de2015myeloproliferative"/>
      <w:bookmarkEnd w:id="93"/>
      <w:bookmarkEnd w:id="94"/>
      <w:r w:rsidRPr="005D547F">
        <w:rPr>
          <w:rFonts w:ascii="Arial" w:hAnsi="Arial" w:cs="Arial"/>
          <w:color w:val="000000"/>
        </w:rPr>
        <w:t>]</w:t>
      </w:r>
      <w:r w:rsidRPr="005D547F">
        <w:rPr>
          <w:rFonts w:ascii="Arial" w:hAnsi="Arial" w:cs="Arial"/>
          <w:color w:val="000000"/>
        </w:rPr>
        <w:tab/>
        <w:t xml:space="preserve">R. M. de Freitas and C. M. da Costa Maranduba, “Myeloproliferative neoplasms and the jak/stat signaling pathway: an overview,” </w:t>
      </w:r>
      <w:r w:rsidRPr="005D547F">
        <w:rPr>
          <w:rFonts w:ascii="Arial" w:hAnsi="Arial" w:cs="Arial"/>
          <w:i/>
          <w:color w:val="000000"/>
        </w:rPr>
        <w:t>Revista brasileira de hematologia e hemoterapia</w:t>
      </w:r>
      <w:r w:rsidRPr="005D547F">
        <w:rPr>
          <w:rFonts w:ascii="Arial" w:hAnsi="Arial" w:cs="Arial"/>
          <w:color w:val="000000"/>
        </w:rPr>
        <w:t>, vol. 37, no. 5, pp. 348–353, 2015.</w:t>
      </w:r>
    </w:p>
    <w:p w14:paraId="065D4B31"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95" w:name="BIB_bellon1997granulocytic"/>
      <w:r w:rsidRPr="005D547F">
        <w:rPr>
          <w:rFonts w:ascii="Arial" w:hAnsi="Arial" w:cs="Arial"/>
          <w:color w:val="000000"/>
        </w:rPr>
        <w:t>47</w:t>
      </w:r>
      <w:bookmarkStart w:id="96" w:name="B4B_bellon1997granulocytic"/>
      <w:bookmarkEnd w:id="95"/>
      <w:bookmarkEnd w:id="96"/>
      <w:r w:rsidRPr="005D547F">
        <w:rPr>
          <w:rFonts w:ascii="Arial" w:hAnsi="Arial" w:cs="Arial"/>
          <w:color w:val="000000"/>
        </w:rPr>
        <w:t>]</w:t>
      </w:r>
      <w:r w:rsidRPr="005D547F">
        <w:rPr>
          <w:rFonts w:ascii="Arial" w:hAnsi="Arial" w:cs="Arial"/>
          <w:color w:val="000000"/>
        </w:rPr>
        <w:tab/>
        <w:t xml:space="preserve">T. Bellon, D. Perrotti, and B. Calabretta, “Granulocytic differentiation of normal hematopoietic precursor cells induced by transcription factor pu. 1 correlates with negative regulation of the c-myb promoter,” </w:t>
      </w:r>
      <w:r w:rsidRPr="005D547F">
        <w:rPr>
          <w:rFonts w:ascii="Arial" w:hAnsi="Arial" w:cs="Arial"/>
          <w:i/>
          <w:color w:val="000000"/>
        </w:rPr>
        <w:t>Blood, The Journal of the American Society of Hematology</w:t>
      </w:r>
      <w:r w:rsidRPr="005D547F">
        <w:rPr>
          <w:rFonts w:ascii="Arial" w:hAnsi="Arial" w:cs="Arial"/>
          <w:color w:val="000000"/>
        </w:rPr>
        <w:t>, vol. 90, no. 5, pp. 1828–1839, 1997.</w:t>
      </w:r>
    </w:p>
    <w:p w14:paraId="77310819"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97" w:name="BIB_zhao2006erythropoietin"/>
      <w:r w:rsidRPr="005D547F">
        <w:rPr>
          <w:rFonts w:ascii="Arial" w:hAnsi="Arial" w:cs="Arial"/>
          <w:color w:val="000000"/>
        </w:rPr>
        <w:t>48</w:t>
      </w:r>
      <w:bookmarkStart w:id="98" w:name="B4B_zhao2006erythropoietin"/>
      <w:bookmarkEnd w:id="97"/>
      <w:bookmarkEnd w:id="98"/>
      <w:r w:rsidRPr="005D547F">
        <w:rPr>
          <w:rFonts w:ascii="Arial" w:hAnsi="Arial" w:cs="Arial"/>
          <w:color w:val="000000"/>
        </w:rPr>
        <w:t>]</w:t>
      </w:r>
      <w:r w:rsidRPr="005D547F">
        <w:rPr>
          <w:rFonts w:ascii="Arial" w:hAnsi="Arial" w:cs="Arial"/>
          <w:color w:val="000000"/>
        </w:rPr>
        <w:tab/>
        <w:t xml:space="preserve">W. Zhao, C. Kitidis, M. D. Fleming, H. F. Lodish, and S. Ghaffari, “Erythropoietin stimulates phosphorylation and activation of gata-1 via the pi3-kinase/akt signaling pathway,” </w:t>
      </w:r>
      <w:r w:rsidRPr="005D547F">
        <w:rPr>
          <w:rFonts w:ascii="Arial" w:hAnsi="Arial" w:cs="Arial"/>
          <w:i/>
          <w:color w:val="000000"/>
        </w:rPr>
        <w:t>Blood</w:t>
      </w:r>
      <w:r w:rsidRPr="005D547F">
        <w:rPr>
          <w:rFonts w:ascii="Arial" w:hAnsi="Arial" w:cs="Arial"/>
          <w:color w:val="000000"/>
        </w:rPr>
        <w:t>, vol. 107, no. 3, pp. 907–915, 2006.</w:t>
      </w:r>
    </w:p>
    <w:p w14:paraId="65FB67D7"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99" w:name="BIB_ichikawa2004aml"/>
      <w:r w:rsidRPr="005D547F">
        <w:rPr>
          <w:rFonts w:ascii="Arial" w:hAnsi="Arial" w:cs="Arial"/>
          <w:color w:val="000000"/>
        </w:rPr>
        <w:t>49</w:t>
      </w:r>
      <w:bookmarkStart w:id="100" w:name="B4B_ichikawa2004aml"/>
      <w:bookmarkEnd w:id="99"/>
      <w:bookmarkEnd w:id="100"/>
      <w:r w:rsidRPr="005D547F">
        <w:rPr>
          <w:rFonts w:ascii="Arial" w:hAnsi="Arial" w:cs="Arial"/>
          <w:color w:val="000000"/>
        </w:rPr>
        <w:t>]</w:t>
      </w:r>
      <w:r w:rsidRPr="005D547F">
        <w:rPr>
          <w:rFonts w:ascii="Arial" w:hAnsi="Arial" w:cs="Arial"/>
          <w:color w:val="000000"/>
        </w:rPr>
        <w:tab/>
        <w:t xml:space="preserve">M. Ichikawa, T. Asai, T. Saito, G. Yamamoto, S. Seo, I. Yamazaki, T. Yamagata, K. Mitani, S. Chiba, H. Hirai </w:t>
      </w:r>
      <w:r w:rsidRPr="005D547F">
        <w:rPr>
          <w:rFonts w:ascii="Arial" w:hAnsi="Arial" w:cs="Arial"/>
          <w:i/>
          <w:color w:val="000000"/>
        </w:rPr>
        <w:t>et al.</w:t>
      </w:r>
      <w:r w:rsidRPr="005D547F">
        <w:rPr>
          <w:rFonts w:ascii="Arial" w:hAnsi="Arial" w:cs="Arial"/>
          <w:color w:val="000000"/>
        </w:rPr>
        <w:t xml:space="preserve">, “Aml-1 is required for megakaryocytic maturation and lymphocytic differentiation, but not for maintenance of </w:t>
      </w:r>
      <w:r w:rsidRPr="005D547F">
        <w:rPr>
          <w:rFonts w:ascii="Arial" w:hAnsi="Arial" w:cs="Arial"/>
          <w:color w:val="000000"/>
        </w:rPr>
        <w:lastRenderedPageBreak/>
        <w:t xml:space="preserve">hematopoietic stem cells in adult hematopoiesis,” </w:t>
      </w:r>
      <w:r w:rsidRPr="005D547F">
        <w:rPr>
          <w:rFonts w:ascii="Arial" w:hAnsi="Arial" w:cs="Arial"/>
          <w:i/>
          <w:color w:val="000000"/>
        </w:rPr>
        <w:t>Nature medicine</w:t>
      </w:r>
      <w:r w:rsidRPr="005D547F">
        <w:rPr>
          <w:rFonts w:ascii="Arial" w:hAnsi="Arial" w:cs="Arial"/>
          <w:color w:val="000000"/>
        </w:rPr>
        <w:t>, vol. 10, no. 3, pp. 299–304, 2004.</w:t>
      </w:r>
    </w:p>
    <w:p w14:paraId="6E923584"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101" w:name="BIB_ichikawa2008aml1"/>
      <w:r w:rsidRPr="005D547F">
        <w:rPr>
          <w:rFonts w:ascii="Arial" w:hAnsi="Arial" w:cs="Arial"/>
          <w:color w:val="000000"/>
        </w:rPr>
        <w:t>50</w:t>
      </w:r>
      <w:bookmarkStart w:id="102" w:name="B4B_ichikawa2008aml1"/>
      <w:bookmarkEnd w:id="101"/>
      <w:bookmarkEnd w:id="102"/>
      <w:r w:rsidRPr="005D547F">
        <w:rPr>
          <w:rFonts w:ascii="Arial" w:hAnsi="Arial" w:cs="Arial"/>
          <w:color w:val="000000"/>
        </w:rPr>
        <w:t>]</w:t>
      </w:r>
      <w:r w:rsidRPr="005D547F">
        <w:rPr>
          <w:rFonts w:ascii="Arial" w:hAnsi="Arial" w:cs="Arial"/>
          <w:color w:val="000000"/>
        </w:rPr>
        <w:tab/>
        <w:t xml:space="preserve">M. Ichikawa, S. Goyama, T. Asai, M. Kawazu, M. Nakagawa, M. Takeshita, S. Chiba, S. Ogawa, and M. Kurokawa, “Aml1/runx1 negatively regulates quiescent hematopoietic stem cells in adult hematopoiesis,” </w:t>
      </w:r>
      <w:r w:rsidRPr="005D547F">
        <w:rPr>
          <w:rFonts w:ascii="Arial" w:hAnsi="Arial" w:cs="Arial"/>
          <w:i/>
          <w:color w:val="000000"/>
        </w:rPr>
        <w:t>The Journal of Immunology</w:t>
      </w:r>
      <w:r w:rsidRPr="005D547F">
        <w:rPr>
          <w:rFonts w:ascii="Arial" w:hAnsi="Arial" w:cs="Arial"/>
          <w:color w:val="000000"/>
        </w:rPr>
        <w:t>, vol. 180, no. 7, pp. 4402–4408, 2008.</w:t>
      </w:r>
    </w:p>
    <w:p w14:paraId="0AD70CF3"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103" w:name="BIB_jeong2019cytokine"/>
      <w:r w:rsidRPr="005D547F">
        <w:rPr>
          <w:rFonts w:ascii="Arial" w:hAnsi="Arial" w:cs="Arial"/>
          <w:color w:val="000000"/>
        </w:rPr>
        <w:t>51</w:t>
      </w:r>
      <w:bookmarkStart w:id="104" w:name="B4B_jeong2019cytokine"/>
      <w:bookmarkEnd w:id="103"/>
      <w:bookmarkEnd w:id="104"/>
      <w:r w:rsidRPr="005D547F">
        <w:rPr>
          <w:rFonts w:ascii="Arial" w:hAnsi="Arial" w:cs="Arial"/>
          <w:color w:val="000000"/>
        </w:rPr>
        <w:t>]</w:t>
      </w:r>
      <w:r w:rsidRPr="005D547F">
        <w:rPr>
          <w:rFonts w:ascii="Arial" w:hAnsi="Arial" w:cs="Arial"/>
          <w:color w:val="000000"/>
        </w:rPr>
        <w:tab/>
        <w:t xml:space="preserve">J. J. Jeong, X. Gu, J. Nie, S. Sundaravel, H. Liu, W.-L. Kuo, T. D. Bhagat, K. Pradhan, J. Cao, S. Nischal </w:t>
      </w:r>
      <w:r w:rsidRPr="005D547F">
        <w:rPr>
          <w:rFonts w:ascii="Arial" w:hAnsi="Arial" w:cs="Arial"/>
          <w:i/>
          <w:color w:val="000000"/>
        </w:rPr>
        <w:t>et al.</w:t>
      </w:r>
      <w:r w:rsidRPr="005D547F">
        <w:rPr>
          <w:rFonts w:ascii="Arial" w:hAnsi="Arial" w:cs="Arial"/>
          <w:color w:val="000000"/>
        </w:rPr>
        <w:t xml:space="preserve">, “Cytokine-regulated phosphorylation and activation of tet2 by jak2 in hematopoiesis,” </w:t>
      </w:r>
      <w:r w:rsidRPr="005D547F">
        <w:rPr>
          <w:rFonts w:ascii="Arial" w:hAnsi="Arial" w:cs="Arial"/>
          <w:i/>
          <w:color w:val="000000"/>
        </w:rPr>
        <w:t>Cancer discovery</w:t>
      </w:r>
      <w:r w:rsidRPr="005D547F">
        <w:rPr>
          <w:rFonts w:ascii="Arial" w:hAnsi="Arial" w:cs="Arial"/>
          <w:color w:val="000000"/>
        </w:rPr>
        <w:t>, vol. 9, no. 6, pp. 778–795, 2019.</w:t>
      </w:r>
    </w:p>
    <w:p w14:paraId="3FE554E8"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105" w:name="BIB_lohmann2008activation"/>
      <w:r w:rsidRPr="005D547F">
        <w:rPr>
          <w:rFonts w:ascii="Arial" w:hAnsi="Arial" w:cs="Arial"/>
          <w:color w:val="000000"/>
        </w:rPr>
        <w:t>52</w:t>
      </w:r>
      <w:bookmarkStart w:id="106" w:name="B4B_lohmann2008activation"/>
      <w:bookmarkEnd w:id="105"/>
      <w:bookmarkEnd w:id="106"/>
      <w:r w:rsidRPr="005D547F">
        <w:rPr>
          <w:rFonts w:ascii="Arial" w:hAnsi="Arial" w:cs="Arial"/>
          <w:color w:val="000000"/>
        </w:rPr>
        <w:t>]</w:t>
      </w:r>
      <w:r w:rsidRPr="005D547F">
        <w:rPr>
          <w:rFonts w:ascii="Arial" w:hAnsi="Arial" w:cs="Arial"/>
          <w:color w:val="000000"/>
        </w:rPr>
        <w:tab/>
        <w:t xml:space="preserve">F. Lohmann and J. J. Bieker, “Activation of eklf expression during hematopoiesis by gata2 and smad5 prior to erythroid commitment,” </w:t>
      </w:r>
      <w:r w:rsidRPr="005D547F">
        <w:rPr>
          <w:rFonts w:ascii="Arial" w:hAnsi="Arial" w:cs="Arial"/>
          <w:i/>
          <w:color w:val="000000"/>
        </w:rPr>
        <w:t>Development</w:t>
      </w:r>
      <w:r w:rsidRPr="005D547F">
        <w:rPr>
          <w:rFonts w:ascii="Arial" w:hAnsi="Arial" w:cs="Arial"/>
          <w:color w:val="000000"/>
        </w:rPr>
        <w:t>, vol. 135, no. 12, pp. 2071–2082, 2008.</w:t>
      </w:r>
    </w:p>
    <w:p w14:paraId="5D7766C6"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107" w:name="BIB_cervantes2008life"/>
      <w:r w:rsidRPr="005D547F">
        <w:rPr>
          <w:rFonts w:ascii="Arial" w:hAnsi="Arial" w:cs="Arial"/>
          <w:color w:val="000000"/>
        </w:rPr>
        <w:t>53</w:t>
      </w:r>
      <w:bookmarkStart w:id="108" w:name="B4B_cervantes2008life"/>
      <w:bookmarkEnd w:id="107"/>
      <w:bookmarkEnd w:id="108"/>
      <w:r w:rsidRPr="005D547F">
        <w:rPr>
          <w:rFonts w:ascii="Arial" w:hAnsi="Arial" w:cs="Arial"/>
          <w:color w:val="000000"/>
        </w:rPr>
        <w:t>]</w:t>
      </w:r>
      <w:r w:rsidRPr="005D547F">
        <w:rPr>
          <w:rFonts w:ascii="Arial" w:hAnsi="Arial" w:cs="Arial"/>
          <w:color w:val="000000"/>
        </w:rPr>
        <w:tab/>
        <w:t xml:space="preserve">F. Cervantes, F. Passamonti, and G. Barosi, “Life expectancy and prognostic factors in the classic bcr/abl-negative myeloproliferative disorders,” </w:t>
      </w:r>
      <w:r w:rsidRPr="005D547F">
        <w:rPr>
          <w:rFonts w:ascii="Arial" w:hAnsi="Arial" w:cs="Arial"/>
          <w:i/>
          <w:color w:val="000000"/>
        </w:rPr>
        <w:t>Leukemia</w:t>
      </w:r>
      <w:r w:rsidRPr="005D547F">
        <w:rPr>
          <w:rFonts w:ascii="Arial" w:hAnsi="Arial" w:cs="Arial"/>
          <w:color w:val="000000"/>
        </w:rPr>
        <w:t>, vol. 22, no. 5, pp. 905–914, 2008.</w:t>
      </w:r>
    </w:p>
    <w:p w14:paraId="27AE30DB"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109" w:name="BIB_aster2017varied"/>
      <w:r w:rsidRPr="005D547F">
        <w:rPr>
          <w:rFonts w:ascii="Arial" w:hAnsi="Arial" w:cs="Arial"/>
          <w:color w:val="000000"/>
        </w:rPr>
        <w:t>54</w:t>
      </w:r>
      <w:bookmarkStart w:id="110" w:name="B4B_aster2017varied"/>
      <w:bookmarkEnd w:id="109"/>
      <w:bookmarkEnd w:id="110"/>
      <w:r w:rsidRPr="005D547F">
        <w:rPr>
          <w:rFonts w:ascii="Arial" w:hAnsi="Arial" w:cs="Arial"/>
          <w:color w:val="000000"/>
        </w:rPr>
        <w:t>]</w:t>
      </w:r>
      <w:r w:rsidRPr="005D547F">
        <w:rPr>
          <w:rFonts w:ascii="Arial" w:hAnsi="Arial" w:cs="Arial"/>
          <w:color w:val="000000"/>
        </w:rPr>
        <w:tab/>
        <w:t xml:space="preserve">J. C. Aster, W. S. Pear, and S. C. Blacklow, “The varied roles of notch in cancer,” </w:t>
      </w:r>
      <w:r w:rsidRPr="005D547F">
        <w:rPr>
          <w:rFonts w:ascii="Arial" w:hAnsi="Arial" w:cs="Arial"/>
          <w:i/>
          <w:color w:val="000000"/>
        </w:rPr>
        <w:t>Annual Review of Pathology: Mechanisms of Disease</w:t>
      </w:r>
      <w:r w:rsidRPr="005D547F">
        <w:rPr>
          <w:rFonts w:ascii="Arial" w:hAnsi="Arial" w:cs="Arial"/>
          <w:color w:val="000000"/>
        </w:rPr>
        <w:t>, vol. 12, pp. 245–275, 2017.</w:t>
      </w:r>
    </w:p>
    <w:p w14:paraId="13AA7682"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t>[</w:t>
      </w:r>
      <w:bookmarkStart w:id="111" w:name="BIB_lampreia2017notch"/>
      <w:r w:rsidRPr="005D547F">
        <w:rPr>
          <w:rFonts w:ascii="Arial" w:hAnsi="Arial" w:cs="Arial"/>
          <w:color w:val="000000"/>
        </w:rPr>
        <w:t>55</w:t>
      </w:r>
      <w:bookmarkStart w:id="112" w:name="B4B_lampreia2017notch"/>
      <w:bookmarkEnd w:id="111"/>
      <w:bookmarkEnd w:id="112"/>
      <w:r w:rsidRPr="005D547F">
        <w:rPr>
          <w:rFonts w:ascii="Arial" w:hAnsi="Arial" w:cs="Arial"/>
          <w:color w:val="000000"/>
        </w:rPr>
        <w:t>]</w:t>
      </w:r>
      <w:r w:rsidRPr="005D547F">
        <w:rPr>
          <w:rFonts w:ascii="Arial" w:hAnsi="Arial" w:cs="Arial"/>
          <w:color w:val="000000"/>
        </w:rPr>
        <w:tab/>
        <w:t xml:space="preserve">F. P. Lampreia, J. G. Carmelo, and F. Anjos-Afonso, “Notch signaling in the regulation of hematopoietic stem cell,” </w:t>
      </w:r>
      <w:r w:rsidRPr="005D547F">
        <w:rPr>
          <w:rFonts w:ascii="Arial" w:hAnsi="Arial" w:cs="Arial"/>
          <w:i/>
          <w:color w:val="000000"/>
        </w:rPr>
        <w:t>Current stem cell reports</w:t>
      </w:r>
      <w:r w:rsidRPr="005D547F">
        <w:rPr>
          <w:rFonts w:ascii="Arial" w:hAnsi="Arial" w:cs="Arial"/>
          <w:color w:val="000000"/>
        </w:rPr>
        <w:t>, vol. 3, no. 3, pp. 202–209, 2017.</w:t>
      </w:r>
    </w:p>
    <w:p w14:paraId="1FD74530" w14:textId="77777777" w:rsidR="005D547F" w:rsidRDefault="005D547F" w:rsidP="00DB48C8">
      <w:pPr>
        <w:spacing w:after="160" w:line="480" w:lineRule="auto"/>
        <w:jc w:val="both"/>
        <w:rPr>
          <w:rFonts w:ascii="Arial" w:hAnsi="Arial" w:cs="Arial"/>
          <w:color w:val="000000"/>
        </w:rPr>
      </w:pPr>
      <w:r w:rsidRPr="005D547F">
        <w:rPr>
          <w:rFonts w:ascii="Arial" w:hAnsi="Arial" w:cs="Arial"/>
          <w:color w:val="000000"/>
        </w:rPr>
        <w:lastRenderedPageBreak/>
        <w:t>[</w:t>
      </w:r>
      <w:bookmarkStart w:id="113" w:name="BIB_emmert2014gene"/>
      <w:r w:rsidRPr="005D547F">
        <w:rPr>
          <w:rFonts w:ascii="Arial" w:hAnsi="Arial" w:cs="Arial"/>
          <w:color w:val="000000"/>
        </w:rPr>
        <w:t>56</w:t>
      </w:r>
      <w:bookmarkStart w:id="114" w:name="B4B_emmert2014gene"/>
      <w:bookmarkEnd w:id="113"/>
      <w:bookmarkEnd w:id="114"/>
      <w:r w:rsidRPr="005D547F">
        <w:rPr>
          <w:rFonts w:ascii="Arial" w:hAnsi="Arial" w:cs="Arial"/>
          <w:color w:val="000000"/>
        </w:rPr>
        <w:t>]</w:t>
      </w:r>
      <w:r w:rsidRPr="005D547F">
        <w:rPr>
          <w:rFonts w:ascii="Arial" w:hAnsi="Arial" w:cs="Arial"/>
          <w:color w:val="000000"/>
        </w:rPr>
        <w:tab/>
        <w:t xml:space="preserve">F. Emmert-Streib, M. Dehmer, and B. Haibe-Kains, “Gene regulatory networks and their applications: understanding biological and medical problems in terms of networks,” </w:t>
      </w:r>
      <w:r w:rsidRPr="005D547F">
        <w:rPr>
          <w:rFonts w:ascii="Arial" w:hAnsi="Arial" w:cs="Arial"/>
          <w:i/>
          <w:color w:val="000000"/>
        </w:rPr>
        <w:t>Frontiers in cell and developmental biology</w:t>
      </w:r>
      <w:r w:rsidRPr="005D547F">
        <w:rPr>
          <w:rFonts w:ascii="Arial" w:hAnsi="Arial" w:cs="Arial"/>
          <w:color w:val="000000"/>
        </w:rPr>
        <w:t>, vol. 2, p. 38, 2014.</w:t>
      </w:r>
    </w:p>
    <w:p w14:paraId="043A2152" w14:textId="6A79E134" w:rsidR="0069316E" w:rsidRDefault="0069316E" w:rsidP="0069316E">
      <w:pPr>
        <w:spacing w:after="160" w:line="480" w:lineRule="auto"/>
        <w:jc w:val="both"/>
        <w:rPr>
          <w:rFonts w:ascii="Arial" w:hAnsi="Arial" w:cs="Arial"/>
          <w:color w:val="000000"/>
        </w:rPr>
      </w:pPr>
      <w:r w:rsidRPr="005D547F">
        <w:rPr>
          <w:rFonts w:ascii="Arial" w:hAnsi="Arial" w:cs="Arial"/>
          <w:color w:val="000000"/>
        </w:rPr>
        <w:t>[5</w:t>
      </w:r>
      <w:r>
        <w:rPr>
          <w:rFonts w:ascii="Arial" w:hAnsi="Arial" w:cs="Arial"/>
          <w:color w:val="000000"/>
        </w:rPr>
        <w:t>7</w:t>
      </w:r>
      <w:r w:rsidRPr="005D547F">
        <w:rPr>
          <w:rFonts w:ascii="Arial" w:hAnsi="Arial" w:cs="Arial"/>
          <w:color w:val="000000"/>
        </w:rPr>
        <w:t>]</w:t>
      </w:r>
      <w:r w:rsidR="00395CF4">
        <w:rPr>
          <w:rFonts w:ascii="Arial" w:hAnsi="Arial" w:cs="Arial"/>
          <w:color w:val="000000"/>
        </w:rPr>
        <w:tab/>
      </w:r>
      <w:r w:rsidR="00D152FE">
        <w:rPr>
          <w:rFonts w:ascii="Arial" w:hAnsi="Arial" w:cs="Arial"/>
          <w:color w:val="000000"/>
        </w:rPr>
        <w:t>L</w:t>
      </w:r>
      <w:r w:rsidR="00DB4D95">
        <w:rPr>
          <w:rFonts w:ascii="Arial" w:hAnsi="Arial" w:cs="Arial"/>
          <w:color w:val="000000"/>
        </w:rPr>
        <w:t>.</w:t>
      </w:r>
      <w:r w:rsidR="00D152FE">
        <w:rPr>
          <w:rFonts w:ascii="Arial" w:hAnsi="Arial" w:cs="Arial"/>
          <w:color w:val="000000"/>
        </w:rPr>
        <w:t xml:space="preserve"> Talarmain, M</w:t>
      </w:r>
      <w:r w:rsidR="00DB4D95">
        <w:rPr>
          <w:rFonts w:ascii="Arial" w:hAnsi="Arial" w:cs="Arial"/>
          <w:color w:val="000000"/>
        </w:rPr>
        <w:t>.</w:t>
      </w:r>
      <w:r w:rsidR="00D152FE">
        <w:rPr>
          <w:rFonts w:ascii="Arial" w:hAnsi="Arial" w:cs="Arial"/>
          <w:color w:val="000000"/>
        </w:rPr>
        <w:t xml:space="preserve"> Clarke, D</w:t>
      </w:r>
      <w:r w:rsidR="00DB4D95">
        <w:rPr>
          <w:rFonts w:ascii="Arial" w:hAnsi="Arial" w:cs="Arial"/>
          <w:color w:val="000000"/>
        </w:rPr>
        <w:t>.</w:t>
      </w:r>
      <w:r w:rsidR="00D152FE">
        <w:rPr>
          <w:rFonts w:ascii="Arial" w:hAnsi="Arial" w:cs="Arial"/>
          <w:color w:val="000000"/>
        </w:rPr>
        <w:t xml:space="preserve"> Shorthouse, L</w:t>
      </w:r>
      <w:r w:rsidR="00DB4D95">
        <w:rPr>
          <w:rFonts w:ascii="Arial" w:hAnsi="Arial" w:cs="Arial"/>
          <w:color w:val="000000"/>
        </w:rPr>
        <w:t>.</w:t>
      </w:r>
      <w:r w:rsidR="00D152FE">
        <w:rPr>
          <w:rFonts w:ascii="Arial" w:hAnsi="Arial" w:cs="Arial"/>
          <w:color w:val="000000"/>
        </w:rPr>
        <w:t xml:space="preserve"> </w:t>
      </w:r>
      <w:r w:rsidR="00CF33E2" w:rsidRPr="00CF33E2">
        <w:rPr>
          <w:rFonts w:ascii="Arial" w:hAnsi="Arial" w:cs="Arial"/>
          <w:color w:val="000000"/>
        </w:rPr>
        <w:t>Cabrera-Cosme</w:t>
      </w:r>
      <w:r w:rsidR="00DB4D95">
        <w:rPr>
          <w:rFonts w:ascii="Arial" w:hAnsi="Arial" w:cs="Arial"/>
          <w:color w:val="000000"/>
        </w:rPr>
        <w:t xml:space="preserve">, D. Kent, J. Fisher, and B.A. Hall, </w:t>
      </w:r>
      <w:r w:rsidR="00D152FE">
        <w:rPr>
          <w:rFonts w:ascii="Arial" w:hAnsi="Arial" w:cs="Arial"/>
          <w:color w:val="000000"/>
        </w:rPr>
        <w:t>“</w:t>
      </w:r>
      <w:r w:rsidR="00D152FE" w:rsidRPr="00D152FE">
        <w:rPr>
          <w:rFonts w:ascii="Arial" w:hAnsi="Arial" w:cs="Arial"/>
          <w:color w:val="000000"/>
        </w:rPr>
        <w:t>HOXA9 has the hallmarks of a biological switch with implications in blood cancers</w:t>
      </w:r>
      <w:r w:rsidR="00D152FE">
        <w:rPr>
          <w:rFonts w:ascii="Arial" w:hAnsi="Arial" w:cs="Arial"/>
          <w:color w:val="000000"/>
        </w:rPr>
        <w:t xml:space="preserve">”, </w:t>
      </w:r>
      <w:r w:rsidR="00B6738D">
        <w:rPr>
          <w:rFonts w:ascii="Arial" w:hAnsi="Arial" w:cs="Arial"/>
          <w:color w:val="000000"/>
        </w:rPr>
        <w:t xml:space="preserve">Zenodo, </w:t>
      </w:r>
      <w:hyperlink r:id="rId10" w:history="1">
        <w:r w:rsidR="00F57AA6" w:rsidRPr="00AE3ADE">
          <w:rPr>
            <w:rStyle w:val="Hyperlink"/>
            <w:rFonts w:ascii="Arial" w:hAnsi="Arial" w:cs="Arial"/>
          </w:rPr>
          <w:t>https://doi.org/10.5281/zenodo.6913664</w:t>
        </w:r>
      </w:hyperlink>
      <w:r w:rsidR="00F57AA6">
        <w:rPr>
          <w:rFonts w:ascii="Arial" w:hAnsi="Arial" w:cs="Arial"/>
          <w:color w:val="000000"/>
        </w:rPr>
        <w:t>, July</w:t>
      </w:r>
      <w:r w:rsidR="00D152FE">
        <w:rPr>
          <w:rFonts w:ascii="Arial" w:hAnsi="Arial" w:cs="Arial"/>
          <w:color w:val="000000"/>
        </w:rPr>
        <w:t xml:space="preserve"> 2022</w:t>
      </w:r>
    </w:p>
    <w:p w14:paraId="79D9370D" w14:textId="77777777" w:rsidR="0069316E" w:rsidRDefault="0069316E" w:rsidP="00DB48C8">
      <w:pPr>
        <w:spacing w:after="160" w:line="480" w:lineRule="auto"/>
        <w:jc w:val="both"/>
        <w:rPr>
          <w:rFonts w:ascii="Arial" w:hAnsi="Arial" w:cs="Arial"/>
          <w:color w:val="000000"/>
        </w:rPr>
      </w:pPr>
    </w:p>
    <w:bookmarkEnd w:id="2"/>
    <w:p w14:paraId="0441234A" w14:textId="77777777" w:rsidR="00C160A8" w:rsidRPr="004348F7" w:rsidRDefault="00C160A8" w:rsidP="00C160A8">
      <w:pPr>
        <w:pBdr>
          <w:top w:val="nil"/>
          <w:left w:val="nil"/>
          <w:bottom w:val="nil"/>
          <w:right w:val="nil"/>
          <w:between w:val="nil"/>
        </w:pBdr>
        <w:spacing w:after="0" w:line="480" w:lineRule="auto"/>
        <w:contextualSpacing/>
        <w:jc w:val="both"/>
        <w:rPr>
          <w:rFonts w:ascii="Arial" w:hAnsi="Arial" w:cs="Arial"/>
          <w:color w:val="000000"/>
        </w:rPr>
      </w:pPr>
      <w:r w:rsidRPr="00984FDC">
        <w:rPr>
          <w:rFonts w:ascii="Arial" w:hAnsi="Arial" w:cs="Arial"/>
          <w:b/>
          <w:color w:val="000000"/>
        </w:rPr>
        <w:t>Acknowledgements</w:t>
      </w:r>
    </w:p>
    <w:p w14:paraId="51F37153" w14:textId="268D58CA" w:rsidR="00C160A8" w:rsidRDefault="00C160A8" w:rsidP="00C160A8">
      <w:pPr>
        <w:pBdr>
          <w:top w:val="nil"/>
          <w:left w:val="nil"/>
          <w:bottom w:val="nil"/>
          <w:right w:val="nil"/>
          <w:between w:val="nil"/>
        </w:pBdr>
        <w:spacing w:line="480" w:lineRule="auto"/>
        <w:contextualSpacing/>
        <w:jc w:val="both"/>
        <w:rPr>
          <w:rFonts w:ascii="Arial" w:hAnsi="Arial" w:cs="Arial"/>
          <w:color w:val="000000" w:themeColor="text1"/>
        </w:rPr>
      </w:pPr>
      <w:r w:rsidRPr="00984FDC">
        <w:rPr>
          <w:rFonts w:ascii="Arial" w:hAnsi="Arial" w:cs="Arial"/>
          <w:color w:val="000000"/>
        </w:rPr>
        <w:t>We thank members of the Hall group</w:t>
      </w:r>
      <w:r>
        <w:rPr>
          <w:rFonts w:ascii="Arial" w:hAnsi="Arial" w:cs="Arial"/>
          <w:color w:val="000000"/>
        </w:rPr>
        <w:t>,</w:t>
      </w:r>
      <w:r w:rsidRPr="00984FDC">
        <w:rPr>
          <w:rFonts w:ascii="Arial" w:hAnsi="Arial" w:cs="Arial"/>
          <w:color w:val="000000"/>
        </w:rPr>
        <w:t xml:space="preserve"> the Fisher group at the University College London Cancer Institute</w:t>
      </w:r>
      <w:r>
        <w:rPr>
          <w:rFonts w:ascii="Arial" w:hAnsi="Arial" w:cs="Arial"/>
          <w:color w:val="000000"/>
        </w:rPr>
        <w:t>, and Aleksandra Watson at the University of Cambridge</w:t>
      </w:r>
      <w:r w:rsidRPr="00984FDC">
        <w:rPr>
          <w:rFonts w:ascii="Arial" w:hAnsi="Arial" w:cs="Arial"/>
          <w:color w:val="000000"/>
        </w:rPr>
        <w:t xml:space="preserve"> for valuable discussions.</w:t>
      </w:r>
      <w:r>
        <w:rPr>
          <w:rFonts w:ascii="Arial" w:hAnsi="Arial" w:cs="Arial"/>
          <w:color w:val="000000"/>
        </w:rPr>
        <w:t xml:space="preserve"> BAH</w:t>
      </w:r>
      <w:r w:rsidRPr="00D459D1">
        <w:t xml:space="preserve"> </w:t>
      </w:r>
      <w:r w:rsidRPr="00D459D1">
        <w:rPr>
          <w:rFonts w:ascii="Arial" w:hAnsi="Arial" w:cs="Arial"/>
          <w:color w:val="000000"/>
        </w:rPr>
        <w:t>acknowledges support from the Royal Society (grant no. UF130039)</w:t>
      </w:r>
      <w:r>
        <w:rPr>
          <w:rFonts w:ascii="Arial" w:hAnsi="Arial" w:cs="Arial"/>
          <w:color w:val="000000"/>
        </w:rPr>
        <w:t>, the Medical Research Council (</w:t>
      </w:r>
      <w:r w:rsidRPr="00F55FE7">
        <w:rPr>
          <w:rFonts w:ascii="Arial" w:hAnsi="Arial" w:cs="Arial"/>
          <w:color w:val="000000"/>
        </w:rPr>
        <w:t>grant no. MR/S000216/1</w:t>
      </w:r>
      <w:r>
        <w:rPr>
          <w:rFonts w:ascii="Arial" w:hAnsi="Arial" w:cs="Arial"/>
          <w:color w:val="000000"/>
        </w:rPr>
        <w:t xml:space="preserve">), and Microsoft Research. JF </w:t>
      </w:r>
      <w:r w:rsidRPr="00A42657">
        <w:rPr>
          <w:rFonts w:ascii="Arial" w:hAnsi="Arial" w:cs="Arial"/>
          <w:color w:val="000000"/>
        </w:rPr>
        <w:t xml:space="preserve">was supported by the National Institute for Health Research University College London </w:t>
      </w:r>
      <w:r w:rsidRPr="002C6F32">
        <w:rPr>
          <w:rFonts w:ascii="Arial" w:hAnsi="Arial" w:cs="Arial"/>
          <w:color w:val="000000" w:themeColor="text1"/>
        </w:rPr>
        <w:t>Hospitals Biomedical Research Centre and Cancer Research UK. LCC is supported by a CR-UK Programme Foundation award to DGK (DCRPGF\100008). The DGK laboratory is supported by an ERC Starting Grant (ERC-2016-STG-715371), a CR-UK Programme Foundation award (DCRPGF\100008) and an MRC-AMED joint award (MR/V005502/1).</w:t>
      </w:r>
    </w:p>
    <w:p w14:paraId="17940D1C" w14:textId="77777777" w:rsidR="00C160A8" w:rsidRPr="00984FDC" w:rsidRDefault="00C160A8" w:rsidP="00C160A8">
      <w:pPr>
        <w:pBdr>
          <w:top w:val="nil"/>
          <w:left w:val="nil"/>
          <w:bottom w:val="nil"/>
          <w:right w:val="nil"/>
          <w:between w:val="nil"/>
        </w:pBdr>
        <w:spacing w:line="480" w:lineRule="auto"/>
        <w:contextualSpacing/>
        <w:jc w:val="both"/>
        <w:rPr>
          <w:rFonts w:ascii="Arial" w:hAnsi="Arial" w:cs="Arial"/>
          <w:color w:val="000000"/>
        </w:rPr>
      </w:pPr>
    </w:p>
    <w:p w14:paraId="034F53C6" w14:textId="77777777" w:rsidR="00C160A8" w:rsidRPr="00C160A8" w:rsidRDefault="00C160A8" w:rsidP="00C160A8">
      <w:pPr>
        <w:pBdr>
          <w:top w:val="nil"/>
          <w:left w:val="nil"/>
          <w:bottom w:val="nil"/>
          <w:right w:val="nil"/>
          <w:between w:val="nil"/>
        </w:pBdr>
        <w:spacing w:line="480" w:lineRule="auto"/>
        <w:contextualSpacing/>
        <w:jc w:val="both"/>
        <w:rPr>
          <w:rFonts w:ascii="Arial" w:hAnsi="Arial" w:cs="Arial"/>
          <w:b/>
          <w:color w:val="70AD47" w:themeColor="accent6"/>
        </w:rPr>
      </w:pPr>
      <w:r w:rsidRPr="00C160A8">
        <w:rPr>
          <w:rFonts w:ascii="Arial" w:hAnsi="Arial" w:cs="Arial"/>
          <w:b/>
          <w:color w:val="70AD47" w:themeColor="accent6"/>
        </w:rPr>
        <w:lastRenderedPageBreak/>
        <w:t>Author contributions</w:t>
      </w:r>
    </w:p>
    <w:p w14:paraId="791557F5" w14:textId="0314766D" w:rsidR="00D35704" w:rsidRPr="00A23D3F" w:rsidRDefault="00D35704" w:rsidP="00D35704">
      <w:pPr>
        <w:pBdr>
          <w:top w:val="nil"/>
          <w:left w:val="nil"/>
          <w:bottom w:val="nil"/>
          <w:right w:val="nil"/>
          <w:between w:val="nil"/>
        </w:pBdr>
        <w:spacing w:line="480" w:lineRule="auto"/>
        <w:contextualSpacing/>
        <w:jc w:val="both"/>
        <w:rPr>
          <w:rFonts w:ascii="Arial" w:hAnsi="Arial" w:cs="Arial"/>
          <w:bCs/>
          <w:color w:val="70AD47" w:themeColor="accent6"/>
          <w:lang w:val="en-AU"/>
        </w:rPr>
      </w:pPr>
      <w:r w:rsidRPr="00A23D3F">
        <w:rPr>
          <w:rFonts w:ascii="Arial" w:hAnsi="Arial" w:cs="Arial"/>
          <w:bCs/>
          <w:color w:val="70AD47" w:themeColor="accent6"/>
          <w:lang w:val="en-AU"/>
        </w:rPr>
        <w:t xml:space="preserve">LT performed the experiments, analysed data, and wrote all versions of the manuscript. BH conceived, supervised the study, wrote and edited the manuscript. DS supported data analysis. DK and LC performed experimental validation. </w:t>
      </w:r>
      <w:r w:rsidR="00875690">
        <w:rPr>
          <w:rFonts w:ascii="Arial" w:hAnsi="Arial" w:cs="Arial"/>
          <w:bCs/>
          <w:color w:val="70AD47" w:themeColor="accent6"/>
          <w:lang w:val="en-AU"/>
        </w:rPr>
        <w:t xml:space="preserve">LT, MC, DS, </w:t>
      </w:r>
      <w:r w:rsidR="00DA5689">
        <w:rPr>
          <w:rFonts w:ascii="Arial" w:hAnsi="Arial" w:cs="Arial"/>
          <w:bCs/>
          <w:color w:val="70AD47" w:themeColor="accent6"/>
          <w:lang w:val="en-AU"/>
        </w:rPr>
        <w:t>LC, DK, JF and BH all</w:t>
      </w:r>
      <w:r w:rsidRPr="00A23D3F">
        <w:rPr>
          <w:rFonts w:ascii="Arial" w:hAnsi="Arial" w:cs="Arial"/>
          <w:bCs/>
          <w:color w:val="70AD47" w:themeColor="accent6"/>
          <w:lang w:val="en-AU"/>
        </w:rPr>
        <w:t xml:space="preserve"> edited the manuscript.</w:t>
      </w:r>
    </w:p>
    <w:p w14:paraId="154D8582" w14:textId="77777777" w:rsidR="00C160A8" w:rsidRDefault="00C160A8" w:rsidP="00C160A8">
      <w:pPr>
        <w:pBdr>
          <w:top w:val="nil"/>
          <w:left w:val="nil"/>
          <w:bottom w:val="nil"/>
          <w:right w:val="nil"/>
          <w:between w:val="nil"/>
        </w:pBdr>
        <w:spacing w:line="480" w:lineRule="auto"/>
        <w:contextualSpacing/>
        <w:jc w:val="both"/>
        <w:rPr>
          <w:rFonts w:ascii="Arial" w:hAnsi="Arial" w:cs="Arial"/>
          <w:b/>
          <w:color w:val="000000"/>
        </w:rPr>
      </w:pPr>
    </w:p>
    <w:p w14:paraId="5A079702" w14:textId="77777777" w:rsidR="00C160A8" w:rsidRPr="006838A3" w:rsidRDefault="00C160A8" w:rsidP="00C160A8">
      <w:pPr>
        <w:pBdr>
          <w:top w:val="nil"/>
          <w:left w:val="nil"/>
          <w:bottom w:val="nil"/>
          <w:right w:val="nil"/>
          <w:between w:val="nil"/>
        </w:pBdr>
        <w:spacing w:line="480" w:lineRule="auto"/>
        <w:contextualSpacing/>
        <w:jc w:val="both"/>
        <w:rPr>
          <w:rFonts w:ascii="Arial" w:hAnsi="Arial" w:cs="Arial"/>
          <w:b/>
          <w:color w:val="000000"/>
        </w:rPr>
      </w:pPr>
      <w:r w:rsidRPr="006838A3">
        <w:rPr>
          <w:rFonts w:ascii="Arial" w:hAnsi="Arial" w:cs="Arial"/>
          <w:b/>
          <w:color w:val="000000"/>
        </w:rPr>
        <w:t>Competing Interests</w:t>
      </w:r>
    </w:p>
    <w:p w14:paraId="1FA45248" w14:textId="2E5D2D70" w:rsidR="005B208E" w:rsidRPr="00CD423A" w:rsidRDefault="00C160A8" w:rsidP="00C160A8">
      <w:pPr>
        <w:spacing w:after="160" w:line="480" w:lineRule="auto"/>
        <w:jc w:val="both"/>
        <w:rPr>
          <w:rFonts w:ascii="Arial" w:hAnsi="Arial" w:cs="Arial"/>
          <w:b/>
          <w:color w:val="000000"/>
        </w:rPr>
      </w:pPr>
      <w:r w:rsidRPr="00D35704">
        <w:rPr>
          <w:rFonts w:ascii="Arial" w:hAnsi="Arial" w:cs="Arial"/>
          <w:color w:val="70AD47" w:themeColor="accent6"/>
        </w:rPr>
        <w:t>The authors declare no</w:t>
      </w:r>
      <w:r w:rsidR="00D35704" w:rsidRPr="00D35704">
        <w:rPr>
          <w:rFonts w:ascii="Arial" w:hAnsi="Arial" w:cs="Arial"/>
          <w:color w:val="70AD47" w:themeColor="accent6"/>
        </w:rPr>
        <w:t xml:space="preserve"> financial or non-financial</w:t>
      </w:r>
      <w:r w:rsidRPr="00D35704">
        <w:rPr>
          <w:rFonts w:ascii="Arial" w:hAnsi="Arial" w:cs="Arial"/>
          <w:color w:val="70AD47" w:themeColor="accent6"/>
        </w:rPr>
        <w:t xml:space="preserve"> competing interests. </w:t>
      </w:r>
      <w:r w:rsidR="005B208E" w:rsidRPr="00CD423A">
        <w:rPr>
          <w:rFonts w:ascii="Arial" w:hAnsi="Arial" w:cs="Arial"/>
          <w:b/>
          <w:color w:val="000000"/>
        </w:rPr>
        <w:br w:type="page"/>
      </w:r>
    </w:p>
    <w:p w14:paraId="24AF4541" w14:textId="0E49D5CA" w:rsidR="00C160A8" w:rsidRDefault="00C160A8" w:rsidP="00DB48C8">
      <w:pPr>
        <w:keepNext/>
        <w:pBdr>
          <w:top w:val="nil"/>
          <w:left w:val="nil"/>
          <w:bottom w:val="nil"/>
          <w:right w:val="nil"/>
          <w:between w:val="nil"/>
        </w:pBdr>
        <w:spacing w:before="240" w:after="60" w:line="480" w:lineRule="auto"/>
        <w:jc w:val="both"/>
        <w:rPr>
          <w:rFonts w:ascii="Arial" w:hAnsi="Arial" w:cs="Arial"/>
          <w:b/>
          <w:color w:val="000000"/>
        </w:rPr>
      </w:pPr>
      <w:r>
        <w:rPr>
          <w:rFonts w:ascii="Arial" w:hAnsi="Arial" w:cs="Arial"/>
          <w:b/>
          <w:color w:val="000000"/>
        </w:rPr>
        <w:lastRenderedPageBreak/>
        <w:t>Table</w:t>
      </w:r>
    </w:p>
    <w:tbl>
      <w:tblPr>
        <w:tblStyle w:val="TableGrid"/>
        <w:tblW w:w="0" w:type="auto"/>
        <w:tblLook w:val="04A0" w:firstRow="1" w:lastRow="0" w:firstColumn="1" w:lastColumn="0" w:noHBand="0" w:noVBand="1"/>
      </w:tblPr>
      <w:tblGrid>
        <w:gridCol w:w="1877"/>
        <w:gridCol w:w="751"/>
        <w:gridCol w:w="881"/>
        <w:gridCol w:w="873"/>
        <w:gridCol w:w="881"/>
        <w:gridCol w:w="873"/>
      </w:tblGrid>
      <w:tr w:rsidR="00C160A8" w:rsidRPr="00CD423A" w14:paraId="70821362" w14:textId="77777777" w:rsidTr="00CC0141">
        <w:tc>
          <w:tcPr>
            <w:tcW w:w="2551" w:type="dxa"/>
            <w:shd w:val="clear" w:color="auto" w:fill="auto"/>
          </w:tcPr>
          <w:p w14:paraId="767FA028" w14:textId="77777777" w:rsidR="00C160A8" w:rsidRPr="00CD423A" w:rsidRDefault="00C160A8" w:rsidP="00021A53">
            <w:pPr>
              <w:spacing w:line="480" w:lineRule="auto"/>
              <w:contextualSpacing/>
              <w:jc w:val="both"/>
              <w:rPr>
                <w:rFonts w:ascii="Arial" w:hAnsi="Arial" w:cs="Arial"/>
                <w:color w:val="000000"/>
              </w:rPr>
            </w:pPr>
          </w:p>
        </w:tc>
        <w:tc>
          <w:tcPr>
            <w:tcW w:w="1134" w:type="dxa"/>
            <w:shd w:val="clear" w:color="auto" w:fill="auto"/>
          </w:tcPr>
          <w:p w14:paraId="19301FDC" w14:textId="77777777" w:rsidR="00C160A8" w:rsidRPr="00CD423A" w:rsidRDefault="00C160A8" w:rsidP="00021A53">
            <w:pPr>
              <w:spacing w:line="480" w:lineRule="auto"/>
              <w:contextualSpacing/>
              <w:jc w:val="both"/>
              <w:rPr>
                <w:rFonts w:ascii="Arial" w:hAnsi="Arial" w:cs="Arial"/>
                <w:color w:val="000000"/>
              </w:rPr>
            </w:pPr>
            <w:r w:rsidRPr="00CD423A">
              <w:rPr>
                <w:rFonts w:ascii="Arial" w:hAnsi="Arial" w:cs="Arial"/>
                <w:color w:val="000000"/>
              </w:rPr>
              <w:t>WT</w:t>
            </w:r>
          </w:p>
        </w:tc>
        <w:tc>
          <w:tcPr>
            <w:tcW w:w="1134" w:type="dxa"/>
            <w:shd w:val="clear" w:color="auto" w:fill="auto"/>
          </w:tcPr>
          <w:p w14:paraId="6643022D" w14:textId="77777777" w:rsidR="00C160A8" w:rsidRPr="00324AC9" w:rsidRDefault="00C160A8" w:rsidP="00021A53">
            <w:pPr>
              <w:spacing w:line="480" w:lineRule="auto"/>
              <w:contextualSpacing/>
              <w:jc w:val="both"/>
              <w:rPr>
                <w:rFonts w:ascii="Arial" w:hAnsi="Arial" w:cs="Arial"/>
                <w:i/>
                <w:color w:val="000000"/>
              </w:rPr>
            </w:pPr>
            <w:r w:rsidRPr="00324AC9">
              <w:rPr>
                <w:rFonts w:ascii="Arial" w:hAnsi="Arial" w:cs="Arial"/>
                <w:i/>
                <w:color w:val="000000"/>
              </w:rPr>
              <w:t>TET2</w:t>
            </w:r>
          </w:p>
        </w:tc>
        <w:tc>
          <w:tcPr>
            <w:tcW w:w="1134" w:type="dxa"/>
            <w:shd w:val="clear" w:color="auto" w:fill="auto"/>
          </w:tcPr>
          <w:p w14:paraId="33B76E96" w14:textId="77777777" w:rsidR="00C160A8" w:rsidRPr="00324AC9" w:rsidRDefault="00C160A8" w:rsidP="00021A53">
            <w:pPr>
              <w:spacing w:line="480" w:lineRule="auto"/>
              <w:contextualSpacing/>
              <w:jc w:val="both"/>
              <w:rPr>
                <w:rFonts w:ascii="Arial" w:hAnsi="Arial" w:cs="Arial"/>
                <w:i/>
                <w:color w:val="000000"/>
              </w:rPr>
            </w:pPr>
            <w:r w:rsidRPr="00324AC9">
              <w:rPr>
                <w:rFonts w:ascii="Arial" w:hAnsi="Arial" w:cs="Arial"/>
                <w:i/>
                <w:color w:val="000000"/>
              </w:rPr>
              <w:t>JAK2</w:t>
            </w:r>
          </w:p>
        </w:tc>
        <w:tc>
          <w:tcPr>
            <w:tcW w:w="1134" w:type="dxa"/>
            <w:shd w:val="clear" w:color="auto" w:fill="auto"/>
          </w:tcPr>
          <w:p w14:paraId="1F1A3C19" w14:textId="77777777" w:rsidR="00C160A8" w:rsidRPr="00324AC9" w:rsidRDefault="00C160A8" w:rsidP="00021A53">
            <w:pPr>
              <w:spacing w:line="480" w:lineRule="auto"/>
              <w:contextualSpacing/>
              <w:jc w:val="both"/>
              <w:rPr>
                <w:rFonts w:ascii="Arial" w:hAnsi="Arial" w:cs="Arial"/>
                <w:i/>
                <w:color w:val="000000"/>
              </w:rPr>
            </w:pPr>
            <w:r w:rsidRPr="00324AC9">
              <w:rPr>
                <w:rFonts w:ascii="Arial" w:hAnsi="Arial" w:cs="Arial"/>
                <w:i/>
                <w:color w:val="000000"/>
              </w:rPr>
              <w:t xml:space="preserve">TET2 </w:t>
            </w:r>
            <w:r w:rsidRPr="00324AC9">
              <w:rPr>
                <w:rFonts w:ascii="Arial" w:hAnsi="Arial" w:cs="Arial"/>
                <w:color w:val="000000"/>
              </w:rPr>
              <w:t>first</w:t>
            </w:r>
          </w:p>
        </w:tc>
        <w:tc>
          <w:tcPr>
            <w:tcW w:w="1134" w:type="dxa"/>
            <w:shd w:val="clear" w:color="auto" w:fill="auto"/>
          </w:tcPr>
          <w:p w14:paraId="4C80491F" w14:textId="77777777" w:rsidR="00C160A8" w:rsidRPr="00324AC9" w:rsidRDefault="00C160A8" w:rsidP="00021A53">
            <w:pPr>
              <w:spacing w:line="480" w:lineRule="auto"/>
              <w:contextualSpacing/>
              <w:jc w:val="both"/>
              <w:rPr>
                <w:rFonts w:ascii="Arial" w:hAnsi="Arial" w:cs="Arial"/>
                <w:i/>
                <w:color w:val="000000"/>
              </w:rPr>
            </w:pPr>
            <w:r w:rsidRPr="00324AC9">
              <w:rPr>
                <w:rFonts w:ascii="Arial" w:hAnsi="Arial" w:cs="Arial"/>
                <w:i/>
                <w:color w:val="000000"/>
              </w:rPr>
              <w:t xml:space="preserve">JAK2 </w:t>
            </w:r>
            <w:r w:rsidRPr="00324AC9">
              <w:rPr>
                <w:rFonts w:ascii="Arial" w:hAnsi="Arial" w:cs="Arial"/>
                <w:color w:val="000000"/>
              </w:rPr>
              <w:t>first</w:t>
            </w:r>
          </w:p>
        </w:tc>
      </w:tr>
      <w:tr w:rsidR="00C160A8" w:rsidRPr="00CD423A" w14:paraId="4C28DBAA" w14:textId="77777777" w:rsidTr="00CC0141">
        <w:tc>
          <w:tcPr>
            <w:tcW w:w="2551" w:type="dxa"/>
            <w:shd w:val="clear" w:color="auto" w:fill="auto"/>
          </w:tcPr>
          <w:p w14:paraId="492E90BC" w14:textId="77777777" w:rsidR="00C160A8" w:rsidRPr="00CD423A" w:rsidRDefault="00C160A8" w:rsidP="00021A53">
            <w:pPr>
              <w:spacing w:line="480" w:lineRule="auto"/>
              <w:contextualSpacing/>
              <w:rPr>
                <w:rFonts w:ascii="Arial" w:hAnsi="Arial" w:cs="Arial"/>
                <w:color w:val="000000"/>
              </w:rPr>
            </w:pPr>
            <w:r w:rsidRPr="00CD423A">
              <w:rPr>
                <w:rFonts w:ascii="Arial" w:hAnsi="Arial" w:cs="Arial"/>
                <w:color w:val="000000"/>
              </w:rPr>
              <w:t>Stem Cell Renewal</w:t>
            </w:r>
          </w:p>
        </w:tc>
        <w:tc>
          <w:tcPr>
            <w:tcW w:w="1134" w:type="dxa"/>
            <w:shd w:val="clear" w:color="auto" w:fill="auto"/>
          </w:tcPr>
          <w:p w14:paraId="1A735923"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c>
          <w:tcPr>
            <w:tcW w:w="1134" w:type="dxa"/>
            <w:shd w:val="clear" w:color="auto" w:fill="auto"/>
          </w:tcPr>
          <w:p w14:paraId="562F4936"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c>
          <w:tcPr>
            <w:tcW w:w="1134" w:type="dxa"/>
            <w:shd w:val="clear" w:color="auto" w:fill="auto"/>
          </w:tcPr>
          <w:p w14:paraId="6F1890FA"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c>
          <w:tcPr>
            <w:tcW w:w="1134" w:type="dxa"/>
            <w:shd w:val="clear" w:color="auto" w:fill="auto"/>
          </w:tcPr>
          <w:p w14:paraId="1C7ECA66"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c>
          <w:tcPr>
            <w:tcW w:w="1134" w:type="dxa"/>
            <w:shd w:val="clear" w:color="auto" w:fill="auto"/>
          </w:tcPr>
          <w:p w14:paraId="47275D08"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r>
      <w:tr w:rsidR="00C160A8" w:rsidRPr="00CD423A" w14:paraId="53960400" w14:textId="77777777" w:rsidTr="00CC0141">
        <w:tc>
          <w:tcPr>
            <w:tcW w:w="2551" w:type="dxa"/>
            <w:shd w:val="clear" w:color="auto" w:fill="auto"/>
          </w:tcPr>
          <w:p w14:paraId="567FE7D7" w14:textId="77777777" w:rsidR="00C160A8" w:rsidRPr="00CD423A" w:rsidRDefault="00C160A8" w:rsidP="00021A53">
            <w:pPr>
              <w:spacing w:line="480" w:lineRule="auto"/>
              <w:contextualSpacing/>
              <w:jc w:val="both"/>
              <w:rPr>
                <w:rFonts w:ascii="Arial" w:hAnsi="Arial" w:cs="Arial"/>
                <w:color w:val="000000"/>
              </w:rPr>
            </w:pPr>
            <w:r w:rsidRPr="00CD423A">
              <w:rPr>
                <w:rFonts w:ascii="Arial" w:hAnsi="Arial" w:cs="Arial"/>
                <w:color w:val="000000"/>
              </w:rPr>
              <w:t>CMP expansion</w:t>
            </w:r>
          </w:p>
        </w:tc>
        <w:tc>
          <w:tcPr>
            <w:tcW w:w="1134" w:type="dxa"/>
            <w:shd w:val="clear" w:color="auto" w:fill="auto"/>
          </w:tcPr>
          <w:p w14:paraId="03EE1034"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c>
          <w:tcPr>
            <w:tcW w:w="1134" w:type="dxa"/>
            <w:shd w:val="clear" w:color="auto" w:fill="auto"/>
          </w:tcPr>
          <w:p w14:paraId="5EF06059"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c>
          <w:tcPr>
            <w:tcW w:w="1134" w:type="dxa"/>
            <w:shd w:val="clear" w:color="auto" w:fill="auto"/>
          </w:tcPr>
          <w:p w14:paraId="46AD1EC8"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c>
          <w:tcPr>
            <w:tcW w:w="1134" w:type="dxa"/>
            <w:shd w:val="clear" w:color="auto" w:fill="auto"/>
          </w:tcPr>
          <w:p w14:paraId="7A82C06F"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c>
          <w:tcPr>
            <w:tcW w:w="1134" w:type="dxa"/>
            <w:shd w:val="clear" w:color="auto" w:fill="auto"/>
          </w:tcPr>
          <w:p w14:paraId="051D641B"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r>
      <w:tr w:rsidR="00C160A8" w:rsidRPr="00CD423A" w14:paraId="0A357D16" w14:textId="77777777" w:rsidTr="00CC0141">
        <w:tc>
          <w:tcPr>
            <w:tcW w:w="2551" w:type="dxa"/>
            <w:shd w:val="clear" w:color="auto" w:fill="auto"/>
          </w:tcPr>
          <w:p w14:paraId="3D244393" w14:textId="77777777" w:rsidR="00C160A8" w:rsidRPr="00CD423A" w:rsidRDefault="00C160A8" w:rsidP="00021A53">
            <w:pPr>
              <w:spacing w:line="480" w:lineRule="auto"/>
              <w:contextualSpacing/>
              <w:jc w:val="both"/>
              <w:rPr>
                <w:rFonts w:ascii="Arial" w:hAnsi="Arial" w:cs="Arial"/>
                <w:color w:val="000000"/>
              </w:rPr>
            </w:pPr>
            <w:r w:rsidRPr="00CD423A">
              <w:rPr>
                <w:rFonts w:ascii="Arial" w:hAnsi="Arial" w:cs="Arial"/>
                <w:color w:val="000000"/>
              </w:rPr>
              <w:t>GMP expansion</w:t>
            </w:r>
          </w:p>
        </w:tc>
        <w:tc>
          <w:tcPr>
            <w:tcW w:w="1134" w:type="dxa"/>
            <w:shd w:val="clear" w:color="auto" w:fill="auto"/>
          </w:tcPr>
          <w:p w14:paraId="3341347F"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c>
          <w:tcPr>
            <w:tcW w:w="1134" w:type="dxa"/>
            <w:shd w:val="clear" w:color="auto" w:fill="auto"/>
          </w:tcPr>
          <w:p w14:paraId="6787BAA9"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c>
          <w:tcPr>
            <w:tcW w:w="1134" w:type="dxa"/>
            <w:shd w:val="clear" w:color="auto" w:fill="auto"/>
          </w:tcPr>
          <w:p w14:paraId="5D10CD05"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c>
          <w:tcPr>
            <w:tcW w:w="1134" w:type="dxa"/>
            <w:shd w:val="clear" w:color="auto" w:fill="auto"/>
          </w:tcPr>
          <w:p w14:paraId="68961AAC"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c>
          <w:tcPr>
            <w:tcW w:w="1134" w:type="dxa"/>
            <w:shd w:val="clear" w:color="auto" w:fill="auto"/>
          </w:tcPr>
          <w:p w14:paraId="618A1ADD"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r>
      <w:tr w:rsidR="00C160A8" w:rsidRPr="00CD423A" w14:paraId="0A8FA794" w14:textId="77777777" w:rsidTr="00CC0141">
        <w:tc>
          <w:tcPr>
            <w:tcW w:w="2551" w:type="dxa"/>
            <w:shd w:val="clear" w:color="auto" w:fill="auto"/>
          </w:tcPr>
          <w:p w14:paraId="410C5E94" w14:textId="77777777" w:rsidR="00C160A8" w:rsidRPr="00CD423A" w:rsidRDefault="00C160A8" w:rsidP="00021A53">
            <w:pPr>
              <w:spacing w:line="480" w:lineRule="auto"/>
              <w:contextualSpacing/>
              <w:jc w:val="both"/>
              <w:rPr>
                <w:rFonts w:ascii="Arial" w:hAnsi="Arial" w:cs="Arial"/>
                <w:color w:val="000000"/>
              </w:rPr>
            </w:pPr>
            <w:r w:rsidRPr="00CD423A">
              <w:rPr>
                <w:rFonts w:ascii="Arial" w:hAnsi="Arial" w:cs="Arial"/>
                <w:color w:val="000000"/>
              </w:rPr>
              <w:t>GMP differentiation</w:t>
            </w:r>
          </w:p>
        </w:tc>
        <w:tc>
          <w:tcPr>
            <w:tcW w:w="1134" w:type="dxa"/>
            <w:shd w:val="clear" w:color="auto" w:fill="auto"/>
          </w:tcPr>
          <w:p w14:paraId="12952657"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c>
          <w:tcPr>
            <w:tcW w:w="1134" w:type="dxa"/>
            <w:shd w:val="clear" w:color="auto" w:fill="auto"/>
          </w:tcPr>
          <w:p w14:paraId="7EEC9186"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0</w:t>
            </w:r>
          </w:p>
        </w:tc>
        <w:tc>
          <w:tcPr>
            <w:tcW w:w="1134" w:type="dxa"/>
            <w:shd w:val="clear" w:color="auto" w:fill="auto"/>
          </w:tcPr>
          <w:p w14:paraId="5497AB2E"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c>
          <w:tcPr>
            <w:tcW w:w="1134" w:type="dxa"/>
            <w:shd w:val="clear" w:color="auto" w:fill="auto"/>
          </w:tcPr>
          <w:p w14:paraId="598ED3F5"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c>
          <w:tcPr>
            <w:tcW w:w="1134" w:type="dxa"/>
            <w:shd w:val="clear" w:color="auto" w:fill="auto"/>
          </w:tcPr>
          <w:p w14:paraId="57664C72"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r>
      <w:tr w:rsidR="00C160A8" w:rsidRPr="00CD423A" w14:paraId="6254FDAB" w14:textId="77777777" w:rsidTr="00CC0141">
        <w:tc>
          <w:tcPr>
            <w:tcW w:w="2551" w:type="dxa"/>
            <w:shd w:val="clear" w:color="auto" w:fill="auto"/>
          </w:tcPr>
          <w:p w14:paraId="441C9D66" w14:textId="77777777" w:rsidR="00C160A8" w:rsidRPr="00CD423A" w:rsidRDefault="00C160A8" w:rsidP="00021A53">
            <w:pPr>
              <w:spacing w:line="480" w:lineRule="auto"/>
              <w:contextualSpacing/>
              <w:jc w:val="both"/>
              <w:rPr>
                <w:rFonts w:ascii="Arial" w:hAnsi="Arial" w:cs="Arial"/>
                <w:color w:val="000000"/>
              </w:rPr>
            </w:pPr>
            <w:r w:rsidRPr="00CD423A">
              <w:rPr>
                <w:rFonts w:ascii="Arial" w:hAnsi="Arial" w:cs="Arial"/>
                <w:color w:val="000000"/>
              </w:rPr>
              <w:t>Erythroid differentiation</w:t>
            </w:r>
          </w:p>
        </w:tc>
        <w:tc>
          <w:tcPr>
            <w:tcW w:w="1134" w:type="dxa"/>
            <w:shd w:val="clear" w:color="auto" w:fill="auto"/>
          </w:tcPr>
          <w:p w14:paraId="18CF3A95"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c>
          <w:tcPr>
            <w:tcW w:w="1134" w:type="dxa"/>
            <w:shd w:val="clear" w:color="auto" w:fill="auto"/>
          </w:tcPr>
          <w:p w14:paraId="61072884"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0</w:t>
            </w:r>
          </w:p>
        </w:tc>
        <w:tc>
          <w:tcPr>
            <w:tcW w:w="1134" w:type="dxa"/>
            <w:shd w:val="clear" w:color="auto" w:fill="auto"/>
          </w:tcPr>
          <w:p w14:paraId="6AAA273E"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c>
          <w:tcPr>
            <w:tcW w:w="1134" w:type="dxa"/>
            <w:shd w:val="clear" w:color="auto" w:fill="auto"/>
          </w:tcPr>
          <w:p w14:paraId="1CB066D1"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c>
          <w:tcPr>
            <w:tcW w:w="1134" w:type="dxa"/>
            <w:shd w:val="clear" w:color="auto" w:fill="auto"/>
          </w:tcPr>
          <w:p w14:paraId="36652BFB"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r>
      <w:tr w:rsidR="00C160A8" w:rsidRPr="00CD423A" w14:paraId="375D21D2" w14:textId="77777777" w:rsidTr="00CC0141">
        <w:tc>
          <w:tcPr>
            <w:tcW w:w="2551" w:type="dxa"/>
            <w:shd w:val="clear" w:color="auto" w:fill="auto"/>
          </w:tcPr>
          <w:p w14:paraId="71947FE1" w14:textId="77777777" w:rsidR="00C160A8" w:rsidRPr="00CD423A" w:rsidRDefault="00C160A8" w:rsidP="00021A53">
            <w:pPr>
              <w:spacing w:line="480" w:lineRule="auto"/>
              <w:contextualSpacing/>
              <w:jc w:val="both"/>
              <w:rPr>
                <w:rFonts w:ascii="Arial" w:hAnsi="Arial" w:cs="Arial"/>
                <w:color w:val="000000"/>
              </w:rPr>
            </w:pPr>
            <w:r w:rsidRPr="00CD423A">
              <w:rPr>
                <w:rFonts w:ascii="Arial" w:hAnsi="Arial" w:cs="Arial"/>
                <w:color w:val="000000"/>
              </w:rPr>
              <w:t>MEP expansion</w:t>
            </w:r>
          </w:p>
        </w:tc>
        <w:tc>
          <w:tcPr>
            <w:tcW w:w="1134" w:type="dxa"/>
            <w:shd w:val="clear" w:color="auto" w:fill="auto"/>
          </w:tcPr>
          <w:p w14:paraId="68FAD71E"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c>
          <w:tcPr>
            <w:tcW w:w="1134" w:type="dxa"/>
            <w:shd w:val="clear" w:color="auto" w:fill="auto"/>
          </w:tcPr>
          <w:p w14:paraId="7A1B87D1"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1</w:t>
            </w:r>
          </w:p>
        </w:tc>
        <w:tc>
          <w:tcPr>
            <w:tcW w:w="1134" w:type="dxa"/>
            <w:shd w:val="clear" w:color="auto" w:fill="auto"/>
          </w:tcPr>
          <w:p w14:paraId="0D3648AD"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c>
          <w:tcPr>
            <w:tcW w:w="1134" w:type="dxa"/>
            <w:shd w:val="clear" w:color="auto" w:fill="auto"/>
          </w:tcPr>
          <w:p w14:paraId="768ED01D"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c>
          <w:tcPr>
            <w:tcW w:w="1134" w:type="dxa"/>
            <w:shd w:val="clear" w:color="auto" w:fill="auto"/>
          </w:tcPr>
          <w:p w14:paraId="5FD2DC5F" w14:textId="77777777" w:rsidR="00C160A8" w:rsidRPr="00CC0141" w:rsidRDefault="00C160A8" w:rsidP="00021A53">
            <w:pPr>
              <w:spacing w:line="480" w:lineRule="auto"/>
              <w:contextualSpacing/>
              <w:jc w:val="both"/>
              <w:rPr>
                <w:rFonts w:ascii="Arial" w:hAnsi="Arial" w:cs="Arial"/>
                <w:color w:val="000000"/>
              </w:rPr>
            </w:pPr>
            <w:r w:rsidRPr="00CC0141">
              <w:rPr>
                <w:rFonts w:ascii="Arial" w:hAnsi="Arial" w:cs="Arial"/>
                <w:color w:val="000000"/>
              </w:rPr>
              <w:t>2</w:t>
            </w:r>
          </w:p>
        </w:tc>
      </w:tr>
    </w:tbl>
    <w:p w14:paraId="0AE7520E" w14:textId="77777777" w:rsidR="00C160A8" w:rsidRPr="00CD423A" w:rsidRDefault="00C160A8" w:rsidP="00C160A8">
      <w:pPr>
        <w:pBdr>
          <w:top w:val="nil"/>
          <w:left w:val="nil"/>
          <w:bottom w:val="nil"/>
          <w:right w:val="nil"/>
          <w:between w:val="nil"/>
        </w:pBdr>
        <w:spacing w:line="480" w:lineRule="auto"/>
        <w:contextualSpacing/>
        <w:jc w:val="both"/>
        <w:rPr>
          <w:rFonts w:ascii="Arial" w:hAnsi="Arial" w:cs="Arial"/>
          <w:color w:val="000000"/>
        </w:rPr>
      </w:pPr>
    </w:p>
    <w:p w14:paraId="6743919D" w14:textId="77777777" w:rsidR="00C160A8" w:rsidRPr="00CD423A" w:rsidRDefault="00C160A8" w:rsidP="00C160A8">
      <w:pPr>
        <w:pBdr>
          <w:top w:val="nil"/>
          <w:left w:val="nil"/>
          <w:bottom w:val="nil"/>
          <w:right w:val="nil"/>
          <w:between w:val="nil"/>
        </w:pBdr>
        <w:spacing w:line="480" w:lineRule="auto"/>
        <w:contextualSpacing/>
        <w:jc w:val="both"/>
        <w:rPr>
          <w:rFonts w:ascii="Arial" w:hAnsi="Arial" w:cs="Arial"/>
          <w:color w:val="000000"/>
        </w:rPr>
      </w:pPr>
    </w:p>
    <w:p w14:paraId="26362C86" w14:textId="77777777" w:rsidR="00C160A8" w:rsidRPr="00CD423A" w:rsidRDefault="00C160A8" w:rsidP="00C160A8">
      <w:pPr>
        <w:keepNext/>
        <w:pBdr>
          <w:top w:val="nil"/>
          <w:left w:val="nil"/>
          <w:bottom w:val="nil"/>
          <w:right w:val="nil"/>
          <w:between w:val="nil"/>
        </w:pBdr>
        <w:spacing w:before="240" w:after="60" w:line="480" w:lineRule="auto"/>
        <w:contextualSpacing/>
        <w:jc w:val="both"/>
        <w:rPr>
          <w:rFonts w:ascii="Arial" w:hAnsi="Arial" w:cs="Arial"/>
          <w:b/>
          <w:color w:val="000000"/>
        </w:rPr>
      </w:pPr>
      <w:r w:rsidRPr="00CD423A">
        <w:rPr>
          <w:rFonts w:ascii="Arial" w:hAnsi="Arial" w:cs="Arial"/>
          <w:b/>
          <w:color w:val="000000"/>
        </w:rPr>
        <w:t xml:space="preserve">Table 1. Specification table for </w:t>
      </w:r>
      <w:r w:rsidRPr="00CD423A">
        <w:rPr>
          <w:rFonts w:ascii="Arial" w:hAnsi="Arial" w:cs="Arial"/>
          <w:b/>
          <w:i/>
          <w:color w:val="000000"/>
        </w:rPr>
        <w:t>JAK2</w:t>
      </w:r>
      <w:r w:rsidRPr="00CD423A">
        <w:rPr>
          <w:rFonts w:ascii="Arial" w:hAnsi="Arial" w:cs="Arial"/>
          <w:b/>
          <w:color w:val="000000"/>
        </w:rPr>
        <w:t>/</w:t>
      </w:r>
      <w:r w:rsidRPr="00CD423A">
        <w:rPr>
          <w:rFonts w:ascii="Arial" w:hAnsi="Arial" w:cs="Arial"/>
          <w:b/>
          <w:i/>
          <w:color w:val="000000"/>
        </w:rPr>
        <w:t>TET2</w:t>
      </w:r>
      <w:r w:rsidRPr="00CD423A">
        <w:rPr>
          <w:rFonts w:ascii="Arial" w:hAnsi="Arial" w:cs="Arial"/>
          <w:b/>
          <w:color w:val="000000"/>
        </w:rPr>
        <w:t xml:space="preserve"> BMA model.</w:t>
      </w:r>
      <w:r w:rsidRPr="00CD423A">
        <w:rPr>
          <w:rFonts w:ascii="Arial" w:hAnsi="Arial" w:cs="Arial"/>
          <w:color w:val="000000"/>
        </w:rPr>
        <w:t xml:space="preserve"> </w:t>
      </w:r>
      <w:r w:rsidRPr="00B854A1">
        <w:rPr>
          <w:rFonts w:ascii="Arial" w:hAnsi="Arial" w:cs="Arial"/>
          <w:color w:val="000000" w:themeColor="text1"/>
        </w:rPr>
        <w:t xml:space="preserve">These specifications are established phenotypic features and are used to test model correctness. In order from the left to the right columns, they are  the wild type state, the </w:t>
      </w:r>
      <w:r w:rsidRPr="00B854A1">
        <w:rPr>
          <w:rFonts w:ascii="Arial" w:hAnsi="Arial" w:cs="Arial"/>
          <w:i/>
          <w:color w:val="000000" w:themeColor="text1"/>
        </w:rPr>
        <w:t>TET2</w:t>
      </w:r>
      <w:r w:rsidRPr="00B854A1">
        <w:rPr>
          <w:rFonts w:ascii="Arial" w:hAnsi="Arial" w:cs="Arial"/>
          <w:color w:val="000000" w:themeColor="text1"/>
        </w:rPr>
        <w:t xml:space="preserve"> single mutant, the </w:t>
      </w:r>
      <w:r w:rsidRPr="00B854A1">
        <w:rPr>
          <w:rFonts w:ascii="Arial" w:hAnsi="Arial" w:cs="Arial"/>
          <w:i/>
          <w:color w:val="000000" w:themeColor="text1"/>
        </w:rPr>
        <w:t>JAK2</w:t>
      </w:r>
      <w:r w:rsidRPr="00B854A1">
        <w:rPr>
          <w:rFonts w:ascii="Arial" w:hAnsi="Arial" w:cs="Arial"/>
          <w:color w:val="000000" w:themeColor="text1"/>
        </w:rPr>
        <w:t xml:space="preserve"> single mutant and finally the double mutants, which consists of a bifurcation with two state attractors that represent the case where </w:t>
      </w:r>
      <w:r w:rsidRPr="00B854A1">
        <w:rPr>
          <w:rFonts w:ascii="Arial" w:hAnsi="Arial" w:cs="Arial"/>
          <w:i/>
          <w:color w:val="000000" w:themeColor="text1"/>
        </w:rPr>
        <w:t>TET2</w:t>
      </w:r>
      <w:r w:rsidRPr="00B854A1">
        <w:rPr>
          <w:rFonts w:ascii="Arial" w:hAnsi="Arial" w:cs="Arial"/>
          <w:color w:val="000000" w:themeColor="text1"/>
        </w:rPr>
        <w:t xml:space="preserve"> is mutated before </w:t>
      </w:r>
      <w:r w:rsidRPr="00B854A1">
        <w:rPr>
          <w:rFonts w:ascii="Arial" w:hAnsi="Arial" w:cs="Arial"/>
          <w:i/>
          <w:color w:val="000000" w:themeColor="text1"/>
        </w:rPr>
        <w:t>JAK2</w:t>
      </w:r>
      <w:r w:rsidRPr="00B854A1">
        <w:rPr>
          <w:rFonts w:ascii="Arial" w:hAnsi="Arial" w:cs="Arial"/>
          <w:color w:val="000000" w:themeColor="text1"/>
        </w:rPr>
        <w:t xml:space="preserve"> (</w:t>
      </w:r>
      <w:r w:rsidRPr="00B854A1">
        <w:rPr>
          <w:rFonts w:ascii="Arial" w:hAnsi="Arial" w:cs="Arial"/>
          <w:i/>
          <w:color w:val="000000" w:themeColor="text1"/>
        </w:rPr>
        <w:t>TET2</w:t>
      </w:r>
      <w:r w:rsidRPr="00B854A1">
        <w:rPr>
          <w:rFonts w:ascii="Arial" w:hAnsi="Arial" w:cs="Arial"/>
          <w:color w:val="000000" w:themeColor="text1"/>
        </w:rPr>
        <w:t xml:space="preserve"> first) and the alternative case where </w:t>
      </w:r>
      <w:r w:rsidRPr="00B854A1">
        <w:rPr>
          <w:rFonts w:ascii="Arial" w:hAnsi="Arial" w:cs="Arial"/>
          <w:i/>
          <w:color w:val="000000" w:themeColor="text1"/>
        </w:rPr>
        <w:t>JAK2</w:t>
      </w:r>
      <w:r w:rsidRPr="00B854A1">
        <w:rPr>
          <w:rFonts w:ascii="Arial" w:hAnsi="Arial" w:cs="Arial"/>
          <w:color w:val="000000" w:themeColor="text1"/>
        </w:rPr>
        <w:t xml:space="preserve"> is mutated first. We determine phenotype values </w:t>
      </w:r>
      <w:r w:rsidRPr="00CD423A">
        <w:rPr>
          <w:rFonts w:ascii="Arial" w:hAnsi="Arial" w:cs="Arial"/>
          <w:color w:val="000000"/>
        </w:rPr>
        <w:t xml:space="preserve">using literature for the single mutants and Ortmann et al </w:t>
      </w:r>
      <w:r w:rsidRPr="005D547F">
        <w:rPr>
          <w:rFonts w:ascii="Arial" w:hAnsi="Arial" w:cs="Arial"/>
          <w:color w:val="000000"/>
        </w:rPr>
        <w:t>[</w:t>
      </w:r>
      <w:r w:rsidRPr="005D547F">
        <w:rPr>
          <w:rFonts w:ascii="Arial" w:hAnsi="Arial" w:cs="Arial"/>
          <w:color w:val="000000"/>
        </w:rPr>
        <w:fldChar w:fldCharType="begin"/>
      </w:r>
      <w:r w:rsidRPr="005D547F">
        <w:rPr>
          <w:rFonts w:ascii="Arial" w:hAnsi="Arial" w:cs="Arial"/>
          <w:color w:val="000000"/>
        </w:rPr>
        <w:instrText xml:space="preserve"> REF BIB_ortmann2015effect \* MERGEFORMAT </w:instrText>
      </w:r>
      <w:r w:rsidRPr="005D547F">
        <w:rPr>
          <w:rFonts w:ascii="Arial" w:hAnsi="Arial" w:cs="Arial"/>
          <w:color w:val="000000"/>
        </w:rPr>
        <w:fldChar w:fldCharType="separate"/>
      </w:r>
      <w:r w:rsidRPr="005D547F">
        <w:rPr>
          <w:rFonts w:ascii="Arial" w:hAnsi="Arial" w:cs="Arial"/>
          <w:color w:val="000000"/>
        </w:rPr>
        <w:t>13</w:t>
      </w:r>
      <w:r w:rsidRPr="005D547F">
        <w:rPr>
          <w:rFonts w:ascii="Arial" w:hAnsi="Arial" w:cs="Arial"/>
          <w:color w:val="000000"/>
        </w:rPr>
        <w:fldChar w:fldCharType="end"/>
      </w:r>
      <w:r w:rsidRPr="005D547F">
        <w:rPr>
          <w:rFonts w:ascii="Arial" w:hAnsi="Arial" w:cs="Arial"/>
          <w:color w:val="000000"/>
        </w:rPr>
        <w:t>]</w:t>
      </w:r>
      <w:r w:rsidRPr="00CD423A">
        <w:rPr>
          <w:rFonts w:ascii="Arial" w:hAnsi="Arial" w:cs="Arial"/>
          <w:color w:val="000000"/>
        </w:rPr>
        <w:t xml:space="preserve"> for the double mutants. The value 1 represents the healthy state, 0 the lowered/inactive state and 2 the overactive state.</w:t>
      </w:r>
    </w:p>
    <w:p w14:paraId="0756C728" w14:textId="77777777" w:rsidR="00C160A8" w:rsidRPr="00CD423A" w:rsidRDefault="00C160A8" w:rsidP="00C160A8">
      <w:pPr>
        <w:spacing w:after="160" w:line="480" w:lineRule="auto"/>
        <w:jc w:val="both"/>
        <w:rPr>
          <w:rFonts w:ascii="Arial" w:hAnsi="Arial" w:cs="Arial"/>
          <w:color w:val="000000"/>
        </w:rPr>
      </w:pPr>
    </w:p>
    <w:p w14:paraId="419B4DCC" w14:textId="77777777" w:rsidR="00C160A8" w:rsidRDefault="00C160A8" w:rsidP="00DB48C8">
      <w:pPr>
        <w:keepNext/>
        <w:pBdr>
          <w:top w:val="nil"/>
          <w:left w:val="nil"/>
          <w:bottom w:val="nil"/>
          <w:right w:val="nil"/>
          <w:between w:val="nil"/>
        </w:pBdr>
        <w:spacing w:before="240" w:after="60" w:line="480" w:lineRule="auto"/>
        <w:jc w:val="both"/>
        <w:rPr>
          <w:rFonts w:ascii="Arial" w:hAnsi="Arial" w:cs="Arial"/>
          <w:b/>
          <w:color w:val="000000"/>
        </w:rPr>
      </w:pPr>
    </w:p>
    <w:p w14:paraId="4798AEB4" w14:textId="5818829D" w:rsidR="00A951F1" w:rsidRDefault="005B208E" w:rsidP="00DB48C8">
      <w:pPr>
        <w:keepNext/>
        <w:pBdr>
          <w:top w:val="nil"/>
          <w:left w:val="nil"/>
          <w:bottom w:val="nil"/>
          <w:right w:val="nil"/>
          <w:between w:val="nil"/>
        </w:pBdr>
        <w:spacing w:before="240" w:after="60" w:line="480" w:lineRule="auto"/>
        <w:jc w:val="both"/>
        <w:rPr>
          <w:rFonts w:ascii="Arial" w:hAnsi="Arial" w:cs="Arial"/>
          <w:b/>
          <w:color w:val="000000"/>
        </w:rPr>
      </w:pPr>
      <w:r w:rsidRPr="00CD423A">
        <w:rPr>
          <w:rFonts w:ascii="Arial" w:hAnsi="Arial" w:cs="Arial"/>
          <w:b/>
          <w:color w:val="000000"/>
        </w:rPr>
        <w:t>Figure</w:t>
      </w:r>
      <w:r w:rsidR="00C160A8">
        <w:rPr>
          <w:rFonts w:ascii="Arial" w:hAnsi="Arial" w:cs="Arial"/>
          <w:b/>
          <w:color w:val="000000"/>
        </w:rPr>
        <w:t xml:space="preserve"> </w:t>
      </w:r>
      <w:r w:rsidR="00E44E96">
        <w:rPr>
          <w:rFonts w:ascii="Arial" w:hAnsi="Arial" w:cs="Arial"/>
          <w:b/>
          <w:color w:val="000000"/>
        </w:rPr>
        <w:t>legends</w:t>
      </w:r>
    </w:p>
    <w:p w14:paraId="59719CB6" w14:textId="2C5B1F11" w:rsidR="00A951F1" w:rsidRDefault="00A951F1">
      <w:pPr>
        <w:spacing w:after="160" w:line="259" w:lineRule="auto"/>
        <w:rPr>
          <w:rFonts w:ascii="Arial" w:hAnsi="Arial" w:cs="Arial"/>
          <w:b/>
          <w:color w:val="000000" w:themeColor="text1"/>
        </w:rPr>
      </w:pPr>
    </w:p>
    <w:p w14:paraId="0B1F75AE" w14:textId="35FA243D" w:rsidR="00A951F1" w:rsidRPr="00454F24" w:rsidRDefault="00325881" w:rsidP="00325881">
      <w:pPr>
        <w:spacing w:after="160" w:line="480" w:lineRule="auto"/>
        <w:rPr>
          <w:rFonts w:ascii="Arial" w:hAnsi="Arial" w:cs="Arial"/>
          <w:b/>
          <w:color w:val="000000"/>
        </w:rPr>
      </w:pPr>
      <w:r w:rsidRPr="00325881">
        <w:rPr>
          <w:rFonts w:ascii="Arial" w:hAnsi="Arial" w:cs="Arial"/>
          <w:b/>
          <w:color w:val="70AD47" w:themeColor="accent6"/>
        </w:rPr>
        <w:t xml:space="preserve">Figure 1. Temporal mutation order has clinical implications in Myeloproliferative Neoplasms. </w:t>
      </w:r>
      <w:r w:rsidRPr="00325881">
        <w:rPr>
          <w:rFonts w:ascii="Arial" w:hAnsi="Arial" w:cs="Arial"/>
          <w:b/>
          <w:bCs/>
          <w:color w:val="70AD47" w:themeColor="accent6"/>
        </w:rPr>
        <w:t>CMPs: common myeloid progenitors.</w:t>
      </w:r>
      <w:r w:rsidR="00B827CA">
        <w:rPr>
          <w:rFonts w:ascii="Arial" w:hAnsi="Arial" w:cs="Arial"/>
          <w:bCs/>
          <w:i/>
          <w:iCs/>
          <w:color w:val="70AD47" w:themeColor="accent6"/>
        </w:rPr>
        <w:t xml:space="preserve"> </w:t>
      </w:r>
      <w:r w:rsidR="003C6C94">
        <w:rPr>
          <w:rFonts w:ascii="Arial" w:hAnsi="Arial" w:cs="Arial"/>
          <w:bCs/>
          <w:color w:val="70AD47" w:themeColor="accent6"/>
        </w:rPr>
        <w:t>Both of the genes JAK2 and TET2 are mutated in myeloproliferative neoplasms</w:t>
      </w:r>
      <w:r w:rsidR="002E3B75">
        <w:rPr>
          <w:rFonts w:ascii="Arial" w:hAnsi="Arial" w:cs="Arial"/>
          <w:bCs/>
          <w:color w:val="70AD47" w:themeColor="accent6"/>
        </w:rPr>
        <w:t xml:space="preserve">, but different orders of the mutation can lead to </w:t>
      </w:r>
      <w:r w:rsidR="00FE3E3D">
        <w:rPr>
          <w:rFonts w:ascii="Arial" w:hAnsi="Arial" w:cs="Arial"/>
          <w:bCs/>
          <w:color w:val="70AD47" w:themeColor="accent6"/>
        </w:rPr>
        <w:t>distinct changes in the cell types that expand, drug sensitivity, and time of presentation in the clinic.</w:t>
      </w:r>
      <w:r w:rsidR="00A951F1" w:rsidRPr="00454F24">
        <w:rPr>
          <w:rFonts w:ascii="Arial" w:hAnsi="Arial" w:cs="Arial"/>
          <w:b/>
          <w:color w:val="000000"/>
        </w:rPr>
        <w:br w:type="page"/>
      </w:r>
    </w:p>
    <w:p w14:paraId="5F9D44D5" w14:textId="77777777" w:rsidR="005B208E" w:rsidRPr="00CD423A" w:rsidRDefault="005B208E" w:rsidP="00DB48C8">
      <w:pPr>
        <w:keepNext/>
        <w:pBdr>
          <w:top w:val="nil"/>
          <w:left w:val="nil"/>
          <w:bottom w:val="nil"/>
          <w:right w:val="nil"/>
          <w:between w:val="nil"/>
        </w:pBdr>
        <w:spacing w:before="240" w:after="60" w:line="480" w:lineRule="auto"/>
        <w:jc w:val="both"/>
        <w:rPr>
          <w:rFonts w:ascii="Arial" w:hAnsi="Arial" w:cs="Arial"/>
          <w:b/>
          <w:color w:val="000000"/>
        </w:rPr>
      </w:pPr>
    </w:p>
    <w:p w14:paraId="73E091D2" w14:textId="03F74B46" w:rsidR="00B40077" w:rsidRDefault="00B40077" w:rsidP="00DB48C8">
      <w:pPr>
        <w:keepNext/>
        <w:pBdr>
          <w:top w:val="nil"/>
          <w:left w:val="nil"/>
          <w:bottom w:val="nil"/>
          <w:right w:val="nil"/>
          <w:between w:val="nil"/>
        </w:pBdr>
        <w:spacing w:before="240" w:after="60" w:line="480" w:lineRule="auto"/>
        <w:contextualSpacing/>
        <w:jc w:val="both"/>
        <w:rPr>
          <w:rFonts w:ascii="Arial" w:hAnsi="Arial" w:cs="Arial"/>
          <w:b/>
          <w:color w:val="000000"/>
        </w:rPr>
      </w:pPr>
    </w:p>
    <w:p w14:paraId="3413D441" w14:textId="62D45FB0" w:rsidR="005B208E" w:rsidRPr="00CD423A" w:rsidRDefault="006263AA" w:rsidP="00DB48C8">
      <w:pPr>
        <w:keepNext/>
        <w:pBdr>
          <w:top w:val="nil"/>
          <w:left w:val="nil"/>
          <w:bottom w:val="nil"/>
          <w:right w:val="nil"/>
          <w:between w:val="nil"/>
        </w:pBdr>
        <w:spacing w:before="240" w:after="60" w:line="480" w:lineRule="auto"/>
        <w:contextualSpacing/>
        <w:jc w:val="both"/>
      </w:pPr>
      <w:r w:rsidRPr="00B854A1">
        <w:rPr>
          <w:rFonts w:ascii="Arial" w:hAnsi="Arial" w:cs="Arial"/>
          <w:b/>
          <w:color w:val="000000" w:themeColor="text1"/>
        </w:rPr>
        <w:t xml:space="preserve">Figure </w:t>
      </w:r>
      <w:r w:rsidR="00E44E96">
        <w:rPr>
          <w:rFonts w:ascii="Arial" w:hAnsi="Arial" w:cs="Arial"/>
          <w:b/>
          <w:color w:val="000000" w:themeColor="text1"/>
        </w:rPr>
        <w:t>2</w:t>
      </w:r>
      <w:r w:rsidRPr="00B854A1">
        <w:rPr>
          <w:rFonts w:ascii="Arial" w:hAnsi="Arial" w:cs="Arial"/>
          <w:b/>
          <w:color w:val="000000" w:themeColor="text1"/>
        </w:rPr>
        <w:t xml:space="preserve">. </w:t>
      </w:r>
      <w:bookmarkStart w:id="115" w:name="_Hlk73300272"/>
      <w:r w:rsidR="00BF6A1F" w:rsidRPr="00B854A1">
        <w:rPr>
          <w:rFonts w:ascii="Arial" w:hAnsi="Arial" w:cs="Arial"/>
          <w:b/>
          <w:i/>
          <w:color w:val="000000" w:themeColor="text1"/>
        </w:rPr>
        <w:t>HOXA9</w:t>
      </w:r>
      <w:r w:rsidR="00BF6A1F" w:rsidRPr="00B854A1">
        <w:rPr>
          <w:rFonts w:ascii="Arial" w:hAnsi="Arial" w:cs="Arial"/>
          <w:b/>
          <w:color w:val="000000" w:themeColor="text1"/>
        </w:rPr>
        <w:t xml:space="preserve"> low and high expression stratifies patients in AML.</w:t>
      </w:r>
      <w:bookmarkEnd w:id="115"/>
      <w:r w:rsidR="00BF6A1F" w:rsidRPr="00B854A1">
        <w:rPr>
          <w:rFonts w:ascii="Arial" w:hAnsi="Arial" w:cs="Arial"/>
          <w:b/>
          <w:color w:val="000000" w:themeColor="text1"/>
        </w:rPr>
        <w:t xml:space="preserve"> </w:t>
      </w:r>
      <w:r w:rsidR="00C04BBA" w:rsidRPr="00A819B5">
        <w:rPr>
          <w:rFonts w:ascii="Arial" w:hAnsi="Arial" w:cs="Arial"/>
          <w:bCs/>
          <w:color w:val="000000" w:themeColor="text1"/>
        </w:rPr>
        <w:t>(</w:t>
      </w:r>
      <w:r w:rsidR="00A819B5">
        <w:rPr>
          <w:rFonts w:ascii="Arial" w:hAnsi="Arial" w:cs="Arial"/>
          <w:bCs/>
          <w:color w:val="000000" w:themeColor="text1"/>
        </w:rPr>
        <w:t>a</w:t>
      </w:r>
      <w:r w:rsidR="00C04BBA" w:rsidRPr="00A819B5">
        <w:rPr>
          <w:rFonts w:ascii="Arial" w:hAnsi="Arial" w:cs="Arial"/>
          <w:bCs/>
          <w:color w:val="000000" w:themeColor="text1"/>
        </w:rPr>
        <w:t>)</w:t>
      </w:r>
      <w:r w:rsidR="00C04BBA" w:rsidRPr="00B854A1">
        <w:rPr>
          <w:rFonts w:ascii="Arial" w:hAnsi="Arial" w:cs="Arial"/>
          <w:color w:val="000000" w:themeColor="text1"/>
        </w:rPr>
        <w:t xml:space="preserve"> </w:t>
      </w:r>
      <w:r w:rsidR="00BD2352" w:rsidRPr="00B854A1">
        <w:rPr>
          <w:rFonts w:ascii="Arial" w:hAnsi="Arial" w:cs="Arial"/>
          <w:i/>
          <w:color w:val="000000" w:themeColor="text1"/>
        </w:rPr>
        <w:t>HOXA9</w:t>
      </w:r>
      <w:r w:rsidR="00C04BBA" w:rsidRPr="00B854A1">
        <w:rPr>
          <w:rFonts w:ascii="Arial" w:hAnsi="Arial" w:cs="Arial"/>
          <w:color w:val="000000" w:themeColor="text1"/>
        </w:rPr>
        <w:t xml:space="preserve"> expression in AML patients is significantly bimodal (unimodality</w:t>
      </w:r>
      <w:r w:rsidR="00860271" w:rsidRPr="00B854A1">
        <w:rPr>
          <w:rFonts w:ascii="Arial" w:hAnsi="Arial" w:cs="Arial"/>
          <w:color w:val="000000" w:themeColor="text1"/>
        </w:rPr>
        <w:t xml:space="preserve"> test</w:t>
      </w:r>
      <w:r w:rsidR="00C04BBA" w:rsidRPr="00B854A1">
        <w:rPr>
          <w:rFonts w:ascii="Arial" w:hAnsi="Arial" w:cs="Arial"/>
          <w:color w:val="000000" w:themeColor="text1"/>
        </w:rPr>
        <w:t xml:space="preserve"> rejected with </w:t>
      </w:r>
      <m:oMath>
        <m:r>
          <w:rPr>
            <w:rFonts w:ascii="Cambria Math" w:hAnsi="Cambria Math" w:cs="Arial"/>
            <w:color w:val="000000" w:themeColor="text1"/>
          </w:rPr>
          <m:t xml:space="preserve">p&lt;2.2 × </m:t>
        </m:r>
        <m:sSup>
          <m:sSupPr>
            <m:ctrlPr>
              <w:rPr>
                <w:rFonts w:ascii="Cambria Math" w:hAnsi="Cambria Math" w:cs="Arial"/>
                <w:i/>
                <w:color w:val="000000" w:themeColor="text1"/>
              </w:rPr>
            </m:ctrlPr>
          </m:sSupPr>
          <m:e>
            <m:r>
              <w:rPr>
                <w:rFonts w:ascii="Cambria Math" w:hAnsi="Cambria Math" w:cs="Arial"/>
                <w:color w:val="000000" w:themeColor="text1"/>
              </w:rPr>
              <m:t>10</m:t>
            </m:r>
          </m:e>
          <m:sup>
            <m:r>
              <w:rPr>
                <w:rFonts w:ascii="Cambria Math" w:hAnsi="Cambria Math" w:cs="Arial"/>
                <w:color w:val="000000" w:themeColor="text1"/>
              </w:rPr>
              <m:t>-16</m:t>
            </m:r>
          </m:sup>
        </m:sSup>
      </m:oMath>
      <w:r w:rsidR="00C04BBA" w:rsidRPr="00B854A1">
        <w:rPr>
          <w:rFonts w:ascii="Arial" w:hAnsi="Arial" w:cs="Arial"/>
          <w:color w:val="000000" w:themeColor="text1"/>
        </w:rPr>
        <w:t>), suggesting a role as a genetic switch.</w:t>
      </w:r>
      <w:r w:rsidR="00917A36" w:rsidRPr="00B854A1">
        <w:rPr>
          <w:rFonts w:ascii="Arial" w:hAnsi="Arial" w:cs="Arial"/>
          <w:color w:val="000000" w:themeColor="text1"/>
        </w:rPr>
        <w:t xml:space="preserve"> The low peak consists of 31 patients for</w:t>
      </w:r>
      <w:r w:rsidR="00917A36" w:rsidRPr="00B854A1">
        <w:rPr>
          <w:rFonts w:ascii="Arial" w:hAnsi="Arial" w:cs="Arial"/>
          <w:i/>
          <w:color w:val="000000" w:themeColor="text1"/>
        </w:rPr>
        <w:t xml:space="preserve"> </w:t>
      </w:r>
      <w:r w:rsidR="00A21F5F" w:rsidRPr="00B854A1">
        <w:rPr>
          <w:rFonts w:ascii="Arial" w:hAnsi="Arial" w:cs="Arial"/>
          <w:i/>
          <w:color w:val="000000" w:themeColor="text1"/>
        </w:rPr>
        <w:t>HOXA9</w:t>
      </w:r>
      <w:r w:rsidR="00A21F5F" w:rsidRPr="00B854A1">
        <w:rPr>
          <w:rFonts w:ascii="Arial" w:hAnsi="Arial" w:cs="Arial"/>
          <w:color w:val="000000" w:themeColor="text1"/>
        </w:rPr>
        <w:t xml:space="preserve"> expression</w:t>
      </w:r>
      <w:r w:rsidR="00917A36" w:rsidRPr="00B854A1">
        <w:rPr>
          <w:rFonts w:ascii="Arial" w:hAnsi="Arial" w:cs="Arial"/>
          <w:color w:val="000000" w:themeColor="text1"/>
        </w:rPr>
        <w:t xml:space="preserve"> between 0.005-1 log(TPM+1) and 80 patients in the high peak – 4-5.5 log(TPM+1).</w:t>
      </w:r>
      <w:r w:rsidR="00C04BBA" w:rsidRPr="00B854A1">
        <w:rPr>
          <w:rFonts w:ascii="Arial" w:hAnsi="Arial" w:cs="Arial"/>
          <w:color w:val="000000" w:themeColor="text1"/>
        </w:rPr>
        <w:t xml:space="preserve"> </w:t>
      </w:r>
      <w:r w:rsidR="00C04BBA" w:rsidRPr="00A819B5">
        <w:rPr>
          <w:rFonts w:ascii="Arial" w:hAnsi="Arial" w:cs="Arial"/>
          <w:bCs/>
          <w:color w:val="000000" w:themeColor="text1"/>
        </w:rPr>
        <w:t>(</w:t>
      </w:r>
      <w:r w:rsidR="00A819B5" w:rsidRPr="00A819B5">
        <w:rPr>
          <w:rFonts w:ascii="Arial" w:hAnsi="Arial" w:cs="Arial"/>
          <w:bCs/>
          <w:color w:val="000000" w:themeColor="text1"/>
        </w:rPr>
        <w:t>b</w:t>
      </w:r>
      <w:r w:rsidR="00C04BBA" w:rsidRPr="00A819B5">
        <w:rPr>
          <w:rFonts w:ascii="Arial" w:hAnsi="Arial" w:cs="Arial"/>
          <w:bCs/>
          <w:color w:val="000000" w:themeColor="text1"/>
        </w:rPr>
        <w:t>)</w:t>
      </w:r>
      <w:r w:rsidR="00C04BBA" w:rsidRPr="00B854A1">
        <w:rPr>
          <w:rFonts w:ascii="Arial" w:hAnsi="Arial" w:cs="Arial"/>
          <w:color w:val="000000" w:themeColor="text1"/>
        </w:rPr>
        <w:t xml:space="preserve"> </w:t>
      </w:r>
      <w:bookmarkStart w:id="116" w:name="_Hlk73215386"/>
      <w:r w:rsidR="00BD2352" w:rsidRPr="00B854A1">
        <w:rPr>
          <w:rFonts w:ascii="Arial" w:hAnsi="Arial" w:cs="Arial"/>
          <w:i/>
          <w:color w:val="000000" w:themeColor="text1"/>
        </w:rPr>
        <w:t>HOXA9</w:t>
      </w:r>
      <w:r w:rsidR="00C04BBA" w:rsidRPr="00B854A1">
        <w:rPr>
          <w:rFonts w:ascii="Arial" w:hAnsi="Arial" w:cs="Arial"/>
          <w:color w:val="000000" w:themeColor="text1"/>
        </w:rPr>
        <w:t xml:space="preserve"> </w:t>
      </w:r>
      <w:r w:rsidR="00860271" w:rsidRPr="00B854A1">
        <w:rPr>
          <w:rFonts w:ascii="Arial" w:hAnsi="Arial" w:cs="Arial"/>
          <w:color w:val="000000" w:themeColor="text1"/>
        </w:rPr>
        <w:t>high and low cohorts</w:t>
      </w:r>
      <w:r w:rsidR="00C04BBA" w:rsidRPr="00B854A1">
        <w:rPr>
          <w:rFonts w:ascii="Arial" w:hAnsi="Arial" w:cs="Arial"/>
          <w:color w:val="000000" w:themeColor="text1"/>
        </w:rPr>
        <w:t xml:space="preserve"> </w:t>
      </w:r>
      <w:r w:rsidR="00860271" w:rsidRPr="00B854A1">
        <w:rPr>
          <w:rFonts w:ascii="Arial" w:hAnsi="Arial" w:cs="Arial"/>
          <w:color w:val="000000" w:themeColor="text1"/>
        </w:rPr>
        <w:t>have</w:t>
      </w:r>
      <w:r w:rsidR="00C04BBA" w:rsidRPr="00B854A1">
        <w:rPr>
          <w:rFonts w:ascii="Arial" w:hAnsi="Arial" w:cs="Arial"/>
          <w:color w:val="000000" w:themeColor="text1"/>
        </w:rPr>
        <w:t xml:space="preserve"> </w:t>
      </w:r>
      <w:r w:rsidR="00744717" w:rsidRPr="00B854A1">
        <w:rPr>
          <w:rFonts w:ascii="Arial" w:hAnsi="Arial" w:cs="Arial"/>
          <w:color w:val="000000" w:themeColor="text1"/>
        </w:rPr>
        <w:t>divergent</w:t>
      </w:r>
      <w:r w:rsidR="00C04BBA" w:rsidRPr="00B854A1">
        <w:rPr>
          <w:rFonts w:ascii="Arial" w:hAnsi="Arial" w:cs="Arial"/>
          <w:color w:val="000000" w:themeColor="text1"/>
        </w:rPr>
        <w:t xml:space="preserve"> AML prognosis,</w:t>
      </w:r>
      <w:bookmarkEnd w:id="116"/>
      <w:r w:rsidR="00C04BBA" w:rsidRPr="00B854A1">
        <w:rPr>
          <w:rFonts w:ascii="Arial" w:hAnsi="Arial" w:cs="Arial"/>
          <w:color w:val="000000" w:themeColor="text1"/>
        </w:rPr>
        <w:t xml:space="preserve"> consistent with known</w:t>
      </w:r>
      <w:r w:rsidR="00744717" w:rsidRPr="00B854A1">
        <w:rPr>
          <w:rFonts w:ascii="Arial" w:hAnsi="Arial" w:cs="Arial"/>
          <w:color w:val="000000" w:themeColor="text1"/>
        </w:rPr>
        <w:t xml:space="preserve"> </w:t>
      </w:r>
      <w:r w:rsidR="00BD2352" w:rsidRPr="00B854A1">
        <w:rPr>
          <w:rFonts w:ascii="Arial" w:hAnsi="Arial" w:cs="Arial"/>
          <w:i/>
          <w:color w:val="000000" w:themeColor="text1"/>
        </w:rPr>
        <w:t>HOXA9</w:t>
      </w:r>
      <w:r w:rsidR="00C04BBA" w:rsidRPr="00B854A1">
        <w:rPr>
          <w:rFonts w:ascii="Arial" w:hAnsi="Arial" w:cs="Arial"/>
          <w:color w:val="000000" w:themeColor="text1"/>
        </w:rPr>
        <w:t xml:space="preserve"> biolog</w:t>
      </w:r>
      <w:r w:rsidR="00744717" w:rsidRPr="00B854A1">
        <w:rPr>
          <w:rFonts w:ascii="Arial" w:hAnsi="Arial" w:cs="Arial"/>
          <w:color w:val="000000" w:themeColor="text1"/>
        </w:rPr>
        <w:t>y in AML</w:t>
      </w:r>
      <w:r w:rsidR="00DF78B7">
        <w:rPr>
          <w:rFonts w:ascii="Arial" w:hAnsi="Arial" w:cs="Arial"/>
          <w:color w:val="000000" w:themeColor="text1"/>
        </w:rPr>
        <w:t xml:space="preserve"> (</w:t>
      </w:r>
      <w:r w:rsidR="00DF78B7" w:rsidRPr="00396386">
        <w:rPr>
          <w:rFonts w:ascii="Arial" w:hAnsi="Arial" w:cs="Arial"/>
          <w:color w:val="70AD47" w:themeColor="accent6"/>
        </w:rPr>
        <w:t xml:space="preserve">log-rank test - </w:t>
      </w:r>
      <m:oMath>
        <m:r>
          <w:rPr>
            <w:rFonts w:ascii="Cambria Math" w:hAnsi="Cambria Math" w:cs="Arial"/>
            <w:color w:val="70AD47" w:themeColor="accent6"/>
          </w:rPr>
          <m:t xml:space="preserve">p=6 × </m:t>
        </m:r>
        <m:sSup>
          <m:sSupPr>
            <m:ctrlPr>
              <w:rPr>
                <w:rFonts w:ascii="Cambria Math" w:hAnsi="Cambria Math" w:cs="Arial"/>
                <w:i/>
                <w:color w:val="70AD47" w:themeColor="accent6"/>
              </w:rPr>
            </m:ctrlPr>
          </m:sSupPr>
          <m:e>
            <m:r>
              <w:rPr>
                <w:rFonts w:ascii="Cambria Math" w:hAnsi="Cambria Math" w:cs="Arial"/>
                <w:color w:val="70AD47" w:themeColor="accent6"/>
              </w:rPr>
              <m:t>10</m:t>
            </m:r>
          </m:e>
          <m:sup>
            <m:r>
              <w:rPr>
                <w:rFonts w:ascii="Cambria Math" w:hAnsi="Cambria Math" w:cs="Arial"/>
                <w:color w:val="70AD47" w:themeColor="accent6"/>
              </w:rPr>
              <m:t>-5</m:t>
            </m:r>
          </m:sup>
        </m:sSup>
      </m:oMath>
      <w:r w:rsidR="00DF78B7" w:rsidRPr="00396386">
        <w:rPr>
          <w:rFonts w:ascii="Arial" w:eastAsiaTheme="minorEastAsia" w:hAnsi="Arial" w:cs="Arial"/>
          <w:color w:val="70AD47" w:themeColor="accent6"/>
        </w:rPr>
        <w:t>)</w:t>
      </w:r>
      <w:r w:rsidRPr="00396386">
        <w:rPr>
          <w:rFonts w:ascii="Arial" w:hAnsi="Arial" w:cs="Arial"/>
          <w:color w:val="70AD47" w:themeColor="accent6"/>
        </w:rPr>
        <w:t>.</w:t>
      </w:r>
      <w:r w:rsidR="00744717" w:rsidRPr="00396386">
        <w:rPr>
          <w:rFonts w:ascii="Arial" w:hAnsi="Arial" w:cs="Arial"/>
          <w:color w:val="70AD47" w:themeColor="accent6"/>
        </w:rPr>
        <w:t xml:space="preserve"> </w:t>
      </w:r>
      <w:r w:rsidR="00CC40ED">
        <w:rPr>
          <w:rFonts w:ascii="Arial" w:hAnsi="Arial" w:cs="Arial"/>
          <w:color w:val="000000" w:themeColor="text1"/>
        </w:rPr>
        <w:t>TPM: transcript per million.</w:t>
      </w:r>
      <w:r w:rsidR="0058720E">
        <w:rPr>
          <w:rFonts w:ascii="Arial" w:hAnsi="Arial" w:cs="Arial"/>
          <w:color w:val="000000" w:themeColor="text1"/>
        </w:rPr>
        <w:t xml:space="preserve"> </w:t>
      </w:r>
      <w:r w:rsidR="0058720E" w:rsidRPr="0058720E">
        <w:rPr>
          <w:rFonts w:ascii="Arial" w:hAnsi="Arial" w:cs="Arial"/>
          <w:color w:val="000000" w:themeColor="text1"/>
        </w:rPr>
        <w:t>Source data are provided as a Source Data file.</w:t>
      </w:r>
      <w:r w:rsidR="005B208E" w:rsidRPr="00CD423A">
        <w:br w:type="page"/>
      </w:r>
    </w:p>
    <w:p w14:paraId="77C2A21E" w14:textId="13E18827" w:rsidR="00E8436B" w:rsidRPr="00CD423A" w:rsidRDefault="00E8436B" w:rsidP="00DB48C8">
      <w:pPr>
        <w:keepNext/>
        <w:pBdr>
          <w:top w:val="nil"/>
          <w:left w:val="nil"/>
          <w:bottom w:val="nil"/>
          <w:right w:val="nil"/>
          <w:between w:val="nil"/>
        </w:pBdr>
        <w:spacing w:before="240" w:after="60" w:line="480" w:lineRule="auto"/>
        <w:contextualSpacing/>
        <w:jc w:val="both"/>
        <w:rPr>
          <w:rFonts w:ascii="Arial" w:hAnsi="Arial" w:cs="Arial"/>
          <w:b/>
          <w:color w:val="000000"/>
        </w:rPr>
      </w:pPr>
    </w:p>
    <w:p w14:paraId="00D2574F" w14:textId="562F64F6" w:rsidR="00B10335" w:rsidRDefault="006263AA" w:rsidP="00DB48C8">
      <w:pPr>
        <w:keepNext/>
        <w:pBdr>
          <w:top w:val="nil"/>
          <w:left w:val="nil"/>
          <w:bottom w:val="nil"/>
          <w:right w:val="nil"/>
          <w:between w:val="nil"/>
        </w:pBdr>
        <w:spacing w:before="240" w:after="60" w:line="480" w:lineRule="auto"/>
        <w:contextualSpacing/>
        <w:jc w:val="both"/>
        <w:rPr>
          <w:rFonts w:ascii="Arial" w:hAnsi="Arial" w:cs="Arial"/>
          <w:color w:val="000000" w:themeColor="text1"/>
        </w:rPr>
      </w:pPr>
      <w:r w:rsidRPr="00CD423A">
        <w:rPr>
          <w:rFonts w:ascii="Arial" w:hAnsi="Arial" w:cs="Arial"/>
          <w:b/>
          <w:color w:val="000000"/>
        </w:rPr>
        <w:t xml:space="preserve">Figure </w:t>
      </w:r>
      <w:r w:rsidR="00E44E96">
        <w:rPr>
          <w:rFonts w:ascii="Arial" w:hAnsi="Arial" w:cs="Arial"/>
          <w:b/>
          <w:color w:val="000000"/>
        </w:rPr>
        <w:t>3</w:t>
      </w:r>
      <w:r w:rsidRPr="00CD423A">
        <w:rPr>
          <w:rFonts w:ascii="Arial" w:hAnsi="Arial" w:cs="Arial"/>
          <w:b/>
          <w:color w:val="000000"/>
        </w:rPr>
        <w:t xml:space="preserve">. </w:t>
      </w:r>
      <w:r w:rsidR="00BD2352" w:rsidRPr="00CD423A">
        <w:rPr>
          <w:rFonts w:ascii="Arial" w:hAnsi="Arial" w:cs="Arial"/>
          <w:b/>
          <w:i/>
          <w:color w:val="000000"/>
        </w:rPr>
        <w:t>HOXA9</w:t>
      </w:r>
      <w:r w:rsidR="00061D05" w:rsidRPr="00CD423A">
        <w:rPr>
          <w:rFonts w:ascii="Arial" w:hAnsi="Arial" w:cs="Arial"/>
          <w:b/>
          <w:color w:val="000000"/>
        </w:rPr>
        <w:t xml:space="preserve"> determines cancer cell fates in MPN diseases with </w:t>
      </w:r>
      <w:r w:rsidR="00BD2352" w:rsidRPr="00CD423A">
        <w:rPr>
          <w:rFonts w:ascii="Arial" w:hAnsi="Arial" w:cs="Arial"/>
          <w:b/>
          <w:i/>
          <w:color w:val="000000"/>
        </w:rPr>
        <w:t>JAK2</w:t>
      </w:r>
      <w:r w:rsidR="00061D05" w:rsidRPr="00CD423A">
        <w:rPr>
          <w:rFonts w:ascii="Arial" w:hAnsi="Arial" w:cs="Arial"/>
          <w:b/>
          <w:color w:val="000000"/>
        </w:rPr>
        <w:t xml:space="preserve"> and </w:t>
      </w:r>
      <w:r w:rsidR="00BD2352" w:rsidRPr="00CD423A">
        <w:rPr>
          <w:rFonts w:ascii="Arial" w:hAnsi="Arial" w:cs="Arial"/>
          <w:b/>
          <w:i/>
          <w:color w:val="000000"/>
        </w:rPr>
        <w:t>TET2</w:t>
      </w:r>
      <w:r w:rsidR="00061D05" w:rsidRPr="00CD423A">
        <w:rPr>
          <w:rFonts w:ascii="Arial" w:hAnsi="Arial" w:cs="Arial"/>
          <w:b/>
          <w:color w:val="000000"/>
        </w:rPr>
        <w:t xml:space="preserve"> mutations</w:t>
      </w:r>
      <w:r w:rsidRPr="00CD423A">
        <w:rPr>
          <w:rFonts w:ascii="Arial" w:hAnsi="Arial" w:cs="Arial"/>
          <w:b/>
          <w:color w:val="000000"/>
        </w:rPr>
        <w:t>.</w:t>
      </w:r>
      <w:r w:rsidRPr="00CD423A">
        <w:rPr>
          <w:rFonts w:ascii="Arial" w:hAnsi="Arial" w:cs="Arial"/>
          <w:color w:val="000000"/>
        </w:rPr>
        <w:t xml:space="preserve"> </w:t>
      </w:r>
      <w:r w:rsidR="00481E9B" w:rsidRPr="00481E9B">
        <w:rPr>
          <w:rFonts w:ascii="Arial" w:hAnsi="Arial" w:cs="Arial"/>
          <w:color w:val="000000"/>
        </w:rPr>
        <w:t>(</w:t>
      </w:r>
      <w:r w:rsidR="00A819B5">
        <w:rPr>
          <w:rFonts w:ascii="Arial" w:hAnsi="Arial" w:cs="Arial"/>
          <w:color w:val="000000"/>
        </w:rPr>
        <w:t>a</w:t>
      </w:r>
      <w:r w:rsidR="00481E9B" w:rsidRPr="00481E9B">
        <w:rPr>
          <w:rFonts w:ascii="Arial" w:hAnsi="Arial" w:cs="Arial"/>
          <w:color w:val="000000"/>
        </w:rPr>
        <w:t>) MPN patients with JAK2/TET2 mutations showing different clinical characteristics can be explained by a simple gene motif including a switching property. The model starts from a healthy state on the left (wild type) and sequentially acquires mutations in JAK2 and TET2 genes. The first mutation affects the gene target expression (middle networks) which remains stable when the second mutation appears. The order in which mutations occur impacts on the gene target expression but also the phenotypes, common myeloid progenitor (CMP) expansion and erythroid differentiation (networks on the right). (</w:t>
      </w:r>
      <w:r w:rsidR="00A819B5">
        <w:rPr>
          <w:rFonts w:ascii="Arial" w:hAnsi="Arial" w:cs="Arial"/>
          <w:color w:val="000000"/>
        </w:rPr>
        <w:t>b</w:t>
      </w:r>
      <w:r w:rsidR="00481E9B" w:rsidRPr="00481E9B">
        <w:rPr>
          <w:rFonts w:ascii="Arial" w:hAnsi="Arial" w:cs="Arial"/>
          <w:color w:val="000000"/>
        </w:rPr>
        <w:t>) The JAK2/TET2/HOXA9 molecular network is built with the BioModelAnalyzer (BMA) tool and integrates six output phenotypes: stem cell (SC) self-renewal, CMP expansion, granulocyte-monocyte progenitor (GMP) expansion, GMP differentiation, erythroid differentiation and megakaryocyte-erythroid progenitor (MEP) expansion. The bifurcation analysis identifies two stable states in the double mutant with different phenotype values that fit the mutation order characteristics observed in MPN patients with JAK2 and TET2 mutations. (</w:t>
      </w:r>
      <w:r w:rsidR="00A819B5">
        <w:rPr>
          <w:rFonts w:ascii="Arial" w:hAnsi="Arial" w:cs="Arial"/>
          <w:color w:val="000000"/>
        </w:rPr>
        <w:t>c</w:t>
      </w:r>
      <w:r w:rsidR="00481E9B" w:rsidRPr="00481E9B">
        <w:rPr>
          <w:rFonts w:ascii="Arial" w:hAnsi="Arial" w:cs="Arial"/>
          <w:color w:val="000000"/>
        </w:rPr>
        <w:t>) BioModelAnalyzer simulation shows that RUNX1 expression is unchanged by JAK2 activation mutation following TET2 loss. (</w:t>
      </w:r>
      <w:r w:rsidR="00A819B5">
        <w:rPr>
          <w:rFonts w:ascii="Arial" w:hAnsi="Arial" w:cs="Arial"/>
          <w:color w:val="000000"/>
        </w:rPr>
        <w:t>d</w:t>
      </w:r>
      <w:r w:rsidR="00481E9B" w:rsidRPr="00481E9B">
        <w:rPr>
          <w:rFonts w:ascii="Arial" w:hAnsi="Arial" w:cs="Arial"/>
          <w:color w:val="000000"/>
        </w:rPr>
        <w:t xml:space="preserve">) </w:t>
      </w:r>
      <w:r w:rsidR="00481E9B" w:rsidRPr="00954CD5">
        <w:rPr>
          <w:rFonts w:ascii="Arial" w:hAnsi="Arial" w:cs="Arial"/>
          <w:color w:val="70AD47" w:themeColor="accent6"/>
        </w:rPr>
        <w:t xml:space="preserve">We </w:t>
      </w:r>
      <w:r w:rsidR="00954CD5" w:rsidRPr="00954CD5">
        <w:rPr>
          <w:rFonts w:ascii="Arial" w:hAnsi="Arial" w:cs="Arial"/>
          <w:color w:val="70AD47" w:themeColor="accent6"/>
        </w:rPr>
        <w:t>select</w:t>
      </w:r>
      <w:r w:rsidR="00481E9B" w:rsidRPr="00954CD5">
        <w:rPr>
          <w:rFonts w:ascii="Arial" w:hAnsi="Arial" w:cs="Arial"/>
          <w:color w:val="70AD47" w:themeColor="accent6"/>
        </w:rPr>
        <w:t xml:space="preserve"> AML patients </w:t>
      </w:r>
      <w:r w:rsidR="00954CD5" w:rsidRPr="00954CD5">
        <w:rPr>
          <w:rFonts w:ascii="Arial" w:hAnsi="Arial" w:cs="Arial"/>
          <w:color w:val="70AD47" w:themeColor="accent6"/>
        </w:rPr>
        <w:t>with</w:t>
      </w:r>
      <w:r w:rsidR="00481E9B" w:rsidRPr="00954CD5">
        <w:rPr>
          <w:rFonts w:ascii="Arial" w:hAnsi="Arial" w:cs="Arial"/>
          <w:color w:val="70AD47" w:themeColor="accent6"/>
        </w:rPr>
        <w:t xml:space="preserve"> low</w:t>
      </w:r>
      <w:r w:rsidR="00954CD5" w:rsidRPr="00954CD5">
        <w:rPr>
          <w:rFonts w:ascii="Arial" w:hAnsi="Arial" w:cs="Arial"/>
          <w:color w:val="70AD47" w:themeColor="accent6"/>
        </w:rPr>
        <w:t>est (30)</w:t>
      </w:r>
      <w:r w:rsidR="00481E9B" w:rsidRPr="00954CD5">
        <w:rPr>
          <w:rFonts w:ascii="Arial" w:hAnsi="Arial" w:cs="Arial"/>
          <w:color w:val="70AD47" w:themeColor="accent6"/>
        </w:rPr>
        <w:t xml:space="preserve"> and high</w:t>
      </w:r>
      <w:r w:rsidR="00954CD5" w:rsidRPr="00954CD5">
        <w:rPr>
          <w:rFonts w:ascii="Arial" w:hAnsi="Arial" w:cs="Arial"/>
          <w:color w:val="70AD47" w:themeColor="accent6"/>
        </w:rPr>
        <w:t>est (30)</w:t>
      </w:r>
      <w:r w:rsidR="00481E9B" w:rsidRPr="00954CD5">
        <w:rPr>
          <w:rFonts w:ascii="Arial" w:hAnsi="Arial" w:cs="Arial"/>
          <w:color w:val="70AD47" w:themeColor="accent6"/>
        </w:rPr>
        <w:t xml:space="preserve"> JAK2 express</w:t>
      </w:r>
      <w:r w:rsidR="00954CD5" w:rsidRPr="00954CD5">
        <w:rPr>
          <w:rFonts w:ascii="Arial" w:hAnsi="Arial" w:cs="Arial"/>
          <w:color w:val="70AD47" w:themeColor="accent6"/>
        </w:rPr>
        <w:t>ion</w:t>
      </w:r>
      <w:r w:rsidR="00481E9B" w:rsidRPr="00954CD5">
        <w:rPr>
          <w:rFonts w:ascii="Arial" w:hAnsi="Arial" w:cs="Arial"/>
          <w:color w:val="70AD47" w:themeColor="accent6"/>
        </w:rPr>
        <w:t xml:space="preserve"> for the purpose of classification</w:t>
      </w:r>
      <w:r w:rsidR="00481E9B" w:rsidRPr="00481E9B">
        <w:rPr>
          <w:rFonts w:ascii="Arial" w:hAnsi="Arial" w:cs="Arial"/>
          <w:color w:val="000000"/>
        </w:rPr>
        <w:t xml:space="preserve">. Ranking of major cancer pathways determine the RTK-RAS pathway as the most correlated to JAK2. This pathway contains JAK2 and so this </w:t>
      </w:r>
      <w:r w:rsidR="00481E9B" w:rsidRPr="00481E9B">
        <w:rPr>
          <w:rFonts w:ascii="Arial" w:hAnsi="Arial" w:cs="Arial"/>
          <w:color w:val="000000"/>
        </w:rPr>
        <w:lastRenderedPageBreak/>
        <w:t>result is as expected. The second pathway is NOTCH. The overall accuracy of the pathway is computed with the Matthews Correlation Coefficient. Box plots represent interquartile range and whiskers 1.5 * IQR. (</w:t>
      </w:r>
      <w:r w:rsidR="00A819B5">
        <w:rPr>
          <w:rFonts w:ascii="Arial" w:hAnsi="Arial" w:cs="Arial"/>
          <w:color w:val="000000"/>
        </w:rPr>
        <w:t>e</w:t>
      </w:r>
      <w:r w:rsidR="00481E9B" w:rsidRPr="00481E9B">
        <w:rPr>
          <w:rFonts w:ascii="Arial" w:hAnsi="Arial" w:cs="Arial"/>
          <w:color w:val="000000"/>
        </w:rPr>
        <w:t xml:space="preserve">) We plot SHapley Additive exPlanations (SHAP) </w:t>
      </w:r>
      <w:r w:rsidR="00B02547">
        <w:rPr>
          <w:rFonts w:ascii="Arial" w:hAnsi="Arial" w:cs="Arial"/>
          <w:color w:val="70AD47" w:themeColor="accent6"/>
        </w:rPr>
        <w:t>mean score</w:t>
      </w:r>
      <w:r w:rsidR="003A1208" w:rsidRPr="003A1208">
        <w:rPr>
          <w:rFonts w:ascii="Arial" w:hAnsi="Arial" w:cs="Arial"/>
          <w:color w:val="70AD47" w:themeColor="accent6"/>
        </w:rPr>
        <w:t xml:space="preserve"> of each model</w:t>
      </w:r>
      <w:r w:rsidR="00481E9B" w:rsidRPr="003A1208">
        <w:rPr>
          <w:rFonts w:ascii="Arial" w:hAnsi="Arial" w:cs="Arial"/>
          <w:color w:val="70AD47" w:themeColor="accent6"/>
        </w:rPr>
        <w:t xml:space="preserve"> </w:t>
      </w:r>
      <w:r w:rsidR="00481E9B" w:rsidRPr="00481E9B">
        <w:rPr>
          <w:rFonts w:ascii="Arial" w:hAnsi="Arial" w:cs="Arial"/>
          <w:color w:val="000000"/>
        </w:rPr>
        <w:t>for the NOTCH pathway to determine which genes of the pathway have been important classifiers, that is genes with an important expression correlation with JAK2. (</w:t>
      </w:r>
      <w:r w:rsidR="00A819B5">
        <w:rPr>
          <w:rFonts w:ascii="Arial" w:hAnsi="Arial" w:cs="Arial"/>
          <w:color w:val="000000"/>
        </w:rPr>
        <w:t>f</w:t>
      </w:r>
      <w:r w:rsidR="00481E9B" w:rsidRPr="00481E9B">
        <w:rPr>
          <w:rFonts w:ascii="Arial" w:hAnsi="Arial" w:cs="Arial"/>
          <w:color w:val="000000"/>
        </w:rPr>
        <w:t xml:space="preserve">) The heatmap of the NOTCH pathway and HOXA family generated using MPN microarray datasets from </w:t>
      </w:r>
      <w:r w:rsidR="005D547F" w:rsidRPr="00B854A1">
        <w:rPr>
          <w:rFonts w:ascii="Arial" w:hAnsi="Arial" w:cs="Arial"/>
          <w:color w:val="000000" w:themeColor="text1"/>
        </w:rPr>
        <w:t>[</w:t>
      </w:r>
      <w:r w:rsidR="005D547F" w:rsidRPr="00B854A1">
        <w:rPr>
          <w:rFonts w:ascii="Arial" w:hAnsi="Arial" w:cs="Arial"/>
          <w:color w:val="000000" w:themeColor="text1"/>
        </w:rPr>
        <w:fldChar w:fldCharType="begin"/>
      </w:r>
      <w:r w:rsidR="005D547F" w:rsidRPr="00B854A1">
        <w:rPr>
          <w:rFonts w:ascii="Arial" w:hAnsi="Arial" w:cs="Arial"/>
          <w:color w:val="000000" w:themeColor="text1"/>
        </w:rPr>
        <w:instrText xml:space="preserve"> REF BIB_chen2015distinct \* MERGEFORMAT </w:instrText>
      </w:r>
      <w:r w:rsidR="005D547F" w:rsidRPr="00B854A1">
        <w:rPr>
          <w:rFonts w:ascii="Arial" w:hAnsi="Arial" w:cs="Arial"/>
          <w:color w:val="000000" w:themeColor="text1"/>
        </w:rPr>
        <w:fldChar w:fldCharType="separate"/>
      </w:r>
      <w:r w:rsidR="005D547F" w:rsidRPr="00B854A1">
        <w:rPr>
          <w:rFonts w:ascii="Arial" w:hAnsi="Arial" w:cs="Arial"/>
          <w:color w:val="000000" w:themeColor="text1"/>
        </w:rPr>
        <w:t>25</w:t>
      </w:r>
      <w:r w:rsidR="005D547F" w:rsidRPr="00B854A1">
        <w:rPr>
          <w:rFonts w:ascii="Arial" w:hAnsi="Arial" w:cs="Arial"/>
          <w:color w:val="000000" w:themeColor="text1"/>
        </w:rPr>
        <w:fldChar w:fldCharType="end"/>
      </w:r>
      <w:r w:rsidR="005D547F" w:rsidRPr="00B854A1">
        <w:rPr>
          <w:rFonts w:ascii="Arial" w:hAnsi="Arial" w:cs="Arial"/>
          <w:color w:val="000000" w:themeColor="text1"/>
        </w:rPr>
        <w:t>]</w:t>
      </w:r>
      <w:r w:rsidR="009D53A8" w:rsidRPr="00B854A1">
        <w:rPr>
          <w:rFonts w:ascii="Arial" w:hAnsi="Arial" w:cs="Arial"/>
          <w:color w:val="000000" w:themeColor="text1"/>
        </w:rPr>
        <w:t xml:space="preserve"> </w:t>
      </w:r>
      <w:r w:rsidR="00481E9B" w:rsidRPr="00481E9B">
        <w:rPr>
          <w:rFonts w:ascii="Arial" w:hAnsi="Arial" w:cs="Arial"/>
          <w:color w:val="000000" w:themeColor="text1"/>
        </w:rPr>
        <w:t>validate NOTCH expression in our model. HOXA heatmap confirms HOXA bimodality. "JAK2" and "TET2" refer to the single mutant mouse models, "DM" the double mutant with JAK2 mutated first</w:t>
      </w:r>
      <w:r w:rsidR="00AC5C7E">
        <w:rPr>
          <w:rFonts w:ascii="Arial" w:hAnsi="Arial" w:cs="Arial"/>
          <w:color w:val="000000" w:themeColor="text1"/>
        </w:rPr>
        <w:t xml:space="preserve"> and</w:t>
      </w:r>
      <w:r w:rsidR="00481E9B" w:rsidRPr="00481E9B">
        <w:rPr>
          <w:rFonts w:ascii="Arial" w:hAnsi="Arial" w:cs="Arial"/>
          <w:color w:val="000000" w:themeColor="text1"/>
        </w:rPr>
        <w:t xml:space="preserve"> "WT" </w:t>
      </w:r>
      <w:r w:rsidR="00AC5C7E">
        <w:rPr>
          <w:rFonts w:ascii="Arial" w:hAnsi="Arial" w:cs="Arial"/>
          <w:color w:val="000000" w:themeColor="text1"/>
        </w:rPr>
        <w:t xml:space="preserve">the </w:t>
      </w:r>
      <w:r w:rsidR="00481E9B" w:rsidRPr="00481E9B">
        <w:rPr>
          <w:rFonts w:ascii="Arial" w:hAnsi="Arial" w:cs="Arial"/>
          <w:color w:val="000000" w:themeColor="text1"/>
        </w:rPr>
        <w:t>wild type (no mutation) genotype.</w:t>
      </w:r>
      <w:r w:rsidR="0058720E">
        <w:rPr>
          <w:rFonts w:ascii="Arial" w:hAnsi="Arial" w:cs="Arial"/>
          <w:color w:val="000000" w:themeColor="text1"/>
        </w:rPr>
        <w:t xml:space="preserve"> </w:t>
      </w:r>
      <w:r w:rsidR="008636A6" w:rsidRPr="0058720E">
        <w:rPr>
          <w:rFonts w:ascii="Arial" w:hAnsi="Arial" w:cs="Arial"/>
          <w:color w:val="000000" w:themeColor="text1"/>
        </w:rPr>
        <w:t>Source data are provided as a Source Data file.</w:t>
      </w:r>
    </w:p>
    <w:p w14:paraId="520CAE5B" w14:textId="77777777" w:rsidR="00B10335" w:rsidRDefault="00B10335">
      <w:pPr>
        <w:spacing w:after="160" w:line="259" w:lineRule="auto"/>
        <w:rPr>
          <w:rFonts w:ascii="Arial" w:hAnsi="Arial" w:cs="Arial"/>
          <w:color w:val="000000" w:themeColor="text1"/>
        </w:rPr>
      </w:pPr>
      <w:r>
        <w:rPr>
          <w:rFonts w:ascii="Arial" w:hAnsi="Arial" w:cs="Arial"/>
          <w:color w:val="000000" w:themeColor="text1"/>
        </w:rPr>
        <w:br w:type="page"/>
      </w:r>
    </w:p>
    <w:p w14:paraId="748DDEAE" w14:textId="3ECDCD8E" w:rsidR="005E0660" w:rsidRDefault="005E0660" w:rsidP="00BD0475">
      <w:pPr>
        <w:keepNext/>
        <w:pBdr>
          <w:top w:val="nil"/>
          <w:left w:val="nil"/>
          <w:bottom w:val="nil"/>
          <w:right w:val="nil"/>
          <w:between w:val="nil"/>
        </w:pBdr>
        <w:spacing w:before="240" w:after="60" w:line="480" w:lineRule="auto"/>
        <w:contextualSpacing/>
        <w:jc w:val="both"/>
        <w:rPr>
          <w:rFonts w:ascii="Arial" w:hAnsi="Arial" w:cs="Arial"/>
          <w:b/>
          <w:color w:val="70AD47" w:themeColor="accent6"/>
        </w:rPr>
      </w:pPr>
    </w:p>
    <w:p w14:paraId="66C96E51" w14:textId="7B0E276A" w:rsidR="005E0660" w:rsidRPr="005E0660" w:rsidRDefault="005E0660" w:rsidP="005E0660">
      <w:pPr>
        <w:keepNext/>
        <w:pBdr>
          <w:top w:val="nil"/>
          <w:left w:val="nil"/>
          <w:bottom w:val="nil"/>
          <w:right w:val="nil"/>
          <w:between w:val="nil"/>
        </w:pBdr>
        <w:spacing w:before="240" w:after="60" w:line="480" w:lineRule="auto"/>
        <w:contextualSpacing/>
        <w:jc w:val="both"/>
        <w:rPr>
          <w:rFonts w:ascii="Arial" w:hAnsi="Arial" w:cs="Arial"/>
          <w:color w:val="70AD47" w:themeColor="accent6"/>
          <w:lang w:val="en-AU"/>
        </w:rPr>
      </w:pPr>
      <w:r w:rsidRPr="00BD0475">
        <w:rPr>
          <w:rFonts w:ascii="Arial" w:hAnsi="Arial" w:cs="Arial"/>
          <w:b/>
          <w:color w:val="70AD47" w:themeColor="accent6"/>
        </w:rPr>
        <w:t xml:space="preserve">Figure 4. </w:t>
      </w:r>
      <w:r w:rsidRPr="003749FF">
        <w:rPr>
          <w:rFonts w:ascii="Arial" w:hAnsi="Arial" w:cs="Arial"/>
          <w:b/>
          <w:i/>
          <w:color w:val="70AD47" w:themeColor="accent6"/>
        </w:rPr>
        <w:t>JAK2</w:t>
      </w:r>
      <w:r w:rsidRPr="003749FF">
        <w:rPr>
          <w:rFonts w:ascii="Arial" w:hAnsi="Arial" w:cs="Arial"/>
          <w:b/>
          <w:iCs/>
          <w:color w:val="70AD47" w:themeColor="accent6"/>
        </w:rPr>
        <w:t xml:space="preserve"> activation of </w:t>
      </w:r>
      <w:r w:rsidRPr="003749FF">
        <w:rPr>
          <w:rFonts w:ascii="Arial" w:hAnsi="Arial" w:cs="Arial"/>
          <w:b/>
          <w:i/>
          <w:color w:val="70AD47" w:themeColor="accent6"/>
        </w:rPr>
        <w:t>HOXA9</w:t>
      </w:r>
      <w:r w:rsidRPr="003749FF">
        <w:rPr>
          <w:rFonts w:ascii="Arial" w:hAnsi="Arial" w:cs="Arial"/>
          <w:b/>
          <w:iCs/>
          <w:color w:val="70AD47" w:themeColor="accent6"/>
        </w:rPr>
        <w:t xml:space="preserve"> improves colony survival in response to </w:t>
      </w:r>
      <w:r w:rsidRPr="003749FF">
        <w:rPr>
          <w:rFonts w:ascii="Arial" w:hAnsi="Arial" w:cs="Arial"/>
          <w:b/>
          <w:i/>
          <w:color w:val="70AD47" w:themeColor="accent6"/>
        </w:rPr>
        <w:t>HOXA9</w:t>
      </w:r>
      <w:r w:rsidRPr="003749FF">
        <w:rPr>
          <w:rFonts w:ascii="Arial" w:hAnsi="Arial" w:cs="Arial"/>
          <w:b/>
          <w:iCs/>
          <w:color w:val="70AD47" w:themeColor="accent6"/>
        </w:rPr>
        <w:t xml:space="preserve"> inhibition.</w:t>
      </w:r>
      <w:r w:rsidRPr="00BD0475">
        <w:rPr>
          <w:rFonts w:ascii="Arial" w:hAnsi="Arial" w:cs="Arial"/>
          <w:color w:val="70AD47" w:themeColor="accent6"/>
        </w:rPr>
        <w:t xml:space="preserve"> </w:t>
      </w:r>
      <w:r>
        <w:rPr>
          <w:rFonts w:ascii="Arial" w:hAnsi="Arial" w:cs="Arial"/>
          <w:color w:val="70AD47" w:themeColor="accent6"/>
        </w:rPr>
        <w:t xml:space="preserve">(a) </w:t>
      </w:r>
      <w:r w:rsidRPr="005E0660">
        <w:rPr>
          <w:rFonts w:ascii="Arial" w:hAnsi="Arial" w:cs="Arial"/>
          <w:color w:val="70AD47" w:themeColor="accent6"/>
        </w:rPr>
        <w:t>The ratios of colonies produced per sample expressed as Scrambled:shHOXA9 colony number ratio with means.</w:t>
      </w:r>
      <w:r>
        <w:rPr>
          <w:rFonts w:ascii="Arial" w:hAnsi="Arial" w:cs="Arial"/>
          <w:color w:val="70AD47" w:themeColor="accent6"/>
        </w:rPr>
        <w:t xml:space="preserve"> (b) </w:t>
      </w:r>
      <w:r w:rsidRPr="005E0660">
        <w:rPr>
          <w:rFonts w:ascii="Arial" w:hAnsi="Arial" w:cs="Arial"/>
          <w:color w:val="70AD47" w:themeColor="accent6"/>
          <w:lang w:val="en-AU"/>
        </w:rPr>
        <w:t>The normalised colony count per sample</w:t>
      </w:r>
      <w:r w:rsidR="003A4C9F">
        <w:rPr>
          <w:rFonts w:ascii="Arial" w:hAnsi="Arial" w:cs="Arial"/>
          <w:color w:val="70AD47" w:themeColor="accent6"/>
          <w:lang w:val="en-AU"/>
        </w:rPr>
        <w:t xml:space="preserve"> </w:t>
      </w:r>
      <w:r w:rsidRPr="005E0660">
        <w:rPr>
          <w:rFonts w:ascii="Arial" w:hAnsi="Arial" w:cs="Arial"/>
          <w:color w:val="70AD47" w:themeColor="accent6"/>
          <w:lang w:val="en-AU"/>
        </w:rPr>
        <w:t>and per condition</w:t>
      </w:r>
      <w:r w:rsidR="00DB4AAA">
        <w:rPr>
          <w:rFonts w:ascii="Arial" w:hAnsi="Arial" w:cs="Arial"/>
          <w:color w:val="70AD47" w:themeColor="accent6"/>
          <w:lang w:val="en-AU"/>
        </w:rPr>
        <w:t xml:space="preserve"> with means and interquartile ranges</w:t>
      </w:r>
      <w:r w:rsidR="003A4C9F">
        <w:rPr>
          <w:rFonts w:ascii="Arial" w:hAnsi="Arial" w:cs="Arial"/>
          <w:color w:val="70AD47" w:themeColor="accent6"/>
          <w:lang w:val="en-AU"/>
        </w:rPr>
        <w:t xml:space="preserve"> of the three replicates</w:t>
      </w:r>
      <w:r>
        <w:rPr>
          <w:rFonts w:ascii="Arial" w:hAnsi="Arial" w:cs="Arial"/>
          <w:color w:val="70AD47" w:themeColor="accent6"/>
          <w:lang w:val="en-AU"/>
        </w:rPr>
        <w:t xml:space="preserve">. </w:t>
      </w:r>
      <w:r w:rsidR="00EB31F3" w:rsidRPr="00EB31F3">
        <w:rPr>
          <w:rFonts w:ascii="Arial" w:hAnsi="Arial" w:cs="Arial"/>
          <w:color w:val="70AD47" w:themeColor="accent6"/>
          <w:lang w:val="en-AU"/>
        </w:rPr>
        <w:t>Two-way Anova statistical test</w:t>
      </w:r>
      <w:r w:rsidR="00D35766">
        <w:rPr>
          <w:rFonts w:ascii="Arial" w:hAnsi="Arial" w:cs="Arial"/>
          <w:color w:val="70AD47" w:themeColor="accent6"/>
          <w:lang w:val="en-AU"/>
        </w:rPr>
        <w:t>s</w:t>
      </w:r>
      <w:r w:rsidR="00EB31F3" w:rsidRPr="00EB31F3">
        <w:rPr>
          <w:rFonts w:ascii="Arial" w:hAnsi="Arial" w:cs="Arial"/>
          <w:color w:val="70AD47" w:themeColor="accent6"/>
          <w:lang w:val="en-AU"/>
        </w:rPr>
        <w:t xml:space="preserve"> </w:t>
      </w:r>
      <w:r w:rsidR="00CE2D7A">
        <w:rPr>
          <w:rFonts w:ascii="Arial" w:hAnsi="Arial" w:cs="Arial"/>
          <w:color w:val="70AD47" w:themeColor="accent6"/>
          <w:lang w:val="en-AU"/>
        </w:rPr>
        <w:t>using</w:t>
      </w:r>
      <w:r w:rsidRPr="005E0660">
        <w:rPr>
          <w:rFonts w:ascii="Arial" w:hAnsi="Arial" w:cs="Arial"/>
          <w:color w:val="70AD47" w:themeColor="accent6"/>
          <w:lang w:val="en-AU"/>
        </w:rPr>
        <w:t xml:space="preserve"> multiple </w:t>
      </w:r>
      <w:r w:rsidR="00CE2D7A">
        <w:rPr>
          <w:rFonts w:ascii="Arial" w:hAnsi="Arial" w:cs="Arial"/>
          <w:color w:val="70AD47" w:themeColor="accent6"/>
          <w:lang w:val="en-AU"/>
        </w:rPr>
        <w:t>comparisons with FDR correction</w:t>
      </w:r>
      <w:r>
        <w:rPr>
          <w:rFonts w:ascii="Arial" w:hAnsi="Arial" w:cs="Arial"/>
          <w:color w:val="70AD47" w:themeColor="accent6"/>
          <w:lang w:val="en-AU"/>
        </w:rPr>
        <w:t xml:space="preserve"> indicate a significant </w:t>
      </w:r>
      <w:r w:rsidR="00DB4AAA">
        <w:rPr>
          <w:rFonts w:ascii="Arial" w:hAnsi="Arial" w:cs="Arial"/>
          <w:color w:val="70AD47" w:themeColor="accent6"/>
          <w:lang w:val="en-AU"/>
        </w:rPr>
        <w:t xml:space="preserve">increase of colonies for </w:t>
      </w:r>
      <w:r w:rsidR="00DB4AAA" w:rsidRPr="002D7A9B">
        <w:rPr>
          <w:rFonts w:ascii="Arial" w:hAnsi="Arial" w:cs="Arial"/>
          <w:i/>
          <w:iCs/>
          <w:color w:val="70AD47" w:themeColor="accent6"/>
          <w:lang w:val="en-AU"/>
        </w:rPr>
        <w:t>TET2</w:t>
      </w:r>
      <w:r w:rsidR="00DB4AAA">
        <w:rPr>
          <w:rFonts w:ascii="Arial" w:hAnsi="Arial" w:cs="Arial"/>
          <w:color w:val="70AD47" w:themeColor="accent6"/>
          <w:lang w:val="en-AU"/>
        </w:rPr>
        <w:t xml:space="preserve"> mutant</w:t>
      </w:r>
      <w:r w:rsidR="002D7A9B">
        <w:rPr>
          <w:rFonts w:ascii="Arial" w:hAnsi="Arial" w:cs="Arial"/>
          <w:color w:val="70AD47" w:themeColor="accent6"/>
          <w:lang w:val="en-AU"/>
        </w:rPr>
        <w:t xml:space="preserve"> versus WT cells with shHOXA9</w:t>
      </w:r>
      <w:r w:rsidR="003E4814">
        <w:rPr>
          <w:rFonts w:ascii="Arial" w:hAnsi="Arial" w:cs="Arial"/>
          <w:color w:val="70AD47" w:themeColor="accent6"/>
          <w:lang w:val="en-AU"/>
        </w:rPr>
        <w:t xml:space="preserve"> (</w:t>
      </w:r>
      <m:oMath>
        <m:r>
          <w:rPr>
            <w:rFonts w:ascii="Cambria Math" w:hAnsi="Cambria Math" w:cs="Arial"/>
            <w:color w:val="70AD47" w:themeColor="accent6"/>
            <w:lang w:val="en-AU"/>
          </w:rPr>
          <m:t>q=0.0032)</m:t>
        </m:r>
      </m:oMath>
      <w:r w:rsidR="002D7A9B">
        <w:rPr>
          <w:rFonts w:ascii="Arial" w:hAnsi="Arial" w:cs="Arial"/>
          <w:color w:val="70AD47" w:themeColor="accent6"/>
          <w:lang w:val="en-AU"/>
        </w:rPr>
        <w:t xml:space="preserve"> and</w:t>
      </w:r>
      <w:r w:rsidR="00DB4AAA">
        <w:rPr>
          <w:rFonts w:ascii="Arial" w:hAnsi="Arial" w:cs="Arial"/>
          <w:color w:val="70AD47" w:themeColor="accent6"/>
          <w:lang w:val="en-AU"/>
        </w:rPr>
        <w:t xml:space="preserve"> </w:t>
      </w:r>
      <w:r w:rsidR="00DB4AAA" w:rsidRPr="002D7A9B">
        <w:rPr>
          <w:rFonts w:ascii="Arial" w:hAnsi="Arial" w:cs="Arial"/>
          <w:i/>
          <w:iCs/>
          <w:color w:val="70AD47" w:themeColor="accent6"/>
          <w:lang w:val="en-AU"/>
        </w:rPr>
        <w:t>JAK2</w:t>
      </w:r>
      <w:r w:rsidR="00DB4AAA">
        <w:rPr>
          <w:rFonts w:ascii="Arial" w:hAnsi="Arial" w:cs="Arial"/>
          <w:color w:val="70AD47" w:themeColor="accent6"/>
          <w:lang w:val="en-AU"/>
        </w:rPr>
        <w:t xml:space="preserve"> mutant cell</w:t>
      </w:r>
      <w:r w:rsidR="002D7A9B">
        <w:rPr>
          <w:rFonts w:ascii="Arial" w:hAnsi="Arial" w:cs="Arial"/>
          <w:color w:val="70AD47" w:themeColor="accent6"/>
          <w:lang w:val="en-AU"/>
        </w:rPr>
        <w:t>s</w:t>
      </w:r>
      <w:r w:rsidR="00DB4AAA">
        <w:rPr>
          <w:rFonts w:ascii="Arial" w:hAnsi="Arial" w:cs="Arial"/>
          <w:color w:val="70AD47" w:themeColor="accent6"/>
          <w:lang w:val="en-AU"/>
        </w:rPr>
        <w:t xml:space="preserve"> in </w:t>
      </w:r>
      <w:r w:rsidR="002D7A9B">
        <w:rPr>
          <w:rFonts w:ascii="Arial" w:hAnsi="Arial" w:cs="Arial"/>
          <w:color w:val="70AD47" w:themeColor="accent6"/>
          <w:lang w:val="en-AU"/>
        </w:rPr>
        <w:t xml:space="preserve">both </w:t>
      </w:r>
      <w:r w:rsidR="00DB4AAA">
        <w:rPr>
          <w:rFonts w:ascii="Arial" w:hAnsi="Arial" w:cs="Arial"/>
          <w:color w:val="70AD47" w:themeColor="accent6"/>
          <w:lang w:val="en-AU"/>
        </w:rPr>
        <w:t>WT (</w:t>
      </w:r>
      <m:oMath>
        <m:r>
          <w:rPr>
            <w:rFonts w:ascii="Cambria Math" w:hAnsi="Cambria Math" w:cs="Arial"/>
            <w:color w:val="70AD47" w:themeColor="accent6"/>
            <w:lang w:val="en-AU"/>
          </w:rPr>
          <m:t>q=0.0171</m:t>
        </m:r>
      </m:oMath>
      <w:r w:rsidR="00DB4AAA">
        <w:rPr>
          <w:rFonts w:ascii="Arial" w:hAnsi="Arial" w:cs="Arial"/>
          <w:color w:val="70AD47" w:themeColor="accent6"/>
          <w:lang w:val="en-AU"/>
        </w:rPr>
        <w:t>) and</w:t>
      </w:r>
      <w:r w:rsidR="00DB4AAA" w:rsidRPr="00DB4AAA">
        <w:rPr>
          <w:rFonts w:ascii="Arial" w:hAnsi="Arial" w:cs="Arial"/>
          <w:color w:val="70AD47" w:themeColor="accent6"/>
        </w:rPr>
        <w:t xml:space="preserve"> </w:t>
      </w:r>
      <w:r w:rsidR="00DB4AAA">
        <w:rPr>
          <w:rFonts w:ascii="Arial" w:hAnsi="Arial" w:cs="Arial"/>
          <w:color w:val="70AD47" w:themeColor="accent6"/>
        </w:rPr>
        <w:t xml:space="preserve">in </w:t>
      </w:r>
      <w:r w:rsidR="00DB4AAA" w:rsidRPr="005E0660">
        <w:rPr>
          <w:rFonts w:ascii="Arial" w:hAnsi="Arial" w:cs="Arial"/>
          <w:color w:val="70AD47" w:themeColor="accent6"/>
        </w:rPr>
        <w:t>shHOXA9</w:t>
      </w:r>
      <w:r w:rsidR="00DB4AAA">
        <w:rPr>
          <w:rFonts w:ascii="Arial" w:hAnsi="Arial" w:cs="Arial"/>
          <w:color w:val="70AD47" w:themeColor="accent6"/>
        </w:rPr>
        <w:t xml:space="preserve"> (</w:t>
      </w:r>
      <m:oMath>
        <m:r>
          <w:rPr>
            <w:rFonts w:ascii="Cambria Math" w:hAnsi="Cambria Math" w:cs="Arial"/>
            <w:color w:val="70AD47" w:themeColor="accent6"/>
            <w:lang w:val="en-AU"/>
          </w:rPr>
          <m:t>q=0.0171)</m:t>
        </m:r>
      </m:oMath>
      <w:r w:rsidR="00DB4AAA">
        <w:rPr>
          <w:rFonts w:ascii="Arial" w:eastAsiaTheme="minorEastAsia" w:hAnsi="Arial" w:cs="Arial"/>
          <w:color w:val="70AD47" w:themeColor="accent6"/>
          <w:lang w:val="en-AU"/>
        </w:rPr>
        <w:t xml:space="preserve"> context</w:t>
      </w:r>
      <w:r w:rsidR="002D7A9B">
        <w:rPr>
          <w:rFonts w:ascii="Arial" w:eastAsiaTheme="minorEastAsia" w:hAnsi="Arial" w:cs="Arial"/>
          <w:color w:val="70AD47" w:themeColor="accent6"/>
          <w:lang w:val="en-AU"/>
        </w:rPr>
        <w:t>s</w:t>
      </w:r>
      <w:r w:rsidR="00DB4AAA">
        <w:rPr>
          <w:rFonts w:ascii="Arial" w:eastAsiaTheme="minorEastAsia" w:hAnsi="Arial" w:cs="Arial"/>
          <w:color w:val="70AD47" w:themeColor="accent6"/>
          <w:lang w:val="en-AU"/>
        </w:rPr>
        <w:t>.</w:t>
      </w:r>
      <w:r w:rsidR="008636A6">
        <w:rPr>
          <w:rFonts w:ascii="Arial" w:eastAsiaTheme="minorEastAsia" w:hAnsi="Arial" w:cs="Arial"/>
          <w:color w:val="70AD47" w:themeColor="accent6"/>
          <w:lang w:val="en-AU"/>
        </w:rPr>
        <w:t xml:space="preserve"> </w:t>
      </w:r>
      <w:r w:rsidR="008636A6" w:rsidRPr="0058720E">
        <w:rPr>
          <w:rFonts w:ascii="Arial" w:hAnsi="Arial" w:cs="Arial"/>
          <w:color w:val="000000" w:themeColor="text1"/>
        </w:rPr>
        <w:t>Source data are provided as a Source Data file.</w:t>
      </w:r>
    </w:p>
    <w:p w14:paraId="32A323B2" w14:textId="5899F9C8" w:rsidR="005E0660" w:rsidRPr="005E0660" w:rsidRDefault="005E0660" w:rsidP="005E0660">
      <w:pPr>
        <w:keepNext/>
        <w:pBdr>
          <w:top w:val="nil"/>
          <w:left w:val="nil"/>
          <w:bottom w:val="nil"/>
          <w:right w:val="nil"/>
          <w:between w:val="nil"/>
        </w:pBdr>
        <w:spacing w:before="240" w:after="60" w:line="480" w:lineRule="auto"/>
        <w:contextualSpacing/>
        <w:jc w:val="both"/>
        <w:rPr>
          <w:rFonts w:ascii="Arial" w:hAnsi="Arial" w:cs="Arial"/>
          <w:color w:val="70AD47" w:themeColor="accent6"/>
          <w:lang w:val="en-AU"/>
        </w:rPr>
      </w:pPr>
    </w:p>
    <w:p w14:paraId="2FAD7355" w14:textId="308A5B4A" w:rsidR="001C65C1" w:rsidRDefault="001C65C1" w:rsidP="001C65C1">
      <w:pPr>
        <w:keepNext/>
        <w:pBdr>
          <w:top w:val="nil"/>
          <w:left w:val="nil"/>
          <w:bottom w:val="nil"/>
          <w:right w:val="nil"/>
          <w:between w:val="nil"/>
        </w:pBdr>
        <w:spacing w:before="240" w:after="60" w:line="480" w:lineRule="auto"/>
        <w:contextualSpacing/>
        <w:jc w:val="both"/>
        <w:rPr>
          <w:rFonts w:ascii="Arial" w:hAnsi="Arial" w:cs="Arial"/>
          <w:b/>
        </w:rPr>
      </w:pPr>
    </w:p>
    <w:p w14:paraId="69B761A5" w14:textId="77777777" w:rsidR="006263AA" w:rsidRPr="00B854A1" w:rsidRDefault="006263AA" w:rsidP="00DB48C8">
      <w:pPr>
        <w:keepNext/>
        <w:pBdr>
          <w:top w:val="nil"/>
          <w:left w:val="nil"/>
          <w:bottom w:val="nil"/>
          <w:right w:val="nil"/>
          <w:between w:val="nil"/>
        </w:pBdr>
        <w:spacing w:before="240" w:after="60" w:line="480" w:lineRule="auto"/>
        <w:contextualSpacing/>
        <w:jc w:val="both"/>
        <w:rPr>
          <w:rFonts w:ascii="Arial" w:hAnsi="Arial" w:cs="Arial"/>
          <w:b/>
          <w:color w:val="000000" w:themeColor="text1"/>
        </w:rPr>
      </w:pPr>
    </w:p>
    <w:sectPr w:rsidR="006263AA" w:rsidRPr="00B854A1" w:rsidSect="009051B0">
      <w:footerReference w:type="default" r:id="rId11"/>
      <w:pgSz w:w="11906" w:h="16838"/>
      <w:pgMar w:top="1440" w:right="2880" w:bottom="1440" w:left="288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A106" w14:textId="77777777" w:rsidR="00FE11C7" w:rsidRDefault="00FE11C7" w:rsidP="00054F71">
      <w:pPr>
        <w:spacing w:after="0"/>
      </w:pPr>
      <w:r>
        <w:separator/>
      </w:r>
    </w:p>
  </w:endnote>
  <w:endnote w:type="continuationSeparator" w:id="0">
    <w:p w14:paraId="0B4137F6" w14:textId="77777777" w:rsidR="00FE11C7" w:rsidRDefault="00FE11C7" w:rsidP="00054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050895"/>
      <w:docPartObj>
        <w:docPartGallery w:val="Page Numbers (Bottom of Page)"/>
        <w:docPartUnique/>
      </w:docPartObj>
    </w:sdtPr>
    <w:sdtEndPr>
      <w:rPr>
        <w:noProof/>
      </w:rPr>
    </w:sdtEndPr>
    <w:sdtContent>
      <w:p w14:paraId="3EC71401" w14:textId="0AAFC9C9" w:rsidR="005E0660" w:rsidRDefault="005E06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D8BFFF" w14:textId="77777777" w:rsidR="005E0660" w:rsidRDefault="005E0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FF290" w14:textId="77777777" w:rsidR="00FE11C7" w:rsidRDefault="00FE11C7" w:rsidP="00054F71">
      <w:pPr>
        <w:spacing w:after="0"/>
      </w:pPr>
      <w:r>
        <w:separator/>
      </w:r>
    </w:p>
  </w:footnote>
  <w:footnote w:type="continuationSeparator" w:id="0">
    <w:p w14:paraId="5E99BEDD" w14:textId="77777777" w:rsidR="00FE11C7" w:rsidRDefault="00FE11C7" w:rsidP="00054F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25D"/>
    <w:multiLevelType w:val="hybridMultilevel"/>
    <w:tmpl w:val="5346065E"/>
    <w:lvl w:ilvl="0" w:tplc="3604A9E6">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10B4F"/>
    <w:multiLevelType w:val="hybridMultilevel"/>
    <w:tmpl w:val="E9143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D7860"/>
    <w:multiLevelType w:val="hybridMultilevel"/>
    <w:tmpl w:val="0874981E"/>
    <w:lvl w:ilvl="0" w:tplc="0F126820">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 w15:restartNumberingAfterBreak="0">
    <w:nsid w:val="1F7E4B3F"/>
    <w:multiLevelType w:val="hybridMultilevel"/>
    <w:tmpl w:val="3B9E9F28"/>
    <w:lvl w:ilvl="0" w:tplc="E3A842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C18F8"/>
    <w:multiLevelType w:val="hybridMultilevel"/>
    <w:tmpl w:val="15A22DB4"/>
    <w:lvl w:ilvl="0" w:tplc="28A252D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03C0E"/>
    <w:multiLevelType w:val="hybridMultilevel"/>
    <w:tmpl w:val="3B9E9F28"/>
    <w:lvl w:ilvl="0" w:tplc="E3A842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FA720E"/>
    <w:multiLevelType w:val="hybridMultilevel"/>
    <w:tmpl w:val="B72E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55A42"/>
    <w:multiLevelType w:val="hybridMultilevel"/>
    <w:tmpl w:val="B7140876"/>
    <w:lvl w:ilvl="0" w:tplc="0F126820">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A0410"/>
    <w:multiLevelType w:val="hybridMultilevel"/>
    <w:tmpl w:val="B8C031AE"/>
    <w:lvl w:ilvl="0" w:tplc="CEE60D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1124DD"/>
    <w:multiLevelType w:val="hybridMultilevel"/>
    <w:tmpl w:val="E000F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8"/>
  </w:num>
  <w:num w:numId="5">
    <w:abstractNumId w:val="3"/>
  </w:num>
  <w:num w:numId="6">
    <w:abstractNumId w:val="1"/>
  </w:num>
  <w:num w:numId="7">
    <w:abstractNumId w:val="6"/>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CE6"/>
    <w:rsid w:val="00000980"/>
    <w:rsid w:val="000021B8"/>
    <w:rsid w:val="00002F05"/>
    <w:rsid w:val="00003DAC"/>
    <w:rsid w:val="000042FA"/>
    <w:rsid w:val="00006BFD"/>
    <w:rsid w:val="00007450"/>
    <w:rsid w:val="000117A3"/>
    <w:rsid w:val="000135D3"/>
    <w:rsid w:val="000164C3"/>
    <w:rsid w:val="000175CF"/>
    <w:rsid w:val="000203B1"/>
    <w:rsid w:val="00021A53"/>
    <w:rsid w:val="00022172"/>
    <w:rsid w:val="00022A9B"/>
    <w:rsid w:val="00022FB7"/>
    <w:rsid w:val="000238F7"/>
    <w:rsid w:val="00026828"/>
    <w:rsid w:val="00031F79"/>
    <w:rsid w:val="00035869"/>
    <w:rsid w:val="00035B06"/>
    <w:rsid w:val="000400A7"/>
    <w:rsid w:val="00040BB9"/>
    <w:rsid w:val="00041E6E"/>
    <w:rsid w:val="00043897"/>
    <w:rsid w:val="00043A68"/>
    <w:rsid w:val="00046E35"/>
    <w:rsid w:val="000511B6"/>
    <w:rsid w:val="00051F92"/>
    <w:rsid w:val="00052BB8"/>
    <w:rsid w:val="00054F71"/>
    <w:rsid w:val="000552D6"/>
    <w:rsid w:val="00055B95"/>
    <w:rsid w:val="000562ED"/>
    <w:rsid w:val="000568C1"/>
    <w:rsid w:val="000574F1"/>
    <w:rsid w:val="00061D05"/>
    <w:rsid w:val="00063D28"/>
    <w:rsid w:val="0006473F"/>
    <w:rsid w:val="0006596A"/>
    <w:rsid w:val="000666A5"/>
    <w:rsid w:val="000666E4"/>
    <w:rsid w:val="00067981"/>
    <w:rsid w:val="00070057"/>
    <w:rsid w:val="000711A9"/>
    <w:rsid w:val="0007234A"/>
    <w:rsid w:val="00072A9A"/>
    <w:rsid w:val="00072B70"/>
    <w:rsid w:val="00077476"/>
    <w:rsid w:val="00080A23"/>
    <w:rsid w:val="00086586"/>
    <w:rsid w:val="0009015A"/>
    <w:rsid w:val="00090360"/>
    <w:rsid w:val="0009254B"/>
    <w:rsid w:val="00095169"/>
    <w:rsid w:val="0009572D"/>
    <w:rsid w:val="00095E28"/>
    <w:rsid w:val="000A0364"/>
    <w:rsid w:val="000A5D39"/>
    <w:rsid w:val="000A7665"/>
    <w:rsid w:val="000B0F31"/>
    <w:rsid w:val="000B1035"/>
    <w:rsid w:val="000B11ED"/>
    <w:rsid w:val="000B1B41"/>
    <w:rsid w:val="000B4539"/>
    <w:rsid w:val="000B62BE"/>
    <w:rsid w:val="000C065C"/>
    <w:rsid w:val="000C0F68"/>
    <w:rsid w:val="000C1E17"/>
    <w:rsid w:val="000C31ED"/>
    <w:rsid w:val="000D2A90"/>
    <w:rsid w:val="000D4BE6"/>
    <w:rsid w:val="000E0F8C"/>
    <w:rsid w:val="000E2487"/>
    <w:rsid w:val="000E31A8"/>
    <w:rsid w:val="000E36DD"/>
    <w:rsid w:val="000E3C0D"/>
    <w:rsid w:val="000E3EEA"/>
    <w:rsid w:val="000E4754"/>
    <w:rsid w:val="000E48AA"/>
    <w:rsid w:val="000E5EF7"/>
    <w:rsid w:val="000E7BBB"/>
    <w:rsid w:val="000F061D"/>
    <w:rsid w:val="000F0AAD"/>
    <w:rsid w:val="000F0DDB"/>
    <w:rsid w:val="000F795A"/>
    <w:rsid w:val="00100FD3"/>
    <w:rsid w:val="00102560"/>
    <w:rsid w:val="00104ECB"/>
    <w:rsid w:val="001057EF"/>
    <w:rsid w:val="00110BD9"/>
    <w:rsid w:val="001114C9"/>
    <w:rsid w:val="0011203A"/>
    <w:rsid w:val="00112BBF"/>
    <w:rsid w:val="0011347D"/>
    <w:rsid w:val="001135CA"/>
    <w:rsid w:val="00113DE7"/>
    <w:rsid w:val="001140BB"/>
    <w:rsid w:val="00114649"/>
    <w:rsid w:val="00121619"/>
    <w:rsid w:val="0012369E"/>
    <w:rsid w:val="00123BFD"/>
    <w:rsid w:val="00123F27"/>
    <w:rsid w:val="00124C65"/>
    <w:rsid w:val="00124EA1"/>
    <w:rsid w:val="0012680D"/>
    <w:rsid w:val="00132A56"/>
    <w:rsid w:val="00133914"/>
    <w:rsid w:val="001346D6"/>
    <w:rsid w:val="001347D6"/>
    <w:rsid w:val="00134D09"/>
    <w:rsid w:val="0013606B"/>
    <w:rsid w:val="0013710C"/>
    <w:rsid w:val="00137F46"/>
    <w:rsid w:val="001419E4"/>
    <w:rsid w:val="00142001"/>
    <w:rsid w:val="00142A9F"/>
    <w:rsid w:val="00143531"/>
    <w:rsid w:val="00143942"/>
    <w:rsid w:val="00144D36"/>
    <w:rsid w:val="0014516E"/>
    <w:rsid w:val="00146601"/>
    <w:rsid w:val="0015033F"/>
    <w:rsid w:val="001549B5"/>
    <w:rsid w:val="00154D64"/>
    <w:rsid w:val="001557DB"/>
    <w:rsid w:val="00156119"/>
    <w:rsid w:val="00160648"/>
    <w:rsid w:val="0016084C"/>
    <w:rsid w:val="001616E7"/>
    <w:rsid w:val="00162CF1"/>
    <w:rsid w:val="00165523"/>
    <w:rsid w:val="00166276"/>
    <w:rsid w:val="00166587"/>
    <w:rsid w:val="00166FFC"/>
    <w:rsid w:val="00167D07"/>
    <w:rsid w:val="00171357"/>
    <w:rsid w:val="001719FC"/>
    <w:rsid w:val="00172F53"/>
    <w:rsid w:val="0017512D"/>
    <w:rsid w:val="001752FA"/>
    <w:rsid w:val="00182A92"/>
    <w:rsid w:val="00183B7D"/>
    <w:rsid w:val="0018578B"/>
    <w:rsid w:val="00187162"/>
    <w:rsid w:val="0018722F"/>
    <w:rsid w:val="00187FEB"/>
    <w:rsid w:val="00192835"/>
    <w:rsid w:val="001937DD"/>
    <w:rsid w:val="00194CF8"/>
    <w:rsid w:val="00195395"/>
    <w:rsid w:val="00196968"/>
    <w:rsid w:val="00196ADC"/>
    <w:rsid w:val="0019748E"/>
    <w:rsid w:val="001A00CE"/>
    <w:rsid w:val="001A060B"/>
    <w:rsid w:val="001A0644"/>
    <w:rsid w:val="001A2784"/>
    <w:rsid w:val="001A3E77"/>
    <w:rsid w:val="001A6D39"/>
    <w:rsid w:val="001B3DF4"/>
    <w:rsid w:val="001B4049"/>
    <w:rsid w:val="001B7243"/>
    <w:rsid w:val="001C0D1A"/>
    <w:rsid w:val="001C1FC0"/>
    <w:rsid w:val="001C38A0"/>
    <w:rsid w:val="001C65C1"/>
    <w:rsid w:val="001C6670"/>
    <w:rsid w:val="001C7D0C"/>
    <w:rsid w:val="001D13BA"/>
    <w:rsid w:val="001D2673"/>
    <w:rsid w:val="001D27C0"/>
    <w:rsid w:val="001D4838"/>
    <w:rsid w:val="001D566C"/>
    <w:rsid w:val="001D71FE"/>
    <w:rsid w:val="001D7C34"/>
    <w:rsid w:val="001E0185"/>
    <w:rsid w:val="001E099A"/>
    <w:rsid w:val="001E117F"/>
    <w:rsid w:val="001E18F6"/>
    <w:rsid w:val="001E2948"/>
    <w:rsid w:val="001E578E"/>
    <w:rsid w:val="001F0180"/>
    <w:rsid w:val="001F1C4A"/>
    <w:rsid w:val="001F26E1"/>
    <w:rsid w:val="001F3520"/>
    <w:rsid w:val="001F4BAF"/>
    <w:rsid w:val="001F4C04"/>
    <w:rsid w:val="001F50B0"/>
    <w:rsid w:val="001F602C"/>
    <w:rsid w:val="001F6214"/>
    <w:rsid w:val="002018A5"/>
    <w:rsid w:val="002048CD"/>
    <w:rsid w:val="00204B6E"/>
    <w:rsid w:val="002050C7"/>
    <w:rsid w:val="00205161"/>
    <w:rsid w:val="00205630"/>
    <w:rsid w:val="00206E1E"/>
    <w:rsid w:val="00207701"/>
    <w:rsid w:val="0021042C"/>
    <w:rsid w:val="002127D0"/>
    <w:rsid w:val="00214B89"/>
    <w:rsid w:val="00216CAE"/>
    <w:rsid w:val="00216F7F"/>
    <w:rsid w:val="0021799F"/>
    <w:rsid w:val="002200DF"/>
    <w:rsid w:val="002223C1"/>
    <w:rsid w:val="00226F36"/>
    <w:rsid w:val="0023046C"/>
    <w:rsid w:val="00235535"/>
    <w:rsid w:val="00242253"/>
    <w:rsid w:val="002425E0"/>
    <w:rsid w:val="00243D13"/>
    <w:rsid w:val="0024413B"/>
    <w:rsid w:val="00244579"/>
    <w:rsid w:val="00244A5E"/>
    <w:rsid w:val="002465C7"/>
    <w:rsid w:val="002546DF"/>
    <w:rsid w:val="00255396"/>
    <w:rsid w:val="0025673C"/>
    <w:rsid w:val="00256A73"/>
    <w:rsid w:val="002578FC"/>
    <w:rsid w:val="00271513"/>
    <w:rsid w:val="00271E0D"/>
    <w:rsid w:val="0027327F"/>
    <w:rsid w:val="00277C3F"/>
    <w:rsid w:val="00280E53"/>
    <w:rsid w:val="002851BD"/>
    <w:rsid w:val="00287D2B"/>
    <w:rsid w:val="00287E8C"/>
    <w:rsid w:val="00291568"/>
    <w:rsid w:val="0029181C"/>
    <w:rsid w:val="00292834"/>
    <w:rsid w:val="002A4DA7"/>
    <w:rsid w:val="002A4E2D"/>
    <w:rsid w:val="002A73EC"/>
    <w:rsid w:val="002B07AD"/>
    <w:rsid w:val="002B0D55"/>
    <w:rsid w:val="002B2C3E"/>
    <w:rsid w:val="002B7019"/>
    <w:rsid w:val="002B7A09"/>
    <w:rsid w:val="002C00A3"/>
    <w:rsid w:val="002C03A2"/>
    <w:rsid w:val="002C1308"/>
    <w:rsid w:val="002C25BC"/>
    <w:rsid w:val="002C2EDB"/>
    <w:rsid w:val="002C385D"/>
    <w:rsid w:val="002C5121"/>
    <w:rsid w:val="002C6B13"/>
    <w:rsid w:val="002C6F32"/>
    <w:rsid w:val="002C7508"/>
    <w:rsid w:val="002D1167"/>
    <w:rsid w:val="002D2F18"/>
    <w:rsid w:val="002D3594"/>
    <w:rsid w:val="002D3963"/>
    <w:rsid w:val="002D54FE"/>
    <w:rsid w:val="002D5960"/>
    <w:rsid w:val="002D7A9B"/>
    <w:rsid w:val="002E0BA0"/>
    <w:rsid w:val="002E204D"/>
    <w:rsid w:val="002E2D67"/>
    <w:rsid w:val="002E3B75"/>
    <w:rsid w:val="002E4278"/>
    <w:rsid w:val="002E4AC2"/>
    <w:rsid w:val="002E53F7"/>
    <w:rsid w:val="002E623C"/>
    <w:rsid w:val="002E6C8D"/>
    <w:rsid w:val="002E78F8"/>
    <w:rsid w:val="002F01C1"/>
    <w:rsid w:val="002F0868"/>
    <w:rsid w:val="002F14DE"/>
    <w:rsid w:val="002F1BC9"/>
    <w:rsid w:val="002F2DD2"/>
    <w:rsid w:val="002F4CB2"/>
    <w:rsid w:val="002F657B"/>
    <w:rsid w:val="003006C4"/>
    <w:rsid w:val="00301498"/>
    <w:rsid w:val="00301D7D"/>
    <w:rsid w:val="003022CD"/>
    <w:rsid w:val="003030F0"/>
    <w:rsid w:val="00303BB1"/>
    <w:rsid w:val="00303E46"/>
    <w:rsid w:val="00305ACB"/>
    <w:rsid w:val="003108BC"/>
    <w:rsid w:val="003110F3"/>
    <w:rsid w:val="0031660E"/>
    <w:rsid w:val="00317EF9"/>
    <w:rsid w:val="00320790"/>
    <w:rsid w:val="003208FA"/>
    <w:rsid w:val="00321618"/>
    <w:rsid w:val="00321645"/>
    <w:rsid w:val="00324AC9"/>
    <w:rsid w:val="00325077"/>
    <w:rsid w:val="00325881"/>
    <w:rsid w:val="0032593D"/>
    <w:rsid w:val="00335A7C"/>
    <w:rsid w:val="00343167"/>
    <w:rsid w:val="00345518"/>
    <w:rsid w:val="00345B99"/>
    <w:rsid w:val="00345C12"/>
    <w:rsid w:val="00346CAF"/>
    <w:rsid w:val="0034774B"/>
    <w:rsid w:val="00350818"/>
    <w:rsid w:val="00350A34"/>
    <w:rsid w:val="00350A39"/>
    <w:rsid w:val="00351A86"/>
    <w:rsid w:val="00351EBD"/>
    <w:rsid w:val="00352E28"/>
    <w:rsid w:val="00354405"/>
    <w:rsid w:val="00357570"/>
    <w:rsid w:val="00363BDC"/>
    <w:rsid w:val="00364F06"/>
    <w:rsid w:val="003668DF"/>
    <w:rsid w:val="00366DD1"/>
    <w:rsid w:val="00366F20"/>
    <w:rsid w:val="00367B2B"/>
    <w:rsid w:val="0037108F"/>
    <w:rsid w:val="003737E7"/>
    <w:rsid w:val="00374180"/>
    <w:rsid w:val="003749FF"/>
    <w:rsid w:val="00375820"/>
    <w:rsid w:val="00375C4A"/>
    <w:rsid w:val="00375E4F"/>
    <w:rsid w:val="003765A7"/>
    <w:rsid w:val="00376A0F"/>
    <w:rsid w:val="00377620"/>
    <w:rsid w:val="00381081"/>
    <w:rsid w:val="003817E2"/>
    <w:rsid w:val="00384633"/>
    <w:rsid w:val="003849C7"/>
    <w:rsid w:val="0038535F"/>
    <w:rsid w:val="00385EA5"/>
    <w:rsid w:val="00385FD8"/>
    <w:rsid w:val="00386873"/>
    <w:rsid w:val="00386B34"/>
    <w:rsid w:val="00390D0A"/>
    <w:rsid w:val="00391B6E"/>
    <w:rsid w:val="00395CF4"/>
    <w:rsid w:val="00396386"/>
    <w:rsid w:val="0039663A"/>
    <w:rsid w:val="00397582"/>
    <w:rsid w:val="0039793E"/>
    <w:rsid w:val="003A106C"/>
    <w:rsid w:val="003A1208"/>
    <w:rsid w:val="003A4C9F"/>
    <w:rsid w:val="003A51A0"/>
    <w:rsid w:val="003A51BB"/>
    <w:rsid w:val="003A53F1"/>
    <w:rsid w:val="003A628B"/>
    <w:rsid w:val="003A6827"/>
    <w:rsid w:val="003A6FC1"/>
    <w:rsid w:val="003A738A"/>
    <w:rsid w:val="003B25A3"/>
    <w:rsid w:val="003B60EF"/>
    <w:rsid w:val="003B6CE1"/>
    <w:rsid w:val="003B6D74"/>
    <w:rsid w:val="003B7324"/>
    <w:rsid w:val="003B73BA"/>
    <w:rsid w:val="003C6189"/>
    <w:rsid w:val="003C6C94"/>
    <w:rsid w:val="003D0F2E"/>
    <w:rsid w:val="003D195B"/>
    <w:rsid w:val="003D26D2"/>
    <w:rsid w:val="003D3100"/>
    <w:rsid w:val="003D378B"/>
    <w:rsid w:val="003D4496"/>
    <w:rsid w:val="003D4D58"/>
    <w:rsid w:val="003E1221"/>
    <w:rsid w:val="003E18D5"/>
    <w:rsid w:val="003E1982"/>
    <w:rsid w:val="003E2097"/>
    <w:rsid w:val="003E3A16"/>
    <w:rsid w:val="003E4814"/>
    <w:rsid w:val="003E65E7"/>
    <w:rsid w:val="003F0E53"/>
    <w:rsid w:val="003F4618"/>
    <w:rsid w:val="003F77B6"/>
    <w:rsid w:val="0040110C"/>
    <w:rsid w:val="00402C65"/>
    <w:rsid w:val="00404981"/>
    <w:rsid w:val="00405760"/>
    <w:rsid w:val="0040583D"/>
    <w:rsid w:val="004108FF"/>
    <w:rsid w:val="00411A62"/>
    <w:rsid w:val="00412437"/>
    <w:rsid w:val="00413D68"/>
    <w:rsid w:val="004140C6"/>
    <w:rsid w:val="00422288"/>
    <w:rsid w:val="004228AA"/>
    <w:rsid w:val="00424437"/>
    <w:rsid w:val="00424BAC"/>
    <w:rsid w:val="00425707"/>
    <w:rsid w:val="00425EB6"/>
    <w:rsid w:val="004273DE"/>
    <w:rsid w:val="0043304C"/>
    <w:rsid w:val="00433D22"/>
    <w:rsid w:val="004348F7"/>
    <w:rsid w:val="004356EB"/>
    <w:rsid w:val="004363F4"/>
    <w:rsid w:val="00441A2B"/>
    <w:rsid w:val="00442F58"/>
    <w:rsid w:val="00443DBC"/>
    <w:rsid w:val="0045009A"/>
    <w:rsid w:val="004504DD"/>
    <w:rsid w:val="00451818"/>
    <w:rsid w:val="004539ED"/>
    <w:rsid w:val="00454F24"/>
    <w:rsid w:val="004557D6"/>
    <w:rsid w:val="00456561"/>
    <w:rsid w:val="00456804"/>
    <w:rsid w:val="00462455"/>
    <w:rsid w:val="004633F9"/>
    <w:rsid w:val="00465AEA"/>
    <w:rsid w:val="004741FC"/>
    <w:rsid w:val="004748B6"/>
    <w:rsid w:val="004757C6"/>
    <w:rsid w:val="00477405"/>
    <w:rsid w:val="0047745D"/>
    <w:rsid w:val="00480006"/>
    <w:rsid w:val="00480CE9"/>
    <w:rsid w:val="00481E9B"/>
    <w:rsid w:val="00482025"/>
    <w:rsid w:val="004825BC"/>
    <w:rsid w:val="004840AE"/>
    <w:rsid w:val="004871E6"/>
    <w:rsid w:val="004903BB"/>
    <w:rsid w:val="004929BF"/>
    <w:rsid w:val="004937C8"/>
    <w:rsid w:val="00495B76"/>
    <w:rsid w:val="004A079F"/>
    <w:rsid w:val="004A4729"/>
    <w:rsid w:val="004A72A2"/>
    <w:rsid w:val="004A77A5"/>
    <w:rsid w:val="004A7E66"/>
    <w:rsid w:val="004B2235"/>
    <w:rsid w:val="004B44F8"/>
    <w:rsid w:val="004B466A"/>
    <w:rsid w:val="004B6B1B"/>
    <w:rsid w:val="004C031A"/>
    <w:rsid w:val="004C4650"/>
    <w:rsid w:val="004C6A70"/>
    <w:rsid w:val="004C7A0B"/>
    <w:rsid w:val="004D0086"/>
    <w:rsid w:val="004D0F11"/>
    <w:rsid w:val="004D1CCA"/>
    <w:rsid w:val="004D1F35"/>
    <w:rsid w:val="004D3EE9"/>
    <w:rsid w:val="004D4BBA"/>
    <w:rsid w:val="004D5E01"/>
    <w:rsid w:val="004E0399"/>
    <w:rsid w:val="004E57E5"/>
    <w:rsid w:val="004E5B03"/>
    <w:rsid w:val="004E740E"/>
    <w:rsid w:val="004E7FB9"/>
    <w:rsid w:val="004F0139"/>
    <w:rsid w:val="004F380F"/>
    <w:rsid w:val="004F4563"/>
    <w:rsid w:val="004F4672"/>
    <w:rsid w:val="004F5023"/>
    <w:rsid w:val="004F7D57"/>
    <w:rsid w:val="005004FB"/>
    <w:rsid w:val="005045DA"/>
    <w:rsid w:val="00505561"/>
    <w:rsid w:val="005061D3"/>
    <w:rsid w:val="0050658D"/>
    <w:rsid w:val="00507435"/>
    <w:rsid w:val="005101A8"/>
    <w:rsid w:val="005109CE"/>
    <w:rsid w:val="00511ED5"/>
    <w:rsid w:val="00512110"/>
    <w:rsid w:val="00514263"/>
    <w:rsid w:val="005155B5"/>
    <w:rsid w:val="005201CC"/>
    <w:rsid w:val="00520706"/>
    <w:rsid w:val="00520980"/>
    <w:rsid w:val="00522622"/>
    <w:rsid w:val="0052312A"/>
    <w:rsid w:val="00525A3B"/>
    <w:rsid w:val="00526799"/>
    <w:rsid w:val="0053183A"/>
    <w:rsid w:val="00531E03"/>
    <w:rsid w:val="00534745"/>
    <w:rsid w:val="00534FE4"/>
    <w:rsid w:val="00536A68"/>
    <w:rsid w:val="00536ABE"/>
    <w:rsid w:val="0054036A"/>
    <w:rsid w:val="00545B00"/>
    <w:rsid w:val="005465E9"/>
    <w:rsid w:val="00546D0D"/>
    <w:rsid w:val="005479E9"/>
    <w:rsid w:val="00550B3D"/>
    <w:rsid w:val="0055230A"/>
    <w:rsid w:val="00552A78"/>
    <w:rsid w:val="005550B4"/>
    <w:rsid w:val="00555AF3"/>
    <w:rsid w:val="00557881"/>
    <w:rsid w:val="00560449"/>
    <w:rsid w:val="005628C0"/>
    <w:rsid w:val="00563753"/>
    <w:rsid w:val="005639C5"/>
    <w:rsid w:val="00565609"/>
    <w:rsid w:val="005673AB"/>
    <w:rsid w:val="00570AFA"/>
    <w:rsid w:val="0057208D"/>
    <w:rsid w:val="0057231E"/>
    <w:rsid w:val="00574032"/>
    <w:rsid w:val="00576E06"/>
    <w:rsid w:val="00576F4D"/>
    <w:rsid w:val="0057765C"/>
    <w:rsid w:val="0058032D"/>
    <w:rsid w:val="00580357"/>
    <w:rsid w:val="00580742"/>
    <w:rsid w:val="00582F0C"/>
    <w:rsid w:val="00583469"/>
    <w:rsid w:val="00586A09"/>
    <w:rsid w:val="0058720E"/>
    <w:rsid w:val="005903A1"/>
    <w:rsid w:val="0059097A"/>
    <w:rsid w:val="00590CF5"/>
    <w:rsid w:val="005914C0"/>
    <w:rsid w:val="0059156B"/>
    <w:rsid w:val="005923D8"/>
    <w:rsid w:val="00593AFD"/>
    <w:rsid w:val="005963AB"/>
    <w:rsid w:val="005A1B1A"/>
    <w:rsid w:val="005A3E46"/>
    <w:rsid w:val="005A4371"/>
    <w:rsid w:val="005A47A4"/>
    <w:rsid w:val="005A4AA4"/>
    <w:rsid w:val="005A4C3A"/>
    <w:rsid w:val="005A7500"/>
    <w:rsid w:val="005B208E"/>
    <w:rsid w:val="005B238C"/>
    <w:rsid w:val="005B3B78"/>
    <w:rsid w:val="005B4F33"/>
    <w:rsid w:val="005B538E"/>
    <w:rsid w:val="005B63B3"/>
    <w:rsid w:val="005B6DF4"/>
    <w:rsid w:val="005C0A22"/>
    <w:rsid w:val="005C53D3"/>
    <w:rsid w:val="005C6C7F"/>
    <w:rsid w:val="005C77BF"/>
    <w:rsid w:val="005C7826"/>
    <w:rsid w:val="005D0BF5"/>
    <w:rsid w:val="005D4D8A"/>
    <w:rsid w:val="005D5192"/>
    <w:rsid w:val="005D52FD"/>
    <w:rsid w:val="005D547F"/>
    <w:rsid w:val="005E0660"/>
    <w:rsid w:val="005E07CF"/>
    <w:rsid w:val="005E127D"/>
    <w:rsid w:val="005E2618"/>
    <w:rsid w:val="005E2ECF"/>
    <w:rsid w:val="005E3194"/>
    <w:rsid w:val="005E4296"/>
    <w:rsid w:val="005E4346"/>
    <w:rsid w:val="005E58E7"/>
    <w:rsid w:val="005E683E"/>
    <w:rsid w:val="005E6CA1"/>
    <w:rsid w:val="005E6FF6"/>
    <w:rsid w:val="005E7173"/>
    <w:rsid w:val="005E736E"/>
    <w:rsid w:val="005F5466"/>
    <w:rsid w:val="005F6ED8"/>
    <w:rsid w:val="005F6F7C"/>
    <w:rsid w:val="005F7412"/>
    <w:rsid w:val="006019F7"/>
    <w:rsid w:val="00603A37"/>
    <w:rsid w:val="00603C34"/>
    <w:rsid w:val="006042DD"/>
    <w:rsid w:val="0060484A"/>
    <w:rsid w:val="00604F17"/>
    <w:rsid w:val="00610508"/>
    <w:rsid w:val="00610746"/>
    <w:rsid w:val="00610C92"/>
    <w:rsid w:val="00615059"/>
    <w:rsid w:val="00620656"/>
    <w:rsid w:val="00620FFD"/>
    <w:rsid w:val="00622776"/>
    <w:rsid w:val="00622D26"/>
    <w:rsid w:val="00622EF1"/>
    <w:rsid w:val="006252C2"/>
    <w:rsid w:val="006263AA"/>
    <w:rsid w:val="00630484"/>
    <w:rsid w:val="00630D3E"/>
    <w:rsid w:val="00630D43"/>
    <w:rsid w:val="006324A5"/>
    <w:rsid w:val="00646248"/>
    <w:rsid w:val="00652A76"/>
    <w:rsid w:val="006554A7"/>
    <w:rsid w:val="00656FC4"/>
    <w:rsid w:val="00661264"/>
    <w:rsid w:val="00662D09"/>
    <w:rsid w:val="00663E57"/>
    <w:rsid w:val="00665056"/>
    <w:rsid w:val="00665F81"/>
    <w:rsid w:val="006706B1"/>
    <w:rsid w:val="00670D69"/>
    <w:rsid w:val="006726B5"/>
    <w:rsid w:val="00673D46"/>
    <w:rsid w:val="00674F0C"/>
    <w:rsid w:val="00675348"/>
    <w:rsid w:val="006763B7"/>
    <w:rsid w:val="006770F2"/>
    <w:rsid w:val="00677916"/>
    <w:rsid w:val="00682C4D"/>
    <w:rsid w:val="00683801"/>
    <w:rsid w:val="006838A3"/>
    <w:rsid w:val="0068709A"/>
    <w:rsid w:val="0068735C"/>
    <w:rsid w:val="0069282A"/>
    <w:rsid w:val="0069316E"/>
    <w:rsid w:val="0069479B"/>
    <w:rsid w:val="006947DD"/>
    <w:rsid w:val="00696A5B"/>
    <w:rsid w:val="00697D84"/>
    <w:rsid w:val="006A177B"/>
    <w:rsid w:val="006A1A36"/>
    <w:rsid w:val="006A1BAF"/>
    <w:rsid w:val="006A209E"/>
    <w:rsid w:val="006A2AC2"/>
    <w:rsid w:val="006A4A89"/>
    <w:rsid w:val="006A4C37"/>
    <w:rsid w:val="006A50C0"/>
    <w:rsid w:val="006A75F9"/>
    <w:rsid w:val="006B0DCF"/>
    <w:rsid w:val="006B258D"/>
    <w:rsid w:val="006B27BA"/>
    <w:rsid w:val="006B4236"/>
    <w:rsid w:val="006B4CE7"/>
    <w:rsid w:val="006B5501"/>
    <w:rsid w:val="006B6F92"/>
    <w:rsid w:val="006C0592"/>
    <w:rsid w:val="006C10F4"/>
    <w:rsid w:val="006C3EEB"/>
    <w:rsid w:val="006C44B2"/>
    <w:rsid w:val="006C48E2"/>
    <w:rsid w:val="006C6324"/>
    <w:rsid w:val="006D0474"/>
    <w:rsid w:val="006D15B8"/>
    <w:rsid w:val="006D265B"/>
    <w:rsid w:val="006D2C3D"/>
    <w:rsid w:val="006D41E3"/>
    <w:rsid w:val="006D5139"/>
    <w:rsid w:val="006D717C"/>
    <w:rsid w:val="006E181B"/>
    <w:rsid w:val="006E1C68"/>
    <w:rsid w:val="006E4BD6"/>
    <w:rsid w:val="006E55B9"/>
    <w:rsid w:val="006F0194"/>
    <w:rsid w:val="006F2B5C"/>
    <w:rsid w:val="006F56DD"/>
    <w:rsid w:val="006F68BA"/>
    <w:rsid w:val="006F72B6"/>
    <w:rsid w:val="00701BAB"/>
    <w:rsid w:val="00702C52"/>
    <w:rsid w:val="0070500F"/>
    <w:rsid w:val="007076A1"/>
    <w:rsid w:val="0071084E"/>
    <w:rsid w:val="00711FDD"/>
    <w:rsid w:val="0071367E"/>
    <w:rsid w:val="007147C7"/>
    <w:rsid w:val="007155F9"/>
    <w:rsid w:val="00720A4F"/>
    <w:rsid w:val="00720BE6"/>
    <w:rsid w:val="00722459"/>
    <w:rsid w:val="00726047"/>
    <w:rsid w:val="0073068E"/>
    <w:rsid w:val="00730786"/>
    <w:rsid w:val="00740E00"/>
    <w:rsid w:val="00741CE6"/>
    <w:rsid w:val="00742523"/>
    <w:rsid w:val="00744362"/>
    <w:rsid w:val="00744717"/>
    <w:rsid w:val="00745413"/>
    <w:rsid w:val="00745A50"/>
    <w:rsid w:val="007464B7"/>
    <w:rsid w:val="007478E2"/>
    <w:rsid w:val="00750554"/>
    <w:rsid w:val="007518FF"/>
    <w:rsid w:val="00752CCD"/>
    <w:rsid w:val="00754246"/>
    <w:rsid w:val="007559AB"/>
    <w:rsid w:val="00757131"/>
    <w:rsid w:val="0076034F"/>
    <w:rsid w:val="0076182C"/>
    <w:rsid w:val="00766D27"/>
    <w:rsid w:val="00767F32"/>
    <w:rsid w:val="007700F0"/>
    <w:rsid w:val="007713AB"/>
    <w:rsid w:val="00771EC2"/>
    <w:rsid w:val="00773750"/>
    <w:rsid w:val="007773B6"/>
    <w:rsid w:val="00780570"/>
    <w:rsid w:val="0078161D"/>
    <w:rsid w:val="007819E4"/>
    <w:rsid w:val="0078501B"/>
    <w:rsid w:val="007855C4"/>
    <w:rsid w:val="0078576F"/>
    <w:rsid w:val="007863B6"/>
    <w:rsid w:val="0078750E"/>
    <w:rsid w:val="007903B9"/>
    <w:rsid w:val="00793F7F"/>
    <w:rsid w:val="00793FE6"/>
    <w:rsid w:val="0079408C"/>
    <w:rsid w:val="0079460B"/>
    <w:rsid w:val="00795552"/>
    <w:rsid w:val="007968AC"/>
    <w:rsid w:val="00797D7D"/>
    <w:rsid w:val="007A0E50"/>
    <w:rsid w:val="007A1380"/>
    <w:rsid w:val="007A1406"/>
    <w:rsid w:val="007A16E7"/>
    <w:rsid w:val="007A2CA9"/>
    <w:rsid w:val="007A355A"/>
    <w:rsid w:val="007A40CA"/>
    <w:rsid w:val="007B04CE"/>
    <w:rsid w:val="007B6077"/>
    <w:rsid w:val="007C22E1"/>
    <w:rsid w:val="007C2758"/>
    <w:rsid w:val="007C4E97"/>
    <w:rsid w:val="007C5688"/>
    <w:rsid w:val="007C5946"/>
    <w:rsid w:val="007C5A86"/>
    <w:rsid w:val="007C6947"/>
    <w:rsid w:val="007D1460"/>
    <w:rsid w:val="007D1F48"/>
    <w:rsid w:val="007D2388"/>
    <w:rsid w:val="007D3D79"/>
    <w:rsid w:val="007D438E"/>
    <w:rsid w:val="007D6524"/>
    <w:rsid w:val="007E084C"/>
    <w:rsid w:val="007E1450"/>
    <w:rsid w:val="007E245D"/>
    <w:rsid w:val="007E2983"/>
    <w:rsid w:val="007E3095"/>
    <w:rsid w:val="007E44AD"/>
    <w:rsid w:val="007E4DD4"/>
    <w:rsid w:val="007F12BE"/>
    <w:rsid w:val="007F3A5A"/>
    <w:rsid w:val="008009CD"/>
    <w:rsid w:val="00801E98"/>
    <w:rsid w:val="008028C8"/>
    <w:rsid w:val="008028D9"/>
    <w:rsid w:val="0080313F"/>
    <w:rsid w:val="00804D05"/>
    <w:rsid w:val="008064B3"/>
    <w:rsid w:val="00812750"/>
    <w:rsid w:val="00813401"/>
    <w:rsid w:val="00813732"/>
    <w:rsid w:val="00815196"/>
    <w:rsid w:val="008163C5"/>
    <w:rsid w:val="00816AFC"/>
    <w:rsid w:val="00817636"/>
    <w:rsid w:val="00821B3D"/>
    <w:rsid w:val="00821D0B"/>
    <w:rsid w:val="0082223F"/>
    <w:rsid w:val="00822439"/>
    <w:rsid w:val="00825335"/>
    <w:rsid w:val="00830248"/>
    <w:rsid w:val="00830A48"/>
    <w:rsid w:val="008334E2"/>
    <w:rsid w:val="00833DAC"/>
    <w:rsid w:val="00837792"/>
    <w:rsid w:val="0084008A"/>
    <w:rsid w:val="008400E3"/>
    <w:rsid w:val="0084254D"/>
    <w:rsid w:val="00845149"/>
    <w:rsid w:val="00847E1D"/>
    <w:rsid w:val="00852D9E"/>
    <w:rsid w:val="00856D2E"/>
    <w:rsid w:val="0085732B"/>
    <w:rsid w:val="0085751D"/>
    <w:rsid w:val="00857C08"/>
    <w:rsid w:val="00860271"/>
    <w:rsid w:val="008617AD"/>
    <w:rsid w:val="00861A93"/>
    <w:rsid w:val="00862151"/>
    <w:rsid w:val="008636A6"/>
    <w:rsid w:val="008658CA"/>
    <w:rsid w:val="00866B70"/>
    <w:rsid w:val="00866FFF"/>
    <w:rsid w:val="008675D3"/>
    <w:rsid w:val="00870577"/>
    <w:rsid w:val="008725D3"/>
    <w:rsid w:val="00873FE3"/>
    <w:rsid w:val="0087416C"/>
    <w:rsid w:val="00875690"/>
    <w:rsid w:val="008771EA"/>
    <w:rsid w:val="0087720E"/>
    <w:rsid w:val="00877381"/>
    <w:rsid w:val="00877EDF"/>
    <w:rsid w:val="00881A3A"/>
    <w:rsid w:val="00884F4D"/>
    <w:rsid w:val="0088535F"/>
    <w:rsid w:val="008857D0"/>
    <w:rsid w:val="00893057"/>
    <w:rsid w:val="00894514"/>
    <w:rsid w:val="00896F8D"/>
    <w:rsid w:val="008A05C9"/>
    <w:rsid w:val="008A1E09"/>
    <w:rsid w:val="008A308E"/>
    <w:rsid w:val="008A348F"/>
    <w:rsid w:val="008A3A81"/>
    <w:rsid w:val="008A5125"/>
    <w:rsid w:val="008A7806"/>
    <w:rsid w:val="008B0A4A"/>
    <w:rsid w:val="008B2606"/>
    <w:rsid w:val="008B2D18"/>
    <w:rsid w:val="008B2DB1"/>
    <w:rsid w:val="008B3A4E"/>
    <w:rsid w:val="008B4773"/>
    <w:rsid w:val="008B4C6F"/>
    <w:rsid w:val="008B5EA8"/>
    <w:rsid w:val="008C1218"/>
    <w:rsid w:val="008C17DD"/>
    <w:rsid w:val="008C2925"/>
    <w:rsid w:val="008C4B75"/>
    <w:rsid w:val="008C6E4E"/>
    <w:rsid w:val="008C76D4"/>
    <w:rsid w:val="008D1E05"/>
    <w:rsid w:val="008D30A5"/>
    <w:rsid w:val="008D4395"/>
    <w:rsid w:val="008D5276"/>
    <w:rsid w:val="008D54E5"/>
    <w:rsid w:val="008D734D"/>
    <w:rsid w:val="008E19D7"/>
    <w:rsid w:val="008E1C20"/>
    <w:rsid w:val="008E2D19"/>
    <w:rsid w:val="008E3B20"/>
    <w:rsid w:val="008E3EA8"/>
    <w:rsid w:val="008E502A"/>
    <w:rsid w:val="008F2FB8"/>
    <w:rsid w:val="008F4F38"/>
    <w:rsid w:val="008F5706"/>
    <w:rsid w:val="008F6B76"/>
    <w:rsid w:val="00900CBA"/>
    <w:rsid w:val="00903E42"/>
    <w:rsid w:val="009040C3"/>
    <w:rsid w:val="00905054"/>
    <w:rsid w:val="009051B0"/>
    <w:rsid w:val="009104E2"/>
    <w:rsid w:val="0091470D"/>
    <w:rsid w:val="00915477"/>
    <w:rsid w:val="009154B9"/>
    <w:rsid w:val="009173FB"/>
    <w:rsid w:val="00917A36"/>
    <w:rsid w:val="00917AD6"/>
    <w:rsid w:val="00917EAD"/>
    <w:rsid w:val="00920B5B"/>
    <w:rsid w:val="009215CC"/>
    <w:rsid w:val="0092274E"/>
    <w:rsid w:val="009232CE"/>
    <w:rsid w:val="00924522"/>
    <w:rsid w:val="009269AE"/>
    <w:rsid w:val="00926EEB"/>
    <w:rsid w:val="00930A99"/>
    <w:rsid w:val="009348FF"/>
    <w:rsid w:val="00935208"/>
    <w:rsid w:val="00935526"/>
    <w:rsid w:val="009370C5"/>
    <w:rsid w:val="00937235"/>
    <w:rsid w:val="00937AB7"/>
    <w:rsid w:val="00942A92"/>
    <w:rsid w:val="00947B62"/>
    <w:rsid w:val="00947E59"/>
    <w:rsid w:val="0095033B"/>
    <w:rsid w:val="00950491"/>
    <w:rsid w:val="0095300C"/>
    <w:rsid w:val="00954CD5"/>
    <w:rsid w:val="00960BED"/>
    <w:rsid w:val="0096300F"/>
    <w:rsid w:val="00963E5E"/>
    <w:rsid w:val="009644FA"/>
    <w:rsid w:val="00964D9E"/>
    <w:rsid w:val="0097051C"/>
    <w:rsid w:val="00970680"/>
    <w:rsid w:val="00970D30"/>
    <w:rsid w:val="0097105F"/>
    <w:rsid w:val="009717F7"/>
    <w:rsid w:val="00973A1E"/>
    <w:rsid w:val="00973E47"/>
    <w:rsid w:val="00974F1E"/>
    <w:rsid w:val="00976A36"/>
    <w:rsid w:val="0097793D"/>
    <w:rsid w:val="00977E92"/>
    <w:rsid w:val="009831A6"/>
    <w:rsid w:val="009839DE"/>
    <w:rsid w:val="00983C08"/>
    <w:rsid w:val="00984552"/>
    <w:rsid w:val="00984FDC"/>
    <w:rsid w:val="00986877"/>
    <w:rsid w:val="00990E2C"/>
    <w:rsid w:val="009915AB"/>
    <w:rsid w:val="0099184D"/>
    <w:rsid w:val="00991C2D"/>
    <w:rsid w:val="00994CEC"/>
    <w:rsid w:val="009A21FD"/>
    <w:rsid w:val="009A414A"/>
    <w:rsid w:val="009A5845"/>
    <w:rsid w:val="009A7E1E"/>
    <w:rsid w:val="009B21B8"/>
    <w:rsid w:val="009B3E80"/>
    <w:rsid w:val="009B4C7D"/>
    <w:rsid w:val="009B4DF0"/>
    <w:rsid w:val="009C028E"/>
    <w:rsid w:val="009C2066"/>
    <w:rsid w:val="009C2B16"/>
    <w:rsid w:val="009C3DB7"/>
    <w:rsid w:val="009C48C4"/>
    <w:rsid w:val="009C7D7E"/>
    <w:rsid w:val="009D28B2"/>
    <w:rsid w:val="009D53A8"/>
    <w:rsid w:val="009D55EE"/>
    <w:rsid w:val="009E05F5"/>
    <w:rsid w:val="009F15BD"/>
    <w:rsid w:val="009F2F67"/>
    <w:rsid w:val="009F332B"/>
    <w:rsid w:val="009F4156"/>
    <w:rsid w:val="009F6427"/>
    <w:rsid w:val="00A005C5"/>
    <w:rsid w:val="00A0276D"/>
    <w:rsid w:val="00A039B4"/>
    <w:rsid w:val="00A045C0"/>
    <w:rsid w:val="00A0471C"/>
    <w:rsid w:val="00A06D99"/>
    <w:rsid w:val="00A071FE"/>
    <w:rsid w:val="00A12A32"/>
    <w:rsid w:val="00A16051"/>
    <w:rsid w:val="00A21BF8"/>
    <w:rsid w:val="00A21F5F"/>
    <w:rsid w:val="00A22062"/>
    <w:rsid w:val="00A237B5"/>
    <w:rsid w:val="00A238B5"/>
    <w:rsid w:val="00A23D3F"/>
    <w:rsid w:val="00A254A6"/>
    <w:rsid w:val="00A344CF"/>
    <w:rsid w:val="00A349E7"/>
    <w:rsid w:val="00A36BF2"/>
    <w:rsid w:val="00A42657"/>
    <w:rsid w:val="00A43EE3"/>
    <w:rsid w:val="00A44E5F"/>
    <w:rsid w:val="00A50013"/>
    <w:rsid w:val="00A517A0"/>
    <w:rsid w:val="00A565F9"/>
    <w:rsid w:val="00A571C8"/>
    <w:rsid w:val="00A6072D"/>
    <w:rsid w:val="00A62BD1"/>
    <w:rsid w:val="00A64CB6"/>
    <w:rsid w:val="00A64CD1"/>
    <w:rsid w:val="00A659D2"/>
    <w:rsid w:val="00A66A87"/>
    <w:rsid w:val="00A674C0"/>
    <w:rsid w:val="00A71271"/>
    <w:rsid w:val="00A7272C"/>
    <w:rsid w:val="00A7449F"/>
    <w:rsid w:val="00A763DF"/>
    <w:rsid w:val="00A8019D"/>
    <w:rsid w:val="00A819B5"/>
    <w:rsid w:val="00A82BBA"/>
    <w:rsid w:val="00A842F4"/>
    <w:rsid w:val="00A8474F"/>
    <w:rsid w:val="00A84CCF"/>
    <w:rsid w:val="00A8592F"/>
    <w:rsid w:val="00A859C3"/>
    <w:rsid w:val="00A861E9"/>
    <w:rsid w:val="00A913D5"/>
    <w:rsid w:val="00A951F1"/>
    <w:rsid w:val="00AA0D65"/>
    <w:rsid w:val="00AA37EE"/>
    <w:rsid w:val="00AA629A"/>
    <w:rsid w:val="00AA7A7A"/>
    <w:rsid w:val="00AA7B63"/>
    <w:rsid w:val="00AA7D20"/>
    <w:rsid w:val="00AB0CE6"/>
    <w:rsid w:val="00AB1016"/>
    <w:rsid w:val="00AB1360"/>
    <w:rsid w:val="00AB2FB7"/>
    <w:rsid w:val="00AB364F"/>
    <w:rsid w:val="00AB3B8C"/>
    <w:rsid w:val="00AB59B9"/>
    <w:rsid w:val="00AB6C65"/>
    <w:rsid w:val="00AB7ACC"/>
    <w:rsid w:val="00AC1450"/>
    <w:rsid w:val="00AC3C3B"/>
    <w:rsid w:val="00AC490D"/>
    <w:rsid w:val="00AC4CD3"/>
    <w:rsid w:val="00AC5C7E"/>
    <w:rsid w:val="00AC7EDB"/>
    <w:rsid w:val="00AD04C0"/>
    <w:rsid w:val="00AD210C"/>
    <w:rsid w:val="00AD3B46"/>
    <w:rsid w:val="00AD7466"/>
    <w:rsid w:val="00AE0DAC"/>
    <w:rsid w:val="00AE2340"/>
    <w:rsid w:val="00AE2BF5"/>
    <w:rsid w:val="00AF182F"/>
    <w:rsid w:val="00AF37EB"/>
    <w:rsid w:val="00AF3F69"/>
    <w:rsid w:val="00AF4F88"/>
    <w:rsid w:val="00AF56EA"/>
    <w:rsid w:val="00AF67F3"/>
    <w:rsid w:val="00B0046F"/>
    <w:rsid w:val="00B0087B"/>
    <w:rsid w:val="00B00ABF"/>
    <w:rsid w:val="00B00D51"/>
    <w:rsid w:val="00B02547"/>
    <w:rsid w:val="00B04135"/>
    <w:rsid w:val="00B05C25"/>
    <w:rsid w:val="00B077D9"/>
    <w:rsid w:val="00B07E19"/>
    <w:rsid w:val="00B10335"/>
    <w:rsid w:val="00B119CB"/>
    <w:rsid w:val="00B11C7C"/>
    <w:rsid w:val="00B13001"/>
    <w:rsid w:val="00B132EC"/>
    <w:rsid w:val="00B13490"/>
    <w:rsid w:val="00B13D11"/>
    <w:rsid w:val="00B15386"/>
    <w:rsid w:val="00B1645D"/>
    <w:rsid w:val="00B2230C"/>
    <w:rsid w:val="00B234B8"/>
    <w:rsid w:val="00B2412E"/>
    <w:rsid w:val="00B245D3"/>
    <w:rsid w:val="00B24CE8"/>
    <w:rsid w:val="00B2617F"/>
    <w:rsid w:val="00B269FB"/>
    <w:rsid w:val="00B33417"/>
    <w:rsid w:val="00B40077"/>
    <w:rsid w:val="00B40862"/>
    <w:rsid w:val="00B420B1"/>
    <w:rsid w:val="00B449C9"/>
    <w:rsid w:val="00B45867"/>
    <w:rsid w:val="00B46037"/>
    <w:rsid w:val="00B47949"/>
    <w:rsid w:val="00B53A64"/>
    <w:rsid w:val="00B55DF2"/>
    <w:rsid w:val="00B64371"/>
    <w:rsid w:val="00B654CF"/>
    <w:rsid w:val="00B65C3B"/>
    <w:rsid w:val="00B65C7F"/>
    <w:rsid w:val="00B6738D"/>
    <w:rsid w:val="00B71873"/>
    <w:rsid w:val="00B75233"/>
    <w:rsid w:val="00B75BD1"/>
    <w:rsid w:val="00B77851"/>
    <w:rsid w:val="00B77B7D"/>
    <w:rsid w:val="00B8105D"/>
    <w:rsid w:val="00B827CA"/>
    <w:rsid w:val="00B82CB1"/>
    <w:rsid w:val="00B85196"/>
    <w:rsid w:val="00B854A1"/>
    <w:rsid w:val="00B858EF"/>
    <w:rsid w:val="00B8649A"/>
    <w:rsid w:val="00B875CB"/>
    <w:rsid w:val="00B878C4"/>
    <w:rsid w:val="00B921D3"/>
    <w:rsid w:val="00B9240F"/>
    <w:rsid w:val="00B9279C"/>
    <w:rsid w:val="00B933AD"/>
    <w:rsid w:val="00B93497"/>
    <w:rsid w:val="00BA0E4C"/>
    <w:rsid w:val="00BA3F60"/>
    <w:rsid w:val="00BA49BB"/>
    <w:rsid w:val="00BA5AE0"/>
    <w:rsid w:val="00BB0E51"/>
    <w:rsid w:val="00BB2F17"/>
    <w:rsid w:val="00BB5324"/>
    <w:rsid w:val="00BB7DF1"/>
    <w:rsid w:val="00BC1136"/>
    <w:rsid w:val="00BC1470"/>
    <w:rsid w:val="00BC2234"/>
    <w:rsid w:val="00BC323E"/>
    <w:rsid w:val="00BC36CD"/>
    <w:rsid w:val="00BC3F52"/>
    <w:rsid w:val="00BC6230"/>
    <w:rsid w:val="00BC7768"/>
    <w:rsid w:val="00BD0475"/>
    <w:rsid w:val="00BD2352"/>
    <w:rsid w:val="00BD4F0A"/>
    <w:rsid w:val="00BD6449"/>
    <w:rsid w:val="00BD7C5A"/>
    <w:rsid w:val="00BE0924"/>
    <w:rsid w:val="00BE2CC6"/>
    <w:rsid w:val="00BE371F"/>
    <w:rsid w:val="00BE42DB"/>
    <w:rsid w:val="00BE50F4"/>
    <w:rsid w:val="00BE56DC"/>
    <w:rsid w:val="00BE58D1"/>
    <w:rsid w:val="00BE62BD"/>
    <w:rsid w:val="00BE6D27"/>
    <w:rsid w:val="00BE7DBE"/>
    <w:rsid w:val="00BF1DDB"/>
    <w:rsid w:val="00BF6598"/>
    <w:rsid w:val="00BF6A1F"/>
    <w:rsid w:val="00BF6A4C"/>
    <w:rsid w:val="00C01D7D"/>
    <w:rsid w:val="00C04378"/>
    <w:rsid w:val="00C04BBA"/>
    <w:rsid w:val="00C06F71"/>
    <w:rsid w:val="00C07C0F"/>
    <w:rsid w:val="00C10A9E"/>
    <w:rsid w:val="00C11B60"/>
    <w:rsid w:val="00C14305"/>
    <w:rsid w:val="00C144E4"/>
    <w:rsid w:val="00C14A44"/>
    <w:rsid w:val="00C15AFC"/>
    <w:rsid w:val="00C160A8"/>
    <w:rsid w:val="00C171A6"/>
    <w:rsid w:val="00C17AE9"/>
    <w:rsid w:val="00C22332"/>
    <w:rsid w:val="00C22B94"/>
    <w:rsid w:val="00C22E3F"/>
    <w:rsid w:val="00C245A1"/>
    <w:rsid w:val="00C25C6C"/>
    <w:rsid w:val="00C271FD"/>
    <w:rsid w:val="00C32369"/>
    <w:rsid w:val="00C33317"/>
    <w:rsid w:val="00C333FE"/>
    <w:rsid w:val="00C33D0F"/>
    <w:rsid w:val="00C34890"/>
    <w:rsid w:val="00C37CA5"/>
    <w:rsid w:val="00C41D08"/>
    <w:rsid w:val="00C4218B"/>
    <w:rsid w:val="00C427B0"/>
    <w:rsid w:val="00C46A52"/>
    <w:rsid w:val="00C46FD0"/>
    <w:rsid w:val="00C547F3"/>
    <w:rsid w:val="00C54E6D"/>
    <w:rsid w:val="00C55249"/>
    <w:rsid w:val="00C56452"/>
    <w:rsid w:val="00C56D02"/>
    <w:rsid w:val="00C62106"/>
    <w:rsid w:val="00C63D28"/>
    <w:rsid w:val="00C64A56"/>
    <w:rsid w:val="00C65153"/>
    <w:rsid w:val="00C65218"/>
    <w:rsid w:val="00C66273"/>
    <w:rsid w:val="00C67A09"/>
    <w:rsid w:val="00C7087B"/>
    <w:rsid w:val="00C71E13"/>
    <w:rsid w:val="00C72AD6"/>
    <w:rsid w:val="00C76E01"/>
    <w:rsid w:val="00C77968"/>
    <w:rsid w:val="00C8086B"/>
    <w:rsid w:val="00C808E4"/>
    <w:rsid w:val="00C80967"/>
    <w:rsid w:val="00C82583"/>
    <w:rsid w:val="00C83565"/>
    <w:rsid w:val="00C84181"/>
    <w:rsid w:val="00C84993"/>
    <w:rsid w:val="00C873A2"/>
    <w:rsid w:val="00C90C7B"/>
    <w:rsid w:val="00C93B28"/>
    <w:rsid w:val="00C951D0"/>
    <w:rsid w:val="00C957ED"/>
    <w:rsid w:val="00CA010F"/>
    <w:rsid w:val="00CA0759"/>
    <w:rsid w:val="00CA2FA3"/>
    <w:rsid w:val="00CA4607"/>
    <w:rsid w:val="00CA4AB6"/>
    <w:rsid w:val="00CA4C98"/>
    <w:rsid w:val="00CA547E"/>
    <w:rsid w:val="00CA7982"/>
    <w:rsid w:val="00CB570C"/>
    <w:rsid w:val="00CB7191"/>
    <w:rsid w:val="00CC00C1"/>
    <w:rsid w:val="00CC0141"/>
    <w:rsid w:val="00CC0A83"/>
    <w:rsid w:val="00CC16C0"/>
    <w:rsid w:val="00CC1E78"/>
    <w:rsid w:val="00CC3286"/>
    <w:rsid w:val="00CC348C"/>
    <w:rsid w:val="00CC40ED"/>
    <w:rsid w:val="00CC5F18"/>
    <w:rsid w:val="00CC69AC"/>
    <w:rsid w:val="00CC7478"/>
    <w:rsid w:val="00CC774C"/>
    <w:rsid w:val="00CD31C7"/>
    <w:rsid w:val="00CD423A"/>
    <w:rsid w:val="00CD5730"/>
    <w:rsid w:val="00CD5890"/>
    <w:rsid w:val="00CD72FC"/>
    <w:rsid w:val="00CE2D7A"/>
    <w:rsid w:val="00CE508D"/>
    <w:rsid w:val="00CE77F0"/>
    <w:rsid w:val="00CF038F"/>
    <w:rsid w:val="00CF2C19"/>
    <w:rsid w:val="00CF33E2"/>
    <w:rsid w:val="00CF4055"/>
    <w:rsid w:val="00CF42EC"/>
    <w:rsid w:val="00CF4D35"/>
    <w:rsid w:val="00CF5034"/>
    <w:rsid w:val="00CF594A"/>
    <w:rsid w:val="00CF6B2F"/>
    <w:rsid w:val="00CF6B4F"/>
    <w:rsid w:val="00D03D9D"/>
    <w:rsid w:val="00D060E6"/>
    <w:rsid w:val="00D1171B"/>
    <w:rsid w:val="00D13BF6"/>
    <w:rsid w:val="00D152FE"/>
    <w:rsid w:val="00D16569"/>
    <w:rsid w:val="00D1734D"/>
    <w:rsid w:val="00D21C5E"/>
    <w:rsid w:val="00D229CD"/>
    <w:rsid w:val="00D230E8"/>
    <w:rsid w:val="00D25968"/>
    <w:rsid w:val="00D30C5F"/>
    <w:rsid w:val="00D32EA0"/>
    <w:rsid w:val="00D340E8"/>
    <w:rsid w:val="00D3535D"/>
    <w:rsid w:val="00D35704"/>
    <w:rsid w:val="00D35766"/>
    <w:rsid w:val="00D36037"/>
    <w:rsid w:val="00D36794"/>
    <w:rsid w:val="00D40869"/>
    <w:rsid w:val="00D40EA1"/>
    <w:rsid w:val="00D43A69"/>
    <w:rsid w:val="00D44118"/>
    <w:rsid w:val="00D459D1"/>
    <w:rsid w:val="00D46439"/>
    <w:rsid w:val="00D47A3F"/>
    <w:rsid w:val="00D47F99"/>
    <w:rsid w:val="00D51214"/>
    <w:rsid w:val="00D518E7"/>
    <w:rsid w:val="00D53506"/>
    <w:rsid w:val="00D558F7"/>
    <w:rsid w:val="00D57C4B"/>
    <w:rsid w:val="00D60F4F"/>
    <w:rsid w:val="00D6103D"/>
    <w:rsid w:val="00D61DF9"/>
    <w:rsid w:val="00D62656"/>
    <w:rsid w:val="00D6399C"/>
    <w:rsid w:val="00D6645A"/>
    <w:rsid w:val="00D72407"/>
    <w:rsid w:val="00D728F5"/>
    <w:rsid w:val="00D74765"/>
    <w:rsid w:val="00D74B50"/>
    <w:rsid w:val="00D76C5B"/>
    <w:rsid w:val="00D80AB0"/>
    <w:rsid w:val="00D811DB"/>
    <w:rsid w:val="00D819B5"/>
    <w:rsid w:val="00D824CB"/>
    <w:rsid w:val="00D85009"/>
    <w:rsid w:val="00D86905"/>
    <w:rsid w:val="00D91813"/>
    <w:rsid w:val="00D92321"/>
    <w:rsid w:val="00D92573"/>
    <w:rsid w:val="00D92609"/>
    <w:rsid w:val="00D92E69"/>
    <w:rsid w:val="00D9576D"/>
    <w:rsid w:val="00D9616D"/>
    <w:rsid w:val="00D96D8C"/>
    <w:rsid w:val="00DA0049"/>
    <w:rsid w:val="00DA4CB3"/>
    <w:rsid w:val="00DA5689"/>
    <w:rsid w:val="00DA5751"/>
    <w:rsid w:val="00DA5B93"/>
    <w:rsid w:val="00DA78C3"/>
    <w:rsid w:val="00DB05A1"/>
    <w:rsid w:val="00DB2793"/>
    <w:rsid w:val="00DB3F6F"/>
    <w:rsid w:val="00DB48C8"/>
    <w:rsid w:val="00DB4AAA"/>
    <w:rsid w:val="00DB4D95"/>
    <w:rsid w:val="00DB528F"/>
    <w:rsid w:val="00DB5305"/>
    <w:rsid w:val="00DB62FE"/>
    <w:rsid w:val="00DC050B"/>
    <w:rsid w:val="00DC3F2E"/>
    <w:rsid w:val="00DC4811"/>
    <w:rsid w:val="00DC5A7C"/>
    <w:rsid w:val="00DC621E"/>
    <w:rsid w:val="00DD1290"/>
    <w:rsid w:val="00DD21EB"/>
    <w:rsid w:val="00DD499C"/>
    <w:rsid w:val="00DD50FD"/>
    <w:rsid w:val="00DD6258"/>
    <w:rsid w:val="00DD74F0"/>
    <w:rsid w:val="00DE0EB5"/>
    <w:rsid w:val="00DF2131"/>
    <w:rsid w:val="00DF56DF"/>
    <w:rsid w:val="00DF5A4F"/>
    <w:rsid w:val="00DF5D44"/>
    <w:rsid w:val="00DF78B7"/>
    <w:rsid w:val="00E013B0"/>
    <w:rsid w:val="00E033C6"/>
    <w:rsid w:val="00E03491"/>
    <w:rsid w:val="00E05399"/>
    <w:rsid w:val="00E05E27"/>
    <w:rsid w:val="00E062D9"/>
    <w:rsid w:val="00E06464"/>
    <w:rsid w:val="00E1359F"/>
    <w:rsid w:val="00E14450"/>
    <w:rsid w:val="00E15585"/>
    <w:rsid w:val="00E17110"/>
    <w:rsid w:val="00E17CCE"/>
    <w:rsid w:val="00E17E9F"/>
    <w:rsid w:val="00E21301"/>
    <w:rsid w:val="00E22254"/>
    <w:rsid w:val="00E2420F"/>
    <w:rsid w:val="00E2653A"/>
    <w:rsid w:val="00E3117B"/>
    <w:rsid w:val="00E338AE"/>
    <w:rsid w:val="00E34708"/>
    <w:rsid w:val="00E34BF9"/>
    <w:rsid w:val="00E40D0C"/>
    <w:rsid w:val="00E43390"/>
    <w:rsid w:val="00E4467F"/>
    <w:rsid w:val="00E44E96"/>
    <w:rsid w:val="00E4553F"/>
    <w:rsid w:val="00E54051"/>
    <w:rsid w:val="00E54185"/>
    <w:rsid w:val="00E549DF"/>
    <w:rsid w:val="00E575DF"/>
    <w:rsid w:val="00E5762E"/>
    <w:rsid w:val="00E6058A"/>
    <w:rsid w:val="00E61D7A"/>
    <w:rsid w:val="00E628F1"/>
    <w:rsid w:val="00E630EC"/>
    <w:rsid w:val="00E6483E"/>
    <w:rsid w:val="00E64AD0"/>
    <w:rsid w:val="00E64C97"/>
    <w:rsid w:val="00E65908"/>
    <w:rsid w:val="00E714D8"/>
    <w:rsid w:val="00E750CF"/>
    <w:rsid w:val="00E75415"/>
    <w:rsid w:val="00E76B68"/>
    <w:rsid w:val="00E805AD"/>
    <w:rsid w:val="00E82410"/>
    <w:rsid w:val="00E83BB7"/>
    <w:rsid w:val="00E8436B"/>
    <w:rsid w:val="00E84636"/>
    <w:rsid w:val="00E84810"/>
    <w:rsid w:val="00E853CC"/>
    <w:rsid w:val="00E875B3"/>
    <w:rsid w:val="00E87BF7"/>
    <w:rsid w:val="00E87F5A"/>
    <w:rsid w:val="00E90BCD"/>
    <w:rsid w:val="00E91063"/>
    <w:rsid w:val="00E9165A"/>
    <w:rsid w:val="00E94F77"/>
    <w:rsid w:val="00EA5D59"/>
    <w:rsid w:val="00EA60CF"/>
    <w:rsid w:val="00EA6587"/>
    <w:rsid w:val="00EA72D0"/>
    <w:rsid w:val="00EB1B23"/>
    <w:rsid w:val="00EB1E36"/>
    <w:rsid w:val="00EB31F3"/>
    <w:rsid w:val="00EB66F1"/>
    <w:rsid w:val="00EB6FEC"/>
    <w:rsid w:val="00EC174F"/>
    <w:rsid w:val="00EC4235"/>
    <w:rsid w:val="00EC5974"/>
    <w:rsid w:val="00ED08CC"/>
    <w:rsid w:val="00ED1446"/>
    <w:rsid w:val="00ED184D"/>
    <w:rsid w:val="00ED1EEF"/>
    <w:rsid w:val="00ED4C9A"/>
    <w:rsid w:val="00ED4F22"/>
    <w:rsid w:val="00ED5D22"/>
    <w:rsid w:val="00EE00F8"/>
    <w:rsid w:val="00EE1997"/>
    <w:rsid w:val="00EE24F8"/>
    <w:rsid w:val="00EE3A42"/>
    <w:rsid w:val="00EE4436"/>
    <w:rsid w:val="00EE4C42"/>
    <w:rsid w:val="00EE5D69"/>
    <w:rsid w:val="00EE7AD5"/>
    <w:rsid w:val="00EE7CD3"/>
    <w:rsid w:val="00EE7EF8"/>
    <w:rsid w:val="00EE7F43"/>
    <w:rsid w:val="00EF1A38"/>
    <w:rsid w:val="00EF32B6"/>
    <w:rsid w:val="00EF45A9"/>
    <w:rsid w:val="00EF7C61"/>
    <w:rsid w:val="00F0092B"/>
    <w:rsid w:val="00F00F00"/>
    <w:rsid w:val="00F0105B"/>
    <w:rsid w:val="00F03772"/>
    <w:rsid w:val="00F03806"/>
    <w:rsid w:val="00F103E3"/>
    <w:rsid w:val="00F104FE"/>
    <w:rsid w:val="00F116F2"/>
    <w:rsid w:val="00F1196A"/>
    <w:rsid w:val="00F119DB"/>
    <w:rsid w:val="00F1525E"/>
    <w:rsid w:val="00F16BFE"/>
    <w:rsid w:val="00F1705D"/>
    <w:rsid w:val="00F20AC4"/>
    <w:rsid w:val="00F20EF6"/>
    <w:rsid w:val="00F226C2"/>
    <w:rsid w:val="00F22BA1"/>
    <w:rsid w:val="00F24DC6"/>
    <w:rsid w:val="00F263C8"/>
    <w:rsid w:val="00F2741B"/>
    <w:rsid w:val="00F27654"/>
    <w:rsid w:val="00F30846"/>
    <w:rsid w:val="00F31045"/>
    <w:rsid w:val="00F333C8"/>
    <w:rsid w:val="00F33B07"/>
    <w:rsid w:val="00F403AF"/>
    <w:rsid w:val="00F4079E"/>
    <w:rsid w:val="00F408A6"/>
    <w:rsid w:val="00F4110D"/>
    <w:rsid w:val="00F446EE"/>
    <w:rsid w:val="00F449D3"/>
    <w:rsid w:val="00F44C02"/>
    <w:rsid w:val="00F45E97"/>
    <w:rsid w:val="00F50B86"/>
    <w:rsid w:val="00F53BD6"/>
    <w:rsid w:val="00F53FD3"/>
    <w:rsid w:val="00F551B9"/>
    <w:rsid w:val="00F55FE7"/>
    <w:rsid w:val="00F57AA6"/>
    <w:rsid w:val="00F602E8"/>
    <w:rsid w:val="00F633B1"/>
    <w:rsid w:val="00F650FD"/>
    <w:rsid w:val="00F6772F"/>
    <w:rsid w:val="00F67B5D"/>
    <w:rsid w:val="00F72029"/>
    <w:rsid w:val="00F724C4"/>
    <w:rsid w:val="00F7576D"/>
    <w:rsid w:val="00F77A2C"/>
    <w:rsid w:val="00F80854"/>
    <w:rsid w:val="00F80D23"/>
    <w:rsid w:val="00F81705"/>
    <w:rsid w:val="00F820EB"/>
    <w:rsid w:val="00F8467E"/>
    <w:rsid w:val="00F91124"/>
    <w:rsid w:val="00F923BE"/>
    <w:rsid w:val="00F930FA"/>
    <w:rsid w:val="00F95466"/>
    <w:rsid w:val="00F95745"/>
    <w:rsid w:val="00FA22D2"/>
    <w:rsid w:val="00FA3A47"/>
    <w:rsid w:val="00FA53F6"/>
    <w:rsid w:val="00FA606B"/>
    <w:rsid w:val="00FA6189"/>
    <w:rsid w:val="00FB2010"/>
    <w:rsid w:val="00FB3306"/>
    <w:rsid w:val="00FB404D"/>
    <w:rsid w:val="00FB4060"/>
    <w:rsid w:val="00FB5A5D"/>
    <w:rsid w:val="00FB5C26"/>
    <w:rsid w:val="00FB7CD2"/>
    <w:rsid w:val="00FC0796"/>
    <w:rsid w:val="00FC1EF2"/>
    <w:rsid w:val="00FC21A5"/>
    <w:rsid w:val="00FC3C0C"/>
    <w:rsid w:val="00FC3FF0"/>
    <w:rsid w:val="00FC561B"/>
    <w:rsid w:val="00FC5ECF"/>
    <w:rsid w:val="00FC7211"/>
    <w:rsid w:val="00FD15B0"/>
    <w:rsid w:val="00FD2027"/>
    <w:rsid w:val="00FD34CE"/>
    <w:rsid w:val="00FD4BC5"/>
    <w:rsid w:val="00FD610E"/>
    <w:rsid w:val="00FD7B6B"/>
    <w:rsid w:val="00FE11C7"/>
    <w:rsid w:val="00FE24E4"/>
    <w:rsid w:val="00FE3E3D"/>
    <w:rsid w:val="00FE565D"/>
    <w:rsid w:val="00FE6C5B"/>
    <w:rsid w:val="00FE75B6"/>
    <w:rsid w:val="00FF0227"/>
    <w:rsid w:val="00FF0674"/>
    <w:rsid w:val="00FF21F1"/>
    <w:rsid w:val="00FF32D0"/>
    <w:rsid w:val="00FF3398"/>
    <w:rsid w:val="00FF3F8D"/>
    <w:rsid w:val="00FF4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5B1A"/>
  <w15:chartTrackingRefBased/>
  <w15:docId w15:val="{BB56FEA5-1A16-4541-8013-C4FF3FEE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79F"/>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0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CF5"/>
    <w:pPr>
      <w:ind w:left="720"/>
      <w:contextualSpacing/>
    </w:pPr>
  </w:style>
  <w:style w:type="character" w:styleId="LineNumber">
    <w:name w:val="line number"/>
    <w:basedOn w:val="DefaultParagraphFont"/>
    <w:uiPriority w:val="99"/>
    <w:semiHidden/>
    <w:unhideWhenUsed/>
    <w:rsid w:val="00CD423A"/>
  </w:style>
  <w:style w:type="character" w:styleId="CommentReference">
    <w:name w:val="annotation reference"/>
    <w:basedOn w:val="DefaultParagraphFont"/>
    <w:uiPriority w:val="99"/>
    <w:semiHidden/>
    <w:unhideWhenUsed/>
    <w:rsid w:val="00F80854"/>
    <w:rPr>
      <w:sz w:val="16"/>
      <w:szCs w:val="16"/>
    </w:rPr>
  </w:style>
  <w:style w:type="paragraph" w:styleId="CommentText">
    <w:name w:val="annotation text"/>
    <w:basedOn w:val="Normal"/>
    <w:link w:val="CommentTextChar"/>
    <w:uiPriority w:val="99"/>
    <w:semiHidden/>
    <w:unhideWhenUsed/>
    <w:rsid w:val="00F80854"/>
    <w:rPr>
      <w:sz w:val="20"/>
      <w:szCs w:val="20"/>
    </w:rPr>
  </w:style>
  <w:style w:type="character" w:customStyle="1" w:styleId="CommentTextChar">
    <w:name w:val="Comment Text Char"/>
    <w:basedOn w:val="DefaultParagraphFont"/>
    <w:link w:val="CommentText"/>
    <w:uiPriority w:val="99"/>
    <w:semiHidden/>
    <w:rsid w:val="00F80854"/>
    <w:rPr>
      <w:sz w:val="20"/>
      <w:szCs w:val="20"/>
    </w:rPr>
  </w:style>
  <w:style w:type="paragraph" w:styleId="CommentSubject">
    <w:name w:val="annotation subject"/>
    <w:basedOn w:val="CommentText"/>
    <w:next w:val="CommentText"/>
    <w:link w:val="CommentSubjectChar"/>
    <w:uiPriority w:val="99"/>
    <w:semiHidden/>
    <w:unhideWhenUsed/>
    <w:rsid w:val="00F80854"/>
    <w:rPr>
      <w:b/>
      <w:bCs/>
    </w:rPr>
  </w:style>
  <w:style w:type="character" w:customStyle="1" w:styleId="CommentSubjectChar">
    <w:name w:val="Comment Subject Char"/>
    <w:basedOn w:val="CommentTextChar"/>
    <w:link w:val="CommentSubject"/>
    <w:uiPriority w:val="99"/>
    <w:semiHidden/>
    <w:rsid w:val="00F80854"/>
    <w:rPr>
      <w:b/>
      <w:bCs/>
      <w:sz w:val="20"/>
      <w:szCs w:val="20"/>
    </w:rPr>
  </w:style>
  <w:style w:type="paragraph" w:styleId="BalloonText">
    <w:name w:val="Balloon Text"/>
    <w:basedOn w:val="Normal"/>
    <w:link w:val="BalloonTextChar"/>
    <w:uiPriority w:val="99"/>
    <w:semiHidden/>
    <w:unhideWhenUsed/>
    <w:rsid w:val="00F8085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854"/>
    <w:rPr>
      <w:rFonts w:ascii="Segoe UI" w:hAnsi="Segoe UI" w:cs="Segoe UI"/>
      <w:sz w:val="18"/>
      <w:szCs w:val="18"/>
    </w:rPr>
  </w:style>
  <w:style w:type="paragraph" w:styleId="Revision">
    <w:name w:val="Revision"/>
    <w:hidden/>
    <w:uiPriority w:val="99"/>
    <w:semiHidden/>
    <w:rsid w:val="002B2C3E"/>
    <w:pPr>
      <w:spacing w:after="0" w:line="240" w:lineRule="auto"/>
    </w:pPr>
  </w:style>
  <w:style w:type="paragraph" w:customStyle="1" w:styleId="xxmsonormal">
    <w:name w:val="x_xmsonormal"/>
    <w:basedOn w:val="Normal"/>
    <w:rsid w:val="00442F5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42F58"/>
  </w:style>
  <w:style w:type="character" w:styleId="Hyperlink">
    <w:name w:val="Hyperlink"/>
    <w:basedOn w:val="DefaultParagraphFont"/>
    <w:uiPriority w:val="99"/>
    <w:unhideWhenUsed/>
    <w:rsid w:val="00204B6E"/>
    <w:rPr>
      <w:color w:val="0563C1" w:themeColor="hyperlink"/>
      <w:u w:val="single"/>
    </w:rPr>
  </w:style>
  <w:style w:type="character" w:styleId="UnresolvedMention">
    <w:name w:val="Unresolved Mention"/>
    <w:basedOn w:val="DefaultParagraphFont"/>
    <w:uiPriority w:val="99"/>
    <w:semiHidden/>
    <w:unhideWhenUsed/>
    <w:rsid w:val="00204B6E"/>
    <w:rPr>
      <w:color w:val="605E5C"/>
      <w:shd w:val="clear" w:color="auto" w:fill="E1DFDD"/>
    </w:rPr>
  </w:style>
  <w:style w:type="paragraph" w:styleId="Header">
    <w:name w:val="header"/>
    <w:basedOn w:val="Normal"/>
    <w:link w:val="HeaderChar"/>
    <w:uiPriority w:val="99"/>
    <w:unhideWhenUsed/>
    <w:rsid w:val="00054F71"/>
    <w:pPr>
      <w:tabs>
        <w:tab w:val="center" w:pos="4513"/>
        <w:tab w:val="right" w:pos="9026"/>
      </w:tabs>
      <w:spacing w:after="0"/>
    </w:pPr>
  </w:style>
  <w:style w:type="character" w:customStyle="1" w:styleId="HeaderChar">
    <w:name w:val="Header Char"/>
    <w:basedOn w:val="DefaultParagraphFont"/>
    <w:link w:val="Header"/>
    <w:uiPriority w:val="99"/>
    <w:rsid w:val="00054F71"/>
  </w:style>
  <w:style w:type="paragraph" w:styleId="Footer">
    <w:name w:val="footer"/>
    <w:basedOn w:val="Normal"/>
    <w:link w:val="FooterChar"/>
    <w:uiPriority w:val="99"/>
    <w:unhideWhenUsed/>
    <w:rsid w:val="00054F71"/>
    <w:pPr>
      <w:tabs>
        <w:tab w:val="center" w:pos="4513"/>
        <w:tab w:val="right" w:pos="9026"/>
      </w:tabs>
      <w:spacing w:after="0"/>
    </w:pPr>
  </w:style>
  <w:style w:type="character" w:customStyle="1" w:styleId="FooterChar">
    <w:name w:val="Footer Char"/>
    <w:basedOn w:val="DefaultParagraphFont"/>
    <w:link w:val="Footer"/>
    <w:uiPriority w:val="99"/>
    <w:rsid w:val="00054F71"/>
  </w:style>
  <w:style w:type="character" w:styleId="PlaceholderText">
    <w:name w:val="Placeholder Text"/>
    <w:basedOn w:val="DefaultParagraphFont"/>
    <w:uiPriority w:val="99"/>
    <w:semiHidden/>
    <w:rsid w:val="00DB4A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8097">
      <w:bodyDiv w:val="1"/>
      <w:marLeft w:val="0"/>
      <w:marRight w:val="0"/>
      <w:marTop w:val="0"/>
      <w:marBottom w:val="0"/>
      <w:divBdr>
        <w:top w:val="none" w:sz="0" w:space="0" w:color="auto"/>
        <w:left w:val="none" w:sz="0" w:space="0" w:color="auto"/>
        <w:bottom w:val="none" w:sz="0" w:space="0" w:color="auto"/>
        <w:right w:val="none" w:sz="0" w:space="0" w:color="auto"/>
      </w:divBdr>
      <w:divsChild>
        <w:div w:id="1757900745">
          <w:marLeft w:val="0"/>
          <w:marRight w:val="0"/>
          <w:marTop w:val="0"/>
          <w:marBottom w:val="0"/>
          <w:divBdr>
            <w:top w:val="none" w:sz="0" w:space="0" w:color="auto"/>
            <w:left w:val="none" w:sz="0" w:space="0" w:color="auto"/>
            <w:bottom w:val="none" w:sz="0" w:space="0" w:color="auto"/>
            <w:right w:val="none" w:sz="0" w:space="0" w:color="auto"/>
          </w:divBdr>
          <w:divsChild>
            <w:div w:id="968703890">
              <w:marLeft w:val="-240"/>
              <w:marRight w:val="-120"/>
              <w:marTop w:val="0"/>
              <w:marBottom w:val="0"/>
              <w:divBdr>
                <w:top w:val="none" w:sz="0" w:space="0" w:color="auto"/>
                <w:left w:val="none" w:sz="0" w:space="0" w:color="auto"/>
                <w:bottom w:val="none" w:sz="0" w:space="0" w:color="auto"/>
                <w:right w:val="none" w:sz="0" w:space="0" w:color="auto"/>
              </w:divBdr>
              <w:divsChild>
                <w:div w:id="433986360">
                  <w:marLeft w:val="0"/>
                  <w:marRight w:val="0"/>
                  <w:marTop w:val="0"/>
                  <w:marBottom w:val="60"/>
                  <w:divBdr>
                    <w:top w:val="none" w:sz="0" w:space="0" w:color="auto"/>
                    <w:left w:val="none" w:sz="0" w:space="0" w:color="auto"/>
                    <w:bottom w:val="none" w:sz="0" w:space="0" w:color="auto"/>
                    <w:right w:val="none" w:sz="0" w:space="0" w:color="auto"/>
                  </w:divBdr>
                  <w:divsChild>
                    <w:div w:id="1156146707">
                      <w:marLeft w:val="0"/>
                      <w:marRight w:val="0"/>
                      <w:marTop w:val="0"/>
                      <w:marBottom w:val="0"/>
                      <w:divBdr>
                        <w:top w:val="none" w:sz="0" w:space="0" w:color="auto"/>
                        <w:left w:val="none" w:sz="0" w:space="0" w:color="auto"/>
                        <w:bottom w:val="none" w:sz="0" w:space="0" w:color="auto"/>
                        <w:right w:val="none" w:sz="0" w:space="0" w:color="auto"/>
                      </w:divBdr>
                      <w:divsChild>
                        <w:div w:id="1445534907">
                          <w:marLeft w:val="0"/>
                          <w:marRight w:val="0"/>
                          <w:marTop w:val="0"/>
                          <w:marBottom w:val="0"/>
                          <w:divBdr>
                            <w:top w:val="none" w:sz="0" w:space="0" w:color="auto"/>
                            <w:left w:val="none" w:sz="0" w:space="0" w:color="auto"/>
                            <w:bottom w:val="none" w:sz="0" w:space="0" w:color="auto"/>
                            <w:right w:val="none" w:sz="0" w:space="0" w:color="auto"/>
                          </w:divBdr>
                          <w:divsChild>
                            <w:div w:id="207884905">
                              <w:marLeft w:val="0"/>
                              <w:marRight w:val="0"/>
                              <w:marTop w:val="0"/>
                              <w:marBottom w:val="0"/>
                              <w:divBdr>
                                <w:top w:val="none" w:sz="0" w:space="0" w:color="auto"/>
                                <w:left w:val="none" w:sz="0" w:space="0" w:color="auto"/>
                                <w:bottom w:val="none" w:sz="0" w:space="0" w:color="auto"/>
                                <w:right w:val="none" w:sz="0" w:space="0" w:color="auto"/>
                              </w:divBdr>
                              <w:divsChild>
                                <w:div w:id="20189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376">
      <w:bodyDiv w:val="1"/>
      <w:marLeft w:val="0"/>
      <w:marRight w:val="0"/>
      <w:marTop w:val="0"/>
      <w:marBottom w:val="0"/>
      <w:divBdr>
        <w:top w:val="none" w:sz="0" w:space="0" w:color="auto"/>
        <w:left w:val="none" w:sz="0" w:space="0" w:color="auto"/>
        <w:bottom w:val="none" w:sz="0" w:space="0" w:color="auto"/>
        <w:right w:val="none" w:sz="0" w:space="0" w:color="auto"/>
      </w:divBdr>
    </w:div>
    <w:div w:id="184709697">
      <w:bodyDiv w:val="1"/>
      <w:marLeft w:val="0"/>
      <w:marRight w:val="0"/>
      <w:marTop w:val="0"/>
      <w:marBottom w:val="0"/>
      <w:divBdr>
        <w:top w:val="none" w:sz="0" w:space="0" w:color="auto"/>
        <w:left w:val="none" w:sz="0" w:space="0" w:color="auto"/>
        <w:bottom w:val="none" w:sz="0" w:space="0" w:color="auto"/>
        <w:right w:val="none" w:sz="0" w:space="0" w:color="auto"/>
      </w:divBdr>
    </w:div>
    <w:div w:id="244192262">
      <w:bodyDiv w:val="1"/>
      <w:marLeft w:val="0"/>
      <w:marRight w:val="0"/>
      <w:marTop w:val="0"/>
      <w:marBottom w:val="0"/>
      <w:divBdr>
        <w:top w:val="none" w:sz="0" w:space="0" w:color="auto"/>
        <w:left w:val="none" w:sz="0" w:space="0" w:color="auto"/>
        <w:bottom w:val="none" w:sz="0" w:space="0" w:color="auto"/>
        <w:right w:val="none" w:sz="0" w:space="0" w:color="auto"/>
      </w:divBdr>
    </w:div>
    <w:div w:id="282658001">
      <w:bodyDiv w:val="1"/>
      <w:marLeft w:val="0"/>
      <w:marRight w:val="0"/>
      <w:marTop w:val="0"/>
      <w:marBottom w:val="0"/>
      <w:divBdr>
        <w:top w:val="none" w:sz="0" w:space="0" w:color="auto"/>
        <w:left w:val="none" w:sz="0" w:space="0" w:color="auto"/>
        <w:bottom w:val="none" w:sz="0" w:space="0" w:color="auto"/>
        <w:right w:val="none" w:sz="0" w:space="0" w:color="auto"/>
      </w:divBdr>
      <w:divsChild>
        <w:div w:id="1983727434">
          <w:marLeft w:val="0"/>
          <w:marRight w:val="0"/>
          <w:marTop w:val="0"/>
          <w:marBottom w:val="0"/>
          <w:divBdr>
            <w:top w:val="none" w:sz="0" w:space="0" w:color="auto"/>
            <w:left w:val="none" w:sz="0" w:space="0" w:color="auto"/>
            <w:bottom w:val="none" w:sz="0" w:space="0" w:color="auto"/>
            <w:right w:val="none" w:sz="0" w:space="0" w:color="auto"/>
          </w:divBdr>
          <w:divsChild>
            <w:div w:id="1414743211">
              <w:marLeft w:val="0"/>
              <w:marRight w:val="0"/>
              <w:marTop w:val="450"/>
              <w:marBottom w:val="450"/>
              <w:divBdr>
                <w:top w:val="none" w:sz="0" w:space="0" w:color="auto"/>
                <w:left w:val="none" w:sz="0" w:space="0" w:color="auto"/>
                <w:bottom w:val="none" w:sz="0" w:space="0" w:color="auto"/>
                <w:right w:val="none" w:sz="0" w:space="0" w:color="auto"/>
              </w:divBdr>
              <w:divsChild>
                <w:div w:id="1013529880">
                  <w:marLeft w:val="0"/>
                  <w:marRight w:val="0"/>
                  <w:marTop w:val="0"/>
                  <w:marBottom w:val="0"/>
                  <w:divBdr>
                    <w:top w:val="none" w:sz="0" w:space="0" w:color="auto"/>
                    <w:left w:val="none" w:sz="0" w:space="0" w:color="auto"/>
                    <w:bottom w:val="none" w:sz="0" w:space="0" w:color="auto"/>
                    <w:right w:val="none" w:sz="0" w:space="0" w:color="auto"/>
                  </w:divBdr>
                  <w:divsChild>
                    <w:div w:id="17002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02845">
      <w:bodyDiv w:val="1"/>
      <w:marLeft w:val="0"/>
      <w:marRight w:val="0"/>
      <w:marTop w:val="0"/>
      <w:marBottom w:val="0"/>
      <w:divBdr>
        <w:top w:val="none" w:sz="0" w:space="0" w:color="auto"/>
        <w:left w:val="none" w:sz="0" w:space="0" w:color="auto"/>
        <w:bottom w:val="none" w:sz="0" w:space="0" w:color="auto"/>
        <w:right w:val="none" w:sz="0" w:space="0" w:color="auto"/>
      </w:divBdr>
      <w:divsChild>
        <w:div w:id="152184604">
          <w:marLeft w:val="0"/>
          <w:marRight w:val="0"/>
          <w:marTop w:val="0"/>
          <w:marBottom w:val="0"/>
          <w:divBdr>
            <w:top w:val="none" w:sz="0" w:space="0" w:color="auto"/>
            <w:left w:val="none" w:sz="0" w:space="0" w:color="auto"/>
            <w:bottom w:val="none" w:sz="0" w:space="0" w:color="auto"/>
            <w:right w:val="none" w:sz="0" w:space="0" w:color="auto"/>
          </w:divBdr>
          <w:divsChild>
            <w:div w:id="1758013093">
              <w:marLeft w:val="-240"/>
              <w:marRight w:val="-120"/>
              <w:marTop w:val="0"/>
              <w:marBottom w:val="0"/>
              <w:divBdr>
                <w:top w:val="none" w:sz="0" w:space="0" w:color="auto"/>
                <w:left w:val="none" w:sz="0" w:space="0" w:color="auto"/>
                <w:bottom w:val="none" w:sz="0" w:space="0" w:color="auto"/>
                <w:right w:val="none" w:sz="0" w:space="0" w:color="auto"/>
              </w:divBdr>
              <w:divsChild>
                <w:div w:id="1639648096">
                  <w:marLeft w:val="0"/>
                  <w:marRight w:val="0"/>
                  <w:marTop w:val="0"/>
                  <w:marBottom w:val="60"/>
                  <w:divBdr>
                    <w:top w:val="none" w:sz="0" w:space="0" w:color="auto"/>
                    <w:left w:val="none" w:sz="0" w:space="0" w:color="auto"/>
                    <w:bottom w:val="none" w:sz="0" w:space="0" w:color="auto"/>
                    <w:right w:val="none" w:sz="0" w:space="0" w:color="auto"/>
                  </w:divBdr>
                  <w:divsChild>
                    <w:div w:id="1291401292">
                      <w:marLeft w:val="0"/>
                      <w:marRight w:val="0"/>
                      <w:marTop w:val="0"/>
                      <w:marBottom w:val="0"/>
                      <w:divBdr>
                        <w:top w:val="none" w:sz="0" w:space="0" w:color="auto"/>
                        <w:left w:val="none" w:sz="0" w:space="0" w:color="auto"/>
                        <w:bottom w:val="none" w:sz="0" w:space="0" w:color="auto"/>
                        <w:right w:val="none" w:sz="0" w:space="0" w:color="auto"/>
                      </w:divBdr>
                      <w:divsChild>
                        <w:div w:id="2113695190">
                          <w:marLeft w:val="0"/>
                          <w:marRight w:val="0"/>
                          <w:marTop w:val="0"/>
                          <w:marBottom w:val="0"/>
                          <w:divBdr>
                            <w:top w:val="none" w:sz="0" w:space="0" w:color="auto"/>
                            <w:left w:val="none" w:sz="0" w:space="0" w:color="auto"/>
                            <w:bottom w:val="none" w:sz="0" w:space="0" w:color="auto"/>
                            <w:right w:val="none" w:sz="0" w:space="0" w:color="auto"/>
                          </w:divBdr>
                          <w:divsChild>
                            <w:div w:id="484208067">
                              <w:marLeft w:val="0"/>
                              <w:marRight w:val="0"/>
                              <w:marTop w:val="0"/>
                              <w:marBottom w:val="0"/>
                              <w:divBdr>
                                <w:top w:val="none" w:sz="0" w:space="0" w:color="auto"/>
                                <w:left w:val="none" w:sz="0" w:space="0" w:color="auto"/>
                                <w:bottom w:val="none" w:sz="0" w:space="0" w:color="auto"/>
                                <w:right w:val="none" w:sz="0" w:space="0" w:color="auto"/>
                              </w:divBdr>
                              <w:divsChild>
                                <w:div w:id="11009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643732">
      <w:bodyDiv w:val="1"/>
      <w:marLeft w:val="0"/>
      <w:marRight w:val="0"/>
      <w:marTop w:val="0"/>
      <w:marBottom w:val="0"/>
      <w:divBdr>
        <w:top w:val="none" w:sz="0" w:space="0" w:color="auto"/>
        <w:left w:val="none" w:sz="0" w:space="0" w:color="auto"/>
        <w:bottom w:val="none" w:sz="0" w:space="0" w:color="auto"/>
        <w:right w:val="none" w:sz="0" w:space="0" w:color="auto"/>
      </w:divBdr>
    </w:div>
    <w:div w:id="597174701">
      <w:bodyDiv w:val="1"/>
      <w:marLeft w:val="0"/>
      <w:marRight w:val="0"/>
      <w:marTop w:val="0"/>
      <w:marBottom w:val="0"/>
      <w:divBdr>
        <w:top w:val="none" w:sz="0" w:space="0" w:color="auto"/>
        <w:left w:val="none" w:sz="0" w:space="0" w:color="auto"/>
        <w:bottom w:val="none" w:sz="0" w:space="0" w:color="auto"/>
        <w:right w:val="none" w:sz="0" w:space="0" w:color="auto"/>
      </w:divBdr>
    </w:div>
    <w:div w:id="646473808">
      <w:bodyDiv w:val="1"/>
      <w:marLeft w:val="0"/>
      <w:marRight w:val="0"/>
      <w:marTop w:val="0"/>
      <w:marBottom w:val="0"/>
      <w:divBdr>
        <w:top w:val="none" w:sz="0" w:space="0" w:color="auto"/>
        <w:left w:val="none" w:sz="0" w:space="0" w:color="auto"/>
        <w:bottom w:val="none" w:sz="0" w:space="0" w:color="auto"/>
        <w:right w:val="none" w:sz="0" w:space="0" w:color="auto"/>
      </w:divBdr>
    </w:div>
    <w:div w:id="821852433">
      <w:bodyDiv w:val="1"/>
      <w:marLeft w:val="0"/>
      <w:marRight w:val="0"/>
      <w:marTop w:val="0"/>
      <w:marBottom w:val="0"/>
      <w:divBdr>
        <w:top w:val="none" w:sz="0" w:space="0" w:color="auto"/>
        <w:left w:val="none" w:sz="0" w:space="0" w:color="auto"/>
        <w:bottom w:val="none" w:sz="0" w:space="0" w:color="auto"/>
        <w:right w:val="none" w:sz="0" w:space="0" w:color="auto"/>
      </w:divBdr>
    </w:div>
    <w:div w:id="822770459">
      <w:bodyDiv w:val="1"/>
      <w:marLeft w:val="0"/>
      <w:marRight w:val="0"/>
      <w:marTop w:val="0"/>
      <w:marBottom w:val="0"/>
      <w:divBdr>
        <w:top w:val="none" w:sz="0" w:space="0" w:color="auto"/>
        <w:left w:val="none" w:sz="0" w:space="0" w:color="auto"/>
        <w:bottom w:val="none" w:sz="0" w:space="0" w:color="auto"/>
        <w:right w:val="none" w:sz="0" w:space="0" w:color="auto"/>
      </w:divBdr>
    </w:div>
    <w:div w:id="839849702">
      <w:bodyDiv w:val="1"/>
      <w:marLeft w:val="0"/>
      <w:marRight w:val="0"/>
      <w:marTop w:val="0"/>
      <w:marBottom w:val="0"/>
      <w:divBdr>
        <w:top w:val="none" w:sz="0" w:space="0" w:color="auto"/>
        <w:left w:val="none" w:sz="0" w:space="0" w:color="auto"/>
        <w:bottom w:val="none" w:sz="0" w:space="0" w:color="auto"/>
        <w:right w:val="none" w:sz="0" w:space="0" w:color="auto"/>
      </w:divBdr>
    </w:div>
    <w:div w:id="866406439">
      <w:bodyDiv w:val="1"/>
      <w:marLeft w:val="0"/>
      <w:marRight w:val="0"/>
      <w:marTop w:val="0"/>
      <w:marBottom w:val="0"/>
      <w:divBdr>
        <w:top w:val="none" w:sz="0" w:space="0" w:color="auto"/>
        <w:left w:val="none" w:sz="0" w:space="0" w:color="auto"/>
        <w:bottom w:val="none" w:sz="0" w:space="0" w:color="auto"/>
        <w:right w:val="none" w:sz="0" w:space="0" w:color="auto"/>
      </w:divBdr>
      <w:divsChild>
        <w:div w:id="1891916212">
          <w:marLeft w:val="0"/>
          <w:marRight w:val="0"/>
          <w:marTop w:val="0"/>
          <w:marBottom w:val="0"/>
          <w:divBdr>
            <w:top w:val="none" w:sz="0" w:space="0" w:color="auto"/>
            <w:left w:val="none" w:sz="0" w:space="0" w:color="auto"/>
            <w:bottom w:val="none" w:sz="0" w:space="0" w:color="auto"/>
            <w:right w:val="none" w:sz="0" w:space="0" w:color="auto"/>
          </w:divBdr>
        </w:div>
        <w:div w:id="1661232268">
          <w:marLeft w:val="0"/>
          <w:marRight w:val="0"/>
          <w:marTop w:val="0"/>
          <w:marBottom w:val="0"/>
          <w:divBdr>
            <w:top w:val="none" w:sz="0" w:space="0" w:color="auto"/>
            <w:left w:val="none" w:sz="0" w:space="0" w:color="auto"/>
            <w:bottom w:val="none" w:sz="0" w:space="0" w:color="auto"/>
            <w:right w:val="none" w:sz="0" w:space="0" w:color="auto"/>
          </w:divBdr>
        </w:div>
        <w:div w:id="1814636824">
          <w:marLeft w:val="0"/>
          <w:marRight w:val="0"/>
          <w:marTop w:val="0"/>
          <w:marBottom w:val="0"/>
          <w:divBdr>
            <w:top w:val="none" w:sz="0" w:space="0" w:color="auto"/>
            <w:left w:val="none" w:sz="0" w:space="0" w:color="auto"/>
            <w:bottom w:val="none" w:sz="0" w:space="0" w:color="auto"/>
            <w:right w:val="none" w:sz="0" w:space="0" w:color="auto"/>
          </w:divBdr>
        </w:div>
        <w:div w:id="356545442">
          <w:marLeft w:val="0"/>
          <w:marRight w:val="0"/>
          <w:marTop w:val="0"/>
          <w:marBottom w:val="0"/>
          <w:divBdr>
            <w:top w:val="none" w:sz="0" w:space="0" w:color="auto"/>
            <w:left w:val="none" w:sz="0" w:space="0" w:color="auto"/>
            <w:bottom w:val="none" w:sz="0" w:space="0" w:color="auto"/>
            <w:right w:val="none" w:sz="0" w:space="0" w:color="auto"/>
          </w:divBdr>
        </w:div>
      </w:divsChild>
    </w:div>
    <w:div w:id="887229517">
      <w:bodyDiv w:val="1"/>
      <w:marLeft w:val="0"/>
      <w:marRight w:val="0"/>
      <w:marTop w:val="0"/>
      <w:marBottom w:val="0"/>
      <w:divBdr>
        <w:top w:val="none" w:sz="0" w:space="0" w:color="auto"/>
        <w:left w:val="none" w:sz="0" w:space="0" w:color="auto"/>
        <w:bottom w:val="none" w:sz="0" w:space="0" w:color="auto"/>
        <w:right w:val="none" w:sz="0" w:space="0" w:color="auto"/>
      </w:divBdr>
    </w:div>
    <w:div w:id="909585408">
      <w:bodyDiv w:val="1"/>
      <w:marLeft w:val="0"/>
      <w:marRight w:val="0"/>
      <w:marTop w:val="0"/>
      <w:marBottom w:val="0"/>
      <w:divBdr>
        <w:top w:val="none" w:sz="0" w:space="0" w:color="auto"/>
        <w:left w:val="none" w:sz="0" w:space="0" w:color="auto"/>
        <w:bottom w:val="none" w:sz="0" w:space="0" w:color="auto"/>
        <w:right w:val="none" w:sz="0" w:space="0" w:color="auto"/>
      </w:divBdr>
    </w:div>
    <w:div w:id="963922437">
      <w:bodyDiv w:val="1"/>
      <w:marLeft w:val="0"/>
      <w:marRight w:val="0"/>
      <w:marTop w:val="0"/>
      <w:marBottom w:val="0"/>
      <w:divBdr>
        <w:top w:val="none" w:sz="0" w:space="0" w:color="auto"/>
        <w:left w:val="none" w:sz="0" w:space="0" w:color="auto"/>
        <w:bottom w:val="none" w:sz="0" w:space="0" w:color="auto"/>
        <w:right w:val="none" w:sz="0" w:space="0" w:color="auto"/>
      </w:divBdr>
    </w:div>
    <w:div w:id="1137340128">
      <w:bodyDiv w:val="1"/>
      <w:marLeft w:val="0"/>
      <w:marRight w:val="0"/>
      <w:marTop w:val="0"/>
      <w:marBottom w:val="0"/>
      <w:divBdr>
        <w:top w:val="none" w:sz="0" w:space="0" w:color="auto"/>
        <w:left w:val="none" w:sz="0" w:space="0" w:color="auto"/>
        <w:bottom w:val="none" w:sz="0" w:space="0" w:color="auto"/>
        <w:right w:val="none" w:sz="0" w:space="0" w:color="auto"/>
      </w:divBdr>
    </w:div>
    <w:div w:id="1138690589">
      <w:bodyDiv w:val="1"/>
      <w:marLeft w:val="0"/>
      <w:marRight w:val="0"/>
      <w:marTop w:val="0"/>
      <w:marBottom w:val="0"/>
      <w:divBdr>
        <w:top w:val="none" w:sz="0" w:space="0" w:color="auto"/>
        <w:left w:val="none" w:sz="0" w:space="0" w:color="auto"/>
        <w:bottom w:val="none" w:sz="0" w:space="0" w:color="auto"/>
        <w:right w:val="none" w:sz="0" w:space="0" w:color="auto"/>
      </w:divBdr>
    </w:div>
    <w:div w:id="1148206147">
      <w:bodyDiv w:val="1"/>
      <w:marLeft w:val="0"/>
      <w:marRight w:val="0"/>
      <w:marTop w:val="0"/>
      <w:marBottom w:val="0"/>
      <w:divBdr>
        <w:top w:val="none" w:sz="0" w:space="0" w:color="auto"/>
        <w:left w:val="none" w:sz="0" w:space="0" w:color="auto"/>
        <w:bottom w:val="none" w:sz="0" w:space="0" w:color="auto"/>
        <w:right w:val="none" w:sz="0" w:space="0" w:color="auto"/>
      </w:divBdr>
      <w:divsChild>
        <w:div w:id="1842505977">
          <w:marLeft w:val="0"/>
          <w:marRight w:val="0"/>
          <w:marTop w:val="0"/>
          <w:marBottom w:val="0"/>
          <w:divBdr>
            <w:top w:val="none" w:sz="0" w:space="0" w:color="auto"/>
            <w:left w:val="none" w:sz="0" w:space="0" w:color="auto"/>
            <w:bottom w:val="none" w:sz="0" w:space="0" w:color="auto"/>
            <w:right w:val="none" w:sz="0" w:space="0" w:color="auto"/>
          </w:divBdr>
          <w:divsChild>
            <w:div w:id="910043332">
              <w:marLeft w:val="0"/>
              <w:marRight w:val="0"/>
              <w:marTop w:val="0"/>
              <w:marBottom w:val="0"/>
              <w:divBdr>
                <w:top w:val="none" w:sz="0" w:space="0" w:color="auto"/>
                <w:left w:val="none" w:sz="0" w:space="0" w:color="auto"/>
                <w:bottom w:val="none" w:sz="0" w:space="0" w:color="auto"/>
                <w:right w:val="none" w:sz="0" w:space="0" w:color="auto"/>
              </w:divBdr>
              <w:divsChild>
                <w:div w:id="15618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30040">
      <w:bodyDiv w:val="1"/>
      <w:marLeft w:val="0"/>
      <w:marRight w:val="0"/>
      <w:marTop w:val="0"/>
      <w:marBottom w:val="0"/>
      <w:divBdr>
        <w:top w:val="none" w:sz="0" w:space="0" w:color="auto"/>
        <w:left w:val="none" w:sz="0" w:space="0" w:color="auto"/>
        <w:bottom w:val="none" w:sz="0" w:space="0" w:color="auto"/>
        <w:right w:val="none" w:sz="0" w:space="0" w:color="auto"/>
      </w:divBdr>
    </w:div>
    <w:div w:id="1184317948">
      <w:bodyDiv w:val="1"/>
      <w:marLeft w:val="0"/>
      <w:marRight w:val="0"/>
      <w:marTop w:val="0"/>
      <w:marBottom w:val="0"/>
      <w:divBdr>
        <w:top w:val="none" w:sz="0" w:space="0" w:color="auto"/>
        <w:left w:val="none" w:sz="0" w:space="0" w:color="auto"/>
        <w:bottom w:val="none" w:sz="0" w:space="0" w:color="auto"/>
        <w:right w:val="none" w:sz="0" w:space="0" w:color="auto"/>
      </w:divBdr>
    </w:div>
    <w:div w:id="1187869878">
      <w:bodyDiv w:val="1"/>
      <w:marLeft w:val="0"/>
      <w:marRight w:val="0"/>
      <w:marTop w:val="0"/>
      <w:marBottom w:val="0"/>
      <w:divBdr>
        <w:top w:val="none" w:sz="0" w:space="0" w:color="auto"/>
        <w:left w:val="none" w:sz="0" w:space="0" w:color="auto"/>
        <w:bottom w:val="none" w:sz="0" w:space="0" w:color="auto"/>
        <w:right w:val="none" w:sz="0" w:space="0" w:color="auto"/>
      </w:divBdr>
    </w:div>
    <w:div w:id="1202598676">
      <w:bodyDiv w:val="1"/>
      <w:marLeft w:val="0"/>
      <w:marRight w:val="0"/>
      <w:marTop w:val="0"/>
      <w:marBottom w:val="0"/>
      <w:divBdr>
        <w:top w:val="none" w:sz="0" w:space="0" w:color="auto"/>
        <w:left w:val="none" w:sz="0" w:space="0" w:color="auto"/>
        <w:bottom w:val="none" w:sz="0" w:space="0" w:color="auto"/>
        <w:right w:val="none" w:sz="0" w:space="0" w:color="auto"/>
      </w:divBdr>
    </w:div>
    <w:div w:id="1203908337">
      <w:bodyDiv w:val="1"/>
      <w:marLeft w:val="0"/>
      <w:marRight w:val="0"/>
      <w:marTop w:val="0"/>
      <w:marBottom w:val="0"/>
      <w:divBdr>
        <w:top w:val="none" w:sz="0" w:space="0" w:color="auto"/>
        <w:left w:val="none" w:sz="0" w:space="0" w:color="auto"/>
        <w:bottom w:val="none" w:sz="0" w:space="0" w:color="auto"/>
        <w:right w:val="none" w:sz="0" w:space="0" w:color="auto"/>
      </w:divBdr>
    </w:div>
    <w:div w:id="1210535674">
      <w:bodyDiv w:val="1"/>
      <w:marLeft w:val="0"/>
      <w:marRight w:val="0"/>
      <w:marTop w:val="0"/>
      <w:marBottom w:val="0"/>
      <w:divBdr>
        <w:top w:val="none" w:sz="0" w:space="0" w:color="auto"/>
        <w:left w:val="none" w:sz="0" w:space="0" w:color="auto"/>
        <w:bottom w:val="none" w:sz="0" w:space="0" w:color="auto"/>
        <w:right w:val="none" w:sz="0" w:space="0" w:color="auto"/>
      </w:divBdr>
      <w:divsChild>
        <w:div w:id="834415284">
          <w:marLeft w:val="0"/>
          <w:marRight w:val="0"/>
          <w:marTop w:val="0"/>
          <w:marBottom w:val="0"/>
          <w:divBdr>
            <w:top w:val="none" w:sz="0" w:space="0" w:color="auto"/>
            <w:left w:val="none" w:sz="0" w:space="0" w:color="auto"/>
            <w:bottom w:val="none" w:sz="0" w:space="0" w:color="auto"/>
            <w:right w:val="none" w:sz="0" w:space="0" w:color="auto"/>
          </w:divBdr>
          <w:divsChild>
            <w:div w:id="6753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71508">
      <w:bodyDiv w:val="1"/>
      <w:marLeft w:val="0"/>
      <w:marRight w:val="0"/>
      <w:marTop w:val="0"/>
      <w:marBottom w:val="0"/>
      <w:divBdr>
        <w:top w:val="none" w:sz="0" w:space="0" w:color="auto"/>
        <w:left w:val="none" w:sz="0" w:space="0" w:color="auto"/>
        <w:bottom w:val="none" w:sz="0" w:space="0" w:color="auto"/>
        <w:right w:val="none" w:sz="0" w:space="0" w:color="auto"/>
      </w:divBdr>
      <w:divsChild>
        <w:div w:id="349139730">
          <w:marLeft w:val="0"/>
          <w:marRight w:val="0"/>
          <w:marTop w:val="0"/>
          <w:marBottom w:val="0"/>
          <w:divBdr>
            <w:top w:val="none" w:sz="0" w:space="0" w:color="auto"/>
            <w:left w:val="none" w:sz="0" w:space="0" w:color="auto"/>
            <w:bottom w:val="none" w:sz="0" w:space="0" w:color="auto"/>
            <w:right w:val="none" w:sz="0" w:space="0" w:color="auto"/>
          </w:divBdr>
          <w:divsChild>
            <w:div w:id="1613705450">
              <w:marLeft w:val="-240"/>
              <w:marRight w:val="-120"/>
              <w:marTop w:val="0"/>
              <w:marBottom w:val="0"/>
              <w:divBdr>
                <w:top w:val="none" w:sz="0" w:space="0" w:color="auto"/>
                <w:left w:val="none" w:sz="0" w:space="0" w:color="auto"/>
                <w:bottom w:val="none" w:sz="0" w:space="0" w:color="auto"/>
                <w:right w:val="none" w:sz="0" w:space="0" w:color="auto"/>
              </w:divBdr>
              <w:divsChild>
                <w:div w:id="1460950915">
                  <w:marLeft w:val="0"/>
                  <w:marRight w:val="0"/>
                  <w:marTop w:val="0"/>
                  <w:marBottom w:val="60"/>
                  <w:divBdr>
                    <w:top w:val="none" w:sz="0" w:space="0" w:color="auto"/>
                    <w:left w:val="none" w:sz="0" w:space="0" w:color="auto"/>
                    <w:bottom w:val="none" w:sz="0" w:space="0" w:color="auto"/>
                    <w:right w:val="none" w:sz="0" w:space="0" w:color="auto"/>
                  </w:divBdr>
                  <w:divsChild>
                    <w:div w:id="1546411771">
                      <w:marLeft w:val="0"/>
                      <w:marRight w:val="0"/>
                      <w:marTop w:val="0"/>
                      <w:marBottom w:val="0"/>
                      <w:divBdr>
                        <w:top w:val="none" w:sz="0" w:space="0" w:color="auto"/>
                        <w:left w:val="none" w:sz="0" w:space="0" w:color="auto"/>
                        <w:bottom w:val="none" w:sz="0" w:space="0" w:color="auto"/>
                        <w:right w:val="none" w:sz="0" w:space="0" w:color="auto"/>
                      </w:divBdr>
                      <w:divsChild>
                        <w:div w:id="964195519">
                          <w:marLeft w:val="0"/>
                          <w:marRight w:val="0"/>
                          <w:marTop w:val="0"/>
                          <w:marBottom w:val="0"/>
                          <w:divBdr>
                            <w:top w:val="none" w:sz="0" w:space="0" w:color="auto"/>
                            <w:left w:val="none" w:sz="0" w:space="0" w:color="auto"/>
                            <w:bottom w:val="none" w:sz="0" w:space="0" w:color="auto"/>
                            <w:right w:val="none" w:sz="0" w:space="0" w:color="auto"/>
                          </w:divBdr>
                          <w:divsChild>
                            <w:div w:id="1202015986">
                              <w:marLeft w:val="0"/>
                              <w:marRight w:val="0"/>
                              <w:marTop w:val="0"/>
                              <w:marBottom w:val="0"/>
                              <w:divBdr>
                                <w:top w:val="none" w:sz="0" w:space="0" w:color="auto"/>
                                <w:left w:val="none" w:sz="0" w:space="0" w:color="auto"/>
                                <w:bottom w:val="none" w:sz="0" w:space="0" w:color="auto"/>
                                <w:right w:val="none" w:sz="0" w:space="0" w:color="auto"/>
                              </w:divBdr>
                              <w:divsChild>
                                <w:div w:id="12988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861">
      <w:bodyDiv w:val="1"/>
      <w:marLeft w:val="0"/>
      <w:marRight w:val="0"/>
      <w:marTop w:val="0"/>
      <w:marBottom w:val="0"/>
      <w:divBdr>
        <w:top w:val="none" w:sz="0" w:space="0" w:color="auto"/>
        <w:left w:val="none" w:sz="0" w:space="0" w:color="auto"/>
        <w:bottom w:val="none" w:sz="0" w:space="0" w:color="auto"/>
        <w:right w:val="none" w:sz="0" w:space="0" w:color="auto"/>
      </w:divBdr>
    </w:div>
    <w:div w:id="1368414606">
      <w:bodyDiv w:val="1"/>
      <w:marLeft w:val="0"/>
      <w:marRight w:val="0"/>
      <w:marTop w:val="0"/>
      <w:marBottom w:val="0"/>
      <w:divBdr>
        <w:top w:val="none" w:sz="0" w:space="0" w:color="auto"/>
        <w:left w:val="none" w:sz="0" w:space="0" w:color="auto"/>
        <w:bottom w:val="none" w:sz="0" w:space="0" w:color="auto"/>
        <w:right w:val="none" w:sz="0" w:space="0" w:color="auto"/>
      </w:divBdr>
    </w:div>
    <w:div w:id="1401058791">
      <w:bodyDiv w:val="1"/>
      <w:marLeft w:val="0"/>
      <w:marRight w:val="0"/>
      <w:marTop w:val="0"/>
      <w:marBottom w:val="0"/>
      <w:divBdr>
        <w:top w:val="none" w:sz="0" w:space="0" w:color="auto"/>
        <w:left w:val="none" w:sz="0" w:space="0" w:color="auto"/>
        <w:bottom w:val="none" w:sz="0" w:space="0" w:color="auto"/>
        <w:right w:val="none" w:sz="0" w:space="0" w:color="auto"/>
      </w:divBdr>
    </w:div>
    <w:div w:id="1426654468">
      <w:bodyDiv w:val="1"/>
      <w:marLeft w:val="0"/>
      <w:marRight w:val="0"/>
      <w:marTop w:val="0"/>
      <w:marBottom w:val="0"/>
      <w:divBdr>
        <w:top w:val="none" w:sz="0" w:space="0" w:color="auto"/>
        <w:left w:val="none" w:sz="0" w:space="0" w:color="auto"/>
        <w:bottom w:val="none" w:sz="0" w:space="0" w:color="auto"/>
        <w:right w:val="none" w:sz="0" w:space="0" w:color="auto"/>
      </w:divBdr>
    </w:div>
    <w:div w:id="1444769466">
      <w:bodyDiv w:val="1"/>
      <w:marLeft w:val="0"/>
      <w:marRight w:val="0"/>
      <w:marTop w:val="0"/>
      <w:marBottom w:val="0"/>
      <w:divBdr>
        <w:top w:val="none" w:sz="0" w:space="0" w:color="auto"/>
        <w:left w:val="none" w:sz="0" w:space="0" w:color="auto"/>
        <w:bottom w:val="none" w:sz="0" w:space="0" w:color="auto"/>
        <w:right w:val="none" w:sz="0" w:space="0" w:color="auto"/>
      </w:divBdr>
    </w:div>
    <w:div w:id="1538008855">
      <w:bodyDiv w:val="1"/>
      <w:marLeft w:val="0"/>
      <w:marRight w:val="0"/>
      <w:marTop w:val="0"/>
      <w:marBottom w:val="0"/>
      <w:divBdr>
        <w:top w:val="none" w:sz="0" w:space="0" w:color="auto"/>
        <w:left w:val="none" w:sz="0" w:space="0" w:color="auto"/>
        <w:bottom w:val="none" w:sz="0" w:space="0" w:color="auto"/>
        <w:right w:val="none" w:sz="0" w:space="0" w:color="auto"/>
      </w:divBdr>
    </w:div>
    <w:div w:id="1556430818">
      <w:bodyDiv w:val="1"/>
      <w:marLeft w:val="0"/>
      <w:marRight w:val="0"/>
      <w:marTop w:val="0"/>
      <w:marBottom w:val="0"/>
      <w:divBdr>
        <w:top w:val="none" w:sz="0" w:space="0" w:color="auto"/>
        <w:left w:val="none" w:sz="0" w:space="0" w:color="auto"/>
        <w:bottom w:val="none" w:sz="0" w:space="0" w:color="auto"/>
        <w:right w:val="none" w:sz="0" w:space="0" w:color="auto"/>
      </w:divBdr>
    </w:div>
    <w:div w:id="1602495346">
      <w:bodyDiv w:val="1"/>
      <w:marLeft w:val="0"/>
      <w:marRight w:val="0"/>
      <w:marTop w:val="0"/>
      <w:marBottom w:val="0"/>
      <w:divBdr>
        <w:top w:val="none" w:sz="0" w:space="0" w:color="auto"/>
        <w:left w:val="none" w:sz="0" w:space="0" w:color="auto"/>
        <w:bottom w:val="none" w:sz="0" w:space="0" w:color="auto"/>
        <w:right w:val="none" w:sz="0" w:space="0" w:color="auto"/>
      </w:divBdr>
    </w:div>
    <w:div w:id="1666784584">
      <w:bodyDiv w:val="1"/>
      <w:marLeft w:val="0"/>
      <w:marRight w:val="0"/>
      <w:marTop w:val="0"/>
      <w:marBottom w:val="0"/>
      <w:divBdr>
        <w:top w:val="none" w:sz="0" w:space="0" w:color="auto"/>
        <w:left w:val="none" w:sz="0" w:space="0" w:color="auto"/>
        <w:bottom w:val="none" w:sz="0" w:space="0" w:color="auto"/>
        <w:right w:val="none" w:sz="0" w:space="0" w:color="auto"/>
      </w:divBdr>
    </w:div>
    <w:div w:id="1719164876">
      <w:bodyDiv w:val="1"/>
      <w:marLeft w:val="0"/>
      <w:marRight w:val="0"/>
      <w:marTop w:val="0"/>
      <w:marBottom w:val="0"/>
      <w:divBdr>
        <w:top w:val="none" w:sz="0" w:space="0" w:color="auto"/>
        <w:left w:val="none" w:sz="0" w:space="0" w:color="auto"/>
        <w:bottom w:val="none" w:sz="0" w:space="0" w:color="auto"/>
        <w:right w:val="none" w:sz="0" w:space="0" w:color="auto"/>
      </w:divBdr>
    </w:div>
    <w:div w:id="1727872292">
      <w:bodyDiv w:val="1"/>
      <w:marLeft w:val="0"/>
      <w:marRight w:val="0"/>
      <w:marTop w:val="0"/>
      <w:marBottom w:val="0"/>
      <w:divBdr>
        <w:top w:val="none" w:sz="0" w:space="0" w:color="auto"/>
        <w:left w:val="none" w:sz="0" w:space="0" w:color="auto"/>
        <w:bottom w:val="none" w:sz="0" w:space="0" w:color="auto"/>
        <w:right w:val="none" w:sz="0" w:space="0" w:color="auto"/>
      </w:divBdr>
    </w:div>
    <w:div w:id="1730837110">
      <w:bodyDiv w:val="1"/>
      <w:marLeft w:val="0"/>
      <w:marRight w:val="0"/>
      <w:marTop w:val="0"/>
      <w:marBottom w:val="0"/>
      <w:divBdr>
        <w:top w:val="none" w:sz="0" w:space="0" w:color="auto"/>
        <w:left w:val="none" w:sz="0" w:space="0" w:color="auto"/>
        <w:bottom w:val="none" w:sz="0" w:space="0" w:color="auto"/>
        <w:right w:val="none" w:sz="0" w:space="0" w:color="auto"/>
      </w:divBdr>
    </w:div>
    <w:div w:id="1804426318">
      <w:bodyDiv w:val="1"/>
      <w:marLeft w:val="0"/>
      <w:marRight w:val="0"/>
      <w:marTop w:val="0"/>
      <w:marBottom w:val="0"/>
      <w:divBdr>
        <w:top w:val="none" w:sz="0" w:space="0" w:color="auto"/>
        <w:left w:val="none" w:sz="0" w:space="0" w:color="auto"/>
        <w:bottom w:val="none" w:sz="0" w:space="0" w:color="auto"/>
        <w:right w:val="none" w:sz="0" w:space="0" w:color="auto"/>
      </w:divBdr>
    </w:div>
    <w:div w:id="1849557427">
      <w:bodyDiv w:val="1"/>
      <w:marLeft w:val="0"/>
      <w:marRight w:val="0"/>
      <w:marTop w:val="0"/>
      <w:marBottom w:val="0"/>
      <w:divBdr>
        <w:top w:val="none" w:sz="0" w:space="0" w:color="auto"/>
        <w:left w:val="none" w:sz="0" w:space="0" w:color="auto"/>
        <w:bottom w:val="none" w:sz="0" w:space="0" w:color="auto"/>
        <w:right w:val="none" w:sz="0" w:space="0" w:color="auto"/>
      </w:divBdr>
    </w:div>
    <w:div w:id="1886677758">
      <w:bodyDiv w:val="1"/>
      <w:marLeft w:val="0"/>
      <w:marRight w:val="0"/>
      <w:marTop w:val="0"/>
      <w:marBottom w:val="0"/>
      <w:divBdr>
        <w:top w:val="none" w:sz="0" w:space="0" w:color="auto"/>
        <w:left w:val="none" w:sz="0" w:space="0" w:color="auto"/>
        <w:bottom w:val="none" w:sz="0" w:space="0" w:color="auto"/>
        <w:right w:val="none" w:sz="0" w:space="0" w:color="auto"/>
      </w:divBdr>
    </w:div>
    <w:div w:id="1900554997">
      <w:bodyDiv w:val="1"/>
      <w:marLeft w:val="0"/>
      <w:marRight w:val="0"/>
      <w:marTop w:val="0"/>
      <w:marBottom w:val="0"/>
      <w:divBdr>
        <w:top w:val="none" w:sz="0" w:space="0" w:color="auto"/>
        <w:left w:val="none" w:sz="0" w:space="0" w:color="auto"/>
        <w:bottom w:val="none" w:sz="0" w:space="0" w:color="auto"/>
        <w:right w:val="none" w:sz="0" w:space="0" w:color="auto"/>
      </w:divBdr>
    </w:div>
    <w:div w:id="1915626405">
      <w:bodyDiv w:val="1"/>
      <w:marLeft w:val="0"/>
      <w:marRight w:val="0"/>
      <w:marTop w:val="0"/>
      <w:marBottom w:val="0"/>
      <w:divBdr>
        <w:top w:val="none" w:sz="0" w:space="0" w:color="auto"/>
        <w:left w:val="none" w:sz="0" w:space="0" w:color="auto"/>
        <w:bottom w:val="none" w:sz="0" w:space="0" w:color="auto"/>
        <w:right w:val="none" w:sz="0" w:space="0" w:color="auto"/>
      </w:divBdr>
      <w:divsChild>
        <w:div w:id="2066954367">
          <w:marLeft w:val="0"/>
          <w:marRight w:val="0"/>
          <w:marTop w:val="0"/>
          <w:marBottom w:val="0"/>
          <w:divBdr>
            <w:top w:val="none" w:sz="0" w:space="0" w:color="auto"/>
            <w:left w:val="none" w:sz="0" w:space="0" w:color="auto"/>
            <w:bottom w:val="none" w:sz="0" w:space="0" w:color="auto"/>
            <w:right w:val="none" w:sz="0" w:space="0" w:color="auto"/>
          </w:divBdr>
          <w:divsChild>
            <w:div w:id="215774823">
              <w:marLeft w:val="0"/>
              <w:marRight w:val="0"/>
              <w:marTop w:val="450"/>
              <w:marBottom w:val="450"/>
              <w:divBdr>
                <w:top w:val="none" w:sz="0" w:space="0" w:color="auto"/>
                <w:left w:val="none" w:sz="0" w:space="0" w:color="auto"/>
                <w:bottom w:val="none" w:sz="0" w:space="0" w:color="auto"/>
                <w:right w:val="none" w:sz="0" w:space="0" w:color="auto"/>
              </w:divBdr>
              <w:divsChild>
                <w:div w:id="181431367">
                  <w:marLeft w:val="0"/>
                  <w:marRight w:val="0"/>
                  <w:marTop w:val="0"/>
                  <w:marBottom w:val="0"/>
                  <w:divBdr>
                    <w:top w:val="none" w:sz="0" w:space="0" w:color="auto"/>
                    <w:left w:val="none" w:sz="0" w:space="0" w:color="auto"/>
                    <w:bottom w:val="none" w:sz="0" w:space="0" w:color="auto"/>
                    <w:right w:val="none" w:sz="0" w:space="0" w:color="auto"/>
                  </w:divBdr>
                  <w:divsChild>
                    <w:div w:id="18803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17017">
      <w:bodyDiv w:val="1"/>
      <w:marLeft w:val="0"/>
      <w:marRight w:val="0"/>
      <w:marTop w:val="0"/>
      <w:marBottom w:val="0"/>
      <w:divBdr>
        <w:top w:val="none" w:sz="0" w:space="0" w:color="auto"/>
        <w:left w:val="none" w:sz="0" w:space="0" w:color="auto"/>
        <w:bottom w:val="none" w:sz="0" w:space="0" w:color="auto"/>
        <w:right w:val="none" w:sz="0" w:space="0" w:color="auto"/>
      </w:divBdr>
    </w:div>
    <w:div w:id="1967155246">
      <w:bodyDiv w:val="1"/>
      <w:marLeft w:val="0"/>
      <w:marRight w:val="0"/>
      <w:marTop w:val="0"/>
      <w:marBottom w:val="0"/>
      <w:divBdr>
        <w:top w:val="none" w:sz="0" w:space="0" w:color="auto"/>
        <w:left w:val="none" w:sz="0" w:space="0" w:color="auto"/>
        <w:bottom w:val="none" w:sz="0" w:space="0" w:color="auto"/>
        <w:right w:val="none" w:sz="0" w:space="0" w:color="auto"/>
      </w:divBdr>
    </w:div>
    <w:div w:id="207515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rebrows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5281/zenodo.6913664" TargetMode="External"/><Relationship Id="rId4" Type="http://schemas.openxmlformats.org/officeDocument/2006/relationships/settings" Target="settings.xml"/><Relationship Id="rId9" Type="http://schemas.openxmlformats.org/officeDocument/2006/relationships/hyperlink" Target="https://www.ebi.ac.uk/arrayexpress/experiments/E-MTAB-2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A4C1D-25F9-4F73-8170-B48E3C1D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45</Pages>
  <Words>9081</Words>
  <Characters>51763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Talarmain</dc:creator>
  <cp:keywords/>
  <dc:description/>
  <cp:lastModifiedBy>Ben Hall</cp:lastModifiedBy>
  <cp:revision>299</cp:revision>
  <cp:lastPrinted>2020-11-17T10:35:00Z</cp:lastPrinted>
  <dcterms:created xsi:type="dcterms:W3CDTF">2021-06-29T15:03:00Z</dcterms:created>
  <dcterms:modified xsi:type="dcterms:W3CDTF">2022-09-07T14:04:00Z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FILE">
    <vt:lpwstr>biblio.bib</vt:lpwstr>
  </property>
  <property fmtid="{D5CDD505-2E9C-101B-9397-08002B2CF9AE}" pid="3" name="BIBSTYLE">
    <vt:lpwstr>IEEEtran/c</vt:lpwstr>
  </property>
  <property fmtid="{D5CDD505-2E9C-101B-9397-08002B2CF9AE}" pid="4" name="BIBDISP">
    <vt:lpwstr>ref</vt:lpwstr>
  </property>
  <property fmtid="{D5CDD505-2E9C-101B-9397-08002B2CF9AE}" pid="5" name="Mendeley Recent Style Id 0_1">
    <vt:lpwstr>http://www.zotero.org/styles/american-association-for-cancer-research</vt:lpwstr>
  </property>
  <property fmtid="{D5CDD505-2E9C-101B-9397-08002B2CF9AE}" pid="6" name="Mendeley Recent Style Name 0_1">
    <vt:lpwstr>American Association for Cancer Research</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http://www.zotero.org/styles/cancer-discovery</vt:lpwstr>
  </property>
  <property fmtid="{D5CDD505-2E9C-101B-9397-08002B2CF9AE}" pid="10" name="Mendeley Recent Style Name 2_1">
    <vt:lpwstr>Cancer Discovery</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http://csl.mendeley.com/styles/14128393/harvard-cite-them-right</vt:lpwstr>
  </property>
  <property fmtid="{D5CDD505-2E9C-101B-9397-08002B2CF9AE}" pid="14" name="Mendeley Recent Style Name 4_1">
    <vt:lpwstr>Cite Them Right 10th edition - Harvard - Matthew Clarke</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http://www.zotero.org/styles/nature-medicine</vt:lpwstr>
  </property>
  <property fmtid="{D5CDD505-2E9C-101B-9397-08002B2CF9AE}" pid="18" name="Mendeley Recent Style Name 6_1">
    <vt:lpwstr>Nature Medicine</vt:lpwstr>
  </property>
  <property fmtid="{D5CDD505-2E9C-101B-9397-08002B2CF9AE}" pid="19" name="Mendeley Recent Style Id 7_1">
    <vt:lpwstr>http://www.zotero.org/styles/pnas</vt:lpwstr>
  </property>
  <property fmtid="{D5CDD505-2E9C-101B-9397-08002B2CF9AE}" pid="20" name="Mendeley Recent Style Name 7_1">
    <vt:lpwstr>Proceedings of the National Academy of Sciences of the United States of America</vt:lpwstr>
  </property>
  <property fmtid="{D5CDD505-2E9C-101B-9397-08002B2CF9AE}" pid="21" name="Mendeley Recent Style Id 8_1">
    <vt:lpwstr>http://www.zotero.org/styles/science-translational-medicine</vt:lpwstr>
  </property>
  <property fmtid="{D5CDD505-2E9C-101B-9397-08002B2CF9AE}" pid="22" name="Mendeley Recent Style Name 8_1">
    <vt:lpwstr>Science Translational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