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EC1" w:rsidRPr="00CB00F9" w:rsidRDefault="00B10EC1" w:rsidP="0097503E">
      <w:pPr>
        <w:pStyle w:val="MDPI11articletype"/>
        <w:rPr>
          <w:rStyle w:val="ManuscriptTitleChar"/>
          <w:color w:val="auto"/>
        </w:rPr>
      </w:pPr>
      <w:r w:rsidRPr="00CB00F9">
        <w:rPr>
          <w:rStyle w:val="ManuscriptTitleChar"/>
          <w:color w:val="auto"/>
        </w:rPr>
        <w:t>Comparisons of Regression and Machine Learning Methods for Estimating Mangrove Above-Ground Biomass Using Multiple Remote Sensing Data in the Red River Estuaries of Vietnam</w:t>
      </w:r>
    </w:p>
    <w:p w:rsidR="00B10EC1" w:rsidRPr="00CB00F9" w:rsidRDefault="00B10EC1" w:rsidP="0097503E">
      <w:pPr>
        <w:pStyle w:val="author"/>
        <w:ind w:firstLine="0"/>
        <w:jc w:val="left"/>
      </w:pPr>
      <w:r w:rsidRPr="00CB00F9">
        <w:t>Nguyen Hong Quang</w:t>
      </w:r>
      <w:r w:rsidRPr="00CB00F9">
        <w:rPr>
          <w:vertAlign w:val="superscript"/>
        </w:rPr>
        <w:t>a,*</w:t>
      </w:r>
      <w:r w:rsidRPr="00CB00F9">
        <w:t>, Claire H. Quinn</w:t>
      </w:r>
      <w:r w:rsidRPr="00CB00F9">
        <w:rPr>
          <w:vertAlign w:val="superscript"/>
        </w:rPr>
        <w:t>b</w:t>
      </w:r>
      <w:r w:rsidRPr="00CB00F9">
        <w:t>, Rachael Carrie</w:t>
      </w:r>
      <w:r w:rsidRPr="00CB00F9">
        <w:rPr>
          <w:vertAlign w:val="superscript"/>
        </w:rPr>
        <w:t>b</w:t>
      </w:r>
      <w:r w:rsidRPr="00CB00F9">
        <w:t>, Lindsay C. Stringer</w:t>
      </w:r>
      <w:r w:rsidRPr="00CB00F9">
        <w:rPr>
          <w:vertAlign w:val="superscript"/>
        </w:rPr>
        <w:t>c</w:t>
      </w:r>
      <w:r w:rsidRPr="00CB00F9">
        <w:t>, Le Thi Van Hue</w:t>
      </w:r>
      <w:r w:rsidRPr="00CB00F9">
        <w:rPr>
          <w:vertAlign w:val="superscript"/>
        </w:rPr>
        <w:t>d</w:t>
      </w:r>
      <w:r w:rsidRPr="00CB00F9">
        <w:t>, Christopher R. Hackney</w:t>
      </w:r>
      <w:r w:rsidRPr="00CB00F9">
        <w:rPr>
          <w:vertAlign w:val="superscript"/>
        </w:rPr>
        <w:t>e</w:t>
      </w:r>
      <w:r w:rsidRPr="00CB00F9">
        <w:t>, Dao Van Tan</w:t>
      </w:r>
      <w:r w:rsidRPr="00CB00F9">
        <w:rPr>
          <w:vertAlign w:val="superscript"/>
        </w:rPr>
        <w:t>f</w:t>
      </w:r>
    </w:p>
    <w:p w:rsidR="00B10EC1" w:rsidRPr="00CB00F9" w:rsidRDefault="00B10EC1" w:rsidP="0097503E">
      <w:pPr>
        <w:spacing w:line="240" w:lineRule="auto"/>
        <w:contextualSpacing/>
        <w:rPr>
          <w:color w:val="000000" w:themeColor="text1"/>
        </w:rPr>
      </w:pPr>
      <w:r w:rsidRPr="00CB00F9">
        <w:rPr>
          <w:rFonts w:ascii="Times" w:hAnsi="Times"/>
          <w:i/>
          <w:color w:val="auto"/>
          <w:sz w:val="18"/>
          <w:vertAlign w:val="superscript"/>
        </w:rPr>
        <w:t>a</w:t>
      </w:r>
      <w:r w:rsidRPr="00CB00F9">
        <w:rPr>
          <w:rFonts w:ascii="Times" w:hAnsi="Times"/>
          <w:i/>
          <w:color w:val="auto"/>
          <w:sz w:val="18"/>
        </w:rPr>
        <w:t xml:space="preserve"> Vietnam National Space Center (VNSC), Vietnam Academy of Science and Technology (VAST), 18 Hoang Quoc Viet, Hanoi 100000, Vietnam</w:t>
      </w:r>
    </w:p>
    <w:p w:rsidR="00B10EC1" w:rsidRPr="00CB00F9" w:rsidRDefault="00B10EC1" w:rsidP="0097503E">
      <w:pPr>
        <w:spacing w:line="240" w:lineRule="auto"/>
        <w:contextualSpacing/>
        <w:rPr>
          <w:rFonts w:ascii="Times" w:hAnsi="Times"/>
          <w:i/>
          <w:color w:val="auto"/>
          <w:sz w:val="18"/>
        </w:rPr>
      </w:pPr>
      <w:r w:rsidRPr="00CB00F9">
        <w:rPr>
          <w:rFonts w:ascii="Times" w:hAnsi="Times"/>
          <w:i/>
          <w:color w:val="auto"/>
          <w:sz w:val="18"/>
          <w:vertAlign w:val="superscript"/>
        </w:rPr>
        <w:t>b</w:t>
      </w:r>
      <w:r w:rsidRPr="00CB00F9">
        <w:rPr>
          <w:rFonts w:ascii="Times" w:hAnsi="Times"/>
          <w:i/>
          <w:color w:val="auto"/>
          <w:sz w:val="18"/>
        </w:rPr>
        <w:t xml:space="preserve"> Sustainability Research Institute, School of Earth and Environment, University of Leeds, Leeds LS2 9JT, UK; C.H.Quinn@leeds.ac.uk (C.Q.); R.H.Carrie@leeds.ac.uk (R.C.)</w:t>
      </w:r>
    </w:p>
    <w:p w:rsidR="00B10EC1" w:rsidRPr="00CB00F9" w:rsidRDefault="00B10EC1" w:rsidP="0097503E">
      <w:pPr>
        <w:tabs>
          <w:tab w:val="left" w:pos="0"/>
          <w:tab w:val="left" w:pos="180"/>
        </w:tabs>
        <w:spacing w:line="240" w:lineRule="auto"/>
        <w:contextualSpacing/>
        <w:rPr>
          <w:rFonts w:ascii="Times" w:hAnsi="Times"/>
          <w:i/>
          <w:color w:val="auto"/>
          <w:sz w:val="18"/>
        </w:rPr>
      </w:pPr>
      <w:r w:rsidRPr="00CB00F9">
        <w:rPr>
          <w:rFonts w:ascii="Times" w:hAnsi="Times"/>
          <w:i/>
          <w:color w:val="auto"/>
          <w:sz w:val="18"/>
          <w:vertAlign w:val="superscript"/>
        </w:rPr>
        <w:t xml:space="preserve">c </w:t>
      </w:r>
      <w:r w:rsidRPr="00CB00F9">
        <w:rPr>
          <w:rFonts w:ascii="Times" w:hAnsi="Times"/>
          <w:i/>
          <w:color w:val="auto"/>
          <w:sz w:val="18"/>
        </w:rPr>
        <w:t>Department of Environment and Geography, Wentworth Way, University of York, Heslington, York, YO10 5NG, UK; lindsay.stringer@york.ac.uk (L.S.)</w:t>
      </w:r>
    </w:p>
    <w:p w:rsidR="00B10EC1" w:rsidRPr="00CB00F9" w:rsidRDefault="00B10EC1" w:rsidP="0097503E">
      <w:pPr>
        <w:spacing w:line="240" w:lineRule="auto"/>
        <w:contextualSpacing/>
        <w:rPr>
          <w:rFonts w:ascii="Times" w:hAnsi="Times"/>
          <w:i/>
          <w:color w:val="auto"/>
          <w:sz w:val="18"/>
        </w:rPr>
      </w:pPr>
      <w:r w:rsidRPr="00CB00F9">
        <w:rPr>
          <w:rFonts w:ascii="Times" w:hAnsi="Times"/>
          <w:i/>
          <w:color w:val="auto"/>
          <w:sz w:val="18"/>
          <w:vertAlign w:val="superscript"/>
        </w:rPr>
        <w:t>d</w:t>
      </w:r>
      <w:r w:rsidRPr="00CB00F9">
        <w:rPr>
          <w:rFonts w:ascii="Times" w:hAnsi="Times"/>
          <w:i/>
          <w:color w:val="auto"/>
          <w:sz w:val="18"/>
        </w:rPr>
        <w:t xml:space="preserve"> Central Institute for Natural Resources and Environmental Studies, Vietnam National University (VNU), No 19 Le Thanh Tong, Hoan Kiem, Ha Noi 100000, Vietnam; huele@cres.edu.vn (L.T.V.H.)</w:t>
      </w:r>
    </w:p>
    <w:p w:rsidR="00B10EC1" w:rsidRPr="00CB00F9" w:rsidRDefault="00B10EC1" w:rsidP="0097503E">
      <w:pPr>
        <w:spacing w:line="240" w:lineRule="auto"/>
        <w:contextualSpacing/>
        <w:rPr>
          <w:rFonts w:ascii="Times" w:hAnsi="Times"/>
          <w:i/>
          <w:color w:val="auto"/>
          <w:sz w:val="18"/>
        </w:rPr>
      </w:pPr>
      <w:r w:rsidRPr="00CB00F9">
        <w:rPr>
          <w:rFonts w:ascii="Times" w:hAnsi="Times"/>
          <w:i/>
          <w:color w:val="auto"/>
          <w:sz w:val="18"/>
          <w:vertAlign w:val="superscript"/>
        </w:rPr>
        <w:t>e</w:t>
      </w:r>
      <w:r w:rsidRPr="00CB00F9">
        <w:rPr>
          <w:rFonts w:ascii="Times" w:hAnsi="Times"/>
          <w:i/>
          <w:color w:val="auto"/>
          <w:sz w:val="18"/>
        </w:rPr>
        <w:t xml:space="preserve"> School of Geography, Politics and Sociology, Newcastle University, UK, NU1 7RU; </w:t>
      </w:r>
      <w:hyperlink r:id="rId6" w:history="1">
        <w:r w:rsidRPr="00CB00F9">
          <w:rPr>
            <w:rFonts w:ascii="Times" w:hAnsi="Times"/>
            <w:i/>
            <w:color w:val="auto"/>
          </w:rPr>
          <w:t>christopher.hackney@ncl.ac.uk</w:t>
        </w:r>
      </w:hyperlink>
      <w:r w:rsidRPr="00CB00F9">
        <w:rPr>
          <w:rFonts w:ascii="Times" w:hAnsi="Times"/>
          <w:i/>
          <w:color w:val="auto"/>
          <w:sz w:val="18"/>
        </w:rPr>
        <w:t xml:space="preserve"> (C.H.)</w:t>
      </w:r>
    </w:p>
    <w:p w:rsidR="00B10EC1" w:rsidRPr="00CB00F9" w:rsidRDefault="00B10EC1" w:rsidP="0097503E">
      <w:pPr>
        <w:spacing w:line="240" w:lineRule="auto"/>
        <w:contextualSpacing/>
        <w:rPr>
          <w:rFonts w:ascii="Times" w:hAnsi="Times"/>
          <w:i/>
          <w:color w:val="auto"/>
          <w:sz w:val="18"/>
        </w:rPr>
      </w:pPr>
      <w:r w:rsidRPr="00CB00F9">
        <w:rPr>
          <w:rFonts w:ascii="Times" w:hAnsi="Times"/>
          <w:i/>
          <w:color w:val="auto"/>
          <w:sz w:val="18"/>
          <w:vertAlign w:val="superscript"/>
        </w:rPr>
        <w:t>f</w:t>
      </w:r>
      <w:r w:rsidRPr="00CB00F9">
        <w:rPr>
          <w:rFonts w:ascii="Times" w:hAnsi="Times"/>
          <w:i/>
          <w:color w:val="auto"/>
          <w:sz w:val="18"/>
        </w:rPr>
        <w:t xml:space="preserve"> Faculty of Biology, Hanoi National University of Education (HNUE), 136 Xuan Thuy, Cau Giay, Ha Noi 100000, Vietnam; tandv@hnue.edu.vn (D.V.T.)</w:t>
      </w:r>
    </w:p>
    <w:p w:rsidR="00B10EC1" w:rsidRPr="00CB00F9" w:rsidRDefault="00B10EC1" w:rsidP="0097503E">
      <w:pPr>
        <w:rPr>
          <w:rFonts w:ascii="Times" w:hAnsi="Times"/>
          <w:i/>
          <w:color w:val="auto"/>
          <w:sz w:val="18"/>
          <w:szCs w:val="18"/>
        </w:rPr>
      </w:pPr>
      <w:r w:rsidRPr="00CB00F9">
        <w:rPr>
          <w:rFonts w:ascii="Times" w:hAnsi="Times"/>
          <w:i/>
          <w:color w:val="auto"/>
          <w:sz w:val="18"/>
          <w:vertAlign w:val="superscript"/>
        </w:rPr>
        <w:t>*</w:t>
      </w:r>
      <w:r w:rsidRPr="00CB00F9">
        <w:rPr>
          <w:rFonts w:ascii="Times" w:hAnsi="Times"/>
          <w:i/>
          <w:color w:val="auto"/>
          <w:sz w:val="18"/>
        </w:rPr>
        <w:t xml:space="preserve"> </w:t>
      </w:r>
      <w:r w:rsidRPr="00CB00F9">
        <w:rPr>
          <w:rFonts w:ascii="Times" w:hAnsi="Times"/>
          <w:i/>
          <w:color w:val="auto"/>
          <w:sz w:val="18"/>
          <w:szCs w:val="18"/>
        </w:rPr>
        <w:t xml:space="preserve">Correspondence: </w:t>
      </w:r>
      <w:hyperlink r:id="rId7" w:history="1">
        <w:r w:rsidRPr="00CB00F9">
          <w:rPr>
            <w:rFonts w:ascii="Times" w:hAnsi="Times"/>
            <w:i/>
            <w:color w:val="auto"/>
            <w:sz w:val="18"/>
            <w:szCs w:val="18"/>
          </w:rPr>
          <w:t>nhquang@vnsc.org.vn</w:t>
        </w:r>
      </w:hyperlink>
      <w:r w:rsidRPr="00CB00F9">
        <w:rPr>
          <w:rFonts w:ascii="Times" w:hAnsi="Times"/>
          <w:i/>
          <w:color w:val="auto"/>
          <w:sz w:val="18"/>
          <w:szCs w:val="18"/>
        </w:rPr>
        <w:t xml:space="preserve"> (N.H. Quang)</w:t>
      </w:r>
    </w:p>
    <w:p w:rsidR="00B10EC1" w:rsidRPr="00CB00F9" w:rsidRDefault="00B10EC1" w:rsidP="0097503E">
      <w:pPr>
        <w:pStyle w:val="MDPI17abstract"/>
        <w:ind w:left="0"/>
        <w:rPr>
          <w:b/>
          <w:color w:val="000000" w:themeColor="text1"/>
        </w:rPr>
      </w:pPr>
      <w:r w:rsidRPr="00CB00F9">
        <w:rPr>
          <w:rFonts w:ascii="Times" w:hAnsi="Times"/>
          <w:b/>
          <w:color w:val="auto"/>
          <w:sz w:val="24"/>
          <w:szCs w:val="20"/>
          <w:lang w:bidi="ar-SA"/>
        </w:rPr>
        <w:t>Abstract</w:t>
      </w:r>
    </w:p>
    <w:p w:rsidR="00B10EC1" w:rsidRPr="00CB00F9" w:rsidRDefault="00B10EC1" w:rsidP="0097503E">
      <w:r w:rsidRPr="00CB00F9">
        <w:t>Currently, remote sensing platforms provide state-of-the-art data for multiple purposes including applications related to coastal wetlands. Mangrove above-ground biomass (MAGB) together with its extent is considered well correlated with the habitats’ environmental and economic values. Above-ground biomass can be estimated by models that integrate remote sensing, field data and statistical information. However, it remains difficult to decide which model and which data offer the best performance for any one study location. Hence, this study aims to assess the spatial change in MAGB over a 45-year period and investigate different approaches to quantify this change through linear and multi linear regression models. Specifically, we test a non-linear model (Multivariate Adaptive Regression Splines; MARS), and non-parametric machine learning models, to predict MAGB using vegetation indices and biophysical variables derived from optical remote sensing data from Sentinel-2, Landsat-8, SPOT-7 and synthetic aperture radar remote sensing data from ALOS-2. The multi linear regression (MLR) and the MARS models were trained by field measured MAGB data to a good level of accuracy (R</w:t>
      </w:r>
      <w:r w:rsidRPr="00CB00F9">
        <w:rPr>
          <w:vertAlign w:val="superscript"/>
        </w:rPr>
        <w:t>2</w:t>
      </w:r>
      <w:r w:rsidRPr="00CB00F9">
        <w:t xml:space="preserve"> = 0.80 and RMSE = 5.56 Mg ha</w:t>
      </w:r>
      <w:r w:rsidRPr="00CB00F9">
        <w:rPr>
          <w:vertAlign w:val="superscript"/>
        </w:rPr>
        <w:t>−1</w:t>
      </w:r>
      <w:r w:rsidRPr="00CB00F9">
        <w:t xml:space="preserve"> for MLR and R</w:t>
      </w:r>
      <w:r w:rsidRPr="00CB00F9">
        <w:rPr>
          <w:vertAlign w:val="superscript"/>
        </w:rPr>
        <w:t>2</w:t>
      </w:r>
      <w:r w:rsidRPr="00CB00F9">
        <w:t xml:space="preserve"> = 0.89, RMSE = 5.42 Mg ha</w:t>
      </w:r>
      <w:r w:rsidRPr="00CB00F9">
        <w:rPr>
          <w:vertAlign w:val="superscript"/>
        </w:rPr>
        <w:t>−1</w:t>
      </w:r>
      <w:r w:rsidRPr="00CB00F9">
        <w:t xml:space="preserve"> for MARS). These models were subsequently applied to Landsat 2, 5 and 8 time-series images to assess changes in MAGB values and mangrove forest extent over the period 1975 to 2020. To ensure accurate training data for the models, we conducted field work to measure MAGB in 24 plots </w:t>
      </w:r>
      <w:r w:rsidRPr="00080252">
        <w:t>me</w:t>
      </w:r>
      <w:r w:rsidR="007479EA" w:rsidRPr="00080252">
        <w:t>a</w:t>
      </w:r>
      <w:r w:rsidRPr="00080252">
        <w:t>sured</w:t>
      </w:r>
      <w:r w:rsidRPr="00CB00F9">
        <w:t xml:space="preserve"> in May 2019. Findings showed that the MARS model generated MAGB values with higher accuracy than linear regression and multi linear regression models. Uses of vegetation indices (Normalized Differenced Vegetation Index, Soil-adjusted Vegetation Index, Green-Normalized Differenced Vegetation Index, Simple Ratio, and Red-edge Simple Ratio) generated MAGB values with accuracy slightly higher than using biophysical variables (Leaf area index, Fraction of Absorbed Radiation, Fractional vegetation cover, and Leaf chlorophyll content). Sentinel-2 and Landsat 8 were effective data sources for MAGB estimates, while SPOT-7 and ALOS-2 produced acceptable MAGB accuracy. Modelling the Landsat time series found an increase in both MAGB values and forest extent over the 1975-2020 period. The MARS model, Sentinel-2, Landsat 8 and vegetation indices are the recommended models and data to use </w:t>
      </w:r>
      <w:r w:rsidRPr="00CB00F9">
        <w:lastRenderedPageBreak/>
        <w:t>to measure MAGB and could be used to understand changes in MAGB and forest extent at national and regional scales.</w:t>
      </w:r>
    </w:p>
    <w:p w:rsidR="00B10EC1" w:rsidRPr="00CB00F9" w:rsidRDefault="00B10EC1" w:rsidP="0097503E">
      <w:pPr>
        <w:rPr>
          <w:b/>
          <w:color w:val="000000" w:themeColor="text1"/>
        </w:rPr>
      </w:pPr>
      <w:r w:rsidRPr="00CB00F9">
        <w:rPr>
          <w:rFonts w:ascii="Times" w:hAnsi="Times"/>
          <w:i/>
          <w:color w:val="auto"/>
        </w:rPr>
        <w:t>Keywords:</w:t>
      </w:r>
      <w:r w:rsidRPr="00CB00F9">
        <w:rPr>
          <w:b/>
          <w:color w:val="000000" w:themeColor="text1"/>
        </w:rPr>
        <w:t xml:space="preserve"> </w:t>
      </w:r>
      <w:r w:rsidRPr="00CB00F9">
        <w:rPr>
          <w:rFonts w:ascii="Times" w:hAnsi="Times"/>
          <w:color w:val="auto"/>
        </w:rPr>
        <w:t>regression model; MARS; vegetation indices; biophysical variables; Thuy Truong commune</w:t>
      </w:r>
    </w:p>
    <w:p w:rsidR="00B10EC1" w:rsidRPr="00CB00F9" w:rsidRDefault="00B10EC1" w:rsidP="0097503E">
      <w:pPr>
        <w:pStyle w:val="MDPI12title"/>
      </w:pPr>
      <w:r w:rsidRPr="00CB00F9">
        <w:t>1. Introduction</w:t>
      </w:r>
    </w:p>
    <w:p w:rsidR="00B10EC1" w:rsidRPr="00CB00F9" w:rsidRDefault="00B10EC1" w:rsidP="0097503E">
      <w:r w:rsidRPr="00CB00F9">
        <w:t>Mangrove forests are one of the most diverse ecosystems on Earth and deliver numerous provisioning, regulating, cultural and supporting services that benefit coastal and inland communities (</w:t>
      </w:r>
      <w:r w:rsidRPr="00CB00F9">
        <w:rPr>
          <w:color w:val="0070C0"/>
        </w:rPr>
        <w:t>Menéndez et al., 2020, Worthington et al., 2020, Iqbal, 2020)</w:t>
      </w:r>
      <w:r w:rsidRPr="00CB00F9">
        <w:t>. Recognizing these benefits, strategies for mangrove preservation and growth have been developed by the Vietnamese government to reduce global climate change impacts and secure the livelihoods of coastal communities, and have been implemented in the five northern coastal provinces since the 1980s (</w:t>
      </w:r>
      <w:r w:rsidRPr="00CB00F9">
        <w:rPr>
          <w:color w:val="0070C0"/>
        </w:rPr>
        <w:t>VEA, 2016</w:t>
      </w:r>
      <w:r w:rsidRPr="00CB00F9">
        <w:t>). One key strategy has been forest plantation and restoration, which has attracted domestic investment and foreign donors (such as Denmark and Japan). Alongside the conversion of some mangrove areas to aquaculture, rice and salt farming, this strategy has led to fluctuations in mangrove forest extent in the Red River Delta (RRD) over the ensuing decades (</w:t>
      </w:r>
      <w:r w:rsidRPr="00CB00F9">
        <w:rPr>
          <w:color w:val="0070C0"/>
        </w:rPr>
        <w:t>Hoa, 2016, Quang et al., 2020)</w:t>
      </w:r>
      <w:r w:rsidRPr="00CB00F9">
        <w:t>.</w:t>
      </w:r>
    </w:p>
    <w:p w:rsidR="00B10EC1" w:rsidRPr="00CB00F9" w:rsidRDefault="00B10EC1" w:rsidP="0097503E">
      <w:r w:rsidRPr="00CB00F9">
        <w:t>Above-ground biomass (AGB), accounts for the living biomass above the soil. This includes stems, bark, branches, foliage, and seeds, and constitutes the main carbon pool in trees with a diameter at breast height (DBH) greater than 10 cm (</w:t>
      </w:r>
      <w:r w:rsidRPr="00CB00F9">
        <w:rPr>
          <w:color w:val="0070C0"/>
        </w:rPr>
        <w:t>Spawn et al., 2020</w:t>
      </w:r>
      <w:r w:rsidRPr="00CB00F9">
        <w:t>). Mangrove above-ground biomass (MAGB), together with its spatial extent, is well correlated with environmental and economic values (</w:t>
      </w:r>
      <w:r w:rsidRPr="00CB00F9">
        <w:rPr>
          <w:color w:val="0070C0"/>
        </w:rPr>
        <w:t>Baloloy et al., 2018</w:t>
      </w:r>
      <w:r w:rsidRPr="00CB00F9">
        <w:t>). In tropical regions, mangroves</w:t>
      </w:r>
      <w:r w:rsidR="002A1580" w:rsidRPr="00CB00F9">
        <w:t xml:space="preserve"> and seagrass</w:t>
      </w:r>
      <w:r w:rsidRPr="00CB00F9">
        <w:t xml:space="preserve"> are one of the most carbon-rich ecosystems, storing up to 1023 t C ha</w:t>
      </w:r>
      <w:r w:rsidRPr="00CB00F9">
        <w:rPr>
          <w:vertAlign w:val="superscript"/>
        </w:rPr>
        <w:t>−1</w:t>
      </w:r>
      <w:r w:rsidRPr="00CB00F9">
        <w:t xml:space="preserve"> (</w:t>
      </w:r>
      <w:r w:rsidRPr="00CB00F9">
        <w:rPr>
          <w:color w:val="0070C0"/>
        </w:rPr>
        <w:t>Laffoley and Grimsditch, 2009</w:t>
      </w:r>
      <w:r w:rsidRPr="00CB00F9">
        <w:t>), therefore MAGB is important to estimating the above-ground carbon pool (</w:t>
      </w:r>
      <w:r w:rsidRPr="00CB00F9">
        <w:rPr>
          <w:color w:val="0070C0"/>
        </w:rPr>
        <w:t>Clark and Clark, 2000</w:t>
      </w:r>
      <w:r w:rsidRPr="00CB00F9">
        <w:t xml:space="preserve">), for monitoring forest changes and in creating management protocols. </w:t>
      </w:r>
    </w:p>
    <w:p w:rsidR="00B10EC1" w:rsidRPr="00CB00F9" w:rsidRDefault="00B10EC1" w:rsidP="0097503E">
      <w:r w:rsidRPr="00CB00F9">
        <w:t>With the advantages of observation at large spatial scales and across multiple decades, remote sensing data (e.g. hyperspectral, multispectral, radar, and light detection and ranging (LiDAR)) are a valuable resource for mapping mangrove extent, distribution and change (</w:t>
      </w:r>
      <w:r w:rsidRPr="00CB00F9">
        <w:rPr>
          <w:color w:val="0070C0"/>
        </w:rPr>
        <w:t>Green et al., 1998, Zhang et al., 2012</w:t>
      </w:r>
      <w:r w:rsidRPr="00CB00F9">
        <w:rPr>
          <w:color w:val="auto"/>
        </w:rPr>
        <w:t>)</w:t>
      </w:r>
      <w:r w:rsidRPr="00CB00F9">
        <w:t>, and for extracting vegetation biophysical parameters such as chlorophyll content (</w:t>
      </w:r>
      <w:r w:rsidRPr="00CB00F9">
        <w:rPr>
          <w:color w:val="0070C0"/>
        </w:rPr>
        <w:t>Gitelson et al., 2005,</w:t>
      </w:r>
      <w:r w:rsidRPr="00CB00F9">
        <w:t xml:space="preserve"> </w:t>
      </w:r>
      <w:r w:rsidRPr="00CB00F9">
        <w:rPr>
          <w:color w:val="0070C0"/>
        </w:rPr>
        <w:t>Zhang et al., 2012</w:t>
      </w:r>
      <w:r w:rsidRPr="00CB00F9">
        <w:t xml:space="preserve">). Among the available optical remote sensing data, SPOT and Landsat images are most commonly used and users can choose between many different image processing techniques. Suitable data and techniques depend on the objective of the study. At large spatial scales satellite sensors are more appropriate than airborne and unmanned aerial vehicles (UAVs), and for better spatial coverage space and airborne data should be used rather than in situ point measurement </w:t>
      </w:r>
      <w:r w:rsidRPr="00CB00F9">
        <w:rPr>
          <w:noProof/>
        </w:rPr>
        <w:t>(</w:t>
      </w:r>
      <w:r w:rsidRPr="00CB00F9">
        <w:rPr>
          <w:noProof/>
          <w:color w:val="0070C0"/>
        </w:rPr>
        <w:t>Congalton</w:t>
      </w:r>
      <w:r w:rsidRPr="003B61AE">
        <w:rPr>
          <w:noProof/>
          <w:color w:val="0070C0"/>
        </w:rPr>
        <w:t>, 1991</w:t>
      </w:r>
      <w:r w:rsidRPr="003B61AE">
        <w:rPr>
          <w:noProof/>
        </w:rPr>
        <w:t>)</w:t>
      </w:r>
      <w:r w:rsidRPr="003B61AE">
        <w:t>. Remote sensing-based methods h</w:t>
      </w:r>
      <w:r w:rsidRPr="00CB00F9">
        <w:t>ave demonstrated their effectiveness for assessing MAGB for large forests, and compared to traditional above ground biomass estimates, remote sensing offers a non-destructive more robust approach, enabling continuous, spatially explicit biomass assessment (</w:t>
      </w:r>
      <w:r w:rsidRPr="00CB00F9">
        <w:rPr>
          <w:color w:val="0070C0"/>
        </w:rPr>
        <w:t>Herold and Johns, 2007</w:t>
      </w:r>
      <w:r w:rsidRPr="00CB00F9">
        <w:t>) at low cost (</w:t>
      </w:r>
      <w:r w:rsidRPr="00CB00F9">
        <w:rPr>
          <w:color w:val="0070C0"/>
        </w:rPr>
        <w:t>Pham et al., 2019, Castillo et al., 2017</w:t>
      </w:r>
      <w:r w:rsidRPr="00CB00F9">
        <w:t>). Despite these advantages, remote sensing techniques can be limited because a single data pixel will contain information for a number of different individual trees. The complexity of mangrove communities and the low spatial resolution of remote sensed images can therefore result in lower accuracy in estimating MAGB (</w:t>
      </w:r>
      <w:r w:rsidRPr="00CB00F9">
        <w:rPr>
          <w:color w:val="0070C0"/>
        </w:rPr>
        <w:t>Pham et al., 2019</w:t>
      </w:r>
      <w:r w:rsidRPr="00CB00F9">
        <w:t xml:space="preserve">). </w:t>
      </w:r>
    </w:p>
    <w:p w:rsidR="00B10EC1" w:rsidRPr="00CB00F9" w:rsidRDefault="00B10EC1" w:rsidP="0097503E">
      <w:r w:rsidRPr="00CB00F9">
        <w:lastRenderedPageBreak/>
        <w:t>Various MAGB models using remote sensing data have been developed to improve MAGB estimation accuracy (</w:t>
      </w:r>
      <w:r w:rsidRPr="00CB00F9">
        <w:rPr>
          <w:color w:val="0070C0"/>
        </w:rPr>
        <w:t>Argamosa et al., 2018</w:t>
      </w:r>
      <w:r w:rsidRPr="00CB00F9">
        <w:t>), with more modern approaches generating higher accuracy (</w:t>
      </w:r>
      <w:r w:rsidRPr="00CB00F9">
        <w:rPr>
          <w:color w:val="0070C0"/>
        </w:rPr>
        <w:t>Pham et al., 2019</w:t>
      </w:r>
      <w:r w:rsidRPr="00CB00F9">
        <w:t>). However, MAGB is a highly heterogeneous parameter that varies across different regions, species, ages, forest types (natural and plantation) and climates, hence it is difficult to find a single “best” model to predict MAGB for all types of mangrove forests. Therefore, the aim of this study is to assess the abilities of different approaches to estimate MAGB in a region of the Red River Delta in Vietnam, to discover which model and what data will produce the most accurate MAGB values. Approaches to estimate MAGB include parametric regression models (</w:t>
      </w:r>
      <w:r w:rsidRPr="00CB00F9">
        <w:rPr>
          <w:color w:val="0070C0"/>
        </w:rPr>
        <w:t>Rosillo-Calle et al., 2015, Avtar et al., 2017</w:t>
      </w:r>
      <w:r w:rsidRPr="00CB00F9">
        <w:t>) with frequent use of vegetation indices and biophysical variables (</w:t>
      </w:r>
      <w:r w:rsidRPr="00CB00F9">
        <w:rPr>
          <w:color w:val="0070C0"/>
        </w:rPr>
        <w:t>Baloloy et al., 2018</w:t>
      </w:r>
      <w:r w:rsidRPr="00CB00F9">
        <w:t>) and non-parametric machine learning methods (</w:t>
      </w:r>
      <w:r w:rsidRPr="00CB00F9">
        <w:rPr>
          <w:color w:val="0070C0"/>
        </w:rPr>
        <w:t>Jachowski et al., 2013</w:t>
      </w:r>
      <w:r w:rsidRPr="00CB00F9">
        <w:t xml:space="preserve">). We tested and compared simple but effective linear regression, multi linear regression, and a non-linear regression model (Multivariate Adaptive Regression Splines; MARS), and recent common machine learning models. We have used three different machine learning algorithms: Artificial Neural Network (ANN), random forest (RF) and Support Vector Machines (SVM) with data from different optical images from Sentinel-2, Landsat-8, SPOT-7 and SAR remote sensing data from ALOS-2. Finally, a Landsat time-series was used to spatially assess change in MAGB and mangrove forest extent over the last 45 years. </w:t>
      </w:r>
    </w:p>
    <w:p w:rsidR="00B10EC1" w:rsidRPr="00CB00F9" w:rsidRDefault="00AA19E7" w:rsidP="0097503E">
      <w:pPr>
        <w:pStyle w:val="MDPI12title"/>
      </w:pPr>
      <w:r>
        <w:t>2.</w:t>
      </w:r>
      <w:r>
        <w:tab/>
        <w:t>Materials and m</w:t>
      </w:r>
      <w:r w:rsidR="00B10EC1" w:rsidRPr="00CB00F9">
        <w:t>ethods</w:t>
      </w:r>
    </w:p>
    <w:p w:rsidR="00B10EC1" w:rsidRPr="00CB00F9" w:rsidRDefault="00B10EC1" w:rsidP="0097503E">
      <w:pPr>
        <w:pStyle w:val="MDPI23heading3"/>
      </w:pPr>
      <w:r w:rsidRPr="00CB00F9">
        <w:t>2.1.</w:t>
      </w:r>
      <w:r w:rsidRPr="00CB00F9">
        <w:tab/>
        <w:t xml:space="preserve">Study area </w:t>
      </w:r>
    </w:p>
    <w:p w:rsidR="00B10EC1" w:rsidRDefault="00B10EC1" w:rsidP="005031B5">
      <w:pPr>
        <w:rPr>
          <w:rFonts w:ascii="Times" w:hAnsi="Times"/>
          <w:color w:val="auto"/>
        </w:rPr>
      </w:pPr>
      <w:r w:rsidRPr="00CB00F9">
        <w:rPr>
          <w:rFonts w:ascii="Times" w:hAnsi="Times"/>
          <w:color w:val="auto"/>
        </w:rPr>
        <w:t>Here, we focus on the mangrove forests of the Red River Delta, Vietnam. Specifically, this research focuses on Thuy Truong commune located in Thai Thuy district in the north-east of Thai Binh province at the mouth of the Thai Binh River (central coordinates: 106°38’00E and 20⁰36’00N) (</w:t>
      </w:r>
      <w:r w:rsidRPr="00CB00F9">
        <w:rPr>
          <w:rFonts w:ascii="Times" w:hAnsi="Times"/>
          <w:color w:val="0070C0"/>
        </w:rPr>
        <w:t>Fig. 1</w:t>
      </w:r>
      <w:r w:rsidRPr="00CB00F9">
        <w:rPr>
          <w:rFonts w:ascii="Times" w:hAnsi="Times"/>
          <w:color w:val="auto"/>
        </w:rPr>
        <w:t>). Thuy Truong commune covers 9.3 km</w:t>
      </w:r>
      <w:r w:rsidRPr="00CB00F9">
        <w:rPr>
          <w:rFonts w:ascii="Times" w:hAnsi="Times"/>
          <w:color w:val="auto"/>
          <w:vertAlign w:val="superscript"/>
        </w:rPr>
        <w:t>2</w:t>
      </w:r>
      <w:r w:rsidRPr="00CB00F9">
        <w:rPr>
          <w:rFonts w:ascii="Times" w:hAnsi="Times"/>
          <w:color w:val="auto"/>
        </w:rPr>
        <w:t xml:space="preserve"> and is home to approximately ten thousand people </w:t>
      </w:r>
      <w:r w:rsidRPr="00CB00F9">
        <w:rPr>
          <w:rFonts w:ascii="Times" w:hAnsi="Times"/>
          <w:noProof/>
          <w:color w:val="auto"/>
        </w:rPr>
        <w:t>(</w:t>
      </w:r>
      <w:r w:rsidRPr="00CB00F9">
        <w:rPr>
          <w:rFonts w:ascii="Times" w:hAnsi="Times"/>
          <w:noProof/>
          <w:color w:val="0070C0"/>
        </w:rPr>
        <w:t>Quang et al., 2020</w:t>
      </w:r>
      <w:r w:rsidRPr="00CB00F9">
        <w:rPr>
          <w:rFonts w:ascii="Times" w:hAnsi="Times"/>
          <w:noProof/>
          <w:color w:val="auto"/>
        </w:rPr>
        <w:t>)</w:t>
      </w:r>
      <w:r w:rsidRPr="00CB00F9">
        <w:rPr>
          <w:rFonts w:ascii="Times" w:hAnsi="Times"/>
          <w:color w:val="auto"/>
        </w:rPr>
        <w:t xml:space="preserve">. The main livelihoods are based on agriculture (rice), aquaculture and the harvesting of clams, fish and crabs from nearby mangrove forests </w:t>
      </w:r>
      <w:r w:rsidRPr="00CB00F9">
        <w:rPr>
          <w:rFonts w:ascii="Times" w:hAnsi="Times"/>
          <w:noProof/>
          <w:color w:val="auto"/>
        </w:rPr>
        <w:t>(</w:t>
      </w:r>
      <w:r w:rsidRPr="00CB00F9">
        <w:rPr>
          <w:rFonts w:ascii="Times" w:hAnsi="Times"/>
          <w:noProof/>
          <w:color w:val="0070C0"/>
        </w:rPr>
        <w:t>Pham, 2007</w:t>
      </w:r>
      <w:r w:rsidRPr="00CB00F9">
        <w:rPr>
          <w:rFonts w:ascii="Times" w:hAnsi="Times"/>
          <w:noProof/>
          <w:color w:val="auto"/>
        </w:rPr>
        <w:t>)</w:t>
      </w:r>
      <w:r w:rsidRPr="00CB00F9">
        <w:rPr>
          <w:rFonts w:ascii="Times" w:hAnsi="Times"/>
          <w:color w:val="auto"/>
        </w:rPr>
        <w:t xml:space="preserve">. The mangrove forest in this region plays an important role in providing habitat for birds, snakes and other animals, protecting local citizens from strong storms and waves </w:t>
      </w:r>
      <w:r w:rsidRPr="00CB00F9">
        <w:rPr>
          <w:rFonts w:ascii="Times" w:hAnsi="Times"/>
          <w:noProof/>
          <w:color w:val="auto"/>
        </w:rPr>
        <w:t>(</w:t>
      </w:r>
      <w:r w:rsidRPr="00CB00F9">
        <w:rPr>
          <w:rFonts w:ascii="Times" w:hAnsi="Times"/>
          <w:noProof/>
          <w:color w:val="0070C0"/>
        </w:rPr>
        <w:t>Mazda et al., 1997</w:t>
      </w:r>
      <w:r w:rsidRPr="00CB00F9">
        <w:rPr>
          <w:rFonts w:ascii="Times" w:hAnsi="Times"/>
          <w:noProof/>
          <w:color w:val="auto"/>
        </w:rPr>
        <w:t>)</w:t>
      </w:r>
      <w:r w:rsidRPr="00CB00F9">
        <w:rPr>
          <w:rFonts w:ascii="Times" w:hAnsi="Times"/>
          <w:color w:val="auto"/>
        </w:rPr>
        <w:t xml:space="preserve">, and as a source of food for consumption or sale </w:t>
      </w:r>
      <w:r w:rsidRPr="00CB00F9">
        <w:rPr>
          <w:rFonts w:ascii="Times" w:hAnsi="Times"/>
          <w:noProof/>
          <w:color w:val="auto"/>
        </w:rPr>
        <w:t>(</w:t>
      </w:r>
      <w:r w:rsidRPr="00CB00F9">
        <w:rPr>
          <w:rFonts w:ascii="Times" w:hAnsi="Times"/>
          <w:noProof/>
          <w:color w:val="0070C0"/>
        </w:rPr>
        <w:t>Hoa, 2016</w:t>
      </w:r>
      <w:r w:rsidRPr="00CB00F9">
        <w:rPr>
          <w:rFonts w:ascii="Times" w:hAnsi="Times"/>
          <w:noProof/>
          <w:color w:val="auto"/>
        </w:rPr>
        <w:t>)</w:t>
      </w:r>
      <w:r w:rsidRPr="00CB00F9">
        <w:rPr>
          <w:rFonts w:ascii="Times" w:hAnsi="Times"/>
          <w:color w:val="auto"/>
        </w:rPr>
        <w:t xml:space="preserve">. As a result, the forest is protected by the government, and by local citizens. The area has benefited from forest plantation supported by the Danish and Japanese Red Cross programs, both of which ended in 2006. Hence, although the general picture of total mangrove extent in Vietnam as a whole is one of decline </w:t>
      </w:r>
      <w:r w:rsidRPr="00CB00F9">
        <w:rPr>
          <w:rFonts w:ascii="Times" w:hAnsi="Times"/>
          <w:noProof/>
          <w:color w:val="auto"/>
        </w:rPr>
        <w:t>(</w:t>
      </w:r>
      <w:r w:rsidRPr="00CB00F9">
        <w:rPr>
          <w:rFonts w:ascii="Times" w:hAnsi="Times"/>
          <w:noProof/>
          <w:color w:val="0070C0"/>
        </w:rPr>
        <w:t>Powell et al., 2011</w:t>
      </w:r>
      <w:r w:rsidRPr="00CB00F9">
        <w:rPr>
          <w:rFonts w:ascii="Times" w:hAnsi="Times"/>
          <w:noProof/>
          <w:color w:val="auto"/>
        </w:rPr>
        <w:t>)</w:t>
      </w:r>
      <w:r w:rsidRPr="00CB00F9">
        <w:rPr>
          <w:rFonts w:ascii="Times" w:hAnsi="Times"/>
          <w:color w:val="auto"/>
        </w:rPr>
        <w:t xml:space="preserve">, the Thuy Truong mangrove forest has increased in extent by about 3.5 km seaward </w:t>
      </w:r>
      <w:r w:rsidRPr="00CB00F9">
        <w:rPr>
          <w:rFonts w:ascii="Times" w:hAnsi="Times"/>
          <w:noProof/>
          <w:color w:val="auto"/>
        </w:rPr>
        <w:t>(</w:t>
      </w:r>
      <w:r w:rsidRPr="00CB00F9">
        <w:rPr>
          <w:rFonts w:ascii="Times" w:hAnsi="Times"/>
          <w:noProof/>
          <w:color w:val="0070C0"/>
        </w:rPr>
        <w:t>Quang et al., 2020</w:t>
      </w:r>
      <w:r w:rsidRPr="00CB00F9">
        <w:rPr>
          <w:rFonts w:ascii="Times" w:hAnsi="Times"/>
          <w:noProof/>
          <w:color w:val="auto"/>
        </w:rPr>
        <w:t>)</w:t>
      </w:r>
      <w:r w:rsidRPr="00CB00F9">
        <w:rPr>
          <w:rFonts w:ascii="Times" w:hAnsi="Times"/>
          <w:color w:val="auto"/>
        </w:rPr>
        <w:t xml:space="preserve">. The forest comprises three main mangrove species: </w:t>
      </w:r>
      <w:r w:rsidRPr="00CB00F9">
        <w:rPr>
          <w:rFonts w:ascii="Times" w:hAnsi="Times"/>
          <w:i/>
          <w:color w:val="auto"/>
        </w:rPr>
        <w:t>Sonneratia caseolaris, Kandelia obovata</w:t>
      </w:r>
      <w:r w:rsidRPr="00CB00F9">
        <w:rPr>
          <w:rFonts w:ascii="Times" w:hAnsi="Times"/>
          <w:color w:val="auto"/>
        </w:rPr>
        <w:t xml:space="preserve"> and </w:t>
      </w:r>
      <w:r w:rsidRPr="00CB00F9">
        <w:rPr>
          <w:rFonts w:ascii="Times" w:hAnsi="Times"/>
          <w:i/>
          <w:color w:val="auto"/>
        </w:rPr>
        <w:t>Aegiceras corniculatum</w:t>
      </w:r>
      <w:r w:rsidRPr="00CB00F9">
        <w:rPr>
          <w:rFonts w:ascii="Times" w:hAnsi="Times"/>
          <w:color w:val="auto"/>
        </w:rPr>
        <w:t xml:space="preserve"> </w:t>
      </w:r>
      <w:r w:rsidRPr="00CB00F9">
        <w:rPr>
          <w:rFonts w:ascii="Times" w:hAnsi="Times"/>
          <w:noProof/>
          <w:color w:val="auto"/>
        </w:rPr>
        <w:t>(</w:t>
      </w:r>
      <w:r w:rsidRPr="00CB00F9">
        <w:rPr>
          <w:rFonts w:ascii="Times" w:hAnsi="Times"/>
          <w:noProof/>
          <w:color w:val="0070C0"/>
        </w:rPr>
        <w:t>Quang et al., 2020, Loan et al., 2020</w:t>
      </w:r>
      <w:r w:rsidRPr="00CB00F9">
        <w:rPr>
          <w:rFonts w:ascii="Times" w:hAnsi="Times"/>
          <w:noProof/>
          <w:color w:val="auto"/>
        </w:rPr>
        <w:t>)</w:t>
      </w:r>
      <w:r w:rsidRPr="00CB00F9">
        <w:rPr>
          <w:rFonts w:ascii="Times" w:hAnsi="Times"/>
          <w:color w:val="auto"/>
        </w:rPr>
        <w:t>. The study area has four distinct seasons; spring from February to May, summer from June to August, autumn from September to November, and winter from December to January, and the climate of the region is influenced by the South-East Asian tropical monsoon. As the maximum and minimum monthly average temperatures are approximately 28°C in July and 16°C in January, the mangrove is not seasonally deciduous, staying green all year round. Hence, the mangrove leaf biomass does not display much seasonal variation.</w:t>
      </w:r>
    </w:p>
    <w:p w:rsidR="005031B5" w:rsidRPr="00CB00F9" w:rsidRDefault="005031B5" w:rsidP="005031B5">
      <w:pPr>
        <w:rPr>
          <w:rFonts w:ascii="Times" w:hAnsi="Times"/>
          <w:color w:val="auto"/>
        </w:rPr>
      </w:pPr>
      <w:r>
        <w:rPr>
          <w:rFonts w:ascii="Times" w:hAnsi="Times"/>
          <w:noProof/>
          <w:color w:val="auto"/>
          <w:lang w:eastAsia="en-US"/>
        </w:rPr>
        <w:lastRenderedPageBreak/>
        <w:drawing>
          <wp:inline distT="0" distB="0" distL="0" distR="0">
            <wp:extent cx="5943600" cy="3523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StudySite_TTP2Ori - revis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23615"/>
                    </a:xfrm>
                    <a:prstGeom prst="rect">
                      <a:avLst/>
                    </a:prstGeom>
                  </pic:spPr>
                </pic:pic>
              </a:graphicData>
            </a:graphic>
          </wp:inline>
        </w:drawing>
      </w:r>
    </w:p>
    <w:p w:rsidR="00B10EC1" w:rsidRPr="00CB00F9" w:rsidRDefault="00B10EC1" w:rsidP="0097503E">
      <w:pPr>
        <w:spacing w:before="120" w:after="240" w:line="260" w:lineRule="atLeast"/>
        <w:ind w:left="432" w:right="432"/>
        <w:rPr>
          <w:rFonts w:ascii="Times" w:hAnsi="Times"/>
          <w:color w:val="auto"/>
        </w:rPr>
      </w:pPr>
      <w:r w:rsidRPr="00CB00F9">
        <w:rPr>
          <w:rFonts w:ascii="Times" w:hAnsi="Times"/>
          <w:b/>
          <w:color w:val="auto"/>
        </w:rPr>
        <w:t xml:space="preserve">Fig. 1. </w:t>
      </w:r>
      <w:r w:rsidRPr="00CB00F9">
        <w:rPr>
          <w:rFonts w:ascii="Times" w:hAnsi="Times"/>
          <w:color w:val="auto"/>
        </w:rPr>
        <w:t>Location of Thuy Truong commune on the SPOT-7 natural color composition image, the red circles denote 24 plots in which field mangrove above ground biomass (MAGB) measurements were taken in May 2019.</w:t>
      </w:r>
    </w:p>
    <w:p w:rsidR="00B10EC1" w:rsidRPr="00CB00F9" w:rsidRDefault="00B10EC1" w:rsidP="0097503E">
      <w:pPr>
        <w:pStyle w:val="MDPI23heading3"/>
      </w:pPr>
      <w:r w:rsidRPr="00CB00F9">
        <w:t>2.2. Data collection</w:t>
      </w:r>
    </w:p>
    <w:p w:rsidR="00B10EC1" w:rsidRPr="00CB00F9" w:rsidRDefault="00B10EC1" w:rsidP="0097503E">
      <w:pPr>
        <w:pStyle w:val="MDPI31text"/>
      </w:pPr>
      <w:r w:rsidRPr="00CB00F9">
        <w:t>2.2.1. Remote sensing data</w:t>
      </w:r>
    </w:p>
    <w:p w:rsidR="00B10EC1" w:rsidRPr="00CB00F9" w:rsidRDefault="00B10EC1" w:rsidP="0097503E">
      <w:r w:rsidRPr="00CB00F9">
        <w:t>For the purposes of establishing MAGB models, we collected different remote sensing data with sensing dates as close as possible to the dates of the field measurements (</w:t>
      </w:r>
      <w:r w:rsidRPr="00CB00F9">
        <w:rPr>
          <w:color w:val="0070C0"/>
        </w:rPr>
        <w:t>Table 1</w:t>
      </w:r>
      <w:r w:rsidRPr="00CB00F9">
        <w:t xml:space="preserve">) to minimize MAGB differences due to seasonal and/or growth effects. These data were Sentinel-2, Landsat-8 and SPOT-7 images and ALOS-2/PALSAR-2 (AL2). The Sentinel-2 scene (optical) was at level 1-C obtained freely from </w:t>
      </w:r>
      <w:r w:rsidR="00B74F01" w:rsidRPr="00B74F01">
        <w:t>Copernicus Open Access Hub</w:t>
      </w:r>
      <w:r w:rsidR="00B74F01">
        <w:t xml:space="preserve"> of the </w:t>
      </w:r>
      <w:r w:rsidR="00B74F01" w:rsidRPr="00B74F01">
        <w:t>European Space Agency</w:t>
      </w:r>
      <w:r w:rsidRPr="00CB00F9">
        <w:t xml:space="preserve"> (ESA). The Landsat-8 OLI was obtained from the United States Geological Survey (USGS) at level 1, and SPOT-7 data were purchased from the Airbus group. The SAR remote sensing image of ALOS-2 was provided by the Japan Aerospace Exploration Agency (JAXA) at level 1.5 (L15) and used for estimating MAGB, and for comparison with the results from the optical images using identical methods of regression and machine learning. A time series of Landsat images for each 5-year period from 1975 to 2020 with minimal cloud cover (in October and November) were acquired to analyze MAGB changes over time. Metadata is summarized within </w:t>
      </w:r>
      <w:r w:rsidRPr="00CB00F9">
        <w:rPr>
          <w:color w:val="0070C0"/>
        </w:rPr>
        <w:t>Table 1</w:t>
      </w:r>
      <w:r w:rsidRPr="00CB00F9">
        <w:t>.</w:t>
      </w:r>
    </w:p>
    <w:p w:rsidR="001C4669" w:rsidRPr="001C4669" w:rsidRDefault="001C4669" w:rsidP="005031B5">
      <w:pPr>
        <w:rPr>
          <w:b/>
          <w:sz w:val="22"/>
          <w:szCs w:val="22"/>
        </w:rPr>
      </w:pPr>
      <w:r w:rsidRPr="001C4669">
        <w:rPr>
          <w:b/>
          <w:sz w:val="22"/>
          <w:szCs w:val="22"/>
        </w:rPr>
        <w:t>Table 1</w:t>
      </w:r>
    </w:p>
    <w:p w:rsidR="005031B5" w:rsidRDefault="005031B5" w:rsidP="005031B5">
      <w:pPr>
        <w:rPr>
          <w:sz w:val="22"/>
          <w:szCs w:val="22"/>
        </w:rPr>
      </w:pPr>
      <w:r w:rsidRPr="00304390">
        <w:rPr>
          <w:sz w:val="22"/>
          <w:szCs w:val="22"/>
        </w:rPr>
        <w:t>Remote sensing data covering the Thuy Truong commune, Thai Binh province; where B and BQA stand for band and band quality, respectively; MSS is Multispectral Scanner Sensor; TM stands for Thematic Mapper; OLI is Operational Land Imager; Mul and Pan are short for multispectral and panchromatic bands, respectively; GPL is geometric processing level; RPL is radiometric processing level; and GRD is ground-</w:t>
      </w:r>
      <w:r w:rsidRPr="00304390">
        <w:rPr>
          <w:sz w:val="22"/>
          <w:szCs w:val="22"/>
        </w:rPr>
        <w:lastRenderedPageBreak/>
        <w:t>range detected. V and H are vertical and horizontal, respectively, and coupled letters of VH and VV indicate SAR cross-polarizations.</w:t>
      </w:r>
    </w:p>
    <w:tbl>
      <w:tblPr>
        <w:tblpPr w:leftFromText="180" w:rightFromText="180" w:vertAnchor="page" w:horzAnchor="margin" w:tblpY="2190"/>
        <w:tblW w:w="10080" w:type="dxa"/>
        <w:tblBorders>
          <w:top w:val="nil"/>
          <w:left w:val="nil"/>
          <w:bottom w:val="nil"/>
          <w:right w:val="nil"/>
        </w:tblBorders>
        <w:tblLook w:val="0000" w:firstRow="0" w:lastRow="0" w:firstColumn="0" w:lastColumn="0" w:noHBand="0" w:noVBand="0"/>
      </w:tblPr>
      <w:tblGrid>
        <w:gridCol w:w="1440"/>
        <w:gridCol w:w="1890"/>
        <w:gridCol w:w="2070"/>
        <w:gridCol w:w="2340"/>
        <w:gridCol w:w="2340"/>
      </w:tblGrid>
      <w:tr w:rsidR="001C4669" w:rsidRPr="00567D05" w:rsidTr="001C4669">
        <w:trPr>
          <w:trHeight w:val="276"/>
        </w:trPr>
        <w:tc>
          <w:tcPr>
            <w:tcW w:w="1440" w:type="dxa"/>
            <w:tcBorders>
              <w:top w:val="single" w:sz="8" w:space="0" w:color="auto"/>
              <w:bottom w:val="single" w:sz="8" w:space="0" w:color="auto"/>
            </w:tcBorders>
          </w:tcPr>
          <w:p w:rsidR="001C4669" w:rsidRPr="00567D05" w:rsidRDefault="001C4669" w:rsidP="001C4669">
            <w:r w:rsidRPr="00567D05">
              <w:t>Sensors</w:t>
            </w:r>
          </w:p>
        </w:tc>
        <w:tc>
          <w:tcPr>
            <w:tcW w:w="1890" w:type="dxa"/>
            <w:tcBorders>
              <w:top w:val="single" w:sz="8" w:space="0" w:color="auto"/>
              <w:bottom w:val="single" w:sz="8" w:space="0" w:color="auto"/>
            </w:tcBorders>
          </w:tcPr>
          <w:p w:rsidR="001C4669" w:rsidRPr="00567D05" w:rsidRDefault="001C4669" w:rsidP="001C4669">
            <w:r w:rsidRPr="00567D05">
              <w:t>Product level</w:t>
            </w:r>
          </w:p>
        </w:tc>
        <w:tc>
          <w:tcPr>
            <w:tcW w:w="2070" w:type="dxa"/>
            <w:tcBorders>
              <w:top w:val="single" w:sz="8" w:space="0" w:color="auto"/>
              <w:bottom w:val="single" w:sz="8" w:space="0" w:color="auto"/>
            </w:tcBorders>
          </w:tcPr>
          <w:p w:rsidR="001C4669" w:rsidRPr="00567D05" w:rsidRDefault="001C4669" w:rsidP="001C4669">
            <w:r w:rsidRPr="00567D05">
              <w:t>Bands</w:t>
            </w:r>
          </w:p>
        </w:tc>
        <w:tc>
          <w:tcPr>
            <w:tcW w:w="2340" w:type="dxa"/>
            <w:tcBorders>
              <w:top w:val="single" w:sz="8" w:space="0" w:color="auto"/>
              <w:bottom w:val="single" w:sz="8" w:space="0" w:color="auto"/>
            </w:tcBorders>
          </w:tcPr>
          <w:p w:rsidR="001C4669" w:rsidRPr="00567D05" w:rsidRDefault="001C4669" w:rsidP="001C4669">
            <w:r w:rsidRPr="00567D05">
              <w:t>Spatial resolution (m)</w:t>
            </w:r>
          </w:p>
        </w:tc>
        <w:tc>
          <w:tcPr>
            <w:tcW w:w="2340" w:type="dxa"/>
            <w:tcBorders>
              <w:top w:val="single" w:sz="8" w:space="0" w:color="auto"/>
              <w:bottom w:val="single" w:sz="8" w:space="0" w:color="auto"/>
            </w:tcBorders>
          </w:tcPr>
          <w:p w:rsidR="001C4669" w:rsidRPr="00567D05" w:rsidRDefault="001C4669" w:rsidP="001C4669">
            <w:r w:rsidRPr="00567D05">
              <w:t>Acquisition date</w:t>
            </w:r>
          </w:p>
        </w:tc>
      </w:tr>
      <w:tr w:rsidR="001C4669" w:rsidRPr="009C480D" w:rsidTr="001C4669">
        <w:trPr>
          <w:trHeight w:val="263"/>
        </w:trPr>
        <w:tc>
          <w:tcPr>
            <w:tcW w:w="1440" w:type="dxa"/>
            <w:tcBorders>
              <w:top w:val="single" w:sz="8" w:space="0" w:color="auto"/>
              <w:bottom w:val="nil"/>
            </w:tcBorders>
          </w:tcPr>
          <w:p w:rsidR="001C4669" w:rsidRPr="009C480D" w:rsidRDefault="001C4669" w:rsidP="001C4669">
            <w:r w:rsidRPr="009C480D">
              <w:t>Sentinel-2</w:t>
            </w:r>
          </w:p>
        </w:tc>
        <w:tc>
          <w:tcPr>
            <w:tcW w:w="1890" w:type="dxa"/>
            <w:tcBorders>
              <w:top w:val="single" w:sz="8" w:space="0" w:color="auto"/>
              <w:bottom w:val="nil"/>
            </w:tcBorders>
          </w:tcPr>
          <w:p w:rsidR="001C4669" w:rsidRPr="009C480D" w:rsidRDefault="001C4669" w:rsidP="001C4669">
            <w:r w:rsidRPr="009C480D">
              <w:t>Multispectral image-</w:t>
            </w:r>
          </w:p>
          <w:p w:rsidR="001C4669" w:rsidRPr="009C480D" w:rsidRDefault="001C4669" w:rsidP="001C4669">
            <w:r w:rsidRPr="009C480D">
              <w:t>L1C</w:t>
            </w:r>
          </w:p>
        </w:tc>
        <w:tc>
          <w:tcPr>
            <w:tcW w:w="2070" w:type="dxa"/>
            <w:tcBorders>
              <w:top w:val="single" w:sz="8" w:space="0" w:color="auto"/>
              <w:bottom w:val="nil"/>
            </w:tcBorders>
          </w:tcPr>
          <w:p w:rsidR="001C4669" w:rsidRPr="009C480D" w:rsidRDefault="001C4669" w:rsidP="001C4669">
            <w:r w:rsidRPr="009C480D">
              <w:t>B2-B8, B11, B12</w:t>
            </w:r>
          </w:p>
        </w:tc>
        <w:tc>
          <w:tcPr>
            <w:tcW w:w="2340" w:type="dxa"/>
            <w:tcBorders>
              <w:top w:val="single" w:sz="8" w:space="0" w:color="auto"/>
              <w:bottom w:val="nil"/>
            </w:tcBorders>
          </w:tcPr>
          <w:p w:rsidR="001C4669" w:rsidRPr="009C480D" w:rsidRDefault="001C4669" w:rsidP="001C4669">
            <w:r w:rsidRPr="009C480D">
              <w:t>10 (B2-4, B8)</w:t>
            </w:r>
          </w:p>
          <w:p w:rsidR="001C4669" w:rsidRPr="009C480D" w:rsidRDefault="001C4669" w:rsidP="001C4669">
            <w:r w:rsidRPr="009C480D">
              <w:t>20 (B5-7, B11,12)</w:t>
            </w:r>
          </w:p>
        </w:tc>
        <w:tc>
          <w:tcPr>
            <w:tcW w:w="2340" w:type="dxa"/>
            <w:tcBorders>
              <w:top w:val="single" w:sz="8" w:space="0" w:color="auto"/>
              <w:bottom w:val="nil"/>
            </w:tcBorders>
          </w:tcPr>
          <w:p w:rsidR="001C4669" w:rsidRPr="009C480D" w:rsidRDefault="001C4669" w:rsidP="001C4669">
            <w:r w:rsidRPr="009C480D">
              <w:t xml:space="preserve">2019/06/25 </w:t>
            </w:r>
          </w:p>
        </w:tc>
      </w:tr>
      <w:tr w:rsidR="001C4669" w:rsidRPr="009C480D" w:rsidTr="001C4669">
        <w:trPr>
          <w:trHeight w:val="263"/>
        </w:trPr>
        <w:tc>
          <w:tcPr>
            <w:tcW w:w="1440" w:type="dxa"/>
            <w:tcBorders>
              <w:top w:val="nil"/>
              <w:left w:val="nil"/>
              <w:bottom w:val="nil"/>
            </w:tcBorders>
          </w:tcPr>
          <w:p w:rsidR="001C4669" w:rsidRPr="009C480D" w:rsidRDefault="001C4669" w:rsidP="001C4669">
            <w:r w:rsidRPr="009C480D">
              <w:t>Landsat-8 OLI</w:t>
            </w:r>
          </w:p>
        </w:tc>
        <w:tc>
          <w:tcPr>
            <w:tcW w:w="1890" w:type="dxa"/>
            <w:tcBorders>
              <w:top w:val="nil"/>
              <w:bottom w:val="nil"/>
            </w:tcBorders>
          </w:tcPr>
          <w:p w:rsidR="001C4669" w:rsidRPr="009C480D" w:rsidRDefault="001C4669" w:rsidP="001C4669">
            <w:r w:rsidRPr="009C480D">
              <w:t>L1TP</w:t>
            </w:r>
          </w:p>
        </w:tc>
        <w:tc>
          <w:tcPr>
            <w:tcW w:w="2070" w:type="dxa"/>
            <w:tcBorders>
              <w:top w:val="nil"/>
              <w:bottom w:val="nil"/>
            </w:tcBorders>
          </w:tcPr>
          <w:p w:rsidR="001C4669" w:rsidRPr="009C480D" w:rsidRDefault="001C4669" w:rsidP="001C4669">
            <w:r w:rsidRPr="009C480D">
              <w:t>1–11, BQA</w:t>
            </w:r>
          </w:p>
        </w:tc>
        <w:tc>
          <w:tcPr>
            <w:tcW w:w="2340" w:type="dxa"/>
            <w:tcBorders>
              <w:top w:val="nil"/>
              <w:bottom w:val="nil"/>
            </w:tcBorders>
          </w:tcPr>
          <w:p w:rsidR="001C4669" w:rsidRPr="009C480D" w:rsidRDefault="001C4669" w:rsidP="001C4669">
            <w:r w:rsidRPr="009C480D">
              <w:t>30</w:t>
            </w:r>
          </w:p>
        </w:tc>
        <w:tc>
          <w:tcPr>
            <w:tcW w:w="2340" w:type="dxa"/>
            <w:tcBorders>
              <w:top w:val="nil"/>
              <w:bottom w:val="nil"/>
              <w:right w:val="nil"/>
            </w:tcBorders>
          </w:tcPr>
          <w:p w:rsidR="001C4669" w:rsidRPr="009C480D" w:rsidRDefault="001C4669" w:rsidP="001C4669">
            <w:r w:rsidRPr="009C480D">
              <w:t xml:space="preserve">2019/05/18 </w:t>
            </w:r>
          </w:p>
        </w:tc>
      </w:tr>
      <w:tr w:rsidR="001C4669" w:rsidRPr="009C480D" w:rsidTr="001C4669">
        <w:trPr>
          <w:trHeight w:val="716"/>
        </w:trPr>
        <w:tc>
          <w:tcPr>
            <w:tcW w:w="1440" w:type="dxa"/>
            <w:tcBorders>
              <w:top w:val="nil"/>
              <w:left w:val="nil"/>
              <w:bottom w:val="nil"/>
            </w:tcBorders>
          </w:tcPr>
          <w:p w:rsidR="001C4669" w:rsidRPr="009C480D" w:rsidRDefault="001C4669" w:rsidP="001C4669">
            <w:r w:rsidRPr="009C480D">
              <w:t>SPOT-7</w:t>
            </w:r>
          </w:p>
        </w:tc>
        <w:tc>
          <w:tcPr>
            <w:tcW w:w="1890" w:type="dxa"/>
            <w:tcBorders>
              <w:top w:val="nil"/>
              <w:bottom w:val="nil"/>
            </w:tcBorders>
          </w:tcPr>
          <w:p w:rsidR="001C4669" w:rsidRPr="009C480D" w:rsidRDefault="001C4669" w:rsidP="001C4669">
            <w:r w:rsidRPr="009C480D">
              <w:t>GPL: Sensor RPL: Basic</w:t>
            </w:r>
          </w:p>
        </w:tc>
        <w:tc>
          <w:tcPr>
            <w:tcW w:w="2070" w:type="dxa"/>
            <w:tcBorders>
              <w:top w:val="nil"/>
              <w:bottom w:val="nil"/>
            </w:tcBorders>
          </w:tcPr>
          <w:p w:rsidR="001C4669" w:rsidRPr="009C480D" w:rsidRDefault="001C4669" w:rsidP="001C4669">
            <w:r w:rsidRPr="009C480D">
              <w:t>Band 0–3 (Mul) Pan</w:t>
            </w:r>
          </w:p>
        </w:tc>
        <w:tc>
          <w:tcPr>
            <w:tcW w:w="2340" w:type="dxa"/>
            <w:tcBorders>
              <w:top w:val="nil"/>
              <w:bottom w:val="nil"/>
            </w:tcBorders>
          </w:tcPr>
          <w:p w:rsidR="001C4669" w:rsidRPr="009C480D" w:rsidRDefault="001C4669" w:rsidP="001C4669">
            <w:r w:rsidRPr="009C480D">
              <w:t>6 (Mul)</w:t>
            </w:r>
          </w:p>
          <w:p w:rsidR="001C4669" w:rsidRPr="009C480D" w:rsidRDefault="001C4669" w:rsidP="001C4669">
            <w:r w:rsidRPr="009C480D">
              <w:t>1.5 (Pan)</w:t>
            </w:r>
          </w:p>
        </w:tc>
        <w:tc>
          <w:tcPr>
            <w:tcW w:w="2340" w:type="dxa"/>
            <w:tcBorders>
              <w:top w:val="nil"/>
              <w:bottom w:val="nil"/>
              <w:right w:val="nil"/>
            </w:tcBorders>
          </w:tcPr>
          <w:p w:rsidR="001C4669" w:rsidRPr="009C480D" w:rsidRDefault="001C4669" w:rsidP="001C4669">
            <w:r w:rsidRPr="009C480D">
              <w:t>2019/05/17</w:t>
            </w:r>
          </w:p>
        </w:tc>
      </w:tr>
      <w:tr w:rsidR="001C4669" w:rsidRPr="009C480D" w:rsidTr="001C4669">
        <w:trPr>
          <w:trHeight w:val="263"/>
        </w:trPr>
        <w:tc>
          <w:tcPr>
            <w:tcW w:w="1440" w:type="dxa"/>
            <w:tcBorders>
              <w:top w:val="nil"/>
              <w:bottom w:val="nil"/>
            </w:tcBorders>
          </w:tcPr>
          <w:p w:rsidR="001C4669" w:rsidRPr="009C480D" w:rsidRDefault="001C4669" w:rsidP="001C4669">
            <w:r w:rsidRPr="009C480D">
              <w:t>ALOS-2</w:t>
            </w:r>
          </w:p>
        </w:tc>
        <w:tc>
          <w:tcPr>
            <w:tcW w:w="1890" w:type="dxa"/>
            <w:tcBorders>
              <w:top w:val="nil"/>
              <w:bottom w:val="nil"/>
            </w:tcBorders>
          </w:tcPr>
          <w:p w:rsidR="001C4669" w:rsidRPr="009C480D" w:rsidRDefault="001C4669" w:rsidP="001C4669">
            <w:r w:rsidRPr="009C480D">
              <w:t>L15 (level 1.5,</w:t>
            </w:r>
          </w:p>
          <w:p w:rsidR="001C4669" w:rsidRPr="009C480D" w:rsidRDefault="001C4669" w:rsidP="001C4669">
            <w:r w:rsidRPr="009C480D">
              <w:t>terrain correction)</w:t>
            </w:r>
          </w:p>
        </w:tc>
        <w:tc>
          <w:tcPr>
            <w:tcW w:w="2070" w:type="dxa"/>
            <w:tcBorders>
              <w:top w:val="nil"/>
              <w:bottom w:val="nil"/>
            </w:tcBorders>
          </w:tcPr>
          <w:p w:rsidR="001C4669" w:rsidRPr="009C480D" w:rsidRDefault="001C4669" w:rsidP="001C4669">
            <w:r w:rsidRPr="009C480D">
              <w:t>HH, and VH</w:t>
            </w:r>
          </w:p>
        </w:tc>
        <w:tc>
          <w:tcPr>
            <w:tcW w:w="2340" w:type="dxa"/>
            <w:tcBorders>
              <w:top w:val="nil"/>
              <w:bottom w:val="nil"/>
            </w:tcBorders>
          </w:tcPr>
          <w:p w:rsidR="001C4669" w:rsidRPr="009C480D" w:rsidRDefault="001C4669" w:rsidP="001C4669">
            <w:r w:rsidRPr="009C480D">
              <w:t>3.125</w:t>
            </w:r>
          </w:p>
        </w:tc>
        <w:tc>
          <w:tcPr>
            <w:tcW w:w="2340" w:type="dxa"/>
            <w:tcBorders>
              <w:top w:val="nil"/>
              <w:bottom w:val="nil"/>
            </w:tcBorders>
          </w:tcPr>
          <w:p w:rsidR="001C4669" w:rsidRPr="009C480D" w:rsidRDefault="001C4669" w:rsidP="001C4669">
            <w:r w:rsidRPr="009C480D">
              <w:t>2019/07/31</w:t>
            </w:r>
          </w:p>
          <w:p w:rsidR="001C4669" w:rsidRPr="009C480D" w:rsidRDefault="001C4669" w:rsidP="001C4669">
            <w:r w:rsidRPr="009C480D">
              <w:t>(Ascending)</w:t>
            </w:r>
          </w:p>
        </w:tc>
      </w:tr>
      <w:tr w:rsidR="001C4669" w:rsidRPr="009C480D" w:rsidTr="001C4669">
        <w:trPr>
          <w:trHeight w:val="263"/>
        </w:trPr>
        <w:tc>
          <w:tcPr>
            <w:tcW w:w="1440" w:type="dxa"/>
            <w:tcBorders>
              <w:top w:val="single" w:sz="4" w:space="0" w:color="auto"/>
              <w:left w:val="nil"/>
              <w:bottom w:val="single" w:sz="8" w:space="0" w:color="auto"/>
            </w:tcBorders>
          </w:tcPr>
          <w:p w:rsidR="001C4669" w:rsidRPr="009C480D" w:rsidRDefault="001C4669" w:rsidP="001C4669">
            <w:r w:rsidRPr="009C480D">
              <w:t>Landsat-X Time series (X=2, 5 and 8)</w:t>
            </w:r>
          </w:p>
        </w:tc>
        <w:tc>
          <w:tcPr>
            <w:tcW w:w="1890" w:type="dxa"/>
            <w:tcBorders>
              <w:top w:val="single" w:sz="4" w:space="0" w:color="auto"/>
              <w:bottom w:val="single" w:sz="8" w:space="0" w:color="auto"/>
            </w:tcBorders>
          </w:tcPr>
          <w:p w:rsidR="001C4669" w:rsidRPr="009C480D" w:rsidRDefault="001C4669" w:rsidP="001C4669">
            <w:r w:rsidRPr="009C480D">
              <w:t>(2) L1TP</w:t>
            </w:r>
          </w:p>
          <w:p w:rsidR="001C4669" w:rsidRPr="009C480D" w:rsidRDefault="001C4669" w:rsidP="001C4669">
            <w:r w:rsidRPr="009C480D">
              <w:t>(5) L1TP</w:t>
            </w:r>
          </w:p>
          <w:p w:rsidR="001C4669" w:rsidRPr="009C480D" w:rsidRDefault="001C4669" w:rsidP="001C4669">
            <w:r w:rsidRPr="009C480D">
              <w:t>(5) L1TP</w:t>
            </w:r>
          </w:p>
          <w:p w:rsidR="001C4669" w:rsidRPr="009C480D" w:rsidRDefault="001C4669" w:rsidP="001C4669">
            <w:r w:rsidRPr="009C480D">
              <w:t>(5) L1TP</w:t>
            </w:r>
          </w:p>
          <w:p w:rsidR="001C4669" w:rsidRPr="009C480D" w:rsidRDefault="001C4669" w:rsidP="001C4669">
            <w:r w:rsidRPr="009C480D">
              <w:t>(5) L1TP</w:t>
            </w:r>
          </w:p>
          <w:p w:rsidR="001C4669" w:rsidRPr="009C480D" w:rsidRDefault="001C4669" w:rsidP="001C4669">
            <w:r w:rsidRPr="009C480D">
              <w:t>(5) L1TP</w:t>
            </w:r>
          </w:p>
          <w:p w:rsidR="001C4669" w:rsidRPr="009C480D" w:rsidRDefault="001C4669" w:rsidP="001C4669">
            <w:r w:rsidRPr="009C480D">
              <w:t>(8) L1TP</w:t>
            </w:r>
          </w:p>
          <w:p w:rsidR="001C4669" w:rsidRPr="009C480D" w:rsidRDefault="001C4669" w:rsidP="001C4669">
            <w:r w:rsidRPr="009C480D">
              <w:t>(8) L1TP</w:t>
            </w:r>
          </w:p>
          <w:p w:rsidR="001C4669" w:rsidRPr="009C480D" w:rsidRDefault="001C4669" w:rsidP="001C4669">
            <w:r w:rsidRPr="009C480D">
              <w:t>(8) L1TP</w:t>
            </w:r>
          </w:p>
        </w:tc>
        <w:tc>
          <w:tcPr>
            <w:tcW w:w="2070" w:type="dxa"/>
            <w:tcBorders>
              <w:top w:val="single" w:sz="4" w:space="0" w:color="auto"/>
              <w:bottom w:val="single" w:sz="8" w:space="0" w:color="auto"/>
            </w:tcBorders>
          </w:tcPr>
          <w:p w:rsidR="001C4669" w:rsidRPr="009C480D" w:rsidRDefault="001C4669" w:rsidP="001C4669">
            <w:r w:rsidRPr="009C480D">
              <w:t>(2) 4–6</w:t>
            </w:r>
          </w:p>
          <w:p w:rsidR="001C4669" w:rsidRPr="009C480D" w:rsidRDefault="001C4669" w:rsidP="001C4669">
            <w:r w:rsidRPr="009C480D">
              <w:t>(5) 1–7, BQA</w:t>
            </w:r>
          </w:p>
          <w:p w:rsidR="001C4669" w:rsidRPr="009C480D" w:rsidRDefault="001C4669" w:rsidP="001C4669">
            <w:r w:rsidRPr="009C480D">
              <w:t>(5) 1–7, BQA</w:t>
            </w:r>
          </w:p>
          <w:p w:rsidR="001C4669" w:rsidRPr="009C480D" w:rsidRDefault="001C4669" w:rsidP="001C4669">
            <w:r w:rsidRPr="009C480D">
              <w:t>(5) 1–7, BQA</w:t>
            </w:r>
          </w:p>
          <w:p w:rsidR="001C4669" w:rsidRPr="009C480D" w:rsidRDefault="001C4669" w:rsidP="001C4669">
            <w:r w:rsidRPr="009C480D">
              <w:t>(5) 1–7, BQA</w:t>
            </w:r>
          </w:p>
          <w:p w:rsidR="001C4669" w:rsidRPr="009C480D" w:rsidRDefault="001C4669" w:rsidP="001C4669">
            <w:r w:rsidRPr="009C480D">
              <w:t>(5) 1–7, BQA</w:t>
            </w:r>
          </w:p>
          <w:p w:rsidR="001C4669" w:rsidRPr="009C480D" w:rsidRDefault="001C4669" w:rsidP="001C4669">
            <w:r w:rsidRPr="009C480D">
              <w:t>(8) 1–11, BQA</w:t>
            </w:r>
          </w:p>
          <w:p w:rsidR="001C4669" w:rsidRPr="009C480D" w:rsidRDefault="001C4669" w:rsidP="001C4669">
            <w:r w:rsidRPr="009C480D">
              <w:t>(8) 1–11, BQA</w:t>
            </w:r>
          </w:p>
          <w:p w:rsidR="001C4669" w:rsidRPr="009C480D" w:rsidRDefault="001C4669" w:rsidP="001C4669">
            <w:r w:rsidRPr="009C480D">
              <w:t>(8) 1–11, BQA</w:t>
            </w:r>
          </w:p>
        </w:tc>
        <w:tc>
          <w:tcPr>
            <w:tcW w:w="2340" w:type="dxa"/>
            <w:tcBorders>
              <w:top w:val="single" w:sz="4" w:space="0" w:color="auto"/>
              <w:bottom w:val="single" w:sz="8" w:space="0" w:color="auto"/>
            </w:tcBorders>
          </w:tcPr>
          <w:p w:rsidR="001C4669" w:rsidRPr="009C480D" w:rsidRDefault="001C4669" w:rsidP="001C4669">
            <w:r w:rsidRPr="009C480D">
              <w:t>(2) 60m</w:t>
            </w:r>
          </w:p>
          <w:p w:rsidR="001C4669" w:rsidRPr="009C480D" w:rsidRDefault="001C4669" w:rsidP="001C4669">
            <w:r w:rsidRPr="009C480D">
              <w:t>(5) 30m</w:t>
            </w:r>
          </w:p>
          <w:p w:rsidR="001C4669" w:rsidRPr="009C480D" w:rsidRDefault="001C4669" w:rsidP="001C4669">
            <w:r w:rsidRPr="009C480D">
              <w:t>(5) 30m</w:t>
            </w:r>
          </w:p>
          <w:p w:rsidR="001C4669" w:rsidRPr="009C480D" w:rsidRDefault="001C4669" w:rsidP="001C4669">
            <w:r w:rsidRPr="009C480D">
              <w:t>(5) 30m</w:t>
            </w:r>
          </w:p>
          <w:p w:rsidR="001C4669" w:rsidRPr="009C480D" w:rsidRDefault="001C4669" w:rsidP="001C4669">
            <w:r w:rsidRPr="009C480D">
              <w:t>(5) 30m</w:t>
            </w:r>
          </w:p>
          <w:p w:rsidR="001C4669" w:rsidRPr="009C480D" w:rsidRDefault="001C4669" w:rsidP="001C4669">
            <w:r w:rsidRPr="009C480D">
              <w:t>(5) 30m</w:t>
            </w:r>
          </w:p>
          <w:p w:rsidR="001C4669" w:rsidRPr="009C480D" w:rsidRDefault="001C4669" w:rsidP="001C4669">
            <w:r w:rsidRPr="009C480D">
              <w:t xml:space="preserve">(8) 30m </w:t>
            </w:r>
          </w:p>
          <w:p w:rsidR="001C4669" w:rsidRPr="009C480D" w:rsidRDefault="001C4669" w:rsidP="001C4669">
            <w:r w:rsidRPr="009C480D">
              <w:t>(8) 30m</w:t>
            </w:r>
          </w:p>
          <w:p w:rsidR="001C4669" w:rsidRPr="009C480D" w:rsidRDefault="001C4669" w:rsidP="001C4669">
            <w:r w:rsidRPr="009C480D">
              <w:t>(8) 30m</w:t>
            </w:r>
          </w:p>
        </w:tc>
        <w:tc>
          <w:tcPr>
            <w:tcW w:w="2340" w:type="dxa"/>
            <w:tcBorders>
              <w:top w:val="single" w:sz="4" w:space="0" w:color="auto"/>
              <w:bottom w:val="single" w:sz="8" w:space="0" w:color="auto"/>
              <w:right w:val="nil"/>
            </w:tcBorders>
          </w:tcPr>
          <w:p w:rsidR="001C4669" w:rsidRPr="009C480D" w:rsidRDefault="001C4669" w:rsidP="001C4669">
            <w:r w:rsidRPr="009C480D">
              <w:t>1975/04/20 (2MSS)</w:t>
            </w:r>
          </w:p>
          <w:p w:rsidR="001C4669" w:rsidRPr="009C480D" w:rsidRDefault="001C4669" w:rsidP="001C4669">
            <w:r w:rsidRPr="009C480D">
              <w:t>1988/11/04 (5TM)</w:t>
            </w:r>
          </w:p>
          <w:p w:rsidR="001C4669" w:rsidRPr="009C480D" w:rsidRDefault="001C4669" w:rsidP="001C4669">
            <w:r w:rsidRPr="009C480D">
              <w:t>1993/11/02 (5TM)</w:t>
            </w:r>
          </w:p>
          <w:p w:rsidR="001C4669" w:rsidRPr="009C480D" w:rsidRDefault="001C4669" w:rsidP="001C4669">
            <w:r w:rsidRPr="009C480D">
              <w:t>1998/10/15 (5TM)</w:t>
            </w:r>
          </w:p>
          <w:p w:rsidR="001C4669" w:rsidRPr="009C480D" w:rsidRDefault="001C4669" w:rsidP="001C4669">
            <w:r w:rsidRPr="009C480D">
              <w:t>2003/10/10 (5TM)</w:t>
            </w:r>
          </w:p>
          <w:p w:rsidR="001C4669" w:rsidRPr="009C480D" w:rsidRDefault="001C4669" w:rsidP="001C4669">
            <w:r w:rsidRPr="009C480D">
              <w:t>2008/11/11 (5TM)</w:t>
            </w:r>
          </w:p>
          <w:p w:rsidR="001C4669" w:rsidRPr="009C480D" w:rsidRDefault="001C4669" w:rsidP="001C4669">
            <w:r w:rsidRPr="009C480D">
              <w:t>2013/10/08 (8OLI)</w:t>
            </w:r>
          </w:p>
          <w:p w:rsidR="001C4669" w:rsidRPr="009C480D" w:rsidRDefault="001C4669" w:rsidP="001C4669">
            <w:r w:rsidRPr="009C480D">
              <w:t>2018/10/06 (8OLI)</w:t>
            </w:r>
          </w:p>
          <w:p w:rsidR="001C4669" w:rsidRPr="009C480D" w:rsidRDefault="001C4669" w:rsidP="001C4669">
            <w:r w:rsidRPr="009C480D">
              <w:t>2020/05/20 (8OLI)</w:t>
            </w:r>
          </w:p>
        </w:tc>
      </w:tr>
    </w:tbl>
    <w:p w:rsidR="00B10EC1" w:rsidRPr="00CB00F9" w:rsidRDefault="00B10EC1" w:rsidP="0097503E">
      <w:pPr>
        <w:pStyle w:val="MDPI31text"/>
      </w:pPr>
      <w:r w:rsidRPr="00CB00F9">
        <w:t>2.2.2. Field measurements for estimating mangrove above-ground biomass</w:t>
      </w:r>
    </w:p>
    <w:p w:rsidR="00B10EC1" w:rsidRPr="00CB00F9" w:rsidRDefault="00B10EC1" w:rsidP="0097503E">
      <w:pPr>
        <w:rPr>
          <w:color w:val="000000" w:themeColor="text1"/>
          <w:sz w:val="18"/>
        </w:rPr>
      </w:pPr>
      <w:r w:rsidRPr="00CB00F9">
        <w:t xml:space="preserve">Field measurements of MAGB were undertaken in May 2019 with clear skies and low cloud cover. Areas characterized by different mangrove species were measured in different plots, resulting in 24 distinct measurement plots. All field measurement activities were undertaken in 24 10m × 10m plots for three mangrove types of </w:t>
      </w:r>
      <w:r w:rsidRPr="00CB00F9">
        <w:rPr>
          <w:i/>
        </w:rPr>
        <w:t>S. caseolaris</w:t>
      </w:r>
      <w:r w:rsidRPr="00CB00F9">
        <w:t xml:space="preserve"> plots for </w:t>
      </w:r>
      <w:r w:rsidRPr="00CB00F9">
        <w:rPr>
          <w:i/>
        </w:rPr>
        <w:t>K. obovata</w:t>
      </w:r>
      <w:r w:rsidRPr="00CB00F9">
        <w:t xml:space="preserve"> and </w:t>
      </w:r>
      <w:r w:rsidRPr="00CB00F9">
        <w:rPr>
          <w:i/>
        </w:rPr>
        <w:t>A. corniculatum</w:t>
      </w:r>
      <w:r w:rsidRPr="00CB00F9">
        <w:t>. Plot borders were demarked using ropes. A GPS (</w:t>
      </w:r>
      <w:r w:rsidRPr="00722476">
        <w:rPr>
          <w:color w:val="auto"/>
        </w:rPr>
        <w:t xml:space="preserve">Garmin Montana 680) </w:t>
      </w:r>
      <w:r w:rsidRPr="00CB00F9">
        <w:t xml:space="preserve">with an integrated 5M camera was used to position the four corners of each plot. Plot locations are shown in </w:t>
      </w:r>
      <w:r w:rsidRPr="00CB00F9">
        <w:rPr>
          <w:color w:val="0070C0"/>
        </w:rPr>
        <w:t>Fig. 1</w:t>
      </w:r>
      <w:r w:rsidRPr="00CB00F9">
        <w:t xml:space="preserve"> with the points corresponding to the center of each plot. The GPS was used for measuring the coordinates of the plots which subsequently enables to overlay the extraction of remote sensing-based MAGB values with plot-based data for comparison.</w:t>
      </w:r>
    </w:p>
    <w:p w:rsidR="00B10EC1" w:rsidRPr="00CB00F9" w:rsidRDefault="00B10EC1" w:rsidP="0097503E">
      <w:r w:rsidRPr="00CB00F9">
        <w:t xml:space="preserve">The </w:t>
      </w:r>
      <w:r w:rsidR="00194361">
        <w:t>above-ground biomass (</w:t>
      </w:r>
      <w:r w:rsidRPr="00CB00F9">
        <w:t>AGB</w:t>
      </w:r>
      <w:r w:rsidR="00194361">
        <w:t>)</w:t>
      </w:r>
      <w:r w:rsidRPr="00CB00F9">
        <w:t xml:space="preserve"> values for each mangrove species were estimated using established allometric equations (</w:t>
      </w:r>
      <w:r w:rsidRPr="00CB00F9">
        <w:rPr>
          <w:color w:val="0070C0"/>
        </w:rPr>
        <w:t>Table 2</w:t>
      </w:r>
      <w:r w:rsidRPr="00CB00F9">
        <w:t>), using parameters of tree height (H), diameter at breast height (D</w:t>
      </w:r>
      <w:r w:rsidRPr="00CB00F9">
        <w:rPr>
          <w:vertAlign w:val="subscript"/>
        </w:rPr>
        <w:t>BH</w:t>
      </w:r>
      <w:r w:rsidRPr="00CB00F9">
        <w:t>), and stem diameter at the position of 10% of the tree height (D</w:t>
      </w:r>
      <w:r w:rsidRPr="00CB00F9">
        <w:rPr>
          <w:vertAlign w:val="subscript"/>
        </w:rPr>
        <w:t>0.1</w:t>
      </w:r>
      <w:r w:rsidRPr="00CB00F9">
        <w:t xml:space="preserve">) </w:t>
      </w:r>
      <w:r w:rsidRPr="00CB00F9">
        <w:rPr>
          <w:noProof/>
        </w:rPr>
        <w:t>(</w:t>
      </w:r>
      <w:r w:rsidRPr="00CB00F9">
        <w:rPr>
          <w:noProof/>
          <w:color w:val="0070C0"/>
        </w:rPr>
        <w:t>Hoque et al., 2011</w:t>
      </w:r>
      <w:r w:rsidRPr="00CB00F9">
        <w:rPr>
          <w:noProof/>
        </w:rPr>
        <w:t>)</w:t>
      </w:r>
      <w:r w:rsidRPr="00CB00F9">
        <w:t>. The total height and diameter at 1.3 meters above the ground (D</w:t>
      </w:r>
      <w:r w:rsidRPr="00CB00F9">
        <w:rPr>
          <w:vertAlign w:val="subscript"/>
        </w:rPr>
        <w:t>BH</w:t>
      </w:r>
      <w:r w:rsidRPr="00CB00F9">
        <w:t xml:space="preserve">) of </w:t>
      </w:r>
      <w:r w:rsidRPr="00CB00F9">
        <w:rPr>
          <w:i/>
        </w:rPr>
        <w:t>S. caseolaris</w:t>
      </w:r>
      <w:r w:rsidRPr="00CB00F9">
        <w:t xml:space="preserve"> individuals and the tree height and diameter at 10% of the tree height (D</w:t>
      </w:r>
      <w:r w:rsidRPr="00CB00F9">
        <w:rPr>
          <w:vertAlign w:val="subscript"/>
        </w:rPr>
        <w:t>0.1</w:t>
      </w:r>
      <w:r w:rsidRPr="00CB00F9">
        <w:t xml:space="preserve">) of </w:t>
      </w:r>
      <w:r w:rsidRPr="00CB00F9">
        <w:rPr>
          <w:i/>
        </w:rPr>
        <w:t>K. obovata</w:t>
      </w:r>
      <w:r w:rsidRPr="00CB00F9">
        <w:t xml:space="preserve"> and </w:t>
      </w:r>
      <w:r w:rsidRPr="00CB00F9">
        <w:rPr>
          <w:i/>
        </w:rPr>
        <w:t>A. corniculatum</w:t>
      </w:r>
      <w:r w:rsidRPr="00CB00F9">
        <w:t xml:space="preserve"> were measured. </w:t>
      </w:r>
    </w:p>
    <w:p w:rsidR="00B10EC1" w:rsidRPr="00CB00F9" w:rsidRDefault="00B10EC1" w:rsidP="0097503E">
      <w:r w:rsidRPr="00CB00F9">
        <w:t xml:space="preserve">To calibrate the allometric equations for predicting biomass, a sample of measured (diameter and height) trees were cut down at ground level. After harvesting, the stems, branches and leaves of each individual were separated and immediately weighed to record fresh biomass. 200 – 1000 g of stems or branches and 100 g of leaves were sampled from each cut tree and weighed before drying in an oven at 105°C until a constant weight to establish the relationship </w:t>
      </w:r>
      <w:r w:rsidRPr="00CB00F9">
        <w:lastRenderedPageBreak/>
        <w:t xml:space="preserve">between dry and fresh weight. For </w:t>
      </w:r>
      <w:r w:rsidRPr="00CB00F9">
        <w:rPr>
          <w:i/>
        </w:rPr>
        <w:t>S. caseolaris</w:t>
      </w:r>
      <w:r w:rsidRPr="00CB00F9">
        <w:t xml:space="preserve">, the cut trees (n=12) had a height and </w:t>
      </w:r>
      <w:r w:rsidR="0055366E" w:rsidRPr="00CB00F9">
        <w:t>D</w:t>
      </w:r>
      <w:r w:rsidR="0055366E" w:rsidRPr="00CB00F9">
        <w:rPr>
          <w:vertAlign w:val="subscript"/>
        </w:rPr>
        <w:t>BH</w:t>
      </w:r>
      <w:r w:rsidRPr="00CB00F9">
        <w:t xml:space="preserve"> that ranged from 0.6 – 6.0 m and 2.5 – 25 cm, respectively. </w:t>
      </w:r>
      <w:r w:rsidRPr="00CB00F9">
        <w:rPr>
          <w:i/>
        </w:rPr>
        <w:t>K. obovata</w:t>
      </w:r>
      <w:r w:rsidRPr="00CB00F9">
        <w:t xml:space="preserve"> (n=28) and </w:t>
      </w:r>
      <w:r w:rsidRPr="00CB00F9">
        <w:rPr>
          <w:i/>
        </w:rPr>
        <w:t>A. corniculatum</w:t>
      </w:r>
      <w:r w:rsidRPr="00CB00F9">
        <w:t xml:space="preserve"> (n=15) individuals had heights and D</w:t>
      </w:r>
      <w:r w:rsidRPr="00CB00F9">
        <w:rPr>
          <w:vertAlign w:val="subscript"/>
        </w:rPr>
        <w:t>10</w:t>
      </w:r>
      <w:r w:rsidRPr="00CB00F9">
        <w:t xml:space="preserve"> that ranged from 0.8 – 4.6 m and 3.5 – 12 cm, respectively.</w:t>
      </w:r>
      <w:r w:rsidRPr="00CB00F9">
        <w:rPr>
          <w:color w:val="auto"/>
        </w:rPr>
        <w:t xml:space="preserve"> The coe</w:t>
      </w:r>
      <w:r w:rsidR="00722476">
        <w:rPr>
          <w:color w:val="auto"/>
        </w:rPr>
        <w:t>f</w:t>
      </w:r>
      <w:r w:rsidRPr="00CB00F9">
        <w:rPr>
          <w:color w:val="auto"/>
        </w:rPr>
        <w:t>ficient of dete</w:t>
      </w:r>
      <w:r w:rsidR="00722476">
        <w:rPr>
          <w:color w:val="auto"/>
        </w:rPr>
        <w:t>r</w:t>
      </w:r>
      <w:r w:rsidRPr="00CB00F9">
        <w:rPr>
          <w:color w:val="auto"/>
        </w:rPr>
        <w:t>mination</w:t>
      </w:r>
      <w:r w:rsidR="0055366E" w:rsidRPr="00CB00F9">
        <w:rPr>
          <w:color w:val="auto"/>
        </w:rPr>
        <w:t xml:space="preserve"> between</w:t>
      </w:r>
      <w:r w:rsidRPr="00CB00F9">
        <w:rPr>
          <w:color w:val="auto"/>
        </w:rPr>
        <w:t xml:space="preserve"> </w:t>
      </w:r>
      <w:r w:rsidR="0055366E" w:rsidRPr="00CB00F9">
        <w:rPr>
          <w:color w:val="auto"/>
        </w:rPr>
        <w:t>D</w:t>
      </w:r>
      <w:r w:rsidR="0055366E" w:rsidRPr="00CB00F9">
        <w:rPr>
          <w:color w:val="auto"/>
          <w:vertAlign w:val="subscript"/>
        </w:rPr>
        <w:t>0.1</w:t>
      </w:r>
      <w:r w:rsidR="0055366E" w:rsidRPr="00CB00F9">
        <w:rPr>
          <w:color w:val="auto"/>
          <w:vertAlign w:val="superscript"/>
        </w:rPr>
        <w:t>2</w:t>
      </w:r>
      <w:r w:rsidR="0055366E" w:rsidRPr="00CB00F9">
        <w:rPr>
          <w:color w:val="auto"/>
        </w:rPr>
        <w:t>H or D</w:t>
      </w:r>
      <w:r w:rsidR="0055366E" w:rsidRPr="00CB00F9">
        <w:rPr>
          <w:color w:val="auto"/>
          <w:vertAlign w:val="subscript"/>
        </w:rPr>
        <w:t>BH</w:t>
      </w:r>
      <w:r w:rsidR="0055366E" w:rsidRPr="00CB00F9">
        <w:rPr>
          <w:color w:val="auto"/>
          <w:vertAlign w:val="superscript"/>
        </w:rPr>
        <w:t>2</w:t>
      </w:r>
      <w:r w:rsidR="0055366E" w:rsidRPr="00CB00F9">
        <w:rPr>
          <w:color w:val="auto"/>
        </w:rPr>
        <w:t xml:space="preserve">H and individual tree biomass </w:t>
      </w:r>
      <w:r w:rsidRPr="00CB00F9">
        <w:rPr>
          <w:color w:val="auto"/>
        </w:rPr>
        <w:t>(R</w:t>
      </w:r>
      <w:r w:rsidRPr="00CB00F9">
        <w:rPr>
          <w:color w:val="auto"/>
          <w:vertAlign w:val="superscript"/>
        </w:rPr>
        <w:t>2</w:t>
      </w:r>
      <w:r w:rsidRPr="00CB00F9">
        <w:rPr>
          <w:color w:val="auto"/>
        </w:rPr>
        <w:t xml:space="preserve">) values greater than 0.9 and square error (SE) values less than 2.3 kg presented the </w:t>
      </w:r>
      <w:r w:rsidRPr="00CB00F9">
        <w:rPr>
          <w:color w:val="auto"/>
          <w:lang w:bidi="en-US"/>
        </w:rPr>
        <w:t>allometric</w:t>
      </w:r>
      <w:r w:rsidRPr="00CB00F9">
        <w:rPr>
          <w:color w:val="auto"/>
        </w:rPr>
        <w:t xml:space="preserve"> equations predicted accurate MAGB values. </w:t>
      </w:r>
    </w:p>
    <w:p w:rsidR="005031B5" w:rsidRPr="00216414" w:rsidRDefault="005031B5" w:rsidP="005031B5">
      <w:pPr>
        <w:rPr>
          <w:b/>
          <w:snapToGrid w:val="0"/>
          <w:sz w:val="22"/>
          <w:szCs w:val="22"/>
          <w:lang w:bidi="en-US"/>
        </w:rPr>
      </w:pPr>
      <w:r w:rsidRPr="00216414">
        <w:rPr>
          <w:b/>
          <w:snapToGrid w:val="0"/>
          <w:sz w:val="22"/>
          <w:szCs w:val="22"/>
          <w:lang w:bidi="en-US"/>
        </w:rPr>
        <w:t>Table 2</w:t>
      </w:r>
    </w:p>
    <w:p w:rsidR="005031B5" w:rsidRPr="00F242BE" w:rsidRDefault="005031B5" w:rsidP="005031B5">
      <w:pPr>
        <w:rPr>
          <w:sz w:val="22"/>
          <w:szCs w:val="22"/>
          <w:lang w:val="vi-VN"/>
        </w:rPr>
      </w:pPr>
      <w:r w:rsidRPr="00F242BE">
        <w:rPr>
          <w:sz w:val="22"/>
          <w:szCs w:val="22"/>
          <w:lang w:bidi="en-US"/>
        </w:rPr>
        <w:t xml:space="preserve"> Allometric equations developed for each mangrove species in the study site (P &lt; 0.001)</w:t>
      </w:r>
    </w:p>
    <w:tbl>
      <w:tblPr>
        <w:tblW w:w="10212" w:type="dxa"/>
        <w:tblBorders>
          <w:top w:val="nil"/>
          <w:left w:val="nil"/>
          <w:bottom w:val="nil"/>
          <w:right w:val="nil"/>
        </w:tblBorders>
        <w:tblLook w:val="0000" w:firstRow="0" w:lastRow="0" w:firstColumn="0" w:lastColumn="0" w:noHBand="0" w:noVBand="0"/>
      </w:tblPr>
      <w:tblGrid>
        <w:gridCol w:w="2088"/>
        <w:gridCol w:w="4482"/>
        <w:gridCol w:w="1800"/>
        <w:gridCol w:w="990"/>
        <w:gridCol w:w="852"/>
      </w:tblGrid>
      <w:tr w:rsidR="005031B5" w:rsidRPr="00F242BE" w:rsidTr="0019118A">
        <w:trPr>
          <w:trHeight w:val="276"/>
        </w:trPr>
        <w:tc>
          <w:tcPr>
            <w:tcW w:w="2088" w:type="dxa"/>
            <w:tcBorders>
              <w:top w:val="single" w:sz="8" w:space="0" w:color="auto"/>
              <w:bottom w:val="single" w:sz="8" w:space="0" w:color="auto"/>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Mangrove Species</w:t>
            </w:r>
          </w:p>
        </w:tc>
        <w:tc>
          <w:tcPr>
            <w:tcW w:w="4482" w:type="dxa"/>
            <w:tcBorders>
              <w:top w:val="single" w:sz="8" w:space="0" w:color="auto"/>
              <w:bottom w:val="single" w:sz="8" w:space="0" w:color="auto"/>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AGB allometric equations</w:t>
            </w:r>
          </w:p>
        </w:tc>
        <w:tc>
          <w:tcPr>
            <w:tcW w:w="1800" w:type="dxa"/>
            <w:tcBorders>
              <w:top w:val="single" w:sz="8" w:space="0" w:color="auto"/>
              <w:bottom w:val="single" w:sz="8" w:space="0" w:color="auto"/>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Parameter</w:t>
            </w:r>
          </w:p>
        </w:tc>
        <w:tc>
          <w:tcPr>
            <w:tcW w:w="990" w:type="dxa"/>
            <w:tcBorders>
              <w:top w:val="single" w:sz="8" w:space="0" w:color="auto"/>
              <w:bottom w:val="single" w:sz="8" w:space="0" w:color="auto"/>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R</w:t>
            </w:r>
            <w:r w:rsidRPr="00F242BE">
              <w:rPr>
                <w:rFonts w:ascii="Times New Roman" w:hAnsi="Times New Roman"/>
                <w:color w:val="000000" w:themeColor="text1"/>
                <w:sz w:val="22"/>
                <w:szCs w:val="22"/>
                <w:vertAlign w:val="superscript"/>
              </w:rPr>
              <w:t>2</w:t>
            </w:r>
          </w:p>
        </w:tc>
        <w:tc>
          <w:tcPr>
            <w:tcW w:w="852" w:type="dxa"/>
            <w:tcBorders>
              <w:top w:val="single" w:sz="8" w:space="0" w:color="auto"/>
              <w:bottom w:val="single" w:sz="8" w:space="0" w:color="auto"/>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SE (kg)</w:t>
            </w:r>
          </w:p>
        </w:tc>
      </w:tr>
      <w:tr w:rsidR="005031B5" w:rsidRPr="00F242BE" w:rsidTr="0019118A">
        <w:trPr>
          <w:trHeight w:val="263"/>
        </w:trPr>
        <w:tc>
          <w:tcPr>
            <w:tcW w:w="2088" w:type="dxa"/>
            <w:tcBorders>
              <w:top w:val="single" w:sz="8" w:space="0" w:color="auto"/>
              <w:bottom w:val="nil"/>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i/>
                <w:color w:val="000000" w:themeColor="text1"/>
                <w:sz w:val="22"/>
                <w:szCs w:val="22"/>
              </w:rPr>
              <w:t>Sonneratia caseolaris</w:t>
            </w:r>
          </w:p>
        </w:tc>
        <w:tc>
          <w:tcPr>
            <w:tcW w:w="4482" w:type="dxa"/>
            <w:tcBorders>
              <w:top w:val="single" w:sz="8" w:space="0" w:color="auto"/>
              <w:bottom w:val="nil"/>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Biomass (kg) = 0.2123×(D</w:t>
            </w:r>
            <w:r w:rsidRPr="00F242BE">
              <w:rPr>
                <w:rFonts w:ascii="Times New Roman" w:hAnsi="Times New Roman"/>
                <w:color w:val="000000" w:themeColor="text1"/>
                <w:sz w:val="22"/>
                <w:szCs w:val="22"/>
                <w:vertAlign w:val="subscript"/>
              </w:rPr>
              <w:t>BH</w:t>
            </w:r>
            <w:r w:rsidRPr="00F242BE">
              <w:rPr>
                <w:rFonts w:ascii="Times New Roman" w:hAnsi="Times New Roman"/>
                <w:color w:val="000000" w:themeColor="text1"/>
                <w:sz w:val="22"/>
                <w:szCs w:val="22"/>
                <w:vertAlign w:val="superscript"/>
              </w:rPr>
              <w:t>2</w:t>
            </w:r>
            <w:r w:rsidRPr="00F242BE">
              <w:rPr>
                <w:rFonts w:ascii="Times New Roman" w:hAnsi="Times New Roman"/>
                <w:color w:val="000000" w:themeColor="text1"/>
                <w:sz w:val="22"/>
                <w:szCs w:val="22"/>
              </w:rPr>
              <w:t>H)</w:t>
            </w:r>
            <w:r w:rsidRPr="00F242BE">
              <w:rPr>
                <w:rFonts w:ascii="Times New Roman" w:hAnsi="Times New Roman"/>
                <w:color w:val="000000" w:themeColor="text1"/>
                <w:sz w:val="22"/>
                <w:szCs w:val="22"/>
                <w:vertAlign w:val="superscript"/>
              </w:rPr>
              <w:t>0.7083</w:t>
            </w:r>
          </w:p>
        </w:tc>
        <w:tc>
          <w:tcPr>
            <w:tcW w:w="1800" w:type="dxa"/>
            <w:tcBorders>
              <w:top w:val="single" w:sz="8" w:space="0" w:color="auto"/>
              <w:bottom w:val="nil"/>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D</w:t>
            </w:r>
            <w:r w:rsidRPr="00F242BE">
              <w:rPr>
                <w:rFonts w:ascii="Times New Roman" w:hAnsi="Times New Roman"/>
                <w:color w:val="000000" w:themeColor="text1"/>
                <w:sz w:val="22"/>
                <w:szCs w:val="22"/>
                <w:vertAlign w:val="subscript"/>
              </w:rPr>
              <w:t>BH</w:t>
            </w:r>
            <w:r w:rsidRPr="00F242BE">
              <w:rPr>
                <w:rFonts w:ascii="Times New Roman" w:hAnsi="Times New Roman"/>
                <w:color w:val="000000" w:themeColor="text1"/>
                <w:sz w:val="22"/>
                <w:szCs w:val="22"/>
              </w:rPr>
              <w:t xml:space="preserve"> (cm), H (m)</w:t>
            </w:r>
          </w:p>
        </w:tc>
        <w:tc>
          <w:tcPr>
            <w:tcW w:w="990" w:type="dxa"/>
            <w:tcBorders>
              <w:top w:val="single" w:sz="8" w:space="0" w:color="auto"/>
              <w:bottom w:val="nil"/>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0.982</w:t>
            </w:r>
          </w:p>
        </w:tc>
        <w:tc>
          <w:tcPr>
            <w:tcW w:w="852" w:type="dxa"/>
            <w:tcBorders>
              <w:top w:val="single" w:sz="8" w:space="0" w:color="auto"/>
              <w:bottom w:val="nil"/>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0.251</w:t>
            </w:r>
          </w:p>
        </w:tc>
      </w:tr>
      <w:tr w:rsidR="005031B5" w:rsidRPr="00F242BE" w:rsidTr="0019118A">
        <w:trPr>
          <w:trHeight w:val="263"/>
        </w:trPr>
        <w:tc>
          <w:tcPr>
            <w:tcW w:w="2088" w:type="dxa"/>
            <w:tcBorders>
              <w:top w:val="nil"/>
              <w:left w:val="nil"/>
              <w:bottom w:val="nil"/>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i/>
                <w:color w:val="000000" w:themeColor="text1"/>
                <w:sz w:val="22"/>
                <w:szCs w:val="22"/>
              </w:rPr>
              <w:t>Aegiceras corniculatum</w:t>
            </w:r>
          </w:p>
        </w:tc>
        <w:tc>
          <w:tcPr>
            <w:tcW w:w="4482" w:type="dxa"/>
            <w:tcBorders>
              <w:top w:val="nil"/>
              <w:bottom w:val="nil"/>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Biomass (kg) = 0.0463×(D</w:t>
            </w:r>
            <w:r w:rsidRPr="00F242BE">
              <w:rPr>
                <w:rFonts w:ascii="Times New Roman" w:hAnsi="Times New Roman"/>
                <w:color w:val="000000" w:themeColor="text1"/>
                <w:sz w:val="22"/>
                <w:szCs w:val="22"/>
                <w:vertAlign w:val="subscript"/>
              </w:rPr>
              <w:t>0.1</w:t>
            </w:r>
            <w:r w:rsidRPr="00F242BE">
              <w:rPr>
                <w:rFonts w:ascii="Times New Roman" w:hAnsi="Times New Roman"/>
                <w:color w:val="000000" w:themeColor="text1"/>
                <w:sz w:val="22"/>
                <w:szCs w:val="22"/>
                <w:vertAlign w:val="superscript"/>
              </w:rPr>
              <w:t>2</w:t>
            </w:r>
            <w:r w:rsidRPr="00F242BE">
              <w:rPr>
                <w:rFonts w:ascii="Times New Roman" w:hAnsi="Times New Roman"/>
                <w:color w:val="000000" w:themeColor="text1"/>
                <w:sz w:val="22"/>
                <w:szCs w:val="22"/>
              </w:rPr>
              <w:t>H)</w:t>
            </w:r>
            <w:r w:rsidRPr="00F242BE">
              <w:rPr>
                <w:rFonts w:ascii="Times New Roman" w:hAnsi="Times New Roman"/>
                <w:color w:val="000000" w:themeColor="text1"/>
                <w:sz w:val="22"/>
                <w:szCs w:val="22"/>
                <w:vertAlign w:val="superscript"/>
              </w:rPr>
              <w:t>0.761</w:t>
            </w:r>
          </w:p>
        </w:tc>
        <w:tc>
          <w:tcPr>
            <w:tcW w:w="1800" w:type="dxa"/>
            <w:tcBorders>
              <w:top w:val="nil"/>
              <w:bottom w:val="nil"/>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D</w:t>
            </w:r>
            <w:r w:rsidRPr="00F242BE">
              <w:rPr>
                <w:rFonts w:ascii="Times New Roman" w:hAnsi="Times New Roman"/>
                <w:color w:val="000000" w:themeColor="text1"/>
                <w:sz w:val="22"/>
                <w:szCs w:val="22"/>
                <w:vertAlign w:val="subscript"/>
              </w:rPr>
              <w:t>0.1</w:t>
            </w:r>
            <w:r w:rsidRPr="00F242BE">
              <w:rPr>
                <w:rFonts w:ascii="Times New Roman" w:hAnsi="Times New Roman"/>
                <w:color w:val="000000" w:themeColor="text1"/>
                <w:sz w:val="22"/>
                <w:szCs w:val="22"/>
              </w:rPr>
              <w:t xml:space="preserve"> (cm), H (m)</w:t>
            </w:r>
          </w:p>
        </w:tc>
        <w:tc>
          <w:tcPr>
            <w:tcW w:w="990" w:type="dxa"/>
            <w:tcBorders>
              <w:top w:val="nil"/>
              <w:bottom w:val="nil"/>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0.887</w:t>
            </w:r>
          </w:p>
        </w:tc>
        <w:tc>
          <w:tcPr>
            <w:tcW w:w="852" w:type="dxa"/>
            <w:tcBorders>
              <w:top w:val="nil"/>
              <w:bottom w:val="nil"/>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0.182</w:t>
            </w:r>
          </w:p>
        </w:tc>
      </w:tr>
      <w:tr w:rsidR="005031B5" w:rsidRPr="00F242BE" w:rsidTr="0019118A">
        <w:trPr>
          <w:trHeight w:val="263"/>
        </w:trPr>
        <w:tc>
          <w:tcPr>
            <w:tcW w:w="2088" w:type="dxa"/>
            <w:tcBorders>
              <w:top w:val="nil"/>
              <w:left w:val="nil"/>
              <w:bottom w:val="single" w:sz="8" w:space="0" w:color="auto"/>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i/>
                <w:color w:val="000000" w:themeColor="text1"/>
                <w:sz w:val="22"/>
                <w:szCs w:val="22"/>
              </w:rPr>
              <w:t>Kandelia obovata</w:t>
            </w:r>
          </w:p>
        </w:tc>
        <w:tc>
          <w:tcPr>
            <w:tcW w:w="4482" w:type="dxa"/>
            <w:tcBorders>
              <w:top w:val="nil"/>
              <w:bottom w:val="single" w:sz="8" w:space="0" w:color="auto"/>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Biomass (kg) = 0.0513× (D</w:t>
            </w:r>
            <w:r w:rsidRPr="00F242BE">
              <w:rPr>
                <w:rFonts w:ascii="Times New Roman" w:hAnsi="Times New Roman"/>
                <w:color w:val="000000" w:themeColor="text1"/>
                <w:sz w:val="22"/>
                <w:szCs w:val="22"/>
                <w:vertAlign w:val="subscript"/>
              </w:rPr>
              <w:t>0.1</w:t>
            </w:r>
            <w:r w:rsidRPr="00F242BE">
              <w:rPr>
                <w:rFonts w:ascii="Times New Roman" w:hAnsi="Times New Roman"/>
                <w:color w:val="000000" w:themeColor="text1"/>
                <w:sz w:val="22"/>
                <w:szCs w:val="22"/>
                <w:vertAlign w:val="superscript"/>
              </w:rPr>
              <w:t>2</w:t>
            </w:r>
            <w:r w:rsidRPr="00F242BE">
              <w:rPr>
                <w:rFonts w:ascii="Times New Roman" w:hAnsi="Times New Roman"/>
                <w:color w:val="000000" w:themeColor="text1"/>
                <w:sz w:val="22"/>
                <w:szCs w:val="22"/>
              </w:rPr>
              <w:t>H)</w:t>
            </w:r>
            <w:r w:rsidRPr="00F242BE">
              <w:rPr>
                <w:rFonts w:ascii="Times New Roman" w:hAnsi="Times New Roman"/>
                <w:color w:val="000000" w:themeColor="text1"/>
                <w:sz w:val="22"/>
                <w:szCs w:val="22"/>
                <w:vertAlign w:val="superscript"/>
              </w:rPr>
              <w:t>0.8416</w:t>
            </w:r>
          </w:p>
        </w:tc>
        <w:tc>
          <w:tcPr>
            <w:tcW w:w="1800" w:type="dxa"/>
            <w:tcBorders>
              <w:top w:val="nil"/>
              <w:bottom w:val="single" w:sz="8" w:space="0" w:color="auto"/>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D</w:t>
            </w:r>
            <w:r w:rsidRPr="00F242BE">
              <w:rPr>
                <w:rFonts w:ascii="Times New Roman" w:hAnsi="Times New Roman"/>
                <w:color w:val="000000" w:themeColor="text1"/>
                <w:sz w:val="22"/>
                <w:szCs w:val="22"/>
                <w:vertAlign w:val="subscript"/>
              </w:rPr>
              <w:t>0.1</w:t>
            </w:r>
            <w:r w:rsidRPr="00F242BE">
              <w:rPr>
                <w:rFonts w:ascii="Times New Roman" w:hAnsi="Times New Roman"/>
                <w:color w:val="000000" w:themeColor="text1"/>
                <w:sz w:val="22"/>
                <w:szCs w:val="22"/>
              </w:rPr>
              <w:t xml:space="preserve"> (cm), H (m)</w:t>
            </w:r>
          </w:p>
        </w:tc>
        <w:tc>
          <w:tcPr>
            <w:tcW w:w="990" w:type="dxa"/>
            <w:tcBorders>
              <w:top w:val="nil"/>
              <w:bottom w:val="single" w:sz="8" w:space="0" w:color="auto"/>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0.928</w:t>
            </w:r>
          </w:p>
        </w:tc>
        <w:tc>
          <w:tcPr>
            <w:tcW w:w="852" w:type="dxa"/>
            <w:tcBorders>
              <w:top w:val="nil"/>
              <w:bottom w:val="single" w:sz="8" w:space="0" w:color="auto"/>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0.246</w:t>
            </w:r>
          </w:p>
        </w:tc>
      </w:tr>
      <w:tr w:rsidR="005031B5" w:rsidRPr="00F242BE" w:rsidTr="0019118A">
        <w:trPr>
          <w:trHeight w:val="263"/>
        </w:trPr>
        <w:tc>
          <w:tcPr>
            <w:tcW w:w="10212" w:type="dxa"/>
            <w:gridSpan w:val="5"/>
            <w:tcBorders>
              <w:top w:val="single" w:sz="8" w:space="0" w:color="auto"/>
              <w:left w:val="nil"/>
              <w:bottom w:val="nil"/>
            </w:tcBorders>
          </w:tcPr>
          <w:p w:rsidR="005031B5" w:rsidRPr="00F242BE" w:rsidRDefault="005031B5" w:rsidP="0019118A">
            <w:pPr>
              <w:pStyle w:val="MDPI42tablebody"/>
              <w:autoSpaceDE w:val="0"/>
              <w:autoSpaceDN w:val="0"/>
              <w:spacing w:line="240" w:lineRule="auto"/>
              <w:rPr>
                <w:rFonts w:ascii="Times New Roman" w:hAnsi="Times New Roman"/>
                <w:color w:val="000000" w:themeColor="text1"/>
                <w:sz w:val="22"/>
                <w:szCs w:val="22"/>
              </w:rPr>
            </w:pPr>
            <w:r w:rsidRPr="00F242BE">
              <w:rPr>
                <w:rFonts w:ascii="Times New Roman" w:hAnsi="Times New Roman"/>
                <w:color w:val="000000" w:themeColor="text1"/>
                <w:sz w:val="22"/>
                <w:szCs w:val="22"/>
              </w:rPr>
              <w:t>Note: AGB is the above-ground biomass, D</w:t>
            </w:r>
            <w:r w:rsidRPr="00F242BE">
              <w:rPr>
                <w:rFonts w:ascii="Times New Roman" w:hAnsi="Times New Roman"/>
                <w:color w:val="000000" w:themeColor="text1"/>
                <w:sz w:val="22"/>
                <w:szCs w:val="22"/>
                <w:vertAlign w:val="subscript"/>
              </w:rPr>
              <w:t>BH</w:t>
            </w:r>
            <w:r w:rsidRPr="00F242BE">
              <w:rPr>
                <w:rFonts w:ascii="Times New Roman" w:hAnsi="Times New Roman"/>
                <w:color w:val="000000" w:themeColor="text1"/>
                <w:sz w:val="22"/>
                <w:szCs w:val="22"/>
              </w:rPr>
              <w:t xml:space="preserve"> is stem diameter at breast height (1.3m), D</w:t>
            </w:r>
            <w:r w:rsidRPr="00F242BE">
              <w:rPr>
                <w:rFonts w:ascii="Times New Roman" w:hAnsi="Times New Roman"/>
                <w:color w:val="000000" w:themeColor="text1"/>
                <w:sz w:val="22"/>
                <w:szCs w:val="22"/>
                <w:vertAlign w:val="subscript"/>
              </w:rPr>
              <w:t xml:space="preserve">0.1 </w:t>
            </w:r>
            <w:r w:rsidRPr="00F242BE">
              <w:rPr>
                <w:rFonts w:ascii="Times New Roman" w:hAnsi="Times New Roman"/>
                <w:color w:val="000000" w:themeColor="text1"/>
                <w:sz w:val="22"/>
                <w:szCs w:val="22"/>
              </w:rPr>
              <w:t>is stem diameter at the position of 10% of the height, and H is the height of the tree.</w:t>
            </w:r>
          </w:p>
        </w:tc>
      </w:tr>
    </w:tbl>
    <w:p w:rsidR="00B10EC1" w:rsidRPr="00CB00F9" w:rsidRDefault="00B10EC1" w:rsidP="0097503E">
      <w:pPr>
        <w:pStyle w:val="MDPI23heading3"/>
      </w:pPr>
      <w:r w:rsidRPr="00CB00F9">
        <w:t>2.3.</w:t>
      </w:r>
      <w:r w:rsidRPr="00CB00F9">
        <w:tab/>
        <w:t>Methodology</w:t>
      </w:r>
    </w:p>
    <w:p w:rsidR="00B10EC1" w:rsidRPr="00CB00F9" w:rsidRDefault="00B10EC1" w:rsidP="0097503E">
      <w:pPr>
        <w:rPr>
          <w:lang w:eastAsia="zh-CN"/>
        </w:rPr>
      </w:pPr>
      <w:r w:rsidRPr="00CB00F9">
        <w:rPr>
          <w:lang w:eastAsia="zh-CN"/>
        </w:rPr>
        <w:t xml:space="preserve">To estimate and map MAGB we developed a flowchart </w:t>
      </w:r>
      <w:r w:rsidRPr="00CB00F9">
        <w:t>of the methodology</w:t>
      </w:r>
      <w:r w:rsidRPr="00CB00F9">
        <w:rPr>
          <w:lang w:eastAsia="zh-CN"/>
        </w:rPr>
        <w:t xml:space="preserve"> (</w:t>
      </w:r>
      <w:r w:rsidRPr="00CB00F9">
        <w:rPr>
          <w:color w:val="0070C0"/>
          <w:lang w:eastAsia="zh-CN"/>
        </w:rPr>
        <w:t>Fig. 2</w:t>
      </w:r>
      <w:r w:rsidRPr="00CB00F9">
        <w:rPr>
          <w:lang w:eastAsia="zh-CN"/>
        </w:rPr>
        <w:t>) which consisted of the following steps; (i) pre-processing of optical images from Sentinel-2, Landsat-8 and SPOT-7 and SAR images of ALOS-2/PALSAR-2 (AL2) before they were all co-registered and projected in the singular coordinate system of the Universal Transverse Mercator</w:t>
      </w:r>
      <w:r w:rsidRPr="00CB00F9">
        <w:t xml:space="preserve"> </w:t>
      </w:r>
      <w:r w:rsidRPr="00CB00F9">
        <w:rPr>
          <w:lang w:eastAsia="zh-CN"/>
        </w:rPr>
        <w:t>World Geodetic System 1984 (UTM-WGS 84) zone 48 North (section 2.3.1); (ii) calculation of vegetation indices from optical remote sensing bands (section 2.3.2); (iii) calculation of biophysical variables also from optical remote sensing bands (section 2.3.3); (iv) setting up three MAGB estimation and modelling approaches (section 2.3.4); (v) processing the Landsat-X time series with a pre-processing step (section 2.3.5); and (vi) mapping of MAGB (section 2.3.6). The best linear regression (LR) (and variable), multiple linear regression (MLR) and multivariate adaptive regression spline (MARS) models were used to generate time-series MAGB maps.</w:t>
      </w:r>
    </w:p>
    <w:p w:rsidR="00B10EC1" w:rsidRPr="00CB00F9" w:rsidRDefault="005031B5" w:rsidP="0097503E">
      <w:pPr>
        <w:rPr>
          <w:lang w:eastAsia="zh-CN"/>
        </w:rPr>
      </w:pPr>
      <w:r>
        <w:rPr>
          <w:noProof/>
          <w:lang w:eastAsia="en-US"/>
        </w:rPr>
        <w:lastRenderedPageBreak/>
        <w:drawing>
          <wp:inline distT="0" distB="0" distL="0" distR="0">
            <wp:extent cx="5943600" cy="5284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Working frame2R0.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284470"/>
                    </a:xfrm>
                    <a:prstGeom prst="rect">
                      <a:avLst/>
                    </a:prstGeom>
                  </pic:spPr>
                </pic:pic>
              </a:graphicData>
            </a:graphic>
          </wp:inline>
        </w:drawing>
      </w:r>
    </w:p>
    <w:p w:rsidR="00B10EC1" w:rsidRPr="00CB00F9" w:rsidRDefault="00B10EC1" w:rsidP="0097503E">
      <w:r w:rsidRPr="00CB00F9">
        <w:rPr>
          <w:b/>
          <w:lang w:bidi="en-US"/>
        </w:rPr>
        <w:t xml:space="preserve">Fig. 2. </w:t>
      </w:r>
      <w:r w:rsidRPr="00CB00F9">
        <w:rPr>
          <w:lang w:eastAsia="zh-CN"/>
        </w:rPr>
        <w:t>Work flow for mangrove above-ground biomass (MAGB) estimation, where: V and H are vertical and horizontal, respectively, and coupled letters HH and VH indicate polarization configurations for a SAR system, SRTM DEM stands for Shuttle Radar Topography Mission Digital Elevation Model, VI and BA are vegetation indices and biophysical variable respectively, MLR stands for Multiple linear regression, MARS is the Multivariate Adaptive Regression Splines model, ML is machine learning and BF is basic function, and UTM-WGS84, zone 48N is the Universal Transverse Mercator World Geodetic System 1984, zone 48 North.</w:t>
      </w:r>
    </w:p>
    <w:p w:rsidR="00B10EC1" w:rsidRPr="00CB00F9" w:rsidRDefault="00B10EC1" w:rsidP="0097503E">
      <w:pPr>
        <w:pStyle w:val="MDPI38bullet"/>
      </w:pPr>
      <w:r w:rsidRPr="00CB00F9">
        <w:t>2.3.1. Image pre-processing</w:t>
      </w:r>
    </w:p>
    <w:p w:rsidR="00B10EC1" w:rsidRPr="00CB00F9" w:rsidRDefault="00B10EC1" w:rsidP="0097503E">
      <w:pPr>
        <w:rPr>
          <w:lang w:eastAsia="zh-CN"/>
        </w:rPr>
      </w:pPr>
      <w:r w:rsidRPr="00CB00F9">
        <w:rPr>
          <w:lang w:eastAsia="zh-CN"/>
        </w:rPr>
        <w:t>To combine multi-source remote sensing images, all the data were pre-processed including radiometric calibration into top-of-atmosphere (ToA), resampling in order to homogenize the spatial resolution of all images to 10m (using cubic convolution method, and an output pixel size of 10m), terrain correction for the Sentinel-2 images using the Shuttle Radar Topography</w:t>
      </w:r>
      <w:r w:rsidRPr="00CB00F9">
        <w:t xml:space="preserve"> </w:t>
      </w:r>
      <w:r w:rsidRPr="00CB00F9">
        <w:rPr>
          <w:lang w:eastAsia="zh-CN"/>
        </w:rPr>
        <w:t>Mission Digital Elevation Model (0.1degree resolution)</w:t>
      </w:r>
      <w:r w:rsidR="00D00A0A" w:rsidRPr="00CB00F9">
        <w:rPr>
          <w:lang w:eastAsia="zh-CN"/>
        </w:rPr>
        <w:t>. T</w:t>
      </w:r>
      <w:r w:rsidRPr="00CB00F9">
        <w:rPr>
          <w:lang w:eastAsia="zh-CN"/>
        </w:rPr>
        <w:t>he ESA Sen2Cor toolbox</w:t>
      </w:r>
      <w:r w:rsidR="00D00A0A" w:rsidRPr="00CB00F9">
        <w:rPr>
          <w:lang w:eastAsia="zh-CN"/>
        </w:rPr>
        <w:t xml:space="preserve"> was used for the Sentinel-2 image </w:t>
      </w:r>
      <w:r w:rsidRPr="00CB00F9">
        <w:rPr>
          <w:lang w:eastAsia="zh-CN"/>
        </w:rPr>
        <w:t>atmospheric corrections</w:t>
      </w:r>
      <w:r w:rsidR="00D00A0A" w:rsidRPr="00CB00F9">
        <w:rPr>
          <w:lang w:eastAsia="zh-CN"/>
        </w:rPr>
        <w:t>. The</w:t>
      </w:r>
      <w:r w:rsidRPr="00CB00F9">
        <w:rPr>
          <w:lang w:eastAsia="zh-CN"/>
        </w:rPr>
        <w:t xml:space="preserve"> </w:t>
      </w:r>
      <w:r w:rsidR="00D00A0A" w:rsidRPr="00CB00F9">
        <w:rPr>
          <w:lang w:eastAsia="zh-CN"/>
        </w:rPr>
        <w:t xml:space="preserve">Fast Line-of-sight Atmospheric Analysis of Hypercubes </w:t>
      </w:r>
      <w:r w:rsidR="00D00A0A" w:rsidRPr="00CB00F9">
        <w:rPr>
          <w:lang w:eastAsia="zh-CN"/>
        </w:rPr>
        <w:lastRenderedPageBreak/>
        <w:t xml:space="preserve">(FLAASH) tool was applied for the </w:t>
      </w:r>
      <w:r w:rsidRPr="00CB00F9">
        <w:rPr>
          <w:lang w:eastAsia="zh-CN"/>
        </w:rPr>
        <w:t>Landsat-X image</w:t>
      </w:r>
      <w:r w:rsidR="00D00A0A" w:rsidRPr="00CB00F9">
        <w:rPr>
          <w:lang w:eastAsia="zh-CN"/>
        </w:rPr>
        <w:t xml:space="preserve"> atmospheric corrections. Next, the surface reflectance of all the pre-processed </w:t>
      </w:r>
      <w:r w:rsidR="00557815" w:rsidRPr="00CB00F9">
        <w:rPr>
          <w:lang w:eastAsia="zh-CN"/>
        </w:rPr>
        <w:t xml:space="preserve">optical </w:t>
      </w:r>
      <w:r w:rsidR="00D00A0A" w:rsidRPr="00CB00F9">
        <w:rPr>
          <w:lang w:eastAsia="zh-CN"/>
        </w:rPr>
        <w:t xml:space="preserve">images were used for the </w:t>
      </w:r>
      <w:r w:rsidRPr="00CB00F9">
        <w:rPr>
          <w:lang w:eastAsia="zh-CN"/>
        </w:rPr>
        <w:t xml:space="preserve">vegetation </w:t>
      </w:r>
      <w:r w:rsidR="00B5222B" w:rsidRPr="00CB00F9">
        <w:rPr>
          <w:lang w:eastAsia="zh-CN"/>
        </w:rPr>
        <w:t xml:space="preserve">index </w:t>
      </w:r>
      <w:r w:rsidRPr="00CB00F9">
        <w:rPr>
          <w:lang w:eastAsia="zh-CN"/>
        </w:rPr>
        <w:t>and biophysical variable</w:t>
      </w:r>
      <w:r w:rsidR="00D00A0A" w:rsidRPr="00CB00F9">
        <w:rPr>
          <w:lang w:eastAsia="zh-CN"/>
        </w:rPr>
        <w:t xml:space="preserve"> calculations</w:t>
      </w:r>
      <w:r w:rsidRPr="00CB00F9">
        <w:rPr>
          <w:lang w:eastAsia="zh-CN"/>
        </w:rPr>
        <w:t xml:space="preserve">. The AL2 SAR image at level 1.5, was calibrated to reduce image radiometric bias, filled using the Lee filtering method </w:t>
      </w:r>
      <w:r w:rsidRPr="00CB00F9">
        <w:rPr>
          <w:noProof/>
          <w:lang w:eastAsia="zh-CN"/>
        </w:rPr>
        <w:t>(</w:t>
      </w:r>
      <w:r w:rsidRPr="00CB00F9">
        <w:rPr>
          <w:noProof/>
          <w:color w:val="0070C0"/>
          <w:lang w:eastAsia="zh-CN"/>
        </w:rPr>
        <w:t>Ali et al., 2015</w:t>
      </w:r>
      <w:r w:rsidRPr="00CB00F9">
        <w:rPr>
          <w:noProof/>
          <w:lang w:eastAsia="zh-CN"/>
        </w:rPr>
        <w:t>)</w:t>
      </w:r>
      <w:r w:rsidRPr="00CB00F9">
        <w:rPr>
          <w:lang w:eastAsia="zh-CN"/>
        </w:rPr>
        <w:t xml:space="preserve"> to reduce image speckles, and converted to the backscattering coefficient (</w:t>
      </w:r>
      <m:oMath>
        <m:sSup>
          <m:sSupPr>
            <m:ctrlPr>
              <w:rPr>
                <w:rFonts w:ascii="Cambria Math" w:hAnsi="Cambria Math"/>
                <w:lang w:eastAsia="zh-CN"/>
              </w:rPr>
            </m:ctrlPr>
          </m:sSupPr>
          <m:e>
            <m:r>
              <w:rPr>
                <w:rFonts w:ascii="Cambria Math" w:hAnsi="Cambria Math"/>
                <w:lang w:eastAsia="zh-CN"/>
              </w:rPr>
              <m:t>σ</m:t>
            </m:r>
          </m:e>
          <m:sup>
            <m:r>
              <m:rPr>
                <m:sty m:val="p"/>
              </m:rPr>
              <w:rPr>
                <w:rFonts w:ascii="Cambria Math" w:hAnsi="Cambria Math"/>
                <w:lang w:eastAsia="zh-CN"/>
              </w:rPr>
              <m:t>0</m:t>
            </m:r>
          </m:sup>
        </m:sSup>
      </m:oMath>
      <w:r w:rsidRPr="00CB00F9">
        <w:rPr>
          <w:lang w:eastAsia="zh-CN"/>
        </w:rPr>
        <w:t xml:space="preserve"> in decibel (dB)) using Equation (1) where </w:t>
      </w:r>
      <w:r w:rsidRPr="00CB00F9">
        <w:rPr>
          <w:i/>
          <w:lang w:eastAsia="zh-CN"/>
        </w:rPr>
        <w:t>CF</w:t>
      </w:r>
      <w:r w:rsidRPr="00CB00F9">
        <w:rPr>
          <w:lang w:eastAsia="zh-CN"/>
        </w:rPr>
        <w:t xml:space="preserve"> is </w:t>
      </w:r>
      <w:r w:rsidRPr="00080252">
        <w:rPr>
          <w:lang w:eastAsia="zh-CN"/>
        </w:rPr>
        <w:t>the calibration factor and set at −83 dB</w:t>
      </w:r>
      <w:r w:rsidRPr="00CB00F9">
        <w:rPr>
          <w:lang w:eastAsia="zh-CN"/>
        </w:rPr>
        <w:t>:</w:t>
      </w:r>
    </w:p>
    <w:p w:rsidR="00B10EC1" w:rsidRPr="00CB00F9" w:rsidRDefault="001A0E24" w:rsidP="0097503E">
      <w:pPr>
        <w:jc w:val="center"/>
      </w:pPr>
      <m:oMath>
        <m:sSubSup>
          <m:sSubSupPr>
            <m:ctrlPr>
              <w:rPr>
                <w:rFonts w:ascii="Cambria Math" w:hAnsi="Cambria Math"/>
              </w:rPr>
            </m:ctrlPr>
          </m:sSubSupPr>
          <m:e>
            <m:r>
              <w:rPr>
                <w:rFonts w:ascii="Cambria Math" w:hAnsi="Cambria Math"/>
              </w:rPr>
              <m:t>σ</m:t>
            </m:r>
          </m:e>
          <m:sub>
            <m:r>
              <w:rPr>
                <w:rFonts w:ascii="Cambria Math" w:hAnsi="Cambria Math"/>
              </w:rPr>
              <m:t>dB</m:t>
            </m:r>
          </m:sub>
          <m:sup>
            <m:r>
              <m:rPr>
                <m:sty m:val="p"/>
              </m:rPr>
              <w:rPr>
                <w:rFonts w:ascii="Cambria Math" w:hAnsi="Cambria Math"/>
              </w:rPr>
              <m:t>0</m:t>
            </m:r>
          </m:sup>
        </m:sSubSup>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p>
              <m:sSupPr>
                <m:ctrlPr>
                  <w:rPr>
                    <w:rFonts w:ascii="Cambria Math" w:hAnsi="Cambria Math"/>
                  </w:rPr>
                </m:ctrlPr>
              </m:sSupPr>
              <m:e>
                <m:r>
                  <w:rPr>
                    <w:rFonts w:ascii="Cambria Math" w:hAnsi="Cambria Math"/>
                  </w:rPr>
                  <m:t>σ</m:t>
                </m:r>
              </m:e>
              <m:sup>
                <m:r>
                  <m:rPr>
                    <m:sty m:val="p"/>
                  </m:rPr>
                  <w:rPr>
                    <w:rFonts w:ascii="Cambria Math" w:hAnsi="Cambria Math"/>
                  </w:rPr>
                  <m:t>0</m:t>
                </m:r>
              </m:sup>
            </m:sSup>
            <m:r>
              <w:rPr>
                <w:rFonts w:ascii="Cambria Math" w:hAnsi="Cambria Math"/>
              </w:rPr>
              <m:t>+CF</m:t>
            </m:r>
          </m:e>
        </m:func>
      </m:oMath>
      <w:r w:rsidR="00B10EC1" w:rsidRPr="00CB00F9">
        <w:tab/>
      </w:r>
      <w:r w:rsidR="00B10EC1" w:rsidRPr="00CB00F9">
        <w:tab/>
      </w:r>
      <w:r w:rsidR="00B10EC1" w:rsidRPr="00CB00F9">
        <w:tab/>
      </w:r>
      <w:r w:rsidR="00B10EC1" w:rsidRPr="00CB00F9">
        <w:tab/>
        <w:t>(1)</w:t>
      </w:r>
    </w:p>
    <w:p w:rsidR="00B10EC1" w:rsidRPr="00CB00F9" w:rsidRDefault="001A0E24" w:rsidP="0097503E">
      <w:pPr>
        <w:jc w:val="center"/>
      </w:pPr>
      <m:oMath>
        <m:sSup>
          <m:sSupPr>
            <m:ctrlPr>
              <w:rPr>
                <w:rFonts w:ascii="Cambria Math" w:hAnsi="Cambria Math"/>
              </w:rPr>
            </m:ctrlPr>
          </m:sSupPr>
          <m:e>
            <m:r>
              <w:rPr>
                <w:rFonts w:ascii="Cambria Math" w:hAnsi="Cambria Math"/>
              </w:rPr>
              <m:t>σ</m:t>
            </m:r>
          </m:e>
          <m:sup>
            <m:r>
              <m:rPr>
                <m:sty m:val="p"/>
              </m:rPr>
              <w:rPr>
                <w:rFonts w:ascii="Cambria Math" w:hAnsi="Cambria Math"/>
              </w:rPr>
              <m:t>0</m:t>
            </m:r>
          </m:sup>
        </m:sSup>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DN</m:t>
                </m:r>
              </m:e>
              <m:sup>
                <m:r>
                  <m:rPr>
                    <m:sty m:val="p"/>
                  </m:rPr>
                  <w:rPr>
                    <w:rFonts w:ascii="Cambria Math" w:hAnsi="Cambria Math"/>
                  </w:rPr>
                  <m:t>2</m:t>
                </m:r>
              </m:sup>
            </m:sSup>
          </m:num>
          <m:den>
            <m:sSubSup>
              <m:sSubSupPr>
                <m:ctrlPr>
                  <w:rPr>
                    <w:rFonts w:ascii="Cambria Math" w:hAnsi="Cambria Math"/>
                  </w:rPr>
                </m:ctrlPr>
              </m:sSubSupPr>
              <m:e>
                <m:r>
                  <w:rPr>
                    <w:rFonts w:ascii="Cambria Math" w:hAnsi="Cambria Math"/>
                  </w:rPr>
                  <m:t>A</m:t>
                </m:r>
              </m:e>
              <m:sub>
                <m:r>
                  <w:rPr>
                    <w:rFonts w:ascii="Cambria Math" w:hAnsi="Cambria Math"/>
                  </w:rPr>
                  <m:t>dn</m:t>
                </m:r>
              </m:sub>
              <m:sup>
                <m:r>
                  <m:rPr>
                    <m:sty m:val="p"/>
                  </m:rPr>
                  <w:rPr>
                    <w:rFonts w:ascii="Cambria Math" w:hAnsi="Cambria Math"/>
                  </w:rPr>
                  <m:t>2</m:t>
                </m:r>
              </m:sup>
            </m:sSub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G</m:t>
                </m:r>
              </m:e>
              <m:sub>
                <m:r>
                  <w:rPr>
                    <w:rFonts w:ascii="Cambria Math" w:hAnsi="Cambria Math"/>
                  </w:rPr>
                  <m:t>eap</m:t>
                </m:r>
              </m:sub>
              <m:sup>
                <m:r>
                  <m:rPr>
                    <m:sty m:val="p"/>
                  </m:rPr>
                  <w:rPr>
                    <w:rFonts w:ascii="Cambria Math" w:hAnsi="Cambria Math"/>
                  </w:rPr>
                  <m:t>2</m:t>
                </m:r>
              </m:sup>
            </m:sSubSup>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R</m:t>
                        </m:r>
                      </m:e>
                      <m:sub>
                        <m:r>
                          <w:rPr>
                            <w:rFonts w:ascii="Cambria Math" w:hAnsi="Cambria Math"/>
                          </w:rPr>
                          <m:t>ref</m:t>
                        </m:r>
                      </m:sub>
                    </m:sSub>
                  </m:den>
                </m:f>
              </m:e>
            </m:d>
          </m:e>
          <m:sup>
            <m:r>
              <m:rPr>
                <m:sty m:val="p"/>
              </m:rPr>
              <w:rPr>
                <w:rFonts w:ascii="Cambria Math" w:hAnsi="Cambria Math"/>
              </w:rPr>
              <m:t>3</m:t>
            </m:r>
          </m:sup>
        </m:sSup>
        <m:r>
          <m:rPr>
            <m:sty m:val="p"/>
          </m:rPr>
          <w:rPr>
            <w:rFonts w:ascii="Cambria Math" w:hAnsi="Cambria Math"/>
          </w:rPr>
          <m:t>×sin⁡(∝)</m:t>
        </m:r>
      </m:oMath>
      <w:r w:rsidR="00B10EC1" w:rsidRPr="00CB00F9">
        <w:t xml:space="preserve"> </w:t>
      </w:r>
      <w:r w:rsidR="00B10EC1" w:rsidRPr="00CB00F9">
        <w:tab/>
      </w:r>
      <w:r w:rsidR="00B10EC1" w:rsidRPr="00CB00F9">
        <w:tab/>
      </w:r>
      <w:r w:rsidR="00B10EC1" w:rsidRPr="00CB00F9">
        <w:tab/>
        <w:t>(2)</w:t>
      </w:r>
    </w:p>
    <w:p w:rsidR="00B10EC1" w:rsidRPr="00CB00F9" w:rsidRDefault="00B10EC1" w:rsidP="0097503E"/>
    <w:p w:rsidR="00B10EC1" w:rsidRPr="00CB00F9" w:rsidRDefault="00B10EC1" w:rsidP="0097503E">
      <w:r w:rsidRPr="00CB00F9">
        <w:t xml:space="preserve">Where </w:t>
      </w:r>
      <m:oMath>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G</m:t>
                </m:r>
              </m:e>
              <m:sub>
                <m:r>
                  <w:rPr>
                    <w:rFonts w:ascii="Cambria Math" w:hAnsi="Cambria Math"/>
                  </w:rPr>
                  <m:t>eap</m:t>
                </m:r>
              </m:sub>
              <m:sup>
                <m:r>
                  <m:rPr>
                    <m:sty m:val="p"/>
                  </m:rPr>
                  <w:rPr>
                    <w:rFonts w:ascii="Cambria Math" w:hAnsi="Cambria Math"/>
                  </w:rPr>
                  <m:t>2</m:t>
                </m:r>
              </m:sup>
            </m:sSubSup>
          </m:den>
        </m:f>
      </m:oMath>
      <w:r w:rsidRPr="00CB00F9">
        <w:t xml:space="preserve"> is the elevation antenna pattern (EAP) correction (2-way),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R</m:t>
                        </m:r>
                      </m:e>
                      <m:sub>
                        <m:r>
                          <w:rPr>
                            <w:rFonts w:ascii="Cambria Math" w:hAnsi="Cambria Math"/>
                          </w:rPr>
                          <m:t>ref</m:t>
                        </m:r>
                      </m:sub>
                    </m:sSub>
                  </m:den>
                </m:f>
              </m:e>
            </m:d>
          </m:e>
          <m:sup>
            <m:r>
              <m:rPr>
                <m:sty m:val="p"/>
              </m:rPr>
              <w:rPr>
                <w:rFonts w:ascii="Cambria Math" w:hAnsi="Cambria Math"/>
              </w:rPr>
              <m:t>3</m:t>
            </m:r>
          </m:sup>
        </m:sSup>
      </m:oMath>
      <w:r w:rsidRPr="00CB00F9">
        <w:t xml:space="preserve">indicates the range spreading loss (RSL) correction, </w:t>
      </w:r>
      <m:oMath>
        <m:sSubSup>
          <m:sSubSupPr>
            <m:ctrlPr>
              <w:rPr>
                <w:rFonts w:ascii="Cambria Math" w:hAnsi="Cambria Math"/>
              </w:rPr>
            </m:ctrlPr>
          </m:sSubSupPr>
          <m:e>
            <m:r>
              <w:rPr>
                <w:rFonts w:ascii="Cambria Math" w:hAnsi="Cambria Math"/>
              </w:rPr>
              <m:t>A</m:t>
            </m:r>
          </m:e>
          <m:sub>
            <m:r>
              <w:rPr>
                <w:rFonts w:ascii="Cambria Math" w:hAnsi="Cambria Math"/>
              </w:rPr>
              <m:t>dn</m:t>
            </m:r>
          </m:sub>
          <m:sup>
            <m:r>
              <m:rPr>
                <m:sty m:val="p"/>
              </m:rPr>
              <w:rPr>
                <w:rFonts w:ascii="Cambria Math" w:hAnsi="Cambria Math"/>
              </w:rPr>
              <m:t>2</m:t>
            </m:r>
          </m:sup>
        </m:sSubSup>
      </m:oMath>
      <w:r w:rsidRPr="00CB00F9">
        <w:t xml:space="preserve"> is the product final scaling from internal SLC to final SLC or GRD, </w:t>
      </w:r>
      <m:oMath>
        <m:r>
          <m:rPr>
            <m:sty m:val="p"/>
          </m:rPr>
          <w:rPr>
            <w:rFonts w:ascii="Cambria Math" w:hAnsi="Cambria Math"/>
          </w:rPr>
          <m:t>∝</m:t>
        </m:r>
      </m:oMath>
      <w:r w:rsidRPr="00CB00F9">
        <w:t xml:space="preserve"> is the local incidence angle and </w:t>
      </w:r>
      <m:oMath>
        <m:sSup>
          <m:sSupPr>
            <m:ctrlPr>
              <w:rPr>
                <w:rFonts w:ascii="Cambria Math" w:hAnsi="Cambria Math"/>
              </w:rPr>
            </m:ctrlPr>
          </m:sSupPr>
          <m:e>
            <m:r>
              <w:rPr>
                <w:rFonts w:ascii="Cambria Math" w:hAnsi="Cambria Math"/>
              </w:rPr>
              <m:t>DN</m:t>
            </m:r>
          </m:e>
          <m:sup>
            <m:r>
              <m:rPr>
                <m:sty m:val="p"/>
              </m:rPr>
              <w:rPr>
                <w:rFonts w:ascii="Cambria Math" w:hAnsi="Cambria Math"/>
              </w:rPr>
              <m:t>2</m:t>
            </m:r>
          </m:sup>
        </m:sSup>
      </m:oMath>
      <w:r w:rsidRPr="00CB00F9">
        <w:t xml:space="preserve"> is the average product intensity and has a value of 22142.71.</w:t>
      </w:r>
    </w:p>
    <w:p w:rsidR="00B10EC1" w:rsidRPr="00CB00F9" w:rsidRDefault="00B10EC1" w:rsidP="0097503E">
      <w:r w:rsidRPr="00CB00F9">
        <w:rPr>
          <w:lang w:eastAsia="zh-CN"/>
        </w:rPr>
        <w:t>All optical and SAR images were then projected in the unique Universal Transverse Mercator</w:t>
      </w:r>
      <w:r w:rsidRPr="00CB00F9">
        <w:t xml:space="preserve"> </w:t>
      </w:r>
      <w:r w:rsidRPr="00CB00F9">
        <w:rPr>
          <w:lang w:eastAsia="zh-CN"/>
        </w:rPr>
        <w:t>World Geodetic System 1984 zone 48 northern hemisphere (UTM-WGS 84, zone 48N) to enable overlay.</w:t>
      </w:r>
    </w:p>
    <w:p w:rsidR="00B10EC1" w:rsidRPr="00CB00F9" w:rsidRDefault="00B10EC1" w:rsidP="0097503E">
      <w:pPr>
        <w:pStyle w:val="MDPI38bullet"/>
      </w:pPr>
      <w:r w:rsidRPr="00CB00F9">
        <w:t>2.3.2. Calculation of vegetation indices</w:t>
      </w:r>
    </w:p>
    <w:p w:rsidR="00B10EC1" w:rsidRPr="00CB00F9" w:rsidRDefault="00B10EC1" w:rsidP="0097503E">
      <w:r w:rsidRPr="00CB00F9">
        <w:t xml:space="preserve">Numerous vegetation indices can be derived from remote sensing data by transformation of multispectral information. Since the Normalized Difference Vegetation Index (NDVI), Soil-adjusted Vegetation Index (SAVI), Green NDVI (GNDVI), Simple Ratio (SR) and Red-edge Simple Ratio (SRre) have been most frequently applied to mangrove data </w:t>
      </w:r>
      <w:r w:rsidRPr="00CB00F9">
        <w:rPr>
          <w:noProof/>
        </w:rPr>
        <w:t>(</w:t>
      </w:r>
      <w:r w:rsidRPr="00CB00F9">
        <w:rPr>
          <w:noProof/>
          <w:color w:val="0070C0"/>
        </w:rPr>
        <w:t>Green et al., 1998</w:t>
      </w:r>
      <w:r w:rsidRPr="00CB00F9">
        <w:rPr>
          <w:noProof/>
        </w:rPr>
        <w:t>)</w:t>
      </w:r>
      <w:r w:rsidRPr="00CB00F9">
        <w:t xml:space="preserve">, we selected them for our model inputs. The indices were calculated using the formulas presented in </w:t>
      </w:r>
      <w:r w:rsidRPr="00CB00F9">
        <w:rPr>
          <w:color w:val="0070C0"/>
        </w:rPr>
        <w:t>Table 3</w:t>
      </w:r>
      <w:r w:rsidRPr="00CB00F9">
        <w:t>.</w:t>
      </w:r>
    </w:p>
    <w:p w:rsidR="005031B5" w:rsidRPr="007C79A4" w:rsidRDefault="005031B5" w:rsidP="005031B5">
      <w:pPr>
        <w:rPr>
          <w:b/>
          <w:sz w:val="22"/>
          <w:szCs w:val="22"/>
          <w:lang w:bidi="en-US"/>
        </w:rPr>
      </w:pPr>
      <w:r w:rsidRPr="007C79A4">
        <w:rPr>
          <w:b/>
          <w:sz w:val="22"/>
          <w:szCs w:val="22"/>
          <w:lang w:bidi="en-US"/>
        </w:rPr>
        <w:t>Table 3</w:t>
      </w:r>
    </w:p>
    <w:p w:rsidR="005031B5" w:rsidRPr="007C79A4" w:rsidRDefault="005031B5" w:rsidP="005031B5">
      <w:pPr>
        <w:rPr>
          <w:sz w:val="22"/>
          <w:szCs w:val="22"/>
        </w:rPr>
      </w:pPr>
      <w:r w:rsidRPr="007C79A4">
        <w:rPr>
          <w:sz w:val="22"/>
          <w:szCs w:val="22"/>
          <w:lang w:bidi="en-US"/>
        </w:rPr>
        <w:t>Equations for the vegetation indices used in the biomass models</w:t>
      </w:r>
    </w:p>
    <w:tbl>
      <w:tblPr>
        <w:tblW w:w="9990" w:type="dxa"/>
        <w:tblBorders>
          <w:top w:val="nil"/>
          <w:left w:val="nil"/>
          <w:bottom w:val="nil"/>
          <w:right w:val="nil"/>
        </w:tblBorders>
        <w:tblLook w:val="0000" w:firstRow="0" w:lastRow="0" w:firstColumn="0" w:lastColumn="0" w:noHBand="0" w:noVBand="0"/>
      </w:tblPr>
      <w:tblGrid>
        <w:gridCol w:w="2610"/>
        <w:gridCol w:w="2520"/>
        <w:gridCol w:w="4860"/>
      </w:tblGrid>
      <w:tr w:rsidR="005031B5" w:rsidRPr="007C79A4" w:rsidTr="0019118A">
        <w:trPr>
          <w:trHeight w:val="276"/>
        </w:trPr>
        <w:tc>
          <w:tcPr>
            <w:tcW w:w="2610" w:type="dxa"/>
            <w:tcBorders>
              <w:top w:val="single" w:sz="8" w:space="0" w:color="auto"/>
              <w:bottom w:val="single" w:sz="4" w:space="0" w:color="auto"/>
            </w:tcBorders>
          </w:tcPr>
          <w:p w:rsidR="005031B5" w:rsidRPr="007C79A4" w:rsidRDefault="005031B5" w:rsidP="0019118A">
            <w:pPr>
              <w:rPr>
                <w:b/>
                <w:sz w:val="22"/>
                <w:szCs w:val="22"/>
              </w:rPr>
            </w:pPr>
            <w:r w:rsidRPr="007C79A4">
              <w:rPr>
                <w:b/>
                <w:sz w:val="22"/>
                <w:szCs w:val="22"/>
              </w:rPr>
              <w:t>Vegetation index</w:t>
            </w:r>
          </w:p>
        </w:tc>
        <w:tc>
          <w:tcPr>
            <w:tcW w:w="2520" w:type="dxa"/>
            <w:tcBorders>
              <w:top w:val="single" w:sz="8" w:space="0" w:color="auto"/>
              <w:bottom w:val="single" w:sz="4" w:space="0" w:color="auto"/>
            </w:tcBorders>
          </w:tcPr>
          <w:p w:rsidR="005031B5" w:rsidRPr="007C79A4" w:rsidRDefault="005031B5" w:rsidP="0019118A">
            <w:pPr>
              <w:rPr>
                <w:b/>
                <w:sz w:val="22"/>
                <w:szCs w:val="22"/>
              </w:rPr>
            </w:pPr>
            <w:r w:rsidRPr="007C79A4">
              <w:rPr>
                <w:b/>
                <w:sz w:val="22"/>
                <w:szCs w:val="22"/>
              </w:rPr>
              <w:t>Formula</w:t>
            </w:r>
          </w:p>
        </w:tc>
        <w:tc>
          <w:tcPr>
            <w:tcW w:w="4860" w:type="dxa"/>
            <w:tcBorders>
              <w:top w:val="single" w:sz="8" w:space="0" w:color="auto"/>
              <w:bottom w:val="single" w:sz="4" w:space="0" w:color="auto"/>
            </w:tcBorders>
          </w:tcPr>
          <w:p w:rsidR="005031B5" w:rsidRPr="007C79A4" w:rsidRDefault="005031B5" w:rsidP="0019118A">
            <w:pPr>
              <w:rPr>
                <w:b/>
                <w:sz w:val="22"/>
                <w:szCs w:val="22"/>
              </w:rPr>
            </w:pPr>
            <w:r w:rsidRPr="007C79A4">
              <w:rPr>
                <w:b/>
                <w:sz w:val="22"/>
                <w:szCs w:val="22"/>
              </w:rPr>
              <w:t>Reference</w:t>
            </w:r>
          </w:p>
        </w:tc>
      </w:tr>
      <w:tr w:rsidR="005031B5" w:rsidRPr="007C79A4" w:rsidTr="0019118A">
        <w:trPr>
          <w:trHeight w:val="263"/>
        </w:trPr>
        <w:tc>
          <w:tcPr>
            <w:tcW w:w="2610" w:type="dxa"/>
            <w:tcBorders>
              <w:top w:val="single" w:sz="4" w:space="0" w:color="auto"/>
              <w:bottom w:val="nil"/>
            </w:tcBorders>
          </w:tcPr>
          <w:p w:rsidR="005031B5" w:rsidRPr="007C79A4" w:rsidRDefault="005031B5" w:rsidP="0019118A">
            <w:pPr>
              <w:rPr>
                <w:sz w:val="22"/>
                <w:szCs w:val="22"/>
              </w:rPr>
            </w:pPr>
            <w:r w:rsidRPr="007C79A4">
              <w:rPr>
                <w:sz w:val="22"/>
                <w:szCs w:val="22"/>
              </w:rPr>
              <w:t>Normalized Difference Vegetation Index (NDVI)</w:t>
            </w:r>
          </w:p>
        </w:tc>
        <w:tc>
          <w:tcPr>
            <w:tcW w:w="2520" w:type="dxa"/>
            <w:tcBorders>
              <w:top w:val="single" w:sz="4" w:space="0" w:color="auto"/>
              <w:bottom w:val="nil"/>
            </w:tcBorders>
          </w:tcPr>
          <w:p w:rsidR="005031B5" w:rsidRPr="007C79A4" w:rsidRDefault="005031B5" w:rsidP="0019118A">
            <w:pPr>
              <w:rPr>
                <w:i/>
                <w:sz w:val="22"/>
                <w:szCs w:val="22"/>
              </w:rPr>
            </w:pPr>
            <w:r w:rsidRPr="007C79A4">
              <w:rPr>
                <w:i/>
                <w:sz w:val="22"/>
                <w:szCs w:val="22"/>
              </w:rPr>
              <w:t>(NIR-R) / (NIR + R)</w:t>
            </w:r>
          </w:p>
        </w:tc>
        <w:tc>
          <w:tcPr>
            <w:tcW w:w="4860" w:type="dxa"/>
            <w:tcBorders>
              <w:top w:val="single" w:sz="4" w:space="0" w:color="auto"/>
              <w:bottom w:val="nil"/>
            </w:tcBorders>
          </w:tcPr>
          <w:p w:rsidR="005031B5" w:rsidRPr="007C79A4" w:rsidRDefault="005031B5" w:rsidP="005031B5">
            <w:pPr>
              <w:rPr>
                <w:sz w:val="22"/>
                <w:szCs w:val="22"/>
              </w:rPr>
            </w:pPr>
            <w:r w:rsidRPr="007C79A4">
              <w:rPr>
                <w:sz w:val="22"/>
                <w:szCs w:val="22"/>
              </w:rPr>
              <w:fldChar w:fldCharType="begin"/>
            </w:r>
            <w:r w:rsidRPr="007C79A4">
              <w:rPr>
                <w:sz w:val="22"/>
                <w:szCs w:val="22"/>
              </w:rPr>
              <w:instrText xml:space="preserve"> ADDIN EN.CITE &lt;EndNote&gt;&lt;Cite&gt;&lt;Author&gt;Rousel&lt;/Author&gt;&lt;Year&gt;1973&lt;/Year&gt;&lt;RecNum&gt;30&lt;/RecNum&gt;&lt;DisplayText&gt;(Rousel et al., 1973)&lt;/DisplayText&gt;&lt;record&gt;&lt;rec-number&gt;30&lt;/rec-number&gt;&lt;foreign-keys&gt;&lt;key app="EN" db-id="avt5zxdwmd95ztexrs55fpzdw9axtr90rswe"&gt;30&lt;/key&gt;&lt;/foreign-keys&gt;&lt;ref-type name="Conference Proceedings"&gt;10&lt;/ref-type&gt;&lt;contributors&gt;&lt;authors&gt;&lt;author&gt;Rousel, JW&lt;/author&gt;&lt;author&gt;Haas, RH&lt;/author&gt;&lt;author&gt;Schell, JA&lt;/author&gt;&lt;author&gt;Deering, DW&lt;/author&gt;&lt;/authors&gt;&lt;/contributors&gt;&lt;titles&gt;&lt;title&gt;Monitoring vegetation systems in the great plains with ERTS&lt;/title&gt;&lt;secondary-title&gt;Proceedings of the Third Earth Resources Technology Satellite—1 Symposium; NASA SP-351&lt;/secondary-title&gt;&lt;/titles&gt;&lt;pages&gt;309-317&lt;/pages&gt;&lt;dates&gt;&lt;year&gt;1973&lt;/year&gt;&lt;/dates&gt;&lt;urls&gt;&lt;/urls&gt;&lt;/record&gt;&lt;/Cite&gt;&lt;/EndNote&gt;</w:instrText>
            </w:r>
            <w:r w:rsidRPr="007C79A4">
              <w:rPr>
                <w:sz w:val="22"/>
                <w:szCs w:val="22"/>
              </w:rPr>
              <w:fldChar w:fldCharType="separate"/>
            </w:r>
            <w:r w:rsidRPr="007C79A4">
              <w:rPr>
                <w:noProof/>
                <w:sz w:val="22"/>
                <w:szCs w:val="22"/>
              </w:rPr>
              <w:t>(</w:t>
            </w:r>
            <w:hyperlink w:anchor="_ENREF_48" w:tooltip="Rousel, 1973 #30" w:history="1">
              <w:r w:rsidRPr="007C79A4">
                <w:rPr>
                  <w:noProof/>
                  <w:sz w:val="22"/>
                  <w:szCs w:val="22"/>
                </w:rPr>
                <w:t>Rousel et al., 197</w:t>
              </w:r>
              <w:r>
                <w:rPr>
                  <w:noProof/>
                  <w:sz w:val="22"/>
                  <w:szCs w:val="22"/>
                </w:rPr>
                <w:t>4</w:t>
              </w:r>
            </w:hyperlink>
            <w:r w:rsidRPr="007C79A4">
              <w:rPr>
                <w:noProof/>
                <w:sz w:val="22"/>
                <w:szCs w:val="22"/>
              </w:rPr>
              <w:t>)</w:t>
            </w:r>
            <w:r w:rsidRPr="007C79A4">
              <w:rPr>
                <w:sz w:val="22"/>
                <w:szCs w:val="22"/>
              </w:rPr>
              <w:fldChar w:fldCharType="end"/>
            </w:r>
          </w:p>
        </w:tc>
      </w:tr>
      <w:tr w:rsidR="005031B5" w:rsidRPr="007C79A4" w:rsidTr="0019118A">
        <w:trPr>
          <w:trHeight w:val="263"/>
        </w:trPr>
        <w:tc>
          <w:tcPr>
            <w:tcW w:w="2610" w:type="dxa"/>
            <w:tcBorders>
              <w:top w:val="nil"/>
              <w:bottom w:val="nil"/>
            </w:tcBorders>
          </w:tcPr>
          <w:p w:rsidR="005031B5" w:rsidRPr="007C79A4" w:rsidRDefault="005031B5" w:rsidP="0019118A">
            <w:pPr>
              <w:rPr>
                <w:sz w:val="22"/>
                <w:szCs w:val="22"/>
              </w:rPr>
            </w:pPr>
            <w:r w:rsidRPr="007C79A4">
              <w:rPr>
                <w:sz w:val="22"/>
                <w:szCs w:val="22"/>
              </w:rPr>
              <w:t>Green NDVI (GNDVI)</w:t>
            </w:r>
          </w:p>
        </w:tc>
        <w:tc>
          <w:tcPr>
            <w:tcW w:w="2520" w:type="dxa"/>
            <w:tcBorders>
              <w:top w:val="nil"/>
              <w:bottom w:val="nil"/>
            </w:tcBorders>
          </w:tcPr>
          <w:p w:rsidR="005031B5" w:rsidRPr="007C79A4" w:rsidRDefault="005031B5" w:rsidP="0019118A">
            <w:pPr>
              <w:rPr>
                <w:i/>
                <w:sz w:val="22"/>
                <w:szCs w:val="22"/>
              </w:rPr>
            </w:pPr>
            <w:r w:rsidRPr="007C79A4">
              <w:rPr>
                <w:i/>
                <w:sz w:val="22"/>
                <w:szCs w:val="22"/>
              </w:rPr>
              <w:t>(NIR-G) / (NIR + G)</w:t>
            </w:r>
          </w:p>
        </w:tc>
        <w:tc>
          <w:tcPr>
            <w:tcW w:w="4860" w:type="dxa"/>
            <w:tcBorders>
              <w:top w:val="nil"/>
              <w:bottom w:val="nil"/>
              <w:right w:val="nil"/>
            </w:tcBorders>
          </w:tcPr>
          <w:p w:rsidR="005031B5" w:rsidRPr="007C79A4" w:rsidRDefault="005031B5" w:rsidP="0019118A">
            <w:pPr>
              <w:rPr>
                <w:sz w:val="22"/>
                <w:szCs w:val="22"/>
              </w:rPr>
            </w:pPr>
            <w:r w:rsidRPr="007C79A4">
              <w:rPr>
                <w:sz w:val="22"/>
                <w:szCs w:val="22"/>
              </w:rPr>
              <w:fldChar w:fldCharType="begin"/>
            </w:r>
            <w:r w:rsidRPr="007C79A4">
              <w:rPr>
                <w:sz w:val="22"/>
                <w:szCs w:val="22"/>
              </w:rPr>
              <w:instrText xml:space="preserve"> ADDIN EN.CITE &lt;EndNote&gt;&lt;Cite&gt;&lt;Author&gt;Gitelson&lt;/Author&gt;&lt;Year&gt;1996&lt;/Year&gt;&lt;RecNum&gt;31&lt;/RecNum&gt;&lt;DisplayText&gt;(Gitelson et al., 1996)&lt;/DisplayText&gt;&lt;record&gt;&lt;rec-number&gt;31&lt;/rec-number&gt;&lt;foreign-keys&gt;&lt;key app="EN" db-id="avt5zxdwmd95ztexrs55fpzdw9axtr90rswe"&gt;31&lt;/key&gt;&lt;/foreign-keys&gt;&lt;ref-type name="Journal Article"&gt;17&lt;/ref-type&gt;&lt;contributors&gt;&lt;authors&gt;&lt;author&gt;Gitelson, Anatoly A&lt;/author&gt;&lt;author&gt;Kaufman, Yoram J&lt;/author&gt;&lt;author&gt;Merzlyak, Mark N&lt;/author&gt;&lt;/authors&gt;&lt;/contributors&gt;&lt;titles&gt;&lt;title&gt;Use of a green channel in remote sensing of global vegetation from EOS-MODIS&lt;/title&gt;&lt;secondary-title&gt;Remote sensing of Environment&lt;/secondary-title&gt;&lt;/titles&gt;&lt;periodical&gt;&lt;full-title&gt;Remote sensing of Environment&lt;/full-title&gt;&lt;/periodical&gt;&lt;pages&gt;289-298&lt;/pages&gt;&lt;volume&gt;58&lt;/volume&gt;&lt;number&gt;3&lt;/number&gt;&lt;dates&gt;&lt;year&gt;1996&lt;/year&gt;&lt;/dates&gt;&lt;isbn&gt;0034-4257&lt;/isbn&gt;&lt;urls&gt;&lt;/urls&gt;&lt;/record&gt;&lt;/Cite&gt;&lt;/EndNote&gt;</w:instrText>
            </w:r>
            <w:r w:rsidRPr="007C79A4">
              <w:rPr>
                <w:sz w:val="22"/>
                <w:szCs w:val="22"/>
              </w:rPr>
              <w:fldChar w:fldCharType="separate"/>
            </w:r>
            <w:r w:rsidRPr="007C79A4">
              <w:rPr>
                <w:noProof/>
                <w:sz w:val="22"/>
                <w:szCs w:val="22"/>
              </w:rPr>
              <w:t>(</w:t>
            </w:r>
            <w:hyperlink w:anchor="_ENREF_15" w:tooltip="Gitelson, 1996 #31" w:history="1">
              <w:r w:rsidRPr="007C79A4">
                <w:rPr>
                  <w:noProof/>
                  <w:sz w:val="22"/>
                  <w:szCs w:val="22"/>
                </w:rPr>
                <w:t>Gitelson et al., 1996</w:t>
              </w:r>
            </w:hyperlink>
            <w:r w:rsidRPr="007C79A4">
              <w:rPr>
                <w:noProof/>
                <w:sz w:val="22"/>
                <w:szCs w:val="22"/>
              </w:rPr>
              <w:t>)</w:t>
            </w:r>
            <w:r w:rsidRPr="007C79A4">
              <w:rPr>
                <w:sz w:val="22"/>
                <w:szCs w:val="22"/>
              </w:rPr>
              <w:fldChar w:fldCharType="end"/>
            </w:r>
          </w:p>
        </w:tc>
      </w:tr>
      <w:tr w:rsidR="005031B5" w:rsidRPr="007C79A4" w:rsidTr="0019118A">
        <w:trPr>
          <w:trHeight w:val="263"/>
        </w:trPr>
        <w:tc>
          <w:tcPr>
            <w:tcW w:w="2610" w:type="dxa"/>
            <w:tcBorders>
              <w:top w:val="nil"/>
              <w:bottom w:val="nil"/>
            </w:tcBorders>
          </w:tcPr>
          <w:p w:rsidR="005031B5" w:rsidRPr="007C79A4" w:rsidRDefault="005031B5" w:rsidP="0019118A">
            <w:pPr>
              <w:rPr>
                <w:sz w:val="22"/>
                <w:szCs w:val="22"/>
              </w:rPr>
            </w:pPr>
            <w:r w:rsidRPr="007C79A4">
              <w:rPr>
                <w:sz w:val="22"/>
                <w:szCs w:val="22"/>
              </w:rPr>
              <w:t>Soil Adjusted vegetation Index (SAVI)</w:t>
            </w:r>
          </w:p>
        </w:tc>
        <w:tc>
          <w:tcPr>
            <w:tcW w:w="2520" w:type="dxa"/>
            <w:tcBorders>
              <w:top w:val="nil"/>
              <w:bottom w:val="nil"/>
            </w:tcBorders>
          </w:tcPr>
          <w:p w:rsidR="005031B5" w:rsidRPr="007C79A4" w:rsidRDefault="001A0E24" w:rsidP="0019118A">
            <w:pPr>
              <w:rPr>
                <w:i/>
                <w:sz w:val="22"/>
                <w:szCs w:val="22"/>
              </w:rPr>
            </w:pPr>
            <m:oMath>
              <m:f>
                <m:fPr>
                  <m:ctrlPr>
                    <w:rPr>
                      <w:rFonts w:ascii="Cambria Math" w:hAnsi="Cambria Math"/>
                      <w:i/>
                      <w:sz w:val="22"/>
                      <w:szCs w:val="22"/>
                    </w:rPr>
                  </m:ctrlPr>
                </m:fPr>
                <m:num>
                  <m:r>
                    <w:rPr>
                      <w:rFonts w:ascii="Cambria Math" w:hAnsi="Cambria Math" w:cs="Cambria Math"/>
                      <w:sz w:val="22"/>
                      <w:szCs w:val="22"/>
                    </w:rPr>
                    <m:t>(NIR</m:t>
                  </m:r>
                  <m:r>
                    <w:rPr>
                      <w:rFonts w:ascii="Cambria Math" w:hAnsi="Cambria Math"/>
                      <w:sz w:val="22"/>
                      <w:szCs w:val="22"/>
                    </w:rPr>
                    <m:t>-</m:t>
                  </m:r>
                  <m:r>
                    <w:rPr>
                      <w:rFonts w:ascii="Cambria Math" w:hAnsi="Cambria Math" w:cs="Cambria Math"/>
                      <w:sz w:val="22"/>
                      <w:szCs w:val="22"/>
                    </w:rPr>
                    <m:t>R)</m:t>
                  </m:r>
                </m:num>
                <m:den>
                  <m:r>
                    <w:rPr>
                      <w:rFonts w:ascii="Cambria Math" w:hAnsi="Cambria Math"/>
                      <w:sz w:val="22"/>
                      <w:szCs w:val="22"/>
                    </w:rPr>
                    <m:t>(</m:t>
                  </m:r>
                  <m:r>
                    <w:rPr>
                      <w:rFonts w:ascii="Cambria Math" w:hAnsi="Cambria Math" w:cs="Cambria Math"/>
                      <w:sz w:val="22"/>
                      <w:szCs w:val="22"/>
                    </w:rPr>
                    <m:t>NIR</m:t>
                  </m:r>
                  <m:r>
                    <w:rPr>
                      <w:rFonts w:ascii="Cambria Math" w:hAnsi="Cambria Math"/>
                      <w:sz w:val="22"/>
                      <w:szCs w:val="22"/>
                    </w:rPr>
                    <m:t>+</m:t>
                  </m:r>
                  <m:r>
                    <w:rPr>
                      <w:rFonts w:ascii="Cambria Math" w:hAnsi="Cambria Math" w:cs="Cambria Math"/>
                      <w:sz w:val="22"/>
                      <w:szCs w:val="22"/>
                    </w:rPr>
                    <m:t>R</m:t>
                  </m:r>
                  <m:r>
                    <w:rPr>
                      <w:rFonts w:ascii="Cambria Math" w:hAnsi="Cambria Math"/>
                      <w:sz w:val="22"/>
                      <w:szCs w:val="22"/>
                    </w:rPr>
                    <m:t>+</m:t>
                  </m:r>
                  <m:r>
                    <w:rPr>
                      <w:rFonts w:ascii="Cambria Math" w:hAnsi="Cambria Math" w:cs="Cambria Math"/>
                      <w:sz w:val="22"/>
                      <w:szCs w:val="22"/>
                    </w:rPr>
                    <m:t>L</m:t>
                  </m:r>
                  <m:r>
                    <w:rPr>
                      <w:rFonts w:ascii="Cambria Math" w:hAnsi="Cambria Math"/>
                      <w:sz w:val="22"/>
                      <w:szCs w:val="22"/>
                    </w:rPr>
                    <m:t>)</m:t>
                  </m:r>
                </m:den>
              </m:f>
            </m:oMath>
            <w:r w:rsidR="005031B5" w:rsidRPr="007C79A4">
              <w:rPr>
                <w:i/>
                <w:sz w:val="22"/>
                <w:szCs w:val="22"/>
              </w:rPr>
              <w:t>×(1 + L)</w:t>
            </w:r>
          </w:p>
        </w:tc>
        <w:tc>
          <w:tcPr>
            <w:tcW w:w="4860" w:type="dxa"/>
            <w:tcBorders>
              <w:top w:val="nil"/>
              <w:bottom w:val="nil"/>
              <w:right w:val="nil"/>
            </w:tcBorders>
          </w:tcPr>
          <w:p w:rsidR="005031B5" w:rsidRPr="007C79A4" w:rsidRDefault="005031B5" w:rsidP="0019118A">
            <w:pPr>
              <w:rPr>
                <w:sz w:val="22"/>
                <w:szCs w:val="22"/>
              </w:rPr>
            </w:pPr>
            <w:r w:rsidRPr="007C79A4">
              <w:rPr>
                <w:sz w:val="22"/>
                <w:szCs w:val="22"/>
              </w:rPr>
              <w:fldChar w:fldCharType="begin"/>
            </w:r>
            <w:r w:rsidRPr="007C79A4">
              <w:rPr>
                <w:sz w:val="22"/>
                <w:szCs w:val="22"/>
              </w:rPr>
              <w:instrText xml:space="preserve"> ADDIN EN.CITE &lt;EndNote&gt;&lt;Cite&gt;&lt;Author&gt;Huete&lt;/Author&gt;&lt;Year&gt;1988&lt;/Year&gt;&lt;RecNum&gt;32&lt;/RecNum&gt;&lt;DisplayText&gt;(Huete, 1988)&lt;/DisplayText&gt;&lt;record&gt;&lt;rec-number&gt;32&lt;/rec-number&gt;&lt;foreign-keys&gt;&lt;key app="EN" db-id="avt5zxdwmd95ztexrs55fpzdw9axtr90rswe"&gt;32&lt;/key&gt;&lt;/foreign-keys&gt;&lt;ref-type name="Generic"&gt;13&lt;/ref-type&gt;&lt;contributors&gt;&lt;authors&gt;&lt;author&gt;Huete, AR&lt;/author&gt;&lt;/authors&gt;&lt;/contributors&gt;&lt;titles&gt;&lt;title&gt;A Soil-Adjusted Vegetation Index (SAVI). Remote Ssensing of Environment, 25, 295-309&lt;/title&gt;&lt;/titles&gt;&lt;dates&gt;&lt;year&gt;1988&lt;/year&gt;&lt;/dates&gt;&lt;urls&gt;&lt;/urls&gt;&lt;/record&gt;&lt;/Cite&gt;&lt;/EndNote&gt;</w:instrText>
            </w:r>
            <w:r w:rsidRPr="007C79A4">
              <w:rPr>
                <w:sz w:val="22"/>
                <w:szCs w:val="22"/>
              </w:rPr>
              <w:fldChar w:fldCharType="separate"/>
            </w:r>
            <w:r w:rsidRPr="007C79A4">
              <w:rPr>
                <w:noProof/>
                <w:sz w:val="22"/>
                <w:szCs w:val="22"/>
              </w:rPr>
              <w:t>(</w:t>
            </w:r>
            <w:hyperlink w:anchor="_ENREF_22" w:tooltip="Huete, 1988 #32" w:history="1">
              <w:r w:rsidRPr="007C79A4">
                <w:rPr>
                  <w:noProof/>
                  <w:sz w:val="22"/>
                  <w:szCs w:val="22"/>
                </w:rPr>
                <w:t>Huete, 1988</w:t>
              </w:r>
            </w:hyperlink>
            <w:r w:rsidRPr="007C79A4">
              <w:rPr>
                <w:noProof/>
                <w:sz w:val="22"/>
                <w:szCs w:val="22"/>
              </w:rPr>
              <w:t>)</w:t>
            </w:r>
            <w:r w:rsidRPr="007C79A4">
              <w:rPr>
                <w:sz w:val="22"/>
                <w:szCs w:val="22"/>
              </w:rPr>
              <w:fldChar w:fldCharType="end"/>
            </w:r>
          </w:p>
        </w:tc>
      </w:tr>
      <w:tr w:rsidR="005031B5" w:rsidRPr="007C79A4" w:rsidTr="0019118A">
        <w:trPr>
          <w:trHeight w:val="263"/>
        </w:trPr>
        <w:tc>
          <w:tcPr>
            <w:tcW w:w="2610" w:type="dxa"/>
            <w:tcBorders>
              <w:top w:val="nil"/>
              <w:bottom w:val="nil"/>
            </w:tcBorders>
          </w:tcPr>
          <w:p w:rsidR="005031B5" w:rsidRPr="007C79A4" w:rsidRDefault="005031B5" w:rsidP="0019118A">
            <w:pPr>
              <w:rPr>
                <w:sz w:val="22"/>
                <w:szCs w:val="22"/>
              </w:rPr>
            </w:pPr>
            <w:r w:rsidRPr="007C79A4">
              <w:rPr>
                <w:sz w:val="22"/>
                <w:szCs w:val="22"/>
              </w:rPr>
              <w:t>Simple ratio (SR)</w:t>
            </w:r>
          </w:p>
        </w:tc>
        <w:tc>
          <w:tcPr>
            <w:tcW w:w="2520" w:type="dxa"/>
            <w:tcBorders>
              <w:top w:val="nil"/>
              <w:bottom w:val="nil"/>
            </w:tcBorders>
          </w:tcPr>
          <w:p w:rsidR="005031B5" w:rsidRPr="007C79A4" w:rsidRDefault="005031B5" w:rsidP="0019118A">
            <w:pPr>
              <w:rPr>
                <w:i/>
                <w:sz w:val="22"/>
                <w:szCs w:val="22"/>
              </w:rPr>
            </w:pPr>
            <w:r w:rsidRPr="007C79A4">
              <w:rPr>
                <w:i/>
                <w:sz w:val="22"/>
                <w:szCs w:val="22"/>
              </w:rPr>
              <w:t>NIR/R</w:t>
            </w:r>
          </w:p>
        </w:tc>
        <w:tc>
          <w:tcPr>
            <w:tcW w:w="4860" w:type="dxa"/>
            <w:tcBorders>
              <w:top w:val="nil"/>
              <w:bottom w:val="nil"/>
              <w:right w:val="nil"/>
            </w:tcBorders>
          </w:tcPr>
          <w:p w:rsidR="005031B5" w:rsidRPr="007C79A4" w:rsidRDefault="005031B5" w:rsidP="0019118A">
            <w:pPr>
              <w:rPr>
                <w:sz w:val="22"/>
                <w:szCs w:val="22"/>
              </w:rPr>
            </w:pPr>
            <w:r w:rsidRPr="007C79A4">
              <w:rPr>
                <w:sz w:val="22"/>
                <w:szCs w:val="22"/>
              </w:rPr>
              <w:fldChar w:fldCharType="begin"/>
            </w:r>
            <w:r w:rsidRPr="007C79A4">
              <w:rPr>
                <w:sz w:val="22"/>
                <w:szCs w:val="22"/>
              </w:rPr>
              <w:instrText xml:space="preserve"> ADDIN EN.CITE &lt;EndNote&gt;&lt;Cite&gt;&lt;Author&gt;Jordan&lt;/Author&gt;&lt;Year&gt;1969&lt;/Year&gt;&lt;RecNum&gt;33&lt;/RecNum&gt;&lt;DisplayText&gt;(Jordan, 1969)&lt;/DisplayText&gt;&lt;record&gt;&lt;rec-number&gt;33&lt;/rec-number&gt;&lt;foreign-keys&gt;&lt;key app="EN" db-id="avt5zxdwmd95ztexrs55fpzdw9axtr90rswe"&gt;33&lt;/key&gt;&lt;/foreign-keys&gt;&lt;ref-type name="Journal Article"&gt;17&lt;/ref-type&gt;&lt;contributors&gt;&lt;authors&gt;&lt;author&gt;Jordan, Carl F&lt;/author&gt;&lt;/authors&gt;&lt;/contributors&gt;&lt;titles&gt;&lt;title&gt;Derivation of leaf‐area index from quality of light on the forest floor&lt;/title&gt;&lt;secondary-title&gt;Ecology&lt;/secondary-title&gt;&lt;/titles&gt;&lt;periodical&gt;&lt;full-title&gt;Ecology&lt;/full-title&gt;&lt;/periodical&gt;&lt;pages&gt;663-666&lt;/pages&gt;&lt;volume&gt;50&lt;/volume&gt;&lt;number&gt;4&lt;/number&gt;&lt;dates&gt;&lt;year&gt;1969&lt;/year&gt;&lt;/dates&gt;&lt;isbn&gt;1939-9170&lt;/isbn&gt;&lt;urls&gt;&lt;/urls&gt;&lt;/record&gt;&lt;/Cite&gt;&lt;/EndNote&gt;</w:instrText>
            </w:r>
            <w:r w:rsidRPr="007C79A4">
              <w:rPr>
                <w:sz w:val="22"/>
                <w:szCs w:val="22"/>
              </w:rPr>
              <w:fldChar w:fldCharType="separate"/>
            </w:r>
            <w:r w:rsidRPr="007C79A4">
              <w:rPr>
                <w:noProof/>
                <w:sz w:val="22"/>
                <w:szCs w:val="22"/>
              </w:rPr>
              <w:t>(</w:t>
            </w:r>
            <w:hyperlink w:anchor="_ENREF_26" w:tooltip="Jordan, 1969 #33" w:history="1">
              <w:r w:rsidRPr="007C79A4">
                <w:rPr>
                  <w:noProof/>
                  <w:sz w:val="22"/>
                  <w:szCs w:val="22"/>
                </w:rPr>
                <w:t>Jordan, 1969</w:t>
              </w:r>
            </w:hyperlink>
            <w:r w:rsidRPr="007C79A4">
              <w:rPr>
                <w:noProof/>
                <w:sz w:val="22"/>
                <w:szCs w:val="22"/>
              </w:rPr>
              <w:t>)</w:t>
            </w:r>
            <w:r w:rsidRPr="007C79A4">
              <w:rPr>
                <w:sz w:val="22"/>
                <w:szCs w:val="22"/>
              </w:rPr>
              <w:fldChar w:fldCharType="end"/>
            </w:r>
          </w:p>
        </w:tc>
      </w:tr>
      <w:tr w:rsidR="005031B5" w:rsidRPr="007C79A4" w:rsidTr="0019118A">
        <w:trPr>
          <w:trHeight w:val="263"/>
        </w:trPr>
        <w:tc>
          <w:tcPr>
            <w:tcW w:w="2610" w:type="dxa"/>
            <w:tcBorders>
              <w:top w:val="nil"/>
              <w:bottom w:val="single" w:sz="8" w:space="0" w:color="auto"/>
            </w:tcBorders>
          </w:tcPr>
          <w:p w:rsidR="005031B5" w:rsidRPr="007C79A4" w:rsidRDefault="005031B5" w:rsidP="0019118A">
            <w:pPr>
              <w:rPr>
                <w:sz w:val="22"/>
                <w:szCs w:val="22"/>
              </w:rPr>
            </w:pPr>
            <w:r w:rsidRPr="007C79A4">
              <w:rPr>
                <w:sz w:val="22"/>
                <w:szCs w:val="22"/>
              </w:rPr>
              <w:t>Red-edge simple ratio (SRre)*</w:t>
            </w:r>
          </w:p>
        </w:tc>
        <w:tc>
          <w:tcPr>
            <w:tcW w:w="2520" w:type="dxa"/>
            <w:tcBorders>
              <w:top w:val="nil"/>
              <w:bottom w:val="single" w:sz="8" w:space="0" w:color="auto"/>
            </w:tcBorders>
          </w:tcPr>
          <w:p w:rsidR="005031B5" w:rsidRPr="007C79A4" w:rsidRDefault="005031B5" w:rsidP="0019118A">
            <w:pPr>
              <w:rPr>
                <w:i/>
                <w:sz w:val="22"/>
                <w:szCs w:val="22"/>
              </w:rPr>
            </w:pPr>
            <w:r w:rsidRPr="007C79A4">
              <w:rPr>
                <w:i/>
                <w:sz w:val="22"/>
                <w:szCs w:val="22"/>
              </w:rPr>
              <w:t>NIR/R-edge</w:t>
            </w:r>
          </w:p>
        </w:tc>
        <w:tc>
          <w:tcPr>
            <w:tcW w:w="4860" w:type="dxa"/>
            <w:tcBorders>
              <w:top w:val="nil"/>
              <w:bottom w:val="single" w:sz="8" w:space="0" w:color="auto"/>
              <w:right w:val="nil"/>
            </w:tcBorders>
          </w:tcPr>
          <w:p w:rsidR="005031B5" w:rsidRPr="007C79A4" w:rsidRDefault="005031B5" w:rsidP="0019118A">
            <w:pPr>
              <w:rPr>
                <w:sz w:val="22"/>
                <w:szCs w:val="22"/>
              </w:rPr>
            </w:pPr>
            <w:r w:rsidRPr="007C79A4">
              <w:rPr>
                <w:sz w:val="22"/>
                <w:szCs w:val="22"/>
              </w:rPr>
              <w:fldChar w:fldCharType="begin"/>
            </w:r>
            <w:r w:rsidRPr="007C79A4">
              <w:rPr>
                <w:sz w:val="22"/>
                <w:szCs w:val="22"/>
              </w:rPr>
              <w:instrText xml:space="preserve"> ADDIN EN.CITE &lt;EndNote&gt;&lt;Cite&gt;&lt;Author&gt;Gitelson&lt;/Author&gt;&lt;Year&gt;1994&lt;/Year&gt;&lt;RecNum&gt;34&lt;/RecNum&gt;&lt;DisplayText&gt;(Gitelson and Merzlyak, 1994)&lt;/DisplayText&gt;&lt;record&gt;&lt;rec-number&gt;34&lt;/rec-number&gt;&lt;foreign-keys&gt;&lt;key app="EN" db-id="avt5zxdwmd95ztexrs55fpzdw9axtr90rswe"&gt;34&lt;/key&gt;&lt;/foreign-keys&gt;&lt;ref-type name="Journal Article"&gt;17&lt;/ref-type&gt;&lt;contributors&gt;&lt;authors&gt;&lt;author&gt;Gitelson, Anatoly&lt;/author&gt;&lt;author&gt;Merzlyak, Mark N&lt;/author&gt;&lt;/authors&gt;&lt;/contributors&gt;&lt;titles&gt;&lt;title&gt;Spectral reflectance changes associated with autumn senescence of Aesculus hippocastanum L. and Acer platanoides L. leaves. Spectral features and relation to chlorophyll estimation&lt;/title&gt;&lt;secondary-title&gt;Journal of plant physiology&lt;/secondary-title&gt;&lt;/titles&gt;&lt;periodical&gt;&lt;full-title&gt;Journal of plant physiology&lt;/full-title&gt;&lt;/periodical&gt;&lt;pages&gt;286-292&lt;/pages&gt;&lt;volume&gt;143&lt;/volume&gt;&lt;number&gt;3&lt;/number&gt;&lt;dates&gt;&lt;year&gt;1994&lt;/year&gt;&lt;/dates&gt;&lt;isbn&gt;0176-1617&lt;/isbn&gt;&lt;urls&gt;&lt;/urls&gt;&lt;/record&gt;&lt;/Cite&gt;&lt;/EndNote&gt;</w:instrText>
            </w:r>
            <w:r w:rsidRPr="007C79A4">
              <w:rPr>
                <w:sz w:val="22"/>
                <w:szCs w:val="22"/>
              </w:rPr>
              <w:fldChar w:fldCharType="separate"/>
            </w:r>
            <w:r w:rsidRPr="007C79A4">
              <w:rPr>
                <w:noProof/>
                <w:sz w:val="22"/>
                <w:szCs w:val="22"/>
              </w:rPr>
              <w:t>(</w:t>
            </w:r>
            <w:hyperlink w:anchor="_ENREF_13" w:tooltip="Gitelson, 1994 #34" w:history="1">
              <w:r w:rsidRPr="007C79A4">
                <w:rPr>
                  <w:noProof/>
                  <w:sz w:val="22"/>
                  <w:szCs w:val="22"/>
                </w:rPr>
                <w:t>Gitelson and Merzlyak, 1994</w:t>
              </w:r>
            </w:hyperlink>
            <w:r w:rsidRPr="007C79A4">
              <w:rPr>
                <w:noProof/>
                <w:sz w:val="22"/>
                <w:szCs w:val="22"/>
              </w:rPr>
              <w:t>)</w:t>
            </w:r>
            <w:r w:rsidRPr="007C79A4">
              <w:rPr>
                <w:sz w:val="22"/>
                <w:szCs w:val="22"/>
              </w:rPr>
              <w:fldChar w:fldCharType="end"/>
            </w:r>
          </w:p>
        </w:tc>
      </w:tr>
      <w:tr w:rsidR="005031B5" w:rsidRPr="007C79A4" w:rsidTr="0019118A">
        <w:trPr>
          <w:trHeight w:val="263"/>
        </w:trPr>
        <w:tc>
          <w:tcPr>
            <w:tcW w:w="9990" w:type="dxa"/>
            <w:gridSpan w:val="3"/>
            <w:tcBorders>
              <w:top w:val="single" w:sz="8" w:space="0" w:color="auto"/>
              <w:bottom w:val="nil"/>
            </w:tcBorders>
          </w:tcPr>
          <w:p w:rsidR="005031B5" w:rsidRPr="007C79A4" w:rsidRDefault="005031B5" w:rsidP="0019118A">
            <w:pPr>
              <w:spacing w:line="240" w:lineRule="auto"/>
              <w:rPr>
                <w:b/>
                <w:bCs/>
                <w:iCs/>
                <w:sz w:val="22"/>
                <w:szCs w:val="22"/>
              </w:rPr>
            </w:pPr>
            <w:r w:rsidRPr="007C79A4">
              <w:rPr>
                <w:sz w:val="22"/>
                <w:szCs w:val="22"/>
                <w:lang w:bidi="en-US"/>
              </w:rPr>
              <w:t>Note: NIR is the near infrared band (</w:t>
            </w:r>
            <w:r w:rsidRPr="007C79A4">
              <w:rPr>
                <w:rFonts w:ascii="Calibri" w:hAnsi="Calibri"/>
                <w:sz w:val="22"/>
                <w:szCs w:val="22"/>
                <w:lang w:bidi="en-US"/>
              </w:rPr>
              <w:t xml:space="preserve"> ̴</w:t>
            </w:r>
            <w:r w:rsidRPr="007C79A4">
              <w:rPr>
                <w:sz w:val="22"/>
                <w:szCs w:val="22"/>
                <w:lang w:bidi="en-US"/>
              </w:rPr>
              <w:t xml:space="preserve">833 nm), R is red band ( </w:t>
            </w:r>
            <w:r w:rsidRPr="007C79A4">
              <w:rPr>
                <w:rFonts w:ascii="Calibri" w:hAnsi="Calibri"/>
                <w:sz w:val="22"/>
                <w:szCs w:val="22"/>
                <w:lang w:bidi="en-US"/>
              </w:rPr>
              <w:t>̴</w:t>
            </w:r>
            <w:r w:rsidRPr="007C79A4">
              <w:rPr>
                <w:sz w:val="22"/>
                <w:szCs w:val="22"/>
                <w:lang w:bidi="en-US"/>
              </w:rPr>
              <w:t xml:space="preserve">665 nm), G is green band ( </w:t>
            </w:r>
            <w:r w:rsidRPr="007C79A4">
              <w:rPr>
                <w:rFonts w:ascii="Calibri" w:hAnsi="Calibri"/>
                <w:sz w:val="22"/>
                <w:szCs w:val="22"/>
                <w:lang w:bidi="en-US"/>
              </w:rPr>
              <w:t>̴</w:t>
            </w:r>
            <w:r w:rsidRPr="007C79A4">
              <w:rPr>
                <w:sz w:val="22"/>
                <w:szCs w:val="22"/>
                <w:lang w:bidi="en-US"/>
              </w:rPr>
              <w:t xml:space="preserve">560 nm), L is the correction factor, for the higher vegetation density of mangrove forests L values of 0.75 are recommended </w:t>
            </w:r>
            <w:r w:rsidRPr="007C79A4">
              <w:rPr>
                <w:sz w:val="22"/>
                <w:szCs w:val="22"/>
                <w:lang w:bidi="en-US"/>
              </w:rPr>
              <w:fldChar w:fldCharType="begin"/>
            </w:r>
            <w:r w:rsidRPr="007C79A4">
              <w:rPr>
                <w:sz w:val="22"/>
                <w:szCs w:val="22"/>
                <w:lang w:bidi="en-US"/>
              </w:rPr>
              <w:instrText xml:space="preserve"> ADDIN EN.CITE &lt;EndNote&gt;&lt;Cite&gt;&lt;Author&gt;Huete&lt;/Author&gt;&lt;Year&gt;1988&lt;/Year&gt;&lt;RecNum&gt;32&lt;/RecNum&gt;&lt;DisplayText&gt;(Huete, 1988)&lt;/DisplayText&gt;&lt;record&gt;&lt;rec-number&gt;32&lt;/rec-number&gt;&lt;foreign-keys&gt;&lt;key app="EN" db-id="avt5zxdwmd95ztexrs55fpzdw9axtr90rswe"&gt;32&lt;/key&gt;&lt;/foreign-keys&gt;&lt;ref-type name="Generic"&gt;13&lt;/ref-type&gt;&lt;contributors&gt;&lt;authors&gt;&lt;author&gt;Huete, AR&lt;/author&gt;&lt;/authors&gt;&lt;/contributors&gt;&lt;titles&gt;&lt;title&gt;A Soil-Adjusted Vegetation Index (SAVI). Remote Ssensing of Environment, 25, 295-309&lt;/title&gt;&lt;/titles&gt;&lt;dates&gt;&lt;year&gt;1988&lt;/year&gt;&lt;/dates&gt;&lt;urls&gt;&lt;/urls&gt;&lt;/record&gt;&lt;/Cite&gt;&lt;/EndNote&gt;</w:instrText>
            </w:r>
            <w:r w:rsidRPr="007C79A4">
              <w:rPr>
                <w:sz w:val="22"/>
                <w:szCs w:val="22"/>
                <w:lang w:bidi="en-US"/>
              </w:rPr>
              <w:fldChar w:fldCharType="separate"/>
            </w:r>
            <w:r w:rsidRPr="007C79A4">
              <w:rPr>
                <w:noProof/>
                <w:sz w:val="22"/>
                <w:szCs w:val="22"/>
                <w:lang w:bidi="en-US"/>
              </w:rPr>
              <w:t>(</w:t>
            </w:r>
            <w:hyperlink w:anchor="_ENREF_22" w:tooltip="Huete, 1988 #32" w:history="1">
              <w:r w:rsidRPr="007C79A4">
                <w:rPr>
                  <w:noProof/>
                  <w:sz w:val="22"/>
                  <w:szCs w:val="22"/>
                  <w:lang w:bidi="en-US"/>
                </w:rPr>
                <w:t>Huete, 1988</w:t>
              </w:r>
            </w:hyperlink>
            <w:r w:rsidRPr="007C79A4">
              <w:rPr>
                <w:noProof/>
                <w:sz w:val="22"/>
                <w:szCs w:val="22"/>
                <w:lang w:bidi="en-US"/>
              </w:rPr>
              <w:t>)</w:t>
            </w:r>
            <w:r w:rsidRPr="007C79A4">
              <w:rPr>
                <w:sz w:val="22"/>
                <w:szCs w:val="22"/>
                <w:lang w:bidi="en-US"/>
              </w:rPr>
              <w:fldChar w:fldCharType="end"/>
            </w:r>
            <w:r w:rsidRPr="007C79A4">
              <w:rPr>
                <w:sz w:val="22"/>
                <w:szCs w:val="22"/>
                <w:lang w:bidi="en-US"/>
              </w:rPr>
              <w:t>, * is not applicable for Landsat 8 and SPOT-7.</w:t>
            </w:r>
          </w:p>
        </w:tc>
      </w:tr>
    </w:tbl>
    <w:p w:rsidR="00B10EC1" w:rsidRPr="00CB00F9" w:rsidRDefault="00B10EC1" w:rsidP="0097503E">
      <w:pPr>
        <w:pStyle w:val="MDPI38bullet"/>
      </w:pPr>
      <w:r w:rsidRPr="00CB00F9">
        <w:t xml:space="preserve">2.3.3. Calculation of biophysical variables </w:t>
      </w:r>
    </w:p>
    <w:p w:rsidR="00B10EC1" w:rsidRPr="00CB00F9" w:rsidRDefault="00B10EC1" w:rsidP="0097503E">
      <w:r w:rsidRPr="00CB00F9">
        <w:lastRenderedPageBreak/>
        <w:t xml:space="preserve">Biophysical variables are useful for biomass estimation as they describe the spatial distribution of vegetation state and dynamics </w:t>
      </w:r>
      <w:r w:rsidRPr="00CB00F9">
        <w:rPr>
          <w:noProof/>
        </w:rPr>
        <w:t>(</w:t>
      </w:r>
      <w:r w:rsidRPr="00CB00F9">
        <w:rPr>
          <w:noProof/>
          <w:color w:val="0070C0"/>
        </w:rPr>
        <w:t>Widlowski et al., 2004</w:t>
      </w:r>
      <w:r w:rsidRPr="00CB00F9">
        <w:rPr>
          <w:noProof/>
        </w:rPr>
        <w:t>)</w:t>
      </w:r>
      <w:r w:rsidRPr="00CB00F9">
        <w:t xml:space="preserve"> and are central to the use of multispectral remotely-sensed images to understand the correlation between the spectral reflectance of mangrove forests and their biophysical parameters </w:t>
      </w:r>
      <w:r w:rsidRPr="00CB00F9">
        <w:rPr>
          <w:noProof/>
        </w:rPr>
        <w:t>(</w:t>
      </w:r>
      <w:r w:rsidRPr="00CB00F9">
        <w:rPr>
          <w:noProof/>
          <w:color w:val="0070C0"/>
        </w:rPr>
        <w:t>Pham et al., 2019</w:t>
      </w:r>
      <w:r w:rsidRPr="00CB00F9">
        <w:rPr>
          <w:noProof/>
        </w:rPr>
        <w:t>)</w:t>
      </w:r>
      <w:r w:rsidRPr="00CB00F9">
        <w:t xml:space="preserve">. We selected Leaf Area Index (LAI), fraction of absorbed photosynthetically active radiation (fAPAR), fractional vegetation cover (FVC), and leaf chlorophyll content (Cla) because they are the most sensitive parameters for MAGB estimation </w:t>
      </w:r>
      <w:r w:rsidRPr="00CB00F9">
        <w:rPr>
          <w:noProof/>
        </w:rPr>
        <w:t>(</w:t>
      </w:r>
      <w:r w:rsidRPr="00CB00F9">
        <w:rPr>
          <w:noProof/>
          <w:color w:val="0070C0"/>
        </w:rPr>
        <w:t>Bilgili et al., 2010</w:t>
      </w:r>
      <w:r w:rsidRPr="00CB00F9">
        <w:rPr>
          <w:noProof/>
        </w:rPr>
        <w:t>)</w:t>
      </w:r>
      <w:r w:rsidRPr="00CB00F9">
        <w:t xml:space="preserve">. These were calculated using the built-in Biophysical processor within SNAP Toolbox </w:t>
      </w:r>
      <w:r w:rsidRPr="00CB00F9">
        <w:rPr>
          <w:noProof/>
        </w:rPr>
        <w:t>(</w:t>
      </w:r>
      <w:r w:rsidRPr="00CB00F9">
        <w:rPr>
          <w:noProof/>
          <w:color w:val="0070C0"/>
        </w:rPr>
        <w:t>Kganyago et al., 2020</w:t>
      </w:r>
      <w:r w:rsidRPr="00CB00F9">
        <w:rPr>
          <w:noProof/>
        </w:rPr>
        <w:t>)</w:t>
      </w:r>
      <w:r w:rsidRPr="00CB00F9">
        <w:t xml:space="preserve"> supporting Sentinel-2 and Landsat 8 images. Since SPOT images have no biophysical variables included in their products, we calculated the LAI, FVC and Cla using the following equations </w:t>
      </w:r>
      <w:r w:rsidRPr="00CB00F9">
        <w:rPr>
          <w:noProof/>
        </w:rPr>
        <w:t>(</w:t>
      </w:r>
      <w:r w:rsidRPr="00CB00F9">
        <w:rPr>
          <w:noProof/>
          <w:color w:val="0070C0"/>
        </w:rPr>
        <w:t>Ali et al., 2015</w:t>
      </w:r>
      <w:r w:rsidRPr="00CB00F9">
        <w:rPr>
          <w:noProof/>
        </w:rPr>
        <w:t>)</w:t>
      </w:r>
      <w:r w:rsidRPr="00CB00F9">
        <w:t>;</w:t>
      </w:r>
    </w:p>
    <w:p w:rsidR="00B10EC1" w:rsidRPr="00CB00F9" w:rsidRDefault="001A0E24" w:rsidP="0097503E">
      <w:pPr>
        <w:jc w:val="center"/>
        <w:rPr>
          <w:rFonts w:ascii="Cambria Math" w:hAnsi="Cambria Math"/>
        </w:rPr>
      </w:pPr>
      <m:oMath>
        <m:sSub>
          <m:sSubPr>
            <m:ctrlPr>
              <w:rPr>
                <w:rFonts w:ascii="Cambria Math" w:hAnsi="Cambria Math"/>
              </w:rPr>
            </m:ctrlPr>
          </m:sSubPr>
          <m:e>
            <m:r>
              <w:rPr>
                <w:rFonts w:ascii="Cambria Math" w:hAnsi="Cambria Math"/>
              </w:rPr>
              <m:t>LAI</m:t>
            </m:r>
          </m:e>
          <m:sub>
            <m:r>
              <w:rPr>
                <w:rFonts w:ascii="Cambria Math" w:hAnsi="Cambria Math"/>
              </w:rPr>
              <m:t>NDVI</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e>
            </m:func>
            <m:r>
              <m:rPr>
                <m:sty m:val="p"/>
              </m:rPr>
              <w:rPr>
                <w:rFonts w:ascii="Cambria Math" w:hAnsi="Cambria Math"/>
              </w:rPr>
              <m:t>1-</m:t>
            </m:r>
            <m:sSub>
              <m:sSubPr>
                <m:ctrlPr>
                  <w:rPr>
                    <w:rFonts w:ascii="Cambria Math" w:hAnsi="Cambria Math"/>
                  </w:rPr>
                </m:ctrlPr>
              </m:sSubPr>
              <m:e>
                <m:r>
                  <w:rPr>
                    <w:rFonts w:ascii="Cambria Math" w:hAnsi="Cambria Math"/>
                  </w:rPr>
                  <m:t>FVC</m:t>
                </m:r>
              </m:e>
              <m:sub>
                <m:r>
                  <w:rPr>
                    <w:rFonts w:ascii="Cambria Math" w:hAnsi="Cambria Math"/>
                  </w:rPr>
                  <m:t>NDVI</m:t>
                </m:r>
              </m:sub>
            </m:sSub>
            <m:r>
              <m:rPr>
                <m:sty m:val="p"/>
              </m:rPr>
              <w:rPr>
                <w:rFonts w:ascii="Cambria Math" w:hAnsi="Cambria Math"/>
              </w:rPr>
              <m:t>)</m:t>
            </m:r>
          </m:num>
          <m:den>
            <m:r>
              <w:rPr>
                <w:rFonts w:ascii="Cambria Math" w:hAnsi="Cambria Math"/>
              </w:rPr>
              <m:t>k</m:t>
            </m:r>
            <m:r>
              <m:rPr>
                <m:sty m:val="p"/>
              </m:rPr>
              <w:rPr>
                <w:rFonts w:ascii="Cambria Math" w:hAnsi="Cambria Math"/>
              </w:rPr>
              <m:t>(Ɵ)</m:t>
            </m:r>
          </m:den>
        </m:f>
      </m:oMath>
      <w:r w:rsidR="00B10EC1" w:rsidRPr="00CB00F9">
        <w:rPr>
          <w:rFonts w:ascii="Cambria Math" w:hAnsi="Cambria Math"/>
        </w:rPr>
        <w:t xml:space="preserve"> </w:t>
      </w:r>
      <w:r w:rsidR="00B10EC1" w:rsidRPr="00CB00F9">
        <w:rPr>
          <w:rFonts w:ascii="Cambria Math" w:hAnsi="Cambria Math"/>
        </w:rPr>
        <w:tab/>
      </w:r>
      <w:r w:rsidR="00B10EC1" w:rsidRPr="00CB00F9">
        <w:rPr>
          <w:rFonts w:ascii="Cambria Math" w:hAnsi="Cambria Math"/>
        </w:rPr>
        <w:tab/>
      </w:r>
      <w:r w:rsidR="00B10EC1" w:rsidRPr="008524D3">
        <w:t>(3)</w:t>
      </w:r>
    </w:p>
    <w:p w:rsidR="00B10EC1" w:rsidRPr="00CB00F9" w:rsidRDefault="00B10EC1" w:rsidP="0097503E">
      <w:r w:rsidRPr="00CB00F9">
        <w:t xml:space="preserve">Where </w:t>
      </w:r>
      <m:oMath>
        <m:sSub>
          <m:sSubPr>
            <m:ctrlPr>
              <w:rPr>
                <w:rFonts w:ascii="Cambria Math" w:hAnsi="Cambria Math"/>
              </w:rPr>
            </m:ctrlPr>
          </m:sSubPr>
          <m:e>
            <m:r>
              <w:rPr>
                <w:rFonts w:ascii="Cambria Math" w:hAnsi="Cambria Math"/>
              </w:rPr>
              <m:t>LAI</m:t>
            </m:r>
          </m:e>
          <m:sub>
            <m:r>
              <w:rPr>
                <w:rFonts w:ascii="Cambria Math" w:hAnsi="Cambria Math"/>
              </w:rPr>
              <m:t>NDVI</m:t>
            </m:r>
          </m:sub>
        </m:sSub>
      </m:oMath>
      <w:r w:rsidRPr="00CB00F9">
        <w:t xml:space="preserve"> is NDVI-derived leaf area index, </w:t>
      </w:r>
      <m:oMath>
        <m:sSub>
          <m:sSubPr>
            <m:ctrlPr>
              <w:rPr>
                <w:rFonts w:ascii="Cambria Math" w:hAnsi="Cambria Math"/>
              </w:rPr>
            </m:ctrlPr>
          </m:sSubPr>
          <m:e>
            <m:r>
              <w:rPr>
                <w:rFonts w:ascii="Cambria Math" w:hAnsi="Cambria Math"/>
              </w:rPr>
              <m:t>FVC</m:t>
            </m:r>
          </m:e>
          <m:sub>
            <m:r>
              <w:rPr>
                <w:rFonts w:ascii="Cambria Math" w:hAnsi="Cambria Math"/>
              </w:rPr>
              <m:t>NDVI</m:t>
            </m:r>
          </m:sub>
        </m:sSub>
      </m:oMath>
      <w:r w:rsidRPr="00CB00F9">
        <w:t xml:space="preserve"> is the fractional vegetation cover based on NDVI and k(</w:t>
      </w:r>
      <w:r w:rsidRPr="00CB00F9">
        <w:rPr>
          <w:rFonts w:ascii="Cambria" w:hAnsi="Cambria" w:cs="Cambria"/>
        </w:rPr>
        <w:t>Ɵ</w:t>
      </w:r>
      <w:r w:rsidRPr="00CB00F9">
        <w:t>) indicates the light extinction coefficient for a given solar zenith angle (range between 0.4 and 0.65)</w:t>
      </w:r>
      <w:r w:rsidR="00AA189B" w:rsidRPr="00CB00F9">
        <w:t xml:space="preserve"> and</w:t>
      </w:r>
      <w:r w:rsidR="00FF5188" w:rsidRPr="00CB00F9">
        <w:t xml:space="preserve"> set at </w:t>
      </w:r>
      <w:r w:rsidR="00AA189B" w:rsidRPr="00CB00F9">
        <w:t xml:space="preserve">value of </w:t>
      </w:r>
      <w:r w:rsidR="00FF5188" w:rsidRPr="00CB00F9">
        <w:t>0.5</w:t>
      </w:r>
      <w:r w:rsidRPr="00CB00F9">
        <w:t xml:space="preserve">. The </w:t>
      </w:r>
      <m:oMath>
        <m:sSub>
          <m:sSubPr>
            <m:ctrlPr>
              <w:rPr>
                <w:rFonts w:ascii="Cambria Math" w:hAnsi="Cambria Math"/>
              </w:rPr>
            </m:ctrlPr>
          </m:sSubPr>
          <m:e>
            <m:r>
              <w:rPr>
                <w:rFonts w:ascii="Cambria Math" w:hAnsi="Cambria Math"/>
              </w:rPr>
              <m:t>FVC</m:t>
            </m:r>
          </m:e>
          <m:sub>
            <m:r>
              <w:rPr>
                <w:rFonts w:ascii="Cambria Math" w:hAnsi="Cambria Math"/>
              </w:rPr>
              <m:t>NDVI</m:t>
            </m:r>
          </m:sub>
        </m:sSub>
      </m:oMath>
      <w:r w:rsidRPr="00CB00F9">
        <w:t xml:space="preserve"> in equation 3 is solved by equation 4.</w:t>
      </w:r>
    </w:p>
    <w:p w:rsidR="00B10EC1" w:rsidRPr="00CB00F9" w:rsidRDefault="001A0E24" w:rsidP="0097503E">
      <w:pPr>
        <w:jc w:val="center"/>
        <w:rPr>
          <w:rFonts w:ascii="Cambria Math" w:hAnsi="Cambria Math"/>
        </w:rPr>
      </w:pPr>
      <m:oMath>
        <m:sSub>
          <m:sSubPr>
            <m:ctrlPr>
              <w:rPr>
                <w:rFonts w:ascii="Cambria Math" w:hAnsi="Cambria Math"/>
              </w:rPr>
            </m:ctrlPr>
          </m:sSubPr>
          <m:e>
            <m:r>
              <w:rPr>
                <w:rFonts w:ascii="Cambria Math" w:hAnsi="Cambria Math"/>
              </w:rPr>
              <m:t>FVC</m:t>
            </m:r>
          </m:e>
          <m:sub>
            <m:r>
              <w:rPr>
                <w:rFonts w:ascii="Cambria Math" w:hAnsi="Cambria Math"/>
              </w:rPr>
              <m:t>NDVI</m:t>
            </m:r>
          </m:sub>
        </m:sSub>
        <m:r>
          <m:rPr>
            <m:sty m:val="p"/>
          </m:rPr>
          <w:rPr>
            <w:rFonts w:ascii="Cambria Math" w:hAnsi="Cambria Math"/>
          </w:rPr>
          <m:t>=</m:t>
        </m:r>
        <m:f>
          <m:fPr>
            <m:ctrlPr>
              <w:rPr>
                <w:rFonts w:ascii="Cambria Math" w:hAnsi="Cambria Math"/>
              </w:rPr>
            </m:ctrlPr>
          </m:fPr>
          <m:num>
            <m:r>
              <w:rPr>
                <w:rFonts w:ascii="Cambria Math" w:hAnsi="Cambria Math"/>
              </w:rPr>
              <m:t>NDVI</m:t>
            </m:r>
            <m:r>
              <m:rPr>
                <m:sty m:val="p"/>
              </m:rPr>
              <w:rPr>
                <w:rFonts w:ascii="Cambria Math" w:hAnsi="Cambria Math"/>
              </w:rPr>
              <m:t>-</m:t>
            </m:r>
            <m:sSub>
              <m:sSubPr>
                <m:ctrlPr>
                  <w:rPr>
                    <w:rFonts w:ascii="Cambria Math" w:hAnsi="Cambria Math"/>
                  </w:rPr>
                </m:ctrlPr>
              </m:sSubPr>
              <m:e>
                <m:r>
                  <w:rPr>
                    <w:rFonts w:ascii="Cambria Math" w:hAnsi="Cambria Math"/>
                  </w:rPr>
                  <m:t>NDVI</m:t>
                </m:r>
              </m:e>
              <m:sub>
                <m:r>
                  <w:rPr>
                    <w:rFonts w:ascii="Cambria Math" w:hAnsi="Cambria Math"/>
                  </w:rPr>
                  <m:t>s</m:t>
                </m:r>
              </m:sub>
            </m:sSub>
          </m:num>
          <m:den>
            <m:sSub>
              <m:sSubPr>
                <m:ctrlPr>
                  <w:rPr>
                    <w:rFonts w:ascii="Cambria Math" w:hAnsi="Cambria Math"/>
                  </w:rPr>
                </m:ctrlPr>
              </m:sSubPr>
              <m:e>
                <m:r>
                  <w:rPr>
                    <w:rFonts w:ascii="Cambria Math" w:hAnsi="Cambria Math"/>
                  </w:rPr>
                  <m:t>NDVI</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NDVI</m:t>
                </m:r>
              </m:e>
              <m:sub>
                <m:r>
                  <w:rPr>
                    <w:rFonts w:ascii="Cambria Math" w:hAnsi="Cambria Math"/>
                  </w:rPr>
                  <m:t>s</m:t>
                </m:r>
              </m:sub>
            </m:sSub>
          </m:den>
        </m:f>
      </m:oMath>
      <w:r w:rsidR="00B10EC1" w:rsidRPr="00CB00F9">
        <w:rPr>
          <w:rFonts w:ascii="Cambria Math" w:hAnsi="Cambria Math"/>
        </w:rPr>
        <w:t xml:space="preserve">    </w:t>
      </w:r>
      <w:r w:rsidR="00B10EC1" w:rsidRPr="00CB00F9">
        <w:rPr>
          <w:rFonts w:ascii="Cambria Math" w:hAnsi="Cambria Math"/>
        </w:rPr>
        <w:tab/>
      </w:r>
      <w:r w:rsidR="00B10EC1" w:rsidRPr="00CB00F9">
        <w:rPr>
          <w:rFonts w:ascii="Cambria Math" w:hAnsi="Cambria Math"/>
        </w:rPr>
        <w:tab/>
      </w:r>
      <w:r w:rsidR="00B10EC1" w:rsidRPr="00CB00F9">
        <w:rPr>
          <w:rFonts w:ascii="Cambria Math" w:hAnsi="Cambria Math"/>
        </w:rPr>
        <w:tab/>
        <w:t xml:space="preserve"> </w:t>
      </w:r>
      <w:r w:rsidR="00B10EC1" w:rsidRPr="008524D3">
        <w:t>(4)</w:t>
      </w:r>
    </w:p>
    <w:p w:rsidR="00B10EC1" w:rsidRPr="00CB00F9" w:rsidRDefault="00B10EC1" w:rsidP="0097503E">
      <w:r w:rsidRPr="00CB00F9">
        <w:t xml:space="preserve">Where </w:t>
      </w:r>
      <m:oMath>
        <m:sSub>
          <m:sSubPr>
            <m:ctrlPr>
              <w:rPr>
                <w:rFonts w:ascii="Cambria Math" w:hAnsi="Cambria Math"/>
              </w:rPr>
            </m:ctrlPr>
          </m:sSubPr>
          <m:e>
            <m:r>
              <w:rPr>
                <w:rFonts w:ascii="Cambria Math" w:hAnsi="Cambria Math"/>
              </w:rPr>
              <m:t>NDVI</m:t>
            </m:r>
          </m:e>
          <m:sub>
            <m:r>
              <w:rPr>
                <w:rFonts w:ascii="Cambria Math" w:hAnsi="Cambria Math"/>
              </w:rPr>
              <m:t>s</m:t>
            </m:r>
          </m:sub>
        </m:sSub>
      </m:oMath>
      <w:r w:rsidRPr="00CB00F9">
        <w:t xml:space="preserve"> is NDVI for bare soil and </w:t>
      </w:r>
      <m:oMath>
        <m:sSub>
          <m:sSubPr>
            <m:ctrlPr>
              <w:rPr>
                <w:rFonts w:ascii="Cambria Math" w:hAnsi="Cambria Math"/>
              </w:rPr>
            </m:ctrlPr>
          </m:sSubPr>
          <m:e>
            <m:r>
              <w:rPr>
                <w:rFonts w:ascii="Cambria Math" w:hAnsi="Cambria Math"/>
              </w:rPr>
              <m:t>NDVI</m:t>
            </m:r>
          </m:e>
          <m:sub>
            <m:r>
              <w:rPr>
                <w:rFonts w:ascii="Cambria Math" w:hAnsi="Cambria Math"/>
              </w:rPr>
              <m:t>v</m:t>
            </m:r>
          </m:sub>
        </m:sSub>
      </m:oMath>
      <w:r w:rsidRPr="00CB00F9">
        <w:t xml:space="preserve"> is NDVI for vegetated land.</w:t>
      </w:r>
    </w:p>
    <w:p w:rsidR="00B10EC1" w:rsidRPr="00CB00F9" w:rsidRDefault="00B10EC1" w:rsidP="0097503E">
      <w:r w:rsidRPr="00CB00F9">
        <w:t>Chlorophyll-a green (Cla</w:t>
      </w:r>
      <w:r w:rsidRPr="00CB00F9">
        <w:rPr>
          <w:vertAlign w:val="subscript"/>
        </w:rPr>
        <w:t>Green</w:t>
      </w:r>
      <w:r w:rsidRPr="00CB00F9">
        <w:t xml:space="preserve">) was obtained using the Green Chlorophyll Index model (CIGREEN) developed by Gitelson </w:t>
      </w:r>
      <w:r w:rsidR="008E3188">
        <w:t>et al.</w:t>
      </w:r>
      <w:r w:rsidRPr="00CB00F9">
        <w:t xml:space="preserve"> </w:t>
      </w:r>
      <w:r w:rsidRPr="00CB00F9">
        <w:rPr>
          <w:noProof/>
        </w:rPr>
        <w:t>(</w:t>
      </w:r>
      <w:r w:rsidRPr="00CB00F9">
        <w:rPr>
          <w:noProof/>
          <w:color w:val="0070C0"/>
        </w:rPr>
        <w:t>2003</w:t>
      </w:r>
      <w:r w:rsidRPr="00CB00F9">
        <w:rPr>
          <w:noProof/>
        </w:rPr>
        <w:t>)</w:t>
      </w:r>
      <w:r w:rsidRPr="00CB00F9">
        <w:t xml:space="preserve"> for comparison with the Sentinel-2.</w:t>
      </w:r>
    </w:p>
    <w:p w:rsidR="00B10EC1" w:rsidRPr="00CB00F9" w:rsidRDefault="001A0E24" w:rsidP="0097503E">
      <w:pPr>
        <w:jc w:val="center"/>
        <w:rPr>
          <w:rFonts w:ascii="Cambria Math" w:hAnsi="Cambria Math"/>
        </w:rPr>
      </w:pPr>
      <m:oMath>
        <m:sSub>
          <m:sSubPr>
            <m:ctrlPr>
              <w:rPr>
                <w:rFonts w:ascii="Cambria Math" w:hAnsi="Cambria Math"/>
              </w:rPr>
            </m:ctrlPr>
          </m:sSubPr>
          <m:e>
            <m:r>
              <w:rPr>
                <w:rFonts w:ascii="Cambria Math" w:hAnsi="Cambria Math"/>
              </w:rPr>
              <m:t>CL</m:t>
            </m:r>
          </m:e>
          <m:sub>
            <m:r>
              <w:rPr>
                <w:rFonts w:ascii="Cambria Math" w:hAnsi="Cambria Math"/>
              </w:rPr>
              <m:t>aGreen</m:t>
            </m:r>
          </m:sub>
        </m:sSub>
        <m:r>
          <m:rPr>
            <m:sty m:val="p"/>
          </m:rPr>
          <w:rPr>
            <w:rFonts w:ascii="Cambria Math" w:hAnsi="Cambria Math"/>
          </w:rPr>
          <m:t>=</m:t>
        </m:r>
        <m:d>
          <m:dPr>
            <m:ctrlPr>
              <w:rPr>
                <w:rFonts w:ascii="Cambria Math" w:hAnsi="Cambria Math"/>
              </w:rPr>
            </m:ctrlPr>
          </m:dPr>
          <m:e>
            <m:r>
              <w:rPr>
                <w:rFonts w:ascii="Cambria Math" w:hAnsi="Cambria Math"/>
              </w:rPr>
              <m:t>NIR</m:t>
            </m:r>
            <m:r>
              <m:rPr>
                <m:sty m:val="p"/>
              </m:rPr>
              <w:rPr>
                <w:rFonts w:ascii="Cambria Math" w:hAnsi="Cambria Math"/>
              </w:rPr>
              <m:t>-</m:t>
            </m:r>
            <m:r>
              <w:rPr>
                <w:rFonts w:ascii="Cambria Math" w:hAnsi="Cambria Math"/>
              </w:rPr>
              <m:t>Green</m:t>
            </m:r>
          </m:e>
        </m:d>
        <m:r>
          <m:rPr>
            <m:sty m:val="p"/>
          </m:rPr>
          <w:rPr>
            <w:rFonts w:ascii="Cambria Math" w:hAnsi="Cambria Math"/>
          </w:rPr>
          <m:t>-1</m:t>
        </m:r>
      </m:oMath>
      <w:r w:rsidR="00B10EC1" w:rsidRPr="00CB00F9">
        <w:rPr>
          <w:rFonts w:ascii="Cambria Math" w:hAnsi="Cambria Math"/>
        </w:rPr>
        <w:t xml:space="preserve"> </w:t>
      </w:r>
      <w:r w:rsidR="00B10EC1" w:rsidRPr="00CB00F9">
        <w:rPr>
          <w:rFonts w:ascii="Cambria Math" w:hAnsi="Cambria Math"/>
        </w:rPr>
        <w:tab/>
      </w:r>
      <w:r w:rsidR="00B10EC1" w:rsidRPr="00CB00F9">
        <w:rPr>
          <w:rFonts w:ascii="Cambria Math" w:hAnsi="Cambria Math"/>
        </w:rPr>
        <w:tab/>
      </w:r>
      <w:r w:rsidR="00B10EC1" w:rsidRPr="008524D3">
        <w:t>(5)</w:t>
      </w:r>
    </w:p>
    <w:p w:rsidR="00B10EC1" w:rsidRPr="00CB00F9" w:rsidRDefault="00B10EC1" w:rsidP="0097503E">
      <w:r w:rsidRPr="00CB00F9">
        <w:t>Where Green is the green band (0.530 µm – 0.590 µm) of the SPOT-7 and Landsat 8 image.</w:t>
      </w:r>
    </w:p>
    <w:p w:rsidR="00B10EC1" w:rsidRPr="00CB00F9" w:rsidRDefault="00B10EC1" w:rsidP="0097503E">
      <w:r w:rsidRPr="00CB00F9">
        <w:t xml:space="preserve">The SPOT-7 fAPAR was computed from the leaf area index (LAI) using equation (6) suggested by </w:t>
      </w:r>
      <w:r w:rsidRPr="008524D3">
        <w:t xml:space="preserve">Yuan et al. </w:t>
      </w:r>
      <w:r w:rsidR="000E684A" w:rsidRPr="008524D3">
        <w:t>(</w:t>
      </w:r>
      <w:r w:rsidRPr="00CB00F9">
        <w:rPr>
          <w:noProof/>
          <w:color w:val="0070C0"/>
        </w:rPr>
        <w:t>2015</w:t>
      </w:r>
      <w:r w:rsidRPr="00CB00F9">
        <w:rPr>
          <w:noProof/>
        </w:rPr>
        <w:t>)</w:t>
      </w:r>
      <w:r w:rsidRPr="00CB00F9">
        <w:t>:</w:t>
      </w:r>
    </w:p>
    <w:p w:rsidR="00B10EC1" w:rsidRPr="008524D3" w:rsidRDefault="00B10EC1" w:rsidP="0097503E">
      <w:pPr>
        <w:jc w:val="center"/>
        <w:rPr>
          <w:rFonts w:ascii="Cambria Math" w:hAnsi="Cambria Math"/>
          <w:lang w:val="de-DE"/>
        </w:rPr>
      </w:pPr>
      <m:oMath>
        <m:r>
          <m:rPr>
            <m:sty m:val="p"/>
          </m:rPr>
          <w:rPr>
            <w:rFonts w:ascii="Cambria Math" w:hAnsi="Cambria Math"/>
            <w:lang w:val="de-DE"/>
          </w:rPr>
          <m:t>fAPAR=0.2058*ln</m:t>
        </m:r>
        <m:d>
          <m:dPr>
            <m:ctrlPr>
              <w:rPr>
                <w:rFonts w:ascii="Cambria Math" w:hAnsi="Cambria Math"/>
              </w:rPr>
            </m:ctrlPr>
          </m:dPr>
          <m:e>
            <m:r>
              <w:rPr>
                <w:rFonts w:ascii="Cambria Math" w:hAnsi="Cambria Math"/>
              </w:rPr>
              <m:t>LAI</m:t>
            </m:r>
          </m:e>
        </m:d>
        <m:r>
          <m:rPr>
            <m:sty m:val="p"/>
          </m:rPr>
          <w:rPr>
            <w:rFonts w:ascii="Cambria Math" w:hAnsi="Cambria Math"/>
            <w:lang w:val="de-DE"/>
          </w:rPr>
          <m:t>+0.5378</m:t>
        </m:r>
      </m:oMath>
      <w:r w:rsidRPr="008524D3">
        <w:rPr>
          <w:rFonts w:ascii="Cambria Math" w:hAnsi="Cambria Math"/>
          <w:lang w:val="de-DE"/>
        </w:rPr>
        <w:t xml:space="preserve"> </w:t>
      </w:r>
      <w:r w:rsidRPr="008524D3">
        <w:rPr>
          <w:rFonts w:ascii="Cambria Math" w:hAnsi="Cambria Math"/>
          <w:lang w:val="de-DE"/>
        </w:rPr>
        <w:tab/>
      </w:r>
      <w:r w:rsidRPr="008524D3">
        <w:rPr>
          <w:rFonts w:ascii="Cambria Math" w:hAnsi="Cambria Math"/>
          <w:lang w:val="de-DE"/>
        </w:rPr>
        <w:tab/>
      </w:r>
      <w:r w:rsidRPr="008524D3">
        <w:t>(6)</w:t>
      </w:r>
    </w:p>
    <w:p w:rsidR="00B10EC1" w:rsidRPr="008524D3" w:rsidRDefault="00B10EC1" w:rsidP="0097503E">
      <w:pPr>
        <w:pStyle w:val="MDPI38bullet"/>
        <w:rPr>
          <w:lang w:val="de-DE"/>
        </w:rPr>
      </w:pPr>
      <w:r w:rsidRPr="008524D3">
        <w:rPr>
          <w:lang w:val="de-DE"/>
        </w:rPr>
        <w:t>2.3.4. MAGB models</w:t>
      </w:r>
    </w:p>
    <w:p w:rsidR="00B10EC1" w:rsidRPr="00CB00F9" w:rsidRDefault="00B10EC1" w:rsidP="0097503E">
      <w:pPr>
        <w:pStyle w:val="ListParagraph"/>
        <w:numPr>
          <w:ilvl w:val="0"/>
          <w:numId w:val="3"/>
        </w:numPr>
        <w:rPr>
          <w:i/>
        </w:rPr>
      </w:pPr>
      <w:r w:rsidRPr="00CB00F9">
        <w:rPr>
          <w:i/>
        </w:rPr>
        <w:t>Linear and multiple linear regression models</w:t>
      </w:r>
    </w:p>
    <w:p w:rsidR="00B10EC1" w:rsidRPr="00CB00F9" w:rsidRDefault="00B10EC1" w:rsidP="0097503E">
      <w:r w:rsidRPr="00CB00F9">
        <w:t xml:space="preserve">A linear regression is a simple but effective method to estimate MAGB, not only of mangrove forest but other types of vegetation, based on linear correlation between a single remote sensing band layer or other indices and the target variable (MAGB etc.). Relationships between a response variable </w:t>
      </w:r>
      <w:r w:rsidRPr="00CB00F9">
        <w:rPr>
          <w:rFonts w:ascii="Cambria Math" w:hAnsi="Cambria Math" w:cs="Cambria Math"/>
        </w:rPr>
        <w:t>𝑦</w:t>
      </w:r>
      <w:r w:rsidRPr="00CB00F9">
        <w:t xml:space="preserve">, and a single explanatory variable </w:t>
      </w:r>
      <w:r w:rsidRPr="00CB00F9">
        <w:rPr>
          <w:rFonts w:ascii="Cambria Math" w:hAnsi="Cambria Math" w:cs="Cambria Math"/>
        </w:rPr>
        <w:t>𝑥</w:t>
      </w:r>
      <w:r w:rsidRPr="00CB00F9">
        <w:t xml:space="preserve">, given a set of data that includes observations for both of these variables for a particular sample, is estimated by a simple linear regression </w:t>
      </w:r>
      <w:r w:rsidRPr="00CB00F9">
        <w:rPr>
          <w:noProof/>
        </w:rPr>
        <w:t>(</w:t>
      </w:r>
      <w:r w:rsidRPr="00CB00F9">
        <w:rPr>
          <w:noProof/>
          <w:color w:val="0070C0"/>
        </w:rPr>
        <w:t>Tranmer and Elliot, 2008</w:t>
      </w:r>
      <w:r w:rsidRPr="00CB00F9">
        <w:rPr>
          <w:noProof/>
        </w:rPr>
        <w:t>)</w:t>
      </w:r>
      <w:r w:rsidRPr="00CB00F9">
        <w:t>. For example, the above ground biomass of mangrove forest</w:t>
      </w:r>
      <m:oMath>
        <m:r>
          <w:rPr>
            <w:rFonts w:ascii="Cambria Math" w:hAnsi="Cambria Math"/>
          </w:rPr>
          <m:t xml:space="preserve"> (MAGB) </m:t>
        </m:r>
      </m:oMath>
      <w:r w:rsidRPr="00CB00F9">
        <w:t>as a response variable can be predicted from examination of the results of the calculation of vegetation indices or by using a single reflectance band from remote sensed images - the explanatory variable (</w:t>
      </w:r>
      <m:oMath>
        <m:sSub>
          <m:sSubPr>
            <m:ctrlPr>
              <w:rPr>
                <w:rFonts w:ascii="Cambria Math" w:hAnsi="Cambria Math"/>
              </w:rPr>
            </m:ctrlPr>
          </m:sSubPr>
          <m:e>
            <m:r>
              <w:rPr>
                <w:rFonts w:ascii="Cambria Math" w:hAnsi="Cambria Math"/>
              </w:rPr>
              <m:t>V</m:t>
            </m:r>
          </m:e>
          <m:sub>
            <m:r>
              <w:rPr>
                <w:rFonts w:ascii="Cambria Math" w:hAnsi="Cambria Math"/>
              </w:rPr>
              <m:t>i</m:t>
            </m:r>
          </m:sub>
        </m:sSub>
      </m:oMath>
      <w:r w:rsidRPr="00CB00F9">
        <w:t>).</w:t>
      </w:r>
    </w:p>
    <w:p w:rsidR="00B10EC1" w:rsidRPr="00CB00F9" w:rsidRDefault="00B10EC1" w:rsidP="0097503E">
      <w:pPr>
        <w:jc w:val="center"/>
        <w:rPr>
          <w:rFonts w:ascii="Cambria Math" w:hAnsi="Cambria Math"/>
        </w:rPr>
      </w:pPr>
      <m:oMath>
        <m:r>
          <w:rPr>
            <w:rFonts w:ascii="Cambria Math" w:hAnsi="Cambria Math"/>
          </w:rPr>
          <m:t>MAGB</m:t>
        </m:r>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oMath>
      <w:r w:rsidRPr="00CB00F9">
        <w:rPr>
          <w:rFonts w:ascii="Cambria Math" w:hAnsi="Cambria Math"/>
        </w:rPr>
        <w:tab/>
      </w:r>
      <w:r w:rsidRPr="00CB00F9">
        <w:rPr>
          <w:rFonts w:ascii="Cambria Math" w:hAnsi="Cambria Math"/>
        </w:rPr>
        <w:tab/>
      </w:r>
      <w:r w:rsidRPr="00CB00F9">
        <w:rPr>
          <w:rFonts w:ascii="Cambria Math" w:hAnsi="Cambria Math"/>
        </w:rPr>
        <w:tab/>
      </w:r>
      <w:r w:rsidRPr="008524D3">
        <w:t>(7)</w:t>
      </w:r>
    </w:p>
    <w:p w:rsidR="00B10EC1" w:rsidRPr="00CB00F9" w:rsidRDefault="00B10EC1" w:rsidP="0097503E">
      <w:r w:rsidRPr="00CB00F9">
        <w:t xml:space="preserve">Where </w:t>
      </w:r>
      <m:oMath>
        <m:sSub>
          <m:sSubPr>
            <m:ctrlPr>
              <w:rPr>
                <w:rFonts w:ascii="Cambria Math" w:hAnsi="Cambria Math"/>
              </w:rPr>
            </m:ctrlPr>
          </m:sSubPr>
          <m:e>
            <m:r>
              <w:rPr>
                <w:rFonts w:ascii="Cambria Math" w:hAnsi="Cambria Math"/>
              </w:rPr>
              <m:t>β</m:t>
            </m:r>
          </m:e>
          <m:sub>
            <m:r>
              <m:rPr>
                <m:sty m:val="p"/>
              </m:rPr>
              <w:rPr>
                <w:rFonts w:ascii="Cambria Math" w:hAnsi="Cambria Math"/>
              </w:rPr>
              <m:t>0</m:t>
            </m:r>
          </m:sub>
        </m:sSub>
      </m:oMath>
      <w:r w:rsidRPr="00CB00F9">
        <w:t xml:space="preserve"> is the intercept also called the constant.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CB00F9">
        <w:t xml:space="preserve"> is the slope of the line – this is how much the value of </w:t>
      </w:r>
      <m:oMath>
        <m:r>
          <w:rPr>
            <w:rFonts w:ascii="Cambria Math" w:hAnsi="Cambria Math"/>
          </w:rPr>
          <m:t>MAGB</m:t>
        </m:r>
      </m:oMath>
      <w:r w:rsidRPr="00CB00F9">
        <w:t xml:space="preserve"> increases and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CB00F9">
        <w:t xml:space="preserve"> is the error term for the explanatory variable (</w:t>
      </w:r>
      <m:oMath>
        <m:sSub>
          <m:sSubPr>
            <m:ctrlPr>
              <w:rPr>
                <w:rFonts w:ascii="Cambria Math" w:hAnsi="Cambria Math"/>
              </w:rPr>
            </m:ctrlPr>
          </m:sSubPr>
          <m:e>
            <m:r>
              <w:rPr>
                <w:rFonts w:ascii="Cambria Math" w:hAnsi="Cambria Math"/>
              </w:rPr>
              <m:t>V</m:t>
            </m:r>
          </m:e>
          <m:sub>
            <m:r>
              <w:rPr>
                <w:rFonts w:ascii="Cambria Math" w:hAnsi="Cambria Math"/>
              </w:rPr>
              <m:t>i</m:t>
            </m:r>
          </m:sub>
        </m:sSub>
      </m:oMath>
      <w:r w:rsidRPr="00CB00F9">
        <w:t>).</w:t>
      </w:r>
    </w:p>
    <w:p w:rsidR="00B10EC1" w:rsidRPr="00CB00F9" w:rsidRDefault="00B10EC1" w:rsidP="0097503E">
      <w:r w:rsidRPr="00CB00F9">
        <w:t>More than one explanatory variable (</w:t>
      </w:r>
      <m:oMath>
        <m:sSub>
          <m:sSubPr>
            <m:ctrlPr>
              <w:rPr>
                <w:rFonts w:ascii="Cambria Math" w:hAnsi="Cambria Math"/>
              </w:rPr>
            </m:ctrlPr>
          </m:sSubPr>
          <m:e>
            <m:r>
              <w:rPr>
                <w:rFonts w:ascii="Cambria Math" w:hAnsi="Cambria Math"/>
              </w:rPr>
              <m:t>V</m:t>
            </m:r>
          </m:e>
          <m:sub>
            <m:r>
              <w:rPr>
                <w:rFonts w:ascii="Cambria Math" w:hAnsi="Cambria Math"/>
              </w:rPr>
              <m:t>ni</m:t>
            </m:r>
          </m:sub>
        </m:sSub>
      </m:oMath>
      <w:r w:rsidRPr="00CB00F9">
        <w:t xml:space="preserve">) is included in multiple linear regression (MLR) </w:t>
      </w:r>
      <w:r w:rsidRPr="00CB00F9">
        <w:rPr>
          <w:noProof/>
        </w:rPr>
        <w:t>(Tranmer and Elliot, 2008, Marill, 2004)</w:t>
      </w:r>
      <w:r w:rsidRPr="00CB00F9">
        <w:t xml:space="preserve"> to estimate a single dependent outcome variable </w:t>
      </w:r>
      <m:oMath>
        <m:sSub>
          <m:sSubPr>
            <m:ctrlPr>
              <w:rPr>
                <w:rFonts w:ascii="Cambria Math" w:hAnsi="Cambria Math"/>
              </w:rPr>
            </m:ctrlPr>
          </m:sSubPr>
          <m:e>
            <m:r>
              <w:rPr>
                <w:rFonts w:ascii="Cambria Math" w:hAnsi="Cambria Math"/>
              </w:rPr>
              <m:t>MAGB</m:t>
            </m:r>
          </m:e>
          <m:sub>
            <m:r>
              <w:rPr>
                <w:rFonts w:ascii="Cambria Math" w:hAnsi="Cambria Math"/>
              </w:rPr>
              <m:t>i</m:t>
            </m:r>
          </m:sub>
        </m:sSub>
      </m:oMath>
      <w:r w:rsidRPr="00CB00F9">
        <w:t xml:space="preserve"> and each linear regression has its own slope (</w:t>
      </w:r>
      <m:oMath>
        <m:sSub>
          <m:sSubPr>
            <m:ctrlPr>
              <w:rPr>
                <w:rFonts w:ascii="Cambria Math" w:hAnsi="Cambria Math"/>
              </w:rPr>
            </m:ctrlPr>
          </m:sSubPr>
          <m:e>
            <m:r>
              <w:rPr>
                <w:rFonts w:ascii="Cambria Math" w:hAnsi="Cambria Math"/>
              </w:rPr>
              <m:t>β</m:t>
            </m:r>
          </m:e>
          <m:sub>
            <m:r>
              <m:rPr>
                <m:sty m:val="p"/>
              </m:rPr>
              <w:rPr>
                <w:rFonts w:ascii="Cambria Math" w:hAnsi="Cambria Math"/>
              </w:rPr>
              <m:t>1,2…n</m:t>
            </m:r>
          </m:sub>
        </m:sSub>
      </m:oMath>
      <w:r w:rsidRPr="00CB00F9">
        <w:t>).</w:t>
      </w:r>
    </w:p>
    <w:p w:rsidR="00B10EC1" w:rsidRPr="00CB00F9" w:rsidRDefault="00B10EC1" w:rsidP="0097503E">
      <w:pPr>
        <w:jc w:val="center"/>
        <w:rPr>
          <w:rFonts w:ascii="Cambria Math" w:hAnsi="Cambria Math"/>
        </w:rPr>
      </w:pPr>
      <m:oMath>
        <m:r>
          <w:rPr>
            <w:rFonts w:ascii="Cambria Math" w:hAnsi="Cambria Math"/>
          </w:rPr>
          <w:lastRenderedPageBreak/>
          <m:t>MAGB</m:t>
        </m:r>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1i</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2i</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i</m:t>
            </m:r>
          </m:sub>
        </m:sSub>
      </m:oMath>
      <w:r w:rsidRPr="00CB00F9">
        <w:rPr>
          <w:rFonts w:ascii="Cambria Math" w:hAnsi="Cambria Math"/>
        </w:rPr>
        <w:tab/>
      </w:r>
      <w:r w:rsidRPr="008524D3">
        <w:t>(8)</w:t>
      </w:r>
    </w:p>
    <w:p w:rsidR="00B10EC1" w:rsidRPr="00CB00F9" w:rsidRDefault="00B10EC1" w:rsidP="0097503E">
      <w:r w:rsidRPr="00CB00F9">
        <w:t>In this study, we grouped explanatory variables (</w:t>
      </w:r>
      <m:oMath>
        <m:sSub>
          <m:sSubPr>
            <m:ctrlPr>
              <w:rPr>
                <w:rFonts w:ascii="Cambria Math" w:hAnsi="Cambria Math"/>
              </w:rPr>
            </m:ctrlPr>
          </m:sSubPr>
          <m:e>
            <m:r>
              <w:rPr>
                <w:rFonts w:ascii="Cambria Math" w:hAnsi="Cambria Math"/>
              </w:rPr>
              <m:t>V</m:t>
            </m:r>
          </m:e>
          <m:sub>
            <m:r>
              <w:rPr>
                <w:rFonts w:ascii="Cambria Math" w:hAnsi="Cambria Math"/>
              </w:rPr>
              <m:t>ni</m:t>
            </m:r>
          </m:sub>
        </m:sSub>
      </m:oMath>
      <w:r w:rsidRPr="00CB00F9">
        <w:t>) into three groups of vegetation indices and biophysical variables for Sentinel-2, Landsat-8 and SPOT-7 and two dual polarizations HH and VH and ratios HH+VH and (HH×VH)</w:t>
      </w:r>
      <w:r w:rsidRPr="00CB00F9">
        <w:rPr>
          <w:vertAlign w:val="superscript"/>
        </w:rPr>
        <w:t>0.5</w:t>
      </w:r>
      <w:r w:rsidRPr="00CB00F9">
        <w:t xml:space="preserve"> of the ALOS-2 backscatters by compartments </w:t>
      </w:r>
      <w:r w:rsidRPr="00CB00F9">
        <w:rPr>
          <w:noProof/>
        </w:rPr>
        <w:t>(</w:t>
      </w:r>
      <w:r w:rsidRPr="00CB00F9">
        <w:rPr>
          <w:noProof/>
          <w:color w:val="0070C0"/>
        </w:rPr>
        <w:t>Soares and Schaeffer-Novelli, 2005</w:t>
      </w:r>
      <w:r w:rsidRPr="00CB00F9">
        <w:rPr>
          <w:noProof/>
        </w:rPr>
        <w:t>)</w:t>
      </w:r>
      <w:r w:rsidRPr="00CB00F9">
        <w:t xml:space="preserve">. The MLR models were developed after hundreds of loops of slope </w:t>
      </w:r>
      <m:oMath>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i</m:t>
            </m:r>
          </m:sub>
        </m:sSub>
        <m:r>
          <m:rPr>
            <m:sty m:val="p"/>
          </m:rPr>
          <w:rPr>
            <w:rFonts w:ascii="Cambria Math" w:hAnsi="Cambria Math"/>
          </w:rPr>
          <m:t xml:space="preserve">) </m:t>
        </m:r>
      </m:oMath>
      <w:r w:rsidRPr="00CB00F9">
        <w:t xml:space="preserve">and intercept or constant </w:t>
      </w:r>
      <m:oMath>
        <m:sSub>
          <m:sSubPr>
            <m:ctrlPr>
              <w:rPr>
                <w:rFonts w:ascii="Cambria Math" w:hAnsi="Cambria Math"/>
              </w:rPr>
            </m:ctrlPr>
          </m:sSubPr>
          <m:e>
            <m:r>
              <m:rPr>
                <m:sty m:val="p"/>
              </m:rPr>
              <w:rPr>
                <w:rFonts w:ascii="Cambria Math" w:hAnsi="Cambria Math"/>
              </w:rPr>
              <m:t>(</m:t>
            </m:r>
            <m:r>
              <w:rPr>
                <w:rFonts w:ascii="Cambria Math" w:hAnsi="Cambria Math"/>
              </w:rPr>
              <m:t>β</m:t>
            </m:r>
          </m:e>
          <m:sub>
            <m:r>
              <m:rPr>
                <m:sty m:val="p"/>
              </m:rPr>
              <w:rPr>
                <w:rFonts w:ascii="Cambria Math" w:hAnsi="Cambria Math"/>
              </w:rPr>
              <m:t>0</m:t>
            </m:r>
          </m:sub>
        </m:sSub>
        <m:r>
          <m:rPr>
            <m:sty m:val="p"/>
          </m:rPr>
          <w:rPr>
            <w:rFonts w:ascii="Cambria Math" w:hAnsi="Cambria Math"/>
          </w:rPr>
          <m:t>)</m:t>
        </m:r>
      </m:oMath>
      <w:r w:rsidRPr="00CB00F9">
        <w:t xml:space="preserve"> adjustments from the initial models. This procedure was repeated for the three groups of the target variables (</w:t>
      </w:r>
      <w:r w:rsidRPr="00CB00F9">
        <w:rPr>
          <w:i/>
        </w:rPr>
        <w:t>MAGB</w:t>
      </w:r>
      <w:r w:rsidRPr="00CB00F9">
        <w:t>). The initial models were established from linear regression models (LRM) of individual explanatory variables, and the Pearson's correlation coefficient (PCC) of each LRM was used as its weight for the adjustments (increment and reduction). After each increment and reduction, RMSEs were calculated and compared to the previous values. Loops were stopped when the RMSE values approached minimum values.</w:t>
      </w:r>
    </w:p>
    <w:p w:rsidR="00B10EC1" w:rsidRPr="00CB00F9" w:rsidRDefault="00B10EC1" w:rsidP="0097503E">
      <w:pPr>
        <w:pStyle w:val="ListParagraph"/>
        <w:numPr>
          <w:ilvl w:val="0"/>
          <w:numId w:val="3"/>
        </w:numPr>
        <w:rPr>
          <w:i/>
        </w:rPr>
      </w:pPr>
      <w:r w:rsidRPr="00CB00F9">
        <w:rPr>
          <w:i/>
        </w:rPr>
        <w:t>Multivariate adaptive regression splines model</w:t>
      </w:r>
    </w:p>
    <w:p w:rsidR="00B10EC1" w:rsidRPr="00CB00F9" w:rsidRDefault="00B10EC1" w:rsidP="0097503E">
      <w:r w:rsidRPr="00CB00F9">
        <w:t xml:space="preserve">Multivariate Adaptive Regression Splines (MARS) is a regression and data mining technique developed by Friedman </w:t>
      </w:r>
      <w:r w:rsidRPr="00CB00F9">
        <w:rPr>
          <w:noProof/>
        </w:rPr>
        <w:t>(</w:t>
      </w:r>
      <w:r w:rsidRPr="00CB00F9">
        <w:rPr>
          <w:noProof/>
          <w:color w:val="0070C0"/>
        </w:rPr>
        <w:t>Friedman, 1991</w:t>
      </w:r>
      <w:r w:rsidRPr="00CB00F9">
        <w:rPr>
          <w:noProof/>
        </w:rPr>
        <w:t>)</w:t>
      </w:r>
      <w:r w:rsidRPr="00CB00F9">
        <w:t xml:space="preserve">. Basic functions in modeling the predictor and response variables are used in this method. The generated basic functions were employed as the new set of predictor variables to generate the final model. A forward algorithm, which selects all possible basic functions and their corresponding knots (constants of the basic functions) is used in the initial step of MARS. Next, the backward algorithm discards basis functions which do not contribute significantly to the accuracy of the fit. In the final step, the model selects the remaining basic functions </w:t>
      </w:r>
      <w:r w:rsidRPr="00CB00F9">
        <w:rPr>
          <w:noProof/>
        </w:rPr>
        <w:t>(</w:t>
      </w:r>
      <w:r w:rsidRPr="00CB00F9">
        <w:rPr>
          <w:noProof/>
          <w:color w:val="0070C0"/>
        </w:rPr>
        <w:t>Bilgili et al., 2010</w:t>
      </w:r>
      <w:r w:rsidRPr="00CB00F9">
        <w:rPr>
          <w:noProof/>
        </w:rPr>
        <w:t>)</w:t>
      </w:r>
      <w:r w:rsidRPr="00CB00F9">
        <w:t>. We applied the MARS model to estimate MAGB in this study (</w:t>
      </w:r>
      <w:r w:rsidRPr="00CB00F9">
        <w:rPr>
          <w:color w:val="0070C0"/>
        </w:rPr>
        <w:t>Fig. 3</w:t>
      </w:r>
      <w:r w:rsidRPr="00CB00F9">
        <w:t xml:space="preserve">) as an extension of the overall study work flow presented in </w:t>
      </w:r>
      <w:r w:rsidRPr="00CB00F9">
        <w:rPr>
          <w:color w:val="0070C0"/>
        </w:rPr>
        <w:t>Fig. 2</w:t>
      </w:r>
      <w:r w:rsidRPr="00CB00F9">
        <w:t>. The vegetation indices (VI), biophysical variables (BV) and ALOS-2 polarizations (VV, VH) calculated from previous steps were pruned to eliminate redundant basic functions (BFs) before they were selected to estimate MAGB. BFs were chosen to compute MAGB and the condition that the coefficient of determination (R</w:t>
      </w:r>
      <w:r w:rsidRPr="00CB00F9">
        <w:rPr>
          <w:vertAlign w:val="superscript"/>
        </w:rPr>
        <w:t>2</w:t>
      </w:r>
      <w:r w:rsidRPr="00CB00F9">
        <w:t>) and RMSE values were greater than the expected ratios from field measured MAGB were checked. This process continued until the final model results consisted of the best matched calculated MAGB with field measured MAGB and a set of BFs based on the highest R</w:t>
      </w:r>
      <w:r w:rsidRPr="00CB00F9">
        <w:rPr>
          <w:vertAlign w:val="superscript"/>
        </w:rPr>
        <w:t>2</w:t>
      </w:r>
      <w:r w:rsidRPr="00CB00F9">
        <w:t xml:space="preserve"> and lowest RMSE values. In theory, single remote sensing bands and mixed parameters could be used in one model. However, in order to allow comparisons, we grouped VIs, BVs and SAR data for the MARS runs separately. This also shortened the time taken for model runs and reduced the complexity of the model.</w:t>
      </w:r>
    </w:p>
    <w:p w:rsidR="00B10EC1" w:rsidRPr="00CB00F9" w:rsidRDefault="005031B5" w:rsidP="00011165">
      <w:pPr>
        <w:jc w:val="center"/>
      </w:pPr>
      <w:r>
        <w:rPr>
          <w:noProof/>
          <w:lang w:eastAsia="en-US"/>
        </w:rPr>
        <w:lastRenderedPageBreak/>
        <w:drawing>
          <wp:inline distT="0" distB="0" distL="0" distR="0">
            <wp:extent cx="4762945" cy="4844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Working frame_MARSR0.png"/>
                    <pic:cNvPicPr/>
                  </pic:nvPicPr>
                  <pic:blipFill>
                    <a:blip r:embed="rId10">
                      <a:extLst>
                        <a:ext uri="{28A0092B-C50C-407E-A947-70E740481C1C}">
                          <a14:useLocalDpi xmlns:a14="http://schemas.microsoft.com/office/drawing/2010/main" val="0"/>
                        </a:ext>
                      </a:extLst>
                    </a:blip>
                    <a:stretch>
                      <a:fillRect/>
                    </a:stretch>
                  </pic:blipFill>
                  <pic:spPr>
                    <a:xfrm>
                      <a:off x="0" y="0"/>
                      <a:ext cx="4771003" cy="4853152"/>
                    </a:xfrm>
                    <a:prstGeom prst="rect">
                      <a:avLst/>
                    </a:prstGeom>
                  </pic:spPr>
                </pic:pic>
              </a:graphicData>
            </a:graphic>
          </wp:inline>
        </w:drawing>
      </w:r>
    </w:p>
    <w:p w:rsidR="00B10EC1" w:rsidRPr="005332BD" w:rsidRDefault="00B10EC1" w:rsidP="0097503E">
      <w:pPr>
        <w:rPr>
          <w:color w:val="000000" w:themeColor="text1"/>
          <w:lang w:eastAsia="zh-CN"/>
        </w:rPr>
      </w:pPr>
      <w:r w:rsidRPr="008524D3">
        <w:rPr>
          <w:b/>
          <w:color w:val="000000" w:themeColor="text1"/>
        </w:rPr>
        <w:t xml:space="preserve">Fig. 3. </w:t>
      </w:r>
      <w:r w:rsidRPr="008524D3">
        <w:rPr>
          <w:color w:val="000000" w:themeColor="text1"/>
        </w:rPr>
        <w:t>Sub-work flow for mangrove above-ground biomass (MAGB) estimation-MARS model; where:</w:t>
      </w:r>
      <w:r w:rsidRPr="005332BD">
        <w:rPr>
          <w:color w:val="000000" w:themeColor="text1"/>
        </w:rPr>
        <w:t xml:space="preserve"> </w:t>
      </w:r>
      <w:r w:rsidRPr="008524D3">
        <w:rPr>
          <w:color w:val="000000" w:themeColor="text1"/>
        </w:rPr>
        <w:t>R</w:t>
      </w:r>
      <w:r w:rsidRPr="008524D3">
        <w:rPr>
          <w:color w:val="000000" w:themeColor="text1"/>
          <w:vertAlign w:val="superscript"/>
        </w:rPr>
        <w:t>2</w:t>
      </w:r>
      <w:r w:rsidRPr="008524D3">
        <w:rPr>
          <w:color w:val="000000" w:themeColor="text1"/>
        </w:rPr>
        <w:t xml:space="preserve"> is coefficient of determination, RMSE stands for root-mean-square error, BF is basic function and MARS is the Multivariate Adaptive Regression Splines model.</w:t>
      </w:r>
    </w:p>
    <w:p w:rsidR="00B10EC1" w:rsidRPr="00CB00F9" w:rsidRDefault="00B10EC1" w:rsidP="0097503E">
      <w:pPr>
        <w:pStyle w:val="ListParagraph"/>
        <w:numPr>
          <w:ilvl w:val="0"/>
          <w:numId w:val="3"/>
        </w:numPr>
        <w:rPr>
          <w:i/>
        </w:rPr>
      </w:pPr>
      <w:r w:rsidRPr="00CB00F9">
        <w:rPr>
          <w:i/>
        </w:rPr>
        <w:t>Machine learning approaches</w:t>
      </w:r>
    </w:p>
    <w:p w:rsidR="00B10EC1" w:rsidRPr="00CB00F9" w:rsidRDefault="00B10EC1" w:rsidP="0097503E">
      <w:r w:rsidRPr="00CB00F9">
        <w:t xml:space="preserve">Non-parametric algorithms in machine learning have been increasingly applied because they increase the robustness of image supervised classification methods </w:t>
      </w:r>
      <w:r w:rsidRPr="00CB00F9">
        <w:rPr>
          <w:noProof/>
        </w:rPr>
        <w:t>(</w:t>
      </w:r>
      <w:r w:rsidRPr="00CB00F9">
        <w:rPr>
          <w:noProof/>
          <w:color w:val="0070C0"/>
        </w:rPr>
        <w:t>Maxwell et al., 2018, Ou et al., 2019</w:t>
      </w:r>
      <w:r w:rsidRPr="00CB00F9">
        <w:rPr>
          <w:noProof/>
        </w:rPr>
        <w:t>)</w:t>
      </w:r>
      <w:r w:rsidRPr="00CB00F9">
        <w:t xml:space="preserve">, model complex class signatures, and accept a variety of training data, and are routinely found to have higher accuracies than the maximum likelihood method </w:t>
      </w:r>
      <w:r w:rsidRPr="00CB00F9">
        <w:rPr>
          <w:noProof/>
        </w:rPr>
        <w:t>(</w:t>
      </w:r>
      <w:r w:rsidRPr="00CB00F9">
        <w:rPr>
          <w:noProof/>
          <w:color w:val="0070C0"/>
        </w:rPr>
        <w:t>Yu et al., 2014</w:t>
      </w:r>
      <w:r w:rsidRPr="00CB00F9">
        <w:rPr>
          <w:noProof/>
        </w:rPr>
        <w:t>)</w:t>
      </w:r>
      <w:r w:rsidRPr="00CB00F9">
        <w:t xml:space="preserve">. The artificial neural network (ANN), random forest (RF), and support vector machine (SVM) methods were selected from among the many available because they are considered robust and suitable for MAGB estimations </w:t>
      </w:r>
      <w:r w:rsidRPr="00CB00F9">
        <w:rPr>
          <w:noProof/>
        </w:rPr>
        <w:t>(</w:t>
      </w:r>
      <w:r w:rsidRPr="00CB00F9">
        <w:rPr>
          <w:noProof/>
          <w:color w:val="0070C0"/>
        </w:rPr>
        <w:t>Pham et al., 2019, Pham et al., 2020b, Hu et al., 2020, Pham et al., 2020a</w:t>
      </w:r>
      <w:r w:rsidRPr="00CB00F9">
        <w:rPr>
          <w:noProof/>
        </w:rPr>
        <w:t>)</w:t>
      </w:r>
      <w:r w:rsidRPr="00CB00F9">
        <w:t xml:space="preserve">. </w:t>
      </w:r>
    </w:p>
    <w:p w:rsidR="00B10EC1" w:rsidRPr="00CB00F9" w:rsidRDefault="00B10EC1" w:rsidP="0097503E">
      <w:r w:rsidRPr="00CB00F9">
        <w:t xml:space="preserve">Machine learning methods have been well explained and documented </w:t>
      </w:r>
      <w:r w:rsidRPr="00CB00F9">
        <w:rPr>
          <w:noProof/>
        </w:rPr>
        <w:t>(</w:t>
      </w:r>
      <w:r w:rsidRPr="00CB00F9">
        <w:rPr>
          <w:noProof/>
          <w:color w:val="0070C0"/>
        </w:rPr>
        <w:t>Quang et al., 2020, Jachowski et al., 2013, Hu et al., 2020, Pham et al., 2020b,</w:t>
      </w:r>
      <w:r w:rsidRPr="00CB00F9">
        <w:rPr>
          <w:noProof/>
        </w:rPr>
        <w:t xml:space="preserve"> </w:t>
      </w:r>
      <w:r w:rsidRPr="00CB00F9">
        <w:rPr>
          <w:noProof/>
          <w:color w:val="0070C0"/>
        </w:rPr>
        <w:t>Pham et al., 2019</w:t>
      </w:r>
      <w:r w:rsidRPr="00CB00F9">
        <w:rPr>
          <w:noProof/>
        </w:rPr>
        <w:t>)</w:t>
      </w:r>
      <w:r w:rsidRPr="00CB00F9">
        <w:t>, however they can be applied differently. In this study, we have applied these three methods using combinations of all the VIs and BVs from each optical image and a combination of SAR polarizations (HH, VH) and HH+VH and (HH×VH)</w:t>
      </w:r>
      <w:r w:rsidRPr="00CB00F9">
        <w:rPr>
          <w:vertAlign w:val="superscript"/>
        </w:rPr>
        <w:t>0.5</w:t>
      </w:r>
      <w:r w:rsidRPr="00CB00F9">
        <w:t xml:space="preserve"> inputting into the machine learning classifiers. As they are all supervised classifiers, training data are required, but field collected training data form the 24 plots were </w:t>
      </w:r>
      <w:r w:rsidRPr="00CB00F9">
        <w:lastRenderedPageBreak/>
        <w:t xml:space="preserve">considered insufficient for machine learning methods. To create training data, we applied image segmentation for all the combinations. A multi-resolution algorithm was applied with an equal weighting of 1 for all image bands and the scale parameter, shape and compactness were set at 10, 0.3 and 0.8 respectively. </w:t>
      </w:r>
      <w:r w:rsidR="00CF347E" w:rsidRPr="00CB00F9">
        <w:t>T</w:t>
      </w:r>
      <w:r w:rsidR="009D7AFE" w:rsidRPr="00CB00F9">
        <w:t xml:space="preserve">he ML model </w:t>
      </w:r>
      <w:r w:rsidR="00CF347E" w:rsidRPr="00CB00F9">
        <w:t>training</w:t>
      </w:r>
      <w:r w:rsidR="009D7AFE" w:rsidRPr="00CB00F9">
        <w:t xml:space="preserve"> dataset </w:t>
      </w:r>
      <w:r w:rsidR="00E4702F">
        <w:t>of</w:t>
      </w:r>
      <w:r w:rsidR="009D7AFE" w:rsidRPr="00CB00F9">
        <w:t xml:space="preserve"> 216 polygons</w:t>
      </w:r>
      <w:r w:rsidR="00F23D58">
        <w:t xml:space="preserve"> (segments)</w:t>
      </w:r>
      <w:r w:rsidR="009D7AFE" w:rsidRPr="00CB00F9">
        <w:t xml:space="preserve"> and the data for </w:t>
      </w:r>
      <w:r w:rsidR="00212D49" w:rsidRPr="00CB00F9">
        <w:t xml:space="preserve">the </w:t>
      </w:r>
      <w:r w:rsidR="009D7AFE" w:rsidRPr="00CB00F9">
        <w:t xml:space="preserve">model accuracy evaluation </w:t>
      </w:r>
      <w:r w:rsidR="00E4702F">
        <w:t>of</w:t>
      </w:r>
      <w:r w:rsidR="009D7AFE" w:rsidRPr="00CB00F9">
        <w:t xml:space="preserve"> 81 polygons </w:t>
      </w:r>
      <w:r w:rsidR="00E4702F">
        <w:t xml:space="preserve">were taken </w:t>
      </w:r>
      <w:r w:rsidR="00BA2A1F" w:rsidRPr="00CB00F9">
        <w:t>from</w:t>
      </w:r>
      <w:r w:rsidR="009D7AFE" w:rsidRPr="00CB00F9">
        <w:t xml:space="preserve"> vector layers as results of the image segmentation </w:t>
      </w:r>
      <w:r w:rsidR="00AE14F4">
        <w:t xml:space="preserve">and labeled </w:t>
      </w:r>
      <w:r w:rsidR="00EA2307">
        <w:t>based on</w:t>
      </w:r>
      <w:r w:rsidR="009D7AFE" w:rsidRPr="00CB00F9">
        <w:t xml:space="preserve"> the </w:t>
      </w:r>
      <w:r w:rsidR="00F23D58">
        <w:t xml:space="preserve">segment values at the </w:t>
      </w:r>
      <w:r w:rsidR="009D7AFE" w:rsidRPr="00CB00F9">
        <w:t>24 field measured plots.</w:t>
      </w:r>
    </w:p>
    <w:p w:rsidR="00B10EC1" w:rsidRPr="00CB00F9" w:rsidRDefault="00B10EC1" w:rsidP="0097503E">
      <w:pPr>
        <w:pStyle w:val="ListParagraph"/>
        <w:numPr>
          <w:ilvl w:val="0"/>
          <w:numId w:val="3"/>
        </w:numPr>
        <w:rPr>
          <w:i/>
        </w:rPr>
      </w:pPr>
      <w:r w:rsidRPr="00CB00F9">
        <w:rPr>
          <w:i/>
        </w:rPr>
        <w:t>Model evaluation</w:t>
      </w:r>
    </w:p>
    <w:p w:rsidR="00B10EC1" w:rsidRPr="00CB00F9" w:rsidRDefault="00B10EC1" w:rsidP="0097503E">
      <w:r w:rsidRPr="00CB00F9">
        <w:t>The coefficient of determination (R</w:t>
      </w:r>
      <w:r w:rsidRPr="00CB00F9">
        <w:rPr>
          <w:vertAlign w:val="superscript"/>
        </w:rPr>
        <w:t>2</w:t>
      </w:r>
      <w:r w:rsidRPr="00CB00F9">
        <w:t xml:space="preserve">) and the root-mean-square error (RMSE), calculated using equations 9 and 10 respectively, were used to evaluate the performance of the proposed models. These error-indicative indices are frequently utilized to evaluate the differences between measured and predicted MAGB data. </w:t>
      </w:r>
    </w:p>
    <w:p w:rsidR="00B10EC1" w:rsidRPr="00CB00F9" w:rsidRDefault="001A0E24" w:rsidP="0097503E">
      <w:pPr>
        <w:jc w:val="center"/>
      </w:pPr>
      <m:oMath>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hAnsi="Cambria Math"/>
                          </w:rPr>
                          <m:t>mbe</m:t>
                        </m:r>
                      </m:e>
                      <m:sub>
                        <m:r>
                          <w:rPr>
                            <w:rFonts w:ascii="Cambria Math" w:hAnsi="Cambria Math"/>
                          </w:rPr>
                          <m:t>i</m:t>
                        </m:r>
                      </m:sub>
                    </m:sSub>
                    <m:r>
                      <m:rPr>
                        <m:sty m:val="p"/>
                      </m:rPr>
                      <w:rPr>
                        <w:rFonts w:ascii="Cambria Math" w:hAnsi="Cambria Math"/>
                      </w:rPr>
                      <m:t>-</m:t>
                    </m:r>
                    <m:bar>
                      <m:barPr>
                        <m:pos m:val="top"/>
                        <m:ctrlPr>
                          <w:rPr>
                            <w:rFonts w:ascii="Cambria Math" w:hAnsi="Cambria Math"/>
                          </w:rPr>
                        </m:ctrlPr>
                      </m:barPr>
                      <m:e>
                        <m:r>
                          <w:rPr>
                            <w:rFonts w:ascii="Cambria Math" w:hAnsi="Cambria Math"/>
                          </w:rPr>
                          <m:t>mbe</m:t>
                        </m:r>
                      </m:e>
                    </m:bar>
                  </m:e>
                </m:d>
                <m:d>
                  <m:dPr>
                    <m:ctrlPr>
                      <w:rPr>
                        <w:rFonts w:ascii="Cambria Math" w:hAnsi="Cambria Math"/>
                      </w:rPr>
                    </m:ctrlPr>
                  </m:dPr>
                  <m:e>
                    <m:sSub>
                      <m:sSubPr>
                        <m:ctrlPr>
                          <w:rPr>
                            <w:rFonts w:ascii="Cambria Math" w:hAnsi="Cambria Math"/>
                          </w:rPr>
                        </m:ctrlPr>
                      </m:sSubPr>
                      <m:e>
                        <m:r>
                          <w:rPr>
                            <w:rFonts w:ascii="Cambria Math" w:hAnsi="Cambria Math"/>
                          </w:rPr>
                          <m:t>mbm</m:t>
                        </m:r>
                      </m:e>
                      <m:sub>
                        <m:r>
                          <w:rPr>
                            <w:rFonts w:ascii="Cambria Math" w:hAnsi="Cambria Math"/>
                          </w:rPr>
                          <m:t>i</m:t>
                        </m:r>
                      </m:sub>
                    </m:sSub>
                    <m:r>
                      <m:rPr>
                        <m:sty m:val="p"/>
                      </m:rPr>
                      <w:rPr>
                        <w:rFonts w:ascii="Cambria Math" w:hAnsi="Cambria Math"/>
                      </w:rPr>
                      <m:t>-</m:t>
                    </m:r>
                    <m:bar>
                      <m:barPr>
                        <m:pos m:val="top"/>
                        <m:ctrlPr>
                          <w:rPr>
                            <w:rFonts w:ascii="Cambria Math" w:hAnsi="Cambria Math"/>
                          </w:rPr>
                        </m:ctrlPr>
                      </m:barPr>
                      <m:e>
                        <m:r>
                          <w:rPr>
                            <w:rFonts w:ascii="Cambria Math" w:hAnsi="Cambria Math"/>
                          </w:rPr>
                          <m:t>mbm</m:t>
                        </m:r>
                      </m:e>
                    </m:bar>
                  </m:e>
                </m:d>
              </m:e>
            </m:nary>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mbe</m:t>
                            </m:r>
                          </m:e>
                          <m:sub>
                            <m:r>
                              <w:rPr>
                                <w:rFonts w:ascii="Cambria Math" w:hAnsi="Cambria Math"/>
                              </w:rPr>
                              <m:t>i</m:t>
                            </m:r>
                          </m:sub>
                        </m:sSub>
                        <m:r>
                          <m:rPr>
                            <m:sty m:val="p"/>
                          </m:rPr>
                          <w:rPr>
                            <w:rFonts w:ascii="Cambria Math" w:hAnsi="Cambria Math"/>
                          </w:rPr>
                          <m:t>-</m:t>
                        </m:r>
                        <m:bar>
                          <m:barPr>
                            <m:pos m:val="top"/>
                            <m:ctrlPr>
                              <w:rPr>
                                <w:rFonts w:ascii="Cambria Math" w:hAnsi="Cambria Math"/>
                              </w:rPr>
                            </m:ctrlPr>
                          </m:barPr>
                          <m:e>
                            <m:r>
                              <w:rPr>
                                <w:rFonts w:ascii="Cambria Math" w:hAnsi="Cambria Math"/>
                              </w:rPr>
                              <m:t>mbe</m:t>
                            </m:r>
                          </m:e>
                        </m:bar>
                      </m:e>
                    </m:d>
                  </m:e>
                  <m:sup>
                    <m:r>
                      <m:rPr>
                        <m:sty m:val="p"/>
                      </m:rPr>
                      <w:rPr>
                        <w:rFonts w:ascii="Cambria Math" w:hAnsi="Cambria Math"/>
                      </w:rPr>
                      <m:t>2</m:t>
                    </m:r>
                  </m:sup>
                </m:sSup>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mbm</m:t>
                            </m:r>
                          </m:e>
                          <m:sub>
                            <m:r>
                              <w:rPr>
                                <w:rFonts w:ascii="Cambria Math" w:hAnsi="Cambria Math"/>
                              </w:rPr>
                              <m:t>i</m:t>
                            </m:r>
                          </m:sub>
                        </m:sSub>
                        <m:r>
                          <m:rPr>
                            <m:sty m:val="p"/>
                          </m:rPr>
                          <w:rPr>
                            <w:rFonts w:ascii="Cambria Math" w:hAnsi="Cambria Math"/>
                          </w:rPr>
                          <m:t>-</m:t>
                        </m:r>
                        <m:bar>
                          <m:barPr>
                            <m:pos m:val="top"/>
                            <m:ctrlPr>
                              <w:rPr>
                                <w:rFonts w:ascii="Cambria Math" w:hAnsi="Cambria Math"/>
                              </w:rPr>
                            </m:ctrlPr>
                          </m:barPr>
                          <m:e>
                            <m:r>
                              <w:rPr>
                                <w:rFonts w:ascii="Cambria Math" w:hAnsi="Cambria Math"/>
                              </w:rPr>
                              <m:t>mbm</m:t>
                            </m:r>
                          </m:e>
                        </m:bar>
                      </m:e>
                    </m:d>
                  </m:e>
                  <m:sup>
                    <m:r>
                      <m:rPr>
                        <m:sty m:val="p"/>
                      </m:rPr>
                      <w:rPr>
                        <w:rFonts w:ascii="Cambria Math" w:hAnsi="Cambria Math"/>
                      </w:rPr>
                      <m:t>2</m:t>
                    </m:r>
                  </m:sup>
                </m:sSup>
              </m:e>
            </m:rad>
          </m:den>
        </m:f>
      </m:oMath>
      <w:r w:rsidR="00B10EC1" w:rsidRPr="00CB00F9">
        <w:t xml:space="preserve"> </w:t>
      </w:r>
      <w:r w:rsidR="00B10EC1" w:rsidRPr="00CB00F9">
        <w:tab/>
      </w:r>
      <w:r w:rsidR="00B10EC1" w:rsidRPr="00CB00F9">
        <w:tab/>
      </w:r>
      <w:r w:rsidR="00B10EC1" w:rsidRPr="00CB00F9">
        <w:tab/>
      </w:r>
      <w:r w:rsidR="00B10EC1" w:rsidRPr="00CB00F9">
        <w:tab/>
        <w:t>(9)</w:t>
      </w:r>
    </w:p>
    <w:p w:rsidR="00B10EC1" w:rsidRPr="00CB00F9" w:rsidRDefault="00B10EC1" w:rsidP="0097503E">
      <w:pPr>
        <w:jc w:val="center"/>
      </w:pPr>
      <m:oMath>
        <m:r>
          <w:rPr>
            <w:rFonts w:ascii="Cambria Math" w:hAnsi="Cambria Math"/>
          </w:rPr>
          <m:t>RMSE</m:t>
        </m:r>
        <m:r>
          <m:rPr>
            <m:sty m:val="p"/>
          </m:rPr>
          <w:rPr>
            <w:rFonts w:ascii="Cambria Math" w:hAnsi="Cambria Math"/>
          </w:rPr>
          <m:t xml:space="preserve">= </m:t>
        </m:r>
        <m:rad>
          <m:radPr>
            <m:degHide m:val="1"/>
            <m:ctrlPr>
              <w:rPr>
                <w:rFonts w:ascii="Cambria Math" w:hAnsi="Cambria Math"/>
              </w:rPr>
            </m:ctrlPr>
          </m:radPr>
          <m:deg/>
          <m:e>
            <m:nary>
              <m:naryPr>
                <m:chr m:val="∑"/>
                <m:limLoc m:val="undOvr"/>
                <m:ctrlPr>
                  <w:rPr>
                    <w:rFonts w:ascii="Cambria Math" w:hAnsi="Cambria Math"/>
                  </w:rPr>
                </m:ctrlPr>
              </m:naryPr>
              <m:sub>
                <m:r>
                  <m:rPr>
                    <m:sty m:val="p"/>
                  </m:rPr>
                  <w:rPr>
                    <w:rFonts w:ascii="Cambria Math" w:hAnsi="Cambria Math"/>
                  </w:rPr>
                  <m:t>1</m:t>
                </m:r>
              </m:sub>
              <m:sup>
                <m:r>
                  <w:rPr>
                    <w:rFonts w:ascii="Cambria Math" w:hAnsi="Cambria Math"/>
                  </w:rPr>
                  <m:t>n</m:t>
                </m:r>
              </m:sup>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mbe</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mbm</m:t>
                                </m:r>
                              </m:e>
                              <m:sub>
                                <m:r>
                                  <w:rPr>
                                    <w:rFonts w:ascii="Cambria Math" w:hAnsi="Cambria Math"/>
                                  </w:rPr>
                                  <m:t>i</m:t>
                                </m:r>
                              </m:sub>
                            </m:sSub>
                          </m:e>
                        </m:d>
                      </m:e>
                      <m:sup>
                        <m:r>
                          <m:rPr>
                            <m:sty m:val="p"/>
                          </m:rPr>
                          <w:rPr>
                            <w:rFonts w:ascii="Cambria Math" w:hAnsi="Cambria Math"/>
                          </w:rPr>
                          <m:t>2</m:t>
                        </m:r>
                      </m:sup>
                    </m:sSup>
                  </m:num>
                  <m:den>
                    <m:r>
                      <w:rPr>
                        <w:rFonts w:ascii="Cambria Math" w:hAnsi="Cambria Math"/>
                      </w:rPr>
                      <m:t>n</m:t>
                    </m:r>
                  </m:den>
                </m:f>
              </m:e>
            </m:nary>
          </m:e>
        </m:rad>
      </m:oMath>
      <w:r w:rsidRPr="00CB00F9">
        <w:t xml:space="preserve"> </w:t>
      </w:r>
      <w:r w:rsidRPr="00CB00F9">
        <w:tab/>
      </w:r>
      <w:r w:rsidRPr="00CB00F9">
        <w:tab/>
      </w:r>
      <w:r w:rsidRPr="00CB00F9">
        <w:tab/>
      </w:r>
      <w:r w:rsidRPr="00CB00F9">
        <w:tab/>
        <w:t>(10)</w:t>
      </w:r>
    </w:p>
    <w:p w:rsidR="00B10EC1" w:rsidRPr="00CB00F9" w:rsidRDefault="00B10EC1" w:rsidP="0097503E">
      <w:r w:rsidRPr="00CB00F9">
        <w:t xml:space="preserve">Where </w:t>
      </w:r>
      <m:oMath>
        <m:sSub>
          <m:sSubPr>
            <m:ctrlPr>
              <w:rPr>
                <w:rFonts w:ascii="Cambria Math" w:hAnsi="Cambria Math"/>
              </w:rPr>
            </m:ctrlPr>
          </m:sSubPr>
          <m:e>
            <m:r>
              <w:rPr>
                <w:rFonts w:ascii="Cambria Math" w:hAnsi="Cambria Math"/>
              </w:rPr>
              <m:t>mbe</m:t>
            </m:r>
          </m:e>
          <m:sub>
            <m:r>
              <w:rPr>
                <w:rFonts w:ascii="Cambria Math" w:hAnsi="Cambria Math"/>
              </w:rPr>
              <m:t>i</m:t>
            </m:r>
          </m:sub>
        </m:sSub>
      </m:oMath>
      <w:r w:rsidRPr="00CB00F9">
        <w:t xml:space="preserve"> is the model estimated MAGB value, </w:t>
      </w:r>
      <m:oMath>
        <m:sSub>
          <m:sSubPr>
            <m:ctrlPr>
              <w:rPr>
                <w:rFonts w:ascii="Cambria Math" w:hAnsi="Cambria Math"/>
              </w:rPr>
            </m:ctrlPr>
          </m:sSubPr>
          <m:e>
            <m:r>
              <w:rPr>
                <w:rFonts w:ascii="Cambria Math" w:hAnsi="Cambria Math"/>
              </w:rPr>
              <m:t>mbm</m:t>
            </m:r>
          </m:e>
          <m:sub>
            <m:r>
              <w:rPr>
                <w:rFonts w:ascii="Cambria Math" w:hAnsi="Cambria Math"/>
              </w:rPr>
              <m:t>i</m:t>
            </m:r>
          </m:sub>
        </m:sSub>
      </m:oMath>
      <w:r w:rsidRPr="00CB00F9">
        <w:t xml:space="preserve"> is the measured MAGB value obtained from field measurements, </w:t>
      </w:r>
      <w:r w:rsidRPr="00CB00F9">
        <w:rPr>
          <w:i/>
        </w:rPr>
        <w:t>n</w:t>
      </w:r>
      <w:r w:rsidRPr="00CB00F9">
        <w:t xml:space="preserve"> is the total number of sampling plots, and </w:t>
      </w:r>
      <m:oMath>
        <m:bar>
          <m:barPr>
            <m:pos m:val="top"/>
            <m:ctrlPr>
              <w:rPr>
                <w:rFonts w:ascii="Cambria Math" w:hAnsi="Cambria Math"/>
              </w:rPr>
            </m:ctrlPr>
          </m:barPr>
          <m:e>
            <m:r>
              <w:rPr>
                <w:rFonts w:ascii="Cambria Math" w:hAnsi="Cambria Math"/>
              </w:rPr>
              <m:t>mbe</m:t>
            </m:r>
          </m:e>
        </m:bar>
      </m:oMath>
      <w:r w:rsidRPr="00CB00F9">
        <w:t xml:space="preserve"> and </w:t>
      </w:r>
      <m:oMath>
        <m:bar>
          <m:barPr>
            <m:pos m:val="top"/>
            <m:ctrlPr>
              <w:rPr>
                <w:rFonts w:ascii="Cambria Math" w:hAnsi="Cambria Math"/>
              </w:rPr>
            </m:ctrlPr>
          </m:barPr>
          <m:e>
            <m:r>
              <w:rPr>
                <w:rFonts w:ascii="Cambria Math" w:hAnsi="Cambria Math"/>
              </w:rPr>
              <m:t>mbm</m:t>
            </m:r>
          </m:e>
        </m:bar>
      </m:oMath>
      <w:r w:rsidRPr="00CB00F9">
        <w:t xml:space="preserve"> are mean values of </w:t>
      </w:r>
      <m:oMath>
        <m:sSub>
          <m:sSubPr>
            <m:ctrlPr>
              <w:rPr>
                <w:rFonts w:ascii="Cambria Math" w:hAnsi="Cambria Math"/>
              </w:rPr>
            </m:ctrlPr>
          </m:sSubPr>
          <m:e>
            <m:r>
              <w:rPr>
                <w:rFonts w:ascii="Cambria Math" w:hAnsi="Cambria Math"/>
              </w:rPr>
              <m:t>mbe</m:t>
            </m:r>
          </m:e>
          <m:sub>
            <m:r>
              <w:rPr>
                <w:rFonts w:ascii="Cambria Math" w:hAnsi="Cambria Math"/>
              </w:rPr>
              <m:t>i</m:t>
            </m:r>
          </m:sub>
        </m:sSub>
      </m:oMath>
      <w:r w:rsidRPr="00CB00F9">
        <w:t xml:space="preserve"> and </w:t>
      </w:r>
      <m:oMath>
        <m:sSub>
          <m:sSubPr>
            <m:ctrlPr>
              <w:rPr>
                <w:rFonts w:ascii="Cambria Math" w:hAnsi="Cambria Math"/>
              </w:rPr>
            </m:ctrlPr>
          </m:sSubPr>
          <m:e>
            <m:r>
              <w:rPr>
                <w:rFonts w:ascii="Cambria Math" w:hAnsi="Cambria Math"/>
              </w:rPr>
              <m:t>mbm</m:t>
            </m:r>
          </m:e>
          <m:sub>
            <m:r>
              <w:rPr>
                <w:rFonts w:ascii="Cambria Math" w:hAnsi="Cambria Math"/>
              </w:rPr>
              <m:t>i</m:t>
            </m:r>
          </m:sub>
        </m:sSub>
      </m:oMath>
      <w:r w:rsidRPr="00CB00F9">
        <w:t>, respectively.</w:t>
      </w:r>
    </w:p>
    <w:p w:rsidR="00B10EC1" w:rsidRPr="00CB00F9" w:rsidRDefault="00B10EC1" w:rsidP="0097503E">
      <w:r w:rsidRPr="00CB00F9">
        <w:t>Applying machine learning methods, twelve confusion matrices or contingency matrices, user</w:t>
      </w:r>
      <w:r w:rsidR="00EB4E6C">
        <w:t>,</w:t>
      </w:r>
      <w:r w:rsidRPr="00CB00F9">
        <w:t xml:space="preserve"> producer</w:t>
      </w:r>
      <w:r w:rsidR="00EB4E6C">
        <w:t xml:space="preserve"> and overall</w:t>
      </w:r>
      <w:r w:rsidRPr="00CB00F9">
        <w:t xml:space="preserve"> accuracies, and Kappa statistics were computed for each ML classification </w:t>
      </w:r>
      <w:r w:rsidRPr="00CB00F9">
        <w:rPr>
          <w:noProof/>
        </w:rPr>
        <w:t>(</w:t>
      </w:r>
      <w:r w:rsidRPr="00CB00F9">
        <w:rPr>
          <w:noProof/>
          <w:color w:val="0070C0"/>
        </w:rPr>
        <w:t>Congalton, 1991</w:t>
      </w:r>
      <w:r w:rsidRPr="00CB00F9">
        <w:rPr>
          <w:noProof/>
        </w:rPr>
        <w:t>)</w:t>
      </w:r>
      <w:r w:rsidRPr="00CB00F9">
        <w:t>.</w:t>
      </w:r>
    </w:p>
    <w:p w:rsidR="00B10EC1" w:rsidRPr="00CB00F9" w:rsidRDefault="00B10EC1" w:rsidP="0097503E">
      <w:pPr>
        <w:pStyle w:val="MDPI38bullet"/>
      </w:pPr>
      <w:r w:rsidRPr="00CB00F9">
        <w:t>2.3.5. Applying the best MLR and MARS model for Landsat-X time series</w:t>
      </w:r>
    </w:p>
    <w:p w:rsidR="00B10EC1" w:rsidRPr="00CB00F9" w:rsidRDefault="00B10EC1" w:rsidP="0097503E">
      <w:r w:rsidRPr="00CB00F9">
        <w:t xml:space="preserve">Ideally, every estimate should be trained if a sufficiently comprehensive set of training data is obtainable. However, for a long time series of remote sensing imagery this condition is not always met. Therefore, calibrated models used for other data sets could be a suitable alternative option </w:t>
      </w:r>
      <w:r w:rsidRPr="00CB00F9">
        <w:rPr>
          <w:noProof/>
        </w:rPr>
        <w:t>(</w:t>
      </w:r>
      <w:r w:rsidRPr="00CB00F9">
        <w:rPr>
          <w:noProof/>
          <w:color w:val="0070C0"/>
        </w:rPr>
        <w:t>Green et al., 1998</w:t>
      </w:r>
      <w:r w:rsidRPr="00CB00F9">
        <w:rPr>
          <w:noProof/>
        </w:rPr>
        <w:t>)</w:t>
      </w:r>
      <w:r w:rsidRPr="00CB00F9">
        <w:t xml:space="preserve"> to deliver acceptable outputs </w:t>
      </w:r>
      <w:r w:rsidRPr="00CB00F9">
        <w:rPr>
          <w:noProof/>
        </w:rPr>
        <w:t>(</w:t>
      </w:r>
      <w:r w:rsidRPr="00CB00F9">
        <w:rPr>
          <w:noProof/>
          <w:color w:val="0070C0"/>
        </w:rPr>
        <w:t>Quang et al., 2020</w:t>
      </w:r>
      <w:r w:rsidRPr="00CB00F9">
        <w:rPr>
          <w:noProof/>
        </w:rPr>
        <w:t>)</w:t>
      </w:r>
      <w:r w:rsidRPr="00CB00F9">
        <w:t xml:space="preserve">. Here, we applied the best-fit MLR and the final MARS models trained for the three different sets of vegetation indices (which produced better results compared to the biophysical variables </w:t>
      </w:r>
      <w:r w:rsidRPr="00CB00F9">
        <w:rPr>
          <w:noProof/>
        </w:rPr>
        <w:t>(</w:t>
      </w:r>
      <w:r w:rsidRPr="00CB00F9">
        <w:rPr>
          <w:noProof/>
          <w:color w:val="0070C0"/>
        </w:rPr>
        <w:t>Baloloy et al., 2018</w:t>
      </w:r>
      <w:r w:rsidRPr="00CB00F9">
        <w:rPr>
          <w:noProof/>
        </w:rPr>
        <w:t>)</w:t>
      </w:r>
      <w:r w:rsidRPr="00CB00F9">
        <w:t>) of Sentinel-2, Landsat 8 and SPOT-7 for the time-series Landsat-2, 5 and 8 images to enable a rough estimation of changes in MAGB and mangrove extent over time.</w:t>
      </w:r>
    </w:p>
    <w:p w:rsidR="00B10EC1" w:rsidRPr="00CB00F9" w:rsidRDefault="00B10EC1" w:rsidP="0097503E">
      <w:pPr>
        <w:pStyle w:val="MDPI38bullet"/>
      </w:pPr>
      <w:r w:rsidRPr="00CB00F9">
        <w:t>2.3.6. Mapping of mangrove above-ground biomass</w:t>
      </w:r>
    </w:p>
    <w:p w:rsidR="00B10EC1" w:rsidRPr="00CB00F9" w:rsidRDefault="00B10EC1" w:rsidP="0097503E">
      <w:pPr>
        <w:rPr>
          <w:color w:val="000000" w:themeColor="text1"/>
        </w:rPr>
      </w:pPr>
      <w:r w:rsidRPr="00CB00F9">
        <w:t>The results of the MLR and MARS model are point-based models that have the closest fit to MAGB values from field measured data. To generate maps of the whole forest, we applied the MLR for the group of variables (vegetation indices, biophysical variables and SAR polarizations) and best MARS model for each remote sensing image. Machine learning models are pixel-based models; hence all pixels were ready labeled with predicted values. MAGB grid layers were converted to vector shape-file format and refined in QGIS. The vector mangrove MAGB maps have seven classes based on the range of MAGB</w:t>
      </w:r>
      <w:r w:rsidRPr="00CB00F9">
        <w:rPr>
          <w:color w:val="000000" w:themeColor="text1"/>
        </w:rPr>
        <w:t xml:space="preserve"> values from lowest to highest. An identical mapping method was applied to the Landsat time-series images.</w:t>
      </w:r>
    </w:p>
    <w:p w:rsidR="00B10EC1" w:rsidRPr="00CB00F9" w:rsidRDefault="00B10EC1" w:rsidP="0097503E">
      <w:pPr>
        <w:pStyle w:val="MDPI12title"/>
        <w:rPr>
          <w:lang w:eastAsia="zh-CN"/>
        </w:rPr>
      </w:pPr>
      <w:r w:rsidRPr="00CB00F9">
        <w:rPr>
          <w:lang w:eastAsia="zh-CN"/>
        </w:rPr>
        <w:t>3. Results</w:t>
      </w:r>
    </w:p>
    <w:p w:rsidR="00B10EC1" w:rsidRPr="00CB00F9" w:rsidRDefault="00B10EC1" w:rsidP="0097503E">
      <w:pPr>
        <w:pStyle w:val="MDPI23heading3"/>
      </w:pPr>
      <w:r w:rsidRPr="00CB00F9">
        <w:lastRenderedPageBreak/>
        <w:t>3.1. Estimated MAGB from field measurements</w:t>
      </w:r>
    </w:p>
    <w:p w:rsidR="00B10EC1" w:rsidRPr="00F94AD2" w:rsidRDefault="00B10EC1" w:rsidP="0097503E">
      <w:pPr>
        <w:rPr>
          <w:color w:val="auto"/>
        </w:rPr>
      </w:pPr>
      <w:r w:rsidRPr="00CB00F9">
        <w:rPr>
          <w:color w:val="0070C0"/>
        </w:rPr>
        <w:t xml:space="preserve">Table 4 </w:t>
      </w:r>
      <w:r w:rsidRPr="00CB00F9">
        <w:rPr>
          <w:color w:val="auto"/>
        </w:rPr>
        <w:t>presents the plot MAGB values in total calculated for individual mangrove species using the MAGB allometric equations (Table 2), and percentages of dominant mangrove species in each plot. The mangrove plots can be di</w:t>
      </w:r>
      <w:r w:rsidR="00B027CE" w:rsidRPr="00CB00F9">
        <w:rPr>
          <w:color w:val="auto"/>
        </w:rPr>
        <w:t>vided into g</w:t>
      </w:r>
      <w:r w:rsidR="00080252">
        <w:rPr>
          <w:color w:val="auto"/>
        </w:rPr>
        <w:t>r</w:t>
      </w:r>
      <w:r w:rsidR="00B027CE" w:rsidRPr="00080252">
        <w:rPr>
          <w:color w:val="auto"/>
        </w:rPr>
        <w:t xml:space="preserve">oups of 1-3 which </w:t>
      </w:r>
      <w:r w:rsidRPr="00080252">
        <w:rPr>
          <w:color w:val="auto"/>
        </w:rPr>
        <w:t xml:space="preserve">were planted mature mangroves with </w:t>
      </w:r>
      <w:r w:rsidRPr="00080252">
        <w:rPr>
          <w:i/>
          <w:color w:val="auto"/>
        </w:rPr>
        <w:t xml:space="preserve">S. caseolaris occupying </w:t>
      </w:r>
      <w:r w:rsidRPr="00080252">
        <w:rPr>
          <w:color w:val="auto"/>
        </w:rPr>
        <w:t xml:space="preserve">around 70% and a group of plot 19-25 were newer mangroves planted in 2013 and 2016 with nearly pure </w:t>
      </w:r>
      <w:r w:rsidRPr="00CB00F9">
        <w:rPr>
          <w:i/>
          <w:color w:val="auto"/>
        </w:rPr>
        <w:t>S. caseolaris</w:t>
      </w:r>
      <w:r w:rsidRPr="00CB00F9">
        <w:rPr>
          <w:color w:val="auto"/>
        </w:rPr>
        <w:t>. A mixture of the three mangroves in plots 11-18 were natural-original species and in degrading stage, hence the MAGB values (lower than Mg ha</w:t>
      </w:r>
      <w:r w:rsidRPr="00CB00F9">
        <w:rPr>
          <w:color w:val="auto"/>
          <w:vertAlign w:val="superscript"/>
        </w:rPr>
        <w:t>−1</w:t>
      </w:r>
      <w:r w:rsidRPr="00CB00F9">
        <w:rPr>
          <w:color w:val="auto"/>
        </w:rPr>
        <w:t xml:space="preserve">) lower than the well-growing mangrove trees in the plot 4-9 with dominant of </w:t>
      </w:r>
      <w:r w:rsidRPr="00CB00F9">
        <w:rPr>
          <w:i/>
          <w:color w:val="auto"/>
        </w:rPr>
        <w:t>K. obovata</w:t>
      </w:r>
      <w:r w:rsidRPr="00CB00F9">
        <w:rPr>
          <w:color w:val="auto"/>
        </w:rPr>
        <w:t>.</w:t>
      </w:r>
    </w:p>
    <w:tbl>
      <w:tblPr>
        <w:tblStyle w:val="TableGrid"/>
        <w:tblpPr w:leftFromText="180" w:rightFromText="180" w:vertAnchor="page" w:horzAnchor="margin" w:tblpY="6401"/>
        <w:tblW w:w="10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
        <w:gridCol w:w="1117"/>
        <w:gridCol w:w="1646"/>
        <w:gridCol w:w="1181"/>
        <w:gridCol w:w="889"/>
        <w:gridCol w:w="1117"/>
        <w:gridCol w:w="1826"/>
        <w:gridCol w:w="1523"/>
      </w:tblGrid>
      <w:tr w:rsidR="005031B5" w:rsidRPr="006C48A9" w:rsidTr="005031B5">
        <w:tc>
          <w:tcPr>
            <w:tcW w:w="878" w:type="dxa"/>
            <w:tcBorders>
              <w:top w:val="single" w:sz="8" w:space="0" w:color="auto"/>
              <w:bottom w:val="single" w:sz="8" w:space="0" w:color="auto"/>
            </w:tcBorders>
          </w:tcPr>
          <w:p w:rsidR="005031B5" w:rsidRPr="006C48A9" w:rsidRDefault="005031B5" w:rsidP="005031B5">
            <w:pPr>
              <w:spacing w:line="240" w:lineRule="auto"/>
              <w:rPr>
                <w:sz w:val="22"/>
                <w:szCs w:val="22"/>
              </w:rPr>
            </w:pPr>
            <w:r w:rsidRPr="006C48A9">
              <w:rPr>
                <w:sz w:val="22"/>
                <w:szCs w:val="22"/>
              </w:rPr>
              <w:t>Plot No.</w:t>
            </w:r>
          </w:p>
        </w:tc>
        <w:tc>
          <w:tcPr>
            <w:tcW w:w="1117" w:type="dxa"/>
            <w:tcBorders>
              <w:top w:val="single" w:sz="8" w:space="0" w:color="auto"/>
              <w:bottom w:val="single" w:sz="8" w:space="0" w:color="auto"/>
            </w:tcBorders>
          </w:tcPr>
          <w:p w:rsidR="005031B5" w:rsidRPr="006C48A9" w:rsidRDefault="005031B5" w:rsidP="005031B5">
            <w:pPr>
              <w:spacing w:line="240" w:lineRule="auto"/>
              <w:rPr>
                <w:sz w:val="22"/>
                <w:szCs w:val="22"/>
              </w:rPr>
            </w:pPr>
            <w:r w:rsidRPr="006C48A9">
              <w:rPr>
                <w:sz w:val="22"/>
                <w:szCs w:val="22"/>
              </w:rPr>
              <w:t xml:space="preserve">MAGB </w:t>
            </w:r>
          </w:p>
          <w:p w:rsidR="005031B5" w:rsidRPr="006C48A9" w:rsidRDefault="005031B5" w:rsidP="005031B5">
            <w:pPr>
              <w:spacing w:line="240" w:lineRule="auto"/>
              <w:rPr>
                <w:sz w:val="22"/>
                <w:szCs w:val="22"/>
              </w:rPr>
            </w:pPr>
            <w:r w:rsidRPr="006C48A9">
              <w:rPr>
                <w:sz w:val="22"/>
                <w:szCs w:val="22"/>
              </w:rPr>
              <w:t>(Mg ha</w:t>
            </w:r>
            <w:r w:rsidRPr="006C48A9">
              <w:rPr>
                <w:sz w:val="22"/>
                <w:szCs w:val="22"/>
                <w:vertAlign w:val="superscript"/>
              </w:rPr>
              <w:t>−1</w:t>
            </w:r>
            <w:r w:rsidRPr="006C48A9">
              <w:rPr>
                <w:sz w:val="22"/>
                <w:szCs w:val="22"/>
              </w:rPr>
              <w:t>)</w:t>
            </w:r>
          </w:p>
        </w:tc>
        <w:tc>
          <w:tcPr>
            <w:tcW w:w="1646" w:type="dxa"/>
            <w:tcBorders>
              <w:top w:val="single" w:sz="8" w:space="0" w:color="auto"/>
              <w:bottom w:val="single" w:sz="8" w:space="0" w:color="auto"/>
            </w:tcBorders>
          </w:tcPr>
          <w:p w:rsidR="005031B5" w:rsidRPr="006C48A9" w:rsidRDefault="005031B5" w:rsidP="005031B5">
            <w:pPr>
              <w:spacing w:line="240" w:lineRule="auto"/>
              <w:rPr>
                <w:sz w:val="22"/>
                <w:szCs w:val="22"/>
              </w:rPr>
            </w:pPr>
            <w:r w:rsidRPr="006C48A9">
              <w:rPr>
                <w:sz w:val="22"/>
                <w:szCs w:val="22"/>
              </w:rPr>
              <w:t>Dominant species</w:t>
            </w:r>
          </w:p>
        </w:tc>
        <w:tc>
          <w:tcPr>
            <w:tcW w:w="1181" w:type="dxa"/>
            <w:tcBorders>
              <w:top w:val="single" w:sz="8" w:space="0" w:color="auto"/>
              <w:bottom w:val="single" w:sz="8" w:space="0" w:color="auto"/>
            </w:tcBorders>
          </w:tcPr>
          <w:p w:rsidR="005031B5" w:rsidRDefault="005031B5" w:rsidP="005031B5">
            <w:pPr>
              <w:spacing w:line="240" w:lineRule="auto"/>
              <w:rPr>
                <w:sz w:val="22"/>
                <w:szCs w:val="22"/>
              </w:rPr>
            </w:pPr>
            <w:r>
              <w:rPr>
                <w:sz w:val="22"/>
                <w:szCs w:val="22"/>
              </w:rPr>
              <w:t>Percentage</w:t>
            </w:r>
          </w:p>
          <w:p w:rsidR="005031B5" w:rsidRPr="006C48A9" w:rsidRDefault="005031B5" w:rsidP="005031B5">
            <w:pPr>
              <w:spacing w:line="240" w:lineRule="auto"/>
              <w:rPr>
                <w:sz w:val="22"/>
                <w:szCs w:val="22"/>
              </w:rPr>
            </w:pPr>
            <w:r>
              <w:rPr>
                <w:sz w:val="22"/>
                <w:szCs w:val="22"/>
              </w:rPr>
              <w:t>(%)</w:t>
            </w:r>
          </w:p>
        </w:tc>
        <w:tc>
          <w:tcPr>
            <w:tcW w:w="889" w:type="dxa"/>
            <w:tcBorders>
              <w:top w:val="single" w:sz="8" w:space="0" w:color="auto"/>
              <w:bottom w:val="single" w:sz="8" w:space="0" w:color="auto"/>
            </w:tcBorders>
          </w:tcPr>
          <w:p w:rsidR="005031B5" w:rsidRPr="006C48A9" w:rsidRDefault="005031B5" w:rsidP="005031B5">
            <w:pPr>
              <w:spacing w:line="240" w:lineRule="auto"/>
              <w:rPr>
                <w:sz w:val="22"/>
                <w:szCs w:val="22"/>
              </w:rPr>
            </w:pPr>
            <w:r w:rsidRPr="006C48A9">
              <w:rPr>
                <w:sz w:val="22"/>
                <w:szCs w:val="22"/>
              </w:rPr>
              <w:t>Plot No.</w:t>
            </w:r>
          </w:p>
        </w:tc>
        <w:tc>
          <w:tcPr>
            <w:tcW w:w="1117" w:type="dxa"/>
            <w:tcBorders>
              <w:top w:val="single" w:sz="8" w:space="0" w:color="auto"/>
              <w:bottom w:val="single" w:sz="8" w:space="0" w:color="auto"/>
            </w:tcBorders>
          </w:tcPr>
          <w:p w:rsidR="005031B5" w:rsidRPr="006C48A9" w:rsidRDefault="005031B5" w:rsidP="005031B5">
            <w:pPr>
              <w:spacing w:line="240" w:lineRule="auto"/>
              <w:rPr>
                <w:sz w:val="22"/>
                <w:szCs w:val="22"/>
              </w:rPr>
            </w:pPr>
            <w:r w:rsidRPr="006C48A9">
              <w:rPr>
                <w:sz w:val="22"/>
                <w:szCs w:val="22"/>
              </w:rPr>
              <w:t xml:space="preserve">MAGB </w:t>
            </w:r>
          </w:p>
          <w:p w:rsidR="005031B5" w:rsidRPr="006C48A9" w:rsidRDefault="005031B5" w:rsidP="005031B5">
            <w:pPr>
              <w:spacing w:line="240" w:lineRule="auto"/>
              <w:rPr>
                <w:sz w:val="22"/>
                <w:szCs w:val="22"/>
              </w:rPr>
            </w:pPr>
            <w:r w:rsidRPr="006C48A9">
              <w:rPr>
                <w:sz w:val="22"/>
                <w:szCs w:val="22"/>
              </w:rPr>
              <w:t>(Mg ha</w:t>
            </w:r>
            <w:r w:rsidRPr="006C48A9">
              <w:rPr>
                <w:sz w:val="22"/>
                <w:szCs w:val="22"/>
                <w:vertAlign w:val="superscript"/>
              </w:rPr>
              <w:t>−1</w:t>
            </w:r>
            <w:r w:rsidRPr="006C48A9">
              <w:rPr>
                <w:sz w:val="22"/>
                <w:szCs w:val="22"/>
              </w:rPr>
              <w:t>)</w:t>
            </w:r>
          </w:p>
        </w:tc>
        <w:tc>
          <w:tcPr>
            <w:tcW w:w="1826" w:type="dxa"/>
            <w:tcBorders>
              <w:top w:val="single" w:sz="8" w:space="0" w:color="auto"/>
              <w:bottom w:val="single" w:sz="8" w:space="0" w:color="auto"/>
            </w:tcBorders>
          </w:tcPr>
          <w:p w:rsidR="005031B5" w:rsidRPr="006C48A9" w:rsidRDefault="005031B5" w:rsidP="005031B5">
            <w:pPr>
              <w:spacing w:line="240" w:lineRule="auto"/>
              <w:rPr>
                <w:sz w:val="22"/>
                <w:szCs w:val="22"/>
              </w:rPr>
            </w:pPr>
            <w:r w:rsidRPr="006C48A9">
              <w:rPr>
                <w:sz w:val="22"/>
                <w:szCs w:val="22"/>
              </w:rPr>
              <w:t>Dominant species</w:t>
            </w:r>
          </w:p>
        </w:tc>
        <w:tc>
          <w:tcPr>
            <w:tcW w:w="1523" w:type="dxa"/>
            <w:tcBorders>
              <w:top w:val="single" w:sz="8" w:space="0" w:color="auto"/>
              <w:bottom w:val="single" w:sz="8" w:space="0" w:color="auto"/>
            </w:tcBorders>
          </w:tcPr>
          <w:p w:rsidR="005031B5" w:rsidRDefault="005031B5" w:rsidP="005031B5">
            <w:pPr>
              <w:spacing w:line="240" w:lineRule="auto"/>
              <w:rPr>
                <w:sz w:val="22"/>
                <w:szCs w:val="22"/>
              </w:rPr>
            </w:pPr>
            <w:r>
              <w:rPr>
                <w:sz w:val="22"/>
                <w:szCs w:val="22"/>
              </w:rPr>
              <w:t>Percentage</w:t>
            </w:r>
          </w:p>
          <w:p w:rsidR="005031B5" w:rsidRPr="006C48A9" w:rsidRDefault="005031B5" w:rsidP="005031B5">
            <w:pPr>
              <w:spacing w:line="240" w:lineRule="auto"/>
              <w:rPr>
                <w:sz w:val="22"/>
                <w:szCs w:val="22"/>
              </w:rPr>
            </w:pPr>
            <w:r>
              <w:rPr>
                <w:sz w:val="22"/>
                <w:szCs w:val="22"/>
              </w:rPr>
              <w:t>(%)</w:t>
            </w:r>
          </w:p>
        </w:tc>
      </w:tr>
      <w:tr w:rsidR="005031B5" w:rsidRPr="006C48A9" w:rsidTr="005031B5">
        <w:tc>
          <w:tcPr>
            <w:tcW w:w="878" w:type="dxa"/>
            <w:tcBorders>
              <w:top w:val="single" w:sz="8" w:space="0" w:color="auto"/>
            </w:tcBorders>
          </w:tcPr>
          <w:p w:rsidR="005031B5" w:rsidRPr="006C48A9" w:rsidRDefault="005031B5" w:rsidP="005031B5">
            <w:pPr>
              <w:spacing w:line="240" w:lineRule="auto"/>
              <w:rPr>
                <w:sz w:val="22"/>
                <w:szCs w:val="22"/>
              </w:rPr>
            </w:pPr>
            <w:r w:rsidRPr="006C48A9">
              <w:rPr>
                <w:sz w:val="22"/>
                <w:szCs w:val="22"/>
              </w:rPr>
              <w:t>1</w:t>
            </w:r>
          </w:p>
        </w:tc>
        <w:tc>
          <w:tcPr>
            <w:tcW w:w="1117" w:type="dxa"/>
            <w:tcBorders>
              <w:top w:val="single" w:sz="8" w:space="0" w:color="auto"/>
            </w:tcBorders>
          </w:tcPr>
          <w:p w:rsidR="005031B5" w:rsidRPr="006C48A9" w:rsidRDefault="005031B5" w:rsidP="005031B5">
            <w:pPr>
              <w:spacing w:line="240" w:lineRule="auto"/>
              <w:rPr>
                <w:i/>
                <w:sz w:val="22"/>
                <w:szCs w:val="22"/>
              </w:rPr>
            </w:pPr>
            <w:r w:rsidRPr="006C48A9">
              <w:rPr>
                <w:sz w:val="22"/>
                <w:szCs w:val="22"/>
              </w:rPr>
              <w:t>26.05</w:t>
            </w:r>
          </w:p>
        </w:tc>
        <w:tc>
          <w:tcPr>
            <w:tcW w:w="1646" w:type="dxa"/>
            <w:tcBorders>
              <w:top w:val="single" w:sz="8" w:space="0" w:color="auto"/>
            </w:tcBorders>
          </w:tcPr>
          <w:p w:rsidR="005031B5" w:rsidRPr="006C48A9" w:rsidRDefault="005031B5" w:rsidP="005031B5">
            <w:pPr>
              <w:spacing w:line="240" w:lineRule="auto"/>
              <w:rPr>
                <w:i/>
                <w:sz w:val="22"/>
                <w:szCs w:val="22"/>
              </w:rPr>
            </w:pPr>
            <w:r w:rsidRPr="006C48A9">
              <w:rPr>
                <w:i/>
                <w:sz w:val="22"/>
                <w:szCs w:val="22"/>
              </w:rPr>
              <w:t>S. caseolaris</w:t>
            </w:r>
          </w:p>
          <w:p w:rsidR="005031B5" w:rsidRPr="006C48A9" w:rsidRDefault="005031B5" w:rsidP="005031B5">
            <w:pPr>
              <w:spacing w:line="240" w:lineRule="auto"/>
              <w:rPr>
                <w:i/>
                <w:sz w:val="22"/>
                <w:szCs w:val="22"/>
              </w:rPr>
            </w:pPr>
            <w:r w:rsidRPr="006C48A9">
              <w:rPr>
                <w:i/>
                <w:sz w:val="22"/>
                <w:szCs w:val="22"/>
              </w:rPr>
              <w:t>K. obovata</w:t>
            </w:r>
          </w:p>
        </w:tc>
        <w:tc>
          <w:tcPr>
            <w:tcW w:w="1181" w:type="dxa"/>
            <w:tcBorders>
              <w:top w:val="single" w:sz="8" w:space="0" w:color="auto"/>
            </w:tcBorders>
          </w:tcPr>
          <w:p w:rsidR="005031B5" w:rsidRPr="006C48A9" w:rsidRDefault="005031B5" w:rsidP="005031B5">
            <w:pPr>
              <w:spacing w:line="240" w:lineRule="auto"/>
              <w:rPr>
                <w:sz w:val="22"/>
                <w:szCs w:val="22"/>
              </w:rPr>
            </w:pPr>
            <w:r w:rsidRPr="006C48A9">
              <w:rPr>
                <w:sz w:val="22"/>
                <w:szCs w:val="22"/>
              </w:rPr>
              <w:t>36.20</w:t>
            </w:r>
          </w:p>
          <w:p w:rsidR="005031B5" w:rsidRPr="006C48A9" w:rsidRDefault="005031B5" w:rsidP="005031B5">
            <w:pPr>
              <w:spacing w:line="240" w:lineRule="auto"/>
              <w:rPr>
                <w:sz w:val="22"/>
                <w:szCs w:val="22"/>
              </w:rPr>
            </w:pPr>
            <w:r w:rsidRPr="006C48A9">
              <w:rPr>
                <w:sz w:val="22"/>
                <w:szCs w:val="22"/>
              </w:rPr>
              <w:t>63.80</w:t>
            </w:r>
          </w:p>
        </w:tc>
        <w:tc>
          <w:tcPr>
            <w:tcW w:w="889" w:type="dxa"/>
            <w:tcBorders>
              <w:top w:val="single" w:sz="8" w:space="0" w:color="auto"/>
            </w:tcBorders>
          </w:tcPr>
          <w:p w:rsidR="005031B5" w:rsidRPr="006C48A9" w:rsidRDefault="005031B5" w:rsidP="005031B5">
            <w:pPr>
              <w:spacing w:line="240" w:lineRule="auto"/>
              <w:rPr>
                <w:sz w:val="22"/>
                <w:szCs w:val="22"/>
              </w:rPr>
            </w:pPr>
            <w:r w:rsidRPr="006C48A9">
              <w:rPr>
                <w:sz w:val="22"/>
                <w:szCs w:val="22"/>
              </w:rPr>
              <w:t>13</w:t>
            </w:r>
          </w:p>
        </w:tc>
        <w:tc>
          <w:tcPr>
            <w:tcW w:w="1117" w:type="dxa"/>
            <w:tcBorders>
              <w:top w:val="single" w:sz="8" w:space="0" w:color="auto"/>
            </w:tcBorders>
          </w:tcPr>
          <w:p w:rsidR="005031B5" w:rsidRPr="006C48A9" w:rsidRDefault="005031B5" w:rsidP="005031B5">
            <w:pPr>
              <w:spacing w:line="240" w:lineRule="auto"/>
              <w:rPr>
                <w:sz w:val="22"/>
                <w:szCs w:val="22"/>
              </w:rPr>
            </w:pPr>
            <w:r w:rsidRPr="006C48A9">
              <w:rPr>
                <w:sz w:val="22"/>
                <w:szCs w:val="22"/>
              </w:rPr>
              <w:t>68.19</w:t>
            </w:r>
          </w:p>
        </w:tc>
        <w:tc>
          <w:tcPr>
            <w:tcW w:w="1826" w:type="dxa"/>
            <w:tcBorders>
              <w:top w:val="single" w:sz="8" w:space="0" w:color="auto"/>
            </w:tcBorders>
          </w:tcPr>
          <w:p w:rsidR="005031B5" w:rsidRPr="006C48A9" w:rsidRDefault="005031B5" w:rsidP="005031B5">
            <w:pPr>
              <w:spacing w:line="240" w:lineRule="auto"/>
              <w:rPr>
                <w:i/>
                <w:sz w:val="22"/>
                <w:szCs w:val="22"/>
              </w:rPr>
            </w:pPr>
            <w:r w:rsidRPr="006C48A9">
              <w:rPr>
                <w:i/>
                <w:sz w:val="22"/>
                <w:szCs w:val="22"/>
              </w:rPr>
              <w:t>A. corniculatum</w:t>
            </w:r>
          </w:p>
          <w:p w:rsidR="005031B5" w:rsidRPr="006C48A9" w:rsidRDefault="005031B5" w:rsidP="005031B5">
            <w:pPr>
              <w:spacing w:line="240" w:lineRule="auto"/>
              <w:rPr>
                <w:i/>
                <w:sz w:val="22"/>
                <w:szCs w:val="22"/>
              </w:rPr>
            </w:pPr>
            <w:r w:rsidRPr="006C48A9">
              <w:rPr>
                <w:i/>
                <w:sz w:val="22"/>
                <w:szCs w:val="22"/>
              </w:rPr>
              <w:t>K. obovata</w:t>
            </w:r>
          </w:p>
          <w:p w:rsidR="005031B5" w:rsidRPr="006C48A9" w:rsidRDefault="005031B5" w:rsidP="005031B5">
            <w:pPr>
              <w:spacing w:line="240" w:lineRule="auto"/>
              <w:rPr>
                <w:i/>
                <w:sz w:val="22"/>
                <w:szCs w:val="22"/>
              </w:rPr>
            </w:pPr>
            <w:r w:rsidRPr="006C48A9">
              <w:rPr>
                <w:i/>
                <w:sz w:val="22"/>
                <w:szCs w:val="22"/>
              </w:rPr>
              <w:t>S. caseolaris</w:t>
            </w:r>
          </w:p>
        </w:tc>
        <w:tc>
          <w:tcPr>
            <w:tcW w:w="1523" w:type="dxa"/>
            <w:tcBorders>
              <w:top w:val="single" w:sz="8" w:space="0" w:color="auto"/>
            </w:tcBorders>
          </w:tcPr>
          <w:p w:rsidR="005031B5" w:rsidRPr="006C48A9" w:rsidRDefault="005031B5" w:rsidP="005031B5">
            <w:pPr>
              <w:spacing w:line="240" w:lineRule="auto"/>
              <w:rPr>
                <w:sz w:val="22"/>
                <w:szCs w:val="22"/>
              </w:rPr>
            </w:pPr>
            <w:r w:rsidRPr="006C48A9">
              <w:rPr>
                <w:sz w:val="22"/>
                <w:szCs w:val="22"/>
              </w:rPr>
              <w:t>26.61</w:t>
            </w:r>
          </w:p>
          <w:p w:rsidR="005031B5" w:rsidRPr="006C48A9" w:rsidRDefault="005031B5" w:rsidP="005031B5">
            <w:pPr>
              <w:spacing w:line="240" w:lineRule="auto"/>
              <w:rPr>
                <w:sz w:val="22"/>
                <w:szCs w:val="22"/>
              </w:rPr>
            </w:pPr>
            <w:r w:rsidRPr="006C48A9">
              <w:rPr>
                <w:sz w:val="22"/>
                <w:szCs w:val="22"/>
              </w:rPr>
              <w:t>15.58</w:t>
            </w:r>
          </w:p>
          <w:p w:rsidR="005031B5" w:rsidRPr="006C48A9" w:rsidRDefault="005031B5" w:rsidP="005031B5">
            <w:pPr>
              <w:spacing w:line="240" w:lineRule="auto"/>
              <w:rPr>
                <w:sz w:val="22"/>
                <w:szCs w:val="22"/>
              </w:rPr>
            </w:pPr>
            <w:r w:rsidRPr="006C48A9">
              <w:rPr>
                <w:sz w:val="22"/>
                <w:szCs w:val="22"/>
              </w:rPr>
              <w:t>57.81</w:t>
            </w:r>
          </w:p>
        </w:tc>
      </w:tr>
      <w:tr w:rsidR="005031B5" w:rsidRPr="006C48A9" w:rsidTr="005031B5">
        <w:tc>
          <w:tcPr>
            <w:tcW w:w="878" w:type="dxa"/>
          </w:tcPr>
          <w:p w:rsidR="005031B5" w:rsidRPr="006C48A9" w:rsidRDefault="005031B5" w:rsidP="005031B5">
            <w:pPr>
              <w:spacing w:line="240" w:lineRule="auto"/>
              <w:rPr>
                <w:sz w:val="22"/>
                <w:szCs w:val="22"/>
              </w:rPr>
            </w:pPr>
            <w:r w:rsidRPr="006C48A9">
              <w:rPr>
                <w:sz w:val="22"/>
                <w:szCs w:val="22"/>
              </w:rPr>
              <w:t>2</w:t>
            </w:r>
          </w:p>
        </w:tc>
        <w:tc>
          <w:tcPr>
            <w:tcW w:w="1117" w:type="dxa"/>
          </w:tcPr>
          <w:p w:rsidR="005031B5" w:rsidRPr="006C48A9" w:rsidRDefault="005031B5" w:rsidP="005031B5">
            <w:pPr>
              <w:spacing w:line="240" w:lineRule="auto"/>
              <w:rPr>
                <w:sz w:val="22"/>
                <w:szCs w:val="22"/>
              </w:rPr>
            </w:pPr>
            <w:r w:rsidRPr="006C48A9">
              <w:rPr>
                <w:sz w:val="22"/>
                <w:szCs w:val="22"/>
              </w:rPr>
              <w:t>17.49</w:t>
            </w:r>
          </w:p>
        </w:tc>
        <w:tc>
          <w:tcPr>
            <w:tcW w:w="1646" w:type="dxa"/>
          </w:tcPr>
          <w:p w:rsidR="005031B5" w:rsidRPr="006C48A9" w:rsidRDefault="005031B5" w:rsidP="005031B5">
            <w:pPr>
              <w:spacing w:line="240" w:lineRule="auto"/>
              <w:rPr>
                <w:i/>
                <w:sz w:val="22"/>
                <w:szCs w:val="22"/>
              </w:rPr>
            </w:pPr>
            <w:r w:rsidRPr="006C48A9">
              <w:rPr>
                <w:i/>
                <w:sz w:val="22"/>
                <w:szCs w:val="22"/>
              </w:rPr>
              <w:t>K. obovata</w:t>
            </w:r>
          </w:p>
          <w:p w:rsidR="005031B5" w:rsidRPr="006C48A9" w:rsidRDefault="005031B5" w:rsidP="005031B5">
            <w:pPr>
              <w:spacing w:line="240" w:lineRule="auto"/>
              <w:rPr>
                <w:i/>
                <w:sz w:val="22"/>
                <w:szCs w:val="22"/>
              </w:rPr>
            </w:pPr>
            <w:r w:rsidRPr="006C48A9">
              <w:rPr>
                <w:i/>
                <w:sz w:val="22"/>
                <w:szCs w:val="22"/>
              </w:rPr>
              <w:t>S. caseolaris</w:t>
            </w:r>
          </w:p>
        </w:tc>
        <w:tc>
          <w:tcPr>
            <w:tcW w:w="1181" w:type="dxa"/>
          </w:tcPr>
          <w:p w:rsidR="005031B5" w:rsidRPr="006C48A9" w:rsidRDefault="005031B5" w:rsidP="005031B5">
            <w:pPr>
              <w:spacing w:line="240" w:lineRule="auto"/>
              <w:rPr>
                <w:sz w:val="22"/>
                <w:szCs w:val="22"/>
              </w:rPr>
            </w:pPr>
            <w:r w:rsidRPr="006C48A9">
              <w:rPr>
                <w:sz w:val="22"/>
                <w:szCs w:val="22"/>
              </w:rPr>
              <w:t>26.68</w:t>
            </w:r>
          </w:p>
          <w:p w:rsidR="005031B5" w:rsidRPr="006C48A9" w:rsidRDefault="005031B5" w:rsidP="005031B5">
            <w:pPr>
              <w:spacing w:line="240" w:lineRule="auto"/>
              <w:rPr>
                <w:sz w:val="22"/>
                <w:szCs w:val="22"/>
              </w:rPr>
            </w:pPr>
            <w:r w:rsidRPr="006C48A9">
              <w:rPr>
                <w:sz w:val="22"/>
                <w:szCs w:val="22"/>
              </w:rPr>
              <w:t>73.32</w:t>
            </w:r>
          </w:p>
        </w:tc>
        <w:tc>
          <w:tcPr>
            <w:tcW w:w="889" w:type="dxa"/>
          </w:tcPr>
          <w:p w:rsidR="005031B5" w:rsidRPr="006C48A9" w:rsidRDefault="005031B5" w:rsidP="005031B5">
            <w:pPr>
              <w:spacing w:line="240" w:lineRule="auto"/>
              <w:rPr>
                <w:sz w:val="22"/>
                <w:szCs w:val="22"/>
              </w:rPr>
            </w:pPr>
            <w:r w:rsidRPr="006C48A9">
              <w:rPr>
                <w:sz w:val="22"/>
                <w:szCs w:val="22"/>
              </w:rPr>
              <w:t>14</w:t>
            </w:r>
          </w:p>
        </w:tc>
        <w:tc>
          <w:tcPr>
            <w:tcW w:w="1117" w:type="dxa"/>
          </w:tcPr>
          <w:p w:rsidR="005031B5" w:rsidRPr="006C48A9" w:rsidRDefault="005031B5" w:rsidP="005031B5">
            <w:pPr>
              <w:spacing w:line="240" w:lineRule="auto"/>
              <w:rPr>
                <w:sz w:val="22"/>
                <w:szCs w:val="22"/>
              </w:rPr>
            </w:pPr>
            <w:r w:rsidRPr="006C48A9">
              <w:rPr>
                <w:sz w:val="22"/>
                <w:szCs w:val="22"/>
              </w:rPr>
              <w:t>69.41</w:t>
            </w:r>
          </w:p>
        </w:tc>
        <w:tc>
          <w:tcPr>
            <w:tcW w:w="1826" w:type="dxa"/>
          </w:tcPr>
          <w:p w:rsidR="005031B5" w:rsidRPr="006C48A9" w:rsidRDefault="005031B5" w:rsidP="005031B5">
            <w:pPr>
              <w:spacing w:line="240" w:lineRule="auto"/>
              <w:rPr>
                <w:i/>
                <w:sz w:val="22"/>
                <w:szCs w:val="22"/>
              </w:rPr>
            </w:pPr>
            <w:r w:rsidRPr="006C48A9">
              <w:rPr>
                <w:i/>
                <w:sz w:val="22"/>
                <w:szCs w:val="22"/>
              </w:rPr>
              <w:t>A. corniculatum</w:t>
            </w:r>
          </w:p>
          <w:p w:rsidR="005031B5" w:rsidRPr="006C48A9" w:rsidRDefault="005031B5" w:rsidP="005031B5">
            <w:pPr>
              <w:spacing w:line="240" w:lineRule="auto"/>
              <w:rPr>
                <w:i/>
                <w:sz w:val="22"/>
                <w:szCs w:val="22"/>
              </w:rPr>
            </w:pPr>
            <w:r w:rsidRPr="006C48A9">
              <w:rPr>
                <w:i/>
                <w:sz w:val="22"/>
                <w:szCs w:val="22"/>
              </w:rPr>
              <w:t>K. obovata</w:t>
            </w:r>
          </w:p>
          <w:p w:rsidR="005031B5" w:rsidRPr="006C48A9" w:rsidRDefault="005031B5" w:rsidP="005031B5">
            <w:pPr>
              <w:spacing w:line="240" w:lineRule="auto"/>
              <w:rPr>
                <w:i/>
                <w:sz w:val="22"/>
                <w:szCs w:val="22"/>
              </w:rPr>
            </w:pPr>
            <w:r w:rsidRPr="006C48A9">
              <w:rPr>
                <w:i/>
                <w:sz w:val="22"/>
                <w:szCs w:val="22"/>
              </w:rPr>
              <w:t>S. caseolaris</w:t>
            </w:r>
          </w:p>
        </w:tc>
        <w:tc>
          <w:tcPr>
            <w:tcW w:w="1523" w:type="dxa"/>
          </w:tcPr>
          <w:p w:rsidR="005031B5" w:rsidRPr="006C48A9" w:rsidRDefault="005031B5" w:rsidP="005031B5">
            <w:pPr>
              <w:spacing w:line="240" w:lineRule="auto"/>
              <w:rPr>
                <w:sz w:val="22"/>
                <w:szCs w:val="22"/>
              </w:rPr>
            </w:pPr>
            <w:r w:rsidRPr="006C48A9">
              <w:rPr>
                <w:sz w:val="22"/>
                <w:szCs w:val="22"/>
              </w:rPr>
              <w:t>20.30</w:t>
            </w:r>
          </w:p>
          <w:p w:rsidR="005031B5" w:rsidRPr="006C48A9" w:rsidRDefault="005031B5" w:rsidP="005031B5">
            <w:pPr>
              <w:spacing w:line="240" w:lineRule="auto"/>
              <w:rPr>
                <w:sz w:val="22"/>
                <w:szCs w:val="22"/>
              </w:rPr>
            </w:pPr>
            <w:r w:rsidRPr="006C48A9">
              <w:rPr>
                <w:sz w:val="22"/>
                <w:szCs w:val="22"/>
              </w:rPr>
              <w:t>8.37</w:t>
            </w:r>
          </w:p>
          <w:p w:rsidR="005031B5" w:rsidRPr="006C48A9" w:rsidRDefault="005031B5" w:rsidP="005031B5">
            <w:pPr>
              <w:spacing w:line="240" w:lineRule="auto"/>
              <w:rPr>
                <w:sz w:val="22"/>
                <w:szCs w:val="22"/>
              </w:rPr>
            </w:pPr>
            <w:r w:rsidRPr="006C48A9">
              <w:rPr>
                <w:sz w:val="22"/>
                <w:szCs w:val="22"/>
              </w:rPr>
              <w:t>71.34</w:t>
            </w:r>
          </w:p>
        </w:tc>
      </w:tr>
      <w:tr w:rsidR="005031B5" w:rsidRPr="006C48A9" w:rsidTr="005031B5">
        <w:tc>
          <w:tcPr>
            <w:tcW w:w="878" w:type="dxa"/>
          </w:tcPr>
          <w:p w:rsidR="005031B5" w:rsidRPr="006C48A9" w:rsidRDefault="005031B5" w:rsidP="005031B5">
            <w:pPr>
              <w:spacing w:line="240" w:lineRule="auto"/>
              <w:rPr>
                <w:sz w:val="22"/>
                <w:szCs w:val="22"/>
              </w:rPr>
            </w:pPr>
            <w:r w:rsidRPr="006C48A9">
              <w:rPr>
                <w:sz w:val="22"/>
                <w:szCs w:val="22"/>
              </w:rPr>
              <w:t>3</w:t>
            </w:r>
          </w:p>
        </w:tc>
        <w:tc>
          <w:tcPr>
            <w:tcW w:w="1117" w:type="dxa"/>
          </w:tcPr>
          <w:p w:rsidR="005031B5" w:rsidRPr="006C48A9" w:rsidRDefault="005031B5" w:rsidP="005031B5">
            <w:pPr>
              <w:spacing w:line="240" w:lineRule="auto"/>
              <w:rPr>
                <w:sz w:val="22"/>
                <w:szCs w:val="22"/>
              </w:rPr>
            </w:pPr>
            <w:r w:rsidRPr="006C48A9">
              <w:rPr>
                <w:sz w:val="22"/>
                <w:szCs w:val="22"/>
              </w:rPr>
              <w:t>34.74</w:t>
            </w:r>
          </w:p>
        </w:tc>
        <w:tc>
          <w:tcPr>
            <w:tcW w:w="1646" w:type="dxa"/>
          </w:tcPr>
          <w:p w:rsidR="005031B5" w:rsidRPr="006C48A9" w:rsidRDefault="005031B5" w:rsidP="005031B5">
            <w:pPr>
              <w:spacing w:line="240" w:lineRule="auto"/>
              <w:rPr>
                <w:i/>
                <w:sz w:val="22"/>
                <w:szCs w:val="22"/>
              </w:rPr>
            </w:pPr>
            <w:r w:rsidRPr="006C48A9">
              <w:rPr>
                <w:i/>
                <w:sz w:val="22"/>
                <w:szCs w:val="22"/>
              </w:rPr>
              <w:t>K. obovata</w:t>
            </w:r>
          </w:p>
          <w:p w:rsidR="005031B5" w:rsidRPr="006C48A9" w:rsidRDefault="005031B5" w:rsidP="005031B5">
            <w:pPr>
              <w:spacing w:line="240" w:lineRule="auto"/>
              <w:rPr>
                <w:i/>
                <w:sz w:val="22"/>
                <w:szCs w:val="22"/>
              </w:rPr>
            </w:pPr>
            <w:r w:rsidRPr="006C48A9">
              <w:rPr>
                <w:i/>
                <w:sz w:val="22"/>
                <w:szCs w:val="22"/>
              </w:rPr>
              <w:t>S. caseolaris</w:t>
            </w:r>
          </w:p>
        </w:tc>
        <w:tc>
          <w:tcPr>
            <w:tcW w:w="1181" w:type="dxa"/>
          </w:tcPr>
          <w:p w:rsidR="005031B5" w:rsidRPr="006C48A9" w:rsidRDefault="005031B5" w:rsidP="005031B5">
            <w:pPr>
              <w:spacing w:line="240" w:lineRule="auto"/>
              <w:rPr>
                <w:sz w:val="22"/>
                <w:szCs w:val="22"/>
              </w:rPr>
            </w:pPr>
            <w:r w:rsidRPr="006C48A9">
              <w:rPr>
                <w:sz w:val="22"/>
                <w:szCs w:val="22"/>
              </w:rPr>
              <w:t>20.44</w:t>
            </w:r>
          </w:p>
          <w:p w:rsidR="005031B5" w:rsidRPr="006C48A9" w:rsidRDefault="005031B5" w:rsidP="005031B5">
            <w:pPr>
              <w:spacing w:line="240" w:lineRule="auto"/>
              <w:rPr>
                <w:sz w:val="22"/>
                <w:szCs w:val="22"/>
              </w:rPr>
            </w:pPr>
            <w:r w:rsidRPr="006C48A9">
              <w:rPr>
                <w:sz w:val="22"/>
                <w:szCs w:val="22"/>
              </w:rPr>
              <w:t>79.56</w:t>
            </w:r>
          </w:p>
        </w:tc>
        <w:tc>
          <w:tcPr>
            <w:tcW w:w="889" w:type="dxa"/>
          </w:tcPr>
          <w:p w:rsidR="005031B5" w:rsidRPr="006C48A9" w:rsidRDefault="005031B5" w:rsidP="005031B5">
            <w:pPr>
              <w:spacing w:line="240" w:lineRule="auto"/>
              <w:rPr>
                <w:sz w:val="22"/>
                <w:szCs w:val="22"/>
              </w:rPr>
            </w:pPr>
            <w:r w:rsidRPr="006C48A9">
              <w:rPr>
                <w:sz w:val="22"/>
                <w:szCs w:val="22"/>
              </w:rPr>
              <w:t>15</w:t>
            </w:r>
          </w:p>
        </w:tc>
        <w:tc>
          <w:tcPr>
            <w:tcW w:w="1117" w:type="dxa"/>
          </w:tcPr>
          <w:p w:rsidR="005031B5" w:rsidRPr="006C48A9" w:rsidRDefault="005031B5" w:rsidP="005031B5">
            <w:pPr>
              <w:spacing w:line="240" w:lineRule="auto"/>
              <w:rPr>
                <w:sz w:val="22"/>
                <w:szCs w:val="22"/>
              </w:rPr>
            </w:pPr>
            <w:r w:rsidRPr="006C48A9">
              <w:rPr>
                <w:sz w:val="22"/>
                <w:szCs w:val="22"/>
              </w:rPr>
              <w:t>43.93</w:t>
            </w:r>
          </w:p>
        </w:tc>
        <w:tc>
          <w:tcPr>
            <w:tcW w:w="1826" w:type="dxa"/>
          </w:tcPr>
          <w:p w:rsidR="005031B5" w:rsidRPr="006C48A9" w:rsidRDefault="005031B5" w:rsidP="005031B5">
            <w:pPr>
              <w:spacing w:line="240" w:lineRule="auto"/>
              <w:rPr>
                <w:i/>
                <w:sz w:val="22"/>
                <w:szCs w:val="22"/>
              </w:rPr>
            </w:pPr>
            <w:r w:rsidRPr="006C48A9">
              <w:rPr>
                <w:i/>
                <w:sz w:val="22"/>
                <w:szCs w:val="22"/>
              </w:rPr>
              <w:t>A. corniculatum</w:t>
            </w:r>
          </w:p>
          <w:p w:rsidR="005031B5" w:rsidRPr="006C48A9" w:rsidRDefault="005031B5" w:rsidP="005031B5">
            <w:pPr>
              <w:spacing w:line="240" w:lineRule="auto"/>
              <w:rPr>
                <w:i/>
                <w:sz w:val="22"/>
                <w:szCs w:val="22"/>
              </w:rPr>
            </w:pPr>
            <w:r w:rsidRPr="006C48A9">
              <w:rPr>
                <w:i/>
                <w:sz w:val="22"/>
                <w:szCs w:val="22"/>
              </w:rPr>
              <w:t>K. obovata</w:t>
            </w:r>
          </w:p>
          <w:p w:rsidR="005031B5" w:rsidRPr="006C48A9" w:rsidRDefault="005031B5" w:rsidP="005031B5">
            <w:pPr>
              <w:spacing w:line="240" w:lineRule="auto"/>
              <w:rPr>
                <w:i/>
                <w:sz w:val="22"/>
                <w:szCs w:val="22"/>
              </w:rPr>
            </w:pPr>
            <w:r w:rsidRPr="006C48A9">
              <w:rPr>
                <w:i/>
                <w:sz w:val="22"/>
                <w:szCs w:val="22"/>
              </w:rPr>
              <w:t>S. caseolaris</w:t>
            </w:r>
          </w:p>
        </w:tc>
        <w:tc>
          <w:tcPr>
            <w:tcW w:w="1523" w:type="dxa"/>
          </w:tcPr>
          <w:p w:rsidR="005031B5" w:rsidRPr="006C48A9" w:rsidRDefault="005031B5" w:rsidP="005031B5">
            <w:pPr>
              <w:spacing w:line="240" w:lineRule="auto"/>
              <w:rPr>
                <w:sz w:val="22"/>
                <w:szCs w:val="22"/>
              </w:rPr>
            </w:pPr>
            <w:r w:rsidRPr="006C48A9">
              <w:rPr>
                <w:sz w:val="22"/>
                <w:szCs w:val="22"/>
              </w:rPr>
              <w:t>33.66</w:t>
            </w:r>
          </w:p>
          <w:p w:rsidR="005031B5" w:rsidRPr="006C48A9" w:rsidRDefault="005031B5" w:rsidP="005031B5">
            <w:pPr>
              <w:spacing w:line="240" w:lineRule="auto"/>
              <w:rPr>
                <w:sz w:val="22"/>
                <w:szCs w:val="22"/>
              </w:rPr>
            </w:pPr>
            <w:r w:rsidRPr="006C48A9">
              <w:rPr>
                <w:sz w:val="22"/>
                <w:szCs w:val="22"/>
              </w:rPr>
              <w:t>14.28</w:t>
            </w:r>
          </w:p>
          <w:p w:rsidR="005031B5" w:rsidRPr="006C48A9" w:rsidRDefault="005031B5" w:rsidP="005031B5">
            <w:pPr>
              <w:spacing w:line="240" w:lineRule="auto"/>
              <w:rPr>
                <w:sz w:val="22"/>
                <w:szCs w:val="22"/>
              </w:rPr>
            </w:pPr>
            <w:r w:rsidRPr="006C48A9">
              <w:rPr>
                <w:sz w:val="22"/>
                <w:szCs w:val="22"/>
              </w:rPr>
              <w:t>52.06</w:t>
            </w:r>
          </w:p>
        </w:tc>
      </w:tr>
      <w:tr w:rsidR="005031B5" w:rsidRPr="006C48A9" w:rsidTr="005031B5">
        <w:tc>
          <w:tcPr>
            <w:tcW w:w="878"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4</w:t>
            </w:r>
          </w:p>
        </w:tc>
        <w:tc>
          <w:tcPr>
            <w:tcW w:w="1117"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43.11</w:t>
            </w:r>
          </w:p>
        </w:tc>
        <w:tc>
          <w:tcPr>
            <w:tcW w:w="1646" w:type="dxa"/>
            <w:tcBorders>
              <w:bottom w:val="single" w:sz="4" w:space="0" w:color="auto"/>
            </w:tcBorders>
          </w:tcPr>
          <w:p w:rsidR="005031B5" w:rsidRPr="006C48A9" w:rsidRDefault="005031B5" w:rsidP="005031B5">
            <w:pPr>
              <w:spacing w:line="240" w:lineRule="auto"/>
              <w:rPr>
                <w:i/>
                <w:sz w:val="22"/>
                <w:szCs w:val="22"/>
              </w:rPr>
            </w:pPr>
            <w:r w:rsidRPr="006C48A9">
              <w:rPr>
                <w:i/>
                <w:sz w:val="22"/>
                <w:szCs w:val="22"/>
              </w:rPr>
              <w:t>A. corniculatum</w:t>
            </w:r>
          </w:p>
          <w:p w:rsidR="005031B5" w:rsidRPr="006C48A9" w:rsidRDefault="005031B5" w:rsidP="005031B5">
            <w:pPr>
              <w:spacing w:line="240" w:lineRule="auto"/>
              <w:rPr>
                <w:i/>
                <w:sz w:val="22"/>
                <w:szCs w:val="22"/>
              </w:rPr>
            </w:pPr>
            <w:r w:rsidRPr="006C48A9">
              <w:rPr>
                <w:i/>
                <w:sz w:val="22"/>
                <w:szCs w:val="22"/>
              </w:rPr>
              <w:t>K. obovata</w:t>
            </w:r>
          </w:p>
        </w:tc>
        <w:tc>
          <w:tcPr>
            <w:tcW w:w="1181"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5.14</w:t>
            </w:r>
          </w:p>
          <w:p w:rsidR="005031B5" w:rsidRPr="006C48A9" w:rsidRDefault="005031B5" w:rsidP="005031B5">
            <w:pPr>
              <w:spacing w:line="240" w:lineRule="auto"/>
              <w:rPr>
                <w:sz w:val="22"/>
                <w:szCs w:val="22"/>
              </w:rPr>
            </w:pPr>
            <w:r w:rsidRPr="006C48A9">
              <w:rPr>
                <w:sz w:val="22"/>
                <w:szCs w:val="22"/>
              </w:rPr>
              <w:t>94.76</w:t>
            </w:r>
          </w:p>
        </w:tc>
        <w:tc>
          <w:tcPr>
            <w:tcW w:w="889"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16</w:t>
            </w:r>
          </w:p>
        </w:tc>
        <w:tc>
          <w:tcPr>
            <w:tcW w:w="1117"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35.34</w:t>
            </w:r>
          </w:p>
        </w:tc>
        <w:tc>
          <w:tcPr>
            <w:tcW w:w="1826" w:type="dxa"/>
            <w:tcBorders>
              <w:bottom w:val="single" w:sz="4" w:space="0" w:color="auto"/>
            </w:tcBorders>
          </w:tcPr>
          <w:p w:rsidR="005031B5" w:rsidRPr="006C48A9" w:rsidRDefault="005031B5" w:rsidP="005031B5">
            <w:pPr>
              <w:spacing w:line="240" w:lineRule="auto"/>
              <w:rPr>
                <w:i/>
                <w:sz w:val="22"/>
                <w:szCs w:val="22"/>
              </w:rPr>
            </w:pPr>
            <w:r w:rsidRPr="006C48A9">
              <w:rPr>
                <w:i/>
                <w:sz w:val="22"/>
                <w:szCs w:val="22"/>
              </w:rPr>
              <w:t>K. obovata</w:t>
            </w:r>
          </w:p>
          <w:p w:rsidR="005031B5" w:rsidRPr="006C48A9" w:rsidRDefault="005031B5" w:rsidP="005031B5">
            <w:pPr>
              <w:spacing w:line="240" w:lineRule="auto"/>
              <w:rPr>
                <w:i/>
                <w:sz w:val="22"/>
                <w:szCs w:val="22"/>
              </w:rPr>
            </w:pPr>
            <w:r w:rsidRPr="006C48A9">
              <w:rPr>
                <w:i/>
                <w:sz w:val="22"/>
                <w:szCs w:val="22"/>
              </w:rPr>
              <w:t>S. caseolaris</w:t>
            </w:r>
          </w:p>
        </w:tc>
        <w:tc>
          <w:tcPr>
            <w:tcW w:w="1523"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33.45</w:t>
            </w:r>
          </w:p>
          <w:p w:rsidR="005031B5" w:rsidRPr="006C48A9" w:rsidRDefault="005031B5" w:rsidP="005031B5">
            <w:pPr>
              <w:spacing w:line="240" w:lineRule="auto"/>
              <w:rPr>
                <w:sz w:val="22"/>
                <w:szCs w:val="22"/>
              </w:rPr>
            </w:pPr>
            <w:r w:rsidRPr="006C48A9">
              <w:rPr>
                <w:sz w:val="22"/>
                <w:szCs w:val="22"/>
              </w:rPr>
              <w:t>66.55</w:t>
            </w:r>
          </w:p>
        </w:tc>
      </w:tr>
      <w:tr w:rsidR="005031B5" w:rsidRPr="006C48A9" w:rsidTr="005031B5">
        <w:tc>
          <w:tcPr>
            <w:tcW w:w="878"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5</w:t>
            </w:r>
          </w:p>
        </w:tc>
        <w:tc>
          <w:tcPr>
            <w:tcW w:w="1117"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93.25</w:t>
            </w:r>
          </w:p>
        </w:tc>
        <w:tc>
          <w:tcPr>
            <w:tcW w:w="1646" w:type="dxa"/>
            <w:tcBorders>
              <w:top w:val="single" w:sz="4" w:space="0" w:color="auto"/>
            </w:tcBorders>
          </w:tcPr>
          <w:p w:rsidR="005031B5" w:rsidRPr="006C48A9" w:rsidRDefault="005031B5" w:rsidP="005031B5">
            <w:pPr>
              <w:spacing w:line="240" w:lineRule="auto"/>
              <w:rPr>
                <w:i/>
                <w:sz w:val="22"/>
                <w:szCs w:val="22"/>
              </w:rPr>
            </w:pPr>
            <w:r w:rsidRPr="006C48A9">
              <w:rPr>
                <w:i/>
                <w:sz w:val="22"/>
                <w:szCs w:val="22"/>
              </w:rPr>
              <w:t>A. corniculatum</w:t>
            </w:r>
          </w:p>
          <w:p w:rsidR="005031B5" w:rsidRPr="006C48A9" w:rsidRDefault="005031B5" w:rsidP="005031B5">
            <w:pPr>
              <w:spacing w:line="240" w:lineRule="auto"/>
              <w:rPr>
                <w:i/>
                <w:sz w:val="22"/>
                <w:szCs w:val="22"/>
              </w:rPr>
            </w:pPr>
            <w:r w:rsidRPr="006C48A9">
              <w:rPr>
                <w:i/>
                <w:sz w:val="22"/>
                <w:szCs w:val="22"/>
              </w:rPr>
              <w:t>K. obovata</w:t>
            </w:r>
          </w:p>
        </w:tc>
        <w:tc>
          <w:tcPr>
            <w:tcW w:w="1181"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2.25</w:t>
            </w:r>
          </w:p>
          <w:p w:rsidR="005031B5" w:rsidRPr="006C48A9" w:rsidRDefault="005031B5" w:rsidP="005031B5">
            <w:pPr>
              <w:spacing w:line="240" w:lineRule="auto"/>
              <w:rPr>
                <w:sz w:val="22"/>
                <w:szCs w:val="22"/>
              </w:rPr>
            </w:pPr>
            <w:r w:rsidRPr="006C48A9">
              <w:rPr>
                <w:sz w:val="22"/>
                <w:szCs w:val="22"/>
              </w:rPr>
              <w:t>97.75</w:t>
            </w:r>
          </w:p>
        </w:tc>
        <w:tc>
          <w:tcPr>
            <w:tcW w:w="889"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17</w:t>
            </w:r>
          </w:p>
        </w:tc>
        <w:tc>
          <w:tcPr>
            <w:tcW w:w="1117"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34.42</w:t>
            </w:r>
          </w:p>
        </w:tc>
        <w:tc>
          <w:tcPr>
            <w:tcW w:w="1826" w:type="dxa"/>
            <w:tcBorders>
              <w:top w:val="single" w:sz="4" w:space="0" w:color="auto"/>
            </w:tcBorders>
          </w:tcPr>
          <w:p w:rsidR="005031B5" w:rsidRPr="006C48A9" w:rsidRDefault="005031B5" w:rsidP="005031B5">
            <w:pPr>
              <w:spacing w:line="240" w:lineRule="auto"/>
              <w:rPr>
                <w:i/>
                <w:sz w:val="22"/>
                <w:szCs w:val="22"/>
              </w:rPr>
            </w:pPr>
            <w:r w:rsidRPr="006C48A9">
              <w:rPr>
                <w:i/>
                <w:sz w:val="22"/>
                <w:szCs w:val="22"/>
              </w:rPr>
              <w:t>K. obovata</w:t>
            </w:r>
          </w:p>
          <w:p w:rsidR="005031B5" w:rsidRPr="006C48A9" w:rsidRDefault="005031B5" w:rsidP="005031B5">
            <w:pPr>
              <w:spacing w:line="240" w:lineRule="auto"/>
              <w:rPr>
                <w:i/>
                <w:sz w:val="22"/>
                <w:szCs w:val="22"/>
              </w:rPr>
            </w:pPr>
            <w:r w:rsidRPr="006C48A9">
              <w:rPr>
                <w:i/>
                <w:sz w:val="22"/>
                <w:szCs w:val="22"/>
              </w:rPr>
              <w:t>S. caseolaris</w:t>
            </w:r>
          </w:p>
        </w:tc>
        <w:tc>
          <w:tcPr>
            <w:tcW w:w="1523"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40.49</w:t>
            </w:r>
          </w:p>
          <w:p w:rsidR="005031B5" w:rsidRPr="006C48A9" w:rsidRDefault="005031B5" w:rsidP="005031B5">
            <w:pPr>
              <w:spacing w:line="240" w:lineRule="auto"/>
              <w:rPr>
                <w:sz w:val="22"/>
                <w:szCs w:val="22"/>
              </w:rPr>
            </w:pPr>
            <w:r w:rsidRPr="006C48A9">
              <w:rPr>
                <w:sz w:val="22"/>
                <w:szCs w:val="22"/>
              </w:rPr>
              <w:t>59.51</w:t>
            </w:r>
          </w:p>
        </w:tc>
      </w:tr>
      <w:tr w:rsidR="005031B5" w:rsidRPr="006C48A9" w:rsidTr="005031B5">
        <w:tc>
          <w:tcPr>
            <w:tcW w:w="878" w:type="dxa"/>
          </w:tcPr>
          <w:p w:rsidR="005031B5" w:rsidRPr="006C48A9" w:rsidRDefault="005031B5" w:rsidP="005031B5">
            <w:pPr>
              <w:spacing w:line="240" w:lineRule="auto"/>
              <w:rPr>
                <w:sz w:val="22"/>
                <w:szCs w:val="22"/>
              </w:rPr>
            </w:pPr>
            <w:r w:rsidRPr="006C48A9">
              <w:rPr>
                <w:sz w:val="22"/>
                <w:szCs w:val="22"/>
              </w:rPr>
              <w:t>6</w:t>
            </w:r>
          </w:p>
        </w:tc>
        <w:tc>
          <w:tcPr>
            <w:tcW w:w="1117" w:type="dxa"/>
          </w:tcPr>
          <w:p w:rsidR="005031B5" w:rsidRPr="006C48A9" w:rsidRDefault="005031B5" w:rsidP="005031B5">
            <w:pPr>
              <w:spacing w:line="240" w:lineRule="auto"/>
              <w:rPr>
                <w:sz w:val="22"/>
                <w:szCs w:val="22"/>
              </w:rPr>
            </w:pPr>
            <w:r w:rsidRPr="006C48A9">
              <w:rPr>
                <w:sz w:val="22"/>
                <w:szCs w:val="22"/>
              </w:rPr>
              <w:t>90.96</w:t>
            </w:r>
          </w:p>
        </w:tc>
        <w:tc>
          <w:tcPr>
            <w:tcW w:w="1646" w:type="dxa"/>
          </w:tcPr>
          <w:p w:rsidR="005031B5" w:rsidRPr="006C48A9" w:rsidRDefault="005031B5" w:rsidP="005031B5">
            <w:pPr>
              <w:spacing w:line="240" w:lineRule="auto"/>
              <w:rPr>
                <w:i/>
                <w:sz w:val="22"/>
                <w:szCs w:val="22"/>
              </w:rPr>
            </w:pPr>
            <w:r w:rsidRPr="006C48A9">
              <w:rPr>
                <w:i/>
                <w:sz w:val="22"/>
                <w:szCs w:val="22"/>
              </w:rPr>
              <w:t>K. obovata</w:t>
            </w:r>
          </w:p>
        </w:tc>
        <w:tc>
          <w:tcPr>
            <w:tcW w:w="1181" w:type="dxa"/>
          </w:tcPr>
          <w:p w:rsidR="005031B5" w:rsidRPr="006C48A9" w:rsidRDefault="005031B5" w:rsidP="005031B5">
            <w:pPr>
              <w:spacing w:line="240" w:lineRule="auto"/>
              <w:rPr>
                <w:sz w:val="22"/>
                <w:szCs w:val="22"/>
              </w:rPr>
            </w:pPr>
            <w:r w:rsidRPr="006C48A9">
              <w:rPr>
                <w:sz w:val="22"/>
                <w:szCs w:val="22"/>
              </w:rPr>
              <w:t>99.68</w:t>
            </w:r>
          </w:p>
        </w:tc>
        <w:tc>
          <w:tcPr>
            <w:tcW w:w="889" w:type="dxa"/>
          </w:tcPr>
          <w:p w:rsidR="005031B5" w:rsidRPr="006C48A9" w:rsidRDefault="005031B5" w:rsidP="005031B5">
            <w:pPr>
              <w:spacing w:line="240" w:lineRule="auto"/>
              <w:rPr>
                <w:sz w:val="22"/>
                <w:szCs w:val="22"/>
              </w:rPr>
            </w:pPr>
            <w:r w:rsidRPr="006C48A9">
              <w:rPr>
                <w:sz w:val="22"/>
                <w:szCs w:val="22"/>
              </w:rPr>
              <w:t>18</w:t>
            </w:r>
          </w:p>
        </w:tc>
        <w:tc>
          <w:tcPr>
            <w:tcW w:w="1117" w:type="dxa"/>
          </w:tcPr>
          <w:p w:rsidR="005031B5" w:rsidRPr="006C48A9" w:rsidRDefault="005031B5" w:rsidP="005031B5">
            <w:pPr>
              <w:spacing w:line="240" w:lineRule="auto"/>
              <w:rPr>
                <w:sz w:val="22"/>
                <w:szCs w:val="22"/>
              </w:rPr>
            </w:pPr>
            <w:r w:rsidRPr="006C48A9">
              <w:rPr>
                <w:sz w:val="22"/>
                <w:szCs w:val="22"/>
              </w:rPr>
              <w:t>40.93</w:t>
            </w:r>
          </w:p>
        </w:tc>
        <w:tc>
          <w:tcPr>
            <w:tcW w:w="1826" w:type="dxa"/>
          </w:tcPr>
          <w:p w:rsidR="005031B5" w:rsidRPr="006C48A9" w:rsidRDefault="005031B5" w:rsidP="005031B5">
            <w:pPr>
              <w:spacing w:line="240" w:lineRule="auto"/>
              <w:rPr>
                <w:i/>
                <w:sz w:val="22"/>
                <w:szCs w:val="22"/>
              </w:rPr>
            </w:pPr>
            <w:r w:rsidRPr="006C48A9">
              <w:rPr>
                <w:i/>
                <w:sz w:val="22"/>
                <w:szCs w:val="22"/>
              </w:rPr>
              <w:t>K. obovata</w:t>
            </w:r>
          </w:p>
          <w:p w:rsidR="005031B5" w:rsidRPr="006C48A9" w:rsidRDefault="005031B5" w:rsidP="005031B5">
            <w:pPr>
              <w:spacing w:line="240" w:lineRule="auto"/>
              <w:rPr>
                <w:i/>
                <w:sz w:val="22"/>
                <w:szCs w:val="22"/>
              </w:rPr>
            </w:pPr>
            <w:r w:rsidRPr="006C48A9">
              <w:rPr>
                <w:i/>
                <w:sz w:val="22"/>
                <w:szCs w:val="22"/>
              </w:rPr>
              <w:t>S. caseolaris</w:t>
            </w:r>
          </w:p>
        </w:tc>
        <w:tc>
          <w:tcPr>
            <w:tcW w:w="1523" w:type="dxa"/>
          </w:tcPr>
          <w:p w:rsidR="005031B5" w:rsidRPr="006C48A9" w:rsidRDefault="005031B5" w:rsidP="005031B5">
            <w:pPr>
              <w:spacing w:line="240" w:lineRule="auto"/>
              <w:rPr>
                <w:sz w:val="22"/>
                <w:szCs w:val="22"/>
              </w:rPr>
            </w:pPr>
            <w:r w:rsidRPr="006C48A9">
              <w:rPr>
                <w:sz w:val="22"/>
                <w:szCs w:val="22"/>
              </w:rPr>
              <w:t>40.46</w:t>
            </w:r>
          </w:p>
          <w:p w:rsidR="005031B5" w:rsidRPr="006C48A9" w:rsidRDefault="005031B5" w:rsidP="005031B5">
            <w:pPr>
              <w:spacing w:line="240" w:lineRule="auto"/>
              <w:rPr>
                <w:sz w:val="22"/>
                <w:szCs w:val="22"/>
              </w:rPr>
            </w:pPr>
            <w:r w:rsidRPr="006C48A9">
              <w:rPr>
                <w:sz w:val="22"/>
                <w:szCs w:val="22"/>
              </w:rPr>
              <w:t>59.54</w:t>
            </w:r>
          </w:p>
        </w:tc>
      </w:tr>
      <w:tr w:rsidR="005031B5" w:rsidRPr="006C48A9" w:rsidTr="005031B5">
        <w:tc>
          <w:tcPr>
            <w:tcW w:w="878" w:type="dxa"/>
          </w:tcPr>
          <w:p w:rsidR="005031B5" w:rsidRPr="006C48A9" w:rsidRDefault="005031B5" w:rsidP="005031B5">
            <w:pPr>
              <w:spacing w:line="240" w:lineRule="auto"/>
              <w:rPr>
                <w:sz w:val="22"/>
                <w:szCs w:val="22"/>
              </w:rPr>
            </w:pPr>
            <w:r w:rsidRPr="006C48A9">
              <w:rPr>
                <w:sz w:val="22"/>
                <w:szCs w:val="22"/>
              </w:rPr>
              <w:t>7</w:t>
            </w:r>
          </w:p>
        </w:tc>
        <w:tc>
          <w:tcPr>
            <w:tcW w:w="1117" w:type="dxa"/>
          </w:tcPr>
          <w:p w:rsidR="005031B5" w:rsidRPr="006C48A9" w:rsidRDefault="005031B5" w:rsidP="005031B5">
            <w:pPr>
              <w:spacing w:line="240" w:lineRule="auto"/>
              <w:rPr>
                <w:sz w:val="22"/>
                <w:szCs w:val="22"/>
              </w:rPr>
            </w:pPr>
            <w:r w:rsidRPr="006C48A9">
              <w:rPr>
                <w:sz w:val="22"/>
                <w:szCs w:val="22"/>
              </w:rPr>
              <w:t>124.77</w:t>
            </w:r>
          </w:p>
        </w:tc>
        <w:tc>
          <w:tcPr>
            <w:tcW w:w="1646" w:type="dxa"/>
          </w:tcPr>
          <w:p w:rsidR="005031B5" w:rsidRPr="006C48A9" w:rsidRDefault="005031B5" w:rsidP="005031B5">
            <w:pPr>
              <w:spacing w:line="240" w:lineRule="auto"/>
              <w:rPr>
                <w:i/>
                <w:sz w:val="22"/>
                <w:szCs w:val="22"/>
              </w:rPr>
            </w:pPr>
            <w:r w:rsidRPr="006C48A9">
              <w:rPr>
                <w:i/>
                <w:sz w:val="22"/>
                <w:szCs w:val="22"/>
              </w:rPr>
              <w:t>A. corniculatum</w:t>
            </w:r>
          </w:p>
          <w:p w:rsidR="005031B5" w:rsidRPr="006C48A9" w:rsidRDefault="005031B5" w:rsidP="005031B5">
            <w:pPr>
              <w:spacing w:line="240" w:lineRule="auto"/>
              <w:rPr>
                <w:i/>
                <w:sz w:val="22"/>
                <w:szCs w:val="22"/>
              </w:rPr>
            </w:pPr>
            <w:r w:rsidRPr="006C48A9">
              <w:rPr>
                <w:i/>
                <w:sz w:val="22"/>
                <w:szCs w:val="22"/>
              </w:rPr>
              <w:t>K. obovata</w:t>
            </w:r>
          </w:p>
        </w:tc>
        <w:tc>
          <w:tcPr>
            <w:tcW w:w="1181" w:type="dxa"/>
          </w:tcPr>
          <w:p w:rsidR="005031B5" w:rsidRPr="006C48A9" w:rsidRDefault="005031B5" w:rsidP="005031B5">
            <w:pPr>
              <w:spacing w:line="240" w:lineRule="auto"/>
              <w:rPr>
                <w:sz w:val="22"/>
                <w:szCs w:val="22"/>
              </w:rPr>
            </w:pPr>
            <w:r w:rsidRPr="006C48A9">
              <w:rPr>
                <w:sz w:val="22"/>
                <w:szCs w:val="22"/>
              </w:rPr>
              <w:t>8.26</w:t>
            </w:r>
          </w:p>
          <w:p w:rsidR="005031B5" w:rsidRPr="006C48A9" w:rsidRDefault="005031B5" w:rsidP="005031B5">
            <w:pPr>
              <w:spacing w:line="240" w:lineRule="auto"/>
              <w:rPr>
                <w:sz w:val="22"/>
                <w:szCs w:val="22"/>
              </w:rPr>
            </w:pPr>
            <w:r w:rsidRPr="006C48A9">
              <w:rPr>
                <w:sz w:val="22"/>
                <w:szCs w:val="22"/>
              </w:rPr>
              <w:t>86.46</w:t>
            </w:r>
          </w:p>
        </w:tc>
        <w:tc>
          <w:tcPr>
            <w:tcW w:w="889" w:type="dxa"/>
          </w:tcPr>
          <w:p w:rsidR="005031B5" w:rsidRPr="006C48A9" w:rsidRDefault="005031B5" w:rsidP="005031B5">
            <w:pPr>
              <w:spacing w:line="240" w:lineRule="auto"/>
              <w:rPr>
                <w:sz w:val="22"/>
                <w:szCs w:val="22"/>
              </w:rPr>
            </w:pPr>
            <w:r w:rsidRPr="006C48A9">
              <w:rPr>
                <w:sz w:val="22"/>
                <w:szCs w:val="22"/>
              </w:rPr>
              <w:t>19</w:t>
            </w:r>
          </w:p>
        </w:tc>
        <w:tc>
          <w:tcPr>
            <w:tcW w:w="1117" w:type="dxa"/>
          </w:tcPr>
          <w:p w:rsidR="005031B5" w:rsidRPr="006C48A9" w:rsidRDefault="005031B5" w:rsidP="005031B5">
            <w:pPr>
              <w:spacing w:line="240" w:lineRule="auto"/>
              <w:rPr>
                <w:sz w:val="22"/>
                <w:szCs w:val="22"/>
              </w:rPr>
            </w:pPr>
            <w:r w:rsidRPr="006C48A9">
              <w:rPr>
                <w:sz w:val="22"/>
                <w:szCs w:val="22"/>
              </w:rPr>
              <w:t>7.88</w:t>
            </w:r>
          </w:p>
        </w:tc>
        <w:tc>
          <w:tcPr>
            <w:tcW w:w="1826" w:type="dxa"/>
          </w:tcPr>
          <w:p w:rsidR="005031B5" w:rsidRPr="006C48A9" w:rsidRDefault="005031B5" w:rsidP="005031B5">
            <w:pPr>
              <w:spacing w:line="240" w:lineRule="auto"/>
              <w:rPr>
                <w:i/>
                <w:sz w:val="22"/>
                <w:szCs w:val="22"/>
              </w:rPr>
            </w:pPr>
            <w:r w:rsidRPr="006C48A9">
              <w:rPr>
                <w:i/>
                <w:sz w:val="22"/>
                <w:szCs w:val="22"/>
              </w:rPr>
              <w:t>S. caseolaris</w:t>
            </w:r>
          </w:p>
        </w:tc>
        <w:tc>
          <w:tcPr>
            <w:tcW w:w="1523" w:type="dxa"/>
          </w:tcPr>
          <w:p w:rsidR="005031B5" w:rsidRPr="006C48A9" w:rsidRDefault="005031B5" w:rsidP="005031B5">
            <w:pPr>
              <w:spacing w:line="240" w:lineRule="auto"/>
              <w:rPr>
                <w:sz w:val="22"/>
                <w:szCs w:val="22"/>
              </w:rPr>
            </w:pPr>
            <w:r w:rsidRPr="006C48A9">
              <w:rPr>
                <w:sz w:val="22"/>
                <w:szCs w:val="22"/>
              </w:rPr>
              <w:t>99.89</w:t>
            </w:r>
          </w:p>
        </w:tc>
      </w:tr>
      <w:tr w:rsidR="005031B5" w:rsidRPr="006C48A9" w:rsidTr="005031B5">
        <w:tc>
          <w:tcPr>
            <w:tcW w:w="878" w:type="dxa"/>
          </w:tcPr>
          <w:p w:rsidR="005031B5" w:rsidRPr="006C48A9" w:rsidRDefault="005031B5" w:rsidP="005031B5">
            <w:pPr>
              <w:spacing w:line="240" w:lineRule="auto"/>
              <w:rPr>
                <w:sz w:val="22"/>
                <w:szCs w:val="22"/>
              </w:rPr>
            </w:pPr>
            <w:r w:rsidRPr="006C48A9">
              <w:rPr>
                <w:sz w:val="22"/>
                <w:szCs w:val="22"/>
              </w:rPr>
              <w:t>8</w:t>
            </w:r>
          </w:p>
        </w:tc>
        <w:tc>
          <w:tcPr>
            <w:tcW w:w="1117" w:type="dxa"/>
          </w:tcPr>
          <w:p w:rsidR="005031B5" w:rsidRPr="006C48A9" w:rsidRDefault="005031B5" w:rsidP="005031B5">
            <w:pPr>
              <w:spacing w:line="240" w:lineRule="auto"/>
              <w:rPr>
                <w:sz w:val="22"/>
                <w:szCs w:val="22"/>
              </w:rPr>
            </w:pPr>
            <w:r w:rsidRPr="006C48A9">
              <w:rPr>
                <w:sz w:val="22"/>
                <w:szCs w:val="22"/>
              </w:rPr>
              <w:t>89.84</w:t>
            </w:r>
          </w:p>
        </w:tc>
        <w:tc>
          <w:tcPr>
            <w:tcW w:w="1646" w:type="dxa"/>
          </w:tcPr>
          <w:p w:rsidR="005031B5" w:rsidRPr="006C48A9" w:rsidRDefault="005031B5" w:rsidP="005031B5">
            <w:pPr>
              <w:spacing w:line="240" w:lineRule="auto"/>
              <w:rPr>
                <w:i/>
                <w:sz w:val="22"/>
                <w:szCs w:val="22"/>
              </w:rPr>
            </w:pPr>
            <w:r w:rsidRPr="006C48A9">
              <w:rPr>
                <w:i/>
                <w:sz w:val="22"/>
                <w:szCs w:val="22"/>
              </w:rPr>
              <w:t>A. corniculatum</w:t>
            </w:r>
          </w:p>
          <w:p w:rsidR="005031B5" w:rsidRPr="006C48A9" w:rsidRDefault="005031B5" w:rsidP="005031B5">
            <w:pPr>
              <w:spacing w:line="240" w:lineRule="auto"/>
              <w:rPr>
                <w:i/>
                <w:sz w:val="22"/>
                <w:szCs w:val="22"/>
              </w:rPr>
            </w:pPr>
            <w:r w:rsidRPr="006C48A9">
              <w:rPr>
                <w:i/>
                <w:sz w:val="22"/>
                <w:szCs w:val="22"/>
              </w:rPr>
              <w:t>K. obovata</w:t>
            </w:r>
          </w:p>
        </w:tc>
        <w:tc>
          <w:tcPr>
            <w:tcW w:w="1181" w:type="dxa"/>
          </w:tcPr>
          <w:p w:rsidR="005031B5" w:rsidRPr="006C48A9" w:rsidRDefault="005031B5" w:rsidP="005031B5">
            <w:pPr>
              <w:spacing w:line="240" w:lineRule="auto"/>
              <w:rPr>
                <w:sz w:val="22"/>
                <w:szCs w:val="22"/>
              </w:rPr>
            </w:pPr>
            <w:r w:rsidRPr="006C48A9">
              <w:rPr>
                <w:sz w:val="22"/>
                <w:szCs w:val="22"/>
              </w:rPr>
              <w:t>7.58</w:t>
            </w:r>
          </w:p>
          <w:p w:rsidR="005031B5" w:rsidRPr="006C48A9" w:rsidRDefault="005031B5" w:rsidP="005031B5">
            <w:pPr>
              <w:spacing w:line="240" w:lineRule="auto"/>
              <w:rPr>
                <w:sz w:val="22"/>
                <w:szCs w:val="22"/>
              </w:rPr>
            </w:pPr>
            <w:r w:rsidRPr="006C48A9">
              <w:rPr>
                <w:sz w:val="22"/>
                <w:szCs w:val="22"/>
              </w:rPr>
              <w:t>86.88</w:t>
            </w:r>
          </w:p>
        </w:tc>
        <w:tc>
          <w:tcPr>
            <w:tcW w:w="889" w:type="dxa"/>
          </w:tcPr>
          <w:p w:rsidR="005031B5" w:rsidRPr="006C48A9" w:rsidRDefault="005031B5" w:rsidP="005031B5">
            <w:pPr>
              <w:spacing w:line="240" w:lineRule="auto"/>
              <w:rPr>
                <w:sz w:val="22"/>
                <w:szCs w:val="22"/>
              </w:rPr>
            </w:pPr>
            <w:r w:rsidRPr="006C48A9">
              <w:rPr>
                <w:sz w:val="22"/>
                <w:szCs w:val="22"/>
              </w:rPr>
              <w:t>20</w:t>
            </w:r>
          </w:p>
        </w:tc>
        <w:tc>
          <w:tcPr>
            <w:tcW w:w="1117" w:type="dxa"/>
          </w:tcPr>
          <w:p w:rsidR="005031B5" w:rsidRPr="006C48A9" w:rsidRDefault="005031B5" w:rsidP="005031B5">
            <w:pPr>
              <w:spacing w:line="240" w:lineRule="auto"/>
              <w:rPr>
                <w:sz w:val="22"/>
                <w:szCs w:val="22"/>
              </w:rPr>
            </w:pPr>
            <w:r w:rsidRPr="006C48A9">
              <w:rPr>
                <w:sz w:val="22"/>
                <w:szCs w:val="22"/>
              </w:rPr>
              <w:t>13.56</w:t>
            </w:r>
          </w:p>
        </w:tc>
        <w:tc>
          <w:tcPr>
            <w:tcW w:w="1826" w:type="dxa"/>
          </w:tcPr>
          <w:p w:rsidR="005031B5" w:rsidRPr="006C48A9" w:rsidRDefault="005031B5" w:rsidP="005031B5">
            <w:pPr>
              <w:spacing w:line="240" w:lineRule="auto"/>
              <w:rPr>
                <w:i/>
                <w:sz w:val="22"/>
                <w:szCs w:val="22"/>
              </w:rPr>
            </w:pPr>
            <w:r w:rsidRPr="006C48A9">
              <w:rPr>
                <w:i/>
                <w:sz w:val="22"/>
                <w:szCs w:val="22"/>
              </w:rPr>
              <w:t>S. caseolaris</w:t>
            </w:r>
          </w:p>
        </w:tc>
        <w:tc>
          <w:tcPr>
            <w:tcW w:w="1523" w:type="dxa"/>
          </w:tcPr>
          <w:p w:rsidR="005031B5" w:rsidRPr="006C48A9" w:rsidRDefault="005031B5" w:rsidP="005031B5">
            <w:pPr>
              <w:spacing w:line="240" w:lineRule="auto"/>
              <w:rPr>
                <w:sz w:val="22"/>
                <w:szCs w:val="22"/>
              </w:rPr>
            </w:pPr>
            <w:r w:rsidRPr="006C48A9">
              <w:rPr>
                <w:sz w:val="22"/>
                <w:szCs w:val="22"/>
              </w:rPr>
              <w:t>99.24</w:t>
            </w:r>
          </w:p>
        </w:tc>
      </w:tr>
      <w:tr w:rsidR="005031B5" w:rsidRPr="006C48A9" w:rsidTr="005031B5">
        <w:tc>
          <w:tcPr>
            <w:tcW w:w="878"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9</w:t>
            </w:r>
          </w:p>
        </w:tc>
        <w:tc>
          <w:tcPr>
            <w:tcW w:w="1117"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64.82</w:t>
            </w:r>
          </w:p>
        </w:tc>
        <w:tc>
          <w:tcPr>
            <w:tcW w:w="1646" w:type="dxa"/>
            <w:tcBorders>
              <w:bottom w:val="single" w:sz="4" w:space="0" w:color="auto"/>
            </w:tcBorders>
          </w:tcPr>
          <w:p w:rsidR="005031B5" w:rsidRPr="006C48A9" w:rsidRDefault="005031B5" w:rsidP="005031B5">
            <w:pPr>
              <w:spacing w:line="240" w:lineRule="auto"/>
              <w:rPr>
                <w:i/>
                <w:sz w:val="22"/>
                <w:szCs w:val="22"/>
              </w:rPr>
            </w:pPr>
            <w:r w:rsidRPr="006C48A9">
              <w:rPr>
                <w:i/>
                <w:sz w:val="22"/>
                <w:szCs w:val="22"/>
              </w:rPr>
              <w:t>A. corniculatum</w:t>
            </w:r>
          </w:p>
          <w:p w:rsidR="005031B5" w:rsidRPr="006C48A9" w:rsidRDefault="005031B5" w:rsidP="005031B5">
            <w:pPr>
              <w:spacing w:line="240" w:lineRule="auto"/>
              <w:rPr>
                <w:i/>
                <w:sz w:val="22"/>
                <w:szCs w:val="22"/>
              </w:rPr>
            </w:pPr>
            <w:r w:rsidRPr="006C48A9">
              <w:rPr>
                <w:i/>
                <w:sz w:val="22"/>
                <w:szCs w:val="22"/>
              </w:rPr>
              <w:t>K. obovata</w:t>
            </w:r>
          </w:p>
        </w:tc>
        <w:tc>
          <w:tcPr>
            <w:tcW w:w="1181"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4.56</w:t>
            </w:r>
          </w:p>
          <w:p w:rsidR="005031B5" w:rsidRPr="006C48A9" w:rsidRDefault="005031B5" w:rsidP="005031B5">
            <w:pPr>
              <w:spacing w:line="240" w:lineRule="auto"/>
              <w:rPr>
                <w:sz w:val="22"/>
                <w:szCs w:val="22"/>
              </w:rPr>
            </w:pPr>
            <w:r w:rsidRPr="006C48A9">
              <w:rPr>
                <w:sz w:val="22"/>
                <w:szCs w:val="22"/>
              </w:rPr>
              <w:t>95.44</w:t>
            </w:r>
          </w:p>
        </w:tc>
        <w:tc>
          <w:tcPr>
            <w:tcW w:w="889"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21</w:t>
            </w:r>
          </w:p>
        </w:tc>
        <w:tc>
          <w:tcPr>
            <w:tcW w:w="1117"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11.04</w:t>
            </w:r>
          </w:p>
        </w:tc>
        <w:tc>
          <w:tcPr>
            <w:tcW w:w="1826" w:type="dxa"/>
            <w:tcBorders>
              <w:bottom w:val="single" w:sz="4" w:space="0" w:color="auto"/>
            </w:tcBorders>
          </w:tcPr>
          <w:p w:rsidR="005031B5" w:rsidRPr="006C48A9" w:rsidRDefault="005031B5" w:rsidP="005031B5">
            <w:pPr>
              <w:spacing w:line="240" w:lineRule="auto"/>
              <w:rPr>
                <w:i/>
                <w:sz w:val="22"/>
                <w:szCs w:val="22"/>
              </w:rPr>
            </w:pPr>
            <w:r w:rsidRPr="006C48A9">
              <w:rPr>
                <w:i/>
                <w:sz w:val="22"/>
                <w:szCs w:val="22"/>
              </w:rPr>
              <w:t>K. obovata</w:t>
            </w:r>
          </w:p>
          <w:p w:rsidR="005031B5" w:rsidRPr="006C48A9" w:rsidRDefault="005031B5" w:rsidP="005031B5">
            <w:pPr>
              <w:spacing w:line="240" w:lineRule="auto"/>
              <w:rPr>
                <w:i/>
                <w:sz w:val="22"/>
                <w:szCs w:val="22"/>
              </w:rPr>
            </w:pPr>
            <w:r w:rsidRPr="006C48A9">
              <w:rPr>
                <w:i/>
                <w:sz w:val="22"/>
                <w:szCs w:val="22"/>
              </w:rPr>
              <w:t>S. caseolaris</w:t>
            </w:r>
          </w:p>
        </w:tc>
        <w:tc>
          <w:tcPr>
            <w:tcW w:w="1523" w:type="dxa"/>
            <w:tcBorders>
              <w:bottom w:val="single" w:sz="4" w:space="0" w:color="auto"/>
            </w:tcBorders>
          </w:tcPr>
          <w:p w:rsidR="005031B5" w:rsidRPr="006C48A9" w:rsidRDefault="005031B5" w:rsidP="005031B5">
            <w:pPr>
              <w:spacing w:line="240" w:lineRule="auto"/>
              <w:rPr>
                <w:sz w:val="22"/>
                <w:szCs w:val="22"/>
              </w:rPr>
            </w:pPr>
            <w:r w:rsidRPr="006C48A9">
              <w:rPr>
                <w:sz w:val="22"/>
                <w:szCs w:val="22"/>
              </w:rPr>
              <w:t>4.08</w:t>
            </w:r>
          </w:p>
          <w:p w:rsidR="005031B5" w:rsidRPr="006C48A9" w:rsidRDefault="005031B5" w:rsidP="005031B5">
            <w:pPr>
              <w:spacing w:line="240" w:lineRule="auto"/>
              <w:rPr>
                <w:sz w:val="22"/>
                <w:szCs w:val="22"/>
              </w:rPr>
            </w:pPr>
            <w:r w:rsidRPr="006C48A9">
              <w:rPr>
                <w:sz w:val="22"/>
                <w:szCs w:val="22"/>
              </w:rPr>
              <w:t>95.92</w:t>
            </w:r>
          </w:p>
        </w:tc>
      </w:tr>
      <w:tr w:rsidR="005031B5" w:rsidRPr="006C48A9" w:rsidTr="005031B5">
        <w:tc>
          <w:tcPr>
            <w:tcW w:w="878"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10</w:t>
            </w:r>
          </w:p>
        </w:tc>
        <w:tc>
          <w:tcPr>
            <w:tcW w:w="1117"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22.26</w:t>
            </w:r>
          </w:p>
        </w:tc>
        <w:tc>
          <w:tcPr>
            <w:tcW w:w="1646" w:type="dxa"/>
            <w:tcBorders>
              <w:top w:val="single" w:sz="4" w:space="0" w:color="auto"/>
            </w:tcBorders>
          </w:tcPr>
          <w:p w:rsidR="005031B5" w:rsidRPr="006C48A9" w:rsidRDefault="005031B5" w:rsidP="005031B5">
            <w:pPr>
              <w:spacing w:line="240" w:lineRule="auto"/>
              <w:rPr>
                <w:rFonts w:ascii="Calibri" w:hAnsi="Calibri" w:cs="Calibri"/>
                <w:i/>
                <w:iCs/>
                <w:sz w:val="22"/>
                <w:szCs w:val="22"/>
              </w:rPr>
            </w:pPr>
            <w:r w:rsidRPr="006C48A9">
              <w:rPr>
                <w:rFonts w:ascii="Calibri" w:hAnsi="Calibri" w:cs="Calibri"/>
                <w:i/>
                <w:iCs/>
                <w:sz w:val="22"/>
                <w:szCs w:val="22"/>
              </w:rPr>
              <w:t>A. corniculatum</w:t>
            </w:r>
          </w:p>
          <w:p w:rsidR="005031B5" w:rsidRPr="006C48A9" w:rsidRDefault="005031B5" w:rsidP="005031B5">
            <w:pPr>
              <w:spacing w:line="240" w:lineRule="auto"/>
              <w:rPr>
                <w:rFonts w:ascii="Calibri" w:hAnsi="Calibri" w:cs="Calibri"/>
                <w:i/>
                <w:iCs/>
                <w:sz w:val="22"/>
                <w:szCs w:val="22"/>
              </w:rPr>
            </w:pPr>
            <w:r w:rsidRPr="006C48A9">
              <w:rPr>
                <w:rFonts w:ascii="Calibri" w:hAnsi="Calibri" w:cs="Calibri"/>
                <w:i/>
                <w:iCs/>
                <w:sz w:val="22"/>
                <w:szCs w:val="22"/>
              </w:rPr>
              <w:t>K. obovata</w:t>
            </w:r>
          </w:p>
          <w:p w:rsidR="005031B5" w:rsidRPr="006C48A9" w:rsidRDefault="005031B5" w:rsidP="005031B5">
            <w:pPr>
              <w:spacing w:line="240" w:lineRule="auto"/>
              <w:rPr>
                <w:rFonts w:ascii="Calibri" w:hAnsi="Calibri" w:cs="Calibri"/>
                <w:i/>
                <w:iCs/>
                <w:sz w:val="22"/>
                <w:szCs w:val="22"/>
                <w:lang w:eastAsia="en-US"/>
              </w:rPr>
            </w:pPr>
            <w:r w:rsidRPr="006C48A9">
              <w:rPr>
                <w:rFonts w:ascii="Calibri" w:hAnsi="Calibri" w:cs="Calibri"/>
                <w:i/>
                <w:iCs/>
                <w:sz w:val="22"/>
                <w:szCs w:val="22"/>
              </w:rPr>
              <w:t>S. caseolaris</w:t>
            </w:r>
          </w:p>
        </w:tc>
        <w:tc>
          <w:tcPr>
            <w:tcW w:w="1181"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13.37</w:t>
            </w:r>
          </w:p>
          <w:p w:rsidR="005031B5" w:rsidRPr="006C48A9" w:rsidRDefault="005031B5" w:rsidP="005031B5">
            <w:pPr>
              <w:spacing w:line="240" w:lineRule="auto"/>
              <w:rPr>
                <w:sz w:val="22"/>
                <w:szCs w:val="22"/>
              </w:rPr>
            </w:pPr>
            <w:r w:rsidRPr="006C48A9">
              <w:rPr>
                <w:sz w:val="22"/>
                <w:szCs w:val="22"/>
              </w:rPr>
              <w:t>3.86</w:t>
            </w:r>
          </w:p>
          <w:p w:rsidR="005031B5" w:rsidRPr="006C48A9" w:rsidRDefault="005031B5" w:rsidP="005031B5">
            <w:pPr>
              <w:spacing w:line="240" w:lineRule="auto"/>
              <w:rPr>
                <w:sz w:val="22"/>
                <w:szCs w:val="22"/>
              </w:rPr>
            </w:pPr>
            <w:r w:rsidRPr="006C48A9">
              <w:rPr>
                <w:sz w:val="22"/>
                <w:szCs w:val="22"/>
              </w:rPr>
              <w:t>82.76</w:t>
            </w:r>
          </w:p>
        </w:tc>
        <w:tc>
          <w:tcPr>
            <w:tcW w:w="889"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22*</w:t>
            </w:r>
          </w:p>
        </w:tc>
        <w:tc>
          <w:tcPr>
            <w:tcW w:w="1117"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0.303</w:t>
            </w:r>
          </w:p>
        </w:tc>
        <w:tc>
          <w:tcPr>
            <w:tcW w:w="1826" w:type="dxa"/>
            <w:tcBorders>
              <w:top w:val="single" w:sz="4" w:space="0" w:color="auto"/>
            </w:tcBorders>
          </w:tcPr>
          <w:p w:rsidR="005031B5" w:rsidRPr="006C48A9" w:rsidRDefault="005031B5" w:rsidP="005031B5">
            <w:pPr>
              <w:spacing w:line="240" w:lineRule="auto"/>
              <w:rPr>
                <w:i/>
                <w:sz w:val="22"/>
                <w:szCs w:val="22"/>
              </w:rPr>
            </w:pPr>
            <w:r w:rsidRPr="006C48A9">
              <w:rPr>
                <w:i/>
                <w:sz w:val="22"/>
                <w:szCs w:val="22"/>
              </w:rPr>
              <w:t>S. caseolaris</w:t>
            </w:r>
          </w:p>
        </w:tc>
        <w:tc>
          <w:tcPr>
            <w:tcW w:w="1523" w:type="dxa"/>
            <w:tcBorders>
              <w:top w:val="single" w:sz="4" w:space="0" w:color="auto"/>
            </w:tcBorders>
          </w:tcPr>
          <w:p w:rsidR="005031B5" w:rsidRPr="006C48A9" w:rsidRDefault="005031B5" w:rsidP="005031B5">
            <w:pPr>
              <w:spacing w:line="240" w:lineRule="auto"/>
              <w:rPr>
                <w:sz w:val="22"/>
                <w:szCs w:val="22"/>
              </w:rPr>
            </w:pPr>
            <w:r w:rsidRPr="006C48A9">
              <w:rPr>
                <w:sz w:val="22"/>
                <w:szCs w:val="22"/>
              </w:rPr>
              <w:t>100</w:t>
            </w:r>
          </w:p>
        </w:tc>
      </w:tr>
      <w:tr w:rsidR="005031B5" w:rsidRPr="006C48A9" w:rsidTr="005031B5">
        <w:tc>
          <w:tcPr>
            <w:tcW w:w="878" w:type="dxa"/>
          </w:tcPr>
          <w:p w:rsidR="005031B5" w:rsidRPr="006C48A9" w:rsidRDefault="005031B5" w:rsidP="005031B5">
            <w:pPr>
              <w:spacing w:line="240" w:lineRule="auto"/>
              <w:rPr>
                <w:sz w:val="22"/>
                <w:szCs w:val="22"/>
              </w:rPr>
            </w:pPr>
            <w:r w:rsidRPr="006C48A9">
              <w:rPr>
                <w:sz w:val="22"/>
                <w:szCs w:val="22"/>
              </w:rPr>
              <w:t>11</w:t>
            </w:r>
          </w:p>
        </w:tc>
        <w:tc>
          <w:tcPr>
            <w:tcW w:w="1117" w:type="dxa"/>
          </w:tcPr>
          <w:p w:rsidR="005031B5" w:rsidRPr="006C48A9" w:rsidRDefault="005031B5" w:rsidP="005031B5">
            <w:pPr>
              <w:spacing w:line="240" w:lineRule="auto"/>
              <w:rPr>
                <w:sz w:val="22"/>
                <w:szCs w:val="22"/>
              </w:rPr>
            </w:pPr>
            <w:r w:rsidRPr="006C48A9">
              <w:rPr>
                <w:sz w:val="22"/>
                <w:szCs w:val="22"/>
              </w:rPr>
              <w:t>33.38</w:t>
            </w:r>
          </w:p>
        </w:tc>
        <w:tc>
          <w:tcPr>
            <w:tcW w:w="1646" w:type="dxa"/>
          </w:tcPr>
          <w:p w:rsidR="005031B5" w:rsidRPr="006C48A9" w:rsidRDefault="005031B5" w:rsidP="005031B5">
            <w:pPr>
              <w:spacing w:line="240" w:lineRule="auto"/>
              <w:rPr>
                <w:rFonts w:ascii="Calibri" w:hAnsi="Calibri" w:cs="Calibri"/>
                <w:i/>
                <w:iCs/>
                <w:sz w:val="22"/>
                <w:szCs w:val="22"/>
              </w:rPr>
            </w:pPr>
            <w:r w:rsidRPr="006C48A9">
              <w:rPr>
                <w:rFonts w:ascii="Calibri" w:hAnsi="Calibri" w:cs="Calibri"/>
                <w:i/>
                <w:iCs/>
                <w:sz w:val="22"/>
                <w:szCs w:val="22"/>
              </w:rPr>
              <w:t>A. corniculatum</w:t>
            </w:r>
          </w:p>
          <w:p w:rsidR="005031B5" w:rsidRPr="006C48A9" w:rsidRDefault="005031B5" w:rsidP="005031B5">
            <w:pPr>
              <w:spacing w:line="240" w:lineRule="auto"/>
              <w:rPr>
                <w:i/>
                <w:sz w:val="22"/>
                <w:szCs w:val="22"/>
              </w:rPr>
            </w:pPr>
            <w:r w:rsidRPr="006C48A9">
              <w:rPr>
                <w:i/>
                <w:sz w:val="22"/>
                <w:szCs w:val="22"/>
              </w:rPr>
              <w:t>S. caseolaris</w:t>
            </w:r>
          </w:p>
        </w:tc>
        <w:tc>
          <w:tcPr>
            <w:tcW w:w="1181" w:type="dxa"/>
          </w:tcPr>
          <w:p w:rsidR="005031B5" w:rsidRPr="006C48A9" w:rsidRDefault="005031B5" w:rsidP="005031B5">
            <w:pPr>
              <w:spacing w:line="240" w:lineRule="auto"/>
              <w:rPr>
                <w:sz w:val="22"/>
                <w:szCs w:val="22"/>
              </w:rPr>
            </w:pPr>
            <w:r w:rsidRPr="006C48A9">
              <w:rPr>
                <w:sz w:val="22"/>
                <w:szCs w:val="22"/>
              </w:rPr>
              <w:t>15.47</w:t>
            </w:r>
          </w:p>
          <w:p w:rsidR="005031B5" w:rsidRPr="006C48A9" w:rsidRDefault="005031B5" w:rsidP="005031B5">
            <w:pPr>
              <w:spacing w:line="240" w:lineRule="auto"/>
              <w:rPr>
                <w:sz w:val="22"/>
                <w:szCs w:val="22"/>
              </w:rPr>
            </w:pPr>
            <w:r w:rsidRPr="006C48A9">
              <w:rPr>
                <w:sz w:val="22"/>
                <w:szCs w:val="22"/>
              </w:rPr>
              <w:t>84.19</w:t>
            </w:r>
          </w:p>
        </w:tc>
        <w:tc>
          <w:tcPr>
            <w:tcW w:w="889" w:type="dxa"/>
          </w:tcPr>
          <w:p w:rsidR="005031B5" w:rsidRPr="006C48A9" w:rsidRDefault="005031B5" w:rsidP="005031B5">
            <w:pPr>
              <w:spacing w:line="240" w:lineRule="auto"/>
              <w:rPr>
                <w:sz w:val="22"/>
                <w:szCs w:val="22"/>
              </w:rPr>
            </w:pPr>
            <w:r w:rsidRPr="006C48A9">
              <w:rPr>
                <w:sz w:val="22"/>
                <w:szCs w:val="22"/>
              </w:rPr>
              <w:t>23*</w:t>
            </w:r>
          </w:p>
        </w:tc>
        <w:tc>
          <w:tcPr>
            <w:tcW w:w="1117" w:type="dxa"/>
          </w:tcPr>
          <w:p w:rsidR="005031B5" w:rsidRPr="006C48A9" w:rsidRDefault="005031B5" w:rsidP="005031B5">
            <w:pPr>
              <w:spacing w:line="240" w:lineRule="auto"/>
              <w:rPr>
                <w:sz w:val="22"/>
                <w:szCs w:val="22"/>
              </w:rPr>
            </w:pPr>
            <w:r w:rsidRPr="006C48A9">
              <w:rPr>
                <w:sz w:val="22"/>
                <w:szCs w:val="22"/>
              </w:rPr>
              <w:t>0.319</w:t>
            </w:r>
          </w:p>
        </w:tc>
        <w:tc>
          <w:tcPr>
            <w:tcW w:w="1826" w:type="dxa"/>
          </w:tcPr>
          <w:p w:rsidR="005031B5" w:rsidRPr="006C48A9" w:rsidRDefault="005031B5" w:rsidP="005031B5">
            <w:pPr>
              <w:spacing w:line="240" w:lineRule="auto"/>
              <w:rPr>
                <w:rFonts w:ascii="Calibri" w:hAnsi="Calibri" w:cs="Calibri"/>
                <w:i/>
                <w:iCs/>
                <w:sz w:val="22"/>
                <w:szCs w:val="22"/>
                <w:lang w:eastAsia="en-US"/>
              </w:rPr>
            </w:pPr>
            <w:r w:rsidRPr="006C48A9">
              <w:rPr>
                <w:rFonts w:ascii="Calibri" w:hAnsi="Calibri" w:cs="Calibri"/>
                <w:i/>
                <w:iCs/>
                <w:sz w:val="22"/>
                <w:szCs w:val="22"/>
              </w:rPr>
              <w:t>S. caseolaris</w:t>
            </w:r>
          </w:p>
          <w:p w:rsidR="005031B5" w:rsidRPr="006C48A9" w:rsidRDefault="005031B5" w:rsidP="005031B5">
            <w:pPr>
              <w:spacing w:line="240" w:lineRule="auto"/>
              <w:rPr>
                <w:i/>
                <w:sz w:val="22"/>
                <w:szCs w:val="22"/>
              </w:rPr>
            </w:pPr>
          </w:p>
        </w:tc>
        <w:tc>
          <w:tcPr>
            <w:tcW w:w="1523" w:type="dxa"/>
          </w:tcPr>
          <w:p w:rsidR="005031B5" w:rsidRPr="006C48A9" w:rsidRDefault="005031B5" w:rsidP="005031B5">
            <w:pPr>
              <w:spacing w:line="240" w:lineRule="auto"/>
              <w:rPr>
                <w:sz w:val="22"/>
                <w:szCs w:val="22"/>
              </w:rPr>
            </w:pPr>
            <w:r w:rsidRPr="006C48A9">
              <w:rPr>
                <w:sz w:val="22"/>
                <w:szCs w:val="22"/>
              </w:rPr>
              <w:t>100</w:t>
            </w:r>
          </w:p>
        </w:tc>
      </w:tr>
      <w:tr w:rsidR="005031B5" w:rsidRPr="006C48A9" w:rsidTr="005031B5">
        <w:tc>
          <w:tcPr>
            <w:tcW w:w="878" w:type="dxa"/>
            <w:tcBorders>
              <w:bottom w:val="single" w:sz="8" w:space="0" w:color="auto"/>
            </w:tcBorders>
          </w:tcPr>
          <w:p w:rsidR="005031B5" w:rsidRPr="006C48A9" w:rsidRDefault="005031B5" w:rsidP="005031B5">
            <w:pPr>
              <w:spacing w:line="240" w:lineRule="auto"/>
              <w:rPr>
                <w:sz w:val="22"/>
                <w:szCs w:val="22"/>
              </w:rPr>
            </w:pPr>
            <w:r w:rsidRPr="006C48A9">
              <w:rPr>
                <w:sz w:val="22"/>
                <w:szCs w:val="22"/>
              </w:rPr>
              <w:t>12</w:t>
            </w:r>
          </w:p>
        </w:tc>
        <w:tc>
          <w:tcPr>
            <w:tcW w:w="1117" w:type="dxa"/>
            <w:tcBorders>
              <w:bottom w:val="single" w:sz="8" w:space="0" w:color="auto"/>
            </w:tcBorders>
          </w:tcPr>
          <w:p w:rsidR="005031B5" w:rsidRPr="006C48A9" w:rsidRDefault="005031B5" w:rsidP="005031B5">
            <w:pPr>
              <w:spacing w:line="240" w:lineRule="auto"/>
              <w:rPr>
                <w:sz w:val="22"/>
                <w:szCs w:val="22"/>
              </w:rPr>
            </w:pPr>
            <w:r w:rsidRPr="006C48A9">
              <w:rPr>
                <w:sz w:val="22"/>
                <w:szCs w:val="22"/>
              </w:rPr>
              <w:t>31.96</w:t>
            </w:r>
          </w:p>
        </w:tc>
        <w:tc>
          <w:tcPr>
            <w:tcW w:w="1646" w:type="dxa"/>
            <w:tcBorders>
              <w:bottom w:val="single" w:sz="8" w:space="0" w:color="auto"/>
            </w:tcBorders>
          </w:tcPr>
          <w:p w:rsidR="005031B5" w:rsidRPr="006C48A9" w:rsidRDefault="005031B5" w:rsidP="005031B5">
            <w:pPr>
              <w:spacing w:line="240" w:lineRule="auto"/>
              <w:rPr>
                <w:rFonts w:ascii="Calibri" w:hAnsi="Calibri" w:cs="Calibri"/>
                <w:i/>
                <w:iCs/>
                <w:sz w:val="22"/>
                <w:szCs w:val="22"/>
              </w:rPr>
            </w:pPr>
            <w:r w:rsidRPr="006C48A9">
              <w:rPr>
                <w:rFonts w:ascii="Calibri" w:hAnsi="Calibri" w:cs="Calibri"/>
                <w:i/>
                <w:iCs/>
                <w:sz w:val="22"/>
                <w:szCs w:val="22"/>
              </w:rPr>
              <w:t>A. corniculatum</w:t>
            </w:r>
          </w:p>
          <w:p w:rsidR="005031B5" w:rsidRPr="006C48A9" w:rsidRDefault="005031B5" w:rsidP="005031B5">
            <w:pPr>
              <w:spacing w:line="240" w:lineRule="auto"/>
              <w:rPr>
                <w:i/>
                <w:sz w:val="22"/>
                <w:szCs w:val="22"/>
              </w:rPr>
            </w:pPr>
            <w:r w:rsidRPr="006C48A9">
              <w:rPr>
                <w:i/>
                <w:sz w:val="22"/>
                <w:szCs w:val="22"/>
              </w:rPr>
              <w:t>S. caseolaris</w:t>
            </w:r>
          </w:p>
        </w:tc>
        <w:tc>
          <w:tcPr>
            <w:tcW w:w="1181" w:type="dxa"/>
            <w:tcBorders>
              <w:bottom w:val="single" w:sz="8" w:space="0" w:color="auto"/>
            </w:tcBorders>
          </w:tcPr>
          <w:p w:rsidR="005031B5" w:rsidRPr="006C48A9" w:rsidRDefault="005031B5" w:rsidP="005031B5">
            <w:pPr>
              <w:spacing w:line="240" w:lineRule="auto"/>
              <w:rPr>
                <w:sz w:val="22"/>
                <w:szCs w:val="22"/>
              </w:rPr>
            </w:pPr>
            <w:r w:rsidRPr="006C48A9">
              <w:rPr>
                <w:sz w:val="22"/>
                <w:szCs w:val="22"/>
              </w:rPr>
              <w:t>17.00</w:t>
            </w:r>
          </w:p>
          <w:p w:rsidR="005031B5" w:rsidRPr="006C48A9" w:rsidRDefault="005031B5" w:rsidP="005031B5">
            <w:pPr>
              <w:spacing w:line="240" w:lineRule="auto"/>
              <w:rPr>
                <w:sz w:val="22"/>
                <w:szCs w:val="22"/>
              </w:rPr>
            </w:pPr>
            <w:r w:rsidRPr="006C48A9">
              <w:rPr>
                <w:sz w:val="22"/>
                <w:szCs w:val="22"/>
              </w:rPr>
              <w:t>82.40</w:t>
            </w:r>
          </w:p>
        </w:tc>
        <w:tc>
          <w:tcPr>
            <w:tcW w:w="889" w:type="dxa"/>
            <w:tcBorders>
              <w:bottom w:val="single" w:sz="8" w:space="0" w:color="auto"/>
            </w:tcBorders>
          </w:tcPr>
          <w:p w:rsidR="005031B5" w:rsidRPr="006C48A9" w:rsidRDefault="005031B5" w:rsidP="005031B5">
            <w:pPr>
              <w:spacing w:line="240" w:lineRule="auto"/>
              <w:rPr>
                <w:sz w:val="22"/>
                <w:szCs w:val="22"/>
              </w:rPr>
            </w:pPr>
            <w:r w:rsidRPr="006C48A9">
              <w:rPr>
                <w:sz w:val="22"/>
                <w:szCs w:val="22"/>
              </w:rPr>
              <w:t>24*</w:t>
            </w:r>
          </w:p>
        </w:tc>
        <w:tc>
          <w:tcPr>
            <w:tcW w:w="1117" w:type="dxa"/>
            <w:tcBorders>
              <w:bottom w:val="single" w:sz="8" w:space="0" w:color="auto"/>
            </w:tcBorders>
          </w:tcPr>
          <w:p w:rsidR="005031B5" w:rsidRPr="006C48A9" w:rsidRDefault="005031B5" w:rsidP="005031B5">
            <w:pPr>
              <w:spacing w:line="240" w:lineRule="auto"/>
              <w:rPr>
                <w:sz w:val="22"/>
                <w:szCs w:val="22"/>
              </w:rPr>
            </w:pPr>
            <w:r w:rsidRPr="006C48A9">
              <w:rPr>
                <w:sz w:val="22"/>
                <w:szCs w:val="22"/>
              </w:rPr>
              <w:t>0.25</w:t>
            </w:r>
          </w:p>
        </w:tc>
        <w:tc>
          <w:tcPr>
            <w:tcW w:w="1826" w:type="dxa"/>
            <w:tcBorders>
              <w:bottom w:val="single" w:sz="8" w:space="0" w:color="auto"/>
            </w:tcBorders>
          </w:tcPr>
          <w:p w:rsidR="005031B5" w:rsidRPr="006C48A9" w:rsidRDefault="005031B5" w:rsidP="005031B5">
            <w:pPr>
              <w:spacing w:line="240" w:lineRule="auto"/>
              <w:rPr>
                <w:rFonts w:ascii="Calibri" w:hAnsi="Calibri" w:cs="Calibri"/>
                <w:i/>
                <w:iCs/>
                <w:sz w:val="22"/>
                <w:szCs w:val="22"/>
                <w:lang w:eastAsia="en-US"/>
              </w:rPr>
            </w:pPr>
            <w:r w:rsidRPr="006C48A9">
              <w:rPr>
                <w:rFonts w:ascii="Calibri" w:hAnsi="Calibri" w:cs="Calibri"/>
                <w:i/>
                <w:iCs/>
                <w:sz w:val="22"/>
                <w:szCs w:val="22"/>
              </w:rPr>
              <w:t>S. caseolaris</w:t>
            </w:r>
          </w:p>
          <w:p w:rsidR="005031B5" w:rsidRPr="006C48A9" w:rsidRDefault="005031B5" w:rsidP="005031B5">
            <w:pPr>
              <w:spacing w:line="240" w:lineRule="auto"/>
              <w:rPr>
                <w:i/>
                <w:sz w:val="22"/>
                <w:szCs w:val="22"/>
              </w:rPr>
            </w:pPr>
          </w:p>
        </w:tc>
        <w:tc>
          <w:tcPr>
            <w:tcW w:w="1523" w:type="dxa"/>
            <w:tcBorders>
              <w:bottom w:val="single" w:sz="8" w:space="0" w:color="auto"/>
            </w:tcBorders>
          </w:tcPr>
          <w:p w:rsidR="005031B5" w:rsidRPr="006C48A9" w:rsidRDefault="005031B5" w:rsidP="005031B5">
            <w:pPr>
              <w:spacing w:line="240" w:lineRule="auto"/>
              <w:rPr>
                <w:sz w:val="22"/>
                <w:szCs w:val="22"/>
              </w:rPr>
            </w:pPr>
            <w:r w:rsidRPr="006C48A9">
              <w:rPr>
                <w:sz w:val="22"/>
                <w:szCs w:val="22"/>
              </w:rPr>
              <w:t>100</w:t>
            </w:r>
          </w:p>
        </w:tc>
      </w:tr>
    </w:tbl>
    <w:p w:rsidR="005031B5" w:rsidRDefault="005031B5" w:rsidP="005031B5">
      <w:pPr>
        <w:rPr>
          <w:b/>
          <w:lang w:bidi="en-US"/>
        </w:rPr>
      </w:pPr>
      <w:r w:rsidRPr="00C63C51">
        <w:rPr>
          <w:b/>
          <w:lang w:bidi="en-US"/>
        </w:rPr>
        <w:t>Table 4</w:t>
      </w:r>
    </w:p>
    <w:p w:rsidR="00F94AD2" w:rsidRDefault="00F94AD2" w:rsidP="0097503E">
      <w:r w:rsidRPr="00F94AD2">
        <w:t>Above ground biomass calc</w:t>
      </w:r>
      <w:bookmarkStart w:id="0" w:name="_GoBack"/>
      <w:bookmarkEnd w:id="0"/>
      <w:r w:rsidRPr="00F94AD2">
        <w:t>ulations for individual mangrove species and total plots, * new planted mangroves in 2016.</w:t>
      </w:r>
    </w:p>
    <w:p w:rsidR="00F94AD2" w:rsidRDefault="00F94AD2" w:rsidP="0097503E"/>
    <w:p w:rsidR="00B10EC1" w:rsidRPr="00CB00F9" w:rsidRDefault="00B10EC1" w:rsidP="0097503E">
      <w:r w:rsidRPr="00CB00F9">
        <w:t>High correlations were found between MAGB and biophysical parameters (D</w:t>
      </w:r>
      <w:r w:rsidRPr="00CB00F9">
        <w:rPr>
          <w:vertAlign w:val="superscript"/>
        </w:rPr>
        <w:t>2</w:t>
      </w:r>
      <w:r w:rsidRPr="00CB00F9">
        <w:t>H) of the 9 plots (Fig. 4) with an R</w:t>
      </w:r>
      <w:r w:rsidRPr="00CB00F9">
        <w:rPr>
          <w:vertAlign w:val="superscript"/>
        </w:rPr>
        <w:t>2</w:t>
      </w:r>
      <w:r w:rsidRPr="00CB00F9">
        <w:t xml:space="preserve"> of 0.98 for </w:t>
      </w:r>
      <w:r w:rsidRPr="00CB00F9">
        <w:rPr>
          <w:i/>
        </w:rPr>
        <w:t>Sonneratia caseilaris</w:t>
      </w:r>
      <w:r w:rsidRPr="00CB00F9">
        <w:t xml:space="preserve">, 0.89 for </w:t>
      </w:r>
      <w:r w:rsidRPr="00CB00F9">
        <w:rPr>
          <w:i/>
        </w:rPr>
        <w:t>Aegiceras corniculatum</w:t>
      </w:r>
      <w:r w:rsidRPr="00CB00F9">
        <w:t xml:space="preserve"> and 0.93 for </w:t>
      </w:r>
      <w:r w:rsidRPr="00CB00F9">
        <w:rPr>
          <w:i/>
        </w:rPr>
        <w:t>Kandelia obovata</w:t>
      </w:r>
      <w:r w:rsidRPr="00CB00F9">
        <w:t>. These data were used for training and accuracy assessment of the multiple linear regression (MLR) and MARS model, and in generating the training data set for the machine learning models.</w:t>
      </w:r>
    </w:p>
    <w:p w:rsidR="00B10EC1" w:rsidRPr="00CB00F9" w:rsidRDefault="005031B5" w:rsidP="0097503E">
      <w:r>
        <w:rPr>
          <w:noProof/>
          <w:lang w:eastAsia="en-US"/>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_DHvsAGBR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10EC1" w:rsidRPr="00CB00F9" w:rsidRDefault="00B10EC1" w:rsidP="0097503E">
      <w:r w:rsidRPr="00CB00F9">
        <w:rPr>
          <w:b/>
          <w:lang w:bidi="en-US"/>
        </w:rPr>
        <w:t xml:space="preserve">Fig. 4. </w:t>
      </w:r>
      <w:r w:rsidRPr="00CB00F9">
        <w:rPr>
          <w:lang w:bidi="en-US"/>
        </w:rPr>
        <w:t>Correlations between ratio D</w:t>
      </w:r>
      <w:r w:rsidRPr="00CB00F9">
        <w:rPr>
          <w:vertAlign w:val="superscript"/>
          <w:lang w:bidi="en-US"/>
        </w:rPr>
        <w:t>2</w:t>
      </w:r>
      <w:r w:rsidRPr="00CB00F9">
        <w:rPr>
          <w:lang w:bidi="en-US"/>
        </w:rPr>
        <w:t xml:space="preserve">H and mangrove above-ground biomass (MAGB); D is the stem diameter of the stem at 1.3 m above the ground, while for </w:t>
      </w:r>
      <w:r w:rsidRPr="00CB00F9">
        <w:rPr>
          <w:i/>
          <w:lang w:bidi="en-US"/>
        </w:rPr>
        <w:t>A. corniculatum</w:t>
      </w:r>
      <w:r w:rsidRPr="00CB00F9">
        <w:rPr>
          <w:lang w:bidi="en-US"/>
        </w:rPr>
        <w:t xml:space="preserve"> and </w:t>
      </w:r>
      <w:r w:rsidRPr="00CB00F9">
        <w:rPr>
          <w:i/>
          <w:lang w:bidi="en-US"/>
        </w:rPr>
        <w:t>K. obovata,</w:t>
      </w:r>
      <w:r w:rsidRPr="00CB00F9">
        <w:rPr>
          <w:lang w:bidi="en-US"/>
        </w:rPr>
        <w:t xml:space="preserve"> it is the diameter at 10% of the height of the stem; and H is the mangrove tree height.</w:t>
      </w:r>
    </w:p>
    <w:p w:rsidR="00B10EC1" w:rsidRPr="00CB00F9" w:rsidRDefault="00B10EC1" w:rsidP="0097503E">
      <w:pPr>
        <w:pStyle w:val="MDPI23heading3"/>
      </w:pPr>
      <w:r w:rsidRPr="00CB00F9">
        <w:t>3.2. Mangrove above ground biomass multiple linear regression</w:t>
      </w:r>
    </w:p>
    <w:p w:rsidR="00B10EC1" w:rsidRPr="00CB00F9" w:rsidRDefault="00B10EC1" w:rsidP="0097503E">
      <w:pPr>
        <w:pStyle w:val="MDPI31text"/>
        <w:ind w:left="432" w:firstLine="0"/>
      </w:pPr>
      <w:r w:rsidRPr="00CB00F9">
        <w:t>3.2.1. Final multiple linear regression models</w:t>
      </w:r>
    </w:p>
    <w:p w:rsidR="00B10EC1" w:rsidRPr="00CB00F9" w:rsidRDefault="00B10EC1" w:rsidP="0097503E">
      <w:r w:rsidRPr="00CB00F9">
        <w:t>The MLR models (</w:t>
      </w:r>
      <w:r w:rsidRPr="00CB00F9">
        <w:rPr>
          <w:color w:val="0070C0"/>
        </w:rPr>
        <w:t>Table 5</w:t>
      </w:r>
      <w:r w:rsidRPr="00CB00F9">
        <w:t>) had various slope values even with the same group of vegetation indices (VI), biophysical variables and SAR backscattering layers. Mostly, the slopes of NDVI and GNDVI were larger than SAVI and SR, and SRre’s slopes were lowest in the VI group. Slopes of FVC and GNDVI were higher than those of LAI and NDVI in the biophysical variable group. The Cla’s slopes were lowest in all cases. The ratio of (HH×VH)</w:t>
      </w:r>
      <w:r w:rsidRPr="00CB00F9">
        <w:rPr>
          <w:vertAlign w:val="superscript"/>
        </w:rPr>
        <w:t>0.5</w:t>
      </w:r>
      <w:r w:rsidRPr="00CB00F9">
        <w:t xml:space="preserve"> variable had the most influence on the ALOS-2 MAGB prediction (with slope of −2.24). The errors for the explanatory variables </w:t>
      </w:r>
      <m:oMath>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r>
          <w:rPr>
            <w:rFonts w:ascii="Cambria Math" w:hAnsi="Cambria Math"/>
          </w:rPr>
          <m:t>)</m:t>
        </m:r>
      </m:oMath>
      <w:r w:rsidRPr="00CB00F9">
        <w:t xml:space="preserve"> varied from a lowest value of ±5.27 (Sentinel-2) to a highest value of ±7.75 (ALOS-2). The best fit MAGB model was the model of Landsat 8 using the vegetation indices.</w:t>
      </w:r>
    </w:p>
    <w:p w:rsidR="005031B5" w:rsidRPr="005031B5" w:rsidRDefault="005031B5" w:rsidP="005031B5">
      <w:pPr>
        <w:rPr>
          <w:b/>
          <w:sz w:val="22"/>
          <w:szCs w:val="22"/>
          <w:lang w:bidi="en-US"/>
        </w:rPr>
      </w:pPr>
      <w:r w:rsidRPr="005031B5">
        <w:rPr>
          <w:b/>
          <w:sz w:val="22"/>
          <w:szCs w:val="22"/>
          <w:lang w:bidi="en-US"/>
        </w:rPr>
        <w:t>Table 5</w:t>
      </w:r>
    </w:p>
    <w:p w:rsidR="005031B5" w:rsidRPr="005031B5" w:rsidRDefault="005031B5" w:rsidP="005031B5">
      <w:pPr>
        <w:rPr>
          <w:sz w:val="22"/>
          <w:szCs w:val="22"/>
          <w:lang w:bidi="en-US"/>
        </w:rPr>
      </w:pPr>
      <w:r w:rsidRPr="005031B5">
        <w:rPr>
          <w:sz w:val="22"/>
          <w:szCs w:val="22"/>
          <w:lang w:bidi="en-US"/>
        </w:rPr>
        <w:t xml:space="preserve">Results of final multi linear regression models </w:t>
      </w:r>
    </w:p>
    <w:tbl>
      <w:tblPr>
        <w:tblStyle w:val="TableGrid1"/>
        <w:tblW w:w="0" w:type="auto"/>
        <w:tblLook w:val="04A0" w:firstRow="1" w:lastRow="0" w:firstColumn="1" w:lastColumn="0" w:noHBand="0" w:noVBand="1"/>
      </w:tblPr>
      <w:tblGrid>
        <w:gridCol w:w="1170"/>
        <w:gridCol w:w="5670"/>
        <w:gridCol w:w="1800"/>
      </w:tblGrid>
      <w:tr w:rsidR="005031B5" w:rsidRPr="005031B5" w:rsidTr="0019118A">
        <w:tc>
          <w:tcPr>
            <w:tcW w:w="1170" w:type="dxa"/>
            <w:tcBorders>
              <w:top w:val="single" w:sz="8" w:space="0" w:color="auto"/>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Sensor</w:t>
            </w:r>
          </w:p>
        </w:tc>
        <w:tc>
          <w:tcPr>
            <w:tcW w:w="5670" w:type="dxa"/>
            <w:tcBorders>
              <w:top w:val="single" w:sz="8" w:space="0" w:color="auto"/>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Multiple linear regression model</w:t>
            </w:r>
          </w:p>
        </w:tc>
        <w:tc>
          <w:tcPr>
            <w:tcW w:w="1800" w:type="dxa"/>
            <w:tcBorders>
              <w:top w:val="single" w:sz="8" w:space="0" w:color="auto"/>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Error</w:t>
            </w:r>
          </w:p>
        </w:tc>
      </w:tr>
      <w:tr w:rsidR="005031B5" w:rsidRPr="005031B5" w:rsidTr="0019118A">
        <w:tc>
          <w:tcPr>
            <w:tcW w:w="1170" w:type="dxa"/>
            <w:tcBorders>
              <w:top w:val="single" w:sz="8" w:space="0" w:color="auto"/>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lastRenderedPageBreak/>
              <w:t>Sentinel-2</w:t>
            </w:r>
          </w:p>
        </w:tc>
        <w:tc>
          <w:tcPr>
            <w:tcW w:w="5670" w:type="dxa"/>
            <w:tcBorders>
              <w:top w:val="single" w:sz="8" w:space="0" w:color="auto"/>
              <w:left w:val="nil"/>
              <w:bottom w:val="nil"/>
              <w:right w:val="nil"/>
            </w:tcBorders>
          </w:tcPr>
          <w:p w:rsidR="005031B5" w:rsidRPr="005031B5" w:rsidRDefault="001A0E24" w:rsidP="005031B5">
            <w:pPr>
              <w:autoSpaceDE w:val="0"/>
              <w:autoSpaceDN w:val="0"/>
              <w:spacing w:line="240" w:lineRule="auto"/>
              <w:jc w:val="center"/>
              <w:rPr>
                <w:color w:val="000000" w:themeColor="text1"/>
                <w:sz w:val="22"/>
                <w:szCs w:val="22"/>
              </w:rPr>
            </w:pPr>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MAGB</m:t>
                  </m:r>
                </m:e>
                <m:sub>
                  <m:r>
                    <w:rPr>
                      <w:rFonts w:ascii="Cambria Math" w:hAnsi="Cambria Math"/>
                      <w:color w:val="000000" w:themeColor="text1"/>
                      <w:sz w:val="22"/>
                      <w:szCs w:val="22"/>
                    </w:rPr>
                    <m:t>Vi</m:t>
                  </m:r>
                </m:sub>
              </m:sSub>
              <m:r>
                <w:rPr>
                  <w:rFonts w:ascii="Cambria Math" w:hAnsi="Cambria Math"/>
                  <w:color w:val="000000" w:themeColor="text1"/>
                  <w:sz w:val="22"/>
                  <w:szCs w:val="22"/>
                </w:rPr>
                <m:t>=67.89*NDVI+73.34*GNDVI+46.60*SAVI+10.617*SR-0.86*SRre-484.36+</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oMath>
            <w:r w:rsidR="005031B5" w:rsidRPr="005031B5">
              <w:rPr>
                <w:color w:val="000000" w:themeColor="text1"/>
                <w:sz w:val="22"/>
                <w:szCs w:val="22"/>
              </w:rPr>
              <w:t xml:space="preserve"> </w:t>
            </w:r>
          </w:p>
        </w:tc>
        <w:tc>
          <w:tcPr>
            <w:tcW w:w="1800" w:type="dxa"/>
            <w:tcBorders>
              <w:top w:val="single" w:sz="8" w:space="0" w:color="auto"/>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sidDel="00FD2447">
              <w:rPr>
                <w:color w:val="000000" w:themeColor="text1"/>
                <w:sz w:val="22"/>
                <w:szCs w:val="22"/>
              </w:rPr>
              <w:t xml:space="preserve"> </w:t>
            </w:r>
            <w:r w:rsidRPr="005031B5">
              <w:rPr>
                <w:color w:val="000000" w:themeColor="text1"/>
                <w:sz w:val="22"/>
                <w:szCs w:val="22"/>
              </w:rPr>
              <w:t>(</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r>
                <w:rPr>
                  <w:rFonts w:ascii="Cambria Math" w:hAnsi="Cambria Math"/>
                  <w:color w:val="000000" w:themeColor="text1"/>
                  <w:sz w:val="22"/>
                  <w:szCs w:val="22"/>
                </w:rPr>
                <m:t>=±6.07</m:t>
              </m:r>
            </m:oMath>
            <w:r w:rsidRPr="005031B5">
              <w:rPr>
                <w:color w:val="000000" w:themeColor="text1"/>
                <w:sz w:val="22"/>
                <w:szCs w:val="22"/>
              </w:rPr>
              <w:t>)</w:t>
            </w:r>
          </w:p>
        </w:tc>
      </w:tr>
      <w:tr w:rsidR="005031B5" w:rsidRPr="005031B5" w:rsidTr="0019118A">
        <w:tc>
          <w:tcPr>
            <w:tcW w:w="117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p>
        </w:tc>
        <w:tc>
          <w:tcPr>
            <w:tcW w:w="5670" w:type="dxa"/>
            <w:tcBorders>
              <w:top w:val="nil"/>
              <w:left w:val="nil"/>
              <w:bottom w:val="single" w:sz="4" w:space="0" w:color="auto"/>
              <w:right w:val="nil"/>
            </w:tcBorders>
          </w:tcPr>
          <w:p w:rsidR="005031B5" w:rsidRPr="005031B5" w:rsidRDefault="001A0E24" w:rsidP="005031B5">
            <w:pPr>
              <w:autoSpaceDE w:val="0"/>
              <w:autoSpaceDN w:val="0"/>
              <w:spacing w:line="240" w:lineRule="auto"/>
              <w:jc w:val="center"/>
              <w:rPr>
                <w:color w:val="000000" w:themeColor="text1"/>
                <w:sz w:val="22"/>
                <w:szCs w:val="22"/>
              </w:rPr>
            </w:pPr>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MAGB</m:t>
                  </m:r>
                </m:e>
                <m:sub>
                  <m:r>
                    <w:rPr>
                      <w:rFonts w:ascii="Cambria Math" w:hAnsi="Cambria Math"/>
                      <w:color w:val="000000" w:themeColor="text1"/>
                      <w:sz w:val="22"/>
                      <w:szCs w:val="22"/>
                    </w:rPr>
                    <m:t>BV</m:t>
                  </m:r>
                </m:sub>
              </m:sSub>
              <m:r>
                <w:rPr>
                  <w:rFonts w:ascii="Cambria Math" w:hAnsi="Cambria Math"/>
                  <w:color w:val="000000" w:themeColor="text1"/>
                  <w:sz w:val="22"/>
                  <w:szCs w:val="22"/>
                </w:rPr>
                <m:t>=21.64*LAI+27.17*fAPAR+55.48*FVC+0.49*Cla-394.26+</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oMath>
            <w:r w:rsidR="005031B5" w:rsidRPr="005031B5">
              <w:rPr>
                <w:color w:val="000000" w:themeColor="text1"/>
                <w:sz w:val="22"/>
                <w:szCs w:val="22"/>
              </w:rPr>
              <w:t xml:space="preserve"> </w:t>
            </w:r>
          </w:p>
        </w:tc>
        <w:tc>
          <w:tcPr>
            <w:tcW w:w="180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sidDel="00FD2447">
              <w:rPr>
                <w:color w:val="000000" w:themeColor="text1"/>
                <w:sz w:val="22"/>
                <w:szCs w:val="22"/>
              </w:rPr>
              <w:t xml:space="preserve"> </w:t>
            </w:r>
            <w:r w:rsidRPr="005031B5">
              <w:rPr>
                <w:color w:val="000000" w:themeColor="text1"/>
                <w:sz w:val="22"/>
                <w:szCs w:val="22"/>
              </w:rPr>
              <w:t>(</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r>
                <w:rPr>
                  <w:rFonts w:ascii="Cambria Math" w:hAnsi="Cambria Math"/>
                  <w:color w:val="000000" w:themeColor="text1"/>
                  <w:sz w:val="22"/>
                  <w:szCs w:val="22"/>
                </w:rPr>
                <m:t>=±6.42</m:t>
              </m:r>
            </m:oMath>
            <w:r w:rsidRPr="005031B5">
              <w:rPr>
                <w:color w:val="000000" w:themeColor="text1"/>
                <w:sz w:val="22"/>
                <w:szCs w:val="22"/>
              </w:rPr>
              <w:t>)</w:t>
            </w:r>
          </w:p>
        </w:tc>
      </w:tr>
      <w:tr w:rsidR="005031B5" w:rsidRPr="005031B5" w:rsidTr="0019118A">
        <w:tc>
          <w:tcPr>
            <w:tcW w:w="1170" w:type="dxa"/>
            <w:tcBorders>
              <w:top w:val="single" w:sz="4" w:space="0" w:color="auto"/>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Landsat 8</w:t>
            </w:r>
          </w:p>
        </w:tc>
        <w:tc>
          <w:tcPr>
            <w:tcW w:w="5670" w:type="dxa"/>
            <w:tcBorders>
              <w:top w:val="single" w:sz="4" w:space="0" w:color="auto"/>
              <w:left w:val="nil"/>
              <w:bottom w:val="nil"/>
              <w:right w:val="nil"/>
            </w:tcBorders>
          </w:tcPr>
          <w:p w:rsidR="005031B5" w:rsidRPr="005031B5" w:rsidRDefault="001A0E24" w:rsidP="005031B5">
            <w:pPr>
              <w:autoSpaceDE w:val="0"/>
              <w:autoSpaceDN w:val="0"/>
              <w:spacing w:line="240" w:lineRule="auto"/>
              <w:jc w:val="center"/>
              <w:rPr>
                <w:color w:val="000000" w:themeColor="text1"/>
                <w:sz w:val="22"/>
                <w:szCs w:val="22"/>
              </w:rPr>
            </w:pPr>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MAGB</m:t>
                  </m:r>
                </m:e>
                <m:sub>
                  <m:r>
                    <w:rPr>
                      <w:rFonts w:ascii="Cambria Math" w:hAnsi="Cambria Math"/>
                      <w:color w:val="000000" w:themeColor="text1"/>
                      <w:sz w:val="22"/>
                      <w:szCs w:val="22"/>
                    </w:rPr>
                    <m:t>Vi</m:t>
                  </m:r>
                </m:sub>
              </m:sSub>
              <m:r>
                <w:rPr>
                  <w:rFonts w:ascii="Cambria Math" w:hAnsi="Cambria Math"/>
                  <w:color w:val="000000" w:themeColor="text1"/>
                  <w:sz w:val="22"/>
                  <w:szCs w:val="22"/>
                </w:rPr>
                <m:t>=29.46*NDVI+48.11*GNDVI+13.16*SAVI+17.55*SR-494.61+</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oMath>
            <w:r w:rsidR="005031B5" w:rsidRPr="005031B5">
              <w:rPr>
                <w:color w:val="000000" w:themeColor="text1"/>
                <w:sz w:val="22"/>
                <w:szCs w:val="22"/>
              </w:rPr>
              <w:t xml:space="preserve"> #</w:t>
            </w:r>
          </w:p>
        </w:tc>
        <w:tc>
          <w:tcPr>
            <w:tcW w:w="1800" w:type="dxa"/>
            <w:tcBorders>
              <w:top w:val="single" w:sz="4" w:space="0" w:color="auto"/>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sidDel="00FD2447">
              <w:rPr>
                <w:color w:val="000000" w:themeColor="text1"/>
                <w:sz w:val="22"/>
                <w:szCs w:val="22"/>
              </w:rPr>
              <w:t xml:space="preserve"> </w:t>
            </w:r>
            <w:r w:rsidRPr="005031B5">
              <w:rPr>
                <w:color w:val="000000" w:themeColor="text1"/>
                <w:sz w:val="22"/>
                <w:szCs w:val="22"/>
              </w:rPr>
              <w:t>(</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r>
                <w:rPr>
                  <w:rFonts w:ascii="Cambria Math" w:hAnsi="Cambria Math"/>
                  <w:color w:val="000000" w:themeColor="text1"/>
                  <w:sz w:val="22"/>
                  <w:szCs w:val="22"/>
                </w:rPr>
                <m:t>=±5.56</m:t>
              </m:r>
            </m:oMath>
            <w:r w:rsidRPr="005031B5">
              <w:rPr>
                <w:color w:val="000000" w:themeColor="text1"/>
                <w:sz w:val="22"/>
                <w:szCs w:val="22"/>
              </w:rPr>
              <w:t>)</w:t>
            </w:r>
          </w:p>
        </w:tc>
      </w:tr>
      <w:tr w:rsidR="005031B5" w:rsidRPr="005031B5" w:rsidTr="0019118A">
        <w:tc>
          <w:tcPr>
            <w:tcW w:w="117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p>
        </w:tc>
        <w:tc>
          <w:tcPr>
            <w:tcW w:w="5670" w:type="dxa"/>
            <w:tcBorders>
              <w:top w:val="nil"/>
              <w:left w:val="nil"/>
              <w:bottom w:val="single" w:sz="4" w:space="0" w:color="auto"/>
              <w:right w:val="nil"/>
            </w:tcBorders>
          </w:tcPr>
          <w:p w:rsidR="005031B5" w:rsidRPr="005031B5" w:rsidRDefault="001A0E24" w:rsidP="005031B5">
            <w:pPr>
              <w:autoSpaceDE w:val="0"/>
              <w:autoSpaceDN w:val="0"/>
              <w:spacing w:line="240" w:lineRule="auto"/>
              <w:jc w:val="center"/>
              <w:rPr>
                <w:color w:val="000000" w:themeColor="text1"/>
                <w:sz w:val="22"/>
                <w:szCs w:val="22"/>
              </w:rPr>
            </w:pPr>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MAGB</m:t>
                  </m:r>
                </m:e>
                <m:sub>
                  <m:r>
                    <w:rPr>
                      <w:rFonts w:ascii="Cambria Math" w:hAnsi="Cambria Math"/>
                      <w:color w:val="000000" w:themeColor="text1"/>
                      <w:sz w:val="22"/>
                      <w:szCs w:val="22"/>
                    </w:rPr>
                    <m:t>BV</m:t>
                  </m:r>
                </m:sub>
              </m:sSub>
              <m:r>
                <w:rPr>
                  <w:rFonts w:ascii="Cambria Math" w:hAnsi="Cambria Math"/>
                  <w:color w:val="000000" w:themeColor="text1"/>
                  <w:sz w:val="22"/>
                  <w:szCs w:val="22"/>
                </w:rPr>
                <m:t>=59.05*LAI+31.96*fAPAR+44.74*FVC+0.47*Cla+54.49+</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oMath>
            <w:r w:rsidR="005031B5" w:rsidRPr="005031B5">
              <w:rPr>
                <w:color w:val="000000" w:themeColor="text1"/>
                <w:sz w:val="22"/>
                <w:szCs w:val="22"/>
              </w:rPr>
              <w:t xml:space="preserve"> </w:t>
            </w:r>
          </w:p>
        </w:tc>
        <w:tc>
          <w:tcPr>
            <w:tcW w:w="180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sidDel="00FD2447">
              <w:rPr>
                <w:color w:val="000000" w:themeColor="text1"/>
                <w:sz w:val="22"/>
                <w:szCs w:val="22"/>
              </w:rPr>
              <w:t xml:space="preserve"> </w:t>
            </w:r>
            <w:r w:rsidRPr="005031B5">
              <w:rPr>
                <w:color w:val="000000" w:themeColor="text1"/>
                <w:sz w:val="22"/>
                <w:szCs w:val="22"/>
              </w:rPr>
              <w:t>(</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r>
                <w:rPr>
                  <w:rFonts w:ascii="Cambria Math" w:hAnsi="Cambria Math"/>
                  <w:color w:val="000000" w:themeColor="text1"/>
                  <w:sz w:val="22"/>
                  <w:szCs w:val="22"/>
                </w:rPr>
                <m:t>=±5.27</m:t>
              </m:r>
            </m:oMath>
            <w:r w:rsidRPr="005031B5">
              <w:rPr>
                <w:color w:val="000000" w:themeColor="text1"/>
                <w:sz w:val="22"/>
                <w:szCs w:val="22"/>
              </w:rPr>
              <w:t>)</w:t>
            </w:r>
          </w:p>
        </w:tc>
      </w:tr>
      <w:tr w:rsidR="005031B5" w:rsidRPr="005031B5" w:rsidTr="0019118A">
        <w:tc>
          <w:tcPr>
            <w:tcW w:w="1170" w:type="dxa"/>
            <w:tcBorders>
              <w:top w:val="single" w:sz="4" w:space="0" w:color="auto"/>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SPOT-7</w:t>
            </w:r>
          </w:p>
        </w:tc>
        <w:tc>
          <w:tcPr>
            <w:tcW w:w="5670" w:type="dxa"/>
            <w:tcBorders>
              <w:top w:val="single" w:sz="4" w:space="0" w:color="auto"/>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m:oMath>
              <m:r>
                <w:rPr>
                  <w:rFonts w:ascii="Cambria Math" w:hAnsi="Cambria Math"/>
                  <w:color w:val="000000" w:themeColor="text1"/>
                  <w:sz w:val="22"/>
                  <w:szCs w:val="22"/>
                </w:rPr>
                <m:t>M</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AGB</m:t>
                  </m:r>
                </m:e>
                <m:sub>
                  <m:r>
                    <w:rPr>
                      <w:rFonts w:ascii="Cambria Math" w:hAnsi="Cambria Math"/>
                      <w:color w:val="000000" w:themeColor="text1"/>
                      <w:sz w:val="22"/>
                      <w:szCs w:val="22"/>
                    </w:rPr>
                    <m:t>Vi</m:t>
                  </m:r>
                </m:sub>
              </m:sSub>
              <m:r>
                <w:rPr>
                  <w:rFonts w:ascii="Cambria Math" w:hAnsi="Cambria Math"/>
                  <w:color w:val="000000" w:themeColor="text1"/>
                  <w:sz w:val="22"/>
                  <w:szCs w:val="22"/>
                </w:rPr>
                <m:t>=52.34*NDVI+90.05*GNDVI+15.87*SAVI+24.15*SR-210.69+</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oMath>
            <w:r w:rsidRPr="005031B5">
              <w:rPr>
                <w:color w:val="000000" w:themeColor="text1"/>
                <w:sz w:val="22"/>
                <w:szCs w:val="22"/>
              </w:rPr>
              <w:t xml:space="preserve"> </w:t>
            </w:r>
          </w:p>
        </w:tc>
        <w:tc>
          <w:tcPr>
            <w:tcW w:w="1800" w:type="dxa"/>
            <w:tcBorders>
              <w:top w:val="single" w:sz="4" w:space="0" w:color="auto"/>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sidDel="00FD2447">
              <w:rPr>
                <w:color w:val="000000" w:themeColor="text1"/>
                <w:sz w:val="22"/>
                <w:szCs w:val="22"/>
              </w:rPr>
              <w:t xml:space="preserve"> </w:t>
            </w:r>
            <w:r w:rsidRPr="005031B5">
              <w:rPr>
                <w:color w:val="000000" w:themeColor="text1"/>
                <w:sz w:val="22"/>
                <w:szCs w:val="22"/>
              </w:rPr>
              <w:t>(</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r>
                <w:rPr>
                  <w:rFonts w:ascii="Cambria Math" w:hAnsi="Cambria Math"/>
                  <w:color w:val="000000" w:themeColor="text1"/>
                  <w:sz w:val="22"/>
                  <w:szCs w:val="22"/>
                </w:rPr>
                <m:t>=±7.67</m:t>
              </m:r>
            </m:oMath>
            <w:r w:rsidRPr="005031B5">
              <w:rPr>
                <w:color w:val="000000" w:themeColor="text1"/>
                <w:sz w:val="22"/>
                <w:szCs w:val="22"/>
              </w:rPr>
              <w:t>)</w:t>
            </w:r>
          </w:p>
        </w:tc>
      </w:tr>
      <w:tr w:rsidR="005031B5" w:rsidRPr="005031B5" w:rsidTr="0019118A">
        <w:tc>
          <w:tcPr>
            <w:tcW w:w="117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p>
        </w:tc>
        <w:tc>
          <w:tcPr>
            <w:tcW w:w="5670" w:type="dxa"/>
            <w:tcBorders>
              <w:top w:val="nil"/>
              <w:left w:val="nil"/>
              <w:bottom w:val="single" w:sz="4" w:space="0" w:color="auto"/>
              <w:right w:val="nil"/>
            </w:tcBorders>
          </w:tcPr>
          <w:p w:rsidR="005031B5" w:rsidRPr="005031B5" w:rsidRDefault="001A0E24" w:rsidP="005031B5">
            <w:pPr>
              <w:autoSpaceDE w:val="0"/>
              <w:autoSpaceDN w:val="0"/>
              <w:spacing w:line="240" w:lineRule="auto"/>
              <w:jc w:val="center"/>
              <w:rPr>
                <w:color w:val="000000" w:themeColor="text1"/>
                <w:sz w:val="22"/>
                <w:szCs w:val="22"/>
              </w:rPr>
            </w:pPr>
            <m:oMathPara>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MAGB</m:t>
                    </m:r>
                  </m:e>
                  <m:sub>
                    <m:r>
                      <w:rPr>
                        <w:rFonts w:ascii="Cambria Math" w:hAnsi="Cambria Math"/>
                        <w:color w:val="000000" w:themeColor="text1"/>
                        <w:sz w:val="22"/>
                        <w:szCs w:val="22"/>
                      </w:rPr>
                      <m:t>BV</m:t>
                    </m:r>
                  </m:sub>
                </m:sSub>
                <m:r>
                  <w:rPr>
                    <w:rFonts w:ascii="Cambria Math" w:hAnsi="Cambria Math"/>
                    <w:color w:val="000000" w:themeColor="text1"/>
                    <w:sz w:val="22"/>
                    <w:szCs w:val="22"/>
                  </w:rPr>
                  <m:t>=96.74*LAI+60.29*fAPAR+189.02*FVC+0.03*Cla-4236.94+</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oMath>
            </m:oMathPara>
          </w:p>
        </w:tc>
        <w:tc>
          <w:tcPr>
            <w:tcW w:w="180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sidDel="00FD2447">
              <w:rPr>
                <w:color w:val="000000" w:themeColor="text1"/>
                <w:sz w:val="22"/>
                <w:szCs w:val="22"/>
              </w:rPr>
              <w:t xml:space="preserve"> </w:t>
            </w:r>
            <w:r w:rsidRPr="005031B5">
              <w:rPr>
                <w:color w:val="000000" w:themeColor="text1"/>
                <w:sz w:val="22"/>
                <w:szCs w:val="22"/>
              </w:rPr>
              <w:t>(</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r>
                <w:rPr>
                  <w:rFonts w:ascii="Cambria Math" w:hAnsi="Cambria Math"/>
                  <w:color w:val="000000" w:themeColor="text1"/>
                  <w:sz w:val="22"/>
                  <w:szCs w:val="22"/>
                </w:rPr>
                <m:t>=±7.33</m:t>
              </m:r>
            </m:oMath>
            <w:r w:rsidRPr="005031B5">
              <w:rPr>
                <w:color w:val="000000" w:themeColor="text1"/>
                <w:sz w:val="22"/>
                <w:szCs w:val="22"/>
              </w:rPr>
              <w:t>)</w:t>
            </w:r>
          </w:p>
        </w:tc>
      </w:tr>
      <w:tr w:rsidR="005031B5" w:rsidRPr="005031B5" w:rsidTr="0019118A">
        <w:tc>
          <w:tcPr>
            <w:tcW w:w="1170" w:type="dxa"/>
            <w:tcBorders>
              <w:top w:val="single" w:sz="4" w:space="0" w:color="auto"/>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ALOS-2</w:t>
            </w:r>
          </w:p>
        </w:tc>
        <w:tc>
          <w:tcPr>
            <w:tcW w:w="5670" w:type="dxa"/>
            <w:tcBorders>
              <w:top w:val="single" w:sz="4" w:space="0" w:color="auto"/>
              <w:left w:val="nil"/>
              <w:bottom w:val="single" w:sz="8" w:space="0" w:color="auto"/>
              <w:right w:val="nil"/>
            </w:tcBorders>
          </w:tcPr>
          <w:p w:rsidR="005031B5" w:rsidRPr="005031B5" w:rsidRDefault="001A0E24" w:rsidP="005031B5">
            <w:pPr>
              <w:autoSpaceDE w:val="0"/>
              <w:autoSpaceDN w:val="0"/>
              <w:spacing w:line="240" w:lineRule="auto"/>
              <w:jc w:val="center"/>
              <w:rPr>
                <w:color w:val="000000" w:themeColor="text1"/>
                <w:sz w:val="22"/>
                <w:szCs w:val="22"/>
              </w:rPr>
            </w:pPr>
            <m:oMathPara>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MAGB</m:t>
                    </m:r>
                  </m:e>
                  <m:sub>
                    <m:r>
                      <w:rPr>
                        <w:rFonts w:ascii="Cambria Math" w:hAnsi="Cambria Math"/>
                        <w:color w:val="000000" w:themeColor="text1"/>
                        <w:sz w:val="22"/>
                        <w:szCs w:val="22"/>
                      </w:rPr>
                      <m:t>SAR</m:t>
                    </m:r>
                  </m:sub>
                </m:sSub>
                <m:r>
                  <w:rPr>
                    <w:rFonts w:ascii="Cambria Math" w:hAnsi="Cambria Math"/>
                    <w:color w:val="000000" w:themeColor="text1"/>
                    <w:sz w:val="22"/>
                    <w:szCs w:val="22"/>
                  </w:rPr>
                  <m:t>=1.77*HH+0.33*VH+0.53*(HH+VH)- 2.24*</m:t>
                </m:r>
                <m:sSup>
                  <m:sSupPr>
                    <m:ctrlPr>
                      <w:rPr>
                        <w:rFonts w:ascii="Cambria Math" w:hAnsi="Cambria Math"/>
                        <w:i/>
                        <w:color w:val="000000" w:themeColor="text1"/>
                        <w:sz w:val="22"/>
                        <w:szCs w:val="22"/>
                      </w:rPr>
                    </m:ctrlPr>
                  </m:sSupPr>
                  <m:e>
                    <m:d>
                      <m:dPr>
                        <m:ctrlPr>
                          <w:rPr>
                            <w:rFonts w:ascii="Cambria Math" w:hAnsi="Cambria Math"/>
                            <w:i/>
                            <w:color w:val="000000" w:themeColor="text1"/>
                            <w:sz w:val="22"/>
                            <w:szCs w:val="22"/>
                          </w:rPr>
                        </m:ctrlPr>
                      </m:dPr>
                      <m:e>
                        <m:r>
                          <w:rPr>
                            <w:rFonts w:ascii="Cambria Math" w:hAnsi="Cambria Math"/>
                            <w:color w:val="000000" w:themeColor="text1"/>
                            <w:sz w:val="22"/>
                            <w:szCs w:val="22"/>
                          </w:rPr>
                          <m:t>HH*VH</m:t>
                        </m:r>
                      </m:e>
                    </m:d>
                  </m:e>
                  <m:sup>
                    <m:r>
                      <w:rPr>
                        <w:rFonts w:ascii="Cambria Math" w:hAnsi="Cambria Math"/>
                        <w:color w:val="000000" w:themeColor="text1"/>
                        <w:sz w:val="22"/>
                        <w:szCs w:val="22"/>
                      </w:rPr>
                      <m:t>0.5</m:t>
                    </m:r>
                  </m:sup>
                </m:sSup>
                <m:r>
                  <w:rPr>
                    <w:rFonts w:ascii="Cambria Math" w:hAnsi="Cambria Math"/>
                    <w:color w:val="000000" w:themeColor="text1"/>
                    <w:sz w:val="22"/>
                    <w:szCs w:val="22"/>
                  </w:rPr>
                  <m:t>+499.43+</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oMath>
            </m:oMathPara>
          </w:p>
        </w:tc>
        <w:tc>
          <w:tcPr>
            <w:tcW w:w="1800" w:type="dxa"/>
            <w:tcBorders>
              <w:top w:val="single" w:sz="4" w:space="0" w:color="auto"/>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m:t>
                  </m:r>
                </m:e>
                <m:sub>
                  <m:r>
                    <w:rPr>
                      <w:rFonts w:ascii="Cambria Math" w:hAnsi="Cambria Math"/>
                      <w:color w:val="000000" w:themeColor="text1"/>
                      <w:sz w:val="22"/>
                      <w:szCs w:val="22"/>
                    </w:rPr>
                    <m:t>i</m:t>
                  </m:r>
                </m:sub>
              </m:sSub>
              <m:r>
                <w:rPr>
                  <w:rFonts w:ascii="Cambria Math" w:hAnsi="Cambria Math"/>
                  <w:color w:val="000000" w:themeColor="text1"/>
                  <w:sz w:val="22"/>
                  <w:szCs w:val="22"/>
                </w:rPr>
                <m:t>=±7.75</m:t>
              </m:r>
            </m:oMath>
            <w:r w:rsidRPr="005031B5">
              <w:rPr>
                <w:color w:val="000000" w:themeColor="text1"/>
                <w:sz w:val="22"/>
                <w:szCs w:val="22"/>
              </w:rPr>
              <w:t>)</w:t>
            </w:r>
          </w:p>
        </w:tc>
      </w:tr>
      <w:tr w:rsidR="005031B5" w:rsidRPr="005031B5" w:rsidTr="0019118A">
        <w:tc>
          <w:tcPr>
            <w:tcW w:w="8640" w:type="dxa"/>
            <w:gridSpan w:val="3"/>
            <w:tcBorders>
              <w:top w:val="single" w:sz="8" w:space="0" w:color="auto"/>
              <w:left w:val="nil"/>
              <w:bottom w:val="nil"/>
              <w:right w:val="nil"/>
            </w:tcBorders>
          </w:tcPr>
          <w:p w:rsidR="005031B5" w:rsidRPr="005031B5" w:rsidRDefault="005031B5" w:rsidP="005031B5">
            <w:pPr>
              <w:autoSpaceDE w:val="0"/>
              <w:autoSpaceDN w:val="0"/>
              <w:spacing w:line="240" w:lineRule="auto"/>
              <w:ind w:left="720"/>
              <w:rPr>
                <w:color w:val="000000" w:themeColor="text1"/>
                <w:sz w:val="22"/>
                <w:szCs w:val="22"/>
              </w:rPr>
            </w:pPr>
            <w:r w:rsidRPr="005031B5">
              <w:rPr>
                <w:color w:val="000000" w:themeColor="text1"/>
                <w:sz w:val="22"/>
                <w:szCs w:val="22"/>
              </w:rPr>
              <w:t xml:space="preserve"># the best multi linear regression model and so was applied to the Landsat-X time-series </w:t>
            </w:r>
          </w:p>
        </w:tc>
      </w:tr>
    </w:tbl>
    <w:p w:rsidR="00B10EC1" w:rsidRPr="00CB00F9" w:rsidRDefault="00B10EC1" w:rsidP="0097503E">
      <w:pPr>
        <w:pStyle w:val="MDPI31text"/>
      </w:pPr>
      <w:r w:rsidRPr="00CB00F9">
        <w:t>3.2.2. Accuracy assessments of the linear/multi linear regression and MAGB estimation</w:t>
      </w:r>
    </w:p>
    <w:p w:rsidR="00B10EC1" w:rsidRPr="00CB00F9" w:rsidRDefault="00B10EC1" w:rsidP="0097503E">
      <w:r w:rsidRPr="00CB00F9">
        <w:rPr>
          <w:color w:val="0070C0"/>
        </w:rPr>
        <w:t xml:space="preserve">Table 6 </w:t>
      </w:r>
      <w:r w:rsidRPr="00CB00F9">
        <w:t>shows the coefficients of determination (R</w:t>
      </w:r>
      <w:r w:rsidRPr="00CB00F9">
        <w:rPr>
          <w:vertAlign w:val="superscript"/>
        </w:rPr>
        <w:t>2</w:t>
      </w:r>
      <w:r w:rsidRPr="00CB00F9">
        <w:t>) and root mean square error (RMSE) values calculated (Eq. 6, 7) for individual vegetation indices, biophysical variables from optical images and the SAR ALOS-2 data, and for the MLR. Overall, Landsat 8 MAGB had the highest coefficient of determination</w:t>
      </w:r>
      <w:r w:rsidRPr="00CB00F9" w:rsidDel="00837C8A">
        <w:t xml:space="preserve"> </w:t>
      </w:r>
      <w:r w:rsidRPr="00CB00F9">
        <w:t>(R</w:t>
      </w:r>
      <w:r w:rsidRPr="00CB00F9">
        <w:rPr>
          <w:vertAlign w:val="superscript"/>
        </w:rPr>
        <w:t>2</w:t>
      </w:r>
      <w:r w:rsidRPr="00CB00F9">
        <w:t>) with the field measured data, followed by Sentinel-1 and SPOT-7. The ALOS-2 MAGB had the poorest fit to the field measured data (R</w:t>
      </w:r>
      <w:r w:rsidRPr="00CB00F9">
        <w:rPr>
          <w:vertAlign w:val="superscript"/>
        </w:rPr>
        <w:t xml:space="preserve">2 </w:t>
      </w:r>
      <w:r w:rsidRPr="00CB00F9">
        <w:t>= 0.31 for VH and 0.54 for the ratio (HH×VH)</w:t>
      </w:r>
      <w:r w:rsidRPr="00CB00F9">
        <w:rPr>
          <w:vertAlign w:val="superscript"/>
        </w:rPr>
        <w:t>0.5</w:t>
      </w:r>
      <w:r w:rsidRPr="00CB00F9">
        <w:t>). Among the vegetation indices, SR was the most accurate predictor of MAGB with R</w:t>
      </w:r>
      <w:r w:rsidRPr="00CB00F9">
        <w:rPr>
          <w:vertAlign w:val="superscript"/>
        </w:rPr>
        <w:t>2</w:t>
      </w:r>
      <w:r w:rsidRPr="00CB00F9">
        <w:t xml:space="preserve"> greater than 0.7, except for the SPOT-7’s SR (R</w:t>
      </w:r>
      <w:r w:rsidRPr="00CB00F9">
        <w:rPr>
          <w:vertAlign w:val="superscript"/>
        </w:rPr>
        <w:t>2</w:t>
      </w:r>
      <w:r w:rsidRPr="00CB00F9">
        <w:t xml:space="preserve"> = 0.53). In contrast, the Rrep index was not a useful predictor of MAGB, particularly in the case of Sentinel-2’s Rrep with an R</w:t>
      </w:r>
      <w:r w:rsidRPr="00CB00F9">
        <w:rPr>
          <w:vertAlign w:val="superscript"/>
        </w:rPr>
        <w:t>2</w:t>
      </w:r>
      <w:r w:rsidRPr="00CB00F9">
        <w:t xml:space="preserve"> = 0.29. In the biophysical variable group, LAI and GNDVI were the most useful predictor variables, followed by SAVI and fAPAR. The accuracy of all the MLR models was approximately 8% higher than the most accurate VI and BV from the same remote sensing source.</w:t>
      </w:r>
    </w:p>
    <w:p w:rsidR="005031B5" w:rsidRPr="005031B5" w:rsidRDefault="005031B5" w:rsidP="005031B5">
      <w:pPr>
        <w:rPr>
          <w:rFonts w:ascii="Palatino Linotype" w:hAnsi="Palatino Linotype"/>
          <w:b/>
          <w:sz w:val="22"/>
          <w:szCs w:val="22"/>
          <w:lang w:bidi="en-US"/>
        </w:rPr>
      </w:pPr>
      <w:r w:rsidRPr="005031B5">
        <w:rPr>
          <w:rFonts w:ascii="Palatino Linotype" w:hAnsi="Palatino Linotype"/>
          <w:b/>
          <w:sz w:val="22"/>
          <w:szCs w:val="22"/>
          <w:lang w:bidi="en-US"/>
        </w:rPr>
        <w:t>Table 6</w:t>
      </w:r>
    </w:p>
    <w:p w:rsidR="005031B5" w:rsidRPr="005031B5" w:rsidRDefault="005031B5" w:rsidP="005031B5">
      <w:pPr>
        <w:rPr>
          <w:rFonts w:ascii="Palatino Linotype" w:hAnsi="Palatino Linotype"/>
          <w:sz w:val="22"/>
          <w:szCs w:val="22"/>
          <w:lang w:bidi="en-US"/>
        </w:rPr>
      </w:pPr>
      <w:r w:rsidRPr="005031B5">
        <w:rPr>
          <w:rFonts w:ascii="Palatino Linotype" w:hAnsi="Palatino Linotype"/>
          <w:sz w:val="22"/>
          <w:szCs w:val="22"/>
          <w:lang w:bidi="en-US"/>
        </w:rPr>
        <w:t>Linear/multi linear coefficient of determination (R</w:t>
      </w:r>
      <w:r w:rsidRPr="005031B5">
        <w:rPr>
          <w:rFonts w:ascii="Palatino Linotype" w:hAnsi="Palatino Linotype"/>
          <w:sz w:val="22"/>
          <w:szCs w:val="22"/>
          <w:vertAlign w:val="superscript"/>
          <w:lang w:bidi="en-US"/>
        </w:rPr>
        <w:t>2</w:t>
      </w:r>
      <w:r w:rsidRPr="005031B5">
        <w:rPr>
          <w:rFonts w:ascii="Palatino Linotype" w:hAnsi="Palatino Linotype"/>
          <w:sz w:val="22"/>
          <w:szCs w:val="22"/>
          <w:lang w:bidi="en-US"/>
        </w:rPr>
        <w:t>) between in-situ measured and satellite-estimated MAGB and the root mean square error computed for the predictors of vegetation indices, biophysical variables and SAR remote sensing data (NA= not applicable)</w:t>
      </w:r>
    </w:p>
    <w:tbl>
      <w:tblPr>
        <w:tblW w:w="0" w:type="auto"/>
        <w:tblLook w:val="04A0" w:firstRow="1" w:lastRow="0" w:firstColumn="1" w:lastColumn="0" w:noHBand="0" w:noVBand="1"/>
      </w:tblPr>
      <w:tblGrid>
        <w:gridCol w:w="1699"/>
        <w:gridCol w:w="1721"/>
        <w:gridCol w:w="1080"/>
        <w:gridCol w:w="1440"/>
        <w:gridCol w:w="2018"/>
      </w:tblGrid>
      <w:tr w:rsidR="005031B5" w:rsidRPr="005031B5" w:rsidTr="0019118A">
        <w:tc>
          <w:tcPr>
            <w:tcW w:w="1699" w:type="dxa"/>
            <w:tcBorders>
              <w:top w:val="single" w:sz="8" w:space="0" w:color="auto"/>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Sensor</w:t>
            </w:r>
          </w:p>
        </w:tc>
        <w:tc>
          <w:tcPr>
            <w:tcW w:w="1721" w:type="dxa"/>
            <w:tcBorders>
              <w:top w:val="single" w:sz="8" w:space="0" w:color="auto"/>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Predictor</w:t>
            </w:r>
          </w:p>
        </w:tc>
        <w:tc>
          <w:tcPr>
            <w:tcW w:w="1080" w:type="dxa"/>
            <w:tcBorders>
              <w:top w:val="single" w:sz="8" w:space="0" w:color="auto"/>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R</w:t>
            </w:r>
            <w:r w:rsidRPr="005031B5">
              <w:rPr>
                <w:snapToGrid w:val="0"/>
                <w:color w:val="000000" w:themeColor="text1"/>
                <w:sz w:val="22"/>
                <w:szCs w:val="22"/>
                <w:vertAlign w:val="superscript"/>
                <w:lang w:bidi="en-US"/>
              </w:rPr>
              <w:t>2</w:t>
            </w:r>
          </w:p>
        </w:tc>
        <w:tc>
          <w:tcPr>
            <w:tcW w:w="1440" w:type="dxa"/>
            <w:tcBorders>
              <w:top w:val="single" w:sz="8" w:space="0" w:color="auto"/>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RMSE</w:t>
            </w:r>
          </w:p>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(Mg ha</w:t>
            </w:r>
            <w:r w:rsidRPr="005031B5">
              <w:rPr>
                <w:snapToGrid w:val="0"/>
                <w:color w:val="000000" w:themeColor="text1"/>
                <w:sz w:val="22"/>
                <w:szCs w:val="22"/>
                <w:vertAlign w:val="superscript"/>
                <w:lang w:bidi="en-US"/>
              </w:rPr>
              <w:t>−1</w:t>
            </w:r>
            <w:r w:rsidRPr="005031B5">
              <w:rPr>
                <w:snapToGrid w:val="0"/>
                <w:color w:val="000000" w:themeColor="text1"/>
                <w:sz w:val="22"/>
                <w:szCs w:val="22"/>
                <w:lang w:bidi="en-US"/>
              </w:rPr>
              <w:t>)</w:t>
            </w:r>
          </w:p>
        </w:tc>
        <w:tc>
          <w:tcPr>
            <w:tcW w:w="2018" w:type="dxa"/>
            <w:tcBorders>
              <w:top w:val="single" w:sz="8" w:space="0" w:color="auto"/>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Resampled/original resolution (m)</w:t>
            </w:r>
          </w:p>
        </w:tc>
      </w:tr>
      <w:tr w:rsidR="005031B5" w:rsidRPr="005031B5" w:rsidTr="0019118A">
        <w:tc>
          <w:tcPr>
            <w:tcW w:w="1699" w:type="dxa"/>
            <w:tcBorders>
              <w:top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Sentinel-2</w:t>
            </w:r>
          </w:p>
        </w:tc>
        <w:tc>
          <w:tcPr>
            <w:tcW w:w="1721" w:type="dxa"/>
            <w:tcBorders>
              <w:top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SR</w:t>
            </w:r>
          </w:p>
        </w:tc>
        <w:tc>
          <w:tcPr>
            <w:tcW w:w="1080" w:type="dxa"/>
            <w:tcBorders>
              <w:top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0.71</w:t>
            </w:r>
          </w:p>
        </w:tc>
        <w:tc>
          <w:tcPr>
            <w:tcW w:w="1440" w:type="dxa"/>
            <w:tcBorders>
              <w:top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6.84</w:t>
            </w:r>
          </w:p>
        </w:tc>
        <w:tc>
          <w:tcPr>
            <w:tcW w:w="2018" w:type="dxa"/>
            <w:tcBorders>
              <w:top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10/20-60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 xml:space="preserve">(Vegetation </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GNDVI</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0.68</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7.46</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10/20-60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indices)</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NDVI</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0.68</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7.74</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10/20-60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SAVI</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0.62</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8.10</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10/20-60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SRre</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0.29</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10.17</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10/20-60</w:t>
            </w:r>
          </w:p>
        </w:tc>
      </w:tr>
      <w:tr w:rsidR="005031B5" w:rsidRPr="005031B5" w:rsidTr="0019118A">
        <w:tc>
          <w:tcPr>
            <w:tcW w:w="1699"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MLR</w:t>
            </w:r>
          </w:p>
        </w:tc>
        <w:tc>
          <w:tcPr>
            <w:tcW w:w="108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0.81</w:t>
            </w:r>
          </w:p>
        </w:tc>
        <w:tc>
          <w:tcPr>
            <w:tcW w:w="144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6.07</w:t>
            </w:r>
          </w:p>
        </w:tc>
        <w:tc>
          <w:tcPr>
            <w:tcW w:w="2018"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10/20-60</w:t>
            </w:r>
          </w:p>
        </w:tc>
      </w:tr>
      <w:tr w:rsidR="005031B5" w:rsidRPr="005031B5" w:rsidTr="0019118A">
        <w:tc>
          <w:tcPr>
            <w:tcW w:w="1699"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(Biophysical</w:t>
            </w:r>
          </w:p>
        </w:tc>
        <w:tc>
          <w:tcPr>
            <w:tcW w:w="1721"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Cla</w:t>
            </w:r>
          </w:p>
        </w:tc>
        <w:tc>
          <w:tcPr>
            <w:tcW w:w="108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0.76</w:t>
            </w:r>
          </w:p>
        </w:tc>
        <w:tc>
          <w:tcPr>
            <w:tcW w:w="144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6.67</w:t>
            </w:r>
          </w:p>
        </w:tc>
        <w:tc>
          <w:tcPr>
            <w:tcW w:w="2018"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10/20-60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variables)</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LAI</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0.73</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7.00</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10/20-60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FVC</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0.64</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7.81</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10/20-60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fAPAR</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0.61</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8.25</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10/20-60</w:t>
            </w:r>
          </w:p>
        </w:tc>
      </w:tr>
      <w:tr w:rsidR="005031B5" w:rsidRPr="005031B5" w:rsidTr="0019118A">
        <w:tc>
          <w:tcPr>
            <w:tcW w:w="1699"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MLR</w:t>
            </w:r>
          </w:p>
        </w:tc>
        <w:tc>
          <w:tcPr>
            <w:tcW w:w="108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0.80</w:t>
            </w:r>
          </w:p>
        </w:tc>
        <w:tc>
          <w:tcPr>
            <w:tcW w:w="144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6.42</w:t>
            </w:r>
          </w:p>
        </w:tc>
        <w:tc>
          <w:tcPr>
            <w:tcW w:w="2018"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10/20-60</w:t>
            </w:r>
          </w:p>
        </w:tc>
      </w:tr>
      <w:tr w:rsidR="005031B5" w:rsidRPr="005031B5" w:rsidTr="0019118A">
        <w:tc>
          <w:tcPr>
            <w:tcW w:w="1699"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Landsat 8 OLI</w:t>
            </w:r>
          </w:p>
        </w:tc>
        <w:tc>
          <w:tcPr>
            <w:tcW w:w="1721"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SR*</w:t>
            </w:r>
          </w:p>
        </w:tc>
        <w:tc>
          <w:tcPr>
            <w:tcW w:w="108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0.70</w:t>
            </w:r>
          </w:p>
        </w:tc>
        <w:tc>
          <w:tcPr>
            <w:tcW w:w="144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6.66</w:t>
            </w:r>
          </w:p>
        </w:tc>
        <w:tc>
          <w:tcPr>
            <w:tcW w:w="2018"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lastRenderedPageBreak/>
              <w:t xml:space="preserve">(Vegetation </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GNDVI</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0.68</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6.85</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indices)</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NDVI</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0.67</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6.94</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SAVI</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0.67</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6.94</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SRre</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NA</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NA</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NA</w:t>
            </w:r>
          </w:p>
        </w:tc>
      </w:tr>
      <w:tr w:rsidR="005031B5" w:rsidRPr="005031B5" w:rsidTr="0019118A">
        <w:tc>
          <w:tcPr>
            <w:tcW w:w="1699"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MLR</w:t>
            </w:r>
          </w:p>
        </w:tc>
        <w:tc>
          <w:tcPr>
            <w:tcW w:w="108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0.80</w:t>
            </w:r>
          </w:p>
        </w:tc>
        <w:tc>
          <w:tcPr>
            <w:tcW w:w="144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5.56</w:t>
            </w:r>
          </w:p>
        </w:tc>
        <w:tc>
          <w:tcPr>
            <w:tcW w:w="2018"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10/30</w:t>
            </w:r>
          </w:p>
        </w:tc>
      </w:tr>
      <w:tr w:rsidR="005031B5" w:rsidRPr="005031B5" w:rsidTr="0019118A">
        <w:tc>
          <w:tcPr>
            <w:tcW w:w="1699"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(Biophysical</w:t>
            </w:r>
          </w:p>
        </w:tc>
        <w:tc>
          <w:tcPr>
            <w:tcW w:w="1721"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LAI</w:t>
            </w:r>
          </w:p>
        </w:tc>
        <w:tc>
          <w:tcPr>
            <w:tcW w:w="108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0.70</w:t>
            </w:r>
          </w:p>
        </w:tc>
        <w:tc>
          <w:tcPr>
            <w:tcW w:w="144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6.66</w:t>
            </w:r>
          </w:p>
        </w:tc>
        <w:tc>
          <w:tcPr>
            <w:tcW w:w="2018"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variables)</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Cla</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0.69</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6.71</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FVC</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0.69</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6.76</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10/30</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fAPAR</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0.68</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6.90</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10/30</w:t>
            </w:r>
          </w:p>
        </w:tc>
      </w:tr>
      <w:tr w:rsidR="005031B5" w:rsidRPr="005031B5" w:rsidTr="0019118A">
        <w:tc>
          <w:tcPr>
            <w:tcW w:w="1699"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MLR</w:t>
            </w:r>
          </w:p>
        </w:tc>
        <w:tc>
          <w:tcPr>
            <w:tcW w:w="108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0.82</w:t>
            </w:r>
          </w:p>
        </w:tc>
        <w:tc>
          <w:tcPr>
            <w:tcW w:w="144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5.27</w:t>
            </w:r>
          </w:p>
        </w:tc>
        <w:tc>
          <w:tcPr>
            <w:tcW w:w="2018"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10/30</w:t>
            </w:r>
          </w:p>
        </w:tc>
      </w:tr>
      <w:tr w:rsidR="005031B5" w:rsidRPr="005031B5" w:rsidTr="0019118A">
        <w:tc>
          <w:tcPr>
            <w:tcW w:w="1699"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SPOT-7</w:t>
            </w:r>
          </w:p>
        </w:tc>
        <w:tc>
          <w:tcPr>
            <w:tcW w:w="1721"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GNDVI</w:t>
            </w:r>
          </w:p>
        </w:tc>
        <w:tc>
          <w:tcPr>
            <w:tcW w:w="108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0.59</w:t>
            </w:r>
          </w:p>
        </w:tc>
        <w:tc>
          <w:tcPr>
            <w:tcW w:w="144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8.00</w:t>
            </w:r>
          </w:p>
        </w:tc>
        <w:tc>
          <w:tcPr>
            <w:tcW w:w="2018"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10/6</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 xml:space="preserve">(Vegetation </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SR</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0.53</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8.47</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10/6</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indices)</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NDVI</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0.53</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8.49</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10/6</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SAVI</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0.53</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12.80</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10/6</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SRre</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NA</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NA</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NA</w:t>
            </w:r>
          </w:p>
        </w:tc>
      </w:tr>
      <w:tr w:rsidR="005031B5" w:rsidRPr="005031B5" w:rsidTr="0019118A">
        <w:tc>
          <w:tcPr>
            <w:tcW w:w="1699"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MLR</w:t>
            </w:r>
          </w:p>
        </w:tc>
        <w:tc>
          <w:tcPr>
            <w:tcW w:w="108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0.66</w:t>
            </w:r>
          </w:p>
        </w:tc>
        <w:tc>
          <w:tcPr>
            <w:tcW w:w="144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7.67</w:t>
            </w:r>
          </w:p>
        </w:tc>
        <w:tc>
          <w:tcPr>
            <w:tcW w:w="2018"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10/6</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(Biophysical</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LAI</w:t>
            </w:r>
            <w:r w:rsidRPr="005031B5">
              <w:rPr>
                <w:i/>
                <w:snapToGrid w:val="0"/>
                <w:color w:val="000000" w:themeColor="text1"/>
                <w:sz w:val="22"/>
                <w:szCs w:val="22"/>
                <w:vertAlign w:val="subscript"/>
                <w:lang w:bidi="en-US"/>
              </w:rPr>
              <w:t>NDVI</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0.52</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8.40</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10/6</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variables)</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FVC</w:t>
            </w:r>
            <w:r w:rsidRPr="005031B5">
              <w:rPr>
                <w:i/>
                <w:snapToGrid w:val="0"/>
                <w:color w:val="000000" w:themeColor="text1"/>
                <w:sz w:val="22"/>
                <w:szCs w:val="22"/>
                <w:vertAlign w:val="subscript"/>
                <w:lang w:bidi="en-US"/>
              </w:rPr>
              <w:t>NDVI</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0.52</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8.53</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10/6</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CLa</w:t>
            </w:r>
            <w:r w:rsidRPr="005031B5">
              <w:rPr>
                <w:snapToGrid w:val="0"/>
                <w:color w:val="000000" w:themeColor="text1"/>
                <w:sz w:val="22"/>
                <w:szCs w:val="22"/>
                <w:vertAlign w:val="subscript"/>
                <w:lang w:bidi="en-US"/>
              </w:rPr>
              <w:t>Green</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0.51</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8.43</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10/6</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fAPAR</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0.50</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8.47</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10/6</w:t>
            </w:r>
          </w:p>
        </w:tc>
      </w:tr>
      <w:tr w:rsidR="005031B5" w:rsidRPr="005031B5" w:rsidTr="0019118A">
        <w:tc>
          <w:tcPr>
            <w:tcW w:w="1699"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MLR</w:t>
            </w:r>
          </w:p>
        </w:tc>
        <w:tc>
          <w:tcPr>
            <w:tcW w:w="108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0.65</w:t>
            </w:r>
          </w:p>
        </w:tc>
        <w:tc>
          <w:tcPr>
            <w:tcW w:w="144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7.33</w:t>
            </w:r>
          </w:p>
        </w:tc>
        <w:tc>
          <w:tcPr>
            <w:tcW w:w="2018"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10/6</w:t>
            </w:r>
          </w:p>
        </w:tc>
      </w:tr>
      <w:tr w:rsidR="005031B5" w:rsidRPr="005031B5" w:rsidTr="0019118A">
        <w:tc>
          <w:tcPr>
            <w:tcW w:w="1699"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ALOS-2</w:t>
            </w:r>
          </w:p>
        </w:tc>
        <w:tc>
          <w:tcPr>
            <w:tcW w:w="1721"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(HH×VH)</w:t>
            </w:r>
            <w:r w:rsidRPr="005031B5">
              <w:rPr>
                <w:snapToGrid w:val="0"/>
                <w:color w:val="000000" w:themeColor="text1"/>
                <w:sz w:val="22"/>
                <w:szCs w:val="22"/>
                <w:vertAlign w:val="superscript"/>
                <w:lang w:bidi="en-US"/>
              </w:rPr>
              <w:t>0.5</w:t>
            </w:r>
          </w:p>
        </w:tc>
        <w:tc>
          <w:tcPr>
            <w:tcW w:w="108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0.54</w:t>
            </w:r>
          </w:p>
        </w:tc>
        <w:tc>
          <w:tcPr>
            <w:tcW w:w="144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8.21</w:t>
            </w:r>
          </w:p>
        </w:tc>
        <w:tc>
          <w:tcPr>
            <w:tcW w:w="2018"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10/3.125</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 xml:space="preserve">(polarization </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HH</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0.50</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8.57</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10/3.125</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and ratios)</w:t>
            </w: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HH+VH</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0.48</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8.78</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10/3.125</w:t>
            </w:r>
          </w:p>
        </w:tc>
      </w:tr>
      <w:tr w:rsidR="005031B5" w:rsidRPr="005031B5" w:rsidTr="0019118A">
        <w:tc>
          <w:tcPr>
            <w:tcW w:w="1699"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VH</w:t>
            </w:r>
          </w:p>
        </w:tc>
        <w:tc>
          <w:tcPr>
            <w:tcW w:w="108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0.31</w:t>
            </w:r>
          </w:p>
        </w:tc>
        <w:tc>
          <w:tcPr>
            <w:tcW w:w="1440"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10.05</w:t>
            </w:r>
          </w:p>
        </w:tc>
        <w:tc>
          <w:tcPr>
            <w:tcW w:w="2018" w:type="dxa"/>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10/3.125</w:t>
            </w:r>
          </w:p>
        </w:tc>
      </w:tr>
      <w:tr w:rsidR="005031B5" w:rsidRPr="005031B5" w:rsidTr="0019118A">
        <w:tc>
          <w:tcPr>
            <w:tcW w:w="1699" w:type="dxa"/>
            <w:tcBorders>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p>
        </w:tc>
        <w:tc>
          <w:tcPr>
            <w:tcW w:w="1721" w:type="dxa"/>
            <w:tcBorders>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MLR</w:t>
            </w:r>
          </w:p>
        </w:tc>
        <w:tc>
          <w:tcPr>
            <w:tcW w:w="1080" w:type="dxa"/>
            <w:tcBorders>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0.60</w:t>
            </w:r>
          </w:p>
        </w:tc>
        <w:tc>
          <w:tcPr>
            <w:tcW w:w="1440" w:type="dxa"/>
            <w:tcBorders>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7.75</w:t>
            </w:r>
          </w:p>
        </w:tc>
        <w:tc>
          <w:tcPr>
            <w:tcW w:w="2018" w:type="dxa"/>
            <w:tcBorders>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10/3.125</w:t>
            </w:r>
          </w:p>
        </w:tc>
      </w:tr>
      <w:tr w:rsidR="005031B5" w:rsidRPr="005031B5" w:rsidTr="0019118A">
        <w:tc>
          <w:tcPr>
            <w:tcW w:w="7958" w:type="dxa"/>
            <w:gridSpan w:val="5"/>
            <w:tcBorders>
              <w:top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snapToGrid w:val="0"/>
                <w:color w:val="000000" w:themeColor="text1"/>
                <w:sz w:val="22"/>
                <w:szCs w:val="22"/>
                <w:lang w:bidi="en-US"/>
              </w:rPr>
            </w:pPr>
            <w:r w:rsidRPr="005031B5">
              <w:rPr>
                <w:snapToGrid w:val="0"/>
                <w:color w:val="000000" w:themeColor="text1"/>
                <w:sz w:val="22"/>
                <w:szCs w:val="22"/>
                <w:lang w:bidi="en-US"/>
              </w:rPr>
              <w:t>* the best fit vegetation index, subsequently applied to the Landsat-X time-series</w:t>
            </w:r>
          </w:p>
        </w:tc>
      </w:tr>
    </w:tbl>
    <w:p w:rsidR="00B10EC1" w:rsidRPr="00CB00F9" w:rsidRDefault="00B10EC1" w:rsidP="0097503E">
      <w:pPr>
        <w:pStyle w:val="MDPI23heading3"/>
      </w:pPr>
      <w:r w:rsidRPr="00CB00F9">
        <w:t xml:space="preserve">3.3. MARS model </w:t>
      </w:r>
    </w:p>
    <w:p w:rsidR="00B10EC1" w:rsidRPr="00CB00F9" w:rsidRDefault="00B10EC1" w:rsidP="0097503E">
      <w:pPr>
        <w:pStyle w:val="MDPI31text"/>
      </w:pPr>
      <w:r w:rsidRPr="00CB00F9">
        <w:t>3.3.1. Mangrove above-ground biomass estimated by MARS model</w:t>
      </w:r>
    </w:p>
    <w:p w:rsidR="00B10EC1" w:rsidRPr="00CB00F9" w:rsidRDefault="00B10EC1" w:rsidP="0097503E">
      <w:r w:rsidRPr="00CB00F9">
        <w:rPr>
          <w:color w:val="0070C0"/>
        </w:rPr>
        <w:t xml:space="preserve">Fig. 5 </w:t>
      </w:r>
      <w:r w:rsidRPr="00CB00F9">
        <w:t>shows that the MARS’s MAGB (black circles) estimated for the Sentinel-2 image and Landsat 8 data had the highest agreement with the field measured data (R</w:t>
      </w:r>
      <w:r w:rsidRPr="00CB00F9">
        <w:rPr>
          <w:vertAlign w:val="superscript"/>
        </w:rPr>
        <w:t>2</w:t>
      </w:r>
      <w:r w:rsidRPr="00CB00F9">
        <w:t xml:space="preserve"> = 0.901 for the former and R</w:t>
      </w:r>
      <w:r w:rsidRPr="00CB00F9">
        <w:rPr>
          <w:vertAlign w:val="superscript"/>
        </w:rPr>
        <w:t>2</w:t>
      </w:r>
      <w:r w:rsidRPr="00CB00F9">
        <w:t xml:space="preserve"> = 0.893 for the latte). Using Landsat 8 and SPOT-7 (R</w:t>
      </w:r>
      <w:r w:rsidRPr="00CB00F9">
        <w:rPr>
          <w:vertAlign w:val="superscript"/>
        </w:rPr>
        <w:t>2</w:t>
      </w:r>
      <w:r w:rsidR="003D6EF0" w:rsidRPr="00CB00F9">
        <w:t xml:space="preserve"> of 0.884) </w:t>
      </w:r>
      <w:r w:rsidRPr="00CB00F9">
        <w:t>and ALOS-2 (R</w:t>
      </w:r>
      <w:r w:rsidRPr="00CB00F9">
        <w:rPr>
          <w:vertAlign w:val="superscript"/>
        </w:rPr>
        <w:t>2</w:t>
      </w:r>
      <w:r w:rsidRPr="00CB00F9">
        <w:t xml:space="preserve"> of 0.880) scenes, the MARS model generated MAGB values slightly less accurate than the uses of Sentinel-2 and Landsat 8 images. Compared to the MLR, the MARS model performed better in terms of generating computationally complex models and predicting MAGB, shown by the black circles closer to the 1:1 diagonal line than the red triangles, blue diamonds and brown triangles of the MLRs. The MARS and MLR results deviate most from the measured MAGB of 40 Mg ha</w:t>
      </w:r>
      <w:r w:rsidRPr="00CB00F9">
        <w:rPr>
          <w:vertAlign w:val="superscript"/>
        </w:rPr>
        <w:t>−1</w:t>
      </w:r>
      <w:r w:rsidRPr="00CB00F9">
        <w:t xml:space="preserve"> using the optical Sentinel-2, Landsat 8 and SPOT-7 images, while the largest deviation using the SAR AL2 was at the measured MAGB of 35 Mg ha</w:t>
      </w:r>
      <w:r w:rsidRPr="00CB00F9">
        <w:rPr>
          <w:vertAlign w:val="superscript"/>
        </w:rPr>
        <w:t>−1</w:t>
      </w:r>
      <w:r w:rsidRPr="00CB00F9">
        <w:t>. The MARS model over-estimated MAGB in the range of 40-60 Mg ha</w:t>
      </w:r>
      <w:r w:rsidRPr="00CB00F9">
        <w:rPr>
          <w:vertAlign w:val="superscript"/>
        </w:rPr>
        <w:t>−1</w:t>
      </w:r>
      <w:r w:rsidRPr="00CB00F9">
        <w:t xml:space="preserve"> and under-estimated MAGB above 80 Mg ha</w:t>
      </w:r>
      <w:r w:rsidRPr="00CB00F9">
        <w:rPr>
          <w:vertAlign w:val="superscript"/>
        </w:rPr>
        <w:t>−1</w:t>
      </w:r>
      <w:r w:rsidRPr="00CB00F9">
        <w:t>. The MARS model predicted MAGB well at &lt; 40 Mg ha</w:t>
      </w:r>
      <w:r w:rsidRPr="00CB00F9">
        <w:rPr>
          <w:vertAlign w:val="superscript"/>
        </w:rPr>
        <w:t>−1</w:t>
      </w:r>
      <w:r w:rsidRPr="00CB00F9">
        <w:t xml:space="preserve"> in all cases.</w:t>
      </w:r>
    </w:p>
    <w:p w:rsidR="00B10EC1" w:rsidRPr="00CB00F9" w:rsidRDefault="005031B5" w:rsidP="0097503E">
      <w:r>
        <w:rPr>
          <w:noProof/>
          <w:lang w:eastAsia="en-US"/>
        </w:rPr>
        <w:lastRenderedPageBreak/>
        <w:drawing>
          <wp:inline distT="0" distB="0" distL="0" distR="0">
            <wp:extent cx="5943600" cy="4577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_MARS_vs_MLR1R0.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577080"/>
                    </a:xfrm>
                    <a:prstGeom prst="rect">
                      <a:avLst/>
                    </a:prstGeom>
                  </pic:spPr>
                </pic:pic>
              </a:graphicData>
            </a:graphic>
          </wp:inline>
        </w:drawing>
      </w:r>
    </w:p>
    <w:p w:rsidR="00B10EC1" w:rsidRPr="008524D3" w:rsidRDefault="00B10EC1" w:rsidP="0097503E">
      <w:r w:rsidRPr="008524D3">
        <w:rPr>
          <w:b/>
        </w:rPr>
        <w:t xml:space="preserve">Fig. 5. </w:t>
      </w:r>
      <w:r w:rsidRPr="008524D3">
        <w:t>The best MARS model results of mangrove above-ground biomass (back circles) on the vertical axis versus the field measured data on the horizontal axis in comparison with multi linear regression (MLR) using vegetation indices (light blue diamonds) and biophysical variables (red triangles) calculated from (a) Sentinel-2, (b) Landsat 8, (c) SPOT-7 images and (d) using backscatter data (brown triangles) of ALOS-2. The red and blue polylines illustrate the “hinge functions” with knots where the basic functions were changed and applied for each VI (red polylines) and BV (blue polylines) and for the SAR AL2 data (violet polylines).</w:t>
      </w:r>
    </w:p>
    <w:p w:rsidR="00B10EC1" w:rsidRPr="00CB00F9" w:rsidRDefault="00B10EC1" w:rsidP="0097503E">
      <w:pPr>
        <w:pStyle w:val="MDPI31text"/>
      </w:pPr>
      <w:r w:rsidRPr="00CB00F9">
        <w:t>3.3.3. Accuracy evaluation for the MARS model</w:t>
      </w:r>
    </w:p>
    <w:p w:rsidR="00B10EC1" w:rsidRPr="00CB00F9" w:rsidRDefault="00B10EC1" w:rsidP="0097503E">
      <w:r w:rsidRPr="00CB00F9">
        <w:t xml:space="preserve">Correlations between the MARS MAGB and field measured data, and the most important variables in the MARS model, are presented in </w:t>
      </w:r>
      <w:r w:rsidRPr="00CB00F9">
        <w:rPr>
          <w:color w:val="0070C0"/>
        </w:rPr>
        <w:t>Table 7</w:t>
      </w:r>
      <w:r w:rsidRPr="00CB00F9">
        <w:t>. Variables are divided into three groups: vegetation indices and biophysical variables for the optical remote sensing data, and polarizations and ratios for the ALOS-2 data. In general, use of Sentinel-2 and ALOS-2 data produced the most accurate predicted MAGB, with R</w:t>
      </w:r>
      <w:r w:rsidRPr="00CB00F9">
        <w:rPr>
          <w:vertAlign w:val="superscript"/>
        </w:rPr>
        <w:t>2</w:t>
      </w:r>
      <w:r w:rsidRPr="00CB00F9">
        <w:t xml:space="preserve"> of 0.9 and RMSE &lt; 5.33 and 6.53 Mg ha</w:t>
      </w:r>
      <w:r w:rsidRPr="00CB00F9">
        <w:rPr>
          <w:vertAlign w:val="superscript"/>
        </w:rPr>
        <w:t>−1</w:t>
      </w:r>
      <w:r w:rsidRPr="00CB00F9">
        <w:t>, respectively. The Landsat 8 image was the second most accurate and use of SPOT-7 achieved the lowest, although still good, coefficient of determination (lowest R</w:t>
      </w:r>
      <w:r w:rsidRPr="00CB00F9">
        <w:rPr>
          <w:vertAlign w:val="superscript"/>
        </w:rPr>
        <w:t>2</w:t>
      </w:r>
      <w:r w:rsidRPr="00CB00F9">
        <w:t xml:space="preserve"> = 0.81, highest RMSE = 7.57). Variable importance was identified based on sensitivity to model outputs. In the vegetation index group, SR, NDVI and GNDVI were the most critical variables, while SRre and SAVI were less influential on model outputs. In the biophysical variable group, LAI, Cla and FVC were the top three important variables, while fAPAR was of limited use. The combination of SAR </w:t>
      </w:r>
      <w:r w:rsidRPr="00CB00F9">
        <w:lastRenderedPageBreak/>
        <w:t>polarization backscatter data (HH+VH and (HH×VH)</w:t>
      </w:r>
      <w:r w:rsidRPr="00CB00F9">
        <w:rPr>
          <w:vertAlign w:val="superscript"/>
        </w:rPr>
        <w:t>0.5</w:t>
      </w:r>
      <w:r w:rsidRPr="00CB00F9">
        <w:t>) was more importance to model output than the single ALOS-2 polarization backscatter layer. Of the three groups of variables, the vegetation indices and SAR data were more correlated to the MARS MAGB than the biophysical variables.</w:t>
      </w:r>
    </w:p>
    <w:p w:rsidR="005031B5" w:rsidRPr="005031B5" w:rsidRDefault="005031B5" w:rsidP="005031B5">
      <w:pPr>
        <w:rPr>
          <w:b/>
          <w:sz w:val="22"/>
          <w:szCs w:val="22"/>
          <w:lang w:bidi="en-US"/>
        </w:rPr>
      </w:pPr>
      <w:r w:rsidRPr="005031B5">
        <w:rPr>
          <w:b/>
          <w:sz w:val="22"/>
          <w:szCs w:val="22"/>
          <w:lang w:bidi="en-US"/>
        </w:rPr>
        <w:t>Table 7</w:t>
      </w:r>
    </w:p>
    <w:p w:rsidR="005031B5" w:rsidRPr="005031B5" w:rsidRDefault="005031B5" w:rsidP="005031B5">
      <w:pPr>
        <w:rPr>
          <w:sz w:val="22"/>
          <w:szCs w:val="22"/>
          <w:lang w:bidi="en-US"/>
        </w:rPr>
      </w:pPr>
      <w:r w:rsidRPr="005031B5">
        <w:rPr>
          <w:sz w:val="22"/>
          <w:szCs w:val="22"/>
          <w:lang w:bidi="en-US"/>
        </w:rPr>
        <w:t>MARS’s versus measured mangrove above-ground biomass, and MARS’s important variables</w:t>
      </w:r>
    </w:p>
    <w:tbl>
      <w:tblPr>
        <w:tblW w:w="0" w:type="auto"/>
        <w:tblLook w:val="04A0" w:firstRow="1" w:lastRow="0" w:firstColumn="1" w:lastColumn="0" w:noHBand="0" w:noVBand="1"/>
      </w:tblPr>
      <w:tblGrid>
        <w:gridCol w:w="2605"/>
        <w:gridCol w:w="1445"/>
        <w:gridCol w:w="720"/>
        <w:gridCol w:w="1153"/>
        <w:gridCol w:w="2717"/>
      </w:tblGrid>
      <w:tr w:rsidR="005031B5" w:rsidRPr="005031B5" w:rsidTr="0019118A">
        <w:tc>
          <w:tcPr>
            <w:tcW w:w="2605" w:type="dxa"/>
            <w:tcBorders>
              <w:top w:val="single" w:sz="8" w:space="0" w:color="auto"/>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b/>
                <w:snapToGrid w:val="0"/>
                <w:color w:val="000000" w:themeColor="text1"/>
                <w:lang w:bidi="en-US"/>
              </w:rPr>
            </w:pPr>
            <w:r w:rsidRPr="005031B5">
              <w:rPr>
                <w:rFonts w:ascii="Palatino Linotype" w:hAnsi="Palatino Linotype"/>
                <w:b/>
                <w:snapToGrid w:val="0"/>
                <w:color w:val="000000" w:themeColor="text1"/>
                <w:lang w:bidi="en-US"/>
              </w:rPr>
              <w:t>Variables</w:t>
            </w:r>
          </w:p>
        </w:tc>
        <w:tc>
          <w:tcPr>
            <w:tcW w:w="1445" w:type="dxa"/>
            <w:tcBorders>
              <w:top w:val="single" w:sz="8" w:space="0" w:color="auto"/>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b/>
                <w:snapToGrid w:val="0"/>
                <w:color w:val="000000" w:themeColor="text1"/>
                <w:lang w:bidi="en-US"/>
              </w:rPr>
            </w:pPr>
            <w:r w:rsidRPr="005031B5">
              <w:rPr>
                <w:rFonts w:ascii="Palatino Linotype" w:hAnsi="Palatino Linotype"/>
                <w:b/>
                <w:snapToGrid w:val="0"/>
                <w:color w:val="000000" w:themeColor="text1"/>
                <w:lang w:bidi="en-US"/>
              </w:rPr>
              <w:t>Satellite</w:t>
            </w:r>
          </w:p>
          <w:p w:rsidR="005031B5" w:rsidRPr="005031B5" w:rsidRDefault="005031B5" w:rsidP="005031B5">
            <w:pPr>
              <w:autoSpaceDE w:val="0"/>
              <w:autoSpaceDN w:val="0"/>
              <w:adjustRightInd w:val="0"/>
              <w:snapToGrid w:val="0"/>
              <w:spacing w:line="240" w:lineRule="auto"/>
              <w:jc w:val="center"/>
              <w:rPr>
                <w:rFonts w:ascii="Palatino Linotype" w:hAnsi="Palatino Linotype"/>
                <w:b/>
                <w:snapToGrid w:val="0"/>
                <w:color w:val="000000" w:themeColor="text1"/>
                <w:lang w:bidi="en-US"/>
              </w:rPr>
            </w:pPr>
            <w:r w:rsidRPr="005031B5">
              <w:rPr>
                <w:rFonts w:ascii="Palatino Linotype" w:hAnsi="Palatino Linotype"/>
                <w:b/>
                <w:snapToGrid w:val="0"/>
                <w:color w:val="000000" w:themeColor="text1"/>
                <w:lang w:bidi="en-US"/>
              </w:rPr>
              <w:t>data</w:t>
            </w:r>
          </w:p>
        </w:tc>
        <w:tc>
          <w:tcPr>
            <w:tcW w:w="720" w:type="dxa"/>
            <w:tcBorders>
              <w:top w:val="single" w:sz="8" w:space="0" w:color="auto"/>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b/>
                <w:snapToGrid w:val="0"/>
                <w:color w:val="000000" w:themeColor="text1"/>
                <w:lang w:bidi="en-US"/>
              </w:rPr>
            </w:pPr>
            <w:r w:rsidRPr="005031B5">
              <w:rPr>
                <w:rFonts w:ascii="Palatino Linotype" w:hAnsi="Palatino Linotype"/>
                <w:b/>
                <w:snapToGrid w:val="0"/>
                <w:color w:val="000000" w:themeColor="text1"/>
                <w:lang w:bidi="en-US"/>
              </w:rPr>
              <w:t>R</w:t>
            </w:r>
            <w:r w:rsidRPr="005031B5">
              <w:rPr>
                <w:rFonts w:ascii="Palatino Linotype" w:hAnsi="Palatino Linotype"/>
                <w:b/>
                <w:snapToGrid w:val="0"/>
                <w:color w:val="000000" w:themeColor="text1"/>
                <w:vertAlign w:val="superscript"/>
                <w:lang w:bidi="en-US"/>
              </w:rPr>
              <w:t>2</w:t>
            </w:r>
          </w:p>
        </w:tc>
        <w:tc>
          <w:tcPr>
            <w:tcW w:w="1153" w:type="dxa"/>
            <w:tcBorders>
              <w:top w:val="single" w:sz="8" w:space="0" w:color="auto"/>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b/>
                <w:snapToGrid w:val="0"/>
                <w:color w:val="000000" w:themeColor="text1"/>
                <w:lang w:bidi="en-US"/>
              </w:rPr>
            </w:pPr>
            <w:r w:rsidRPr="005031B5">
              <w:rPr>
                <w:rFonts w:ascii="Palatino Linotype" w:hAnsi="Palatino Linotype"/>
                <w:b/>
                <w:snapToGrid w:val="0"/>
                <w:color w:val="000000" w:themeColor="text1"/>
                <w:lang w:bidi="en-US"/>
              </w:rPr>
              <w:t>RMSE</w:t>
            </w:r>
          </w:p>
          <w:p w:rsidR="005031B5" w:rsidRPr="005031B5" w:rsidRDefault="005031B5" w:rsidP="005031B5">
            <w:pPr>
              <w:autoSpaceDE w:val="0"/>
              <w:autoSpaceDN w:val="0"/>
              <w:adjustRightInd w:val="0"/>
              <w:snapToGrid w:val="0"/>
              <w:spacing w:line="240" w:lineRule="auto"/>
              <w:jc w:val="center"/>
              <w:rPr>
                <w:rFonts w:ascii="Palatino Linotype" w:hAnsi="Palatino Linotype"/>
                <w:b/>
                <w:snapToGrid w:val="0"/>
                <w:color w:val="000000" w:themeColor="text1"/>
                <w:lang w:bidi="en-US"/>
              </w:rPr>
            </w:pPr>
            <w:r w:rsidRPr="005031B5">
              <w:rPr>
                <w:rFonts w:ascii="Palatino Linotype" w:hAnsi="Palatino Linotype"/>
                <w:b/>
                <w:snapToGrid w:val="0"/>
                <w:color w:val="000000" w:themeColor="text1"/>
                <w:lang w:bidi="en-US"/>
              </w:rPr>
              <w:t>(Mg ha</w:t>
            </w:r>
            <w:r w:rsidRPr="005031B5">
              <w:rPr>
                <w:rFonts w:ascii="Palatino Linotype" w:hAnsi="Palatino Linotype"/>
                <w:b/>
                <w:snapToGrid w:val="0"/>
                <w:color w:val="000000" w:themeColor="text1"/>
                <w:vertAlign w:val="superscript"/>
                <w:lang w:bidi="en-US"/>
              </w:rPr>
              <w:t>−1</w:t>
            </w:r>
            <w:r w:rsidRPr="005031B5">
              <w:rPr>
                <w:rFonts w:ascii="Palatino Linotype" w:hAnsi="Palatino Linotype"/>
                <w:b/>
                <w:snapToGrid w:val="0"/>
                <w:color w:val="000000" w:themeColor="text1"/>
                <w:lang w:bidi="en-US"/>
              </w:rPr>
              <w:t>)</w:t>
            </w:r>
          </w:p>
        </w:tc>
        <w:tc>
          <w:tcPr>
            <w:tcW w:w="2717" w:type="dxa"/>
            <w:tcBorders>
              <w:top w:val="single" w:sz="8" w:space="0" w:color="auto"/>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b/>
                <w:snapToGrid w:val="0"/>
                <w:color w:val="000000" w:themeColor="text1"/>
                <w:lang w:bidi="en-US"/>
              </w:rPr>
            </w:pPr>
            <w:r w:rsidRPr="005031B5">
              <w:rPr>
                <w:rFonts w:ascii="Palatino Linotype" w:hAnsi="Palatino Linotype"/>
                <w:b/>
                <w:snapToGrid w:val="0"/>
                <w:color w:val="000000" w:themeColor="text1"/>
                <w:lang w:bidi="en-US"/>
              </w:rPr>
              <w:t>Important</w:t>
            </w:r>
          </w:p>
          <w:p w:rsidR="005031B5" w:rsidRPr="005031B5" w:rsidRDefault="005031B5" w:rsidP="005031B5">
            <w:pPr>
              <w:autoSpaceDE w:val="0"/>
              <w:autoSpaceDN w:val="0"/>
              <w:adjustRightInd w:val="0"/>
              <w:snapToGrid w:val="0"/>
              <w:spacing w:line="240" w:lineRule="auto"/>
              <w:jc w:val="center"/>
              <w:rPr>
                <w:rFonts w:ascii="Palatino Linotype" w:hAnsi="Palatino Linotype"/>
                <w:b/>
                <w:snapToGrid w:val="0"/>
                <w:color w:val="000000" w:themeColor="text1"/>
                <w:lang w:bidi="en-US"/>
              </w:rPr>
            </w:pPr>
            <w:r w:rsidRPr="005031B5">
              <w:rPr>
                <w:rFonts w:ascii="Palatino Linotype" w:hAnsi="Palatino Linotype"/>
                <w:b/>
                <w:snapToGrid w:val="0"/>
                <w:color w:val="000000" w:themeColor="text1"/>
                <w:lang w:bidi="en-US"/>
              </w:rPr>
              <w:t>variables</w:t>
            </w:r>
          </w:p>
        </w:tc>
      </w:tr>
      <w:tr w:rsidR="005031B5" w:rsidRPr="005031B5" w:rsidTr="0019118A">
        <w:tc>
          <w:tcPr>
            <w:tcW w:w="2605" w:type="dxa"/>
            <w:vMerge w:val="restart"/>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Vegetation</w:t>
            </w:r>
          </w:p>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Indices of</w:t>
            </w:r>
          </w:p>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(NDVI, SAVI, GNDVI, SR, SRre*)</w:t>
            </w:r>
          </w:p>
        </w:tc>
        <w:tc>
          <w:tcPr>
            <w:tcW w:w="1445"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Sentinel-2</w:t>
            </w:r>
          </w:p>
        </w:tc>
        <w:tc>
          <w:tcPr>
            <w:tcW w:w="72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0.90</w:t>
            </w:r>
          </w:p>
        </w:tc>
        <w:tc>
          <w:tcPr>
            <w:tcW w:w="1153"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5.33</w:t>
            </w:r>
          </w:p>
        </w:tc>
        <w:tc>
          <w:tcPr>
            <w:tcW w:w="2717"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SR, NDVI, GNDVI, SAVI, SRre</w:t>
            </w:r>
          </w:p>
        </w:tc>
      </w:tr>
      <w:tr w:rsidR="005031B5" w:rsidRPr="005031B5" w:rsidTr="0019118A">
        <w:tc>
          <w:tcPr>
            <w:tcW w:w="2605" w:type="dxa"/>
            <w:vMerge/>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p>
        </w:tc>
        <w:tc>
          <w:tcPr>
            <w:tcW w:w="1445" w:type="dxa"/>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Landsat 8</w:t>
            </w:r>
          </w:p>
        </w:tc>
        <w:tc>
          <w:tcPr>
            <w:tcW w:w="720" w:type="dxa"/>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0.89</w:t>
            </w:r>
          </w:p>
        </w:tc>
        <w:tc>
          <w:tcPr>
            <w:tcW w:w="1153" w:type="dxa"/>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5.42</w:t>
            </w:r>
          </w:p>
        </w:tc>
        <w:tc>
          <w:tcPr>
            <w:tcW w:w="2717" w:type="dxa"/>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SR, GNDVI,</w:t>
            </w:r>
          </w:p>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NDVI, SAVI</w:t>
            </w:r>
          </w:p>
        </w:tc>
      </w:tr>
      <w:tr w:rsidR="005031B5" w:rsidRPr="005031B5" w:rsidTr="0019118A">
        <w:tc>
          <w:tcPr>
            <w:tcW w:w="2605" w:type="dxa"/>
            <w:vMerge/>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p>
        </w:tc>
        <w:tc>
          <w:tcPr>
            <w:tcW w:w="1445"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SPOT-7</w:t>
            </w:r>
          </w:p>
        </w:tc>
        <w:tc>
          <w:tcPr>
            <w:tcW w:w="72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0.81</w:t>
            </w:r>
          </w:p>
        </w:tc>
        <w:tc>
          <w:tcPr>
            <w:tcW w:w="1153"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7.57</w:t>
            </w:r>
          </w:p>
        </w:tc>
        <w:tc>
          <w:tcPr>
            <w:tcW w:w="2717"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GNDVI, SR, NDVI, SAVI</w:t>
            </w:r>
          </w:p>
        </w:tc>
      </w:tr>
      <w:tr w:rsidR="005031B5" w:rsidRPr="005031B5" w:rsidTr="0019118A">
        <w:tc>
          <w:tcPr>
            <w:tcW w:w="2605" w:type="dxa"/>
            <w:vMerge w:val="restart"/>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Biophysical variables of (LAI, fAPAR, FVC, CLa*, CLa</w:t>
            </w:r>
            <w:r w:rsidRPr="005031B5">
              <w:rPr>
                <w:rFonts w:ascii="Palatino Linotype" w:hAnsi="Palatino Linotype"/>
                <w:snapToGrid w:val="0"/>
                <w:color w:val="000000" w:themeColor="text1"/>
                <w:vertAlign w:val="subscript"/>
                <w:lang w:bidi="en-US"/>
              </w:rPr>
              <w:t>Green</w:t>
            </w:r>
            <w:r w:rsidRPr="005031B5">
              <w:rPr>
                <w:rFonts w:ascii="Palatino Linotype" w:hAnsi="Palatino Linotype"/>
                <w:snapToGrid w:val="0"/>
                <w:color w:val="000000" w:themeColor="text1"/>
                <w:lang w:bidi="en-US"/>
              </w:rPr>
              <w:t>**)</w:t>
            </w:r>
          </w:p>
        </w:tc>
        <w:tc>
          <w:tcPr>
            <w:tcW w:w="1445"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Sentinel-2</w:t>
            </w:r>
          </w:p>
        </w:tc>
        <w:tc>
          <w:tcPr>
            <w:tcW w:w="72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0.89</w:t>
            </w:r>
          </w:p>
        </w:tc>
        <w:tc>
          <w:tcPr>
            <w:tcW w:w="1153"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5.27</w:t>
            </w:r>
          </w:p>
        </w:tc>
        <w:tc>
          <w:tcPr>
            <w:tcW w:w="2717"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Cla, LAI, FVC, fAPAR</w:t>
            </w:r>
          </w:p>
        </w:tc>
      </w:tr>
      <w:tr w:rsidR="005031B5" w:rsidRPr="005031B5" w:rsidTr="0019118A">
        <w:tc>
          <w:tcPr>
            <w:tcW w:w="2605" w:type="dxa"/>
            <w:vMerge/>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p>
        </w:tc>
        <w:tc>
          <w:tcPr>
            <w:tcW w:w="1445" w:type="dxa"/>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Landsat 8</w:t>
            </w:r>
          </w:p>
        </w:tc>
        <w:tc>
          <w:tcPr>
            <w:tcW w:w="720" w:type="dxa"/>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0.87</w:t>
            </w:r>
          </w:p>
        </w:tc>
        <w:tc>
          <w:tcPr>
            <w:tcW w:w="1153" w:type="dxa"/>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6.42</w:t>
            </w:r>
          </w:p>
        </w:tc>
        <w:tc>
          <w:tcPr>
            <w:tcW w:w="2717" w:type="dxa"/>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LAI, Cla, FVC, fAPAR</w:t>
            </w:r>
          </w:p>
        </w:tc>
      </w:tr>
      <w:tr w:rsidR="005031B5" w:rsidRPr="005031B5" w:rsidTr="0019118A">
        <w:tc>
          <w:tcPr>
            <w:tcW w:w="2605" w:type="dxa"/>
            <w:vMerge/>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p>
        </w:tc>
        <w:tc>
          <w:tcPr>
            <w:tcW w:w="1445"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SPOT-7</w:t>
            </w:r>
          </w:p>
        </w:tc>
        <w:tc>
          <w:tcPr>
            <w:tcW w:w="720"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0.85</w:t>
            </w:r>
          </w:p>
        </w:tc>
        <w:tc>
          <w:tcPr>
            <w:tcW w:w="1153"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7.24</w:t>
            </w:r>
          </w:p>
        </w:tc>
        <w:tc>
          <w:tcPr>
            <w:tcW w:w="2717" w:type="dxa"/>
            <w:tcBorders>
              <w:bottom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LAI, FVC, Cla</w:t>
            </w:r>
            <w:r w:rsidRPr="005031B5">
              <w:rPr>
                <w:rFonts w:ascii="Palatino Linotype" w:hAnsi="Palatino Linotype"/>
                <w:snapToGrid w:val="0"/>
                <w:color w:val="000000" w:themeColor="text1"/>
                <w:vertAlign w:val="subscript"/>
                <w:lang w:bidi="en-US"/>
              </w:rPr>
              <w:t>Green</w:t>
            </w:r>
            <w:r w:rsidRPr="005031B5">
              <w:rPr>
                <w:rFonts w:ascii="Palatino Linotype" w:hAnsi="Palatino Linotype"/>
                <w:snapToGrid w:val="0"/>
                <w:color w:val="000000" w:themeColor="text1"/>
                <w:lang w:bidi="en-US"/>
              </w:rPr>
              <w:t>, fAPAR</w:t>
            </w:r>
          </w:p>
        </w:tc>
      </w:tr>
      <w:tr w:rsidR="005031B5" w:rsidRPr="005031B5" w:rsidTr="0019118A">
        <w:tc>
          <w:tcPr>
            <w:tcW w:w="2605"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Polarizations and ratios</w:t>
            </w:r>
          </w:p>
        </w:tc>
        <w:tc>
          <w:tcPr>
            <w:tcW w:w="1445"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ALOS-2</w:t>
            </w:r>
          </w:p>
        </w:tc>
        <w:tc>
          <w:tcPr>
            <w:tcW w:w="720"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0.89</w:t>
            </w:r>
          </w:p>
        </w:tc>
        <w:tc>
          <w:tcPr>
            <w:tcW w:w="1153"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6.53</w:t>
            </w:r>
          </w:p>
        </w:tc>
        <w:tc>
          <w:tcPr>
            <w:tcW w:w="2717" w:type="dxa"/>
            <w:tcBorders>
              <w:top w:val="single" w:sz="4"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(HH×VH)</w:t>
            </w:r>
            <w:r w:rsidRPr="005031B5">
              <w:rPr>
                <w:rFonts w:ascii="Palatino Linotype" w:hAnsi="Palatino Linotype"/>
                <w:snapToGrid w:val="0"/>
                <w:color w:val="000000" w:themeColor="text1"/>
                <w:vertAlign w:val="superscript"/>
                <w:lang w:bidi="en-US"/>
              </w:rPr>
              <w:t>0.5</w:t>
            </w:r>
          </w:p>
        </w:tc>
      </w:tr>
      <w:tr w:rsidR="005031B5" w:rsidRPr="005031B5" w:rsidTr="0019118A">
        <w:tc>
          <w:tcPr>
            <w:tcW w:w="2605" w:type="dxa"/>
            <w:tcBorders>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(HH, VH, HH+VH and (HH×VH)</w:t>
            </w:r>
            <w:r w:rsidRPr="005031B5">
              <w:rPr>
                <w:rFonts w:ascii="Palatino Linotype" w:hAnsi="Palatino Linotype"/>
                <w:snapToGrid w:val="0"/>
                <w:color w:val="000000" w:themeColor="text1"/>
                <w:vertAlign w:val="superscript"/>
                <w:lang w:bidi="en-US"/>
              </w:rPr>
              <w:t>0.5</w:t>
            </w:r>
            <w:r w:rsidRPr="005031B5">
              <w:rPr>
                <w:rFonts w:ascii="Palatino Linotype" w:hAnsi="Palatino Linotype"/>
                <w:snapToGrid w:val="0"/>
                <w:color w:val="000000" w:themeColor="text1"/>
                <w:lang w:bidi="en-US"/>
              </w:rPr>
              <w:t>)</w:t>
            </w:r>
          </w:p>
        </w:tc>
        <w:tc>
          <w:tcPr>
            <w:tcW w:w="1445" w:type="dxa"/>
            <w:tcBorders>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p>
        </w:tc>
        <w:tc>
          <w:tcPr>
            <w:tcW w:w="720" w:type="dxa"/>
            <w:tcBorders>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p>
        </w:tc>
        <w:tc>
          <w:tcPr>
            <w:tcW w:w="1153" w:type="dxa"/>
            <w:tcBorders>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p>
        </w:tc>
        <w:tc>
          <w:tcPr>
            <w:tcW w:w="2717" w:type="dxa"/>
            <w:tcBorders>
              <w:bottom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HH+VH, HH, VH</w:t>
            </w:r>
          </w:p>
        </w:tc>
      </w:tr>
      <w:tr w:rsidR="005031B5" w:rsidRPr="005031B5" w:rsidTr="0019118A">
        <w:tc>
          <w:tcPr>
            <w:tcW w:w="8640" w:type="dxa"/>
            <w:gridSpan w:val="5"/>
            <w:tcBorders>
              <w:top w:val="single" w:sz="8" w:space="0" w:color="auto"/>
            </w:tcBorders>
            <w:shd w:val="clear" w:color="auto" w:fill="auto"/>
          </w:tcPr>
          <w:p w:rsidR="005031B5" w:rsidRPr="005031B5" w:rsidRDefault="005031B5" w:rsidP="005031B5">
            <w:pPr>
              <w:autoSpaceDE w:val="0"/>
              <w:autoSpaceDN w:val="0"/>
              <w:adjustRightInd w:val="0"/>
              <w:snapToGrid w:val="0"/>
              <w:spacing w:line="240" w:lineRule="auto"/>
              <w:jc w:val="center"/>
              <w:rPr>
                <w:rFonts w:ascii="Palatino Linotype" w:hAnsi="Palatino Linotype"/>
                <w:snapToGrid w:val="0"/>
                <w:color w:val="000000" w:themeColor="text1"/>
                <w:lang w:bidi="en-US"/>
              </w:rPr>
            </w:pPr>
            <w:r w:rsidRPr="005031B5">
              <w:rPr>
                <w:rFonts w:ascii="Palatino Linotype" w:hAnsi="Palatino Linotype"/>
                <w:snapToGrid w:val="0"/>
                <w:color w:val="000000" w:themeColor="text1"/>
                <w:lang w:bidi="en-US"/>
              </w:rPr>
              <w:t>*not applicable for SPOT-7, ** for SPOT-7 only</w:t>
            </w:r>
          </w:p>
        </w:tc>
      </w:tr>
    </w:tbl>
    <w:p w:rsidR="00B10EC1" w:rsidRPr="00CB00F9" w:rsidRDefault="00B10EC1" w:rsidP="0097503E">
      <w:pPr>
        <w:pStyle w:val="MDPI23heading3"/>
      </w:pPr>
      <w:r w:rsidRPr="00CB00F9">
        <w:t>3.4. Machine learning models</w:t>
      </w:r>
    </w:p>
    <w:p w:rsidR="00B10EC1" w:rsidRPr="00CB00F9" w:rsidRDefault="00B10EC1" w:rsidP="0097503E">
      <w:r w:rsidRPr="00CB00F9">
        <w:t xml:space="preserve">Twelve confusion matrices were calculated, examining the goodness of fit of ML classifications with field measured data. These are summarized by the mean producer, user accuracy, and Kappa coefficients in </w:t>
      </w:r>
      <w:r w:rsidRPr="00CB00F9">
        <w:rPr>
          <w:color w:val="0070C0"/>
        </w:rPr>
        <w:t>Table 8</w:t>
      </w:r>
      <w:r w:rsidRPr="00CB00F9">
        <w:t>. Comparing between data sources, Sentinel-2 and Landsat-8 were generally better as most of their producer, user and Kappa coefficients (around 75%) were higher than those of SPOT-7 and ALOS-2 (approximately 63%). In addition, using ALOS-2 data generated MAGB with slightly higher accuracy than SPOT-7. Using higher spatial resolution data did not guarantee that the models would produce better MAGB predictions. Among the ML methods, the SVM produced the best MAGB estimates since all the accuracy indicators were higher than for ANN and RF. The ANN and RF generated MAGB estimates with similar accuracy (differences in R</w:t>
      </w:r>
      <w:r w:rsidRPr="00CB00F9">
        <w:rPr>
          <w:vertAlign w:val="superscript"/>
        </w:rPr>
        <w:t>2</w:t>
      </w:r>
      <w:r w:rsidRPr="00CB00F9">
        <w:t xml:space="preserve"> just 3% and Kappa only 0.1).</w:t>
      </w:r>
    </w:p>
    <w:p w:rsidR="005031B5" w:rsidRPr="005031B5" w:rsidRDefault="005031B5" w:rsidP="005031B5">
      <w:pPr>
        <w:rPr>
          <w:b/>
          <w:sz w:val="22"/>
          <w:szCs w:val="22"/>
        </w:rPr>
      </w:pPr>
      <w:r w:rsidRPr="005031B5">
        <w:rPr>
          <w:b/>
          <w:sz w:val="22"/>
          <w:szCs w:val="22"/>
        </w:rPr>
        <w:t>Table 8</w:t>
      </w:r>
    </w:p>
    <w:p w:rsidR="005031B5" w:rsidRPr="005031B5" w:rsidRDefault="005031B5" w:rsidP="005031B5">
      <w:pPr>
        <w:rPr>
          <w:sz w:val="22"/>
          <w:szCs w:val="22"/>
        </w:rPr>
      </w:pPr>
      <w:r w:rsidRPr="005031B5">
        <w:rPr>
          <w:sz w:val="22"/>
          <w:szCs w:val="22"/>
        </w:rPr>
        <w:t>Accuracy assessment of machine learning approaches of Artificial Neural Network (ANN), random forest (RF) and Support Vector Machines (SVM) for mangrove above-ground biomass classifications</w:t>
      </w:r>
    </w:p>
    <w:tbl>
      <w:tblPr>
        <w:tblStyle w:val="TableGrid2"/>
        <w:tblW w:w="9289" w:type="dxa"/>
        <w:tblLook w:val="04A0" w:firstRow="1" w:lastRow="0" w:firstColumn="1" w:lastColumn="0" w:noHBand="0" w:noVBand="1"/>
      </w:tblPr>
      <w:tblGrid>
        <w:gridCol w:w="2340"/>
        <w:gridCol w:w="1080"/>
        <w:gridCol w:w="1710"/>
        <w:gridCol w:w="1440"/>
        <w:gridCol w:w="1440"/>
        <w:gridCol w:w="1279"/>
      </w:tblGrid>
      <w:tr w:rsidR="005031B5" w:rsidRPr="005031B5" w:rsidTr="0019118A">
        <w:tc>
          <w:tcPr>
            <w:tcW w:w="2340" w:type="dxa"/>
            <w:tcBorders>
              <w:top w:val="single" w:sz="8" w:space="0" w:color="auto"/>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Data</w:t>
            </w:r>
          </w:p>
        </w:tc>
        <w:tc>
          <w:tcPr>
            <w:tcW w:w="1080" w:type="dxa"/>
            <w:tcBorders>
              <w:top w:val="single" w:sz="8" w:space="0" w:color="auto"/>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ML methods</w:t>
            </w:r>
          </w:p>
        </w:tc>
        <w:tc>
          <w:tcPr>
            <w:tcW w:w="1710" w:type="dxa"/>
            <w:tcBorders>
              <w:top w:val="single" w:sz="8" w:space="0" w:color="auto"/>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Mean producer accuracy (%)</w:t>
            </w:r>
          </w:p>
        </w:tc>
        <w:tc>
          <w:tcPr>
            <w:tcW w:w="1440" w:type="dxa"/>
            <w:tcBorders>
              <w:top w:val="single" w:sz="8" w:space="0" w:color="auto"/>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Mean user accuracy (%)</w:t>
            </w:r>
          </w:p>
        </w:tc>
        <w:tc>
          <w:tcPr>
            <w:tcW w:w="1440" w:type="dxa"/>
            <w:tcBorders>
              <w:top w:val="single" w:sz="8" w:space="0" w:color="auto"/>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Overall Accuracy (%)</w:t>
            </w:r>
          </w:p>
        </w:tc>
        <w:tc>
          <w:tcPr>
            <w:tcW w:w="1279" w:type="dxa"/>
            <w:tcBorders>
              <w:top w:val="single" w:sz="8" w:space="0" w:color="auto"/>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Kappa Coefficient</w:t>
            </w:r>
          </w:p>
        </w:tc>
      </w:tr>
      <w:tr w:rsidR="005031B5" w:rsidRPr="005031B5" w:rsidTr="0019118A">
        <w:tc>
          <w:tcPr>
            <w:tcW w:w="2340" w:type="dxa"/>
            <w:tcBorders>
              <w:top w:val="single" w:sz="8" w:space="0" w:color="auto"/>
              <w:left w:val="nil"/>
              <w:bottom w:val="nil"/>
              <w:right w:val="nil"/>
            </w:tcBorders>
          </w:tcPr>
          <w:p w:rsidR="005031B5" w:rsidRPr="005031B5" w:rsidRDefault="005031B5" w:rsidP="005031B5">
            <w:pPr>
              <w:spacing w:before="120" w:after="120" w:line="260" w:lineRule="atLeast"/>
              <w:jc w:val="left"/>
              <w:rPr>
                <w:color w:val="000000" w:themeColor="text1"/>
                <w:sz w:val="22"/>
                <w:szCs w:val="22"/>
              </w:rPr>
            </w:pPr>
            <w:r w:rsidRPr="005031B5">
              <w:rPr>
                <w:color w:val="000000" w:themeColor="text1"/>
                <w:sz w:val="22"/>
                <w:szCs w:val="22"/>
              </w:rPr>
              <w:t>Sentinel-2</w:t>
            </w:r>
          </w:p>
        </w:tc>
        <w:tc>
          <w:tcPr>
            <w:tcW w:w="1080" w:type="dxa"/>
            <w:tcBorders>
              <w:top w:val="single" w:sz="8" w:space="0" w:color="auto"/>
              <w:left w:val="nil"/>
              <w:bottom w:val="nil"/>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ANN</w:t>
            </w:r>
          </w:p>
        </w:tc>
        <w:tc>
          <w:tcPr>
            <w:tcW w:w="1710" w:type="dxa"/>
            <w:tcBorders>
              <w:top w:val="single" w:sz="8" w:space="0" w:color="auto"/>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59.970</w:t>
            </w:r>
          </w:p>
        </w:tc>
        <w:tc>
          <w:tcPr>
            <w:tcW w:w="1440" w:type="dxa"/>
            <w:tcBorders>
              <w:top w:val="single" w:sz="8" w:space="0" w:color="auto"/>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63.771</w:t>
            </w:r>
          </w:p>
        </w:tc>
        <w:tc>
          <w:tcPr>
            <w:tcW w:w="1440" w:type="dxa"/>
            <w:tcBorders>
              <w:top w:val="single" w:sz="8" w:space="0" w:color="auto"/>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75.352</w:t>
            </w:r>
          </w:p>
        </w:tc>
        <w:tc>
          <w:tcPr>
            <w:tcW w:w="1279" w:type="dxa"/>
            <w:tcBorders>
              <w:top w:val="single" w:sz="8" w:space="0" w:color="auto"/>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0.519</w:t>
            </w:r>
          </w:p>
        </w:tc>
      </w:tr>
      <w:tr w:rsidR="005031B5" w:rsidRPr="005031B5" w:rsidTr="0019118A">
        <w:tc>
          <w:tcPr>
            <w:tcW w:w="2340" w:type="dxa"/>
            <w:tcBorders>
              <w:top w:val="nil"/>
              <w:left w:val="nil"/>
              <w:bottom w:val="nil"/>
              <w:right w:val="nil"/>
            </w:tcBorders>
          </w:tcPr>
          <w:p w:rsidR="005031B5" w:rsidRPr="005031B5" w:rsidRDefault="005031B5" w:rsidP="005031B5">
            <w:pPr>
              <w:spacing w:before="120" w:after="120" w:line="260" w:lineRule="atLeast"/>
              <w:jc w:val="right"/>
              <w:rPr>
                <w:color w:val="000000" w:themeColor="text1"/>
                <w:sz w:val="22"/>
                <w:szCs w:val="22"/>
              </w:rPr>
            </w:pPr>
            <w:r w:rsidRPr="005031B5">
              <w:rPr>
                <w:color w:val="000000" w:themeColor="text1"/>
                <w:sz w:val="22"/>
                <w:szCs w:val="22"/>
              </w:rPr>
              <w:t>(VI and BV</w:t>
            </w:r>
          </w:p>
        </w:tc>
        <w:tc>
          <w:tcPr>
            <w:tcW w:w="1080" w:type="dxa"/>
            <w:tcBorders>
              <w:top w:val="nil"/>
              <w:left w:val="nil"/>
              <w:bottom w:val="nil"/>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RF</w:t>
            </w:r>
          </w:p>
        </w:tc>
        <w:tc>
          <w:tcPr>
            <w:tcW w:w="171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51.767</w:t>
            </w:r>
          </w:p>
        </w:tc>
        <w:tc>
          <w:tcPr>
            <w:tcW w:w="144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43.320</w:t>
            </w:r>
          </w:p>
        </w:tc>
        <w:tc>
          <w:tcPr>
            <w:tcW w:w="144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53.535</w:t>
            </w:r>
          </w:p>
        </w:tc>
        <w:tc>
          <w:tcPr>
            <w:tcW w:w="1279"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0.440</w:t>
            </w:r>
          </w:p>
        </w:tc>
      </w:tr>
      <w:tr w:rsidR="005031B5" w:rsidRPr="005031B5" w:rsidTr="0019118A">
        <w:tc>
          <w:tcPr>
            <w:tcW w:w="2340" w:type="dxa"/>
            <w:tcBorders>
              <w:top w:val="nil"/>
              <w:left w:val="nil"/>
              <w:bottom w:val="single" w:sz="4" w:space="0" w:color="auto"/>
              <w:right w:val="nil"/>
            </w:tcBorders>
          </w:tcPr>
          <w:p w:rsidR="005031B5" w:rsidRPr="005031B5" w:rsidRDefault="005031B5" w:rsidP="005031B5">
            <w:pPr>
              <w:spacing w:before="120" w:after="120" w:line="260" w:lineRule="atLeast"/>
              <w:jc w:val="right"/>
              <w:rPr>
                <w:color w:val="000000" w:themeColor="text1"/>
                <w:sz w:val="22"/>
                <w:szCs w:val="22"/>
              </w:rPr>
            </w:pPr>
            <w:r w:rsidRPr="005031B5">
              <w:rPr>
                <w:color w:val="000000" w:themeColor="text1"/>
                <w:sz w:val="22"/>
                <w:szCs w:val="22"/>
              </w:rPr>
              <w:t>combination)</w:t>
            </w:r>
          </w:p>
        </w:tc>
        <w:tc>
          <w:tcPr>
            <w:tcW w:w="1080" w:type="dxa"/>
            <w:tcBorders>
              <w:top w:val="nil"/>
              <w:left w:val="nil"/>
              <w:bottom w:val="single" w:sz="4" w:space="0" w:color="auto"/>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SVM</w:t>
            </w:r>
          </w:p>
        </w:tc>
        <w:tc>
          <w:tcPr>
            <w:tcW w:w="171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76.020</w:t>
            </w:r>
          </w:p>
        </w:tc>
        <w:tc>
          <w:tcPr>
            <w:tcW w:w="144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71.593</w:t>
            </w:r>
          </w:p>
        </w:tc>
        <w:tc>
          <w:tcPr>
            <w:tcW w:w="144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90.335</w:t>
            </w:r>
          </w:p>
        </w:tc>
        <w:tc>
          <w:tcPr>
            <w:tcW w:w="1279"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0.806</w:t>
            </w:r>
          </w:p>
        </w:tc>
      </w:tr>
      <w:tr w:rsidR="005031B5" w:rsidRPr="005031B5" w:rsidTr="0019118A">
        <w:tc>
          <w:tcPr>
            <w:tcW w:w="2340" w:type="dxa"/>
            <w:tcBorders>
              <w:left w:val="nil"/>
              <w:bottom w:val="nil"/>
              <w:right w:val="nil"/>
            </w:tcBorders>
          </w:tcPr>
          <w:p w:rsidR="005031B5" w:rsidRPr="005031B5" w:rsidRDefault="005031B5" w:rsidP="005031B5">
            <w:pPr>
              <w:spacing w:before="120" w:after="120" w:line="260" w:lineRule="atLeast"/>
              <w:jc w:val="left"/>
              <w:rPr>
                <w:color w:val="000000" w:themeColor="text1"/>
                <w:sz w:val="22"/>
                <w:szCs w:val="22"/>
              </w:rPr>
            </w:pPr>
            <w:r w:rsidRPr="005031B5">
              <w:rPr>
                <w:color w:val="000000" w:themeColor="text1"/>
                <w:sz w:val="22"/>
                <w:szCs w:val="22"/>
              </w:rPr>
              <w:lastRenderedPageBreak/>
              <w:t>Landsat 8</w:t>
            </w:r>
          </w:p>
        </w:tc>
        <w:tc>
          <w:tcPr>
            <w:tcW w:w="1080" w:type="dxa"/>
            <w:tcBorders>
              <w:left w:val="nil"/>
              <w:bottom w:val="nil"/>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ANN</w:t>
            </w:r>
          </w:p>
        </w:tc>
        <w:tc>
          <w:tcPr>
            <w:tcW w:w="1710"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64.308</w:t>
            </w:r>
          </w:p>
        </w:tc>
        <w:tc>
          <w:tcPr>
            <w:tcW w:w="1440"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65.652</w:t>
            </w:r>
          </w:p>
        </w:tc>
        <w:tc>
          <w:tcPr>
            <w:tcW w:w="1440"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67.600</w:t>
            </w:r>
          </w:p>
        </w:tc>
        <w:tc>
          <w:tcPr>
            <w:tcW w:w="1279"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0.589</w:t>
            </w:r>
          </w:p>
        </w:tc>
      </w:tr>
      <w:tr w:rsidR="005031B5" w:rsidRPr="005031B5" w:rsidTr="0019118A">
        <w:tc>
          <w:tcPr>
            <w:tcW w:w="2340" w:type="dxa"/>
            <w:tcBorders>
              <w:top w:val="nil"/>
              <w:left w:val="nil"/>
              <w:bottom w:val="nil"/>
              <w:right w:val="nil"/>
            </w:tcBorders>
          </w:tcPr>
          <w:p w:rsidR="005031B5" w:rsidRPr="005031B5" w:rsidRDefault="005031B5" w:rsidP="005031B5">
            <w:pPr>
              <w:spacing w:before="120" w:after="120" w:line="260" w:lineRule="atLeast"/>
              <w:jc w:val="right"/>
              <w:rPr>
                <w:color w:val="000000" w:themeColor="text1"/>
                <w:sz w:val="22"/>
                <w:szCs w:val="22"/>
              </w:rPr>
            </w:pPr>
            <w:r w:rsidRPr="005031B5">
              <w:rPr>
                <w:color w:val="000000" w:themeColor="text1"/>
                <w:sz w:val="22"/>
                <w:szCs w:val="22"/>
              </w:rPr>
              <w:t>(VI and BV</w:t>
            </w:r>
          </w:p>
        </w:tc>
        <w:tc>
          <w:tcPr>
            <w:tcW w:w="1080" w:type="dxa"/>
            <w:tcBorders>
              <w:top w:val="nil"/>
              <w:left w:val="nil"/>
              <w:bottom w:val="nil"/>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RF</w:t>
            </w:r>
          </w:p>
        </w:tc>
        <w:tc>
          <w:tcPr>
            <w:tcW w:w="171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70.765</w:t>
            </w:r>
          </w:p>
        </w:tc>
        <w:tc>
          <w:tcPr>
            <w:tcW w:w="144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76.358</w:t>
            </w:r>
          </w:p>
        </w:tc>
        <w:tc>
          <w:tcPr>
            <w:tcW w:w="144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74.568</w:t>
            </w:r>
          </w:p>
        </w:tc>
        <w:tc>
          <w:tcPr>
            <w:tcW w:w="1279"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0.683</w:t>
            </w:r>
          </w:p>
        </w:tc>
      </w:tr>
      <w:tr w:rsidR="005031B5" w:rsidRPr="005031B5" w:rsidTr="0019118A">
        <w:tc>
          <w:tcPr>
            <w:tcW w:w="2340" w:type="dxa"/>
            <w:tcBorders>
              <w:top w:val="nil"/>
              <w:left w:val="nil"/>
              <w:bottom w:val="single" w:sz="4" w:space="0" w:color="auto"/>
              <w:right w:val="nil"/>
            </w:tcBorders>
          </w:tcPr>
          <w:p w:rsidR="005031B5" w:rsidRPr="005031B5" w:rsidRDefault="005031B5" w:rsidP="005031B5">
            <w:pPr>
              <w:spacing w:before="120" w:after="120" w:line="260" w:lineRule="atLeast"/>
              <w:jc w:val="right"/>
              <w:rPr>
                <w:color w:val="000000" w:themeColor="text1"/>
                <w:sz w:val="22"/>
                <w:szCs w:val="22"/>
              </w:rPr>
            </w:pPr>
            <w:r w:rsidRPr="005031B5">
              <w:rPr>
                <w:color w:val="000000" w:themeColor="text1"/>
                <w:sz w:val="22"/>
                <w:szCs w:val="22"/>
              </w:rPr>
              <w:t>combination)</w:t>
            </w:r>
          </w:p>
        </w:tc>
        <w:tc>
          <w:tcPr>
            <w:tcW w:w="1080" w:type="dxa"/>
            <w:tcBorders>
              <w:top w:val="nil"/>
              <w:left w:val="nil"/>
              <w:bottom w:val="single" w:sz="4" w:space="0" w:color="auto"/>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SVM</w:t>
            </w:r>
          </w:p>
        </w:tc>
        <w:tc>
          <w:tcPr>
            <w:tcW w:w="171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75.265</w:t>
            </w:r>
          </w:p>
        </w:tc>
        <w:tc>
          <w:tcPr>
            <w:tcW w:w="144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81.537</w:t>
            </w:r>
          </w:p>
        </w:tc>
        <w:tc>
          <w:tcPr>
            <w:tcW w:w="144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79.969</w:t>
            </w:r>
          </w:p>
        </w:tc>
        <w:tc>
          <w:tcPr>
            <w:tcW w:w="1279"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0.748</w:t>
            </w:r>
          </w:p>
        </w:tc>
      </w:tr>
      <w:tr w:rsidR="005031B5" w:rsidRPr="005031B5" w:rsidTr="0019118A">
        <w:tc>
          <w:tcPr>
            <w:tcW w:w="2340" w:type="dxa"/>
            <w:tcBorders>
              <w:left w:val="nil"/>
              <w:bottom w:val="nil"/>
              <w:right w:val="nil"/>
            </w:tcBorders>
          </w:tcPr>
          <w:p w:rsidR="005031B5" w:rsidRPr="005031B5" w:rsidRDefault="005031B5" w:rsidP="005031B5">
            <w:pPr>
              <w:spacing w:before="120" w:after="120" w:line="260" w:lineRule="atLeast"/>
              <w:jc w:val="left"/>
              <w:rPr>
                <w:color w:val="000000" w:themeColor="text1"/>
                <w:sz w:val="22"/>
                <w:szCs w:val="22"/>
              </w:rPr>
            </w:pPr>
            <w:r w:rsidRPr="005031B5">
              <w:rPr>
                <w:color w:val="000000" w:themeColor="text1"/>
                <w:sz w:val="22"/>
                <w:szCs w:val="22"/>
              </w:rPr>
              <w:t>SPOT-7</w:t>
            </w:r>
          </w:p>
        </w:tc>
        <w:tc>
          <w:tcPr>
            <w:tcW w:w="1080" w:type="dxa"/>
            <w:tcBorders>
              <w:left w:val="nil"/>
              <w:bottom w:val="nil"/>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ANN</w:t>
            </w:r>
          </w:p>
        </w:tc>
        <w:tc>
          <w:tcPr>
            <w:tcW w:w="1710"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60.233</w:t>
            </w:r>
          </w:p>
        </w:tc>
        <w:tc>
          <w:tcPr>
            <w:tcW w:w="1440"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60.647</w:t>
            </w:r>
          </w:p>
        </w:tc>
        <w:tc>
          <w:tcPr>
            <w:tcW w:w="1440"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62.336</w:t>
            </w:r>
          </w:p>
        </w:tc>
        <w:tc>
          <w:tcPr>
            <w:tcW w:w="1279"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0.542</w:t>
            </w:r>
          </w:p>
        </w:tc>
      </w:tr>
      <w:tr w:rsidR="005031B5" w:rsidRPr="005031B5" w:rsidTr="0019118A">
        <w:tc>
          <w:tcPr>
            <w:tcW w:w="2340" w:type="dxa"/>
            <w:tcBorders>
              <w:top w:val="nil"/>
              <w:left w:val="nil"/>
              <w:bottom w:val="nil"/>
              <w:right w:val="nil"/>
            </w:tcBorders>
          </w:tcPr>
          <w:p w:rsidR="005031B5" w:rsidRPr="005031B5" w:rsidRDefault="005031B5" w:rsidP="005031B5">
            <w:pPr>
              <w:spacing w:before="120" w:after="120" w:line="260" w:lineRule="atLeast"/>
              <w:jc w:val="right"/>
              <w:rPr>
                <w:color w:val="000000" w:themeColor="text1"/>
                <w:sz w:val="22"/>
                <w:szCs w:val="22"/>
              </w:rPr>
            </w:pPr>
            <w:r w:rsidRPr="005031B5">
              <w:rPr>
                <w:color w:val="000000" w:themeColor="text1"/>
                <w:sz w:val="22"/>
                <w:szCs w:val="22"/>
              </w:rPr>
              <w:t>(VI and BV</w:t>
            </w:r>
          </w:p>
        </w:tc>
        <w:tc>
          <w:tcPr>
            <w:tcW w:w="1080" w:type="dxa"/>
            <w:tcBorders>
              <w:top w:val="nil"/>
              <w:left w:val="nil"/>
              <w:bottom w:val="nil"/>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RF</w:t>
            </w:r>
          </w:p>
        </w:tc>
        <w:tc>
          <w:tcPr>
            <w:tcW w:w="171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58.922</w:t>
            </w:r>
          </w:p>
        </w:tc>
        <w:tc>
          <w:tcPr>
            <w:tcW w:w="144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61.050</w:t>
            </w:r>
          </w:p>
        </w:tc>
        <w:tc>
          <w:tcPr>
            <w:tcW w:w="144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60.377</w:t>
            </w:r>
          </w:p>
        </w:tc>
        <w:tc>
          <w:tcPr>
            <w:tcW w:w="1279"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0.516</w:t>
            </w:r>
          </w:p>
        </w:tc>
      </w:tr>
      <w:tr w:rsidR="005031B5" w:rsidRPr="005031B5" w:rsidTr="0019118A">
        <w:tc>
          <w:tcPr>
            <w:tcW w:w="2340" w:type="dxa"/>
            <w:tcBorders>
              <w:top w:val="nil"/>
              <w:left w:val="nil"/>
              <w:bottom w:val="single" w:sz="4" w:space="0" w:color="auto"/>
              <w:right w:val="nil"/>
            </w:tcBorders>
          </w:tcPr>
          <w:p w:rsidR="005031B5" w:rsidRPr="005031B5" w:rsidRDefault="005031B5" w:rsidP="005031B5">
            <w:pPr>
              <w:spacing w:before="120" w:after="120" w:line="260" w:lineRule="atLeast"/>
              <w:jc w:val="right"/>
              <w:rPr>
                <w:color w:val="000000" w:themeColor="text1"/>
                <w:sz w:val="22"/>
                <w:szCs w:val="22"/>
              </w:rPr>
            </w:pPr>
            <w:r w:rsidRPr="005031B5">
              <w:rPr>
                <w:color w:val="000000" w:themeColor="text1"/>
                <w:sz w:val="22"/>
                <w:szCs w:val="22"/>
              </w:rPr>
              <w:t>Combination)</w:t>
            </w:r>
          </w:p>
        </w:tc>
        <w:tc>
          <w:tcPr>
            <w:tcW w:w="1080" w:type="dxa"/>
            <w:tcBorders>
              <w:top w:val="nil"/>
              <w:left w:val="nil"/>
              <w:bottom w:val="single" w:sz="4" w:space="0" w:color="auto"/>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SVM</w:t>
            </w:r>
          </w:p>
        </w:tc>
        <w:tc>
          <w:tcPr>
            <w:tcW w:w="171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63.072</w:t>
            </w:r>
          </w:p>
        </w:tc>
        <w:tc>
          <w:tcPr>
            <w:tcW w:w="144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59.392</w:t>
            </w:r>
          </w:p>
        </w:tc>
        <w:tc>
          <w:tcPr>
            <w:tcW w:w="1440"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67.243</w:t>
            </w:r>
          </w:p>
        </w:tc>
        <w:tc>
          <w:tcPr>
            <w:tcW w:w="1279" w:type="dxa"/>
            <w:tcBorders>
              <w:top w:val="nil"/>
              <w:left w:val="nil"/>
              <w:bottom w:val="single" w:sz="4"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0.595</w:t>
            </w:r>
          </w:p>
        </w:tc>
      </w:tr>
      <w:tr w:rsidR="005031B5" w:rsidRPr="005031B5" w:rsidTr="0019118A">
        <w:tc>
          <w:tcPr>
            <w:tcW w:w="2340" w:type="dxa"/>
            <w:tcBorders>
              <w:left w:val="nil"/>
              <w:bottom w:val="nil"/>
              <w:right w:val="nil"/>
            </w:tcBorders>
          </w:tcPr>
          <w:p w:rsidR="005031B5" w:rsidRPr="005031B5" w:rsidRDefault="005031B5" w:rsidP="005031B5">
            <w:pPr>
              <w:spacing w:before="120" w:after="120" w:line="260" w:lineRule="atLeast"/>
              <w:jc w:val="left"/>
              <w:rPr>
                <w:color w:val="000000" w:themeColor="text1"/>
                <w:sz w:val="22"/>
                <w:szCs w:val="22"/>
              </w:rPr>
            </w:pPr>
            <w:r w:rsidRPr="005031B5">
              <w:rPr>
                <w:color w:val="000000" w:themeColor="text1"/>
                <w:sz w:val="22"/>
                <w:szCs w:val="22"/>
              </w:rPr>
              <w:t>ALOS-2</w:t>
            </w:r>
          </w:p>
        </w:tc>
        <w:tc>
          <w:tcPr>
            <w:tcW w:w="1080" w:type="dxa"/>
            <w:tcBorders>
              <w:left w:val="nil"/>
              <w:bottom w:val="nil"/>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ANN</w:t>
            </w:r>
          </w:p>
        </w:tc>
        <w:tc>
          <w:tcPr>
            <w:tcW w:w="1710"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61.504</w:t>
            </w:r>
          </w:p>
        </w:tc>
        <w:tc>
          <w:tcPr>
            <w:tcW w:w="1440"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63.357</w:t>
            </w:r>
          </w:p>
        </w:tc>
        <w:tc>
          <w:tcPr>
            <w:tcW w:w="1440"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68.429</w:t>
            </w:r>
          </w:p>
        </w:tc>
        <w:tc>
          <w:tcPr>
            <w:tcW w:w="1279" w:type="dxa"/>
            <w:tcBorders>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0.550</w:t>
            </w:r>
          </w:p>
        </w:tc>
      </w:tr>
      <w:tr w:rsidR="005031B5" w:rsidRPr="005031B5" w:rsidTr="0019118A">
        <w:tc>
          <w:tcPr>
            <w:tcW w:w="2340" w:type="dxa"/>
            <w:tcBorders>
              <w:top w:val="nil"/>
              <w:left w:val="nil"/>
              <w:bottom w:val="nil"/>
              <w:right w:val="nil"/>
            </w:tcBorders>
          </w:tcPr>
          <w:p w:rsidR="005031B5" w:rsidRPr="005031B5" w:rsidRDefault="005031B5" w:rsidP="005031B5">
            <w:pPr>
              <w:spacing w:before="120" w:after="120" w:line="260" w:lineRule="atLeast"/>
              <w:jc w:val="right"/>
              <w:rPr>
                <w:color w:val="000000" w:themeColor="text1"/>
                <w:sz w:val="22"/>
                <w:szCs w:val="22"/>
              </w:rPr>
            </w:pPr>
            <w:r w:rsidRPr="005031B5">
              <w:rPr>
                <w:color w:val="000000" w:themeColor="text1"/>
                <w:sz w:val="22"/>
                <w:szCs w:val="22"/>
              </w:rPr>
              <w:t>(HH, VH, HH+VH,</w:t>
            </w:r>
          </w:p>
        </w:tc>
        <w:tc>
          <w:tcPr>
            <w:tcW w:w="1080" w:type="dxa"/>
            <w:tcBorders>
              <w:top w:val="nil"/>
              <w:left w:val="nil"/>
              <w:bottom w:val="nil"/>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RF</w:t>
            </w:r>
          </w:p>
        </w:tc>
        <w:tc>
          <w:tcPr>
            <w:tcW w:w="171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60.422</w:t>
            </w:r>
          </w:p>
        </w:tc>
        <w:tc>
          <w:tcPr>
            <w:tcW w:w="144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60.344</w:t>
            </w:r>
          </w:p>
        </w:tc>
        <w:tc>
          <w:tcPr>
            <w:tcW w:w="1440"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62.704</w:t>
            </w:r>
          </w:p>
        </w:tc>
        <w:tc>
          <w:tcPr>
            <w:tcW w:w="1279" w:type="dxa"/>
            <w:tcBorders>
              <w:top w:val="nil"/>
              <w:left w:val="nil"/>
              <w:bottom w:val="nil"/>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0.545</w:t>
            </w:r>
          </w:p>
        </w:tc>
      </w:tr>
      <w:tr w:rsidR="005031B5" w:rsidRPr="005031B5" w:rsidTr="0019118A">
        <w:tc>
          <w:tcPr>
            <w:tcW w:w="2340" w:type="dxa"/>
            <w:tcBorders>
              <w:top w:val="nil"/>
              <w:left w:val="nil"/>
              <w:bottom w:val="single" w:sz="8" w:space="0" w:color="auto"/>
              <w:right w:val="nil"/>
            </w:tcBorders>
          </w:tcPr>
          <w:p w:rsidR="005031B5" w:rsidRPr="005031B5" w:rsidRDefault="005031B5" w:rsidP="005031B5">
            <w:pPr>
              <w:spacing w:before="120" w:after="120" w:line="260" w:lineRule="atLeast"/>
              <w:jc w:val="right"/>
              <w:rPr>
                <w:color w:val="000000" w:themeColor="text1"/>
                <w:sz w:val="22"/>
                <w:szCs w:val="22"/>
              </w:rPr>
            </w:pPr>
            <w:r w:rsidRPr="005031B5">
              <w:rPr>
                <w:color w:val="000000" w:themeColor="text1"/>
                <w:sz w:val="22"/>
                <w:szCs w:val="22"/>
              </w:rPr>
              <w:t xml:space="preserve"> (HH×VH)</w:t>
            </w:r>
            <w:r w:rsidRPr="005031B5">
              <w:rPr>
                <w:color w:val="000000" w:themeColor="text1"/>
                <w:sz w:val="22"/>
                <w:szCs w:val="22"/>
                <w:vertAlign w:val="superscript"/>
              </w:rPr>
              <w:t>0.5</w:t>
            </w:r>
            <w:r w:rsidRPr="005031B5">
              <w:rPr>
                <w:color w:val="000000" w:themeColor="text1"/>
                <w:sz w:val="22"/>
                <w:szCs w:val="22"/>
              </w:rPr>
              <w:t xml:space="preserve"> combination)</w:t>
            </w:r>
          </w:p>
        </w:tc>
        <w:tc>
          <w:tcPr>
            <w:tcW w:w="1080" w:type="dxa"/>
            <w:tcBorders>
              <w:top w:val="nil"/>
              <w:left w:val="nil"/>
              <w:bottom w:val="single" w:sz="8" w:space="0" w:color="auto"/>
              <w:right w:val="nil"/>
            </w:tcBorders>
          </w:tcPr>
          <w:p w:rsidR="005031B5" w:rsidRPr="005031B5" w:rsidRDefault="005031B5" w:rsidP="005031B5">
            <w:pPr>
              <w:spacing w:before="120" w:after="120" w:line="260" w:lineRule="atLeast"/>
              <w:rPr>
                <w:color w:val="000000" w:themeColor="text1"/>
                <w:sz w:val="22"/>
                <w:szCs w:val="22"/>
              </w:rPr>
            </w:pPr>
            <w:r w:rsidRPr="005031B5">
              <w:rPr>
                <w:color w:val="000000" w:themeColor="text1"/>
                <w:sz w:val="22"/>
                <w:szCs w:val="22"/>
              </w:rPr>
              <w:t>SVM</w:t>
            </w:r>
          </w:p>
        </w:tc>
        <w:tc>
          <w:tcPr>
            <w:tcW w:w="1710" w:type="dxa"/>
            <w:tcBorders>
              <w:top w:val="nil"/>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71.452</w:t>
            </w:r>
          </w:p>
        </w:tc>
        <w:tc>
          <w:tcPr>
            <w:tcW w:w="1440" w:type="dxa"/>
            <w:tcBorders>
              <w:top w:val="nil"/>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70.841</w:t>
            </w:r>
          </w:p>
        </w:tc>
        <w:tc>
          <w:tcPr>
            <w:tcW w:w="1440" w:type="dxa"/>
            <w:tcBorders>
              <w:top w:val="nil"/>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79.182</w:t>
            </w:r>
          </w:p>
        </w:tc>
        <w:tc>
          <w:tcPr>
            <w:tcW w:w="1279" w:type="dxa"/>
            <w:tcBorders>
              <w:top w:val="nil"/>
              <w:left w:val="nil"/>
              <w:bottom w:val="single" w:sz="8" w:space="0" w:color="auto"/>
              <w:right w:val="nil"/>
            </w:tcBorders>
          </w:tcPr>
          <w:p w:rsidR="005031B5" w:rsidRPr="005031B5" w:rsidRDefault="005031B5" w:rsidP="005031B5">
            <w:pPr>
              <w:autoSpaceDE w:val="0"/>
              <w:autoSpaceDN w:val="0"/>
              <w:spacing w:line="240" w:lineRule="auto"/>
              <w:jc w:val="center"/>
              <w:rPr>
                <w:color w:val="000000" w:themeColor="text1"/>
                <w:sz w:val="22"/>
                <w:szCs w:val="22"/>
              </w:rPr>
            </w:pPr>
            <w:r w:rsidRPr="005031B5">
              <w:rPr>
                <w:color w:val="000000" w:themeColor="text1"/>
                <w:sz w:val="22"/>
                <w:szCs w:val="22"/>
              </w:rPr>
              <w:t>0.716</w:t>
            </w:r>
          </w:p>
        </w:tc>
      </w:tr>
    </w:tbl>
    <w:p w:rsidR="00B10EC1" w:rsidRPr="00CB00F9" w:rsidRDefault="00B10EC1" w:rsidP="0097503E">
      <w:pPr>
        <w:pStyle w:val="MDPI23heading3"/>
      </w:pPr>
      <w:r w:rsidRPr="00CB00F9">
        <w:t>3.5. MAGB estimates for time-series Landsat images</w:t>
      </w:r>
    </w:p>
    <w:p w:rsidR="00B10EC1" w:rsidRPr="00CB00F9" w:rsidRDefault="00B10EC1" w:rsidP="0097503E">
      <w:r w:rsidRPr="00CB00F9">
        <w:t xml:space="preserve">The upper graph of </w:t>
      </w:r>
      <w:r w:rsidRPr="00CB00F9">
        <w:rPr>
          <w:color w:val="0070C0"/>
        </w:rPr>
        <w:t xml:space="preserve">Fig. 6 </w:t>
      </w:r>
      <w:r w:rsidRPr="00CB00F9">
        <w:t>shows the fluctuation in mean unsupervised MAGB (Mg ha</w:t>
      </w:r>
      <w:r w:rsidRPr="00CB00F9">
        <w:rPr>
          <w:vertAlign w:val="superscript"/>
        </w:rPr>
        <w:t>−1</w:t>
      </w:r>
      <w:r w:rsidRPr="00CB00F9">
        <w:t xml:space="preserve">) estimated by the calibrated linear regression (LR), multi linear regression (MLR) and MARS model over </w:t>
      </w:r>
      <w:r w:rsidRPr="00EB71DF">
        <w:rPr>
          <w:color w:val="auto"/>
        </w:rPr>
        <w:t>a</w:t>
      </w:r>
      <w:r w:rsidR="00235E7E" w:rsidRPr="00EB71DF">
        <w:rPr>
          <w:color w:val="auto"/>
        </w:rPr>
        <w:t xml:space="preserve"> 45-year</w:t>
      </w:r>
      <w:r w:rsidRPr="00EB71DF">
        <w:rPr>
          <w:color w:val="auto"/>
        </w:rPr>
        <w:t xml:space="preserve"> time </w:t>
      </w:r>
      <w:r w:rsidRPr="00CB00F9">
        <w:t>period. All the models estimated higher average MAGB for the 1980s, 1990s and 2020s, with lower average MAGB in 2010s with values of around 40 Mg ha</w:t>
      </w:r>
      <w:r w:rsidRPr="00CB00F9">
        <w:rPr>
          <w:vertAlign w:val="superscript"/>
        </w:rPr>
        <w:t>−1</w:t>
      </w:r>
      <w:r w:rsidRPr="00CB00F9">
        <w:t>. Furthermore, the MLR estimated the highest MAGB, followed by LR and MARS. The standard deviation (STD) bars reveal the magnitude of variation in MAGB. The MLR produced MAGB with highest variation while there were no significant differences in STD between LR and MARS results.</w:t>
      </w:r>
    </w:p>
    <w:p w:rsidR="00B10EC1" w:rsidRPr="00CB00F9" w:rsidRDefault="00B10EC1" w:rsidP="0097503E">
      <w:r w:rsidRPr="00CB00F9">
        <w:t xml:space="preserve">The lower graph in </w:t>
      </w:r>
      <w:r w:rsidRPr="00CB00F9">
        <w:rPr>
          <w:color w:val="0070C0"/>
        </w:rPr>
        <w:t>Fig. 6</w:t>
      </w:r>
      <w:r w:rsidRPr="00CB00F9">
        <w:t xml:space="preserve"> shows a consistent growth of the mangrove forest in terms of total MAGB (from under 0.1 to 1.3 million tons) and a tenfold (50 to 500 ha, based on MARS results) expansion in area, except for a decline in forest area in 2013 (even though total biomass still increased). The MLR repeatedly over estimated the total MAGB compared to the LR and MARS estimations.</w:t>
      </w:r>
    </w:p>
    <w:p w:rsidR="00B10EC1" w:rsidRPr="00CB00F9" w:rsidRDefault="005031B5" w:rsidP="0097503E">
      <w:pPr>
        <w:rPr>
          <w:b/>
          <w:highlight w:val="yellow"/>
        </w:rPr>
      </w:pPr>
      <w:r>
        <w:rPr>
          <w:b/>
          <w:noProof/>
          <w:lang w:eastAsia="en-US"/>
        </w:rPr>
        <w:lastRenderedPageBreak/>
        <w:drawing>
          <wp:inline distT="0" distB="0" distL="0" distR="0">
            <wp:extent cx="5943600" cy="4576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_LS_AGBR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76445"/>
                    </a:xfrm>
                    <a:prstGeom prst="rect">
                      <a:avLst/>
                    </a:prstGeom>
                  </pic:spPr>
                </pic:pic>
              </a:graphicData>
            </a:graphic>
          </wp:inline>
        </w:drawing>
      </w:r>
    </w:p>
    <w:p w:rsidR="00B10EC1" w:rsidRPr="00CB00F9" w:rsidRDefault="00B10EC1" w:rsidP="0097503E">
      <w:r w:rsidRPr="00CB00F9">
        <w:rPr>
          <w:b/>
        </w:rPr>
        <w:t xml:space="preserve">Fig. 6. </w:t>
      </w:r>
      <w:r w:rsidRPr="00CB00F9">
        <w:t>Time-series mean mangrove above-ground biomass (MAGB) value (Mg ha</w:t>
      </w:r>
      <w:r w:rsidRPr="00CB00F9">
        <w:rPr>
          <w:vertAlign w:val="superscript"/>
        </w:rPr>
        <w:t>−1</w:t>
      </w:r>
      <w:r w:rsidRPr="00CB00F9">
        <w:t>) (upper graph) and total MAGB and forest area (lower graph) estimated by the linear regression (LR) using the simple ratios (SR) as the best vegetation index from Landsat 8, the best multi linear regression model (MRL) and the best Multivariate adaptive regression splines (MARS) model for the mangrove forest of Thuy Truong commune from 1975 to 2020.</w:t>
      </w:r>
    </w:p>
    <w:p w:rsidR="00B10EC1" w:rsidRPr="00CB00F9" w:rsidRDefault="00B10EC1" w:rsidP="0097503E">
      <w:pPr>
        <w:pStyle w:val="MDPI23heading3"/>
      </w:pPr>
      <w:r w:rsidRPr="00CB00F9">
        <w:t>3.6. MAGB maps</w:t>
      </w:r>
    </w:p>
    <w:p w:rsidR="00B10EC1" w:rsidRPr="00CB00F9" w:rsidRDefault="00B10EC1" w:rsidP="0097503E">
      <w:r w:rsidRPr="00CB00F9">
        <w:t>MAGB maps include results of LR for each VI, BV and SAR data layer, MLR and MARS model and the machine learning (ML) methods applied for each group of parameters and the maps of Landsat-X time-series images. Hence, in this section we focus on the most accurate results of the MARS, ML and Landsat-X time-series images.</w:t>
      </w:r>
    </w:p>
    <w:p w:rsidR="00B10EC1" w:rsidRPr="00CB00F9" w:rsidRDefault="00B10EC1" w:rsidP="0097503E">
      <w:pPr>
        <w:pStyle w:val="MDPI31text"/>
      </w:pPr>
      <w:r w:rsidRPr="00CB00F9">
        <w:t>3.6.1. MARS model</w:t>
      </w:r>
    </w:p>
    <w:p w:rsidR="00B10EC1" w:rsidRPr="00CB00F9" w:rsidRDefault="00B10EC1" w:rsidP="0097503E">
      <w:r w:rsidRPr="00CB00F9">
        <w:rPr>
          <w:color w:val="0070C0"/>
        </w:rPr>
        <w:t>Fig. 7</w:t>
      </w:r>
      <w:r w:rsidRPr="00CB00F9">
        <w:t xml:space="preserve"> depicts the most accurate MAGB values using the vegetation indices calculated from (a) Sentinel-2, (b) Landsat 8, (c) SPOT-7 images and (d) ALOS-2 backscatter data. It is clearly shown in all maps that MAGB varies spatially, and is highest in the center of the forest. Higher values of MAGB (greater than 100 Mg ha</w:t>
      </w:r>
      <w:r w:rsidRPr="00CB00F9">
        <w:rPr>
          <w:vertAlign w:val="superscript"/>
        </w:rPr>
        <w:t>−1</w:t>
      </w:r>
      <w:r w:rsidRPr="00CB00F9">
        <w:t xml:space="preserve">) were concentrated in the south-west of the forest in maps generated using optical images. However, MARS generated more regular values across the entire ALOS-2 image. Landsat 8 and SPOT-7 produced lower MAGB values compared to Sentinel-2. The highest value for MAGB measured </w:t>
      </w:r>
      <w:r w:rsidRPr="00CB00F9">
        <w:rPr>
          <w:i/>
        </w:rPr>
        <w:t>in situ</w:t>
      </w:r>
      <w:r w:rsidRPr="00CB00F9">
        <w:t xml:space="preserve"> was 124.77 Mg ha</w:t>
      </w:r>
      <w:r w:rsidRPr="00CB00F9">
        <w:rPr>
          <w:vertAlign w:val="superscript"/>
        </w:rPr>
        <w:t>−1</w:t>
      </w:r>
      <w:r w:rsidRPr="00CB00F9">
        <w:t xml:space="preserve"> for plot 7 (not in the forest center). Higher values (up </w:t>
      </w:r>
      <w:r w:rsidRPr="00CB00F9">
        <w:lastRenderedPageBreak/>
        <w:t>to 160 Mg ha</w:t>
      </w:r>
      <w:r w:rsidRPr="00CB00F9">
        <w:rPr>
          <w:vertAlign w:val="superscript"/>
        </w:rPr>
        <w:t>−1</w:t>
      </w:r>
      <w:r w:rsidRPr="00CB00F9">
        <w:t>) were estimated using the MARS model. These values were located in the forest center, an area that is extremely difficult to physically access because of high tree density.</w:t>
      </w:r>
    </w:p>
    <w:p w:rsidR="00B10EC1" w:rsidRPr="00CB00F9" w:rsidRDefault="005031B5" w:rsidP="0097503E">
      <w:r>
        <w:rPr>
          <w:noProof/>
          <w:lang w:eastAsia="en-US"/>
        </w:rPr>
        <w:drawing>
          <wp:inline distT="0" distB="0" distL="0" distR="0">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_MARS_A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B10EC1" w:rsidRPr="00CB00F9" w:rsidRDefault="00B10EC1" w:rsidP="0097503E">
      <w:r w:rsidRPr="008524D3">
        <w:rPr>
          <w:b/>
        </w:rPr>
        <w:t>Fig. 7.</w:t>
      </w:r>
      <w:r w:rsidRPr="008524D3">
        <w:t xml:space="preserve"> Mangrove above ground biomass (Mg ha</w:t>
      </w:r>
      <w:r w:rsidRPr="008524D3">
        <w:rPr>
          <w:vertAlign w:val="superscript"/>
        </w:rPr>
        <w:t>−1</w:t>
      </w:r>
      <w:r w:rsidRPr="008524D3">
        <w:t>) generated by the MARS model using (a) Sentinel-2, (b) Landsat 8, (c) SPOT-7and (d) ALOS-2</w:t>
      </w:r>
      <w:r w:rsidRPr="00CB00F9">
        <w:t xml:space="preserve"> </w:t>
      </w:r>
      <w:r w:rsidRPr="008524D3">
        <w:t xml:space="preserve"> </w:t>
      </w:r>
    </w:p>
    <w:p w:rsidR="00B10EC1" w:rsidRPr="00CB00F9" w:rsidRDefault="00B10EC1" w:rsidP="0097503E">
      <w:pPr>
        <w:pStyle w:val="MDPI31text"/>
      </w:pPr>
      <w:r w:rsidRPr="00CB00F9">
        <w:t>3.6.2. Machine learning methods</w:t>
      </w:r>
    </w:p>
    <w:p w:rsidR="00B10EC1" w:rsidRPr="00CB00F9" w:rsidRDefault="00B10EC1" w:rsidP="0097503E">
      <w:r w:rsidRPr="00CB00F9">
        <w:t xml:space="preserve">We selected three machine learning algorithms for MAGB classification and the SVM presented the best performance (based on an accuracy assessment). Therefore, we only mapped the MAGB distributions of the SVM applied to the four remote sensing-based data, as shown in </w:t>
      </w:r>
      <w:r w:rsidRPr="00CB00F9">
        <w:rPr>
          <w:color w:val="0070C0"/>
        </w:rPr>
        <w:t>Fig. 8</w:t>
      </w:r>
      <w:r w:rsidRPr="00CB00F9">
        <w:t>. The highest MAGB values were assigned for the SPOT-</w:t>
      </w:r>
      <w:r w:rsidR="005332BD">
        <w:t>7</w:t>
      </w:r>
      <w:r w:rsidR="005332BD" w:rsidRPr="00CB00F9">
        <w:t xml:space="preserve"> </w:t>
      </w:r>
      <w:r w:rsidRPr="00CB00F9">
        <w:t>classification where large areas had values of above 120 Mg ha</w:t>
      </w:r>
      <w:r w:rsidRPr="00CB00F9">
        <w:rPr>
          <w:vertAlign w:val="superscript"/>
        </w:rPr>
        <w:t>−1</w:t>
      </w:r>
      <w:r w:rsidRPr="00CB00F9">
        <w:t>. This may be an overestimate, while the result of Sentinel-2 was assessed as the most accurate prediction (overall accuracy of 90.335% and with lower MAGB values in general). Landsat 8 and ALOS-2 had medium values for MAGB. However, these two classifications had opposite MAGB distributions: higher values were predicted for the mangrove in the south of the Landsat 8 map and lower values were classified for the mangrove in the south of the ALOS-2 map.</w:t>
      </w:r>
    </w:p>
    <w:p w:rsidR="00B10EC1" w:rsidRPr="00CB00F9" w:rsidRDefault="005031B5" w:rsidP="0097503E">
      <w:pPr>
        <w:rPr>
          <w:b/>
          <w:highlight w:val="yellow"/>
          <w:lang w:bidi="en-US"/>
        </w:rPr>
      </w:pPr>
      <w:r>
        <w:rPr>
          <w:b/>
          <w:noProof/>
          <w:lang w:eastAsia="en-US"/>
        </w:rPr>
        <w:lastRenderedPageBreak/>
        <w:drawing>
          <wp:inline distT="0" distB="0" distL="0" distR="0">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8_ML_SVM_A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B10EC1" w:rsidRPr="00CB00F9" w:rsidRDefault="00B10EC1" w:rsidP="0097503E">
      <w:r w:rsidRPr="00CB00F9">
        <w:rPr>
          <w:b/>
          <w:lang w:bidi="en-US"/>
        </w:rPr>
        <w:t xml:space="preserve">Fig. 8. </w:t>
      </w:r>
      <w:r w:rsidRPr="00CB00F9">
        <w:rPr>
          <w:lang w:bidi="en-US"/>
        </w:rPr>
        <w:t>Mangrove above ground biomass (Mg ha</w:t>
      </w:r>
      <w:r w:rsidRPr="00CB00F9">
        <w:rPr>
          <w:vertAlign w:val="superscript"/>
          <w:lang w:bidi="en-US"/>
        </w:rPr>
        <w:t>−1</w:t>
      </w:r>
      <w:r w:rsidRPr="00CB00F9">
        <w:rPr>
          <w:lang w:bidi="en-US"/>
        </w:rPr>
        <w:t>) generated by the machine learning algorithm of support vector machine (SVM) using combinations of vegetation indices and biophysical variables from (a) Sentinel-2, (b) Landsat 8, (c) SPOT-7 and (d) a combination of polarization of SAR ALOS-2 backscatters</w:t>
      </w:r>
    </w:p>
    <w:p w:rsidR="00B10EC1" w:rsidRPr="00CB00F9" w:rsidRDefault="00B10EC1" w:rsidP="0097503E">
      <w:pPr>
        <w:pStyle w:val="MDPI31text"/>
      </w:pPr>
      <w:r w:rsidRPr="00CB00F9">
        <w:t xml:space="preserve">3.6.3. Spatial changes in MAGB </w:t>
      </w:r>
      <w:r w:rsidRPr="00EB71DF">
        <w:rPr>
          <w:color w:val="auto"/>
        </w:rPr>
        <w:t xml:space="preserve">over a </w:t>
      </w:r>
      <w:r w:rsidR="00235E7E" w:rsidRPr="00EB71DF">
        <w:rPr>
          <w:color w:val="auto"/>
        </w:rPr>
        <w:t>45-year</w:t>
      </w:r>
      <w:r w:rsidRPr="00EB71DF">
        <w:rPr>
          <w:color w:val="auto"/>
        </w:rPr>
        <w:t xml:space="preserve"> time </w:t>
      </w:r>
      <w:r w:rsidRPr="00CB00F9">
        <w:t>period</w:t>
      </w:r>
    </w:p>
    <w:p w:rsidR="00B10EC1" w:rsidRPr="00CB00F9" w:rsidRDefault="00B10EC1" w:rsidP="0097503E">
      <w:r w:rsidRPr="00CB00F9">
        <w:rPr>
          <w:color w:val="0070C0"/>
        </w:rPr>
        <w:t>Fig. 9</w:t>
      </w:r>
      <w:r w:rsidRPr="00CB00F9">
        <w:t xml:space="preserve"> shows an increase in both MAGB (Mg ha</w:t>
      </w:r>
      <w:r w:rsidRPr="00CB00F9">
        <w:rPr>
          <w:vertAlign w:val="superscript"/>
        </w:rPr>
        <w:t>−1</w:t>
      </w:r>
      <w:r w:rsidRPr="00CB00F9">
        <w:t>) and mangrove extent from 1975 to 2020. Growth of the forest between 1975 and 1988 was gradual. Since 1993 the forest has been disturbed by the creation of aquaculture ponds, in the area marked by the red rectangle. Between 1993 and 2020, the forest grew quickly both in extent and MAGB, with a sharp increase between 2018 and 2020. By 2020, the mangrove had nearly disappeared in areas disturbed by aquaculture activities (red rectangle). At the same time the extent of area covered by mangrove in the east and south grew by approximately 80 m y</w:t>
      </w:r>
      <w:r w:rsidR="008262C5" w:rsidRPr="00CB00F9">
        <w:rPr>
          <w:vertAlign w:val="superscript"/>
        </w:rPr>
        <w:t>−1</w:t>
      </w:r>
      <w:r w:rsidRPr="00CB00F9">
        <w:t xml:space="preserve"> and MAGB increased in the center of the mangrove forest (darker green).  Although these are unsupervised estimations by the best MARS model, the model was trained using field measured MAGB data. As a result, while the unsupervised MAGB estimations may be uncertain, they were still considered as able to provide valuable information about changing mangrove biomass and extent.</w:t>
      </w:r>
    </w:p>
    <w:p w:rsidR="00B10EC1" w:rsidRPr="00CB00F9" w:rsidRDefault="005031B5" w:rsidP="0097503E">
      <w:r>
        <w:rPr>
          <w:noProof/>
          <w:lang w:eastAsia="en-US"/>
        </w:rPr>
        <w:lastRenderedPageBreak/>
        <w:drawing>
          <wp:inline distT="0" distB="0" distL="0" distR="0">
            <wp:extent cx="5943600" cy="4203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9_MARS_landsatX_A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rsidR="00B10EC1" w:rsidRPr="00CB00F9" w:rsidRDefault="00B10EC1" w:rsidP="0097503E">
      <w:r w:rsidRPr="00CB00F9">
        <w:rPr>
          <w:b/>
          <w:lang w:bidi="en-US"/>
        </w:rPr>
        <w:t xml:space="preserve">Fig. 9. </w:t>
      </w:r>
      <w:r w:rsidRPr="00CB00F9">
        <w:t>Time-series of mangrove above ground biomass (Mg ha</w:t>
      </w:r>
      <w:r w:rsidRPr="008524D3">
        <w:rPr>
          <w:vertAlign w:val="superscript"/>
        </w:rPr>
        <w:t>−1</w:t>
      </w:r>
      <w:r w:rsidRPr="00CB00F9">
        <w:t>) generated by best MARS model using Landsat 2, 5 and 8 images</w:t>
      </w:r>
    </w:p>
    <w:p w:rsidR="00B10EC1" w:rsidRPr="00CB00F9" w:rsidRDefault="00B10EC1" w:rsidP="0097503E">
      <w:pPr>
        <w:pStyle w:val="MDPI12title"/>
      </w:pPr>
      <w:r w:rsidRPr="00CB00F9">
        <w:t>4. Discussion</w:t>
      </w:r>
    </w:p>
    <w:p w:rsidR="00B10EC1" w:rsidRPr="00CB00F9" w:rsidRDefault="00B10EC1" w:rsidP="0097503E">
      <w:r w:rsidRPr="00CB00F9">
        <w:t xml:space="preserve">Despite advances in remote sensing, challenges remain. Complex stand structure and variety in species composition in mangroves leads </w:t>
      </w:r>
      <w:r w:rsidR="00194361">
        <w:t>above-ground biomass (</w:t>
      </w:r>
      <w:r w:rsidRPr="00CB00F9">
        <w:t>AGB</w:t>
      </w:r>
      <w:r w:rsidR="00194361">
        <w:t>)</w:t>
      </w:r>
      <w:r w:rsidRPr="00CB00F9">
        <w:t xml:space="preserve"> estimation to be problematic </w:t>
      </w:r>
      <w:r w:rsidRPr="00CB00F9">
        <w:rPr>
          <w:noProof/>
        </w:rPr>
        <w:t>(</w:t>
      </w:r>
      <w:r w:rsidRPr="00CB00F9">
        <w:rPr>
          <w:noProof/>
          <w:color w:val="0070C0"/>
        </w:rPr>
        <w:t>Steininger, 2000</w:t>
      </w:r>
      <w:r w:rsidRPr="00CB00F9">
        <w:rPr>
          <w:noProof/>
        </w:rPr>
        <w:t>)</w:t>
      </w:r>
      <w:r w:rsidRPr="00CB00F9">
        <w:t xml:space="preserve">. The complexity of vegetation structures </w:t>
      </w:r>
      <w:r w:rsidR="00080252" w:rsidRPr="00CB00F9">
        <w:t>determines</w:t>
      </w:r>
      <w:r w:rsidRPr="00CB00F9">
        <w:t xml:space="preserve"> highly variable standing stocks of MAGB </w:t>
      </w:r>
      <w:r w:rsidRPr="00CB00F9">
        <w:rPr>
          <w:noProof/>
        </w:rPr>
        <w:t>(</w:t>
      </w:r>
      <w:r w:rsidRPr="00CB00F9">
        <w:rPr>
          <w:noProof/>
          <w:color w:val="0070C0"/>
        </w:rPr>
        <w:t>Lu, 2006</w:t>
      </w:r>
      <w:r w:rsidRPr="00CB00F9">
        <w:rPr>
          <w:noProof/>
        </w:rPr>
        <w:t>)</w:t>
      </w:r>
      <w:r w:rsidRPr="00CB00F9">
        <w:t xml:space="preserve">. Optical remote sensing sensors measure the reflectance or radiation emission from the vegetation canopy, hence uncertainty underneath the canopy should be taken into account. In struggling to overcome these limitations, research has to mine SAR remote sensing backscatters as some long wavelength SAR systems such as L and P bands penetrate through the canopy and have been found to be highly correlated with AGB </w:t>
      </w:r>
      <w:r w:rsidRPr="00CB00F9">
        <w:rPr>
          <w:noProof/>
        </w:rPr>
        <w:t>(</w:t>
      </w:r>
      <w:r w:rsidRPr="00CB00F9">
        <w:rPr>
          <w:noProof/>
          <w:color w:val="0070C0"/>
        </w:rPr>
        <w:t>Kurvonen et al., 1999, Sun et al., 2002</w:t>
      </w:r>
      <w:r w:rsidRPr="00CB00F9">
        <w:rPr>
          <w:noProof/>
        </w:rPr>
        <w:t>)</w:t>
      </w:r>
      <w:r w:rsidRPr="00CB00F9">
        <w:t xml:space="preserve">. However, each remote sensing system has pros and cons and the main issues with SAR data are the speckles known as noise and saturation, that can lead to underestimates of high AGB </w:t>
      </w:r>
      <w:r w:rsidRPr="00CB00F9">
        <w:rPr>
          <w:noProof/>
        </w:rPr>
        <w:t>(</w:t>
      </w:r>
      <w:r w:rsidRPr="00CB00F9">
        <w:rPr>
          <w:noProof/>
          <w:color w:val="0070C0"/>
        </w:rPr>
        <w:t>Pham et al., 2019</w:t>
      </w:r>
      <w:r w:rsidRPr="00CB00F9">
        <w:rPr>
          <w:noProof/>
        </w:rPr>
        <w:t>)</w:t>
      </w:r>
      <w:r w:rsidRPr="00CB00F9">
        <w:t>. This paper used different remote sensing data (optical and SAR) to compare the results from each method. Our findings offer insights to enable researchers to take the most appropriate approach according to the specific task they are addressing.</w:t>
      </w:r>
    </w:p>
    <w:p w:rsidR="00B10EC1" w:rsidRPr="00CB00F9" w:rsidRDefault="00B10EC1" w:rsidP="0097503E">
      <w:r w:rsidRPr="00CB00F9">
        <w:t xml:space="preserve">Besides finding appropriate data sources, researchers have developed and deployed a large number of methods to estimate AGB in general and MAGB in particular. The most common approaches involve parametric linear regression and these remain useful due to their simplicity and acceptable accuracy </w:t>
      </w:r>
      <w:r w:rsidRPr="00CB00F9">
        <w:rPr>
          <w:noProof/>
        </w:rPr>
        <w:t>(</w:t>
      </w:r>
      <w:r w:rsidRPr="00CB00F9">
        <w:rPr>
          <w:noProof/>
          <w:color w:val="0070C0"/>
        </w:rPr>
        <w:t>Chave et al., 2005</w:t>
      </w:r>
      <w:r w:rsidRPr="00CB00F9">
        <w:rPr>
          <w:noProof/>
        </w:rPr>
        <w:t>)</w:t>
      </w:r>
      <w:r w:rsidRPr="00CB00F9">
        <w:t xml:space="preserve">. However, parametric </w:t>
      </w:r>
      <w:r w:rsidRPr="00CB00F9">
        <w:lastRenderedPageBreak/>
        <w:t xml:space="preserve">linear regressions often suffer from rigidity and only consider individual parameters. Multi linear regression models gain advantages from group parameters and often claim better performance than linear regressions </w:t>
      </w:r>
      <w:r w:rsidRPr="00CB00F9">
        <w:rPr>
          <w:noProof/>
          <w:color w:val="0070C0"/>
        </w:rPr>
        <w:t>(Marill, 2004, Proisy et al., 2007, Soares and Schaeffer-Novelli, 2005</w:t>
      </w:r>
      <w:r w:rsidRPr="00CB00F9">
        <w:rPr>
          <w:noProof/>
        </w:rPr>
        <w:t>)</w:t>
      </w:r>
      <w:r w:rsidRPr="00CB00F9">
        <w:t xml:space="preserve">. MAGB is complex and may not be in a linear relationship with vegetation parameters, so MAGB models have been developed to “break the lines” and improve the accuracy of MAGB estimation. These efforts include the MARS model </w:t>
      </w:r>
      <w:r w:rsidRPr="00CB00F9">
        <w:rPr>
          <w:noProof/>
        </w:rPr>
        <w:t>(</w:t>
      </w:r>
      <w:r w:rsidRPr="00CB00F9">
        <w:rPr>
          <w:noProof/>
          <w:color w:val="0070C0"/>
        </w:rPr>
        <w:t>Baloloy et al., 2018, Friedman, 1991, Friedman and Roosen, 1995</w:t>
      </w:r>
      <w:r w:rsidRPr="00CB00F9">
        <w:rPr>
          <w:noProof/>
        </w:rPr>
        <w:t>)</w:t>
      </w:r>
      <w:r w:rsidRPr="00CB00F9">
        <w:t xml:space="preserve">. Currently, machine learning approaches have proven their effectiveness for MAGB estimation using multispectral imagery </w:t>
      </w:r>
      <w:r w:rsidRPr="00CB00F9">
        <w:rPr>
          <w:noProof/>
        </w:rPr>
        <w:t>(</w:t>
      </w:r>
      <w:r w:rsidRPr="00CB00F9">
        <w:rPr>
          <w:noProof/>
          <w:color w:val="0070C0"/>
        </w:rPr>
        <w:t>Jachowski et al., 2013</w:t>
      </w:r>
      <w:r w:rsidRPr="00CB00F9">
        <w:rPr>
          <w:noProof/>
        </w:rPr>
        <w:t>)</w:t>
      </w:r>
      <w:r w:rsidRPr="00CB00F9">
        <w:t xml:space="preserve"> and SAR data </w:t>
      </w:r>
      <w:r w:rsidRPr="00CB00F9">
        <w:rPr>
          <w:noProof/>
        </w:rPr>
        <w:t>(</w:t>
      </w:r>
      <w:r w:rsidRPr="00CB00F9">
        <w:rPr>
          <w:noProof/>
          <w:color w:val="0070C0"/>
        </w:rPr>
        <w:t>Pham et al., 2020b, Pham et al., 2018</w:t>
      </w:r>
      <w:r w:rsidRPr="00CB00F9">
        <w:rPr>
          <w:noProof/>
        </w:rPr>
        <w:t>)</w:t>
      </w:r>
      <w:r w:rsidRPr="00CB00F9">
        <w:t>. Our results demonstrated that the complex model of MARS and non-parametric machine learning algorithms outperform parametric regression models.</w:t>
      </w:r>
    </w:p>
    <w:p w:rsidR="00B10EC1" w:rsidRPr="00CB00F9" w:rsidRDefault="00B10EC1" w:rsidP="0097503E">
      <w:pPr>
        <w:rPr>
          <w:color w:val="FF0000"/>
        </w:rPr>
      </w:pPr>
      <w:r w:rsidRPr="00CB00F9">
        <w:t xml:space="preserve">Accuracy assessment is often discussed because it determines model reliability. Uncertainty can result from the data used, methods and also the training data. It is sometimes difficult to determine whether the model performance is satisfactory or not </w:t>
      </w:r>
      <w:r w:rsidRPr="00CB00F9">
        <w:rPr>
          <w:noProof/>
        </w:rPr>
        <w:t>(</w:t>
      </w:r>
      <w:r w:rsidRPr="00CB00F9">
        <w:rPr>
          <w:noProof/>
          <w:color w:val="0070C0"/>
        </w:rPr>
        <w:t>Hutchison et al., 2014</w:t>
      </w:r>
      <w:r w:rsidRPr="00CB00F9">
        <w:rPr>
          <w:noProof/>
        </w:rPr>
        <w:t>)</w:t>
      </w:r>
      <w:r w:rsidRPr="00CB00F9">
        <w:t xml:space="preserve"> which will be dependent on both the aim and the scale (larger scales in general can accept lower accuracy). To evaluate model performance, it is common to use error-indicative indices, such as R</w:t>
      </w:r>
      <w:r w:rsidRPr="00CB00F9">
        <w:rPr>
          <w:vertAlign w:val="superscript"/>
        </w:rPr>
        <w:t>2</w:t>
      </w:r>
      <w:r w:rsidRPr="00CB00F9">
        <w:t>, RMSE, bias, or absolute error values based on reliable information, and commonly these are field measured data. At continental and global scales, frequently R</w:t>
      </w:r>
      <w:r w:rsidRPr="00CB00F9">
        <w:rPr>
          <w:vertAlign w:val="superscript"/>
        </w:rPr>
        <w:t>2</w:t>
      </w:r>
      <w:r w:rsidRPr="00CB00F9">
        <w:t xml:space="preserve"> and RMSE show that an accuracy of 50% can be acceptable </w:t>
      </w:r>
      <w:r w:rsidRPr="00CB00F9">
        <w:rPr>
          <w:noProof/>
          <w:color w:val="auto"/>
        </w:rPr>
        <w:t>(</w:t>
      </w:r>
      <w:r w:rsidRPr="00CB00F9">
        <w:rPr>
          <w:noProof/>
          <w:color w:val="0070C0"/>
        </w:rPr>
        <w:t>Rovai et al., 2016, Tang et al., 2018</w:t>
      </w:r>
      <w:r w:rsidRPr="00CB00F9">
        <w:rPr>
          <w:noProof/>
          <w:color w:val="auto"/>
        </w:rPr>
        <w:t>)</w:t>
      </w:r>
      <w:r w:rsidRPr="00CB00F9">
        <w:rPr>
          <w:color w:val="auto"/>
        </w:rPr>
        <w:t>. In this study we obtained MARS R</w:t>
      </w:r>
      <w:r w:rsidRPr="00CB00F9">
        <w:rPr>
          <w:color w:val="auto"/>
          <w:vertAlign w:val="superscript"/>
        </w:rPr>
        <w:t>2</w:t>
      </w:r>
      <w:r w:rsidRPr="00CB00F9">
        <w:rPr>
          <w:color w:val="auto"/>
        </w:rPr>
        <w:t xml:space="preserve"> values of around 0.9 for all four different remote sensing data sources and RMSE around 5 Mg ha</w:t>
      </w:r>
      <w:r w:rsidRPr="00CB00F9">
        <w:rPr>
          <w:color w:val="auto"/>
          <w:vertAlign w:val="superscript"/>
        </w:rPr>
        <w:t>−1</w:t>
      </w:r>
      <w:r w:rsidRPr="00CB00F9">
        <w:rPr>
          <w:color w:val="auto"/>
        </w:rPr>
        <w:t xml:space="preserve"> at the commune scale with 900 ha mangrove forest. This was considered a satisfactory result and is supported by previous research in the same study site </w:t>
      </w:r>
      <w:r w:rsidRPr="00CB00F9">
        <w:rPr>
          <w:noProof/>
          <w:color w:val="auto"/>
        </w:rPr>
        <w:t>(</w:t>
      </w:r>
      <w:r w:rsidRPr="00CB00F9">
        <w:rPr>
          <w:noProof/>
          <w:color w:val="0070C0"/>
        </w:rPr>
        <w:t>Pham et al., 2020b</w:t>
      </w:r>
      <w:r w:rsidRPr="00CB00F9">
        <w:rPr>
          <w:noProof/>
          <w:color w:val="auto"/>
        </w:rPr>
        <w:t>)</w:t>
      </w:r>
      <w:r w:rsidRPr="00CB00F9">
        <w:rPr>
          <w:color w:val="auto"/>
        </w:rPr>
        <w:t xml:space="preserve">. </w:t>
      </w:r>
      <w:r w:rsidR="00395D71" w:rsidRPr="00CB00F9">
        <w:rPr>
          <w:color w:val="auto"/>
        </w:rPr>
        <w:t>As u</w:t>
      </w:r>
      <w:r w:rsidR="001826AF" w:rsidRPr="00CB00F9">
        <w:rPr>
          <w:color w:val="auto"/>
        </w:rPr>
        <w:t>ncertainty can come from early stage of image pre-processing,</w:t>
      </w:r>
      <w:r w:rsidR="00395D71" w:rsidRPr="00CB00F9">
        <w:rPr>
          <w:color w:val="auto"/>
        </w:rPr>
        <w:t xml:space="preserve"> choosing an appropriate</w:t>
      </w:r>
      <w:r w:rsidR="001826AF" w:rsidRPr="00CB00F9">
        <w:rPr>
          <w:color w:val="auto"/>
        </w:rPr>
        <w:t xml:space="preserve"> </w:t>
      </w:r>
      <w:r w:rsidR="00395D71" w:rsidRPr="00CB00F9">
        <w:rPr>
          <w:color w:val="auto"/>
        </w:rPr>
        <w:t xml:space="preserve">atmospheric correction model is crucial. </w:t>
      </w:r>
      <w:r w:rsidR="001826AF" w:rsidRPr="00CB00F9">
        <w:rPr>
          <w:color w:val="auto"/>
        </w:rPr>
        <w:t xml:space="preserve">FLAASH presented a robust </w:t>
      </w:r>
      <w:r w:rsidR="0097503E" w:rsidRPr="00CB00F9">
        <w:rPr>
          <w:color w:val="auto"/>
        </w:rPr>
        <w:t>tool</w:t>
      </w:r>
      <w:r w:rsidR="001826AF" w:rsidRPr="00CB00F9">
        <w:rPr>
          <w:color w:val="auto"/>
        </w:rPr>
        <w:t xml:space="preserve"> with options of inputting local parameters such as</w:t>
      </w:r>
      <w:r w:rsidR="00AF69E4" w:rsidRPr="00CB00F9">
        <w:t xml:space="preserve"> </w:t>
      </w:r>
      <w:r w:rsidR="0097503E" w:rsidRPr="00CB00F9">
        <w:t xml:space="preserve">local </w:t>
      </w:r>
      <w:r w:rsidR="00AF69E4" w:rsidRPr="00CB00F9">
        <w:rPr>
          <w:color w:val="auto"/>
        </w:rPr>
        <w:t xml:space="preserve">atmospheric </w:t>
      </w:r>
      <w:r w:rsidR="0097503E" w:rsidRPr="00CB00F9">
        <w:rPr>
          <w:color w:val="auto"/>
        </w:rPr>
        <w:t xml:space="preserve">and </w:t>
      </w:r>
      <w:r w:rsidR="00AF69E4" w:rsidRPr="00CB00F9">
        <w:rPr>
          <w:color w:val="auto"/>
        </w:rPr>
        <w:t>aerosol model</w:t>
      </w:r>
      <w:r w:rsidR="0097503E" w:rsidRPr="00CB00F9">
        <w:rPr>
          <w:color w:val="auto"/>
        </w:rPr>
        <w:t xml:space="preserve"> </w:t>
      </w:r>
      <w:r w:rsidR="001826AF" w:rsidRPr="00CB00F9">
        <w:rPr>
          <w:color w:val="auto"/>
        </w:rPr>
        <w:t>and applying for</w:t>
      </w:r>
      <w:r w:rsidR="0097503E" w:rsidRPr="00CB00F9">
        <w:rPr>
          <w:color w:val="auto"/>
        </w:rPr>
        <w:t xml:space="preserve"> a</w:t>
      </w:r>
      <w:r w:rsidR="001826AF" w:rsidRPr="00CB00F9">
        <w:rPr>
          <w:color w:val="auto"/>
        </w:rPr>
        <w:t xml:space="preserve"> wide range of hyperspectral and multispectral sensors.</w:t>
      </w:r>
      <w:r w:rsidR="0097503E" w:rsidRPr="00CB00F9">
        <w:rPr>
          <w:color w:val="auto"/>
        </w:rPr>
        <w:t xml:space="preserve"> Although the surface reflectance data of Landsat and Sentinel-2 are available globally, it is recommended to apply suitable model</w:t>
      </w:r>
      <w:r w:rsidR="000D1F42" w:rsidRPr="00CB00F9">
        <w:rPr>
          <w:color w:val="auto"/>
        </w:rPr>
        <w:t xml:space="preserve"> with local parameter manually for higher accuracy</w:t>
      </w:r>
      <w:r w:rsidR="0097503E" w:rsidRPr="00CB00F9">
        <w:rPr>
          <w:color w:val="auto"/>
        </w:rPr>
        <w:t>.</w:t>
      </w:r>
      <w:r w:rsidR="001826AF" w:rsidRPr="00CB00F9">
        <w:rPr>
          <w:color w:val="auto"/>
        </w:rPr>
        <w:t xml:space="preserve"> </w:t>
      </w:r>
      <w:r w:rsidR="00395D71" w:rsidRPr="00CB00F9">
        <w:rPr>
          <w:color w:val="auto"/>
        </w:rPr>
        <w:t>Besides, r</w:t>
      </w:r>
      <w:r w:rsidRPr="00CB00F9">
        <w:rPr>
          <w:color w:val="auto"/>
        </w:rPr>
        <w:t xml:space="preserve">emote </w:t>
      </w:r>
      <w:r w:rsidRPr="00CB00F9">
        <w:t>sensing image resampling techniques enable harmonization of different resolutions when using multiple data sources, but they can have effects on the final results. Hence these techniques should be chosen with care in terms of methods and output resolutions.</w:t>
      </w:r>
    </w:p>
    <w:p w:rsidR="00B10EC1" w:rsidRPr="00CB00F9" w:rsidRDefault="00B10EC1" w:rsidP="0097503E">
      <w:r w:rsidRPr="00CB00F9">
        <w:t xml:space="preserve">Each model may be differently sensitive to a parameter and variable or combination of variables depending on the variation sensitivity of the remote sensing sensor to vegetation index and biophysical metrics </w:t>
      </w:r>
      <w:r w:rsidRPr="00CB00F9">
        <w:rPr>
          <w:noProof/>
        </w:rPr>
        <w:t>(</w:t>
      </w:r>
      <w:r w:rsidRPr="00CB00F9">
        <w:rPr>
          <w:noProof/>
          <w:color w:val="0070C0"/>
        </w:rPr>
        <w:t>Dube and Mutanga, 2015</w:t>
      </w:r>
      <w:r w:rsidRPr="00CB00F9">
        <w:rPr>
          <w:noProof/>
        </w:rPr>
        <w:t>)</w:t>
      </w:r>
      <w:r w:rsidRPr="00CB00F9">
        <w:t xml:space="preserve">. Hence, testing model sensitivities is a crucial step in the modelling process and offers useful guidance to enable future studies to select the most important variables to improve model calibration times and the accuracy of outputs </w:t>
      </w:r>
      <w:r w:rsidRPr="00CB00F9">
        <w:rPr>
          <w:noProof/>
        </w:rPr>
        <w:t>(</w:t>
      </w:r>
      <w:r w:rsidRPr="00CB00F9">
        <w:rPr>
          <w:noProof/>
          <w:color w:val="0070C0"/>
        </w:rPr>
        <w:t>Argamosa et al., 2018</w:t>
      </w:r>
      <w:r w:rsidRPr="00CB00F9">
        <w:rPr>
          <w:noProof/>
        </w:rPr>
        <w:t>)</w:t>
      </w:r>
      <w:r w:rsidRPr="00CB00F9">
        <w:t xml:space="preserve">. We found that the vegetation indices of Sentinel-2 and Landsat 8 were the most sensitive variables to MAGB, which guided us to select the Landsat 8 VIs for the Landsat-x time-series MAGB extractions. However, we cannot be sure the L8 VIs are the best option for all study sites. </w:t>
      </w:r>
    </w:p>
    <w:p w:rsidR="00B10EC1" w:rsidRPr="00CB00F9" w:rsidRDefault="00B10EC1" w:rsidP="0097503E">
      <w:r w:rsidRPr="00CB00F9">
        <w:t xml:space="preserve">Finally, the increase in MAGB and mangrove forest extent in Thuy Truong commune identified through this work conflicts the general downward trend in mangrove cover in Vietnam, which has been estimated to have decreased by some 62% since 1996 </w:t>
      </w:r>
      <w:r w:rsidRPr="00CB00F9">
        <w:rPr>
          <w:noProof/>
        </w:rPr>
        <w:t>(</w:t>
      </w:r>
      <w:r w:rsidRPr="00CB00F9">
        <w:rPr>
          <w:noProof/>
          <w:color w:val="0070C0"/>
        </w:rPr>
        <w:t>Macintosh and Ashton, 2002</w:t>
      </w:r>
      <w:r w:rsidRPr="00CB00F9">
        <w:rPr>
          <w:noProof/>
        </w:rPr>
        <w:t>)</w:t>
      </w:r>
      <w:r w:rsidRPr="00CB00F9">
        <w:t xml:space="preserve">. Extending this work to a national and regional scale would enable a more accurate picture of mangrove biomass and extent to be built, and support endeavors to protect and </w:t>
      </w:r>
      <w:r w:rsidRPr="00CB00F9">
        <w:lastRenderedPageBreak/>
        <w:t>conserve them for the benefits that they provide. It is also necessary to emphasize the benefits of the open Landsat archive, without which this work would be extremely difficult.</w:t>
      </w:r>
    </w:p>
    <w:p w:rsidR="00B10EC1" w:rsidRPr="00CB00F9" w:rsidRDefault="00B10EC1" w:rsidP="0097503E">
      <w:pPr>
        <w:pStyle w:val="MDPI12title"/>
      </w:pPr>
      <w:r w:rsidRPr="00CB00F9">
        <w:t>5. Conclusion</w:t>
      </w:r>
    </w:p>
    <w:p w:rsidR="00B10EC1" w:rsidRPr="00CB00F9" w:rsidRDefault="00B10EC1" w:rsidP="0097503E">
      <w:r w:rsidRPr="00CB00F9">
        <w:t>This work applied different approaches from simple to complex (linear regression to non-parametric machine learning) on different remotely sensed data (optical and SAR) to estimate mangrove above-ground biomass for a study site in northern Vietnam. We found that the MARS model produced the most accurate estimation of MAGB (with R</w:t>
      </w:r>
      <w:r w:rsidRPr="00CB00F9">
        <w:rPr>
          <w:vertAlign w:val="superscript"/>
        </w:rPr>
        <w:t>2</w:t>
      </w:r>
      <w:r w:rsidRPr="00CB00F9">
        <w:t xml:space="preserve"> greater than 0.85, RMSE </w:t>
      </w:r>
      <w:r w:rsidRPr="00CB00F9">
        <w:rPr>
          <w:rFonts w:ascii="Calibri" w:hAnsi="Calibri"/>
        </w:rPr>
        <w:t>≈</w:t>
      </w:r>
      <w:r w:rsidRPr="00CB00F9">
        <w:t xml:space="preserve"> 5.5 Mg ha</w:t>
      </w:r>
      <w:r w:rsidRPr="00CB00F9">
        <w:rPr>
          <w:vertAlign w:val="superscript"/>
        </w:rPr>
        <w:t>−1</w:t>
      </w:r>
      <w:r w:rsidRPr="00CB00F9">
        <w:t xml:space="preserve"> for Sentinel-2 and Landsat 8 images) than the linear and multi linear regression models (mean R</w:t>
      </w:r>
      <w:r w:rsidRPr="00CB00F9">
        <w:rPr>
          <w:vertAlign w:val="superscript"/>
        </w:rPr>
        <w:t>2</w:t>
      </w:r>
      <w:r w:rsidRPr="00CB00F9">
        <w:t xml:space="preserve"> </w:t>
      </w:r>
      <w:r w:rsidRPr="00CB00F9">
        <w:rPr>
          <w:rFonts w:ascii="Calibri" w:hAnsi="Calibri"/>
        </w:rPr>
        <w:t xml:space="preserve">≈ </w:t>
      </w:r>
      <w:r w:rsidRPr="00CB00F9">
        <w:t xml:space="preserve">0.56 (LR), 0.7 (MLR), RMSE </w:t>
      </w:r>
      <w:r w:rsidRPr="00CB00F9">
        <w:rPr>
          <w:rFonts w:ascii="Calibri" w:hAnsi="Calibri"/>
        </w:rPr>
        <w:t>≈</w:t>
      </w:r>
      <w:r w:rsidRPr="00CB00F9">
        <w:t xml:space="preserve"> 6.5 Mg ha</w:t>
      </w:r>
      <w:r w:rsidRPr="00CB00F9">
        <w:rPr>
          <w:vertAlign w:val="superscript"/>
        </w:rPr>
        <w:t>−1</w:t>
      </w:r>
      <w:r w:rsidRPr="00CB00F9">
        <w:t xml:space="preserve"> (LR), 7.0 (MLR). Of the ML approaches of ANN, RF and SVM, the SVM generated more accurate MAGB estimates (highest overall accuracy of 90% and Kappa coefficient of 0.8) than ANN and RF. For both the MLR and MARS models, Sentinel-2 was most sensitive data to the ML SVM and produced the most accurate MAGB estimates. An unexpected outcome was that the employment of the higher spatial resolution of SPOT-7 and ALOS-2 did not generate the most accurate results. The best estimated MAGB from MARS and ML classifications were mapped for spatial comparison. In general, higher MAGB (&gt; 120 Mg ha</w:t>
      </w:r>
      <w:r w:rsidRPr="00CB00F9">
        <w:rPr>
          <w:vertAlign w:val="superscript"/>
        </w:rPr>
        <w:t>−1</w:t>
      </w:r>
      <w:r w:rsidRPr="00CB00F9">
        <w:t>) was concentrated in the core of the forest and the lower values (&lt; 60 Mg ha</w:t>
      </w:r>
      <w:r w:rsidRPr="00CB00F9">
        <w:rPr>
          <w:vertAlign w:val="superscript"/>
        </w:rPr>
        <w:t>−1</w:t>
      </w:r>
      <w:r w:rsidRPr="00CB00F9">
        <w:t>) were found near to the sea. The results of MAGB and forest extent changes was modelled and mapped over 45 years from 1975 to 2020 showing the expansion of the mangrove forest both in extent and mangrove above-ground biomass. Application of the most accurate models identified through this work to national and regional scales could provide important evidence in support of mangrove forest management and conservation efforts.</w:t>
      </w:r>
    </w:p>
    <w:p w:rsidR="00B10EC1" w:rsidRPr="00CB00F9" w:rsidRDefault="00B10EC1" w:rsidP="0097503E">
      <w:pPr>
        <w:rPr>
          <w:b/>
          <w:snapToGrid w:val="0"/>
          <w:lang w:bidi="en-US"/>
        </w:rPr>
      </w:pPr>
      <w:r w:rsidRPr="00CB00F9">
        <w:rPr>
          <w:b/>
          <w:snapToGrid w:val="0"/>
          <w:lang w:bidi="en-US"/>
        </w:rPr>
        <w:t>CRediT authorship contribution statement</w:t>
      </w:r>
    </w:p>
    <w:p w:rsidR="00B10EC1" w:rsidRPr="00CB00F9" w:rsidRDefault="00B10EC1" w:rsidP="0097503E">
      <w:pPr>
        <w:rPr>
          <w:snapToGrid w:val="0"/>
          <w:lang w:bidi="en-US"/>
        </w:rPr>
      </w:pPr>
      <w:r w:rsidRPr="00CB00F9">
        <w:rPr>
          <w:b/>
          <w:snapToGrid w:val="0"/>
          <w:lang w:bidi="en-US"/>
        </w:rPr>
        <w:t xml:space="preserve">Nguyen Hong Quang: </w:t>
      </w:r>
      <w:r w:rsidRPr="00CB00F9">
        <w:rPr>
          <w:snapToGrid w:val="0"/>
          <w:lang w:bidi="en-US"/>
        </w:rPr>
        <w:t>Conceptualization, Methodology, Investigation, Data analysis, Writing - original draft, Writing—review and editing, Resources, Software,</w:t>
      </w:r>
      <w:r w:rsidRPr="00CB00F9">
        <w:t xml:space="preserve"> </w:t>
      </w:r>
      <w:r w:rsidRPr="00CB00F9">
        <w:rPr>
          <w:snapToGrid w:val="0"/>
          <w:lang w:bidi="en-US"/>
        </w:rPr>
        <w:t xml:space="preserve">Validation, Visualization. </w:t>
      </w:r>
      <w:r w:rsidRPr="00CB00F9">
        <w:rPr>
          <w:b/>
          <w:snapToGrid w:val="0"/>
          <w:lang w:bidi="en-US"/>
        </w:rPr>
        <w:t>Claire H. Quinn:</w:t>
      </w:r>
      <w:r w:rsidRPr="00CB00F9">
        <w:rPr>
          <w:snapToGrid w:val="0"/>
          <w:lang w:bidi="en-US"/>
        </w:rPr>
        <w:t xml:space="preserve">  Conceptualization, Methodology, Project administration, Supervision, Writing—review and editing. </w:t>
      </w:r>
      <w:r w:rsidRPr="00CB00F9">
        <w:rPr>
          <w:b/>
          <w:snapToGrid w:val="0"/>
          <w:lang w:bidi="en-US"/>
        </w:rPr>
        <w:t>Rachael Carrie:</w:t>
      </w:r>
      <w:r w:rsidRPr="00CB00F9">
        <w:rPr>
          <w:snapToGrid w:val="0"/>
          <w:lang w:bidi="en-US"/>
        </w:rPr>
        <w:t xml:space="preserve"> Methodology, Visualization, Writing—review and editing. </w:t>
      </w:r>
      <w:r w:rsidRPr="00CB00F9">
        <w:rPr>
          <w:b/>
          <w:snapToGrid w:val="0"/>
          <w:lang w:bidi="en-US"/>
        </w:rPr>
        <w:t>Lindsay C. Stringer:</w:t>
      </w:r>
      <w:r w:rsidRPr="00CB00F9">
        <w:rPr>
          <w:snapToGrid w:val="0"/>
          <w:lang w:bidi="en-US"/>
        </w:rPr>
        <w:t xml:space="preserve"> Conceptualization, Methodology,</w:t>
      </w:r>
      <w:r w:rsidRPr="00CB00F9">
        <w:t xml:space="preserve"> Supervision, </w:t>
      </w:r>
      <w:r w:rsidRPr="00CB00F9">
        <w:rPr>
          <w:snapToGrid w:val="0"/>
          <w:lang w:bidi="en-US"/>
        </w:rPr>
        <w:t xml:space="preserve">Writing - review &amp; editing.  </w:t>
      </w:r>
      <w:r w:rsidRPr="00CB00F9">
        <w:rPr>
          <w:b/>
          <w:snapToGrid w:val="0"/>
          <w:lang w:bidi="en-US"/>
        </w:rPr>
        <w:t>Le Thi Van Hue:</w:t>
      </w:r>
      <w:r w:rsidRPr="00CB00F9">
        <w:rPr>
          <w:snapToGrid w:val="0"/>
          <w:lang w:bidi="en-US"/>
        </w:rPr>
        <w:t xml:space="preserve">  Conceptualization, Project administration, Supervision, Writing - review &amp; editing. </w:t>
      </w:r>
      <w:r w:rsidRPr="00CB00F9">
        <w:rPr>
          <w:b/>
          <w:snapToGrid w:val="0"/>
          <w:lang w:bidi="en-US"/>
        </w:rPr>
        <w:t>Christopher R. Hackney:</w:t>
      </w:r>
      <w:r w:rsidRPr="00CB00F9">
        <w:rPr>
          <w:snapToGrid w:val="0"/>
          <w:lang w:bidi="en-US"/>
        </w:rPr>
        <w:t xml:space="preserve">  Investigation, Data analysis, Validation, Visualization, Writing - review &amp; editing. </w:t>
      </w:r>
      <w:r w:rsidRPr="00CB00F9">
        <w:rPr>
          <w:b/>
          <w:snapToGrid w:val="0"/>
          <w:lang w:bidi="en-US"/>
        </w:rPr>
        <w:t>Dao Van Tan:</w:t>
      </w:r>
      <w:r w:rsidRPr="00CB00F9">
        <w:rPr>
          <w:snapToGrid w:val="0"/>
          <w:lang w:bidi="en-US"/>
        </w:rPr>
        <w:t xml:space="preserve">  Methodology, Data analysis, Resources, Validation, Visualization, Writing - review &amp; editing.</w:t>
      </w:r>
    </w:p>
    <w:p w:rsidR="00B10EC1" w:rsidRPr="00CB00F9" w:rsidRDefault="00B10EC1" w:rsidP="0097503E">
      <w:r w:rsidRPr="00CB00F9">
        <w:rPr>
          <w:b/>
        </w:rPr>
        <w:t>Acknowledgements:</w:t>
      </w:r>
      <w:r w:rsidRPr="00CB00F9">
        <w:t xml:space="preserve"> This research was financially supported by the Newton RCUK-SEAMED project “Harnessing multiple benefits from resilient mangrove systems” funded by NAFOSTED RCUK, ESRC reference: ES/R003300/1.</w:t>
      </w:r>
    </w:p>
    <w:p w:rsidR="00B10EC1" w:rsidRPr="00CB00F9" w:rsidRDefault="00B10EC1" w:rsidP="0097503E">
      <w:pPr>
        <w:rPr>
          <w:b/>
        </w:rPr>
      </w:pPr>
      <w:r w:rsidRPr="00CB00F9">
        <w:rPr>
          <w:b/>
        </w:rPr>
        <w:t>Declaration of Competing Interest</w:t>
      </w:r>
    </w:p>
    <w:p w:rsidR="00B10EC1" w:rsidRPr="00CB00F9" w:rsidRDefault="00B10EC1" w:rsidP="0097503E">
      <w:r w:rsidRPr="00CB00F9">
        <w:t xml:space="preserve">The authors declare that they have no known competing </w:t>
      </w:r>
      <w:r w:rsidR="000A0702" w:rsidRPr="00CB00F9">
        <w:t>financial</w:t>
      </w:r>
      <w:r w:rsidRPr="00CB00F9">
        <w:t xml:space="preserve"> interests or personal relationships that could have appeared to inﬂuence the work reported in this paper.</w:t>
      </w:r>
    </w:p>
    <w:p w:rsidR="00B10EC1" w:rsidRPr="00CB00F9" w:rsidRDefault="00B10EC1" w:rsidP="0097503E">
      <w:pPr>
        <w:pStyle w:val="MDPI12title"/>
      </w:pPr>
      <w:r w:rsidRPr="00CB00F9">
        <w:t>References</w:t>
      </w:r>
    </w:p>
    <w:p w:rsidR="00C81A7D" w:rsidRPr="00EB71DF" w:rsidRDefault="00C81A7D" w:rsidP="00F93E73">
      <w:pPr>
        <w:spacing w:line="240" w:lineRule="auto"/>
        <w:ind w:left="720" w:hanging="720"/>
        <w:rPr>
          <w:noProof/>
          <w:color w:val="auto"/>
          <w:sz w:val="22"/>
          <w:szCs w:val="22"/>
        </w:rPr>
      </w:pPr>
      <w:bookmarkStart w:id="1" w:name="_ENREF_1"/>
      <w:r w:rsidRPr="00EB71DF">
        <w:rPr>
          <w:noProof/>
          <w:color w:val="auto"/>
          <w:sz w:val="22"/>
          <w:szCs w:val="22"/>
        </w:rPr>
        <w:lastRenderedPageBreak/>
        <w:t xml:space="preserve">Ali, M., Montzka, C., Stadler, A., Menz, G., Thonfeld, F., &amp; Vereecken, H. (2015). Estimation and validation of RapidEye-based time-series of leaf area index for winter wheat in the Rur catchment (Germany). </w:t>
      </w:r>
      <w:r w:rsidRPr="00EB71DF">
        <w:rPr>
          <w:i/>
          <w:noProof/>
          <w:color w:val="auto"/>
          <w:sz w:val="22"/>
          <w:szCs w:val="22"/>
        </w:rPr>
        <w:t>Remote sensing</w:t>
      </w:r>
      <w:r w:rsidRPr="00EB71DF">
        <w:rPr>
          <w:noProof/>
          <w:color w:val="auto"/>
          <w:sz w:val="22"/>
          <w:szCs w:val="22"/>
        </w:rPr>
        <w:t xml:space="preserve">, </w:t>
      </w:r>
      <w:r w:rsidRPr="00EB71DF">
        <w:rPr>
          <w:i/>
          <w:noProof/>
          <w:color w:val="auto"/>
          <w:sz w:val="22"/>
          <w:szCs w:val="22"/>
        </w:rPr>
        <w:t>7</w:t>
      </w:r>
      <w:r w:rsidRPr="00EB71DF">
        <w:rPr>
          <w:noProof/>
          <w:color w:val="auto"/>
          <w:sz w:val="22"/>
          <w:szCs w:val="22"/>
        </w:rPr>
        <w:t>(3),2808-2831.</w:t>
      </w:r>
    </w:p>
    <w:p w:rsidR="00F93E73" w:rsidRPr="00CB00F9" w:rsidRDefault="00F93E73" w:rsidP="00F93E73">
      <w:pPr>
        <w:spacing w:line="240" w:lineRule="auto"/>
        <w:ind w:left="720" w:hanging="720"/>
        <w:rPr>
          <w:noProof/>
          <w:sz w:val="22"/>
          <w:szCs w:val="22"/>
        </w:rPr>
      </w:pPr>
      <w:r w:rsidRPr="00CB00F9">
        <w:rPr>
          <w:noProof/>
          <w:sz w:val="22"/>
          <w:szCs w:val="22"/>
        </w:rPr>
        <w:t xml:space="preserve">Argamosa, R. J. L., Blanco, A. C., Baloloy, A. B., Candido, C. G., Dumalag, J. B. L. C., DImapilis, L. L. C., &amp; Paringit, E. C. (2018). MODELLING ABOVE GROUND BIOMASS OF MANGROVE FOREST USING SENTINEL-1 IMAGERY. </w:t>
      </w:r>
      <w:r w:rsidRPr="00CB00F9">
        <w:rPr>
          <w:i/>
          <w:noProof/>
          <w:sz w:val="22"/>
          <w:szCs w:val="22"/>
        </w:rPr>
        <w:t>ISPRS Annals of Photogrammetry, Remote Sensing &amp; Spatial Information Sciences, 4</w:t>
      </w:r>
      <w:r w:rsidRPr="00CB00F9">
        <w:rPr>
          <w:noProof/>
          <w:sz w:val="22"/>
          <w:szCs w:val="22"/>
        </w:rPr>
        <w:t xml:space="preserve">(3). </w:t>
      </w:r>
      <w:bookmarkEnd w:id="1"/>
    </w:p>
    <w:p w:rsidR="00F93E73" w:rsidRPr="00CB00F9" w:rsidRDefault="00F93E73" w:rsidP="00F93E73">
      <w:pPr>
        <w:spacing w:line="240" w:lineRule="auto"/>
        <w:ind w:left="720" w:hanging="720"/>
        <w:rPr>
          <w:noProof/>
          <w:sz w:val="22"/>
          <w:szCs w:val="22"/>
        </w:rPr>
      </w:pPr>
      <w:bookmarkStart w:id="2" w:name="_ENREF_2"/>
      <w:r w:rsidRPr="00CB00F9">
        <w:rPr>
          <w:noProof/>
          <w:sz w:val="22"/>
          <w:szCs w:val="22"/>
        </w:rPr>
        <w:t xml:space="preserve">Avtar, R., Kumar, P., Oono, A., Saraswat, C., Dorji, S., &amp; Hlaing, Z. (2017). Potential application of remote sensing in monitoring ecosystem services of forests, mangroves and urban areas. </w:t>
      </w:r>
      <w:r w:rsidRPr="00CB00F9">
        <w:rPr>
          <w:i/>
          <w:noProof/>
          <w:sz w:val="22"/>
          <w:szCs w:val="22"/>
        </w:rPr>
        <w:t>Geocarto International, 32</w:t>
      </w:r>
      <w:r w:rsidRPr="00CB00F9">
        <w:rPr>
          <w:noProof/>
          <w:sz w:val="22"/>
          <w:szCs w:val="22"/>
        </w:rPr>
        <w:t xml:space="preserve">(8), 874-885. </w:t>
      </w:r>
      <w:bookmarkEnd w:id="2"/>
    </w:p>
    <w:p w:rsidR="00F93E73" w:rsidRPr="00CB00F9" w:rsidRDefault="00F93E73" w:rsidP="00F93E73">
      <w:pPr>
        <w:spacing w:line="240" w:lineRule="auto"/>
        <w:ind w:left="720" w:hanging="720"/>
        <w:rPr>
          <w:noProof/>
          <w:sz w:val="22"/>
          <w:szCs w:val="22"/>
        </w:rPr>
      </w:pPr>
      <w:bookmarkStart w:id="3" w:name="_ENREF_3"/>
      <w:r w:rsidRPr="00CB00F9">
        <w:rPr>
          <w:noProof/>
          <w:sz w:val="22"/>
          <w:szCs w:val="22"/>
        </w:rPr>
        <w:t xml:space="preserve">Baloloy, A. B., Blanco, A. C., Candido, C. G., Argamosa, R. J. L., Dumalag, J. B. L. C., Dimapilis, L. L. C., &amp; Paringit, E. C. (2018). Estimation of Mangrove Forest Aboveground Biomass Using Multispectral Bands, Vegetation Indices and Biophysical Variables Derived from Optical Satellite Imageries: Rapideye, Planetscope and Sentinel-2. </w:t>
      </w:r>
      <w:r w:rsidRPr="00CB00F9">
        <w:rPr>
          <w:i/>
          <w:noProof/>
          <w:sz w:val="22"/>
          <w:szCs w:val="22"/>
        </w:rPr>
        <w:t>ISPRS Annals of Photogrammetry, Remote Sensing and Spatial Information Sciences, IV-3</w:t>
      </w:r>
      <w:r w:rsidRPr="00CB00F9">
        <w:rPr>
          <w:noProof/>
          <w:sz w:val="22"/>
          <w:szCs w:val="22"/>
        </w:rPr>
        <w:t>, 29-36. doi: 10.5194/isprs-annals-IV-3-29-2018</w:t>
      </w:r>
      <w:bookmarkEnd w:id="3"/>
    </w:p>
    <w:p w:rsidR="00F93E73" w:rsidRPr="00CB00F9" w:rsidRDefault="00F93E73" w:rsidP="00F93E73">
      <w:pPr>
        <w:spacing w:line="240" w:lineRule="auto"/>
        <w:ind w:left="720" w:hanging="720"/>
        <w:rPr>
          <w:noProof/>
          <w:sz w:val="22"/>
          <w:szCs w:val="22"/>
        </w:rPr>
      </w:pPr>
      <w:bookmarkStart w:id="4" w:name="_ENREF_4"/>
      <w:r w:rsidRPr="00FB23D6">
        <w:rPr>
          <w:noProof/>
          <w:sz w:val="22"/>
          <w:szCs w:val="22"/>
          <w:lang w:val="de-DE"/>
        </w:rPr>
        <w:t xml:space="preserve">Bilgili, A. V., Van Es, H., Akbas, F., Durak, A., &amp; Hively, W. (2010). </w:t>
      </w:r>
      <w:r w:rsidRPr="00CB00F9">
        <w:rPr>
          <w:noProof/>
          <w:sz w:val="22"/>
          <w:szCs w:val="22"/>
        </w:rPr>
        <w:t xml:space="preserve">Visible-near infrared reflectance spectroscopy for assessment of soil properties in a semi-arid area of Turkey. </w:t>
      </w:r>
      <w:r w:rsidRPr="00CB00F9">
        <w:rPr>
          <w:i/>
          <w:noProof/>
          <w:sz w:val="22"/>
          <w:szCs w:val="22"/>
        </w:rPr>
        <w:t>Journal of Arid Environments, 74</w:t>
      </w:r>
      <w:r w:rsidRPr="00CB00F9">
        <w:rPr>
          <w:noProof/>
          <w:sz w:val="22"/>
          <w:szCs w:val="22"/>
        </w:rPr>
        <w:t xml:space="preserve">(2), 229-238. </w:t>
      </w:r>
      <w:bookmarkEnd w:id="4"/>
    </w:p>
    <w:p w:rsidR="00F93E73" w:rsidRPr="00CB00F9" w:rsidRDefault="00F93E73" w:rsidP="00F93E73">
      <w:pPr>
        <w:spacing w:line="240" w:lineRule="auto"/>
        <w:ind w:left="720" w:hanging="720"/>
        <w:rPr>
          <w:noProof/>
          <w:sz w:val="22"/>
          <w:szCs w:val="22"/>
        </w:rPr>
      </w:pPr>
      <w:bookmarkStart w:id="5" w:name="_ENREF_5"/>
      <w:r w:rsidRPr="00CB00F9">
        <w:rPr>
          <w:noProof/>
          <w:sz w:val="22"/>
          <w:szCs w:val="22"/>
        </w:rPr>
        <w:t xml:space="preserve">Castillo, J. A. A., Apan, A. A., Maraseni, T. N., &amp; Salmo, S. G. (2017). Estimation and mapping of above-ground biomass of mangrove forests and their replacement land uses in the Philippines using Sentinel imagery. </w:t>
      </w:r>
      <w:r w:rsidRPr="00CB00F9">
        <w:rPr>
          <w:i/>
          <w:noProof/>
          <w:sz w:val="22"/>
          <w:szCs w:val="22"/>
        </w:rPr>
        <w:t>ISPRS Journal of Photogrammetry and Remote Sensing, 134</w:t>
      </w:r>
      <w:r w:rsidRPr="00CB00F9">
        <w:rPr>
          <w:noProof/>
          <w:sz w:val="22"/>
          <w:szCs w:val="22"/>
        </w:rPr>
        <w:t>, 70-85. doi: 10.1016/j.isprsjprs.2017.10.016</w:t>
      </w:r>
      <w:bookmarkEnd w:id="5"/>
    </w:p>
    <w:p w:rsidR="00F93E73" w:rsidRPr="00CB00F9" w:rsidRDefault="00F93E73" w:rsidP="00F93E73">
      <w:pPr>
        <w:spacing w:line="240" w:lineRule="auto"/>
        <w:ind w:left="720" w:hanging="720"/>
        <w:rPr>
          <w:noProof/>
          <w:sz w:val="22"/>
          <w:szCs w:val="22"/>
        </w:rPr>
      </w:pPr>
      <w:bookmarkStart w:id="6" w:name="_ENREF_6"/>
      <w:r w:rsidRPr="00CB00F9">
        <w:rPr>
          <w:noProof/>
          <w:sz w:val="22"/>
          <w:szCs w:val="22"/>
        </w:rPr>
        <w:t xml:space="preserve">Chave, J., Andalo, C., Brown, S., Cairns, M. A., Chambers, J. Q., Eamus, D., . . . Kira, T. (2005). Tree allometry and improved estimation of carbon stocks and balance in tropical forests. </w:t>
      </w:r>
      <w:r w:rsidRPr="00CB00F9">
        <w:rPr>
          <w:i/>
          <w:noProof/>
          <w:sz w:val="22"/>
          <w:szCs w:val="22"/>
        </w:rPr>
        <w:t>Oecologia, 145</w:t>
      </w:r>
      <w:r w:rsidRPr="00CB00F9">
        <w:rPr>
          <w:noProof/>
          <w:sz w:val="22"/>
          <w:szCs w:val="22"/>
        </w:rPr>
        <w:t xml:space="preserve">(1), 87-99. </w:t>
      </w:r>
      <w:bookmarkEnd w:id="6"/>
    </w:p>
    <w:p w:rsidR="00F93E73" w:rsidRPr="00CB00F9" w:rsidRDefault="00F93E73" w:rsidP="00F93E73">
      <w:pPr>
        <w:spacing w:line="240" w:lineRule="auto"/>
        <w:ind w:left="720" w:hanging="720"/>
        <w:rPr>
          <w:noProof/>
          <w:sz w:val="22"/>
          <w:szCs w:val="22"/>
        </w:rPr>
      </w:pPr>
      <w:bookmarkStart w:id="7" w:name="_ENREF_7"/>
      <w:r w:rsidRPr="00CB00F9">
        <w:rPr>
          <w:noProof/>
          <w:sz w:val="22"/>
          <w:szCs w:val="22"/>
        </w:rPr>
        <w:t xml:space="preserve">Clark, D. B., &amp; Clark, D. A. (2000). Landscape-scale variation in forest structure and biomass in a tropical rain forest. </w:t>
      </w:r>
      <w:r w:rsidRPr="00CB00F9">
        <w:rPr>
          <w:i/>
          <w:noProof/>
          <w:sz w:val="22"/>
          <w:szCs w:val="22"/>
        </w:rPr>
        <w:t>Forest ecology and management, 137</w:t>
      </w:r>
      <w:r w:rsidRPr="00CB00F9">
        <w:rPr>
          <w:noProof/>
          <w:sz w:val="22"/>
          <w:szCs w:val="22"/>
        </w:rPr>
        <w:t xml:space="preserve">(1-3), 185-198. </w:t>
      </w:r>
      <w:bookmarkEnd w:id="7"/>
    </w:p>
    <w:p w:rsidR="00F93E73" w:rsidRPr="00CB00F9" w:rsidRDefault="00F93E73" w:rsidP="00F93E73">
      <w:pPr>
        <w:spacing w:line="240" w:lineRule="auto"/>
        <w:ind w:left="720" w:hanging="720"/>
        <w:rPr>
          <w:noProof/>
          <w:sz w:val="22"/>
          <w:szCs w:val="22"/>
        </w:rPr>
      </w:pPr>
      <w:bookmarkStart w:id="8" w:name="_ENREF_8"/>
      <w:r w:rsidRPr="00CB00F9">
        <w:rPr>
          <w:noProof/>
          <w:sz w:val="22"/>
          <w:szCs w:val="22"/>
        </w:rPr>
        <w:t xml:space="preserve">Congalton, R. G. (1991). A review of assessing the accuracy of classifications of remotely sensed data. </w:t>
      </w:r>
      <w:r w:rsidRPr="00CB00F9">
        <w:rPr>
          <w:i/>
          <w:noProof/>
          <w:sz w:val="22"/>
          <w:szCs w:val="22"/>
        </w:rPr>
        <w:t>Remote sensing of environment, 37</w:t>
      </w:r>
      <w:r w:rsidRPr="00CB00F9">
        <w:rPr>
          <w:noProof/>
          <w:sz w:val="22"/>
          <w:szCs w:val="22"/>
        </w:rPr>
        <w:t xml:space="preserve">(1), 35-46. </w:t>
      </w:r>
      <w:bookmarkEnd w:id="8"/>
    </w:p>
    <w:p w:rsidR="00F93E73" w:rsidRPr="00CB00F9" w:rsidRDefault="00F93E73" w:rsidP="00F93E73">
      <w:pPr>
        <w:spacing w:line="240" w:lineRule="auto"/>
        <w:ind w:left="720" w:hanging="720"/>
        <w:rPr>
          <w:noProof/>
          <w:sz w:val="22"/>
          <w:szCs w:val="22"/>
        </w:rPr>
      </w:pPr>
      <w:bookmarkStart w:id="9" w:name="_ENREF_9"/>
      <w:r w:rsidRPr="00CB00F9">
        <w:rPr>
          <w:noProof/>
          <w:sz w:val="22"/>
          <w:szCs w:val="22"/>
        </w:rPr>
        <w:t xml:space="preserve">Dube, T., &amp; Mutanga, O. (2015). Evaluating the utility of the medium-spatial resolution Landsat 8 multispectral sensor in quantifying aboveground biomass in uMgeni catchment, South Africa. </w:t>
      </w:r>
      <w:r w:rsidRPr="00CB00F9">
        <w:rPr>
          <w:i/>
          <w:noProof/>
          <w:sz w:val="22"/>
          <w:szCs w:val="22"/>
        </w:rPr>
        <w:t>ISPRS Journal of Photogrammetry and Remote Sensing, 101</w:t>
      </w:r>
      <w:r w:rsidRPr="00CB00F9">
        <w:rPr>
          <w:noProof/>
          <w:sz w:val="22"/>
          <w:szCs w:val="22"/>
        </w:rPr>
        <w:t xml:space="preserve">, 36-46. </w:t>
      </w:r>
      <w:bookmarkEnd w:id="9"/>
    </w:p>
    <w:p w:rsidR="00F93E73" w:rsidRPr="00CB00F9" w:rsidRDefault="00F93E73" w:rsidP="00F93E73">
      <w:pPr>
        <w:spacing w:line="240" w:lineRule="auto"/>
        <w:ind w:left="720" w:hanging="720"/>
        <w:rPr>
          <w:noProof/>
          <w:sz w:val="22"/>
          <w:szCs w:val="22"/>
        </w:rPr>
      </w:pPr>
      <w:bookmarkStart w:id="10" w:name="_ENREF_10"/>
      <w:r w:rsidRPr="00CB00F9">
        <w:rPr>
          <w:noProof/>
          <w:sz w:val="22"/>
          <w:szCs w:val="22"/>
        </w:rPr>
        <w:t xml:space="preserve">Friedman, J. H. (1991). Multivariate adaptive regression splines. </w:t>
      </w:r>
      <w:r w:rsidRPr="00CB00F9">
        <w:rPr>
          <w:i/>
          <w:noProof/>
          <w:sz w:val="22"/>
          <w:szCs w:val="22"/>
        </w:rPr>
        <w:t>The annals of statistics</w:t>
      </w:r>
      <w:r w:rsidRPr="00CB00F9">
        <w:rPr>
          <w:noProof/>
          <w:sz w:val="22"/>
          <w:szCs w:val="22"/>
        </w:rPr>
        <w:t xml:space="preserve">, 1-67 %@ 0090-5364. </w:t>
      </w:r>
      <w:bookmarkEnd w:id="10"/>
    </w:p>
    <w:p w:rsidR="00F93E73" w:rsidRPr="00CB00F9" w:rsidRDefault="00F93E73" w:rsidP="00F93E73">
      <w:pPr>
        <w:spacing w:line="240" w:lineRule="auto"/>
        <w:ind w:left="720" w:hanging="720"/>
        <w:rPr>
          <w:noProof/>
          <w:sz w:val="22"/>
          <w:szCs w:val="22"/>
        </w:rPr>
      </w:pPr>
      <w:bookmarkStart w:id="11" w:name="_ENREF_11"/>
      <w:r w:rsidRPr="00CB00F9">
        <w:rPr>
          <w:noProof/>
          <w:sz w:val="22"/>
          <w:szCs w:val="22"/>
        </w:rPr>
        <w:t>Friedman, J. H., &amp; Roosen, C. B. (1995). An introduction to multivariate adaptive regression splines: Sage Publications Sage CA: Thousand Oaks, CA.</w:t>
      </w:r>
      <w:bookmarkEnd w:id="11"/>
    </w:p>
    <w:p w:rsidR="00E334C1" w:rsidRDefault="00F93E73" w:rsidP="00F93E73">
      <w:pPr>
        <w:spacing w:line="240" w:lineRule="auto"/>
        <w:ind w:left="720" w:hanging="720"/>
        <w:rPr>
          <w:noProof/>
          <w:sz w:val="22"/>
          <w:szCs w:val="22"/>
        </w:rPr>
      </w:pPr>
      <w:bookmarkStart w:id="12" w:name="_ENREF_12"/>
      <w:r w:rsidRPr="00FB23D6">
        <w:rPr>
          <w:noProof/>
          <w:sz w:val="22"/>
          <w:szCs w:val="22"/>
          <w:lang w:val="de-DE"/>
        </w:rPr>
        <w:t xml:space="preserve">Gitelson, A. A., Gritz, Y., &amp; Merzlyak, M. N. (2003). </w:t>
      </w:r>
      <w:r w:rsidRPr="00CB00F9">
        <w:rPr>
          <w:noProof/>
          <w:sz w:val="22"/>
          <w:szCs w:val="22"/>
        </w:rPr>
        <w:t xml:space="preserve">Relationships between leaf chlorophyll content and spectral reflectance and algorithms for non-destructive chlorophyll assessment in higher plant leaves. </w:t>
      </w:r>
      <w:r w:rsidRPr="00CB00F9">
        <w:rPr>
          <w:i/>
          <w:noProof/>
          <w:sz w:val="22"/>
          <w:szCs w:val="22"/>
        </w:rPr>
        <w:t>Journal of plant physiology, 160</w:t>
      </w:r>
      <w:r w:rsidRPr="00CB00F9">
        <w:rPr>
          <w:noProof/>
          <w:sz w:val="22"/>
          <w:szCs w:val="22"/>
        </w:rPr>
        <w:t>(3), 271-282.</w:t>
      </w:r>
    </w:p>
    <w:bookmarkEnd w:id="12"/>
    <w:p w:rsidR="00F93E73" w:rsidRPr="00E334C1" w:rsidRDefault="00E334C1" w:rsidP="00F93E73">
      <w:pPr>
        <w:spacing w:line="240" w:lineRule="auto"/>
        <w:ind w:left="720" w:hanging="720"/>
        <w:rPr>
          <w:noProof/>
          <w:sz w:val="22"/>
          <w:szCs w:val="22"/>
        </w:rPr>
      </w:pPr>
      <w:r w:rsidRPr="00FB23D6">
        <w:rPr>
          <w:noProof/>
          <w:sz w:val="22"/>
          <w:szCs w:val="22"/>
        </w:rPr>
        <w:t xml:space="preserve">Gitelson, A., &amp; Merzlyak, M. N. (1994). </w:t>
      </w:r>
      <w:r w:rsidRPr="00E334C1">
        <w:rPr>
          <w:noProof/>
          <w:sz w:val="22"/>
          <w:szCs w:val="22"/>
        </w:rPr>
        <w:t xml:space="preserve">Spectral reflectance changes associated with autumn senescence of Aesculus hippocastanum L. and Acer platanoides L. leaves. Spectral features and relation to chlorophyll estimation. </w:t>
      </w:r>
      <w:r w:rsidRPr="00E334C1">
        <w:rPr>
          <w:i/>
          <w:noProof/>
          <w:sz w:val="22"/>
          <w:szCs w:val="22"/>
        </w:rPr>
        <w:t>Journal of plant physiology</w:t>
      </w:r>
      <w:r w:rsidRPr="00E334C1">
        <w:rPr>
          <w:noProof/>
          <w:sz w:val="22"/>
          <w:szCs w:val="22"/>
        </w:rPr>
        <w:t xml:space="preserve">, </w:t>
      </w:r>
      <w:r w:rsidRPr="00E334C1">
        <w:rPr>
          <w:i/>
          <w:noProof/>
          <w:sz w:val="22"/>
          <w:szCs w:val="22"/>
        </w:rPr>
        <w:t>143</w:t>
      </w:r>
      <w:r w:rsidRPr="00E334C1">
        <w:rPr>
          <w:noProof/>
          <w:sz w:val="22"/>
          <w:szCs w:val="22"/>
        </w:rPr>
        <w:t>(3), 286-292.</w:t>
      </w:r>
    </w:p>
    <w:p w:rsidR="00294DF2" w:rsidRDefault="00F93E73" w:rsidP="00F93E73">
      <w:pPr>
        <w:spacing w:line="240" w:lineRule="auto"/>
        <w:ind w:left="720" w:hanging="720"/>
        <w:rPr>
          <w:noProof/>
          <w:sz w:val="22"/>
          <w:szCs w:val="22"/>
        </w:rPr>
      </w:pPr>
      <w:bookmarkStart w:id="13" w:name="_ENREF_13"/>
      <w:r w:rsidRPr="00FB23D6">
        <w:rPr>
          <w:noProof/>
          <w:sz w:val="22"/>
          <w:szCs w:val="22"/>
          <w:lang w:val="de-DE"/>
        </w:rPr>
        <w:t xml:space="preserve">Gitelson, A. A., Vina, A., Ciganda, V., Rundquist, D. C., &amp; Arkebauer, T. J. (2005). </w:t>
      </w:r>
      <w:r w:rsidRPr="00CB00F9">
        <w:rPr>
          <w:noProof/>
          <w:sz w:val="22"/>
          <w:szCs w:val="22"/>
        </w:rPr>
        <w:t xml:space="preserve">Remote estimation of canopy chlorophyll content in crops. </w:t>
      </w:r>
      <w:r w:rsidRPr="00CB00F9">
        <w:rPr>
          <w:i/>
          <w:noProof/>
          <w:sz w:val="22"/>
          <w:szCs w:val="22"/>
        </w:rPr>
        <w:t>Geophysical Research Letters, 32</w:t>
      </w:r>
      <w:r w:rsidRPr="00CB00F9">
        <w:rPr>
          <w:noProof/>
          <w:sz w:val="22"/>
          <w:szCs w:val="22"/>
        </w:rPr>
        <w:t>(8).</w:t>
      </w:r>
    </w:p>
    <w:bookmarkEnd w:id="13"/>
    <w:p w:rsidR="00F93E73" w:rsidRPr="00294DF2" w:rsidRDefault="00294DF2" w:rsidP="00F93E73">
      <w:pPr>
        <w:spacing w:line="240" w:lineRule="auto"/>
        <w:ind w:left="720" w:hanging="720"/>
        <w:rPr>
          <w:noProof/>
          <w:sz w:val="22"/>
          <w:szCs w:val="22"/>
        </w:rPr>
      </w:pPr>
      <w:r w:rsidRPr="00294DF2">
        <w:rPr>
          <w:noProof/>
          <w:sz w:val="22"/>
          <w:szCs w:val="22"/>
          <w:lang w:val="de-DE"/>
        </w:rPr>
        <w:t xml:space="preserve">Gitelson, A. A., Kaufman, Y. J., &amp; Merzlyak, M. N. (1996). </w:t>
      </w:r>
      <w:r w:rsidRPr="00294DF2">
        <w:rPr>
          <w:noProof/>
          <w:sz w:val="22"/>
          <w:szCs w:val="22"/>
        </w:rPr>
        <w:t xml:space="preserve">Use of a green channel in remote sensing of global vegetation from EOS-MODIS. </w:t>
      </w:r>
      <w:r w:rsidRPr="00294DF2">
        <w:rPr>
          <w:i/>
          <w:noProof/>
          <w:sz w:val="22"/>
          <w:szCs w:val="22"/>
        </w:rPr>
        <w:t>Remote sensing of Environment</w:t>
      </w:r>
      <w:r w:rsidRPr="00294DF2">
        <w:rPr>
          <w:noProof/>
          <w:sz w:val="22"/>
          <w:szCs w:val="22"/>
        </w:rPr>
        <w:t xml:space="preserve">, </w:t>
      </w:r>
      <w:r w:rsidRPr="00294DF2">
        <w:rPr>
          <w:i/>
          <w:noProof/>
          <w:sz w:val="22"/>
          <w:szCs w:val="22"/>
        </w:rPr>
        <w:t>58</w:t>
      </w:r>
      <w:r w:rsidRPr="00294DF2">
        <w:rPr>
          <w:noProof/>
          <w:sz w:val="22"/>
          <w:szCs w:val="22"/>
        </w:rPr>
        <w:t>(3), 289-298.</w:t>
      </w:r>
    </w:p>
    <w:p w:rsidR="00F93E73" w:rsidRPr="00CB00F9" w:rsidRDefault="00F93E73" w:rsidP="00F93E73">
      <w:pPr>
        <w:spacing w:line="240" w:lineRule="auto"/>
        <w:ind w:left="720" w:hanging="720"/>
        <w:rPr>
          <w:noProof/>
          <w:sz w:val="22"/>
          <w:szCs w:val="22"/>
        </w:rPr>
      </w:pPr>
      <w:bookmarkStart w:id="14" w:name="_ENREF_14"/>
      <w:r w:rsidRPr="00CB00F9">
        <w:rPr>
          <w:noProof/>
          <w:sz w:val="22"/>
          <w:szCs w:val="22"/>
        </w:rPr>
        <w:t xml:space="preserve">Green, E., Clark, C., Mumby, P., Edwards, A., &amp; Ellis, A. (1998). Remote sensing techniques for mangrove mapping. </w:t>
      </w:r>
      <w:r w:rsidRPr="00CB00F9">
        <w:rPr>
          <w:i/>
          <w:noProof/>
          <w:sz w:val="22"/>
          <w:szCs w:val="22"/>
        </w:rPr>
        <w:t>International Journal of Remote Sensing, 19</w:t>
      </w:r>
      <w:r w:rsidRPr="00CB00F9">
        <w:rPr>
          <w:noProof/>
          <w:sz w:val="22"/>
          <w:szCs w:val="22"/>
        </w:rPr>
        <w:t xml:space="preserve">(5), 935-956. </w:t>
      </w:r>
      <w:bookmarkEnd w:id="14"/>
    </w:p>
    <w:p w:rsidR="00F93E73" w:rsidRPr="00CB00F9" w:rsidRDefault="00F93E73" w:rsidP="00F93E73">
      <w:pPr>
        <w:spacing w:line="240" w:lineRule="auto"/>
        <w:ind w:left="720" w:hanging="720"/>
        <w:rPr>
          <w:noProof/>
          <w:sz w:val="22"/>
          <w:szCs w:val="22"/>
        </w:rPr>
      </w:pPr>
      <w:bookmarkStart w:id="15" w:name="_ENREF_15"/>
      <w:r w:rsidRPr="00CB00F9">
        <w:rPr>
          <w:noProof/>
          <w:sz w:val="22"/>
          <w:szCs w:val="22"/>
        </w:rPr>
        <w:t xml:space="preserve">Herold, M., &amp; Johns, T. (2007). Linking requirements with capabilities for deforestation monitoring in the context of the UNFCCC-REDD process. </w:t>
      </w:r>
      <w:r w:rsidRPr="00CB00F9">
        <w:rPr>
          <w:i/>
          <w:noProof/>
          <w:sz w:val="22"/>
          <w:szCs w:val="22"/>
        </w:rPr>
        <w:t>Environmental Research Letters, 2</w:t>
      </w:r>
      <w:r w:rsidRPr="00CB00F9">
        <w:rPr>
          <w:noProof/>
          <w:sz w:val="22"/>
          <w:szCs w:val="22"/>
        </w:rPr>
        <w:t xml:space="preserve">(4), 045025. </w:t>
      </w:r>
      <w:bookmarkEnd w:id="15"/>
    </w:p>
    <w:p w:rsidR="00F93E73" w:rsidRPr="00CB00F9" w:rsidRDefault="00F93E73" w:rsidP="00F93E73">
      <w:pPr>
        <w:spacing w:line="240" w:lineRule="auto"/>
        <w:ind w:left="720" w:hanging="720"/>
        <w:rPr>
          <w:noProof/>
          <w:sz w:val="22"/>
          <w:szCs w:val="22"/>
        </w:rPr>
      </w:pPr>
      <w:bookmarkStart w:id="16" w:name="_ENREF_16"/>
      <w:r w:rsidRPr="00CB00F9">
        <w:rPr>
          <w:noProof/>
          <w:sz w:val="22"/>
          <w:szCs w:val="22"/>
        </w:rPr>
        <w:lastRenderedPageBreak/>
        <w:t xml:space="preserve">Hoa, N. H. (2016). Using Landsat imagery and vegetation indices differencing to detect mangrove change: A case in Thai Thuy district, Thai Binh province. </w:t>
      </w:r>
      <w:r w:rsidRPr="00CB00F9">
        <w:rPr>
          <w:i/>
          <w:noProof/>
          <w:sz w:val="22"/>
          <w:szCs w:val="22"/>
        </w:rPr>
        <w:t>J. For. Sci. Technol</w:t>
      </w:r>
      <w:r w:rsidRPr="00CB00F9">
        <w:rPr>
          <w:noProof/>
          <w:sz w:val="22"/>
          <w:szCs w:val="22"/>
        </w:rPr>
        <w:t xml:space="preserve">(5), 59-66. </w:t>
      </w:r>
      <w:bookmarkEnd w:id="16"/>
    </w:p>
    <w:p w:rsidR="00F93E73" w:rsidRPr="00CB00F9" w:rsidRDefault="00F93E73" w:rsidP="00F93E73">
      <w:pPr>
        <w:spacing w:line="240" w:lineRule="auto"/>
        <w:ind w:left="720" w:hanging="720"/>
        <w:rPr>
          <w:noProof/>
          <w:sz w:val="22"/>
          <w:szCs w:val="22"/>
        </w:rPr>
      </w:pPr>
      <w:bookmarkStart w:id="17" w:name="_ENREF_17"/>
      <w:r w:rsidRPr="00CB00F9">
        <w:rPr>
          <w:noProof/>
          <w:sz w:val="22"/>
          <w:szCs w:val="22"/>
        </w:rPr>
        <w:t xml:space="preserve">Hoque, A., Sharma, S., &amp; Hagihara, A. (2011). Above and belowground carbon acquisition of mangrove Kandelia obovata trees in Manko wetland, Okinawa, Japan. </w:t>
      </w:r>
      <w:r w:rsidRPr="00CB00F9">
        <w:rPr>
          <w:i/>
          <w:noProof/>
          <w:sz w:val="22"/>
          <w:szCs w:val="22"/>
        </w:rPr>
        <w:t>International Journal of Environment, 1</w:t>
      </w:r>
      <w:r w:rsidRPr="00CB00F9">
        <w:rPr>
          <w:noProof/>
          <w:sz w:val="22"/>
          <w:szCs w:val="22"/>
        </w:rPr>
        <w:t xml:space="preserve">(1), 7-13. </w:t>
      </w:r>
      <w:bookmarkEnd w:id="17"/>
    </w:p>
    <w:p w:rsidR="00B348AF" w:rsidRDefault="00F93E73" w:rsidP="00F93E73">
      <w:pPr>
        <w:spacing w:line="240" w:lineRule="auto"/>
        <w:ind w:left="720" w:hanging="720"/>
        <w:rPr>
          <w:noProof/>
          <w:sz w:val="22"/>
          <w:szCs w:val="22"/>
        </w:rPr>
      </w:pPr>
      <w:bookmarkStart w:id="18" w:name="_ENREF_18"/>
      <w:r w:rsidRPr="00CB00F9">
        <w:rPr>
          <w:noProof/>
          <w:sz w:val="22"/>
          <w:szCs w:val="22"/>
        </w:rPr>
        <w:t xml:space="preserve">Hu, T., Zhang, Y., Su, Y., Zheng, Y., Lin, G., &amp; Guo, Q. (2020). Mapping the global mangrove forest aboveground biomass using multisource remote sensing data. </w:t>
      </w:r>
      <w:r w:rsidRPr="00CB00F9">
        <w:rPr>
          <w:i/>
          <w:noProof/>
          <w:sz w:val="22"/>
          <w:szCs w:val="22"/>
        </w:rPr>
        <w:t>Remote Sensing, 12</w:t>
      </w:r>
      <w:r w:rsidRPr="00CB00F9">
        <w:rPr>
          <w:noProof/>
          <w:sz w:val="22"/>
          <w:szCs w:val="22"/>
        </w:rPr>
        <w:t>(10), 1690.</w:t>
      </w:r>
    </w:p>
    <w:p w:rsidR="00F93E73" w:rsidRPr="00B348AF" w:rsidRDefault="00F93E73" w:rsidP="00F93E73">
      <w:pPr>
        <w:spacing w:line="240" w:lineRule="auto"/>
        <w:ind w:left="720" w:hanging="720"/>
        <w:rPr>
          <w:noProof/>
          <w:sz w:val="22"/>
          <w:szCs w:val="22"/>
        </w:rPr>
      </w:pPr>
      <w:r w:rsidRPr="00B348AF">
        <w:rPr>
          <w:noProof/>
          <w:sz w:val="22"/>
          <w:szCs w:val="22"/>
        </w:rPr>
        <w:t xml:space="preserve"> </w:t>
      </w:r>
      <w:bookmarkEnd w:id="18"/>
      <w:r w:rsidR="00B348AF" w:rsidRPr="00B348AF">
        <w:rPr>
          <w:noProof/>
          <w:sz w:val="22"/>
          <w:szCs w:val="22"/>
        </w:rPr>
        <w:t xml:space="preserve">Huete, A. R. (1988). A Soil-Adjusted Vegetation Index (SAVI). </w:t>
      </w:r>
      <w:r w:rsidR="00B348AF" w:rsidRPr="00B348AF">
        <w:rPr>
          <w:i/>
          <w:noProof/>
          <w:sz w:val="22"/>
          <w:szCs w:val="22"/>
        </w:rPr>
        <w:t>Remote Ssensing of Environment</w:t>
      </w:r>
      <w:r w:rsidR="00B348AF" w:rsidRPr="00B348AF">
        <w:rPr>
          <w:noProof/>
          <w:sz w:val="22"/>
          <w:szCs w:val="22"/>
        </w:rPr>
        <w:t xml:space="preserve">, </w:t>
      </w:r>
      <w:r w:rsidR="00B348AF" w:rsidRPr="00B348AF">
        <w:rPr>
          <w:i/>
          <w:noProof/>
          <w:sz w:val="22"/>
          <w:szCs w:val="22"/>
        </w:rPr>
        <w:t>25</w:t>
      </w:r>
      <w:r w:rsidR="00B348AF" w:rsidRPr="00B348AF">
        <w:rPr>
          <w:noProof/>
          <w:sz w:val="22"/>
          <w:szCs w:val="22"/>
        </w:rPr>
        <w:t>, 295-309.</w:t>
      </w:r>
    </w:p>
    <w:p w:rsidR="00F93E73" w:rsidRPr="00CB00F9" w:rsidRDefault="00F93E73" w:rsidP="00F93E73">
      <w:pPr>
        <w:spacing w:line="240" w:lineRule="auto"/>
        <w:ind w:left="720" w:hanging="720"/>
        <w:rPr>
          <w:noProof/>
          <w:sz w:val="22"/>
          <w:szCs w:val="22"/>
        </w:rPr>
      </w:pPr>
      <w:bookmarkStart w:id="19" w:name="_ENREF_19"/>
      <w:r w:rsidRPr="00E334C1">
        <w:rPr>
          <w:noProof/>
          <w:sz w:val="22"/>
          <w:szCs w:val="22"/>
        </w:rPr>
        <w:t xml:space="preserve">Hutchison, J., Manica, A., Swetnam, R., Balmford, A., &amp; Spalding, M. (2014). Predicting Global Patterns in Mangrove Forest Biomass. </w:t>
      </w:r>
      <w:r w:rsidRPr="00CB00F9">
        <w:rPr>
          <w:i/>
          <w:noProof/>
          <w:sz w:val="22"/>
          <w:szCs w:val="22"/>
        </w:rPr>
        <w:t>Conservation Letters, 7</w:t>
      </w:r>
      <w:r w:rsidRPr="00CB00F9">
        <w:rPr>
          <w:noProof/>
          <w:sz w:val="22"/>
          <w:szCs w:val="22"/>
        </w:rPr>
        <w:t>(3), 233-240. doi: 10.1111/conl.12060</w:t>
      </w:r>
      <w:bookmarkEnd w:id="19"/>
    </w:p>
    <w:p w:rsidR="00F93E73" w:rsidRPr="00CB00F9" w:rsidRDefault="00F93E73" w:rsidP="00F93E73">
      <w:pPr>
        <w:spacing w:line="240" w:lineRule="auto"/>
        <w:ind w:left="720" w:hanging="720"/>
        <w:rPr>
          <w:noProof/>
          <w:sz w:val="22"/>
          <w:szCs w:val="22"/>
        </w:rPr>
      </w:pPr>
      <w:bookmarkStart w:id="20" w:name="_ENREF_20"/>
      <w:r w:rsidRPr="00CB00F9">
        <w:rPr>
          <w:noProof/>
          <w:sz w:val="22"/>
          <w:szCs w:val="22"/>
        </w:rPr>
        <w:t xml:space="preserve">Iqbal, M. H. (2020). Valuing ecosystem services of Sundarbans Mangrove forest: Approach of choice experiment. </w:t>
      </w:r>
      <w:r w:rsidRPr="00CB00F9">
        <w:rPr>
          <w:i/>
          <w:noProof/>
          <w:sz w:val="22"/>
          <w:szCs w:val="22"/>
        </w:rPr>
        <w:t>Global Ecology and Conservation, 24</w:t>
      </w:r>
      <w:r w:rsidRPr="00CB00F9">
        <w:rPr>
          <w:noProof/>
          <w:sz w:val="22"/>
          <w:szCs w:val="22"/>
        </w:rPr>
        <w:t xml:space="preserve">, e01273. </w:t>
      </w:r>
      <w:bookmarkEnd w:id="20"/>
    </w:p>
    <w:p w:rsidR="00F93E73" w:rsidRPr="00CB00F9" w:rsidRDefault="00F93E73" w:rsidP="00F93E73">
      <w:pPr>
        <w:spacing w:line="240" w:lineRule="auto"/>
        <w:ind w:left="720" w:hanging="720"/>
        <w:rPr>
          <w:noProof/>
          <w:sz w:val="22"/>
          <w:szCs w:val="22"/>
        </w:rPr>
      </w:pPr>
      <w:bookmarkStart w:id="21" w:name="_ENREF_21"/>
      <w:r w:rsidRPr="00CB00F9">
        <w:rPr>
          <w:noProof/>
          <w:sz w:val="22"/>
          <w:szCs w:val="22"/>
        </w:rPr>
        <w:t xml:space="preserve">Jachowski, N. R., Quak, M. S., Friess, D. A., Duangnamon, D., Webb, E. L., &amp; Ziegler, A. D. (2013). Mangrove biomass estimation in Southwest Thailand using machine learning. </w:t>
      </w:r>
      <w:r w:rsidRPr="00CB00F9">
        <w:rPr>
          <w:i/>
          <w:noProof/>
          <w:sz w:val="22"/>
          <w:szCs w:val="22"/>
        </w:rPr>
        <w:t>Applied Geography, 45</w:t>
      </w:r>
      <w:r w:rsidRPr="00CB00F9">
        <w:rPr>
          <w:noProof/>
          <w:sz w:val="22"/>
          <w:szCs w:val="22"/>
        </w:rPr>
        <w:t xml:space="preserve">, 311-321. </w:t>
      </w:r>
      <w:bookmarkEnd w:id="21"/>
    </w:p>
    <w:p w:rsidR="00971393" w:rsidRPr="00971393" w:rsidRDefault="00971393" w:rsidP="00F93E73">
      <w:pPr>
        <w:spacing w:line="240" w:lineRule="auto"/>
        <w:ind w:left="720" w:hanging="720"/>
        <w:rPr>
          <w:noProof/>
          <w:sz w:val="22"/>
          <w:szCs w:val="22"/>
        </w:rPr>
      </w:pPr>
      <w:r w:rsidRPr="00971393">
        <w:rPr>
          <w:noProof/>
          <w:sz w:val="22"/>
          <w:szCs w:val="22"/>
        </w:rPr>
        <w:t xml:space="preserve">Jordan, C. F. (1969). Derivation of leaf‐area index from quality of light on the forest floor. </w:t>
      </w:r>
      <w:r w:rsidRPr="00971393">
        <w:rPr>
          <w:i/>
          <w:noProof/>
          <w:sz w:val="22"/>
          <w:szCs w:val="22"/>
        </w:rPr>
        <w:t>Ecology</w:t>
      </w:r>
      <w:r w:rsidRPr="00971393">
        <w:rPr>
          <w:noProof/>
          <w:sz w:val="22"/>
          <w:szCs w:val="22"/>
        </w:rPr>
        <w:t xml:space="preserve">, </w:t>
      </w:r>
      <w:r w:rsidRPr="00971393">
        <w:rPr>
          <w:i/>
          <w:noProof/>
          <w:sz w:val="22"/>
          <w:szCs w:val="22"/>
        </w:rPr>
        <w:t>50</w:t>
      </w:r>
      <w:r w:rsidRPr="00971393">
        <w:rPr>
          <w:noProof/>
          <w:sz w:val="22"/>
          <w:szCs w:val="22"/>
        </w:rPr>
        <w:t>(4), 663-666.</w:t>
      </w:r>
    </w:p>
    <w:p w:rsidR="00F93E73" w:rsidRPr="00CB00F9" w:rsidRDefault="00F93E73" w:rsidP="00F93E73">
      <w:pPr>
        <w:spacing w:line="240" w:lineRule="auto"/>
        <w:ind w:left="720" w:hanging="720"/>
        <w:rPr>
          <w:noProof/>
          <w:sz w:val="22"/>
          <w:szCs w:val="22"/>
        </w:rPr>
      </w:pPr>
      <w:bookmarkStart w:id="22" w:name="_ENREF_23"/>
      <w:r w:rsidRPr="00CB00F9">
        <w:rPr>
          <w:noProof/>
          <w:sz w:val="22"/>
          <w:szCs w:val="22"/>
        </w:rPr>
        <w:t xml:space="preserve">Kganyago, M., Mhangara, P., Alexandridis, T., Laneve, G., Ovakoglou, G., &amp; Mashiyi, N. (2020). Validation of sentinel-2 leaf area index (LAI) product derived from SNAP toolbox and its comparison with global LAI products in an African semi-arid agricultural landscape. </w:t>
      </w:r>
      <w:r w:rsidRPr="00CB00F9">
        <w:rPr>
          <w:i/>
          <w:noProof/>
          <w:sz w:val="22"/>
          <w:szCs w:val="22"/>
        </w:rPr>
        <w:t>Remote Sensing Letters, 11</w:t>
      </w:r>
      <w:r w:rsidRPr="00CB00F9">
        <w:rPr>
          <w:noProof/>
          <w:sz w:val="22"/>
          <w:szCs w:val="22"/>
        </w:rPr>
        <w:t>(10), 883-892. doi: 10.1080/2150704X.2020.1767823</w:t>
      </w:r>
      <w:bookmarkEnd w:id="22"/>
    </w:p>
    <w:p w:rsidR="00F93E73" w:rsidRPr="00CB00F9" w:rsidRDefault="00F93E73" w:rsidP="00F93E73">
      <w:pPr>
        <w:spacing w:line="240" w:lineRule="auto"/>
        <w:ind w:left="720" w:hanging="720"/>
        <w:rPr>
          <w:noProof/>
          <w:sz w:val="22"/>
          <w:szCs w:val="22"/>
        </w:rPr>
      </w:pPr>
      <w:bookmarkStart w:id="23" w:name="_ENREF_24"/>
      <w:r w:rsidRPr="00CB00F9">
        <w:rPr>
          <w:noProof/>
          <w:sz w:val="22"/>
          <w:szCs w:val="22"/>
        </w:rPr>
        <w:t xml:space="preserve">Kurvonen, L., Pulliainen, J., &amp; Hallikainen, M. (1999). Retrieval of biomass in boreal forests from multitemporal ERS-1 and JERS-1 SAR images. </w:t>
      </w:r>
      <w:r w:rsidRPr="00CB00F9">
        <w:rPr>
          <w:i/>
          <w:noProof/>
          <w:sz w:val="22"/>
          <w:szCs w:val="22"/>
        </w:rPr>
        <w:t>IEEE Transactions on Geoscience and Remote Sensing, 37</w:t>
      </w:r>
      <w:r w:rsidRPr="00CB00F9">
        <w:rPr>
          <w:noProof/>
          <w:sz w:val="22"/>
          <w:szCs w:val="22"/>
        </w:rPr>
        <w:t xml:space="preserve">(1), 198-205. </w:t>
      </w:r>
      <w:bookmarkEnd w:id="23"/>
    </w:p>
    <w:p w:rsidR="00F93E73" w:rsidRPr="00CB00F9" w:rsidRDefault="00F93E73" w:rsidP="00F93E73">
      <w:pPr>
        <w:spacing w:line="240" w:lineRule="auto"/>
        <w:ind w:left="720" w:hanging="720"/>
        <w:rPr>
          <w:noProof/>
          <w:sz w:val="22"/>
          <w:szCs w:val="22"/>
        </w:rPr>
      </w:pPr>
      <w:bookmarkStart w:id="24" w:name="_ENREF_25"/>
      <w:r w:rsidRPr="00CB00F9">
        <w:rPr>
          <w:noProof/>
          <w:sz w:val="22"/>
          <w:szCs w:val="22"/>
        </w:rPr>
        <w:t xml:space="preserve">Laffoley, D., &amp; Grimsditch, G. D. (2009). </w:t>
      </w:r>
      <w:r w:rsidRPr="00CB00F9">
        <w:rPr>
          <w:i/>
          <w:noProof/>
          <w:sz w:val="22"/>
          <w:szCs w:val="22"/>
        </w:rPr>
        <w:t>The management of natural coastal carbon sinks</w:t>
      </w:r>
      <w:r w:rsidRPr="00CB00F9">
        <w:rPr>
          <w:noProof/>
          <w:sz w:val="22"/>
          <w:szCs w:val="22"/>
        </w:rPr>
        <w:t>: Iucn.</w:t>
      </w:r>
      <w:bookmarkEnd w:id="24"/>
    </w:p>
    <w:p w:rsidR="00F93E73" w:rsidRPr="00CB00F9" w:rsidRDefault="00F93E73" w:rsidP="00F93E73">
      <w:pPr>
        <w:spacing w:line="240" w:lineRule="auto"/>
        <w:ind w:left="720" w:hanging="720"/>
        <w:rPr>
          <w:noProof/>
          <w:sz w:val="22"/>
          <w:szCs w:val="22"/>
        </w:rPr>
      </w:pPr>
      <w:bookmarkStart w:id="25" w:name="_ENREF_26"/>
      <w:r w:rsidRPr="00CB00F9">
        <w:rPr>
          <w:noProof/>
          <w:sz w:val="22"/>
          <w:szCs w:val="22"/>
        </w:rPr>
        <w:t xml:space="preserve">Loan, N. T. N., Van Tan, D., Huyen, T. T. T., Quang, N. H., Hue, L. T. V., Nga, P. T. T., . . . Hackney, C. (2020). Comparison of several secondary metabolite and elemental ion contents of leaves from Kandelia obovata and Sonneratia caseolaris forests located in the Red River Delta. </w:t>
      </w:r>
      <w:r w:rsidRPr="00CB00F9">
        <w:rPr>
          <w:i/>
          <w:noProof/>
          <w:sz w:val="22"/>
          <w:szCs w:val="22"/>
        </w:rPr>
        <w:t>Academia Journal of Biology</w:t>
      </w:r>
      <w:r w:rsidRPr="00CB00F9">
        <w:rPr>
          <w:noProof/>
          <w:sz w:val="22"/>
          <w:szCs w:val="22"/>
        </w:rPr>
        <w:t xml:space="preserve">, 87-99. </w:t>
      </w:r>
      <w:bookmarkEnd w:id="25"/>
    </w:p>
    <w:p w:rsidR="00F93E73" w:rsidRPr="00CB00F9" w:rsidRDefault="00F93E73" w:rsidP="00F93E73">
      <w:pPr>
        <w:spacing w:line="240" w:lineRule="auto"/>
        <w:ind w:left="720" w:hanging="720"/>
        <w:rPr>
          <w:noProof/>
          <w:sz w:val="22"/>
          <w:szCs w:val="22"/>
        </w:rPr>
      </w:pPr>
      <w:bookmarkStart w:id="26" w:name="_ENREF_27"/>
      <w:r w:rsidRPr="00CB00F9">
        <w:rPr>
          <w:noProof/>
          <w:sz w:val="22"/>
          <w:szCs w:val="22"/>
        </w:rPr>
        <w:t xml:space="preserve">Lu, D. (2006). The potential and challenge of remote sensing‐based biomass estimation. </w:t>
      </w:r>
      <w:r w:rsidRPr="00CB00F9">
        <w:rPr>
          <w:i/>
          <w:noProof/>
          <w:sz w:val="22"/>
          <w:szCs w:val="22"/>
        </w:rPr>
        <w:t>International journal of remote sensing, 27</w:t>
      </w:r>
      <w:r w:rsidRPr="00CB00F9">
        <w:rPr>
          <w:noProof/>
          <w:sz w:val="22"/>
          <w:szCs w:val="22"/>
        </w:rPr>
        <w:t xml:space="preserve">(7), 1297-1328. </w:t>
      </w:r>
      <w:bookmarkEnd w:id="26"/>
    </w:p>
    <w:p w:rsidR="00F93E73" w:rsidRPr="00CB00F9" w:rsidRDefault="00F93E73" w:rsidP="00F93E73">
      <w:pPr>
        <w:spacing w:line="240" w:lineRule="auto"/>
        <w:ind w:left="720" w:hanging="720"/>
        <w:rPr>
          <w:noProof/>
          <w:sz w:val="22"/>
          <w:szCs w:val="22"/>
        </w:rPr>
      </w:pPr>
      <w:bookmarkStart w:id="27" w:name="_ENREF_28"/>
      <w:r w:rsidRPr="00CB00F9">
        <w:rPr>
          <w:noProof/>
          <w:sz w:val="22"/>
          <w:szCs w:val="22"/>
        </w:rPr>
        <w:t xml:space="preserve">Macintosh, D. J., &amp; Ashton, E. C. (2002). A review of mangrove biodiversity conservation and management. </w:t>
      </w:r>
      <w:r w:rsidRPr="00CB00F9">
        <w:rPr>
          <w:i/>
          <w:noProof/>
          <w:sz w:val="22"/>
          <w:szCs w:val="22"/>
        </w:rPr>
        <w:t>Centre for tropical ecosystems research, University of Aarhus, Denmark</w:t>
      </w:r>
      <w:r w:rsidRPr="00CB00F9">
        <w:rPr>
          <w:noProof/>
          <w:sz w:val="22"/>
          <w:szCs w:val="22"/>
        </w:rPr>
        <w:t xml:space="preserve">. </w:t>
      </w:r>
      <w:bookmarkEnd w:id="27"/>
    </w:p>
    <w:p w:rsidR="00F93E73" w:rsidRPr="00CB00F9" w:rsidRDefault="00F93E73" w:rsidP="00F93E73">
      <w:pPr>
        <w:spacing w:line="240" w:lineRule="auto"/>
        <w:ind w:left="720" w:hanging="720"/>
        <w:rPr>
          <w:noProof/>
          <w:sz w:val="22"/>
          <w:szCs w:val="22"/>
        </w:rPr>
      </w:pPr>
      <w:bookmarkStart w:id="28" w:name="_ENREF_29"/>
      <w:r w:rsidRPr="00CB00F9">
        <w:rPr>
          <w:noProof/>
          <w:sz w:val="22"/>
          <w:szCs w:val="22"/>
        </w:rPr>
        <w:t xml:space="preserve">Marill, K. A. (2004). Advanced statistics: linear regression, part II: multiple linear regression. </w:t>
      </w:r>
      <w:r w:rsidRPr="00CB00F9">
        <w:rPr>
          <w:i/>
          <w:noProof/>
          <w:sz w:val="22"/>
          <w:szCs w:val="22"/>
        </w:rPr>
        <w:t>Academic emergency medicine, 11</w:t>
      </w:r>
      <w:r w:rsidRPr="00CB00F9">
        <w:rPr>
          <w:noProof/>
          <w:sz w:val="22"/>
          <w:szCs w:val="22"/>
        </w:rPr>
        <w:t xml:space="preserve">(1), 94-102. </w:t>
      </w:r>
      <w:bookmarkEnd w:id="28"/>
    </w:p>
    <w:p w:rsidR="00F93E73" w:rsidRPr="00CB00F9" w:rsidRDefault="00F93E73" w:rsidP="00F93E73">
      <w:pPr>
        <w:spacing w:line="240" w:lineRule="auto"/>
        <w:ind w:left="720" w:hanging="720"/>
        <w:rPr>
          <w:noProof/>
          <w:sz w:val="22"/>
          <w:szCs w:val="22"/>
        </w:rPr>
      </w:pPr>
      <w:bookmarkStart w:id="29" w:name="_ENREF_30"/>
      <w:r w:rsidRPr="00CB00F9">
        <w:rPr>
          <w:noProof/>
          <w:sz w:val="22"/>
          <w:szCs w:val="22"/>
        </w:rPr>
        <w:t xml:space="preserve">Maxwell, A. E., Warner, T. A., &amp; Fang, F. (2018). Implementation of machine-learning classification in remote sensing: An applied review. </w:t>
      </w:r>
      <w:r w:rsidRPr="00CB00F9">
        <w:rPr>
          <w:i/>
          <w:noProof/>
          <w:sz w:val="22"/>
          <w:szCs w:val="22"/>
        </w:rPr>
        <w:t>International Journal of Remote Sensing, 39</w:t>
      </w:r>
      <w:r w:rsidRPr="00CB00F9">
        <w:rPr>
          <w:noProof/>
          <w:sz w:val="22"/>
          <w:szCs w:val="22"/>
        </w:rPr>
        <w:t xml:space="preserve">(9), 2784-2817. </w:t>
      </w:r>
      <w:bookmarkEnd w:id="29"/>
    </w:p>
    <w:p w:rsidR="00F93E73" w:rsidRPr="00CB00F9" w:rsidRDefault="00F93E73" w:rsidP="00F93E73">
      <w:pPr>
        <w:spacing w:line="240" w:lineRule="auto"/>
        <w:ind w:left="720" w:hanging="720"/>
        <w:rPr>
          <w:noProof/>
          <w:sz w:val="22"/>
          <w:szCs w:val="22"/>
        </w:rPr>
      </w:pPr>
      <w:bookmarkStart w:id="30" w:name="_ENREF_31"/>
      <w:r w:rsidRPr="00CB00F9">
        <w:rPr>
          <w:noProof/>
          <w:sz w:val="22"/>
          <w:szCs w:val="22"/>
        </w:rPr>
        <w:t xml:space="preserve">Mazda, Y., Magi, M., Kogo, M., &amp; Hong, P. N. (1997). Mangroves as a coastal protection from waves in the Tong King delta, Vietnam. </w:t>
      </w:r>
      <w:r w:rsidRPr="00CB00F9">
        <w:rPr>
          <w:i/>
          <w:noProof/>
          <w:sz w:val="22"/>
          <w:szCs w:val="22"/>
        </w:rPr>
        <w:t>Mangroves and Salt marshes, 1</w:t>
      </w:r>
      <w:r w:rsidRPr="00CB00F9">
        <w:rPr>
          <w:noProof/>
          <w:sz w:val="22"/>
          <w:szCs w:val="22"/>
        </w:rPr>
        <w:t xml:space="preserve">(2), 127-135. </w:t>
      </w:r>
      <w:bookmarkEnd w:id="30"/>
    </w:p>
    <w:p w:rsidR="00F93E73" w:rsidRPr="00CB00F9" w:rsidRDefault="00F93E73" w:rsidP="00F93E73">
      <w:pPr>
        <w:spacing w:line="240" w:lineRule="auto"/>
        <w:ind w:left="720" w:hanging="720"/>
        <w:rPr>
          <w:noProof/>
          <w:sz w:val="22"/>
          <w:szCs w:val="22"/>
        </w:rPr>
      </w:pPr>
      <w:bookmarkStart w:id="31" w:name="_ENREF_32"/>
      <w:r w:rsidRPr="00CB00F9">
        <w:rPr>
          <w:noProof/>
          <w:sz w:val="22"/>
          <w:szCs w:val="22"/>
        </w:rPr>
        <w:t xml:space="preserve">Menéndez, P., Losada, I. J., Torres-Ortega, S., Narayan, S., &amp; Beck, M. W. (2020). The global flood protection benefits of mangroves. </w:t>
      </w:r>
      <w:r w:rsidRPr="00CB00F9">
        <w:rPr>
          <w:i/>
          <w:noProof/>
          <w:sz w:val="22"/>
          <w:szCs w:val="22"/>
        </w:rPr>
        <w:t>Scientific reports, 10</w:t>
      </w:r>
      <w:r w:rsidRPr="00CB00F9">
        <w:rPr>
          <w:noProof/>
          <w:sz w:val="22"/>
          <w:szCs w:val="22"/>
        </w:rPr>
        <w:t xml:space="preserve">(1), 1-11. </w:t>
      </w:r>
      <w:bookmarkEnd w:id="31"/>
    </w:p>
    <w:p w:rsidR="00F93E73" w:rsidRPr="00CB00F9" w:rsidRDefault="00F93E73" w:rsidP="00F93E73">
      <w:pPr>
        <w:spacing w:line="240" w:lineRule="auto"/>
        <w:ind w:left="720" w:hanging="720"/>
        <w:rPr>
          <w:noProof/>
          <w:sz w:val="22"/>
          <w:szCs w:val="22"/>
        </w:rPr>
      </w:pPr>
      <w:bookmarkStart w:id="32" w:name="_ENREF_33"/>
      <w:r w:rsidRPr="00CB00F9">
        <w:rPr>
          <w:noProof/>
          <w:sz w:val="22"/>
          <w:szCs w:val="22"/>
        </w:rPr>
        <w:t xml:space="preserve">Ou, G., Li, C., Lv, Y., Wei, A., Xiong, H., Xu, H., &amp; Wang, G. (2019). Improving aboveground biomass estimation of Pinus densata forests in Yunnan using Landsat 8 imagery by incorporating age dummy variable and method comparison. </w:t>
      </w:r>
      <w:r w:rsidRPr="00CB00F9">
        <w:rPr>
          <w:i/>
          <w:noProof/>
          <w:sz w:val="22"/>
          <w:szCs w:val="22"/>
        </w:rPr>
        <w:t>Remote Sensing, 11</w:t>
      </w:r>
      <w:r w:rsidRPr="00CB00F9">
        <w:rPr>
          <w:noProof/>
          <w:sz w:val="22"/>
          <w:szCs w:val="22"/>
        </w:rPr>
        <w:t xml:space="preserve">(7), 738. </w:t>
      </w:r>
      <w:bookmarkEnd w:id="32"/>
    </w:p>
    <w:p w:rsidR="00F93E73" w:rsidRPr="00CB00F9" w:rsidRDefault="00F93E73" w:rsidP="00F93E73">
      <w:pPr>
        <w:spacing w:line="240" w:lineRule="auto"/>
        <w:ind w:left="720" w:hanging="720"/>
        <w:rPr>
          <w:noProof/>
          <w:sz w:val="22"/>
          <w:szCs w:val="22"/>
        </w:rPr>
      </w:pPr>
      <w:bookmarkStart w:id="33" w:name="_ENREF_34"/>
      <w:r w:rsidRPr="00CB00F9">
        <w:rPr>
          <w:noProof/>
          <w:sz w:val="22"/>
          <w:szCs w:val="22"/>
        </w:rPr>
        <w:t>Pham, M. H., Do, T. H., Pham, V.-M., &amp; Bui, Q.-T. (2020</w:t>
      </w:r>
      <w:r w:rsidR="00FE3964">
        <w:rPr>
          <w:noProof/>
          <w:sz w:val="22"/>
          <w:szCs w:val="22"/>
        </w:rPr>
        <w:t>a</w:t>
      </w:r>
      <w:r w:rsidRPr="00FE3964">
        <w:rPr>
          <w:noProof/>
          <w:sz w:val="22"/>
          <w:szCs w:val="22"/>
        </w:rPr>
        <w:t>). Mangrove forest classification and aboveground biomass estimation using an atom searc</w:t>
      </w:r>
      <w:r w:rsidRPr="00CB00F9">
        <w:rPr>
          <w:noProof/>
          <w:sz w:val="22"/>
          <w:szCs w:val="22"/>
        </w:rPr>
        <w:t xml:space="preserve">h algorithm and adaptive neuro-fuzzy inference system. </w:t>
      </w:r>
      <w:r w:rsidRPr="00CB00F9">
        <w:rPr>
          <w:i/>
          <w:noProof/>
          <w:sz w:val="22"/>
          <w:szCs w:val="22"/>
        </w:rPr>
        <w:t>Plos one, 15</w:t>
      </w:r>
      <w:r w:rsidRPr="00CB00F9">
        <w:rPr>
          <w:noProof/>
          <w:sz w:val="22"/>
          <w:szCs w:val="22"/>
        </w:rPr>
        <w:t xml:space="preserve">(5), e0233110. </w:t>
      </w:r>
      <w:bookmarkEnd w:id="33"/>
    </w:p>
    <w:p w:rsidR="00F93E73" w:rsidRPr="00CB00F9" w:rsidRDefault="00F93E73" w:rsidP="00F93E73">
      <w:pPr>
        <w:spacing w:line="240" w:lineRule="auto"/>
        <w:ind w:left="720" w:hanging="720"/>
        <w:rPr>
          <w:noProof/>
          <w:sz w:val="22"/>
          <w:szCs w:val="22"/>
        </w:rPr>
      </w:pPr>
      <w:bookmarkStart w:id="34" w:name="_ENREF_35"/>
      <w:r w:rsidRPr="00CB00F9">
        <w:rPr>
          <w:noProof/>
          <w:sz w:val="22"/>
          <w:szCs w:val="22"/>
        </w:rPr>
        <w:t xml:space="preserve">Pham, Q. T. (2007). An analysis of soil characteristics for agricultural land use orientation in Thai Thuy District, Thai Binh Province. </w:t>
      </w:r>
      <w:bookmarkEnd w:id="34"/>
    </w:p>
    <w:p w:rsidR="00F93E73" w:rsidRPr="00CB00F9" w:rsidRDefault="00F93E73" w:rsidP="00F93E73">
      <w:pPr>
        <w:spacing w:line="240" w:lineRule="auto"/>
        <w:ind w:left="720" w:hanging="720"/>
        <w:rPr>
          <w:noProof/>
          <w:sz w:val="22"/>
          <w:szCs w:val="22"/>
        </w:rPr>
      </w:pPr>
      <w:bookmarkStart w:id="35" w:name="_ENREF_36"/>
      <w:r w:rsidRPr="00CB00F9">
        <w:rPr>
          <w:noProof/>
          <w:sz w:val="22"/>
          <w:szCs w:val="22"/>
        </w:rPr>
        <w:lastRenderedPageBreak/>
        <w:t xml:space="preserve">Pham, T. D., Yokoya, N., Bui, D. T., Yoshino, K., &amp; Friess, D. A. (2019). Remote sensing approaches for monitoring mangrove species, structure, and biomass: Opportunities and challenges. </w:t>
      </w:r>
      <w:r w:rsidRPr="00CB00F9">
        <w:rPr>
          <w:i/>
          <w:noProof/>
          <w:sz w:val="22"/>
          <w:szCs w:val="22"/>
        </w:rPr>
        <w:t>Remote Sensing, 11</w:t>
      </w:r>
      <w:r w:rsidRPr="00CB00F9">
        <w:rPr>
          <w:noProof/>
          <w:sz w:val="22"/>
          <w:szCs w:val="22"/>
        </w:rPr>
        <w:t xml:space="preserve">(3), 230. </w:t>
      </w:r>
      <w:bookmarkEnd w:id="35"/>
    </w:p>
    <w:p w:rsidR="00F93E73" w:rsidRPr="00CB00F9" w:rsidRDefault="00F93E73" w:rsidP="00F93E73">
      <w:pPr>
        <w:spacing w:line="240" w:lineRule="auto"/>
        <w:ind w:left="720" w:hanging="720"/>
        <w:rPr>
          <w:noProof/>
          <w:sz w:val="22"/>
          <w:szCs w:val="22"/>
        </w:rPr>
      </w:pPr>
      <w:bookmarkStart w:id="36" w:name="_ENREF_37"/>
      <w:r w:rsidRPr="00CB00F9">
        <w:rPr>
          <w:noProof/>
          <w:sz w:val="22"/>
          <w:szCs w:val="22"/>
        </w:rPr>
        <w:t>Pham, T. D., Yokoya, N., Xia, J., Ha, N. T., Le, N. N., Nguyen, T. T. T., . . . Takeuchi, W. (2020</w:t>
      </w:r>
      <w:r w:rsidR="00FE3964">
        <w:rPr>
          <w:noProof/>
          <w:sz w:val="22"/>
          <w:szCs w:val="22"/>
        </w:rPr>
        <w:t>b</w:t>
      </w:r>
      <w:r w:rsidRPr="00FE3964">
        <w:rPr>
          <w:noProof/>
          <w:sz w:val="22"/>
          <w:szCs w:val="22"/>
        </w:rPr>
        <w:t xml:space="preserve">). Comparison of Machine Learning Methods for Estimating Mangrove Above-Ground Biomass Using Multiple Source Remote Sensing Data in the Red River Delta Biosphere Reserve, Vietnam. </w:t>
      </w:r>
      <w:r w:rsidRPr="00CB00F9">
        <w:rPr>
          <w:i/>
          <w:noProof/>
          <w:sz w:val="22"/>
          <w:szCs w:val="22"/>
        </w:rPr>
        <w:t>Remote Sensing, 12</w:t>
      </w:r>
      <w:r w:rsidRPr="00CB00F9">
        <w:rPr>
          <w:noProof/>
          <w:sz w:val="22"/>
          <w:szCs w:val="22"/>
        </w:rPr>
        <w:t xml:space="preserve">(8), 1334. </w:t>
      </w:r>
      <w:bookmarkEnd w:id="36"/>
    </w:p>
    <w:p w:rsidR="00F93E73" w:rsidRPr="00CB00F9" w:rsidRDefault="00F93E73" w:rsidP="00F93E73">
      <w:pPr>
        <w:spacing w:line="240" w:lineRule="auto"/>
        <w:ind w:left="720" w:hanging="720"/>
        <w:rPr>
          <w:noProof/>
          <w:sz w:val="22"/>
          <w:szCs w:val="22"/>
        </w:rPr>
      </w:pPr>
      <w:bookmarkStart w:id="37" w:name="_ENREF_38"/>
      <w:r w:rsidRPr="00CB00F9">
        <w:rPr>
          <w:noProof/>
          <w:sz w:val="22"/>
          <w:szCs w:val="22"/>
        </w:rPr>
        <w:t xml:space="preserve">Pham, T. D., Yoshino, K., Le, N. N., &amp; Bui, D. T. (2018). Estimating aboveground biomass of a mangrove plantation on the Northern coast of Vietnam using machine learning techniques with an integration of ALOS-2 PALSAR-2 and Sentinel-2A data. </w:t>
      </w:r>
      <w:r w:rsidRPr="00CB00F9">
        <w:rPr>
          <w:i/>
          <w:noProof/>
          <w:sz w:val="22"/>
          <w:szCs w:val="22"/>
        </w:rPr>
        <w:t>International journal of remote sensing, 39</w:t>
      </w:r>
      <w:r w:rsidRPr="00CB00F9">
        <w:rPr>
          <w:noProof/>
          <w:sz w:val="22"/>
          <w:szCs w:val="22"/>
        </w:rPr>
        <w:t xml:space="preserve">(22), 7761-7788. </w:t>
      </w:r>
      <w:bookmarkEnd w:id="37"/>
    </w:p>
    <w:p w:rsidR="00F93E73" w:rsidRPr="00CB00F9" w:rsidRDefault="00F93E73" w:rsidP="00F93E73">
      <w:pPr>
        <w:spacing w:line="240" w:lineRule="auto"/>
        <w:ind w:left="720" w:hanging="720"/>
        <w:rPr>
          <w:noProof/>
          <w:sz w:val="22"/>
          <w:szCs w:val="22"/>
        </w:rPr>
      </w:pPr>
      <w:bookmarkStart w:id="38" w:name="_ENREF_39"/>
      <w:r w:rsidRPr="00CB00F9">
        <w:rPr>
          <w:noProof/>
          <w:sz w:val="22"/>
          <w:szCs w:val="22"/>
        </w:rPr>
        <w:t xml:space="preserve">Powell, N., Osbeck, M., Tan, S. B., &amp; Toan, V. C. (2011). Mangrove restoration and rehabilitation for climate change adaptation in Vietnam. </w:t>
      </w:r>
      <w:r w:rsidRPr="00CB00F9">
        <w:rPr>
          <w:i/>
          <w:noProof/>
          <w:sz w:val="22"/>
          <w:szCs w:val="22"/>
        </w:rPr>
        <w:t xml:space="preserve">World Resources Report Case Study. World Resources Report, Washington DC. URL: </w:t>
      </w:r>
      <w:hyperlink r:id="rId17" w:history="1">
        <w:r w:rsidRPr="00CB00F9">
          <w:rPr>
            <w:i/>
            <w:noProof/>
            <w:sz w:val="22"/>
            <w:szCs w:val="22"/>
          </w:rPr>
          <w:t>http://www</w:t>
        </w:r>
      </w:hyperlink>
      <w:r w:rsidRPr="00CB00F9">
        <w:rPr>
          <w:i/>
          <w:noProof/>
          <w:sz w:val="22"/>
          <w:szCs w:val="22"/>
        </w:rPr>
        <w:t>. worldresourcesreport. org</w:t>
      </w:r>
      <w:r w:rsidRPr="00CB00F9">
        <w:rPr>
          <w:noProof/>
          <w:sz w:val="22"/>
          <w:szCs w:val="22"/>
        </w:rPr>
        <w:t xml:space="preserve">. </w:t>
      </w:r>
      <w:bookmarkEnd w:id="38"/>
    </w:p>
    <w:p w:rsidR="00F93E73" w:rsidRPr="00CB00F9" w:rsidRDefault="00F93E73" w:rsidP="00F93E73">
      <w:pPr>
        <w:spacing w:line="240" w:lineRule="auto"/>
        <w:ind w:left="720" w:hanging="720"/>
        <w:rPr>
          <w:noProof/>
          <w:sz w:val="22"/>
          <w:szCs w:val="22"/>
        </w:rPr>
      </w:pPr>
      <w:bookmarkStart w:id="39" w:name="_ENREF_40"/>
      <w:r w:rsidRPr="00CB00F9">
        <w:rPr>
          <w:noProof/>
          <w:sz w:val="22"/>
          <w:szCs w:val="22"/>
        </w:rPr>
        <w:t xml:space="preserve">Proisy, C., Couteron, P., &amp; Fromard, F. (2007). Predicting and mapping mangrove biomass from canopy grain analysis using Fourier-based textural ordination of IKONOS images. </w:t>
      </w:r>
      <w:r w:rsidRPr="00CB00F9">
        <w:rPr>
          <w:i/>
          <w:noProof/>
          <w:sz w:val="22"/>
          <w:szCs w:val="22"/>
        </w:rPr>
        <w:t>Remote sensing of Environment, 109</w:t>
      </w:r>
      <w:r w:rsidRPr="00CB00F9">
        <w:rPr>
          <w:noProof/>
          <w:sz w:val="22"/>
          <w:szCs w:val="22"/>
        </w:rPr>
        <w:t xml:space="preserve">(3), 379-392. </w:t>
      </w:r>
      <w:bookmarkEnd w:id="39"/>
    </w:p>
    <w:p w:rsidR="00F93E73" w:rsidRPr="00CB00F9" w:rsidRDefault="00F93E73" w:rsidP="00F93E73">
      <w:pPr>
        <w:spacing w:line="240" w:lineRule="auto"/>
        <w:ind w:left="720" w:hanging="720"/>
        <w:rPr>
          <w:noProof/>
          <w:sz w:val="22"/>
          <w:szCs w:val="22"/>
        </w:rPr>
      </w:pPr>
      <w:bookmarkStart w:id="40" w:name="_ENREF_41"/>
      <w:r w:rsidRPr="00CB00F9">
        <w:rPr>
          <w:noProof/>
          <w:sz w:val="22"/>
          <w:szCs w:val="22"/>
        </w:rPr>
        <w:t xml:space="preserve">Quang, N. H., Quinn, C. H., Stringer, L. C., Carrie, R., Hackney, C. R., Hue, L. T. V., . . . Nga, P. T. T. (2020). Multi-Decadal Changes in Mangrove Extent, Age and Species in the Red River Estuaries of Viet Nam. </w:t>
      </w:r>
      <w:r w:rsidRPr="00CB00F9">
        <w:rPr>
          <w:i/>
          <w:noProof/>
          <w:sz w:val="22"/>
          <w:szCs w:val="22"/>
        </w:rPr>
        <w:t>Remote Sensing, 12</w:t>
      </w:r>
      <w:r w:rsidRPr="00CB00F9">
        <w:rPr>
          <w:noProof/>
          <w:sz w:val="22"/>
          <w:szCs w:val="22"/>
        </w:rPr>
        <w:t xml:space="preserve">(14), 2289. </w:t>
      </w:r>
      <w:bookmarkEnd w:id="40"/>
    </w:p>
    <w:p w:rsidR="00F93E73" w:rsidRDefault="00F93E73" w:rsidP="00F93E73">
      <w:pPr>
        <w:spacing w:line="240" w:lineRule="auto"/>
        <w:ind w:left="720" w:hanging="720"/>
        <w:rPr>
          <w:noProof/>
          <w:sz w:val="22"/>
          <w:szCs w:val="22"/>
        </w:rPr>
      </w:pPr>
      <w:bookmarkStart w:id="41" w:name="_ENREF_43"/>
      <w:r w:rsidRPr="00CB00F9">
        <w:rPr>
          <w:noProof/>
          <w:sz w:val="22"/>
          <w:szCs w:val="22"/>
        </w:rPr>
        <w:t xml:space="preserve">Rosillo-Calle, F., De Groot, P., Hemstock, S. L., &amp; Woods, J. (2015). </w:t>
      </w:r>
      <w:r w:rsidRPr="00CB00F9">
        <w:rPr>
          <w:i/>
          <w:noProof/>
          <w:sz w:val="22"/>
          <w:szCs w:val="22"/>
        </w:rPr>
        <w:t>The biomass assessment handbook: energy for a sustainable environment</w:t>
      </w:r>
      <w:r w:rsidRPr="00CB00F9">
        <w:rPr>
          <w:noProof/>
          <w:sz w:val="22"/>
          <w:szCs w:val="22"/>
        </w:rPr>
        <w:t>: Routledge.</w:t>
      </w:r>
      <w:bookmarkEnd w:id="41"/>
    </w:p>
    <w:p w:rsidR="00F93E73" w:rsidRPr="00CB00F9" w:rsidRDefault="00F85FE3" w:rsidP="00F93E73">
      <w:pPr>
        <w:spacing w:line="240" w:lineRule="auto"/>
        <w:ind w:left="720" w:hanging="720"/>
        <w:rPr>
          <w:noProof/>
          <w:sz w:val="22"/>
          <w:szCs w:val="22"/>
        </w:rPr>
      </w:pPr>
      <w:r w:rsidRPr="00F85FE3">
        <w:rPr>
          <w:noProof/>
          <w:sz w:val="22"/>
          <w:szCs w:val="22"/>
        </w:rPr>
        <w:t xml:space="preserve">Rouse, J. W., Haas, R. H., Schell, J. A., &amp; Deering, D. W. (1974). Monitoring vegetation systems in the Great Plains with ERTS. </w:t>
      </w:r>
      <w:r w:rsidRPr="00F85FE3">
        <w:rPr>
          <w:i/>
          <w:noProof/>
          <w:sz w:val="22"/>
          <w:szCs w:val="22"/>
        </w:rPr>
        <w:t>NASA special publication</w:t>
      </w:r>
      <w:r w:rsidRPr="00F85FE3">
        <w:rPr>
          <w:noProof/>
          <w:sz w:val="22"/>
          <w:szCs w:val="22"/>
        </w:rPr>
        <w:t>, 351(1974), 309.</w:t>
      </w:r>
      <w:bookmarkStart w:id="42" w:name="_ENREF_44"/>
      <w:r w:rsidR="00F93E73" w:rsidRPr="00F85FE3">
        <w:rPr>
          <w:noProof/>
          <w:sz w:val="22"/>
          <w:szCs w:val="22"/>
        </w:rPr>
        <w:t xml:space="preserve">Rovai, A., Riul, P., Twilley, R., Castañeda‐Moya, E., Rivera‐Monroy, V., Williams, A., . . . Crooks, S. (2016). Scaling mangrove aboveground biomass from site‐level to continental‐scale. </w:t>
      </w:r>
      <w:r w:rsidR="00F93E73" w:rsidRPr="00CB00F9">
        <w:rPr>
          <w:i/>
          <w:noProof/>
          <w:sz w:val="22"/>
          <w:szCs w:val="22"/>
        </w:rPr>
        <w:t>Global Ecology and Biogeography, 25</w:t>
      </w:r>
      <w:r w:rsidR="00F93E73" w:rsidRPr="00CB00F9">
        <w:rPr>
          <w:noProof/>
          <w:sz w:val="22"/>
          <w:szCs w:val="22"/>
        </w:rPr>
        <w:t xml:space="preserve">(3), 286-298. </w:t>
      </w:r>
      <w:bookmarkEnd w:id="42"/>
    </w:p>
    <w:p w:rsidR="00F93E73" w:rsidRPr="00CB00F9" w:rsidRDefault="00F93E73" w:rsidP="00F93E73">
      <w:pPr>
        <w:spacing w:line="240" w:lineRule="auto"/>
        <w:ind w:left="720" w:hanging="720"/>
        <w:rPr>
          <w:noProof/>
          <w:sz w:val="22"/>
          <w:szCs w:val="22"/>
        </w:rPr>
      </w:pPr>
      <w:bookmarkStart w:id="43" w:name="_ENREF_45"/>
      <w:r w:rsidRPr="00CB00F9">
        <w:rPr>
          <w:noProof/>
          <w:sz w:val="22"/>
          <w:szCs w:val="22"/>
        </w:rPr>
        <w:t xml:space="preserve">Soares, M. L. G., &amp; Schaeffer-Novelli, Y. (2005). Above-ground biomass of mangrove species. I. Analysis of models. </w:t>
      </w:r>
      <w:r w:rsidRPr="00CB00F9">
        <w:rPr>
          <w:i/>
          <w:noProof/>
          <w:sz w:val="22"/>
          <w:szCs w:val="22"/>
        </w:rPr>
        <w:t>Estuarine, Coastal and Shelf Science, 65</w:t>
      </w:r>
      <w:r w:rsidRPr="00CB00F9">
        <w:rPr>
          <w:noProof/>
          <w:sz w:val="22"/>
          <w:szCs w:val="22"/>
        </w:rPr>
        <w:t xml:space="preserve">(1-2), 1-18. </w:t>
      </w:r>
      <w:bookmarkEnd w:id="43"/>
    </w:p>
    <w:p w:rsidR="00F93E73" w:rsidRPr="00CB00F9" w:rsidRDefault="00F93E73" w:rsidP="00F93E73">
      <w:pPr>
        <w:spacing w:line="240" w:lineRule="auto"/>
        <w:ind w:left="720" w:hanging="720"/>
        <w:rPr>
          <w:noProof/>
          <w:sz w:val="22"/>
          <w:szCs w:val="22"/>
        </w:rPr>
      </w:pPr>
      <w:bookmarkStart w:id="44" w:name="_ENREF_46"/>
      <w:r w:rsidRPr="00CB00F9">
        <w:rPr>
          <w:noProof/>
          <w:sz w:val="22"/>
          <w:szCs w:val="22"/>
        </w:rPr>
        <w:t xml:space="preserve">Spawn, S. A., Sullivan, C. C., Lark, T. J., &amp; Gibbs, H. K. (2020). Harmonized global maps of above and belowground biomass carbon density in the year 2010. </w:t>
      </w:r>
      <w:r w:rsidRPr="00CB00F9">
        <w:rPr>
          <w:i/>
          <w:noProof/>
          <w:sz w:val="22"/>
          <w:szCs w:val="22"/>
        </w:rPr>
        <w:t>Scientific Data, 7</w:t>
      </w:r>
      <w:r w:rsidRPr="00CB00F9">
        <w:rPr>
          <w:noProof/>
          <w:sz w:val="22"/>
          <w:szCs w:val="22"/>
        </w:rPr>
        <w:t>(1), 112. doi: 10.1038/s41597-020-0444-4</w:t>
      </w:r>
      <w:bookmarkEnd w:id="44"/>
    </w:p>
    <w:p w:rsidR="00F93E73" w:rsidRPr="00CB00F9" w:rsidRDefault="00F93E73" w:rsidP="00F93E73">
      <w:pPr>
        <w:spacing w:line="240" w:lineRule="auto"/>
        <w:ind w:left="720" w:hanging="720"/>
        <w:rPr>
          <w:noProof/>
          <w:sz w:val="22"/>
          <w:szCs w:val="22"/>
        </w:rPr>
      </w:pPr>
      <w:bookmarkStart w:id="45" w:name="_ENREF_47"/>
      <w:r w:rsidRPr="00CB00F9">
        <w:rPr>
          <w:noProof/>
          <w:sz w:val="22"/>
          <w:szCs w:val="22"/>
        </w:rPr>
        <w:t xml:space="preserve">Steininger, M. (2000). Satellite estimation of tropical secondary forest above-ground biomass: data from Brazil and Bolivia. </w:t>
      </w:r>
      <w:r w:rsidRPr="00CB00F9">
        <w:rPr>
          <w:i/>
          <w:noProof/>
          <w:sz w:val="22"/>
          <w:szCs w:val="22"/>
        </w:rPr>
        <w:t>International journal of remote sensing, 21</w:t>
      </w:r>
      <w:r w:rsidRPr="00CB00F9">
        <w:rPr>
          <w:noProof/>
          <w:sz w:val="22"/>
          <w:szCs w:val="22"/>
        </w:rPr>
        <w:t xml:space="preserve">(6-7), 1139-1157. </w:t>
      </w:r>
      <w:bookmarkEnd w:id="45"/>
    </w:p>
    <w:p w:rsidR="00F93E73" w:rsidRPr="00CB00F9" w:rsidRDefault="00F93E73" w:rsidP="00F93E73">
      <w:pPr>
        <w:spacing w:line="240" w:lineRule="auto"/>
        <w:ind w:left="720" w:hanging="720"/>
        <w:rPr>
          <w:noProof/>
          <w:sz w:val="22"/>
          <w:szCs w:val="22"/>
        </w:rPr>
      </w:pPr>
      <w:bookmarkStart w:id="46" w:name="_ENREF_48"/>
      <w:r w:rsidRPr="00CB00F9">
        <w:rPr>
          <w:noProof/>
          <w:sz w:val="22"/>
          <w:szCs w:val="22"/>
        </w:rPr>
        <w:t xml:space="preserve">Sun, G., Ranson, K., &amp; Kharuk, V. (2002). Radiometric slope correction for forest biomass estimation from SAR data in the Western Sayani Mountains, Siberia. </w:t>
      </w:r>
      <w:r w:rsidRPr="00CB00F9">
        <w:rPr>
          <w:i/>
          <w:noProof/>
          <w:sz w:val="22"/>
          <w:szCs w:val="22"/>
        </w:rPr>
        <w:t>Remote sensing of Environment, 79</w:t>
      </w:r>
      <w:r w:rsidRPr="00CB00F9">
        <w:rPr>
          <w:noProof/>
          <w:sz w:val="22"/>
          <w:szCs w:val="22"/>
        </w:rPr>
        <w:t xml:space="preserve">(2-3), 279-287. </w:t>
      </w:r>
      <w:bookmarkEnd w:id="46"/>
    </w:p>
    <w:p w:rsidR="00F93E73" w:rsidRPr="00CB00F9" w:rsidRDefault="00F93E73" w:rsidP="00F93E73">
      <w:pPr>
        <w:spacing w:line="240" w:lineRule="auto"/>
        <w:ind w:left="720" w:hanging="720"/>
        <w:rPr>
          <w:noProof/>
          <w:sz w:val="22"/>
          <w:szCs w:val="22"/>
        </w:rPr>
      </w:pPr>
      <w:bookmarkStart w:id="47" w:name="_ENREF_49"/>
      <w:r w:rsidRPr="00CB00F9">
        <w:rPr>
          <w:noProof/>
          <w:sz w:val="22"/>
          <w:szCs w:val="22"/>
        </w:rPr>
        <w:t xml:space="preserve">Tang, W., Zheng, M., Zhao, X., Shi, J., Yang, J., &amp; Trettin, C. C. (2018). Big Geospatial Data Analytics for Global Mangrove Biomass and Carbon Estimation. </w:t>
      </w:r>
      <w:r w:rsidRPr="00CB00F9">
        <w:rPr>
          <w:i/>
          <w:noProof/>
          <w:sz w:val="22"/>
          <w:szCs w:val="22"/>
        </w:rPr>
        <w:t>Sustainability, 10</w:t>
      </w:r>
      <w:r w:rsidRPr="00CB00F9">
        <w:rPr>
          <w:noProof/>
          <w:sz w:val="22"/>
          <w:szCs w:val="22"/>
        </w:rPr>
        <w:t xml:space="preserve">(2), 472. </w:t>
      </w:r>
      <w:bookmarkEnd w:id="47"/>
    </w:p>
    <w:p w:rsidR="00F93E73" w:rsidRPr="00CB00F9" w:rsidRDefault="00F93E73" w:rsidP="00F93E73">
      <w:pPr>
        <w:spacing w:line="240" w:lineRule="auto"/>
        <w:ind w:left="720" w:hanging="720"/>
        <w:rPr>
          <w:noProof/>
          <w:sz w:val="22"/>
          <w:szCs w:val="22"/>
        </w:rPr>
      </w:pPr>
      <w:bookmarkStart w:id="48" w:name="_ENREF_50"/>
      <w:r w:rsidRPr="00CB00F9">
        <w:rPr>
          <w:noProof/>
          <w:sz w:val="22"/>
          <w:szCs w:val="22"/>
        </w:rPr>
        <w:t xml:space="preserve">Tranmer, M., &amp; Elliot, M. (2008). Multiple linear regression. </w:t>
      </w:r>
      <w:r w:rsidRPr="00CB00F9">
        <w:rPr>
          <w:i/>
          <w:noProof/>
          <w:sz w:val="22"/>
          <w:szCs w:val="22"/>
        </w:rPr>
        <w:t>The Cathie Marsh Centre for Census and Survey Research (CCSR), 5</w:t>
      </w:r>
      <w:r w:rsidRPr="00CB00F9">
        <w:rPr>
          <w:noProof/>
          <w:sz w:val="22"/>
          <w:szCs w:val="22"/>
        </w:rPr>
        <w:t xml:space="preserve">, 30-35. </w:t>
      </w:r>
      <w:bookmarkEnd w:id="48"/>
    </w:p>
    <w:p w:rsidR="00F93E73" w:rsidRPr="00CB00F9" w:rsidRDefault="00F93E73" w:rsidP="00F93E73">
      <w:pPr>
        <w:spacing w:line="240" w:lineRule="auto"/>
        <w:ind w:left="720" w:hanging="720"/>
        <w:rPr>
          <w:noProof/>
          <w:sz w:val="22"/>
          <w:szCs w:val="22"/>
        </w:rPr>
      </w:pPr>
      <w:bookmarkStart w:id="49" w:name="_ENREF_51"/>
      <w:r w:rsidRPr="00CB00F9">
        <w:rPr>
          <w:noProof/>
          <w:sz w:val="22"/>
          <w:szCs w:val="22"/>
        </w:rPr>
        <w:t xml:space="preserve">VEA. (2016). </w:t>
      </w:r>
      <w:r w:rsidR="00FB23D6">
        <w:rPr>
          <w:noProof/>
          <w:sz w:val="22"/>
          <w:szCs w:val="22"/>
        </w:rPr>
        <w:t>The Vietnam Environment Administration</w:t>
      </w:r>
      <w:r w:rsidRPr="00CB00F9">
        <w:rPr>
          <w:noProof/>
          <w:sz w:val="22"/>
          <w:szCs w:val="22"/>
        </w:rPr>
        <w:t>, Ministry of Natural Resources and</w:t>
      </w:r>
      <w:r w:rsidR="00FB23D6">
        <w:rPr>
          <w:noProof/>
          <w:sz w:val="22"/>
          <w:szCs w:val="22"/>
        </w:rPr>
        <w:t xml:space="preserve"> Environment</w:t>
      </w:r>
      <w:r w:rsidRPr="00CB00F9">
        <w:rPr>
          <w:noProof/>
          <w:sz w:val="22"/>
          <w:szCs w:val="22"/>
        </w:rPr>
        <w:t xml:space="preserve">.   </w:t>
      </w:r>
      <w:bookmarkEnd w:id="49"/>
    </w:p>
    <w:p w:rsidR="00F93E73" w:rsidRPr="00CB00F9" w:rsidRDefault="00F93E73" w:rsidP="00F93E73">
      <w:pPr>
        <w:spacing w:line="240" w:lineRule="auto"/>
        <w:ind w:left="720" w:hanging="720"/>
        <w:rPr>
          <w:noProof/>
          <w:sz w:val="22"/>
          <w:szCs w:val="22"/>
        </w:rPr>
      </w:pPr>
      <w:bookmarkStart w:id="50" w:name="_ENREF_52"/>
      <w:r w:rsidRPr="00CB00F9">
        <w:rPr>
          <w:noProof/>
          <w:sz w:val="22"/>
          <w:szCs w:val="22"/>
        </w:rPr>
        <w:t xml:space="preserve">Widlowski, J., Pinty, B., Gobron, N., Verstraete, M., Diner, D., &amp; Davis, A. (2004). Canopy structure parameters derived from multi-angular remote sensing data for terrestrial carbon studies. </w:t>
      </w:r>
      <w:r w:rsidRPr="00CB00F9">
        <w:rPr>
          <w:i/>
          <w:noProof/>
          <w:sz w:val="22"/>
          <w:szCs w:val="22"/>
        </w:rPr>
        <w:t>Climatic Change, 67</w:t>
      </w:r>
      <w:r w:rsidRPr="00CB00F9">
        <w:rPr>
          <w:noProof/>
          <w:sz w:val="22"/>
          <w:szCs w:val="22"/>
        </w:rPr>
        <w:t xml:space="preserve">(2-3), 403-415. </w:t>
      </w:r>
      <w:bookmarkEnd w:id="50"/>
    </w:p>
    <w:p w:rsidR="00F93E73" w:rsidRPr="00CB00F9" w:rsidRDefault="00F93E73" w:rsidP="00F93E73">
      <w:pPr>
        <w:spacing w:line="240" w:lineRule="auto"/>
        <w:ind w:left="720" w:hanging="720"/>
        <w:rPr>
          <w:noProof/>
          <w:sz w:val="22"/>
          <w:szCs w:val="22"/>
        </w:rPr>
      </w:pPr>
      <w:bookmarkStart w:id="51" w:name="_ENREF_53"/>
      <w:r w:rsidRPr="00CB00F9">
        <w:rPr>
          <w:noProof/>
          <w:sz w:val="22"/>
          <w:szCs w:val="22"/>
        </w:rPr>
        <w:t xml:space="preserve">Worthington, T. A., Andradi-Brown, D. A., Bhargava, R., Buelow, C., Bunting, P., Duncan, C., . . . Hilarides, L. (2020). Harnessing big data to support the conservation and rehabilitation of mangrove forests globally. </w:t>
      </w:r>
      <w:r w:rsidRPr="00CB00F9">
        <w:rPr>
          <w:i/>
          <w:noProof/>
          <w:sz w:val="22"/>
          <w:szCs w:val="22"/>
        </w:rPr>
        <w:t>One Earth, 2</w:t>
      </w:r>
      <w:r w:rsidRPr="00CB00F9">
        <w:rPr>
          <w:noProof/>
          <w:sz w:val="22"/>
          <w:szCs w:val="22"/>
        </w:rPr>
        <w:t xml:space="preserve">(5), 429-443. </w:t>
      </w:r>
      <w:bookmarkEnd w:id="51"/>
    </w:p>
    <w:p w:rsidR="00F93E73" w:rsidRPr="00CB00F9" w:rsidRDefault="00F93E73" w:rsidP="00F93E73">
      <w:pPr>
        <w:spacing w:line="240" w:lineRule="auto"/>
        <w:ind w:left="720" w:hanging="720"/>
        <w:rPr>
          <w:noProof/>
          <w:sz w:val="22"/>
          <w:szCs w:val="22"/>
        </w:rPr>
      </w:pPr>
      <w:bookmarkStart w:id="52" w:name="_ENREF_54"/>
      <w:r w:rsidRPr="00CB00F9">
        <w:rPr>
          <w:noProof/>
          <w:sz w:val="22"/>
          <w:szCs w:val="22"/>
        </w:rPr>
        <w:t xml:space="preserve">Yu, L., Liang, L., Wang, J., Zhao, Y., Cheng, Q., Hu, L., . . . Zhu, P. (2014). Meta-discoveries from a synthesis of satellite-based land-cover mapping research. </w:t>
      </w:r>
      <w:r w:rsidRPr="00CB00F9">
        <w:rPr>
          <w:i/>
          <w:noProof/>
          <w:sz w:val="22"/>
          <w:szCs w:val="22"/>
        </w:rPr>
        <w:t>International Journal of Remote Sensing, 35</w:t>
      </w:r>
      <w:r w:rsidRPr="00CB00F9">
        <w:rPr>
          <w:noProof/>
          <w:sz w:val="22"/>
          <w:szCs w:val="22"/>
        </w:rPr>
        <w:t xml:space="preserve">(13), 4573-4588. </w:t>
      </w:r>
      <w:bookmarkEnd w:id="52"/>
    </w:p>
    <w:p w:rsidR="00F93E73" w:rsidRPr="00CB00F9" w:rsidRDefault="00F93E73" w:rsidP="00F93E73">
      <w:pPr>
        <w:spacing w:line="240" w:lineRule="auto"/>
        <w:ind w:left="720" w:hanging="720"/>
        <w:rPr>
          <w:noProof/>
          <w:sz w:val="22"/>
          <w:szCs w:val="22"/>
        </w:rPr>
      </w:pPr>
      <w:bookmarkStart w:id="53" w:name="_ENREF_55"/>
      <w:r w:rsidRPr="00CB00F9">
        <w:rPr>
          <w:noProof/>
          <w:sz w:val="22"/>
          <w:szCs w:val="22"/>
        </w:rPr>
        <w:lastRenderedPageBreak/>
        <w:t xml:space="preserve">Yuan, H., Ma, R., Atzberger, C., Li, F., Loiselle, S. A., &amp; Luo, J. (2015). Estimating Forest fAPAR from Multispectral Landsat-8 Data Using the Invertible Forest Reflectance Model INFORM. </w:t>
      </w:r>
      <w:r w:rsidRPr="00CB00F9">
        <w:rPr>
          <w:i/>
          <w:noProof/>
          <w:sz w:val="22"/>
          <w:szCs w:val="22"/>
        </w:rPr>
        <w:t>Remote Sensing, 7</w:t>
      </w:r>
      <w:r w:rsidRPr="00CB00F9">
        <w:rPr>
          <w:noProof/>
          <w:sz w:val="22"/>
          <w:szCs w:val="22"/>
        </w:rPr>
        <w:t xml:space="preserve">(6), 7425-7446. </w:t>
      </w:r>
      <w:bookmarkEnd w:id="53"/>
    </w:p>
    <w:p w:rsidR="00F93E73" w:rsidRPr="00CB00F9" w:rsidRDefault="00F93E73" w:rsidP="00F93E73">
      <w:pPr>
        <w:spacing w:line="240" w:lineRule="auto"/>
        <w:ind w:left="720" w:hanging="720"/>
        <w:rPr>
          <w:noProof/>
          <w:sz w:val="22"/>
          <w:szCs w:val="22"/>
        </w:rPr>
      </w:pPr>
      <w:bookmarkStart w:id="54" w:name="_ENREF_56"/>
      <w:r w:rsidRPr="00CB00F9">
        <w:rPr>
          <w:noProof/>
          <w:sz w:val="22"/>
          <w:szCs w:val="22"/>
        </w:rPr>
        <w:t xml:space="preserve">Zhang, C., Chen, K., Liu, Y., Kovacs, J. M., Flores-Verdugo, F., &amp; de Santiago, F. J. F. (2012). Spectral response to varying levels of leaf pigments collected from a degraded mangrove forest. </w:t>
      </w:r>
      <w:r w:rsidRPr="00CB00F9">
        <w:rPr>
          <w:i/>
          <w:noProof/>
          <w:sz w:val="22"/>
          <w:szCs w:val="22"/>
        </w:rPr>
        <w:t>Journal of Applied Remote Sensing, 6</w:t>
      </w:r>
      <w:r w:rsidRPr="00CB00F9">
        <w:rPr>
          <w:noProof/>
          <w:sz w:val="22"/>
          <w:szCs w:val="22"/>
        </w:rPr>
        <w:t xml:space="preserve">(1), 063501. </w:t>
      </w:r>
      <w:bookmarkEnd w:id="54"/>
    </w:p>
    <w:p w:rsidR="00B10EC1" w:rsidRPr="00CB00F9" w:rsidRDefault="00B10EC1" w:rsidP="0097503E"/>
    <w:p w:rsidR="00720DFD" w:rsidRPr="00CB00F9" w:rsidRDefault="00720DFD"/>
    <w:sectPr w:rsidR="00720DFD" w:rsidRPr="00CB00F9" w:rsidSect="007B2C8C">
      <w:pgSz w:w="12240" w:h="15840"/>
      <w:pgMar w:top="1440" w:right="1440" w:bottom="1440" w:left="1440" w:header="720" w:footer="720" w:gutter="0"/>
      <w:lnNumType w:countBy="5"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337A5"/>
    <w:multiLevelType w:val="hybridMultilevel"/>
    <w:tmpl w:val="0B5E8CF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nsid w:val="364F268C"/>
    <w:multiLevelType w:val="hybridMultilevel"/>
    <w:tmpl w:val="A4B2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EF7A57"/>
    <w:multiLevelType w:val="multilevel"/>
    <w:tmpl w:val="5576EC86"/>
    <w:lvl w:ilvl="0">
      <w:start w:val="3"/>
      <w:numFmt w:val="decimal"/>
      <w:lvlText w:val="%1."/>
      <w:lvlJc w:val="left"/>
      <w:pPr>
        <w:ind w:left="468" w:hanging="468"/>
      </w:pPr>
      <w:rPr>
        <w:rFonts w:hint="default"/>
      </w:rPr>
    </w:lvl>
    <w:lvl w:ilvl="1">
      <w:start w:val="2"/>
      <w:numFmt w:val="decimal"/>
      <w:lvlText w:val="%1.%2."/>
      <w:lvlJc w:val="left"/>
      <w:pPr>
        <w:ind w:left="680" w:hanging="468"/>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3">
    <w:nsid w:val="45702C6A"/>
    <w:multiLevelType w:val="multilevel"/>
    <w:tmpl w:val="119CDBFC"/>
    <w:lvl w:ilvl="0">
      <w:start w:val="3"/>
      <w:numFmt w:val="decimal"/>
      <w:lvlText w:val="%1."/>
      <w:lvlJc w:val="left"/>
      <w:pPr>
        <w:ind w:left="468" w:hanging="468"/>
      </w:pPr>
      <w:rPr>
        <w:rFonts w:hint="default"/>
      </w:rPr>
    </w:lvl>
    <w:lvl w:ilvl="1">
      <w:start w:val="2"/>
      <w:numFmt w:val="decimal"/>
      <w:lvlText w:val="%1.%2."/>
      <w:lvlJc w:val="left"/>
      <w:pPr>
        <w:ind w:left="680" w:hanging="468"/>
      </w:pPr>
      <w:rPr>
        <w:rFonts w:hint="default"/>
      </w:rPr>
    </w:lvl>
    <w:lvl w:ilvl="2">
      <w:start w:val="2"/>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10EC1"/>
    <w:rsid w:val="00011165"/>
    <w:rsid w:val="00080252"/>
    <w:rsid w:val="000A0702"/>
    <w:rsid w:val="000D1F42"/>
    <w:rsid w:val="000E684A"/>
    <w:rsid w:val="001416FF"/>
    <w:rsid w:val="001826AF"/>
    <w:rsid w:val="0018700D"/>
    <w:rsid w:val="00194361"/>
    <w:rsid w:val="001A0E24"/>
    <w:rsid w:val="001C4669"/>
    <w:rsid w:val="00212D49"/>
    <w:rsid w:val="00235E7E"/>
    <w:rsid w:val="00260EC5"/>
    <w:rsid w:val="00294DF2"/>
    <w:rsid w:val="002A1580"/>
    <w:rsid w:val="003225C0"/>
    <w:rsid w:val="00341ADE"/>
    <w:rsid w:val="00345B2F"/>
    <w:rsid w:val="00395D71"/>
    <w:rsid w:val="003B61AE"/>
    <w:rsid w:val="003D6EF0"/>
    <w:rsid w:val="00401D00"/>
    <w:rsid w:val="005031B5"/>
    <w:rsid w:val="005332BD"/>
    <w:rsid w:val="0055366E"/>
    <w:rsid w:val="00557815"/>
    <w:rsid w:val="00646F33"/>
    <w:rsid w:val="006C5ED5"/>
    <w:rsid w:val="00720DFD"/>
    <w:rsid w:val="00722476"/>
    <w:rsid w:val="007479EA"/>
    <w:rsid w:val="007B2C8C"/>
    <w:rsid w:val="007E0328"/>
    <w:rsid w:val="008262C5"/>
    <w:rsid w:val="008524D3"/>
    <w:rsid w:val="00870381"/>
    <w:rsid w:val="008D2072"/>
    <w:rsid w:val="008E3188"/>
    <w:rsid w:val="009341AB"/>
    <w:rsid w:val="00971393"/>
    <w:rsid w:val="0097503E"/>
    <w:rsid w:val="00993EE5"/>
    <w:rsid w:val="009D07FA"/>
    <w:rsid w:val="009D7AFE"/>
    <w:rsid w:val="00A24F50"/>
    <w:rsid w:val="00A42F47"/>
    <w:rsid w:val="00A70493"/>
    <w:rsid w:val="00AA189B"/>
    <w:rsid w:val="00AA19E7"/>
    <w:rsid w:val="00AC1655"/>
    <w:rsid w:val="00AE14F4"/>
    <w:rsid w:val="00AF69E4"/>
    <w:rsid w:val="00B027CE"/>
    <w:rsid w:val="00B10EC1"/>
    <w:rsid w:val="00B348AF"/>
    <w:rsid w:val="00B5222B"/>
    <w:rsid w:val="00B74801"/>
    <w:rsid w:val="00B74F01"/>
    <w:rsid w:val="00B871D1"/>
    <w:rsid w:val="00BA2A1F"/>
    <w:rsid w:val="00BD5F3E"/>
    <w:rsid w:val="00C81A7D"/>
    <w:rsid w:val="00CB00F9"/>
    <w:rsid w:val="00CF347E"/>
    <w:rsid w:val="00D00A0A"/>
    <w:rsid w:val="00D500A2"/>
    <w:rsid w:val="00D75678"/>
    <w:rsid w:val="00D86031"/>
    <w:rsid w:val="00E334C1"/>
    <w:rsid w:val="00E4702F"/>
    <w:rsid w:val="00E7462F"/>
    <w:rsid w:val="00EA2307"/>
    <w:rsid w:val="00EB4E6C"/>
    <w:rsid w:val="00EB71DF"/>
    <w:rsid w:val="00ED4B55"/>
    <w:rsid w:val="00F23D58"/>
    <w:rsid w:val="00F73616"/>
    <w:rsid w:val="00F85FE3"/>
    <w:rsid w:val="00F93E73"/>
    <w:rsid w:val="00F94AD2"/>
    <w:rsid w:val="00F953F5"/>
    <w:rsid w:val="00FB23D6"/>
    <w:rsid w:val="00FE3964"/>
    <w:rsid w:val="00FF5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073931-4B5A-422E-B505-42C250EA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EC1"/>
    <w:pPr>
      <w:spacing w:after="0" w:line="360" w:lineRule="auto"/>
      <w:jc w:val="both"/>
    </w:pPr>
    <w:rPr>
      <w:rFonts w:ascii="Times New Roman" w:eastAsia="Times New Roman" w:hAnsi="Times New Roman" w:cs="Times New Roman"/>
      <w:color w:val="000000"/>
      <w:sz w:val="20"/>
      <w:szCs w:val="20"/>
      <w:lang w:eastAsia="de-DE"/>
    </w:rPr>
  </w:style>
  <w:style w:type="paragraph" w:styleId="Heading1">
    <w:name w:val="heading 1"/>
    <w:basedOn w:val="Normal"/>
    <w:next w:val="Normal"/>
    <w:link w:val="Heading1Char"/>
    <w:qFormat/>
    <w:rsid w:val="00B10EC1"/>
    <w:pPr>
      <w:keepNext/>
      <w:spacing w:before="240" w:after="60" w:line="240" w:lineRule="auto"/>
      <w:jc w:val="left"/>
      <w:outlineLvl w:val="0"/>
    </w:pPr>
    <w:rPr>
      <w:b/>
      <w:bCs/>
      <w:color w:val="auto"/>
      <w:kern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0EC1"/>
    <w:rPr>
      <w:rFonts w:ascii="Times New Roman" w:eastAsia="Times New Roman" w:hAnsi="Times New Roman" w:cs="Times New Roman"/>
      <w:b/>
      <w:bCs/>
      <w:kern w:val="32"/>
      <w:sz w:val="20"/>
      <w:szCs w:val="32"/>
    </w:rPr>
  </w:style>
  <w:style w:type="paragraph" w:customStyle="1" w:styleId="MDPI11articletype">
    <w:name w:val="MDPI_1.1_article_type"/>
    <w:basedOn w:val="MDPI31text"/>
    <w:next w:val="MDPI12title"/>
    <w:link w:val="MDPI11articletypeChar"/>
    <w:qFormat/>
    <w:rsid w:val="00B10EC1"/>
    <w:pPr>
      <w:spacing w:before="240" w:line="240" w:lineRule="auto"/>
      <w:ind w:firstLine="0"/>
      <w:jc w:val="left"/>
    </w:pPr>
    <w:rPr>
      <w:i w:val="0"/>
    </w:rPr>
  </w:style>
  <w:style w:type="paragraph" w:customStyle="1" w:styleId="MDPI12title">
    <w:name w:val="MDPI_1.2_title"/>
    <w:next w:val="MDPI13authornames"/>
    <w:qFormat/>
    <w:rsid w:val="00B10EC1"/>
    <w:pPr>
      <w:adjustRightInd w:val="0"/>
      <w:snapToGrid w:val="0"/>
      <w:spacing w:before="240" w:after="240" w:line="240" w:lineRule="auto"/>
      <w:ind w:left="720" w:hanging="720"/>
    </w:pPr>
    <w:rPr>
      <w:rFonts w:ascii="Times New Roman" w:eastAsia="Times New Roman" w:hAnsi="Times New Roman" w:cs="Times New Roman"/>
      <w:b/>
      <w:snapToGrid w:val="0"/>
      <w:color w:val="000000"/>
      <w:sz w:val="24"/>
      <w:szCs w:val="20"/>
      <w:lang w:eastAsia="de-DE" w:bidi="en-US"/>
    </w:rPr>
  </w:style>
  <w:style w:type="paragraph" w:customStyle="1" w:styleId="MDPI13authornames">
    <w:name w:val="MDPI_1.3_authornames"/>
    <w:basedOn w:val="MDPI31text"/>
    <w:next w:val="MDPI14history"/>
    <w:qFormat/>
    <w:rsid w:val="00B10EC1"/>
    <w:pPr>
      <w:ind w:firstLine="0"/>
      <w:jc w:val="left"/>
    </w:pPr>
    <w:rPr>
      <w:b/>
      <w:snapToGrid/>
    </w:rPr>
  </w:style>
  <w:style w:type="paragraph" w:customStyle="1" w:styleId="MDPI14history">
    <w:name w:val="MDPI_1.4_history"/>
    <w:basedOn w:val="Normal"/>
    <w:next w:val="Normal"/>
    <w:qFormat/>
    <w:rsid w:val="00B10EC1"/>
    <w:pPr>
      <w:adjustRightInd w:val="0"/>
      <w:snapToGrid w:val="0"/>
      <w:spacing w:before="120" w:line="200" w:lineRule="atLeast"/>
      <w:ind w:left="113"/>
      <w:jc w:val="left"/>
    </w:pPr>
    <w:rPr>
      <w:rFonts w:ascii="Palatino Linotype" w:hAnsi="Palatino Linotype"/>
      <w:sz w:val="18"/>
      <w:lang w:bidi="en-US"/>
    </w:rPr>
  </w:style>
  <w:style w:type="paragraph" w:customStyle="1" w:styleId="MDPI17abstract">
    <w:name w:val="MDPI_1.7_abstract"/>
    <w:basedOn w:val="MDPI31text"/>
    <w:next w:val="Normal"/>
    <w:qFormat/>
    <w:rsid w:val="00B10EC1"/>
    <w:pPr>
      <w:spacing w:before="240"/>
      <w:ind w:left="113" w:firstLine="0"/>
    </w:pPr>
    <w:rPr>
      <w:snapToGrid/>
    </w:rPr>
  </w:style>
  <w:style w:type="paragraph" w:customStyle="1" w:styleId="MDPI31text">
    <w:name w:val="MDPI_3.1_text"/>
    <w:link w:val="MDPI31textChar"/>
    <w:qFormat/>
    <w:rsid w:val="00B10EC1"/>
    <w:pPr>
      <w:adjustRightInd w:val="0"/>
      <w:snapToGrid w:val="0"/>
      <w:spacing w:before="120" w:after="120" w:line="260" w:lineRule="atLeast"/>
      <w:ind w:firstLine="432"/>
      <w:jc w:val="both"/>
    </w:pPr>
    <w:rPr>
      <w:rFonts w:ascii="Times New Roman" w:eastAsia="Times New Roman" w:hAnsi="Times New Roman" w:cs="Times New Roman"/>
      <w:i/>
      <w:snapToGrid w:val="0"/>
      <w:color w:val="000000"/>
      <w:lang w:eastAsia="de-DE" w:bidi="en-US"/>
    </w:rPr>
  </w:style>
  <w:style w:type="paragraph" w:customStyle="1" w:styleId="MDPI21heading1">
    <w:name w:val="MDPI_2.1_heading1"/>
    <w:basedOn w:val="Normal"/>
    <w:qFormat/>
    <w:rsid w:val="00B10EC1"/>
    <w:pPr>
      <w:adjustRightInd w:val="0"/>
      <w:snapToGrid w:val="0"/>
      <w:spacing w:before="240" w:after="120" w:line="260" w:lineRule="atLeast"/>
      <w:jc w:val="left"/>
      <w:outlineLvl w:val="0"/>
    </w:pPr>
    <w:rPr>
      <w:rFonts w:ascii="Palatino Linotype" w:hAnsi="Palatino Linotype"/>
      <w:b/>
      <w:snapToGrid w:val="0"/>
      <w:szCs w:val="22"/>
      <w:lang w:bidi="en-US"/>
    </w:rPr>
  </w:style>
  <w:style w:type="paragraph" w:customStyle="1" w:styleId="MDPI22heading2">
    <w:name w:val="MDPI_2.2_heading2"/>
    <w:basedOn w:val="Normal"/>
    <w:qFormat/>
    <w:rsid w:val="00B10EC1"/>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Cs w:val="22"/>
      <w:lang w:bidi="en-US"/>
    </w:rPr>
  </w:style>
  <w:style w:type="character" w:styleId="Hyperlink">
    <w:name w:val="Hyperlink"/>
    <w:uiPriority w:val="99"/>
    <w:unhideWhenUsed/>
    <w:rsid w:val="00B10EC1"/>
    <w:rPr>
      <w:color w:val="0563C1"/>
      <w:u w:val="single"/>
    </w:rPr>
  </w:style>
  <w:style w:type="character" w:customStyle="1" w:styleId="MDPI31textChar">
    <w:name w:val="MDPI_3.1_text Char"/>
    <w:basedOn w:val="DefaultParagraphFont"/>
    <w:link w:val="MDPI31text"/>
    <w:rsid w:val="00B10EC1"/>
    <w:rPr>
      <w:rFonts w:ascii="Times New Roman" w:eastAsia="Times New Roman" w:hAnsi="Times New Roman" w:cs="Times New Roman"/>
      <w:i/>
      <w:snapToGrid w:val="0"/>
      <w:color w:val="000000"/>
      <w:lang w:eastAsia="de-DE" w:bidi="en-US"/>
    </w:rPr>
  </w:style>
  <w:style w:type="character" w:customStyle="1" w:styleId="MDPI11articletypeChar">
    <w:name w:val="MDPI_1.1_article_type Char"/>
    <w:basedOn w:val="MDPI31textChar"/>
    <w:link w:val="MDPI11articletype"/>
    <w:rsid w:val="00B10EC1"/>
    <w:rPr>
      <w:rFonts w:ascii="Times New Roman" w:eastAsia="Times New Roman" w:hAnsi="Times New Roman" w:cs="Times New Roman"/>
      <w:i w:val="0"/>
      <w:snapToGrid w:val="0"/>
      <w:color w:val="000000"/>
      <w:lang w:eastAsia="de-DE" w:bidi="en-US"/>
    </w:rPr>
  </w:style>
  <w:style w:type="paragraph" w:customStyle="1" w:styleId="MDPI42tablebody">
    <w:name w:val="MDPI_4.2_table_body"/>
    <w:qFormat/>
    <w:rsid w:val="00B10EC1"/>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23heading3">
    <w:name w:val="MDPI_2.3_heading3"/>
    <w:basedOn w:val="MDPI31text"/>
    <w:qFormat/>
    <w:rsid w:val="00B10EC1"/>
    <w:pPr>
      <w:spacing w:before="240"/>
      <w:ind w:firstLine="0"/>
      <w:jc w:val="left"/>
      <w:outlineLvl w:val="2"/>
    </w:pPr>
  </w:style>
  <w:style w:type="paragraph" w:customStyle="1" w:styleId="MDPI38bullet">
    <w:name w:val="MDPI_3.8_bullet"/>
    <w:basedOn w:val="MDPI31text"/>
    <w:qFormat/>
    <w:rsid w:val="00B10EC1"/>
    <w:pPr>
      <w:ind w:left="425" w:hanging="425"/>
    </w:pPr>
  </w:style>
  <w:style w:type="table" w:styleId="TableGrid">
    <w:name w:val="Table Grid"/>
    <w:basedOn w:val="TableNormal"/>
    <w:uiPriority w:val="59"/>
    <w:rsid w:val="00B10EC1"/>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0EC1"/>
    <w:pPr>
      <w:ind w:left="720"/>
      <w:contextualSpacing/>
    </w:pPr>
  </w:style>
  <w:style w:type="paragraph" w:customStyle="1" w:styleId="MDPI62Acknowledgments">
    <w:name w:val="MDPI_6.2_Acknowledgments"/>
    <w:qFormat/>
    <w:rsid w:val="00B10EC1"/>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Title1">
    <w:name w:val="Title1"/>
    <w:basedOn w:val="Normal"/>
    <w:next w:val="Normal"/>
    <w:link w:val="Title1Char"/>
    <w:rsid w:val="00B10EC1"/>
    <w:pPr>
      <w:keepNext/>
      <w:keepLines/>
      <w:pageBreakBefore/>
      <w:tabs>
        <w:tab w:val="left" w:pos="284"/>
      </w:tabs>
      <w:suppressAutoHyphens/>
      <w:spacing w:after="460" w:line="348" w:lineRule="exact"/>
      <w:ind w:firstLine="227"/>
      <w:jc w:val="center"/>
    </w:pPr>
    <w:rPr>
      <w:rFonts w:ascii="Times" w:hAnsi="Times"/>
      <w:b/>
      <w:color w:val="auto"/>
      <w:sz w:val="28"/>
    </w:rPr>
  </w:style>
  <w:style w:type="character" w:customStyle="1" w:styleId="Title1Char">
    <w:name w:val="Title1 Char"/>
    <w:basedOn w:val="DefaultParagraphFont"/>
    <w:link w:val="Title1"/>
    <w:rsid w:val="00B10EC1"/>
    <w:rPr>
      <w:rFonts w:ascii="Times" w:eastAsia="Times New Roman" w:hAnsi="Times" w:cs="Times New Roman"/>
      <w:b/>
      <w:sz w:val="28"/>
      <w:szCs w:val="20"/>
      <w:lang w:eastAsia="de-DE"/>
    </w:rPr>
  </w:style>
  <w:style w:type="character" w:customStyle="1" w:styleId="ManuscriptTitleChar">
    <w:name w:val="Manuscript Title Char"/>
    <w:basedOn w:val="Title1Char"/>
    <w:link w:val="ManuscriptTitle"/>
    <w:rsid w:val="00B10EC1"/>
    <w:rPr>
      <w:rFonts w:ascii="Times" w:eastAsia="Times New Roman" w:hAnsi="Times" w:cs="Times New Roman"/>
      <w:b/>
      <w:sz w:val="28"/>
      <w:szCs w:val="20"/>
      <w:lang w:eastAsia="de-DE"/>
    </w:rPr>
  </w:style>
  <w:style w:type="paragraph" w:customStyle="1" w:styleId="ManuscriptTitle">
    <w:name w:val="Manuscript Title"/>
    <w:basedOn w:val="Title1"/>
    <w:link w:val="ManuscriptTitleChar"/>
    <w:qFormat/>
    <w:rsid w:val="00B10EC1"/>
  </w:style>
  <w:style w:type="paragraph" w:customStyle="1" w:styleId="author">
    <w:name w:val="author"/>
    <w:basedOn w:val="Normal"/>
    <w:next w:val="Normal"/>
    <w:rsid w:val="00B10EC1"/>
    <w:pPr>
      <w:spacing w:after="220" w:line="240" w:lineRule="auto"/>
      <w:ind w:firstLine="227"/>
      <w:jc w:val="center"/>
    </w:pPr>
    <w:rPr>
      <w:rFonts w:ascii="Times" w:hAnsi="Times"/>
      <w:color w:val="auto"/>
    </w:rPr>
  </w:style>
  <w:style w:type="paragraph" w:customStyle="1" w:styleId="Sectionheading">
    <w:name w:val="Section heading"/>
    <w:basedOn w:val="Normal"/>
    <w:link w:val="SectionheadingChar"/>
    <w:qFormat/>
    <w:rsid w:val="00B10EC1"/>
    <w:pPr>
      <w:keepNext/>
      <w:keepLines/>
      <w:tabs>
        <w:tab w:val="left" w:pos="454"/>
      </w:tabs>
      <w:suppressAutoHyphens/>
      <w:spacing w:before="520" w:after="280" w:line="240" w:lineRule="auto"/>
      <w:ind w:left="432" w:hanging="432"/>
    </w:pPr>
    <w:rPr>
      <w:rFonts w:ascii="Times" w:hAnsi="Times"/>
      <w:b/>
      <w:color w:val="auto"/>
      <w:lang w:val="en-GB"/>
    </w:rPr>
  </w:style>
  <w:style w:type="character" w:customStyle="1" w:styleId="SectionheadingChar">
    <w:name w:val="Section heading Char"/>
    <w:basedOn w:val="DefaultParagraphFont"/>
    <w:link w:val="Sectionheading"/>
    <w:rsid w:val="00B10EC1"/>
    <w:rPr>
      <w:rFonts w:ascii="Times" w:eastAsia="Times New Roman" w:hAnsi="Times" w:cs="Times New Roman"/>
      <w:b/>
      <w:sz w:val="20"/>
      <w:szCs w:val="20"/>
      <w:lang w:val="en-GB" w:eastAsia="de-DE"/>
    </w:rPr>
  </w:style>
  <w:style w:type="paragraph" w:customStyle="1" w:styleId="Subsectionheading">
    <w:name w:val="Subsection heading"/>
    <w:basedOn w:val="Normal"/>
    <w:link w:val="SubsectionheadingChar"/>
    <w:qFormat/>
    <w:rsid w:val="00B10EC1"/>
    <w:pPr>
      <w:keepNext/>
      <w:keepLines/>
      <w:tabs>
        <w:tab w:val="left" w:pos="454"/>
      </w:tabs>
      <w:suppressAutoHyphens/>
      <w:spacing w:before="520" w:after="280" w:line="240" w:lineRule="auto"/>
    </w:pPr>
    <w:rPr>
      <w:rFonts w:ascii="Times" w:hAnsi="Times"/>
      <w:i/>
      <w:color w:val="auto"/>
      <w:lang w:val="en-GB"/>
    </w:rPr>
  </w:style>
  <w:style w:type="character" w:customStyle="1" w:styleId="SubsectionheadingChar">
    <w:name w:val="Subsection heading Char"/>
    <w:basedOn w:val="DefaultParagraphFont"/>
    <w:link w:val="Subsectionheading"/>
    <w:rsid w:val="00B10EC1"/>
    <w:rPr>
      <w:rFonts w:ascii="Times" w:eastAsia="Times New Roman" w:hAnsi="Times" w:cs="Times New Roman"/>
      <w:i/>
      <w:sz w:val="20"/>
      <w:szCs w:val="20"/>
      <w:lang w:val="en-GB" w:eastAsia="de-DE"/>
    </w:rPr>
  </w:style>
  <w:style w:type="character" w:styleId="LineNumber">
    <w:name w:val="line number"/>
    <w:basedOn w:val="DefaultParagraphFont"/>
    <w:uiPriority w:val="99"/>
    <w:semiHidden/>
    <w:unhideWhenUsed/>
    <w:rsid w:val="00B10EC1"/>
  </w:style>
  <w:style w:type="paragraph" w:styleId="BalloonText">
    <w:name w:val="Balloon Text"/>
    <w:basedOn w:val="Normal"/>
    <w:link w:val="BalloonTextChar"/>
    <w:uiPriority w:val="99"/>
    <w:semiHidden/>
    <w:unhideWhenUsed/>
    <w:rsid w:val="005536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66E"/>
    <w:rPr>
      <w:rFonts w:ascii="Segoe UI" w:eastAsia="Times New Roman" w:hAnsi="Segoe UI" w:cs="Segoe UI"/>
      <w:color w:val="000000"/>
      <w:sz w:val="18"/>
      <w:szCs w:val="18"/>
      <w:lang w:eastAsia="de-DE"/>
    </w:rPr>
  </w:style>
  <w:style w:type="table" w:customStyle="1" w:styleId="TableGrid1">
    <w:name w:val="Table Grid1"/>
    <w:basedOn w:val="TableNormal"/>
    <w:next w:val="TableGrid"/>
    <w:uiPriority w:val="59"/>
    <w:rsid w:val="005031B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031B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nhquang@vnsc.org.vn" TargetMode="External"/><Relationship Id="rId12" Type="http://schemas.openxmlformats.org/officeDocument/2006/relationships/image" Target="media/image5.png"/><Relationship Id="rId17"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christopher.hackney@ncl.ac.uk"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B93E0-12B1-410D-88E7-14B36F8EC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11313</Words>
  <Characters>64486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Quang Nguyen</dc:creator>
  <cp:keywords/>
  <dc:description/>
  <cp:lastModifiedBy>Hong Quang Nguyen</cp:lastModifiedBy>
  <cp:revision>2</cp:revision>
  <dcterms:created xsi:type="dcterms:W3CDTF">2022-09-05T08:22:00Z</dcterms:created>
  <dcterms:modified xsi:type="dcterms:W3CDTF">2022-09-05T08:22:00Z</dcterms:modified>
</cp:coreProperties>
</file>