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A09D" w14:textId="7E3572D9" w:rsidR="008E7D18" w:rsidRPr="006E25B0" w:rsidRDefault="008E7D18" w:rsidP="00D95347">
      <w:pPr>
        <w:pStyle w:val="Title"/>
        <w:rPr>
          <w:rFonts w:asciiTheme="majorBidi" w:hAnsiTheme="majorBidi"/>
          <w:noProof/>
        </w:rPr>
      </w:pPr>
      <w:r w:rsidRPr="006E25B0">
        <w:rPr>
          <w:rFonts w:asciiTheme="majorBidi" w:hAnsiTheme="majorBidi"/>
          <w:noProof/>
        </w:rPr>
        <w:t xml:space="preserve">Social </w:t>
      </w:r>
      <w:r w:rsidR="00F27B37" w:rsidRPr="006E25B0">
        <w:rPr>
          <w:rFonts w:asciiTheme="majorBidi" w:hAnsiTheme="majorBidi"/>
          <w:noProof/>
        </w:rPr>
        <w:t>S</w:t>
      </w:r>
      <w:r w:rsidRPr="006E25B0">
        <w:rPr>
          <w:rFonts w:asciiTheme="majorBidi" w:hAnsiTheme="majorBidi"/>
          <w:noProof/>
        </w:rPr>
        <w:t xml:space="preserve">ecurity and </w:t>
      </w:r>
      <w:r w:rsidR="00F27B37" w:rsidRPr="006E25B0">
        <w:rPr>
          <w:rFonts w:asciiTheme="majorBidi" w:hAnsiTheme="majorBidi"/>
          <w:noProof/>
        </w:rPr>
        <w:t>S</w:t>
      </w:r>
      <w:r w:rsidRPr="006E25B0">
        <w:rPr>
          <w:rFonts w:asciiTheme="majorBidi" w:hAnsiTheme="majorBidi"/>
          <w:noProof/>
        </w:rPr>
        <w:t xml:space="preserve">ocial </w:t>
      </w:r>
      <w:r w:rsidR="00F27B37" w:rsidRPr="006E25B0">
        <w:rPr>
          <w:rFonts w:asciiTheme="majorBidi" w:hAnsiTheme="majorBidi"/>
          <w:noProof/>
        </w:rPr>
        <w:t>A</w:t>
      </w:r>
      <w:r w:rsidRPr="006E25B0">
        <w:rPr>
          <w:rFonts w:asciiTheme="majorBidi" w:hAnsiTheme="majorBidi"/>
          <w:noProof/>
        </w:rPr>
        <w:t>ssistance</w:t>
      </w:r>
      <w:r w:rsidRPr="006E25B0">
        <w:rPr>
          <w:rFonts w:asciiTheme="majorBidi" w:hAnsiTheme="majorBidi"/>
          <w:noProof/>
        </w:rPr>
        <w:tab/>
      </w:r>
    </w:p>
    <w:p w14:paraId="2C649343" w14:textId="5F387A78" w:rsidR="00947F76" w:rsidRPr="006E25B0" w:rsidRDefault="00947F76" w:rsidP="00581DD1">
      <w:pPr>
        <w:rPr>
          <w:rFonts w:ascii="Times New Roman" w:hAnsi="Times New Roman" w:cs="Times New Roman"/>
          <w:noProof/>
          <w:sz w:val="24"/>
          <w:szCs w:val="24"/>
        </w:rPr>
      </w:pPr>
    </w:p>
    <w:p w14:paraId="0B61C57C" w14:textId="38AB93F4" w:rsidR="008E7D18" w:rsidRPr="006E25B0" w:rsidRDefault="008E7D18" w:rsidP="00D95347">
      <w:pPr>
        <w:rPr>
          <w:rFonts w:ascii="Times New Roman" w:hAnsi="Times New Roman" w:cs="Times New Roman"/>
          <w:i/>
          <w:iCs/>
          <w:noProof/>
          <w:sz w:val="24"/>
          <w:szCs w:val="24"/>
        </w:rPr>
      </w:pPr>
      <w:r w:rsidRPr="006E25B0">
        <w:rPr>
          <w:rFonts w:ascii="Times New Roman" w:hAnsi="Times New Roman" w:cs="Times New Roman"/>
          <w:i/>
          <w:iCs/>
          <w:noProof/>
          <w:sz w:val="24"/>
          <w:szCs w:val="24"/>
        </w:rPr>
        <w:t>Nicolas Rennuy</w:t>
      </w:r>
      <w:r w:rsidR="006A39AD" w:rsidRPr="006E25B0">
        <w:rPr>
          <w:rFonts w:ascii="Times New Roman" w:hAnsi="Times New Roman" w:cs="Times New Roman"/>
          <w:i/>
          <w:iCs/>
          <w:noProof/>
          <w:sz w:val="24"/>
          <w:szCs w:val="24"/>
        </w:rPr>
        <w:br/>
      </w:r>
      <w:r w:rsidRPr="006E25B0">
        <w:rPr>
          <w:rFonts w:ascii="Times New Roman" w:hAnsi="Times New Roman" w:cs="Times New Roman"/>
          <w:i/>
          <w:iCs/>
          <w:noProof/>
          <w:sz w:val="24"/>
          <w:szCs w:val="24"/>
        </w:rPr>
        <w:t>York Law School, University of York</w:t>
      </w:r>
    </w:p>
    <w:p w14:paraId="2957B888" w14:textId="4A5DA8D1" w:rsidR="00947F76" w:rsidRDefault="00CB6322" w:rsidP="00D95347">
      <w:pPr>
        <w:rPr>
          <w:rFonts w:ascii="Times New Roman" w:hAnsi="Times New Roman" w:cs="Times New Roman"/>
          <w:noProof/>
          <w:sz w:val="24"/>
          <w:szCs w:val="24"/>
        </w:rPr>
      </w:pPr>
      <w:r>
        <w:rPr>
          <w:rFonts w:ascii="Times New Roman" w:hAnsi="Times New Roman" w:cs="Times New Roman"/>
          <w:noProof/>
          <w:sz w:val="24"/>
          <w:szCs w:val="24"/>
        </w:rPr>
        <w:t xml:space="preserve">Will appear in: </w:t>
      </w:r>
      <w:r w:rsidRPr="0056751E">
        <w:rPr>
          <w:rFonts w:ascii="Times New Roman" w:hAnsi="Times New Roman" w:cs="Times New Roman"/>
          <w:noProof/>
          <w:sz w:val="24"/>
          <w:szCs w:val="24"/>
        </w:rPr>
        <w:t>S Garben and L Gormley (eds)</w:t>
      </w:r>
      <w:r>
        <w:rPr>
          <w:rFonts w:ascii="Times New Roman" w:hAnsi="Times New Roman" w:cs="Times New Roman"/>
          <w:noProof/>
          <w:sz w:val="24"/>
          <w:szCs w:val="24"/>
        </w:rPr>
        <w:t xml:space="preserve">, </w:t>
      </w:r>
      <w:r w:rsidRPr="003632D1">
        <w:rPr>
          <w:rFonts w:ascii="Times New Roman" w:hAnsi="Times New Roman" w:cs="Times New Roman"/>
          <w:i/>
          <w:iCs/>
          <w:noProof/>
          <w:sz w:val="24"/>
          <w:szCs w:val="24"/>
        </w:rPr>
        <w:t>The Oxford Encyclopedia of EU Law</w:t>
      </w:r>
      <w:r>
        <w:rPr>
          <w:rFonts w:ascii="Times New Roman" w:hAnsi="Times New Roman" w:cs="Times New Roman"/>
          <w:noProof/>
          <w:sz w:val="24"/>
          <w:szCs w:val="24"/>
        </w:rPr>
        <w:t xml:space="preserve"> (</w:t>
      </w:r>
      <w:r w:rsidRPr="00CB6322">
        <w:rPr>
          <w:rFonts w:ascii="Times New Roman" w:hAnsi="Times New Roman" w:cs="Times New Roman"/>
          <w:noProof/>
          <w:sz w:val="24"/>
          <w:szCs w:val="24"/>
        </w:rPr>
        <w:t xml:space="preserve">Oxford University Press </w:t>
      </w:r>
      <w:r>
        <w:rPr>
          <w:rFonts w:ascii="Times New Roman" w:hAnsi="Times New Roman" w:cs="Times New Roman"/>
          <w:noProof/>
          <w:sz w:val="24"/>
          <w:szCs w:val="24"/>
        </w:rPr>
        <w:t>2022)</w:t>
      </w:r>
    </w:p>
    <w:p w14:paraId="7E14533D" w14:textId="77777777" w:rsidR="00CB6322" w:rsidRPr="006E25B0" w:rsidRDefault="00CB6322" w:rsidP="00D95347">
      <w:pPr>
        <w:rPr>
          <w:rFonts w:ascii="Times New Roman" w:hAnsi="Times New Roman" w:cs="Times New Roman"/>
          <w:noProof/>
          <w:sz w:val="24"/>
          <w:szCs w:val="24"/>
        </w:rPr>
      </w:pPr>
    </w:p>
    <w:p w14:paraId="40E1EAE8" w14:textId="32710EF7" w:rsidR="008E7D18" w:rsidRPr="006E25B0" w:rsidRDefault="00D14284" w:rsidP="00D95347">
      <w:pPr>
        <w:pStyle w:val="Heading1"/>
        <w:rPr>
          <w:rFonts w:ascii="Times New Roman" w:hAnsi="Times New Roman" w:cs="Times New Roman"/>
          <w:noProof/>
          <w:color w:val="auto"/>
        </w:rPr>
      </w:pPr>
      <w:bookmarkStart w:id="0" w:name="_Hlk78370962"/>
      <w:r w:rsidRPr="006E25B0">
        <w:rPr>
          <w:rFonts w:ascii="Times New Roman" w:hAnsi="Times New Roman" w:cs="Times New Roman"/>
          <w:noProof/>
          <w:color w:val="auto"/>
        </w:rPr>
        <w:t>A</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Introduction</w:t>
      </w:r>
    </w:p>
    <w:p w14:paraId="20035272" w14:textId="13C6E8F5" w:rsidR="000C259E" w:rsidRPr="006E25B0" w:rsidRDefault="00D65970" w:rsidP="00D95347">
      <w:pPr>
        <w:rPr>
          <w:rFonts w:ascii="Times New Roman" w:hAnsi="Times New Roman" w:cs="Times New Roman"/>
          <w:noProof/>
          <w:sz w:val="24"/>
          <w:szCs w:val="24"/>
        </w:rPr>
      </w:pPr>
      <w:r w:rsidRPr="006E25B0">
        <w:rPr>
          <w:rFonts w:ascii="Times New Roman" w:hAnsi="Times New Roman" w:cs="Times New Roman"/>
          <w:noProof/>
          <w:sz w:val="24"/>
          <w:szCs w:val="24"/>
        </w:rPr>
        <w:t>1</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Under what conditions do and should </w:t>
      </w:r>
      <w:r w:rsidR="00152101" w:rsidRPr="006E25B0">
        <w:rPr>
          <w:rFonts w:ascii="Times New Roman" w:hAnsi="Times New Roman" w:cs="Times New Roman"/>
          <w:noProof/>
          <w:sz w:val="24"/>
          <w:szCs w:val="24"/>
        </w:rPr>
        <w:t xml:space="preserve">intra-EU </w:t>
      </w:r>
      <w:r w:rsidR="008E7D18" w:rsidRPr="006E25B0">
        <w:rPr>
          <w:rFonts w:ascii="Times New Roman" w:hAnsi="Times New Roman" w:cs="Times New Roman"/>
          <w:noProof/>
          <w:sz w:val="24"/>
          <w:szCs w:val="24"/>
        </w:rPr>
        <w:t xml:space="preserve">migrants have access to welfare benefits? </w:t>
      </w:r>
      <w:r w:rsidR="00F64C57" w:rsidRPr="006E25B0">
        <w:rPr>
          <w:rFonts w:ascii="Times New Roman" w:hAnsi="Times New Roman" w:cs="Times New Roman"/>
          <w:noProof/>
          <w:sz w:val="24"/>
          <w:szCs w:val="24"/>
        </w:rPr>
        <w:t>EU law strikes</w:t>
      </w:r>
      <w:r w:rsidR="008A0282" w:rsidRPr="006E25B0">
        <w:rPr>
          <w:rFonts w:ascii="Times New Roman" w:hAnsi="Times New Roman" w:cs="Times New Roman"/>
          <w:noProof/>
          <w:sz w:val="24"/>
          <w:szCs w:val="24"/>
        </w:rPr>
        <w:t xml:space="preserve"> an increasingly politicised balance between </w:t>
      </w:r>
      <w:r w:rsidR="00B218D5" w:rsidRPr="006E25B0">
        <w:rPr>
          <w:rFonts w:ascii="Times New Roman" w:hAnsi="Times New Roman" w:cs="Times New Roman"/>
          <w:noProof/>
          <w:sz w:val="24"/>
          <w:szCs w:val="24"/>
        </w:rPr>
        <w:t>free movement and national autonomy</w:t>
      </w:r>
      <w:r w:rsidR="00241B3A" w:rsidRPr="006E25B0">
        <w:rPr>
          <w:rFonts w:ascii="Times New Roman" w:hAnsi="Times New Roman" w:cs="Times New Roman"/>
          <w:noProof/>
          <w:sz w:val="24"/>
          <w:szCs w:val="24"/>
        </w:rPr>
        <w:t>, shap</w:t>
      </w:r>
      <w:r w:rsidR="005004DA" w:rsidRPr="006E25B0">
        <w:rPr>
          <w:rFonts w:ascii="Times New Roman" w:hAnsi="Times New Roman" w:cs="Times New Roman"/>
          <w:noProof/>
          <w:sz w:val="24"/>
          <w:szCs w:val="24"/>
        </w:rPr>
        <w:t>ing</w:t>
      </w:r>
      <w:r w:rsidR="00241B3A" w:rsidRPr="006E25B0">
        <w:rPr>
          <w:rFonts w:ascii="Times New Roman" w:hAnsi="Times New Roman" w:cs="Times New Roman"/>
          <w:noProof/>
          <w:sz w:val="24"/>
          <w:szCs w:val="24"/>
        </w:rPr>
        <w:t xml:space="preserve"> EU citizenship while impacting household and state budgets</w:t>
      </w:r>
      <w:r w:rsidR="00B218D5" w:rsidRPr="006E25B0">
        <w:rPr>
          <w:rFonts w:ascii="Times New Roman" w:hAnsi="Times New Roman" w:cs="Times New Roman"/>
          <w:noProof/>
          <w:sz w:val="24"/>
          <w:szCs w:val="24"/>
        </w:rPr>
        <w:t>.</w:t>
      </w:r>
      <w:r w:rsidR="00435CB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This entry describes the legal framework for and debates on social security before turning to social assistance.</w:t>
      </w:r>
      <w:r w:rsidR="00920770" w:rsidRPr="006E25B0">
        <w:rPr>
          <w:rFonts w:ascii="Times New Roman" w:hAnsi="Times New Roman" w:cs="Times New Roman"/>
          <w:noProof/>
          <w:sz w:val="24"/>
          <w:szCs w:val="24"/>
        </w:rPr>
        <w:t xml:space="preserve"> </w:t>
      </w:r>
    </w:p>
    <w:p w14:paraId="5D8A3BB8" w14:textId="346D078C" w:rsidR="008E7D18" w:rsidRPr="006E25B0" w:rsidRDefault="00D14284" w:rsidP="00D95347">
      <w:pPr>
        <w:pStyle w:val="Heading1"/>
        <w:rPr>
          <w:rFonts w:ascii="Times New Roman" w:hAnsi="Times New Roman" w:cs="Times New Roman"/>
          <w:noProof/>
          <w:color w:val="auto"/>
        </w:rPr>
      </w:pPr>
      <w:r w:rsidRPr="006E25B0">
        <w:rPr>
          <w:rFonts w:ascii="Times New Roman" w:hAnsi="Times New Roman" w:cs="Times New Roman"/>
          <w:noProof/>
          <w:color w:val="auto"/>
        </w:rPr>
        <w:t>B</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Social </w:t>
      </w:r>
      <w:r w:rsidR="00CA72AF" w:rsidRPr="006E25B0">
        <w:rPr>
          <w:rFonts w:ascii="Times New Roman" w:hAnsi="Times New Roman" w:cs="Times New Roman"/>
          <w:noProof/>
          <w:color w:val="auto"/>
        </w:rPr>
        <w:t>S</w:t>
      </w:r>
      <w:r w:rsidR="008E7D18" w:rsidRPr="006E25B0">
        <w:rPr>
          <w:rFonts w:ascii="Times New Roman" w:hAnsi="Times New Roman" w:cs="Times New Roman"/>
          <w:noProof/>
          <w:color w:val="auto"/>
        </w:rPr>
        <w:t xml:space="preserve">ecurity </w:t>
      </w:r>
      <w:r w:rsidR="00CA72AF" w:rsidRPr="006E25B0">
        <w:rPr>
          <w:rFonts w:ascii="Times New Roman" w:hAnsi="Times New Roman" w:cs="Times New Roman"/>
          <w:noProof/>
          <w:color w:val="auto"/>
        </w:rPr>
        <w:t>C</w:t>
      </w:r>
      <w:r w:rsidR="008E7D18" w:rsidRPr="006E25B0">
        <w:rPr>
          <w:rFonts w:ascii="Times New Roman" w:hAnsi="Times New Roman" w:cs="Times New Roman"/>
          <w:noProof/>
          <w:color w:val="auto"/>
        </w:rPr>
        <w:t>oordination</w:t>
      </w:r>
    </w:p>
    <w:p w14:paraId="1B21DA43" w14:textId="3A63301C" w:rsidR="008E7D18" w:rsidRPr="006E25B0" w:rsidRDefault="00D65970" w:rsidP="00D95347">
      <w:pPr>
        <w:rPr>
          <w:rFonts w:ascii="Times New Roman" w:hAnsi="Times New Roman" w:cs="Times New Roman"/>
          <w:noProof/>
          <w:sz w:val="24"/>
          <w:szCs w:val="24"/>
        </w:rPr>
      </w:pPr>
      <w:r w:rsidRPr="006E25B0">
        <w:rPr>
          <w:rFonts w:ascii="Times New Roman" w:hAnsi="Times New Roman" w:cs="Times New Roman"/>
          <w:noProof/>
          <w:sz w:val="24"/>
          <w:szCs w:val="24"/>
        </w:rPr>
        <w:t>2</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Social security law revolves around two questions: who owes whom social security benefits and who owes whom social security contributions? In cases that are not confined to </w:t>
      </w:r>
      <w:r w:rsidR="00CD7EE1" w:rsidRPr="006E25B0">
        <w:rPr>
          <w:rFonts w:ascii="Times New Roman" w:hAnsi="Times New Roman" w:cs="Times New Roman"/>
          <w:noProof/>
          <w:sz w:val="24"/>
          <w:szCs w:val="24"/>
        </w:rPr>
        <w:t xml:space="preserve">a single </w:t>
      </w:r>
      <w:r w:rsidR="008E7D18" w:rsidRPr="006E25B0">
        <w:rPr>
          <w:rFonts w:ascii="Times New Roman" w:hAnsi="Times New Roman" w:cs="Times New Roman"/>
          <w:noProof/>
          <w:sz w:val="24"/>
          <w:szCs w:val="24"/>
        </w:rPr>
        <w:t xml:space="preserve">State, two further issues arise. First, which State’s law determines whether benefits or contributions are owed? Second, once the applicable law has been identified, how is it to be applied? Since the late 1950s, the answers to those questions are primarily found in a </w:t>
      </w:r>
      <w:r w:rsidR="005458B7" w:rsidRPr="006E25B0">
        <w:rPr>
          <w:rFonts w:ascii="Times New Roman" w:hAnsi="Times New Roman" w:cs="Times New Roman"/>
          <w:noProof/>
          <w:sz w:val="24"/>
          <w:szCs w:val="24"/>
        </w:rPr>
        <w:t xml:space="preserve">pair </w:t>
      </w:r>
      <w:r w:rsidR="008E7D18" w:rsidRPr="006E25B0">
        <w:rPr>
          <w:rFonts w:ascii="Times New Roman" w:hAnsi="Times New Roman" w:cs="Times New Roman"/>
          <w:noProof/>
          <w:sz w:val="24"/>
          <w:szCs w:val="24"/>
        </w:rPr>
        <w:t>of regulations coordinating social security systems (‘the regulations’</w:t>
      </w:r>
      <w:r w:rsidR="005C2A92" w:rsidRPr="006E25B0">
        <w:rPr>
          <w:rFonts w:ascii="Times New Roman" w:hAnsi="Times New Roman" w:cs="Times New Roman"/>
          <w:noProof/>
          <w:sz w:val="24"/>
          <w:szCs w:val="24"/>
        </w:rPr>
        <w:t xml:space="preserve">; for general studies, see </w:t>
      </w:r>
      <w:r w:rsidR="006E71F6" w:rsidRPr="006E25B0">
        <w:rPr>
          <w:rFonts w:ascii="Times New Roman" w:hAnsi="Times New Roman" w:cs="Times New Roman"/>
          <w:noProof/>
          <w:sz w:val="24"/>
          <w:szCs w:val="24"/>
        </w:rPr>
        <w:t xml:space="preserve">eg </w:t>
      </w:r>
      <w:r w:rsidR="005C2A92" w:rsidRPr="006E25B0">
        <w:rPr>
          <w:rFonts w:ascii="Times New Roman" w:hAnsi="Times New Roman" w:cs="Times New Roman"/>
          <w:noProof/>
          <w:sz w:val="24"/>
          <w:szCs w:val="24"/>
        </w:rPr>
        <w:t>Eichenhofer; Fuchs and Cornelissen; Kahil-Wolff; Pennings, 2009, 2015 A</w:t>
      </w:r>
      <w:r w:rsidR="008E7D18" w:rsidRPr="006E25B0">
        <w:rPr>
          <w:rFonts w:ascii="Times New Roman" w:hAnsi="Times New Roman" w:cs="Times New Roman"/>
          <w:noProof/>
          <w:sz w:val="24"/>
          <w:szCs w:val="24"/>
        </w:rPr>
        <w:t xml:space="preserve">). </w:t>
      </w:r>
      <w:bookmarkStart w:id="1" w:name="_Hlk110840596"/>
      <w:bookmarkEnd w:id="0"/>
      <w:r w:rsidR="008E7D18" w:rsidRPr="006E25B0">
        <w:rPr>
          <w:rFonts w:ascii="Times New Roman" w:hAnsi="Times New Roman" w:cs="Times New Roman"/>
          <w:noProof/>
          <w:sz w:val="24"/>
          <w:szCs w:val="24"/>
        </w:rPr>
        <w:t xml:space="preserve">Essentially, </w:t>
      </w:r>
      <w:bookmarkStart w:id="2" w:name="_Hlk111452595"/>
      <w:r w:rsidR="008E7D18" w:rsidRPr="006E25B0">
        <w:rPr>
          <w:rFonts w:ascii="Times New Roman" w:hAnsi="Times New Roman" w:cs="Times New Roman"/>
          <w:noProof/>
          <w:sz w:val="24"/>
          <w:szCs w:val="24"/>
        </w:rPr>
        <w:t>Regulation</w:t>
      </w:r>
      <w:r w:rsidR="00FD02D1"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(previously Regulations 1408/71 and 3/58) lays down the rights and obligations of people and companies, whereas Regulation 987/2009 (previously Regulations 574/72 and 4/58</w:t>
      </w:r>
      <w:bookmarkEnd w:id="2"/>
      <w:r w:rsidR="008E7D18" w:rsidRPr="006E25B0">
        <w:rPr>
          <w:rFonts w:ascii="Times New Roman" w:hAnsi="Times New Roman" w:cs="Times New Roman"/>
          <w:noProof/>
          <w:sz w:val="24"/>
          <w:szCs w:val="24"/>
        </w:rPr>
        <w:t>) is concerned mostly with the institutional machinery.</w:t>
      </w:r>
      <w:bookmarkEnd w:id="1"/>
      <w:r w:rsidR="008E7D18" w:rsidRPr="006E25B0">
        <w:rPr>
          <w:rFonts w:ascii="Times New Roman" w:hAnsi="Times New Roman" w:cs="Times New Roman"/>
          <w:noProof/>
          <w:sz w:val="24"/>
          <w:szCs w:val="24"/>
        </w:rPr>
        <w:t xml:space="preserve"> Those regulations are strongly intertwined with general free movement law—the free movement and equal treatment rights laid down in the </w:t>
      </w:r>
      <w:r w:rsidR="00B43C93" w:rsidRPr="006E25B0">
        <w:rPr>
          <w:rFonts w:ascii="Times New Roman" w:hAnsi="Times New Roman" w:cs="Times New Roman"/>
          <w:noProof/>
          <w:sz w:val="24"/>
          <w:szCs w:val="24"/>
        </w:rPr>
        <w:t>Treaty on the Functioning of the European Union (</w:t>
      </w:r>
      <w:r w:rsidR="00FA1FDC"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TFEU</w:t>
      </w:r>
      <w:r w:rsidR="00FA1FDC" w:rsidRPr="006E25B0">
        <w:rPr>
          <w:rFonts w:ascii="Times New Roman" w:hAnsi="Times New Roman" w:cs="Times New Roman"/>
          <w:noProof/>
          <w:sz w:val="24"/>
          <w:szCs w:val="24"/>
        </w:rPr>
        <w:t>’</w:t>
      </w:r>
      <w:r w:rsidR="00B43C93"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as well as their limitations and conditions laid down in secondary law, in particular Directive</w:t>
      </w:r>
      <w:r w:rsidR="00FD02D1"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2004/38</w:t>
      </w:r>
      <w:r w:rsidR="00F7301B" w:rsidRPr="006E25B0">
        <w:rPr>
          <w:rFonts w:ascii="Times New Roman" w:hAnsi="Times New Roman" w:cs="Times New Roman"/>
          <w:noProof/>
          <w:sz w:val="24"/>
          <w:szCs w:val="24"/>
        </w:rPr>
        <w:t xml:space="preserve"> (on the relationship between those norms, see eg Dougan; Hancox; Verschueren</w:t>
      </w:r>
      <w:r w:rsidR="00BA1B31" w:rsidRPr="006E25B0">
        <w:rPr>
          <w:rFonts w:ascii="Times New Roman" w:hAnsi="Times New Roman" w:cs="Times New Roman"/>
          <w:noProof/>
          <w:sz w:val="24"/>
          <w:szCs w:val="24"/>
        </w:rPr>
        <w:t>,</w:t>
      </w:r>
      <w:r w:rsidR="00F7301B" w:rsidRPr="006E25B0">
        <w:rPr>
          <w:rFonts w:ascii="Times New Roman" w:hAnsi="Times New Roman" w:cs="Times New Roman"/>
          <w:noProof/>
          <w:sz w:val="24"/>
          <w:szCs w:val="24"/>
        </w:rPr>
        <w:t xml:space="preserve"> 2012)</w:t>
      </w:r>
      <w:r w:rsidR="008E7D18" w:rsidRPr="006E25B0">
        <w:rPr>
          <w:rFonts w:ascii="Times New Roman" w:hAnsi="Times New Roman" w:cs="Times New Roman"/>
          <w:noProof/>
          <w:sz w:val="24"/>
          <w:szCs w:val="24"/>
        </w:rPr>
        <w:t xml:space="preserve">. </w:t>
      </w:r>
    </w:p>
    <w:p w14:paraId="7CBEFCB3" w14:textId="705AE630" w:rsidR="008E7D18" w:rsidRPr="006E25B0" w:rsidRDefault="00D65970" w:rsidP="00D95347">
      <w:pPr>
        <w:rPr>
          <w:rFonts w:ascii="Times New Roman" w:hAnsi="Times New Roman" w:cs="Times New Roman"/>
          <w:noProof/>
          <w:sz w:val="24"/>
          <w:szCs w:val="24"/>
        </w:rPr>
      </w:pPr>
      <w:r w:rsidRPr="006E25B0">
        <w:rPr>
          <w:rFonts w:ascii="Times New Roman" w:hAnsi="Times New Roman" w:cs="Times New Roman"/>
          <w:noProof/>
          <w:sz w:val="24"/>
          <w:szCs w:val="24"/>
        </w:rPr>
        <w:t>3</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regulations aim to reconcile national autonomy in matters of social security with the free movement of persons. Member States enjoy </w:t>
      </w:r>
      <w:r w:rsidR="008E7D18" w:rsidRPr="006E25B0">
        <w:rPr>
          <w:rFonts w:ascii="Times New Roman" w:hAnsi="Times New Roman" w:cs="Times New Roman"/>
          <w:iCs/>
          <w:noProof/>
          <w:sz w:val="24"/>
          <w:szCs w:val="24"/>
        </w:rPr>
        <w:t xml:space="preserve">the exclusive competence to determine the conditions for </w:t>
      </w:r>
      <w:r w:rsidR="00B90A1E" w:rsidRPr="006E25B0">
        <w:rPr>
          <w:rFonts w:ascii="Times New Roman" w:hAnsi="Times New Roman" w:cs="Times New Roman"/>
          <w:iCs/>
          <w:noProof/>
          <w:sz w:val="24"/>
          <w:szCs w:val="24"/>
        </w:rPr>
        <w:t>entitlement to benefits</w:t>
      </w:r>
      <w:r w:rsidR="008E7D18" w:rsidRPr="006E25B0">
        <w:rPr>
          <w:rFonts w:ascii="Times New Roman" w:hAnsi="Times New Roman" w:cs="Times New Roman"/>
          <w:iCs/>
          <w:noProof/>
          <w:sz w:val="24"/>
          <w:szCs w:val="24"/>
        </w:rPr>
        <w:t>, provided they comply with EU law</w:t>
      </w:r>
      <w:r w:rsidR="001B3316" w:rsidRPr="006E25B0">
        <w:rPr>
          <w:rFonts w:ascii="Times New Roman" w:hAnsi="Times New Roman" w:cs="Times New Roman"/>
          <w:iCs/>
          <w:noProof/>
          <w:sz w:val="24"/>
          <w:szCs w:val="24"/>
        </w:rPr>
        <w:t xml:space="preserve"> (</w:t>
      </w:r>
      <w:r w:rsidR="004041E7" w:rsidRPr="006E25B0">
        <w:rPr>
          <w:rFonts w:ascii="Times New Roman" w:hAnsi="Times New Roman" w:cs="Times New Roman"/>
          <w:iCs/>
          <w:noProof/>
          <w:sz w:val="24"/>
          <w:szCs w:val="24"/>
        </w:rPr>
        <w:t xml:space="preserve">eg </w:t>
      </w:r>
      <w:r w:rsidR="004041E7" w:rsidRPr="006E25B0">
        <w:rPr>
          <w:rFonts w:ascii="Times New Roman" w:hAnsi="Times New Roman" w:cs="Times New Roman"/>
          <w:i/>
          <w:noProof/>
          <w:sz w:val="24"/>
          <w:szCs w:val="24"/>
        </w:rPr>
        <w:t>Familienkasse Niedersachsen-Bremen</w:t>
      </w:r>
      <w:r w:rsidR="004041E7" w:rsidRPr="006E25B0">
        <w:rPr>
          <w:rFonts w:ascii="Times New Roman" w:hAnsi="Times New Roman" w:cs="Times New Roman"/>
          <w:noProof/>
          <w:sz w:val="24"/>
          <w:szCs w:val="24"/>
        </w:rPr>
        <w:t>, para. 58</w:t>
      </w:r>
      <w:r w:rsidR="001B3316" w:rsidRPr="006E25B0">
        <w:rPr>
          <w:rFonts w:ascii="Times New Roman" w:hAnsi="Times New Roman" w:cs="Times New Roman"/>
          <w:iCs/>
          <w:noProof/>
          <w:sz w:val="24"/>
          <w:szCs w:val="24"/>
        </w:rPr>
        <w:t>)</w:t>
      </w:r>
      <w:r w:rsidR="008E7D18" w:rsidRPr="006E25B0">
        <w:rPr>
          <w:rFonts w:ascii="Times New Roman" w:hAnsi="Times New Roman" w:cs="Times New Roman"/>
          <w:iCs/>
          <w:noProof/>
          <w:sz w:val="24"/>
          <w:szCs w:val="24"/>
        </w:rPr>
        <w:t xml:space="preserve">. </w:t>
      </w:r>
      <w:r w:rsidR="008E7D18" w:rsidRPr="006E25B0">
        <w:rPr>
          <w:rFonts w:ascii="Times New Roman" w:hAnsi="Times New Roman" w:cs="Times New Roman"/>
          <w:noProof/>
          <w:sz w:val="24"/>
          <w:szCs w:val="24"/>
        </w:rPr>
        <w:t xml:space="preserve">EU free movement law does not dictate what benefits Member States offer or how they fund them (ie the material scope of the welfare state). Rather, it impacts the personal scope of the welfare state, and, more specifically, its international scope, by facilitating migrants’ access to benefits. </w:t>
      </w:r>
    </w:p>
    <w:p w14:paraId="26759566" w14:textId="20F89265" w:rsidR="000C259E" w:rsidRPr="006E25B0" w:rsidRDefault="00D65970" w:rsidP="00D95347">
      <w:pPr>
        <w:rPr>
          <w:rFonts w:ascii="Times New Roman" w:hAnsi="Times New Roman" w:cs="Times New Roman"/>
          <w:noProof/>
          <w:sz w:val="24"/>
          <w:szCs w:val="24"/>
        </w:rPr>
      </w:pPr>
      <w:bookmarkStart w:id="3" w:name="_Hlk111803094"/>
      <w:r w:rsidRPr="006E25B0">
        <w:rPr>
          <w:rFonts w:ascii="Times New Roman" w:hAnsi="Times New Roman" w:cs="Times New Roman"/>
          <w:noProof/>
          <w:sz w:val="24"/>
          <w:szCs w:val="24"/>
        </w:rPr>
        <w:lastRenderedPageBreak/>
        <w:t>4</w:t>
      </w:r>
      <w:r w:rsidRPr="006E25B0">
        <w:rPr>
          <w:rFonts w:ascii="Times New Roman" w:hAnsi="Times New Roman" w:cs="Times New Roman"/>
          <w:noProof/>
          <w:sz w:val="24"/>
          <w:szCs w:val="24"/>
        </w:rPr>
        <w:tab/>
      </w:r>
      <w:bookmarkEnd w:id="3"/>
      <w:r w:rsidR="00A646DD" w:rsidRPr="006E25B0">
        <w:rPr>
          <w:rFonts w:ascii="Times New Roman" w:hAnsi="Times New Roman" w:cs="Times New Roman"/>
          <w:noProof/>
          <w:sz w:val="24"/>
          <w:szCs w:val="24"/>
        </w:rPr>
        <w:t xml:space="preserve">This section </w:t>
      </w:r>
      <w:r w:rsidR="00E36A4F" w:rsidRPr="006E25B0">
        <w:rPr>
          <w:rFonts w:ascii="Times New Roman" w:hAnsi="Times New Roman" w:cs="Times New Roman"/>
          <w:noProof/>
          <w:sz w:val="24"/>
          <w:szCs w:val="24"/>
        </w:rPr>
        <w:t>opens</w:t>
      </w:r>
      <w:r w:rsidR="00A646DD" w:rsidRPr="006E25B0">
        <w:rPr>
          <w:rFonts w:ascii="Times New Roman" w:hAnsi="Times New Roman" w:cs="Times New Roman"/>
          <w:noProof/>
          <w:sz w:val="24"/>
          <w:szCs w:val="24"/>
        </w:rPr>
        <w:t xml:space="preserve"> </w:t>
      </w:r>
      <w:r w:rsidR="00501D66" w:rsidRPr="006E25B0">
        <w:rPr>
          <w:rFonts w:ascii="Times New Roman" w:hAnsi="Times New Roman" w:cs="Times New Roman"/>
          <w:noProof/>
          <w:sz w:val="24"/>
          <w:szCs w:val="24"/>
        </w:rPr>
        <w:t xml:space="preserve">with </w:t>
      </w:r>
      <w:r w:rsidR="008A02CF" w:rsidRPr="006E25B0">
        <w:rPr>
          <w:rFonts w:ascii="Times New Roman" w:hAnsi="Times New Roman" w:cs="Times New Roman"/>
          <w:noProof/>
          <w:sz w:val="24"/>
          <w:szCs w:val="24"/>
        </w:rPr>
        <w:t>the regulations’</w:t>
      </w:r>
      <w:r w:rsidR="00156287" w:rsidRPr="006E25B0">
        <w:rPr>
          <w:rFonts w:ascii="Times New Roman" w:hAnsi="Times New Roman" w:cs="Times New Roman"/>
          <w:noProof/>
          <w:sz w:val="24"/>
          <w:szCs w:val="24"/>
        </w:rPr>
        <w:t xml:space="preserve"> scope</w:t>
      </w:r>
      <w:r w:rsidR="00A646DD" w:rsidRPr="006E25B0">
        <w:rPr>
          <w:rFonts w:ascii="Times New Roman" w:hAnsi="Times New Roman" w:cs="Times New Roman"/>
          <w:noProof/>
          <w:sz w:val="24"/>
          <w:szCs w:val="24"/>
        </w:rPr>
        <w:t xml:space="preserve">: </w:t>
      </w:r>
      <w:r w:rsidR="00156287" w:rsidRPr="006E25B0">
        <w:rPr>
          <w:rFonts w:ascii="Times New Roman" w:hAnsi="Times New Roman" w:cs="Times New Roman"/>
          <w:noProof/>
          <w:sz w:val="24"/>
          <w:szCs w:val="24"/>
        </w:rPr>
        <w:t xml:space="preserve">to </w:t>
      </w:r>
      <w:r w:rsidR="00A646DD" w:rsidRPr="006E25B0">
        <w:rPr>
          <w:rFonts w:ascii="Times New Roman" w:hAnsi="Times New Roman" w:cs="Times New Roman"/>
          <w:noProof/>
          <w:sz w:val="24"/>
          <w:szCs w:val="24"/>
        </w:rPr>
        <w:t xml:space="preserve">what </w:t>
      </w:r>
      <w:r w:rsidR="00156287" w:rsidRPr="006E25B0">
        <w:rPr>
          <w:rFonts w:ascii="Times New Roman" w:hAnsi="Times New Roman" w:cs="Times New Roman"/>
          <w:noProof/>
          <w:sz w:val="24"/>
          <w:szCs w:val="24"/>
        </w:rPr>
        <w:t>benefits</w:t>
      </w:r>
      <w:r w:rsidR="00A646DD" w:rsidRPr="006E25B0">
        <w:rPr>
          <w:rFonts w:ascii="Times New Roman" w:hAnsi="Times New Roman" w:cs="Times New Roman"/>
          <w:noProof/>
          <w:sz w:val="24"/>
          <w:szCs w:val="24"/>
        </w:rPr>
        <w:t xml:space="preserve">, </w:t>
      </w:r>
      <w:r w:rsidR="00156287" w:rsidRPr="006E25B0">
        <w:rPr>
          <w:rFonts w:ascii="Times New Roman" w:hAnsi="Times New Roman" w:cs="Times New Roman"/>
          <w:noProof/>
          <w:sz w:val="24"/>
          <w:szCs w:val="24"/>
        </w:rPr>
        <w:t xml:space="preserve">to </w:t>
      </w:r>
      <w:r w:rsidR="00A646DD" w:rsidRPr="006E25B0">
        <w:rPr>
          <w:rFonts w:ascii="Times New Roman" w:hAnsi="Times New Roman" w:cs="Times New Roman"/>
          <w:noProof/>
          <w:sz w:val="24"/>
          <w:szCs w:val="24"/>
        </w:rPr>
        <w:t>who</w:t>
      </w:r>
      <w:r w:rsidR="00E04038" w:rsidRPr="006E25B0">
        <w:rPr>
          <w:rFonts w:ascii="Times New Roman" w:hAnsi="Times New Roman" w:cs="Times New Roman"/>
          <w:noProof/>
          <w:sz w:val="24"/>
          <w:szCs w:val="24"/>
        </w:rPr>
        <w:t>m</w:t>
      </w:r>
      <w:r w:rsidR="00A646DD" w:rsidRPr="006E25B0">
        <w:rPr>
          <w:rFonts w:ascii="Times New Roman" w:hAnsi="Times New Roman" w:cs="Times New Roman"/>
          <w:noProof/>
          <w:sz w:val="24"/>
          <w:szCs w:val="24"/>
        </w:rPr>
        <w:t xml:space="preserve"> and </w:t>
      </w:r>
      <w:r w:rsidR="00E04038" w:rsidRPr="006E25B0">
        <w:rPr>
          <w:rFonts w:ascii="Times New Roman" w:hAnsi="Times New Roman" w:cs="Times New Roman"/>
          <w:noProof/>
          <w:sz w:val="24"/>
          <w:szCs w:val="24"/>
        </w:rPr>
        <w:t xml:space="preserve">where </w:t>
      </w:r>
      <w:r w:rsidR="00156287" w:rsidRPr="006E25B0">
        <w:rPr>
          <w:rFonts w:ascii="Times New Roman" w:hAnsi="Times New Roman" w:cs="Times New Roman"/>
          <w:noProof/>
          <w:sz w:val="24"/>
          <w:szCs w:val="24"/>
        </w:rPr>
        <w:t>do the</w:t>
      </w:r>
      <w:r w:rsidR="00F82312" w:rsidRPr="006E25B0">
        <w:rPr>
          <w:rFonts w:ascii="Times New Roman" w:hAnsi="Times New Roman" w:cs="Times New Roman"/>
          <w:noProof/>
          <w:sz w:val="24"/>
          <w:szCs w:val="24"/>
        </w:rPr>
        <w:t>y</w:t>
      </w:r>
      <w:r w:rsidR="00156287" w:rsidRPr="006E25B0">
        <w:rPr>
          <w:rFonts w:ascii="Times New Roman" w:hAnsi="Times New Roman" w:cs="Times New Roman"/>
          <w:noProof/>
          <w:sz w:val="24"/>
          <w:szCs w:val="24"/>
        </w:rPr>
        <w:t xml:space="preserve"> apply? It then discusses the main conflict rules, which determine which State’s law applies to a particular person</w:t>
      </w:r>
      <w:r w:rsidR="00E36A4F" w:rsidRPr="006E25B0">
        <w:rPr>
          <w:rFonts w:ascii="Times New Roman" w:hAnsi="Times New Roman" w:cs="Times New Roman"/>
          <w:noProof/>
          <w:sz w:val="24"/>
          <w:szCs w:val="24"/>
        </w:rPr>
        <w:t xml:space="preserve">, before turning to the general principles that modify that law. </w:t>
      </w:r>
      <w:r w:rsidR="00B02BFA" w:rsidRPr="006E25B0">
        <w:rPr>
          <w:rFonts w:ascii="Times New Roman" w:hAnsi="Times New Roman" w:cs="Times New Roman"/>
          <w:noProof/>
          <w:sz w:val="24"/>
          <w:szCs w:val="24"/>
        </w:rPr>
        <w:t xml:space="preserve">This section </w:t>
      </w:r>
      <w:r w:rsidR="003B61A6" w:rsidRPr="006E25B0">
        <w:rPr>
          <w:rFonts w:ascii="Times New Roman" w:hAnsi="Times New Roman" w:cs="Times New Roman"/>
          <w:noProof/>
          <w:sz w:val="24"/>
          <w:szCs w:val="24"/>
        </w:rPr>
        <w:t xml:space="preserve">ends with a brief overview of </w:t>
      </w:r>
      <w:r w:rsidR="00B02BFA" w:rsidRPr="006E25B0">
        <w:rPr>
          <w:rFonts w:ascii="Times New Roman" w:hAnsi="Times New Roman" w:cs="Times New Roman"/>
          <w:noProof/>
          <w:sz w:val="24"/>
          <w:szCs w:val="24"/>
        </w:rPr>
        <w:t>some specific rules for sickness benefits, old-age pensions and family benefits</w:t>
      </w:r>
      <w:r w:rsidR="00C52CA7" w:rsidRPr="006E25B0">
        <w:rPr>
          <w:rFonts w:ascii="Times New Roman" w:hAnsi="Times New Roman" w:cs="Times New Roman"/>
          <w:noProof/>
          <w:sz w:val="24"/>
          <w:szCs w:val="24"/>
        </w:rPr>
        <w:t>.</w:t>
      </w:r>
    </w:p>
    <w:p w14:paraId="45F1605B" w14:textId="6AEAB10E" w:rsidR="008E7D18" w:rsidRPr="006E25B0" w:rsidRDefault="00C02263" w:rsidP="00D95347">
      <w:pPr>
        <w:pStyle w:val="Heading2"/>
        <w:rPr>
          <w:rFonts w:ascii="Times New Roman" w:hAnsi="Times New Roman" w:cs="Times New Roman"/>
          <w:noProof/>
          <w:color w:val="auto"/>
        </w:rPr>
      </w:pPr>
      <w:bookmarkStart w:id="4" w:name="_Hlk78294463"/>
      <w:r w:rsidRPr="006E25B0">
        <w:rPr>
          <w:rFonts w:ascii="Times New Roman" w:hAnsi="Times New Roman" w:cs="Times New Roman"/>
          <w:noProof/>
          <w:color w:val="auto"/>
        </w:rPr>
        <w:t xml:space="preserve">1. </w:t>
      </w:r>
      <w:r w:rsidR="008E7D18" w:rsidRPr="006E25B0">
        <w:rPr>
          <w:rFonts w:ascii="Times New Roman" w:hAnsi="Times New Roman" w:cs="Times New Roman"/>
          <w:noProof/>
          <w:color w:val="auto"/>
        </w:rPr>
        <w:t>Scope</w:t>
      </w:r>
    </w:p>
    <w:p w14:paraId="580A4A50" w14:textId="6953D008"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(a)</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Material scope</w:t>
      </w:r>
    </w:p>
    <w:bookmarkEnd w:id="4"/>
    <w:p w14:paraId="1DD1D54D" w14:textId="056B24A9" w:rsidR="008E7D18" w:rsidRPr="006E25B0" w:rsidRDefault="00D65970" w:rsidP="00D95347">
      <w:pPr>
        <w:rPr>
          <w:rFonts w:ascii="Times New Roman" w:hAnsi="Times New Roman" w:cs="Times New Roman"/>
          <w:noProof/>
          <w:sz w:val="24"/>
          <w:szCs w:val="24"/>
        </w:rPr>
      </w:pPr>
      <w:r w:rsidRPr="006E25B0">
        <w:rPr>
          <w:rFonts w:ascii="Times New Roman" w:hAnsi="Times New Roman" w:cs="Times New Roman"/>
          <w:noProof/>
          <w:sz w:val="24"/>
          <w:szCs w:val="24"/>
        </w:rPr>
        <w:t>5</w:t>
      </w:r>
      <w:r w:rsidR="00D95347" w:rsidRPr="006E25B0">
        <w:rPr>
          <w:rFonts w:ascii="Times New Roman" w:hAnsi="Times New Roman" w:cs="Times New Roman"/>
          <w:noProof/>
          <w:sz w:val="24"/>
          <w:szCs w:val="24"/>
        </w:rPr>
        <w:tab/>
      </w:r>
      <w:r w:rsidR="00E56DDD" w:rsidRPr="006E25B0">
        <w:rPr>
          <w:rFonts w:ascii="Times New Roman" w:hAnsi="Times New Roman" w:cs="Times New Roman"/>
          <w:noProof/>
          <w:sz w:val="24"/>
          <w:szCs w:val="24"/>
        </w:rPr>
        <w:t xml:space="preserve">What benefits do the regulations cover? </w:t>
      </w:r>
      <w:r w:rsidR="008E7D18" w:rsidRPr="006E25B0">
        <w:rPr>
          <w:rFonts w:ascii="Times New Roman" w:hAnsi="Times New Roman" w:cs="Times New Roman"/>
          <w:noProof/>
          <w:sz w:val="24"/>
          <w:szCs w:val="24"/>
        </w:rPr>
        <w:t xml:space="preserve">It is settled case-law that </w:t>
      </w:r>
    </w:p>
    <w:p w14:paraId="15F0B694" w14:textId="1DD4E762" w:rsidR="008E7D18" w:rsidRPr="006E25B0" w:rsidRDefault="008E7D18" w:rsidP="00D95347">
      <w:pPr>
        <w:ind w:left="720"/>
        <w:rPr>
          <w:rFonts w:ascii="Times New Roman" w:hAnsi="Times New Roman" w:cs="Times New Roman"/>
          <w:noProof/>
          <w:sz w:val="24"/>
          <w:szCs w:val="24"/>
        </w:rPr>
      </w:pPr>
      <w:r w:rsidRPr="006E25B0">
        <w:rPr>
          <w:rFonts w:ascii="Times New Roman" w:hAnsi="Times New Roman" w:cs="Times New Roman"/>
          <w:noProof/>
          <w:sz w:val="24"/>
          <w:szCs w:val="24"/>
        </w:rPr>
        <w:t>‘a benefit may be regarded as a social security benefit if it is granted to the recipients, without any individual and discretionary assessment of personal needs, on the basis of a legally defined position and relates to one of the risks expressly listed in Article 3(1) of Regulation No 883/2004’</w:t>
      </w:r>
      <w:r w:rsidR="009A7301" w:rsidRPr="006E25B0">
        <w:rPr>
          <w:rFonts w:ascii="Times New Roman" w:hAnsi="Times New Roman" w:cs="Times New Roman"/>
          <w:noProof/>
          <w:sz w:val="24"/>
          <w:szCs w:val="24"/>
        </w:rPr>
        <w:t xml:space="preserve"> (</w:t>
      </w:r>
      <w:r w:rsidR="009A7301" w:rsidRPr="006E25B0">
        <w:rPr>
          <w:rFonts w:ascii="Times New Roman" w:hAnsi="Times New Roman" w:cs="Times New Roman"/>
          <w:i/>
          <w:noProof/>
          <w:sz w:val="24"/>
          <w:szCs w:val="24"/>
        </w:rPr>
        <w:t>Commission v Slovak Republic</w:t>
      </w:r>
      <w:r w:rsidR="009A7301" w:rsidRPr="006E25B0">
        <w:rPr>
          <w:rFonts w:ascii="Times New Roman" w:hAnsi="Times New Roman" w:cs="Times New Roman"/>
          <w:noProof/>
          <w:sz w:val="24"/>
          <w:szCs w:val="24"/>
        </w:rPr>
        <w:t xml:space="preserve">, </w:t>
      </w:r>
      <w:r w:rsidR="003A68D6" w:rsidRPr="006E25B0">
        <w:rPr>
          <w:rFonts w:ascii="Times New Roman" w:hAnsi="Times New Roman" w:cs="Times New Roman"/>
          <w:noProof/>
          <w:sz w:val="24"/>
          <w:szCs w:val="24"/>
        </w:rPr>
        <w:t xml:space="preserve">para. </w:t>
      </w:r>
      <w:r w:rsidR="009A7301" w:rsidRPr="006E25B0">
        <w:rPr>
          <w:rFonts w:ascii="Times New Roman" w:hAnsi="Times New Roman" w:cs="Times New Roman"/>
          <w:noProof/>
          <w:sz w:val="24"/>
          <w:szCs w:val="24"/>
        </w:rPr>
        <w:t>47)</w:t>
      </w:r>
      <w:r w:rsidRPr="006E25B0">
        <w:rPr>
          <w:rFonts w:ascii="Times New Roman" w:hAnsi="Times New Roman" w:cs="Times New Roman"/>
          <w:noProof/>
          <w:sz w:val="24"/>
          <w:szCs w:val="24"/>
        </w:rPr>
        <w:t xml:space="preserve">. </w:t>
      </w:r>
    </w:p>
    <w:p w14:paraId="4E9909CE" w14:textId="49019CA5" w:rsidR="008E7D18" w:rsidRPr="006E25B0" w:rsidRDefault="00D95347" w:rsidP="00D95347">
      <w:pPr>
        <w:rPr>
          <w:rFonts w:ascii="Times New Roman" w:hAnsi="Times New Roman" w:cs="Times New Roman"/>
          <w:noProof/>
          <w:sz w:val="24"/>
          <w:szCs w:val="24"/>
        </w:rPr>
      </w:pPr>
      <w:r w:rsidRPr="006E25B0">
        <w:rPr>
          <w:rFonts w:ascii="Times New Roman" w:hAnsi="Times New Roman" w:cs="Times New Roman"/>
          <w:noProof/>
          <w:sz w:val="24"/>
          <w:szCs w:val="24"/>
        </w:rPr>
        <w:t>6</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overwhelming majority of welfare benefits offered by Member states are non-discretionary. The main criterion therefore relates to the risk</w:t>
      </w:r>
      <w:bookmarkStart w:id="5" w:name="_Hlk482639728"/>
      <w:bookmarkStart w:id="6" w:name="_Hlk482639648"/>
      <w:r w:rsidR="008E7D18" w:rsidRPr="006E25B0">
        <w:rPr>
          <w:rFonts w:ascii="Times New Roman" w:hAnsi="Times New Roman" w:cs="Times New Roman"/>
          <w:noProof/>
          <w:sz w:val="24"/>
          <w:szCs w:val="24"/>
        </w:rPr>
        <w:t>. For instance, unemployment benefits cover the risk of being involuntarily out of work, while capable of working.</w:t>
      </w:r>
      <w:bookmarkEnd w:id="5"/>
      <w:r w:rsidR="008E7D18" w:rsidRPr="006E25B0">
        <w:rPr>
          <w:rFonts w:ascii="Times New Roman" w:hAnsi="Times New Roman" w:cs="Times New Roman"/>
          <w:noProof/>
          <w:sz w:val="24"/>
          <w:szCs w:val="24"/>
        </w:rPr>
        <w:t xml:space="preserve"> </w:t>
      </w:r>
      <w:bookmarkEnd w:id="6"/>
      <w:r w:rsidR="008E7D18" w:rsidRPr="006E25B0">
        <w:rPr>
          <w:rFonts w:ascii="Times New Roman" w:hAnsi="Times New Roman" w:cs="Times New Roman"/>
          <w:noProof/>
          <w:sz w:val="24"/>
          <w:szCs w:val="24"/>
        </w:rPr>
        <w:t>Regulation</w:t>
      </w:r>
      <w:r w:rsidR="00FD02D1"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covers all traditional branches of social security: sickness benefits; maternity and equivalent paternity benefits; invalidity benefits; old-age benefits; survivors’ benefits; death grants; benefits in respect of accidents at work and occupational diseases; unemployment benefits; and family benefits</w:t>
      </w:r>
      <w:r w:rsidR="009A7301" w:rsidRPr="006E25B0">
        <w:rPr>
          <w:rFonts w:ascii="Times New Roman" w:hAnsi="Times New Roman" w:cs="Times New Roman"/>
          <w:noProof/>
          <w:sz w:val="24"/>
          <w:szCs w:val="24"/>
        </w:rPr>
        <w:t xml:space="preserve"> (Art. 3 Regulation</w:t>
      </w:r>
      <w:r w:rsidR="00FD02D1" w:rsidRPr="006E25B0">
        <w:rPr>
          <w:rFonts w:ascii="Times New Roman" w:hAnsi="Times New Roman" w:cs="Times New Roman"/>
          <w:noProof/>
          <w:sz w:val="24"/>
          <w:szCs w:val="24"/>
        </w:rPr>
        <w:t xml:space="preserve"> </w:t>
      </w:r>
      <w:r w:rsidR="009A7301" w:rsidRPr="006E25B0">
        <w:rPr>
          <w:rFonts w:ascii="Times New Roman" w:hAnsi="Times New Roman" w:cs="Times New Roman"/>
          <w:noProof/>
          <w:sz w:val="24"/>
          <w:szCs w:val="24"/>
        </w:rPr>
        <w:t>883/2004)</w:t>
      </w:r>
      <w:r w:rsidR="008E7D18" w:rsidRPr="006E25B0">
        <w:rPr>
          <w:rFonts w:ascii="Times New Roman" w:hAnsi="Times New Roman" w:cs="Times New Roman"/>
          <w:noProof/>
          <w:sz w:val="24"/>
          <w:szCs w:val="24"/>
        </w:rPr>
        <w:t>. The regulation</w:t>
      </w:r>
      <w:r w:rsidR="008C3715" w:rsidRPr="006E25B0">
        <w:rPr>
          <w:rFonts w:ascii="Times New Roman" w:hAnsi="Times New Roman" w:cs="Times New Roman"/>
          <w:noProof/>
          <w:sz w:val="24"/>
          <w:szCs w:val="24"/>
        </w:rPr>
        <w:t>s</w:t>
      </w:r>
      <w:r w:rsidR="008E7D18" w:rsidRPr="006E25B0">
        <w:rPr>
          <w:rFonts w:ascii="Times New Roman" w:hAnsi="Times New Roman" w:cs="Times New Roman"/>
          <w:noProof/>
          <w:sz w:val="24"/>
          <w:szCs w:val="24"/>
        </w:rPr>
        <w:t xml:space="preserve"> also govern pre-retirement benefits and special non-contributory cash benefits.</w:t>
      </w:r>
    </w:p>
    <w:p w14:paraId="601A0CF5" w14:textId="6EE972C9" w:rsidR="008E7D18" w:rsidRPr="006E25B0" w:rsidRDefault="00D95347" w:rsidP="00D95347">
      <w:pPr>
        <w:rPr>
          <w:rFonts w:ascii="Times New Roman" w:hAnsi="Times New Roman" w:cs="Times New Roman"/>
          <w:iCs/>
          <w:noProof/>
          <w:sz w:val="24"/>
          <w:szCs w:val="24"/>
        </w:rPr>
      </w:pPr>
      <w:r w:rsidRPr="006E25B0">
        <w:rPr>
          <w:rFonts w:ascii="Times New Roman" w:hAnsi="Times New Roman" w:cs="Times New Roman"/>
          <w:noProof/>
          <w:sz w:val="24"/>
          <w:szCs w:val="24"/>
        </w:rPr>
        <w:t>7</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legal form further delineates the scope of the regulation</w:t>
      </w:r>
      <w:r w:rsidR="008C3715" w:rsidRPr="006E25B0">
        <w:rPr>
          <w:rFonts w:ascii="Times New Roman" w:hAnsi="Times New Roman" w:cs="Times New Roman"/>
          <w:noProof/>
          <w:sz w:val="24"/>
          <w:szCs w:val="24"/>
        </w:rPr>
        <w:t>s</w:t>
      </w:r>
      <w:r w:rsidR="008E7D18" w:rsidRPr="006E25B0">
        <w:rPr>
          <w:rFonts w:ascii="Times New Roman" w:hAnsi="Times New Roman" w:cs="Times New Roman"/>
          <w:noProof/>
          <w:sz w:val="24"/>
          <w:szCs w:val="24"/>
        </w:rPr>
        <w:t xml:space="preserve">. </w:t>
      </w:r>
      <w:r w:rsidR="008C3715" w:rsidRPr="006E25B0">
        <w:rPr>
          <w:rFonts w:ascii="Times New Roman" w:hAnsi="Times New Roman" w:cs="Times New Roman"/>
          <w:noProof/>
          <w:sz w:val="24"/>
          <w:szCs w:val="24"/>
        </w:rPr>
        <w:t xml:space="preserve">They apply </w:t>
      </w:r>
      <w:r w:rsidR="008E7D18" w:rsidRPr="006E25B0">
        <w:rPr>
          <w:rFonts w:ascii="Times New Roman" w:hAnsi="Times New Roman" w:cs="Times New Roman"/>
          <w:noProof/>
          <w:sz w:val="24"/>
          <w:szCs w:val="24"/>
        </w:rPr>
        <w:t xml:space="preserve">to ‘all legislation’ concerning those branches of social security. </w:t>
      </w:r>
      <w:bookmarkStart w:id="7" w:name="_Hlk111451724"/>
      <w:r w:rsidR="008E7D18" w:rsidRPr="006E25B0">
        <w:rPr>
          <w:rFonts w:ascii="Times New Roman" w:hAnsi="Times New Roman" w:cs="Times New Roman"/>
          <w:noProof/>
          <w:sz w:val="24"/>
          <w:szCs w:val="24"/>
        </w:rPr>
        <w:t xml:space="preserve">The notion of </w:t>
      </w:r>
      <w:r w:rsidR="00A33A69"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legislation</w:t>
      </w:r>
      <w:r w:rsidR="00A33A69"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is ‘</w:t>
      </w:r>
      <w:r w:rsidR="008E7D18" w:rsidRPr="006E25B0">
        <w:rPr>
          <w:rFonts w:ascii="Times New Roman" w:hAnsi="Times New Roman" w:cs="Times New Roman"/>
          <w:iCs/>
          <w:noProof/>
          <w:sz w:val="24"/>
          <w:szCs w:val="24"/>
        </w:rPr>
        <w:t>remarkable for its breadth’</w:t>
      </w:r>
      <w:r w:rsidR="00B157CD" w:rsidRPr="006E25B0">
        <w:rPr>
          <w:rFonts w:ascii="Times New Roman" w:hAnsi="Times New Roman" w:cs="Times New Roman"/>
          <w:iCs/>
          <w:noProof/>
          <w:sz w:val="24"/>
          <w:szCs w:val="24"/>
        </w:rPr>
        <w:t xml:space="preserve"> (</w:t>
      </w:r>
      <w:r w:rsidR="00B157CD" w:rsidRPr="006E25B0">
        <w:rPr>
          <w:rFonts w:ascii="Times New Roman" w:hAnsi="Times New Roman" w:cs="Times New Roman"/>
          <w:i/>
          <w:iCs/>
          <w:noProof/>
          <w:sz w:val="24"/>
          <w:szCs w:val="24"/>
        </w:rPr>
        <w:t>van Roosmalen</w:t>
      </w:r>
      <w:r w:rsidR="00B157CD" w:rsidRPr="006E25B0">
        <w:rPr>
          <w:rFonts w:ascii="Times New Roman" w:hAnsi="Times New Roman" w:cs="Times New Roman"/>
          <w:iCs/>
          <w:noProof/>
          <w:sz w:val="24"/>
          <w:szCs w:val="24"/>
        </w:rPr>
        <w:t xml:space="preserve">, </w:t>
      </w:r>
      <w:r w:rsidR="00F02406" w:rsidRPr="006E25B0">
        <w:rPr>
          <w:rFonts w:ascii="Times New Roman" w:hAnsi="Times New Roman" w:cs="Times New Roman"/>
          <w:noProof/>
          <w:sz w:val="24"/>
          <w:szCs w:val="24"/>
        </w:rPr>
        <w:t xml:space="preserve">para. </w:t>
      </w:r>
      <w:r w:rsidR="00B157CD" w:rsidRPr="006E25B0">
        <w:rPr>
          <w:rFonts w:ascii="Times New Roman" w:hAnsi="Times New Roman" w:cs="Times New Roman"/>
          <w:iCs/>
          <w:noProof/>
          <w:sz w:val="24"/>
          <w:szCs w:val="24"/>
        </w:rPr>
        <w:t>28)</w:t>
      </w:r>
      <w:r w:rsidR="008E7D18" w:rsidRPr="006E25B0">
        <w:rPr>
          <w:rFonts w:ascii="Times New Roman" w:hAnsi="Times New Roman" w:cs="Times New Roman"/>
          <w:iCs/>
          <w:noProof/>
          <w:sz w:val="24"/>
          <w:szCs w:val="24"/>
        </w:rPr>
        <w:t>, but covers neither collective labour agreements nor international conventions</w:t>
      </w:r>
      <w:r w:rsidR="00B157CD" w:rsidRPr="006E25B0">
        <w:rPr>
          <w:rFonts w:ascii="Times New Roman" w:hAnsi="Times New Roman" w:cs="Times New Roman"/>
          <w:iCs/>
          <w:noProof/>
          <w:sz w:val="24"/>
          <w:szCs w:val="24"/>
        </w:rPr>
        <w:t xml:space="preserve"> (Art. 1(l) Regulation</w:t>
      </w:r>
      <w:r w:rsidR="00FD02D1" w:rsidRPr="006E25B0">
        <w:rPr>
          <w:rFonts w:ascii="Times New Roman" w:hAnsi="Times New Roman" w:cs="Times New Roman"/>
          <w:iCs/>
          <w:noProof/>
          <w:sz w:val="24"/>
          <w:szCs w:val="24"/>
        </w:rPr>
        <w:t xml:space="preserve"> </w:t>
      </w:r>
      <w:r w:rsidR="00B157CD" w:rsidRPr="006E25B0">
        <w:rPr>
          <w:rFonts w:ascii="Times New Roman" w:hAnsi="Times New Roman" w:cs="Times New Roman"/>
          <w:iCs/>
          <w:noProof/>
          <w:sz w:val="24"/>
          <w:szCs w:val="24"/>
        </w:rPr>
        <w:t>883/2004;</w:t>
      </w:r>
      <w:r w:rsidR="00B157CD" w:rsidRPr="006E25B0">
        <w:rPr>
          <w:rFonts w:ascii="Times New Roman" w:hAnsi="Times New Roman" w:cs="Times New Roman"/>
          <w:i/>
          <w:noProof/>
          <w:sz w:val="24"/>
          <w:szCs w:val="24"/>
        </w:rPr>
        <w:t xml:space="preserve"> </w:t>
      </w:r>
      <w:r w:rsidR="00B157CD" w:rsidRPr="006E25B0">
        <w:rPr>
          <w:rFonts w:ascii="Times New Roman" w:hAnsi="Times New Roman" w:cs="Times New Roman"/>
          <w:i/>
          <w:iCs/>
          <w:noProof/>
          <w:sz w:val="24"/>
          <w:szCs w:val="24"/>
        </w:rPr>
        <w:t>Grana-Novoa</w:t>
      </w:r>
      <w:r w:rsidR="00B157CD" w:rsidRPr="006E25B0">
        <w:rPr>
          <w:rFonts w:ascii="Times New Roman" w:hAnsi="Times New Roman" w:cs="Times New Roman"/>
          <w:iCs/>
          <w:noProof/>
          <w:sz w:val="24"/>
          <w:szCs w:val="24"/>
        </w:rPr>
        <w:t>)</w:t>
      </w:r>
      <w:r w:rsidR="008E7D18" w:rsidRPr="006E25B0">
        <w:rPr>
          <w:rFonts w:ascii="Times New Roman" w:hAnsi="Times New Roman" w:cs="Times New Roman"/>
          <w:iCs/>
          <w:noProof/>
          <w:sz w:val="24"/>
          <w:szCs w:val="24"/>
        </w:rPr>
        <w:t xml:space="preserve">. </w:t>
      </w:r>
      <w:bookmarkEnd w:id="7"/>
    </w:p>
    <w:p w14:paraId="62700D23" w14:textId="7079FE4C" w:rsidR="008E7D18" w:rsidRPr="006E25B0" w:rsidRDefault="00D95347" w:rsidP="00D95347">
      <w:pPr>
        <w:rPr>
          <w:rFonts w:ascii="Times New Roman" w:hAnsi="Times New Roman" w:cs="Times New Roman"/>
          <w:iCs/>
          <w:noProof/>
          <w:sz w:val="24"/>
          <w:szCs w:val="24"/>
        </w:rPr>
      </w:pPr>
      <w:r w:rsidRPr="006E25B0">
        <w:rPr>
          <w:rFonts w:ascii="Times New Roman" w:hAnsi="Times New Roman" w:cs="Times New Roman"/>
          <w:noProof/>
          <w:sz w:val="24"/>
          <w:szCs w:val="24"/>
        </w:rPr>
        <w:t>8</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In sum, </w:t>
      </w:r>
      <w:r w:rsidR="008E7D18" w:rsidRPr="006E25B0">
        <w:rPr>
          <w:rFonts w:ascii="Times New Roman" w:hAnsi="Times New Roman" w:cs="Times New Roman"/>
          <w:iCs/>
          <w:noProof/>
          <w:sz w:val="24"/>
          <w:szCs w:val="24"/>
        </w:rPr>
        <w:t>Regulation</w:t>
      </w:r>
      <w:r w:rsidR="00FD02D1" w:rsidRPr="006E25B0">
        <w:rPr>
          <w:rFonts w:ascii="Times New Roman" w:hAnsi="Times New Roman" w:cs="Times New Roman"/>
          <w:iCs/>
          <w:noProof/>
          <w:sz w:val="24"/>
          <w:szCs w:val="24"/>
        </w:rPr>
        <w:t xml:space="preserve"> </w:t>
      </w:r>
      <w:r w:rsidR="008E7D18" w:rsidRPr="006E25B0">
        <w:rPr>
          <w:rFonts w:ascii="Times New Roman" w:hAnsi="Times New Roman" w:cs="Times New Roman"/>
          <w:iCs/>
          <w:noProof/>
          <w:sz w:val="24"/>
          <w:szCs w:val="24"/>
        </w:rPr>
        <w:t xml:space="preserve">883/2004 applies to all statutory social security, regardless of whether it is seen </w:t>
      </w:r>
      <w:r w:rsidR="008E7D18" w:rsidRPr="006E25B0">
        <w:rPr>
          <w:rFonts w:ascii="Times New Roman" w:hAnsi="Times New Roman" w:cs="Times New Roman"/>
          <w:noProof/>
          <w:sz w:val="24"/>
          <w:szCs w:val="24"/>
        </w:rPr>
        <w:t>as social security domestically or how it is funded</w:t>
      </w:r>
      <w:r w:rsidR="00B157CD" w:rsidRPr="006E25B0">
        <w:rPr>
          <w:rFonts w:ascii="Times New Roman" w:hAnsi="Times New Roman" w:cs="Times New Roman"/>
          <w:noProof/>
          <w:sz w:val="24"/>
          <w:szCs w:val="24"/>
        </w:rPr>
        <w:t xml:space="preserve"> (</w:t>
      </w:r>
      <w:r w:rsidR="00D218CC" w:rsidRPr="006E25B0">
        <w:rPr>
          <w:rFonts w:ascii="Times New Roman" w:hAnsi="Times New Roman" w:cs="Times New Roman"/>
          <w:noProof/>
          <w:sz w:val="24"/>
          <w:szCs w:val="24"/>
        </w:rPr>
        <w:t xml:space="preserve">Art. 3(2)-(3) Regulation 883/2004; </w:t>
      </w:r>
      <w:r w:rsidR="00AD3CBB" w:rsidRPr="006E25B0">
        <w:rPr>
          <w:rFonts w:ascii="Times New Roman" w:hAnsi="Times New Roman" w:cs="Times New Roman"/>
          <w:noProof/>
          <w:sz w:val="24"/>
          <w:szCs w:val="24"/>
        </w:rPr>
        <w:t xml:space="preserve">eg </w:t>
      </w:r>
      <w:r w:rsidR="00C33288" w:rsidRPr="006E25B0">
        <w:rPr>
          <w:rFonts w:ascii="Times New Roman" w:hAnsi="Times New Roman" w:cs="Times New Roman"/>
          <w:i/>
          <w:noProof/>
          <w:sz w:val="24"/>
          <w:szCs w:val="24"/>
        </w:rPr>
        <w:t xml:space="preserve">Hliddal and </w:t>
      </w:r>
      <w:r w:rsidR="00B157CD" w:rsidRPr="006E25B0">
        <w:rPr>
          <w:rFonts w:ascii="Times New Roman" w:hAnsi="Times New Roman" w:cs="Times New Roman"/>
          <w:i/>
          <w:noProof/>
          <w:sz w:val="24"/>
          <w:szCs w:val="24"/>
        </w:rPr>
        <w:t>Bornand</w:t>
      </w:r>
      <w:r w:rsidR="00B157CD" w:rsidRPr="006E25B0">
        <w:rPr>
          <w:rFonts w:ascii="Times New Roman" w:hAnsi="Times New Roman" w:cs="Times New Roman"/>
          <w:noProof/>
          <w:sz w:val="24"/>
          <w:szCs w:val="24"/>
        </w:rPr>
        <w:t xml:space="preserve">, </w:t>
      </w:r>
      <w:r w:rsidR="00F02406" w:rsidRPr="006E25B0">
        <w:rPr>
          <w:rFonts w:ascii="Times New Roman" w:hAnsi="Times New Roman" w:cs="Times New Roman"/>
          <w:noProof/>
          <w:sz w:val="24"/>
          <w:szCs w:val="24"/>
        </w:rPr>
        <w:t xml:space="preserve">para. </w:t>
      </w:r>
      <w:r w:rsidR="00B157CD" w:rsidRPr="006E25B0">
        <w:rPr>
          <w:rFonts w:ascii="Times New Roman" w:hAnsi="Times New Roman" w:cs="Times New Roman"/>
          <w:noProof/>
          <w:sz w:val="24"/>
          <w:szCs w:val="24"/>
        </w:rPr>
        <w:t>47)</w:t>
      </w:r>
      <w:r w:rsidR="008E7D18" w:rsidRPr="006E25B0">
        <w:rPr>
          <w:rFonts w:ascii="Times New Roman" w:hAnsi="Times New Roman" w:cs="Times New Roman"/>
          <w:noProof/>
          <w:sz w:val="24"/>
          <w:szCs w:val="24"/>
        </w:rPr>
        <w:t>.</w:t>
      </w:r>
      <w:r w:rsidR="008E7D18" w:rsidRPr="006E25B0">
        <w:rPr>
          <w:rFonts w:ascii="Times New Roman" w:hAnsi="Times New Roman" w:cs="Times New Roman"/>
          <w:iCs/>
          <w:noProof/>
          <w:sz w:val="24"/>
          <w:szCs w:val="24"/>
        </w:rPr>
        <w:t xml:space="preserve"> </w:t>
      </w:r>
    </w:p>
    <w:p w14:paraId="7FB4D466" w14:textId="5870CADD" w:rsidR="008E7D18" w:rsidRPr="006E25B0" w:rsidRDefault="00D95347" w:rsidP="00D95347">
      <w:pPr>
        <w:rPr>
          <w:rFonts w:ascii="Times New Roman" w:hAnsi="Times New Roman" w:cs="Times New Roman"/>
          <w:noProof/>
          <w:sz w:val="24"/>
          <w:szCs w:val="24"/>
        </w:rPr>
      </w:pPr>
      <w:r w:rsidRPr="006E25B0">
        <w:rPr>
          <w:rFonts w:ascii="Times New Roman" w:hAnsi="Times New Roman" w:cs="Times New Roman"/>
          <w:noProof/>
          <w:sz w:val="24"/>
          <w:szCs w:val="24"/>
        </w:rPr>
        <w:t>9</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Some borderline issues </w:t>
      </w:r>
      <w:r w:rsidR="00B21A53" w:rsidRPr="006E25B0">
        <w:rPr>
          <w:rFonts w:ascii="Times New Roman" w:hAnsi="Times New Roman" w:cs="Times New Roman"/>
          <w:noProof/>
          <w:sz w:val="24"/>
          <w:szCs w:val="24"/>
        </w:rPr>
        <w:t xml:space="preserve">receive </w:t>
      </w:r>
      <w:r w:rsidR="00DC2317" w:rsidRPr="006E25B0">
        <w:rPr>
          <w:rFonts w:ascii="Times New Roman" w:hAnsi="Times New Roman" w:cs="Times New Roman"/>
          <w:noProof/>
          <w:sz w:val="24"/>
          <w:szCs w:val="24"/>
        </w:rPr>
        <w:t xml:space="preserve">scholarly and political </w:t>
      </w:r>
      <w:r w:rsidR="00221822" w:rsidRPr="006E25B0">
        <w:rPr>
          <w:rFonts w:ascii="Times New Roman" w:hAnsi="Times New Roman" w:cs="Times New Roman"/>
          <w:noProof/>
          <w:sz w:val="24"/>
          <w:szCs w:val="24"/>
        </w:rPr>
        <w:t>attention</w:t>
      </w:r>
      <w:r w:rsidR="008E7D18" w:rsidRPr="006E25B0">
        <w:rPr>
          <w:rFonts w:ascii="Times New Roman" w:hAnsi="Times New Roman" w:cs="Times New Roman"/>
          <w:noProof/>
          <w:sz w:val="24"/>
          <w:szCs w:val="24"/>
        </w:rPr>
        <w:t>. The CJEU qualified long-term care benefits, which cover the risk of dependency upon others for everyday activities, as atypical sickness benefits</w:t>
      </w:r>
      <w:r w:rsidR="00F914E6" w:rsidRPr="006E25B0">
        <w:rPr>
          <w:rFonts w:ascii="Times New Roman" w:hAnsi="Times New Roman" w:cs="Times New Roman"/>
          <w:noProof/>
          <w:sz w:val="24"/>
          <w:szCs w:val="24"/>
        </w:rPr>
        <w:t xml:space="preserve"> (</w:t>
      </w:r>
      <w:r w:rsidR="00F914E6" w:rsidRPr="006E25B0">
        <w:rPr>
          <w:rFonts w:ascii="Times New Roman" w:hAnsi="Times New Roman" w:cs="Times New Roman"/>
          <w:i/>
          <w:noProof/>
          <w:sz w:val="24"/>
          <w:szCs w:val="24"/>
        </w:rPr>
        <w:t>Molenaar</w:t>
      </w:r>
      <w:r w:rsidR="00F914E6" w:rsidRPr="006E25B0">
        <w:rPr>
          <w:rFonts w:ascii="Times New Roman" w:hAnsi="Times New Roman" w:cs="Times New Roman"/>
          <w:noProof/>
          <w:sz w:val="24"/>
          <w:szCs w:val="24"/>
        </w:rPr>
        <w:t xml:space="preserve">; </w:t>
      </w:r>
      <w:r w:rsidR="00F914E6" w:rsidRPr="006E25B0">
        <w:rPr>
          <w:rFonts w:ascii="Times New Roman" w:hAnsi="Times New Roman" w:cs="Times New Roman"/>
          <w:i/>
          <w:noProof/>
          <w:sz w:val="24"/>
          <w:szCs w:val="24"/>
        </w:rPr>
        <w:t>da Silva Martins</w:t>
      </w:r>
      <w:r w:rsidR="00F914E6"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But do the </w:t>
      </w:r>
      <w:r w:rsidR="008E7D18" w:rsidRPr="006E25B0">
        <w:rPr>
          <w:rFonts w:ascii="Times New Roman" w:hAnsi="Times New Roman" w:cs="Times New Roman"/>
          <w:iCs/>
          <w:noProof/>
          <w:sz w:val="24"/>
          <w:szCs w:val="24"/>
        </w:rPr>
        <w:t xml:space="preserve">rules designed for </w:t>
      </w:r>
      <w:r w:rsidR="008E7D18" w:rsidRPr="006E25B0">
        <w:rPr>
          <w:rFonts w:ascii="Times New Roman" w:hAnsi="Times New Roman" w:cs="Times New Roman"/>
          <w:noProof/>
          <w:sz w:val="24"/>
          <w:szCs w:val="24"/>
        </w:rPr>
        <w:t>healthcare and cash sickness benefits lend themselves to being transposed to long-term care benefits</w:t>
      </w:r>
      <w:r w:rsidR="00F914E6" w:rsidRPr="006E25B0">
        <w:rPr>
          <w:rFonts w:ascii="Times New Roman" w:hAnsi="Times New Roman" w:cs="Times New Roman"/>
          <w:noProof/>
          <w:sz w:val="24"/>
          <w:szCs w:val="24"/>
        </w:rPr>
        <w:t xml:space="preserve"> (see eg Jorens (ed), Spiegel (ed), Fillon and Strban)</w:t>
      </w:r>
      <w:r w:rsidR="008E7D18" w:rsidRPr="006E25B0">
        <w:rPr>
          <w:rFonts w:ascii="Times New Roman" w:hAnsi="Times New Roman" w:cs="Times New Roman"/>
          <w:noProof/>
          <w:sz w:val="24"/>
          <w:szCs w:val="24"/>
        </w:rPr>
        <w:t>? In the same vein, the CJEU’s categorisation of child-raising allowances as family benefits has prompted debate as to whether the rules need finetuning to account for their particularities</w:t>
      </w:r>
      <w:r w:rsidR="000A22DF" w:rsidRPr="006E25B0">
        <w:rPr>
          <w:rFonts w:ascii="Times New Roman" w:hAnsi="Times New Roman" w:cs="Times New Roman"/>
          <w:noProof/>
          <w:sz w:val="24"/>
          <w:szCs w:val="24"/>
        </w:rPr>
        <w:t xml:space="preserve"> (see eg Holm)</w:t>
      </w:r>
      <w:r w:rsidR="008E7D18" w:rsidRPr="006E25B0">
        <w:rPr>
          <w:rFonts w:ascii="Times New Roman" w:hAnsi="Times New Roman" w:cs="Times New Roman"/>
          <w:noProof/>
          <w:sz w:val="24"/>
          <w:szCs w:val="24"/>
        </w:rPr>
        <w:t>. Both issues are addressed in the Commission’s (thus far unsuccessful) proposal for amending the social security regulations</w:t>
      </w:r>
      <w:r w:rsidR="00CF5B5C" w:rsidRPr="006E25B0">
        <w:rPr>
          <w:rFonts w:ascii="Times New Roman" w:hAnsi="Times New Roman" w:cs="Times New Roman"/>
          <w:noProof/>
          <w:sz w:val="24"/>
          <w:szCs w:val="24"/>
        </w:rPr>
        <w:t xml:space="preserve"> (</w:t>
      </w:r>
      <w:r w:rsidR="00FE04C0" w:rsidRPr="006E25B0">
        <w:rPr>
          <w:rFonts w:ascii="Times New Roman" w:hAnsi="Times New Roman" w:cs="Times New Roman"/>
          <w:noProof/>
          <w:sz w:val="24"/>
          <w:szCs w:val="24"/>
        </w:rPr>
        <w:t>Commission</w:t>
      </w:r>
      <w:r w:rsidR="005F6373" w:rsidRPr="006E25B0">
        <w:rPr>
          <w:rFonts w:ascii="Times New Roman" w:hAnsi="Times New Roman" w:cs="Times New Roman"/>
          <w:noProof/>
          <w:sz w:val="24"/>
          <w:szCs w:val="24"/>
        </w:rPr>
        <w:t>, 2016</w:t>
      </w:r>
      <w:r w:rsidR="00FE04C0" w:rsidRPr="006E25B0">
        <w:rPr>
          <w:rFonts w:ascii="Times New Roman" w:hAnsi="Times New Roman" w:cs="Times New Roman"/>
          <w:noProof/>
          <w:sz w:val="24"/>
          <w:szCs w:val="24"/>
        </w:rPr>
        <w:t xml:space="preserve">; </w:t>
      </w:r>
      <w:r w:rsidR="008C6970" w:rsidRPr="006E25B0">
        <w:rPr>
          <w:rFonts w:ascii="Times New Roman" w:hAnsi="Times New Roman" w:cs="Times New Roman"/>
          <w:noProof/>
          <w:sz w:val="24"/>
          <w:szCs w:val="24"/>
        </w:rPr>
        <w:t xml:space="preserve">the latest available text is an agreement reached in trilogue that failed to garner a qualified majority: </w:t>
      </w:r>
      <w:r w:rsidR="00994F2D" w:rsidRPr="006E25B0">
        <w:rPr>
          <w:rFonts w:ascii="Times New Roman" w:hAnsi="Times New Roman" w:cs="Times New Roman"/>
          <w:noProof/>
          <w:sz w:val="24"/>
          <w:szCs w:val="24"/>
        </w:rPr>
        <w:t>General Secretariat of the Council</w:t>
      </w:r>
      <w:r w:rsidR="00CF5B5C"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Besides, there are calls to subject maintenance grants for students and social assistance to the regulations or rules modelled on them</w:t>
      </w:r>
      <w:r w:rsidR="000A22DF" w:rsidRPr="006E25B0">
        <w:rPr>
          <w:rFonts w:ascii="Times New Roman" w:hAnsi="Times New Roman" w:cs="Times New Roman"/>
          <w:noProof/>
          <w:sz w:val="24"/>
          <w:szCs w:val="24"/>
        </w:rPr>
        <w:t xml:space="preserve"> (see eg van der Mei</w:t>
      </w:r>
      <w:r w:rsidR="00BD4FC3" w:rsidRPr="006E25B0">
        <w:rPr>
          <w:rFonts w:ascii="Times New Roman" w:hAnsi="Times New Roman" w:cs="Times New Roman"/>
          <w:noProof/>
          <w:sz w:val="24"/>
          <w:szCs w:val="24"/>
        </w:rPr>
        <w:t>,</w:t>
      </w:r>
      <w:r w:rsidR="000A22DF" w:rsidRPr="006E25B0">
        <w:rPr>
          <w:rFonts w:ascii="Times New Roman" w:hAnsi="Times New Roman" w:cs="Times New Roman"/>
          <w:noProof/>
          <w:sz w:val="24"/>
          <w:szCs w:val="24"/>
        </w:rPr>
        <w:t xml:space="preserve"> 2015; Vonk)</w:t>
      </w:r>
      <w:r w:rsidR="008E7D18" w:rsidRPr="006E25B0">
        <w:rPr>
          <w:rFonts w:ascii="Times New Roman" w:hAnsi="Times New Roman" w:cs="Times New Roman"/>
          <w:noProof/>
          <w:sz w:val="24"/>
          <w:szCs w:val="24"/>
        </w:rPr>
        <w:t xml:space="preserve">. </w:t>
      </w:r>
      <w:r w:rsidR="00A00638" w:rsidRPr="006E25B0">
        <w:rPr>
          <w:rFonts w:ascii="Times New Roman" w:hAnsi="Times New Roman" w:cs="Times New Roman"/>
          <w:noProof/>
          <w:sz w:val="24"/>
          <w:szCs w:val="24"/>
        </w:rPr>
        <w:t>Furthermore</w:t>
      </w:r>
      <w:r w:rsidR="008E7D18" w:rsidRPr="006E25B0">
        <w:rPr>
          <w:rFonts w:ascii="Times New Roman" w:hAnsi="Times New Roman" w:cs="Times New Roman"/>
          <w:noProof/>
          <w:sz w:val="24"/>
          <w:szCs w:val="24"/>
        </w:rPr>
        <w:t>, it can be unclear where social security benefits (in particular family benefits) end and tax advantages (in particular for families) begin</w:t>
      </w:r>
      <w:r w:rsidR="00BD4FC3" w:rsidRPr="006E25B0">
        <w:rPr>
          <w:rFonts w:ascii="Times New Roman" w:hAnsi="Times New Roman" w:cs="Times New Roman"/>
          <w:noProof/>
          <w:sz w:val="24"/>
          <w:szCs w:val="24"/>
        </w:rPr>
        <w:t xml:space="preserve"> (see eg Spiegel, Daxkobler, Strban and van der Mei)</w:t>
      </w:r>
      <w:r w:rsidR="008E7D18" w:rsidRPr="006E25B0">
        <w:rPr>
          <w:rFonts w:ascii="Times New Roman" w:hAnsi="Times New Roman" w:cs="Times New Roman"/>
          <w:noProof/>
          <w:sz w:val="24"/>
          <w:szCs w:val="24"/>
        </w:rPr>
        <w:t xml:space="preserve">. </w:t>
      </w:r>
      <w:r w:rsidR="00605867" w:rsidRPr="006E25B0">
        <w:rPr>
          <w:rFonts w:ascii="Times New Roman" w:hAnsi="Times New Roman" w:cs="Times New Roman"/>
          <w:noProof/>
          <w:sz w:val="24"/>
          <w:szCs w:val="24"/>
        </w:rPr>
        <w:t xml:space="preserve">Access to benefits falling outside the scope of the regulations can </w:t>
      </w:r>
      <w:r w:rsidR="00E93F3A" w:rsidRPr="006E25B0">
        <w:rPr>
          <w:rFonts w:ascii="Times New Roman" w:hAnsi="Times New Roman" w:cs="Times New Roman"/>
          <w:noProof/>
          <w:sz w:val="24"/>
          <w:szCs w:val="24"/>
        </w:rPr>
        <w:t xml:space="preserve">be facilitated by </w:t>
      </w:r>
      <w:r w:rsidR="00605867" w:rsidRPr="006E25B0">
        <w:rPr>
          <w:rFonts w:ascii="Times New Roman" w:hAnsi="Times New Roman" w:cs="Times New Roman"/>
          <w:noProof/>
          <w:sz w:val="24"/>
          <w:szCs w:val="24"/>
        </w:rPr>
        <w:t xml:space="preserve">the free movement </w:t>
      </w:r>
      <w:r w:rsidR="009906A9" w:rsidRPr="006E25B0">
        <w:rPr>
          <w:rFonts w:ascii="Times New Roman" w:hAnsi="Times New Roman" w:cs="Times New Roman"/>
          <w:noProof/>
          <w:sz w:val="24"/>
          <w:szCs w:val="24"/>
        </w:rPr>
        <w:t xml:space="preserve">and equal treatment </w:t>
      </w:r>
      <w:r w:rsidR="00605867" w:rsidRPr="006E25B0">
        <w:rPr>
          <w:rFonts w:ascii="Times New Roman" w:hAnsi="Times New Roman" w:cs="Times New Roman"/>
          <w:noProof/>
          <w:sz w:val="24"/>
          <w:szCs w:val="24"/>
        </w:rPr>
        <w:t xml:space="preserve">rights </w:t>
      </w:r>
      <w:r w:rsidR="000666AD" w:rsidRPr="006E25B0">
        <w:rPr>
          <w:rFonts w:ascii="Times New Roman" w:hAnsi="Times New Roman" w:cs="Times New Roman"/>
          <w:noProof/>
          <w:sz w:val="24"/>
          <w:szCs w:val="24"/>
        </w:rPr>
        <w:t>of</w:t>
      </w:r>
      <w:r w:rsidR="00605867" w:rsidRPr="006E25B0">
        <w:rPr>
          <w:rFonts w:ascii="Times New Roman" w:hAnsi="Times New Roman" w:cs="Times New Roman"/>
          <w:noProof/>
          <w:sz w:val="24"/>
          <w:szCs w:val="24"/>
        </w:rPr>
        <w:t xml:space="preserve"> the </w:t>
      </w:r>
      <w:r w:rsidR="00A5309A" w:rsidRPr="006E25B0">
        <w:rPr>
          <w:rFonts w:ascii="Times New Roman" w:hAnsi="Times New Roman" w:cs="Times New Roman"/>
          <w:noProof/>
          <w:sz w:val="24"/>
          <w:szCs w:val="24"/>
        </w:rPr>
        <w:t>TFEU</w:t>
      </w:r>
      <w:r w:rsidR="000666AD" w:rsidRPr="006E25B0">
        <w:rPr>
          <w:rFonts w:ascii="Times New Roman" w:hAnsi="Times New Roman" w:cs="Times New Roman"/>
          <w:noProof/>
          <w:sz w:val="24"/>
          <w:szCs w:val="24"/>
        </w:rPr>
        <w:t>,</w:t>
      </w:r>
      <w:r w:rsidR="00605867" w:rsidRPr="006E25B0">
        <w:rPr>
          <w:rFonts w:ascii="Times New Roman" w:hAnsi="Times New Roman" w:cs="Times New Roman"/>
          <w:noProof/>
          <w:sz w:val="24"/>
          <w:szCs w:val="24"/>
        </w:rPr>
        <w:t xml:space="preserve"> </w:t>
      </w:r>
      <w:bookmarkStart w:id="8" w:name="_Hlk111452832"/>
      <w:bookmarkStart w:id="9" w:name="_Hlk111452647"/>
      <w:r w:rsidR="00605867" w:rsidRPr="006E25B0">
        <w:rPr>
          <w:rFonts w:ascii="Times New Roman" w:hAnsi="Times New Roman" w:cs="Times New Roman"/>
          <w:noProof/>
          <w:sz w:val="24"/>
          <w:szCs w:val="24"/>
        </w:rPr>
        <w:t>Regulation</w:t>
      </w:r>
      <w:r w:rsidR="002B74DF" w:rsidRPr="006E25B0">
        <w:rPr>
          <w:rFonts w:ascii="Times New Roman" w:hAnsi="Times New Roman" w:cs="Times New Roman"/>
          <w:noProof/>
          <w:sz w:val="24"/>
          <w:szCs w:val="24"/>
        </w:rPr>
        <w:t xml:space="preserve"> </w:t>
      </w:r>
      <w:r w:rsidR="00605867" w:rsidRPr="006E25B0">
        <w:rPr>
          <w:rFonts w:ascii="Times New Roman" w:hAnsi="Times New Roman" w:cs="Times New Roman"/>
          <w:noProof/>
          <w:sz w:val="24"/>
          <w:szCs w:val="24"/>
        </w:rPr>
        <w:t>49</w:t>
      </w:r>
      <w:r w:rsidR="00C4268F" w:rsidRPr="006E25B0">
        <w:rPr>
          <w:rFonts w:ascii="Times New Roman" w:hAnsi="Times New Roman" w:cs="Times New Roman"/>
          <w:noProof/>
          <w:sz w:val="24"/>
          <w:szCs w:val="24"/>
        </w:rPr>
        <w:t>2/2011 and Directive</w:t>
      </w:r>
      <w:r w:rsidR="002B74DF" w:rsidRPr="006E25B0">
        <w:rPr>
          <w:rFonts w:ascii="Times New Roman" w:hAnsi="Times New Roman" w:cs="Times New Roman"/>
          <w:noProof/>
          <w:sz w:val="24"/>
          <w:szCs w:val="24"/>
        </w:rPr>
        <w:t xml:space="preserve"> </w:t>
      </w:r>
      <w:r w:rsidR="00C4268F" w:rsidRPr="006E25B0">
        <w:rPr>
          <w:rFonts w:ascii="Times New Roman" w:hAnsi="Times New Roman" w:cs="Times New Roman"/>
          <w:noProof/>
          <w:sz w:val="24"/>
          <w:szCs w:val="24"/>
        </w:rPr>
        <w:t>2004/38</w:t>
      </w:r>
      <w:bookmarkEnd w:id="8"/>
      <w:r w:rsidR="00C4268F" w:rsidRPr="006E25B0">
        <w:rPr>
          <w:rFonts w:ascii="Times New Roman" w:hAnsi="Times New Roman" w:cs="Times New Roman"/>
          <w:noProof/>
          <w:sz w:val="24"/>
          <w:szCs w:val="24"/>
        </w:rPr>
        <w:t>.</w:t>
      </w:r>
      <w:bookmarkEnd w:id="9"/>
      <w:r w:rsidR="00726388" w:rsidRPr="006E25B0">
        <w:rPr>
          <w:rFonts w:ascii="Times New Roman" w:hAnsi="Times New Roman" w:cs="Times New Roman"/>
          <w:noProof/>
          <w:sz w:val="24"/>
          <w:szCs w:val="24"/>
        </w:rPr>
        <w:t xml:space="preserve"> </w:t>
      </w:r>
    </w:p>
    <w:p w14:paraId="57454158" w14:textId="694CDB75" w:rsidR="008E7D18" w:rsidRPr="006E25B0" w:rsidRDefault="005821D8" w:rsidP="00D95347">
      <w:pPr>
        <w:pStyle w:val="Heading3"/>
        <w:rPr>
          <w:rFonts w:ascii="Times New Roman" w:hAnsi="Times New Roman" w:cs="Times New Roman"/>
          <w:noProof/>
          <w:color w:val="auto"/>
        </w:rPr>
      </w:pPr>
      <w:bookmarkStart w:id="10" w:name="_Hlk78370952"/>
      <w:r w:rsidRPr="006E25B0">
        <w:rPr>
          <w:rFonts w:ascii="Times New Roman" w:hAnsi="Times New Roman" w:cs="Times New Roman"/>
          <w:noProof/>
          <w:color w:val="auto"/>
        </w:rPr>
        <w:t>(b)</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Personal scope</w:t>
      </w:r>
    </w:p>
    <w:bookmarkEnd w:id="10"/>
    <w:p w14:paraId="16E8A337" w14:textId="7F736C5E" w:rsidR="008E7D18" w:rsidRPr="006E25B0" w:rsidRDefault="00D95347" w:rsidP="00D95347">
      <w:pPr>
        <w:rPr>
          <w:rFonts w:ascii="Times New Roman" w:hAnsi="Times New Roman" w:cs="Times New Roman"/>
          <w:noProof/>
          <w:sz w:val="24"/>
          <w:szCs w:val="24"/>
        </w:rPr>
      </w:pPr>
      <w:r w:rsidRPr="006E25B0">
        <w:rPr>
          <w:rFonts w:ascii="Times New Roman" w:hAnsi="Times New Roman" w:cs="Times New Roman"/>
          <w:noProof/>
          <w:sz w:val="24"/>
          <w:szCs w:val="24"/>
        </w:rPr>
        <w:t>10</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There are three limits to the personal scope of </w:t>
      </w:r>
      <w:r w:rsidR="008C3715" w:rsidRPr="006E25B0">
        <w:rPr>
          <w:rFonts w:ascii="Times New Roman" w:hAnsi="Times New Roman" w:cs="Times New Roman"/>
          <w:noProof/>
          <w:sz w:val="24"/>
          <w:szCs w:val="24"/>
        </w:rPr>
        <w:t>the regulations</w:t>
      </w:r>
      <w:r w:rsidR="008E7D18" w:rsidRPr="006E25B0">
        <w:rPr>
          <w:rFonts w:ascii="Times New Roman" w:hAnsi="Times New Roman" w:cs="Times New Roman"/>
          <w:noProof/>
          <w:sz w:val="24"/>
          <w:szCs w:val="24"/>
        </w:rPr>
        <w:t>. First, persons must be in a situation that is not limited in all respects to one Member State</w:t>
      </w:r>
      <w:r w:rsidR="00B63033" w:rsidRPr="006E25B0">
        <w:rPr>
          <w:rFonts w:ascii="Times New Roman" w:hAnsi="Times New Roman" w:cs="Times New Roman"/>
          <w:noProof/>
          <w:sz w:val="24"/>
          <w:szCs w:val="24"/>
        </w:rPr>
        <w:t xml:space="preserve"> (</w:t>
      </w:r>
      <w:r w:rsidR="00B63033" w:rsidRPr="006E25B0">
        <w:rPr>
          <w:rFonts w:ascii="Times New Roman" w:hAnsi="Times New Roman" w:cs="Times New Roman"/>
          <w:i/>
          <w:noProof/>
          <w:sz w:val="24"/>
          <w:szCs w:val="24"/>
        </w:rPr>
        <w:t>Petit</w:t>
      </w:r>
      <w:r w:rsidR="00B63033"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w:t>
      </w:r>
    </w:p>
    <w:p w14:paraId="75CA2B13" w14:textId="6C4A699B" w:rsidR="008E7D18" w:rsidRPr="006E25B0" w:rsidRDefault="00D95347" w:rsidP="00D95347">
      <w:pPr>
        <w:rPr>
          <w:rFonts w:ascii="Times New Roman" w:hAnsi="Times New Roman" w:cs="Times New Roman"/>
          <w:noProof/>
          <w:sz w:val="24"/>
          <w:szCs w:val="24"/>
        </w:rPr>
      </w:pPr>
      <w:r w:rsidRPr="006E25B0">
        <w:rPr>
          <w:rFonts w:ascii="Times New Roman" w:hAnsi="Times New Roman" w:cs="Times New Roman"/>
          <w:noProof/>
          <w:sz w:val="24"/>
          <w:szCs w:val="24"/>
        </w:rPr>
        <w:t>11</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second boundary concerns nationality. The regulation</w:t>
      </w:r>
      <w:r w:rsidR="008C3715" w:rsidRPr="006E25B0">
        <w:rPr>
          <w:rFonts w:ascii="Times New Roman" w:hAnsi="Times New Roman" w:cs="Times New Roman"/>
          <w:noProof/>
          <w:sz w:val="24"/>
          <w:szCs w:val="24"/>
        </w:rPr>
        <w:t>s</w:t>
      </w:r>
      <w:r w:rsidR="008E7D18" w:rsidRPr="006E25B0">
        <w:rPr>
          <w:rFonts w:ascii="Times New Roman" w:hAnsi="Times New Roman" w:cs="Times New Roman"/>
          <w:noProof/>
          <w:sz w:val="24"/>
          <w:szCs w:val="24"/>
        </w:rPr>
        <w:t xml:space="preserve"> appl</w:t>
      </w:r>
      <w:r w:rsidR="008C3715" w:rsidRPr="006E25B0">
        <w:rPr>
          <w:rFonts w:ascii="Times New Roman" w:hAnsi="Times New Roman" w:cs="Times New Roman"/>
          <w:noProof/>
          <w:sz w:val="24"/>
          <w:szCs w:val="24"/>
        </w:rPr>
        <w:t>y</w:t>
      </w:r>
      <w:r w:rsidR="008E7D18" w:rsidRPr="006E25B0">
        <w:rPr>
          <w:rFonts w:ascii="Times New Roman" w:hAnsi="Times New Roman" w:cs="Times New Roman"/>
          <w:noProof/>
          <w:sz w:val="24"/>
          <w:szCs w:val="24"/>
        </w:rPr>
        <w:t xml:space="preserve"> to EU citizens, the nationals of </w:t>
      </w:r>
      <w:r w:rsidR="00206D03" w:rsidRPr="006E25B0">
        <w:rPr>
          <w:rFonts w:ascii="Times New Roman" w:hAnsi="Times New Roman" w:cs="Times New Roman"/>
          <w:noProof/>
          <w:sz w:val="24"/>
          <w:szCs w:val="24"/>
        </w:rPr>
        <w:t xml:space="preserve">non-EU </w:t>
      </w:r>
      <w:r w:rsidR="008E7D18" w:rsidRPr="006E25B0">
        <w:rPr>
          <w:rFonts w:ascii="Times New Roman" w:hAnsi="Times New Roman" w:cs="Times New Roman"/>
          <w:noProof/>
          <w:sz w:val="24"/>
          <w:szCs w:val="24"/>
        </w:rPr>
        <w:t>EFTA States</w:t>
      </w:r>
      <w:r w:rsidR="00B63033" w:rsidRPr="006E25B0">
        <w:rPr>
          <w:rFonts w:ascii="Times New Roman" w:hAnsi="Times New Roman" w:cs="Times New Roman"/>
          <w:noProof/>
          <w:sz w:val="24"/>
          <w:szCs w:val="24"/>
        </w:rPr>
        <w:t xml:space="preserve"> </w:t>
      </w:r>
      <w:r w:rsidR="003F2E6C" w:rsidRPr="006E25B0">
        <w:rPr>
          <w:rFonts w:ascii="Times New Roman" w:hAnsi="Times New Roman" w:cs="Times New Roman"/>
          <w:noProof/>
          <w:sz w:val="24"/>
          <w:szCs w:val="24"/>
        </w:rPr>
        <w:t xml:space="preserve">and some UK nationals </w:t>
      </w:r>
      <w:r w:rsidR="00B63033" w:rsidRPr="006E25B0">
        <w:rPr>
          <w:rFonts w:ascii="Times New Roman" w:hAnsi="Times New Roman" w:cs="Times New Roman"/>
          <w:noProof/>
          <w:sz w:val="24"/>
          <w:szCs w:val="24"/>
        </w:rPr>
        <w:t>(</w:t>
      </w:r>
      <w:bookmarkStart w:id="11" w:name="_Hlk111452877"/>
      <w:r w:rsidR="00B63033" w:rsidRPr="006E25B0">
        <w:rPr>
          <w:rFonts w:ascii="Times New Roman" w:hAnsi="Times New Roman" w:cs="Times New Roman"/>
          <w:noProof/>
          <w:sz w:val="24"/>
          <w:szCs w:val="24"/>
        </w:rPr>
        <w:t>Art. 2(1) Regulation</w:t>
      </w:r>
      <w:r w:rsidR="002B74DF" w:rsidRPr="006E25B0">
        <w:rPr>
          <w:rFonts w:ascii="Times New Roman" w:hAnsi="Times New Roman" w:cs="Times New Roman"/>
          <w:noProof/>
          <w:sz w:val="24"/>
          <w:szCs w:val="24"/>
        </w:rPr>
        <w:t xml:space="preserve"> </w:t>
      </w:r>
      <w:r w:rsidR="00B63033" w:rsidRPr="006E25B0">
        <w:rPr>
          <w:rFonts w:ascii="Times New Roman" w:hAnsi="Times New Roman" w:cs="Times New Roman"/>
          <w:noProof/>
          <w:sz w:val="24"/>
          <w:szCs w:val="24"/>
        </w:rPr>
        <w:t>883/2004; Decision</w:t>
      </w:r>
      <w:r w:rsidR="002B74DF" w:rsidRPr="006E25B0">
        <w:rPr>
          <w:rFonts w:ascii="Times New Roman" w:hAnsi="Times New Roman" w:cs="Times New Roman"/>
          <w:noProof/>
          <w:sz w:val="24"/>
          <w:szCs w:val="24"/>
        </w:rPr>
        <w:t xml:space="preserve"> </w:t>
      </w:r>
      <w:r w:rsidR="00B63033" w:rsidRPr="006E25B0">
        <w:rPr>
          <w:rFonts w:ascii="Times New Roman" w:hAnsi="Times New Roman" w:cs="Times New Roman"/>
          <w:noProof/>
          <w:sz w:val="24"/>
          <w:szCs w:val="24"/>
        </w:rPr>
        <w:t>76/2011 of the EEA Joint Committee; Decision</w:t>
      </w:r>
      <w:r w:rsidR="002B74DF" w:rsidRPr="006E25B0">
        <w:rPr>
          <w:rFonts w:ascii="Times New Roman" w:hAnsi="Times New Roman" w:cs="Times New Roman"/>
          <w:noProof/>
          <w:sz w:val="24"/>
          <w:szCs w:val="24"/>
        </w:rPr>
        <w:t xml:space="preserve"> </w:t>
      </w:r>
      <w:r w:rsidR="00B63033" w:rsidRPr="006E25B0">
        <w:rPr>
          <w:rFonts w:ascii="Times New Roman" w:hAnsi="Times New Roman" w:cs="Times New Roman"/>
          <w:noProof/>
          <w:sz w:val="24"/>
          <w:szCs w:val="24"/>
        </w:rPr>
        <w:t>1/2012 of the EU-Swiss Joint Committee</w:t>
      </w:r>
      <w:bookmarkEnd w:id="11"/>
      <w:r w:rsidR="003F2E6C" w:rsidRPr="006E25B0">
        <w:rPr>
          <w:rFonts w:ascii="Times New Roman" w:hAnsi="Times New Roman" w:cs="Times New Roman"/>
          <w:noProof/>
          <w:sz w:val="24"/>
          <w:szCs w:val="24"/>
        </w:rPr>
        <w:t>; the Withdrawal Agreement</w:t>
      </w:r>
      <w:r w:rsidR="00B63033"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The nationality condition is lifted for stateless persons and refugees residing in a Member State</w:t>
      </w:r>
      <w:r w:rsidR="00B63033" w:rsidRPr="006E25B0">
        <w:rPr>
          <w:rFonts w:ascii="Times New Roman" w:hAnsi="Times New Roman" w:cs="Times New Roman"/>
          <w:noProof/>
          <w:sz w:val="24"/>
          <w:szCs w:val="24"/>
        </w:rPr>
        <w:t xml:space="preserve"> (Art. 2(1) Regulation</w:t>
      </w:r>
      <w:r w:rsidR="002B74DF" w:rsidRPr="006E25B0">
        <w:rPr>
          <w:rFonts w:ascii="Times New Roman" w:hAnsi="Times New Roman" w:cs="Times New Roman"/>
          <w:noProof/>
          <w:sz w:val="24"/>
          <w:szCs w:val="24"/>
        </w:rPr>
        <w:t xml:space="preserve"> </w:t>
      </w:r>
      <w:r w:rsidR="00B63033" w:rsidRPr="006E25B0">
        <w:rPr>
          <w:rFonts w:ascii="Times New Roman" w:hAnsi="Times New Roman" w:cs="Times New Roman"/>
          <w:noProof/>
          <w:sz w:val="24"/>
          <w:szCs w:val="24"/>
        </w:rPr>
        <w:t>883/2004)</w:t>
      </w:r>
      <w:r w:rsidR="008E7D18" w:rsidRPr="006E25B0">
        <w:rPr>
          <w:rFonts w:ascii="Times New Roman" w:hAnsi="Times New Roman" w:cs="Times New Roman"/>
          <w:noProof/>
          <w:sz w:val="24"/>
          <w:szCs w:val="24"/>
        </w:rPr>
        <w:t>; and for third</w:t>
      </w:r>
      <w:r w:rsidR="00E64270"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country nationals who legally reside in a Member State</w:t>
      </w:r>
      <w:r w:rsidR="00B63033" w:rsidRPr="006E25B0">
        <w:rPr>
          <w:rFonts w:ascii="Times New Roman" w:hAnsi="Times New Roman" w:cs="Times New Roman"/>
          <w:noProof/>
          <w:sz w:val="24"/>
          <w:szCs w:val="24"/>
        </w:rPr>
        <w:t xml:space="preserve"> (Art. 1 Regulation</w:t>
      </w:r>
      <w:r w:rsidR="002B74DF" w:rsidRPr="006E25B0">
        <w:rPr>
          <w:rFonts w:ascii="Times New Roman" w:hAnsi="Times New Roman" w:cs="Times New Roman"/>
          <w:noProof/>
          <w:sz w:val="24"/>
          <w:szCs w:val="24"/>
        </w:rPr>
        <w:t xml:space="preserve"> </w:t>
      </w:r>
      <w:r w:rsidR="00B63033" w:rsidRPr="006E25B0">
        <w:rPr>
          <w:rFonts w:ascii="Times New Roman" w:hAnsi="Times New Roman" w:cs="Times New Roman"/>
          <w:noProof/>
          <w:sz w:val="24"/>
          <w:szCs w:val="24"/>
        </w:rPr>
        <w:t>1231/2010</w:t>
      </w:r>
      <w:r w:rsidR="004B0D85" w:rsidRPr="006E25B0">
        <w:rPr>
          <w:rFonts w:ascii="Times New Roman" w:hAnsi="Times New Roman" w:cs="Times New Roman"/>
          <w:noProof/>
          <w:sz w:val="24"/>
          <w:szCs w:val="24"/>
        </w:rPr>
        <w:t>, which does not apply to Denmark</w:t>
      </w:r>
      <w:r w:rsidR="00B63033"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w:t>
      </w:r>
    </w:p>
    <w:p w14:paraId="67E37DA6" w14:textId="728C0B11" w:rsidR="008E7D18" w:rsidRPr="006E25B0" w:rsidRDefault="00D95347" w:rsidP="00D95347">
      <w:pPr>
        <w:rPr>
          <w:rFonts w:ascii="Times New Roman" w:hAnsi="Times New Roman" w:cs="Times New Roman"/>
          <w:noProof/>
          <w:sz w:val="24"/>
          <w:szCs w:val="24"/>
        </w:rPr>
      </w:pPr>
      <w:r w:rsidRPr="006E25B0">
        <w:rPr>
          <w:rFonts w:ascii="Times New Roman" w:hAnsi="Times New Roman" w:cs="Times New Roman"/>
          <w:noProof/>
          <w:sz w:val="24"/>
          <w:szCs w:val="24"/>
        </w:rPr>
        <w:t>12</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Lastly, the person concerned must be ‘or have been subject to the legislation of one or more Member States’</w:t>
      </w:r>
      <w:r w:rsidR="00B63033" w:rsidRPr="006E25B0">
        <w:rPr>
          <w:rFonts w:ascii="Times New Roman" w:hAnsi="Times New Roman" w:cs="Times New Roman"/>
          <w:noProof/>
          <w:sz w:val="24"/>
          <w:szCs w:val="24"/>
        </w:rPr>
        <w:t xml:space="preserve"> (Art. 2(1) Regulation</w:t>
      </w:r>
      <w:r w:rsidR="002B74DF" w:rsidRPr="006E25B0">
        <w:rPr>
          <w:rFonts w:ascii="Times New Roman" w:hAnsi="Times New Roman" w:cs="Times New Roman"/>
          <w:noProof/>
          <w:sz w:val="24"/>
          <w:szCs w:val="24"/>
        </w:rPr>
        <w:t xml:space="preserve"> </w:t>
      </w:r>
      <w:r w:rsidR="00B63033" w:rsidRPr="006E25B0">
        <w:rPr>
          <w:rFonts w:ascii="Times New Roman" w:hAnsi="Times New Roman" w:cs="Times New Roman"/>
          <w:noProof/>
          <w:sz w:val="24"/>
          <w:szCs w:val="24"/>
        </w:rPr>
        <w:t>883/2004)</w:t>
      </w:r>
      <w:r w:rsidR="008E7D18" w:rsidRPr="006E25B0">
        <w:rPr>
          <w:rFonts w:ascii="Times New Roman" w:hAnsi="Times New Roman" w:cs="Times New Roman"/>
          <w:noProof/>
          <w:sz w:val="24"/>
          <w:szCs w:val="24"/>
        </w:rPr>
        <w:t xml:space="preserve">. This subjection can take various forms. </w:t>
      </w:r>
      <w:bookmarkStart w:id="12" w:name="_Hlk89065891"/>
      <w:bookmarkStart w:id="13" w:name="_Hlk89065879"/>
      <w:r w:rsidR="008E7D18" w:rsidRPr="006E25B0">
        <w:rPr>
          <w:rFonts w:ascii="Times New Roman" w:hAnsi="Times New Roman" w:cs="Times New Roman"/>
          <w:noProof/>
          <w:sz w:val="24"/>
          <w:szCs w:val="24"/>
        </w:rPr>
        <w:t>Insurance against a singular risk would suffice</w:t>
      </w:r>
      <w:r w:rsidR="00B63033" w:rsidRPr="006E25B0">
        <w:rPr>
          <w:rFonts w:ascii="Times New Roman" w:hAnsi="Times New Roman" w:cs="Times New Roman"/>
          <w:noProof/>
          <w:sz w:val="24"/>
          <w:szCs w:val="24"/>
        </w:rPr>
        <w:t xml:space="preserve"> (</w:t>
      </w:r>
      <w:r w:rsidR="00454347" w:rsidRPr="006E25B0">
        <w:rPr>
          <w:rFonts w:ascii="Times New Roman" w:hAnsi="Times New Roman" w:cs="Times New Roman"/>
          <w:noProof/>
          <w:sz w:val="24"/>
          <w:szCs w:val="24"/>
        </w:rPr>
        <w:t>e</w:t>
      </w:r>
      <w:r w:rsidR="00B63033" w:rsidRPr="006E25B0">
        <w:rPr>
          <w:rFonts w:ascii="Times New Roman" w:hAnsi="Times New Roman" w:cs="Times New Roman"/>
          <w:noProof/>
          <w:sz w:val="24"/>
          <w:szCs w:val="24"/>
        </w:rPr>
        <w:t xml:space="preserve">g </w:t>
      </w:r>
      <w:r w:rsidR="00B63033" w:rsidRPr="006E25B0">
        <w:rPr>
          <w:rFonts w:ascii="Times New Roman" w:hAnsi="Times New Roman" w:cs="Times New Roman"/>
          <w:i/>
          <w:noProof/>
          <w:sz w:val="24"/>
          <w:szCs w:val="24"/>
        </w:rPr>
        <w:t>Mouthaan</w:t>
      </w:r>
      <w:r w:rsidR="00B63033"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w:t>
      </w:r>
      <w:bookmarkEnd w:id="12"/>
      <w:r w:rsidR="008E7D18" w:rsidRPr="006E25B0">
        <w:rPr>
          <w:rFonts w:ascii="Times New Roman" w:hAnsi="Times New Roman" w:cs="Times New Roman"/>
          <w:noProof/>
          <w:sz w:val="24"/>
          <w:szCs w:val="24"/>
        </w:rPr>
        <w:t xml:space="preserve"> </w:t>
      </w:r>
      <w:bookmarkEnd w:id="13"/>
      <w:r w:rsidR="008E7D18" w:rsidRPr="006E25B0">
        <w:rPr>
          <w:rFonts w:ascii="Times New Roman" w:hAnsi="Times New Roman" w:cs="Times New Roman"/>
          <w:noProof/>
          <w:sz w:val="24"/>
          <w:szCs w:val="24"/>
        </w:rPr>
        <w:t>While under Regulation</w:t>
      </w:r>
      <w:r w:rsidR="002B74D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1408/71, affiliation to a </w:t>
      </w:r>
      <w:r w:rsidR="008E7D18" w:rsidRPr="006E25B0">
        <w:rPr>
          <w:rFonts w:ascii="Times New Roman" w:hAnsi="Times New Roman" w:cs="Times New Roman"/>
          <w:i/>
          <w:iCs/>
          <w:noProof/>
          <w:sz w:val="24"/>
          <w:szCs w:val="24"/>
        </w:rPr>
        <w:t xml:space="preserve">professional </w:t>
      </w:r>
      <w:r w:rsidR="008E7D18" w:rsidRPr="006E25B0">
        <w:rPr>
          <w:rFonts w:ascii="Times New Roman" w:hAnsi="Times New Roman" w:cs="Times New Roman"/>
          <w:noProof/>
          <w:sz w:val="24"/>
          <w:szCs w:val="24"/>
        </w:rPr>
        <w:t>social security scheme was decisive, Regulation</w:t>
      </w:r>
      <w:r w:rsidR="002B74D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covers all insureds, whether economically active or not. The decision to include economically inactive persons lies entirely in the hands of the Member States, as long as they abide by the principle of non-discrimination on grounds of nationality</w:t>
      </w:r>
      <w:r w:rsidR="002717EB" w:rsidRPr="006E25B0">
        <w:rPr>
          <w:rFonts w:ascii="Times New Roman" w:hAnsi="Times New Roman" w:cs="Times New Roman"/>
          <w:noProof/>
          <w:sz w:val="24"/>
          <w:szCs w:val="24"/>
        </w:rPr>
        <w:t xml:space="preserve"> (eg </w:t>
      </w:r>
      <w:r w:rsidR="002717EB" w:rsidRPr="006E25B0">
        <w:rPr>
          <w:rFonts w:ascii="Times New Roman" w:hAnsi="Times New Roman" w:cs="Times New Roman"/>
          <w:i/>
          <w:noProof/>
          <w:sz w:val="24"/>
          <w:szCs w:val="24"/>
        </w:rPr>
        <w:t>Coonan</w:t>
      </w:r>
      <w:r w:rsidR="002717EB" w:rsidRPr="006E25B0">
        <w:rPr>
          <w:rFonts w:ascii="Times New Roman" w:hAnsi="Times New Roman" w:cs="Times New Roman"/>
          <w:noProof/>
          <w:sz w:val="24"/>
          <w:szCs w:val="24"/>
        </w:rPr>
        <w:t xml:space="preserve">, </w:t>
      </w:r>
      <w:r w:rsidR="00F02406" w:rsidRPr="006E25B0">
        <w:rPr>
          <w:rFonts w:ascii="Times New Roman" w:hAnsi="Times New Roman" w:cs="Times New Roman"/>
          <w:noProof/>
          <w:sz w:val="24"/>
          <w:szCs w:val="24"/>
        </w:rPr>
        <w:t xml:space="preserve">para. </w:t>
      </w:r>
      <w:r w:rsidR="002717EB" w:rsidRPr="006E25B0">
        <w:rPr>
          <w:rFonts w:ascii="Times New Roman" w:hAnsi="Times New Roman" w:cs="Times New Roman"/>
          <w:noProof/>
          <w:sz w:val="24"/>
          <w:szCs w:val="24"/>
        </w:rPr>
        <w:t>12)</w:t>
      </w:r>
      <w:r w:rsidR="008E7D18" w:rsidRPr="006E25B0">
        <w:rPr>
          <w:rFonts w:ascii="Times New Roman" w:hAnsi="Times New Roman" w:cs="Times New Roman"/>
          <w:noProof/>
          <w:sz w:val="24"/>
          <w:szCs w:val="24"/>
        </w:rPr>
        <w:t>. They can and do set requirements of occupational status for certain branches of social security, such as unemployment benefits and benefits in respect of accidents at work and occupational diseases. Other branches</w:t>
      </w:r>
      <w:r w:rsidR="0052220D" w:rsidRPr="006E25B0">
        <w:rPr>
          <w:rFonts w:ascii="Times New Roman" w:hAnsi="Times New Roman" w:cs="Times New Roman"/>
          <w:noProof/>
          <w:sz w:val="24"/>
          <w:szCs w:val="24"/>
        </w:rPr>
        <w:t>,</w:t>
      </w:r>
      <w:r w:rsidR="002B5B03" w:rsidRPr="006E25B0">
        <w:rPr>
          <w:rFonts w:ascii="Times New Roman" w:hAnsi="Times New Roman" w:cs="Times New Roman"/>
          <w:noProof/>
          <w:sz w:val="24"/>
          <w:szCs w:val="24"/>
        </w:rPr>
        <w:t xml:space="preserve"> such as</w:t>
      </w:r>
      <w:r w:rsidR="00FC1A78"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healthcare and family benefits</w:t>
      </w:r>
      <w:r w:rsidR="0052220D" w:rsidRPr="006E25B0">
        <w:rPr>
          <w:rFonts w:ascii="Times New Roman" w:hAnsi="Times New Roman" w:cs="Times New Roman"/>
          <w:noProof/>
          <w:sz w:val="24"/>
          <w:szCs w:val="24"/>
        </w:rPr>
        <w:t>,</w:t>
      </w:r>
      <w:r w:rsidR="002B5B03"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are </w:t>
      </w:r>
      <w:r w:rsidR="00FC1A78" w:rsidRPr="006E25B0">
        <w:rPr>
          <w:rFonts w:ascii="Times New Roman" w:hAnsi="Times New Roman" w:cs="Times New Roman"/>
          <w:noProof/>
          <w:sz w:val="24"/>
          <w:szCs w:val="24"/>
        </w:rPr>
        <w:t xml:space="preserve">typically </w:t>
      </w:r>
      <w:r w:rsidR="008E7D18" w:rsidRPr="006E25B0">
        <w:rPr>
          <w:rFonts w:ascii="Times New Roman" w:hAnsi="Times New Roman" w:cs="Times New Roman"/>
          <w:noProof/>
          <w:sz w:val="24"/>
          <w:szCs w:val="24"/>
        </w:rPr>
        <w:t xml:space="preserve">open to all (lawful) residents, </w:t>
      </w:r>
      <w:r w:rsidR="0052220D" w:rsidRPr="006E25B0">
        <w:rPr>
          <w:rFonts w:ascii="Times New Roman" w:hAnsi="Times New Roman" w:cs="Times New Roman"/>
          <w:noProof/>
          <w:sz w:val="24"/>
          <w:szCs w:val="24"/>
        </w:rPr>
        <w:t xml:space="preserve">irrespective </w:t>
      </w:r>
      <w:r w:rsidR="008E7D18" w:rsidRPr="006E25B0">
        <w:rPr>
          <w:rFonts w:ascii="Times New Roman" w:hAnsi="Times New Roman" w:cs="Times New Roman"/>
          <w:noProof/>
          <w:sz w:val="24"/>
          <w:szCs w:val="24"/>
        </w:rPr>
        <w:t>of occupational status or history</w:t>
      </w:r>
      <w:r w:rsidR="00DC2F64" w:rsidRPr="006E25B0">
        <w:rPr>
          <w:rFonts w:ascii="Times New Roman" w:hAnsi="Times New Roman" w:cs="Times New Roman"/>
          <w:noProof/>
          <w:sz w:val="24"/>
          <w:szCs w:val="24"/>
        </w:rPr>
        <w:t xml:space="preserve"> (Missoc)</w:t>
      </w:r>
      <w:r w:rsidR="008E7D18" w:rsidRPr="006E25B0">
        <w:rPr>
          <w:rFonts w:ascii="Times New Roman" w:hAnsi="Times New Roman" w:cs="Times New Roman"/>
          <w:noProof/>
          <w:sz w:val="24"/>
          <w:szCs w:val="24"/>
        </w:rPr>
        <w:t xml:space="preserve">. </w:t>
      </w:r>
      <w:bookmarkStart w:id="14" w:name="_Hlk89065920"/>
    </w:p>
    <w:p w14:paraId="1D582BFD" w14:textId="16DC6FB0" w:rsidR="008E7D18" w:rsidRPr="006E25B0" w:rsidRDefault="00D95347" w:rsidP="00D95347">
      <w:pPr>
        <w:rPr>
          <w:rFonts w:ascii="Times New Roman" w:hAnsi="Times New Roman" w:cs="Times New Roman"/>
          <w:noProof/>
          <w:sz w:val="24"/>
          <w:szCs w:val="24"/>
        </w:rPr>
      </w:pPr>
      <w:r w:rsidRPr="006E25B0">
        <w:rPr>
          <w:rFonts w:ascii="Times New Roman" w:hAnsi="Times New Roman" w:cs="Times New Roman"/>
          <w:noProof/>
          <w:sz w:val="24"/>
          <w:szCs w:val="24"/>
        </w:rPr>
        <w:t>13</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Regardless of their nationality, the family members and survivors of the above groups also derive protection from the regulations</w:t>
      </w:r>
      <w:r w:rsidR="002717EB" w:rsidRPr="006E25B0">
        <w:rPr>
          <w:rFonts w:ascii="Times New Roman" w:hAnsi="Times New Roman" w:cs="Times New Roman"/>
          <w:noProof/>
          <w:sz w:val="24"/>
          <w:szCs w:val="24"/>
        </w:rPr>
        <w:t xml:space="preserve"> (see further </w:t>
      </w:r>
      <w:r w:rsidR="002717EB" w:rsidRPr="006E25B0">
        <w:rPr>
          <w:rFonts w:ascii="Times New Roman" w:hAnsi="Times New Roman" w:cs="Times New Roman"/>
          <w:i/>
          <w:noProof/>
          <w:sz w:val="24"/>
          <w:szCs w:val="24"/>
        </w:rPr>
        <w:t>Cabanis-Issarte</w:t>
      </w:r>
      <w:r w:rsidR="002717EB" w:rsidRPr="006E25B0">
        <w:rPr>
          <w:rFonts w:ascii="Times New Roman" w:hAnsi="Times New Roman" w:cs="Times New Roman"/>
          <w:noProof/>
          <w:sz w:val="24"/>
          <w:szCs w:val="24"/>
        </w:rPr>
        <w:t xml:space="preserve">, </w:t>
      </w:r>
      <w:r w:rsidR="00F02406" w:rsidRPr="006E25B0">
        <w:rPr>
          <w:rFonts w:ascii="Times New Roman" w:hAnsi="Times New Roman" w:cs="Times New Roman"/>
          <w:noProof/>
          <w:sz w:val="24"/>
          <w:szCs w:val="24"/>
        </w:rPr>
        <w:t xml:space="preserve">para. </w:t>
      </w:r>
      <w:r w:rsidR="002717EB" w:rsidRPr="006E25B0">
        <w:rPr>
          <w:rFonts w:ascii="Times New Roman" w:hAnsi="Times New Roman" w:cs="Times New Roman"/>
          <w:noProof/>
          <w:sz w:val="24"/>
          <w:szCs w:val="24"/>
        </w:rPr>
        <w:t>34)</w:t>
      </w:r>
      <w:r w:rsidR="008E7D18" w:rsidRPr="006E25B0">
        <w:rPr>
          <w:rFonts w:ascii="Times New Roman" w:hAnsi="Times New Roman" w:cs="Times New Roman"/>
          <w:noProof/>
          <w:sz w:val="24"/>
          <w:szCs w:val="24"/>
        </w:rPr>
        <w:t>.</w:t>
      </w:r>
    </w:p>
    <w:p w14:paraId="5A9C44DA" w14:textId="3F1C70E8" w:rsidR="008E7D18" w:rsidRPr="006E25B0" w:rsidRDefault="005821D8" w:rsidP="00D95347">
      <w:pPr>
        <w:pStyle w:val="Heading3"/>
        <w:rPr>
          <w:rFonts w:ascii="Times New Roman" w:hAnsi="Times New Roman" w:cs="Times New Roman"/>
          <w:noProof/>
          <w:color w:val="auto"/>
        </w:rPr>
      </w:pPr>
      <w:bookmarkStart w:id="15" w:name="_Hlk78370943"/>
      <w:bookmarkEnd w:id="14"/>
      <w:r w:rsidRPr="006E25B0">
        <w:rPr>
          <w:rFonts w:ascii="Times New Roman" w:hAnsi="Times New Roman" w:cs="Times New Roman"/>
          <w:noProof/>
          <w:color w:val="auto"/>
        </w:rPr>
        <w:t>(c)</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International scope</w:t>
      </w:r>
    </w:p>
    <w:bookmarkEnd w:id="15"/>
    <w:p w14:paraId="380A4506" w14:textId="1275A1C7" w:rsidR="008E7D18" w:rsidRPr="006E25B0" w:rsidRDefault="00D95347" w:rsidP="00D95347">
      <w:pPr>
        <w:rPr>
          <w:rFonts w:ascii="Times New Roman" w:hAnsi="Times New Roman" w:cs="Times New Roman"/>
          <w:noProof/>
          <w:sz w:val="24"/>
          <w:szCs w:val="24"/>
        </w:rPr>
      </w:pPr>
      <w:r w:rsidRPr="006E25B0">
        <w:rPr>
          <w:rFonts w:ascii="Times New Roman" w:hAnsi="Times New Roman" w:cs="Times New Roman"/>
          <w:noProof/>
          <w:sz w:val="24"/>
          <w:szCs w:val="24"/>
        </w:rPr>
        <w:t>14</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regulations primarily coordinate the social security systems of the Member States. They cover workers active outside the territory of the Union ‘as long as the employment relationship retains a sufficiently close connection with that territory’</w:t>
      </w:r>
      <w:r w:rsidR="00A64A58" w:rsidRPr="006E25B0">
        <w:rPr>
          <w:rFonts w:ascii="Times New Roman" w:hAnsi="Times New Roman" w:cs="Times New Roman"/>
          <w:noProof/>
          <w:sz w:val="24"/>
          <w:szCs w:val="24"/>
        </w:rPr>
        <w:t xml:space="preserve"> (</w:t>
      </w:r>
      <w:r w:rsidR="00A64A58" w:rsidRPr="006E25B0">
        <w:rPr>
          <w:rFonts w:ascii="Times New Roman" w:hAnsi="Times New Roman" w:cs="Times New Roman"/>
          <w:i/>
          <w:noProof/>
          <w:sz w:val="24"/>
          <w:szCs w:val="24"/>
        </w:rPr>
        <w:t>SF</w:t>
      </w:r>
      <w:r w:rsidR="00A64A58" w:rsidRPr="006E25B0">
        <w:rPr>
          <w:rFonts w:ascii="Times New Roman" w:hAnsi="Times New Roman" w:cs="Times New Roman"/>
          <w:noProof/>
          <w:sz w:val="24"/>
          <w:szCs w:val="24"/>
        </w:rPr>
        <w:t xml:space="preserve">, </w:t>
      </w:r>
      <w:r w:rsidR="00F02406" w:rsidRPr="006E25B0">
        <w:rPr>
          <w:rFonts w:ascii="Times New Roman" w:hAnsi="Times New Roman" w:cs="Times New Roman"/>
          <w:noProof/>
          <w:sz w:val="24"/>
          <w:szCs w:val="24"/>
        </w:rPr>
        <w:t xml:space="preserve">para. </w:t>
      </w:r>
      <w:r w:rsidR="00A64A58" w:rsidRPr="006E25B0">
        <w:rPr>
          <w:rFonts w:ascii="Times New Roman" w:hAnsi="Times New Roman" w:cs="Times New Roman"/>
          <w:noProof/>
          <w:sz w:val="24"/>
          <w:szCs w:val="24"/>
        </w:rPr>
        <w:t>22)</w:t>
      </w:r>
      <w:r w:rsidR="008E7D18" w:rsidRPr="006E25B0">
        <w:rPr>
          <w:rFonts w:ascii="Times New Roman" w:hAnsi="Times New Roman" w:cs="Times New Roman"/>
          <w:noProof/>
          <w:sz w:val="24"/>
          <w:szCs w:val="24"/>
        </w:rPr>
        <w:t>. EU agreements with third countries make provision for social security coordination</w:t>
      </w:r>
      <w:r w:rsidR="00A64A58" w:rsidRPr="006E25B0">
        <w:rPr>
          <w:rFonts w:ascii="Times New Roman" w:hAnsi="Times New Roman" w:cs="Times New Roman"/>
          <w:noProof/>
          <w:sz w:val="24"/>
          <w:szCs w:val="24"/>
        </w:rPr>
        <w:t xml:space="preserve"> (see Melin (2020), Chapter 2)</w:t>
      </w:r>
      <w:r w:rsidR="008E7D18" w:rsidRPr="006E25B0">
        <w:rPr>
          <w:rFonts w:ascii="Times New Roman" w:hAnsi="Times New Roman" w:cs="Times New Roman"/>
          <w:noProof/>
          <w:sz w:val="24"/>
          <w:szCs w:val="24"/>
        </w:rPr>
        <w:t>. The main instances of ‘export’ of the regulations concern the EEA, Switzerland and the UK</w:t>
      </w:r>
      <w:r w:rsidR="00A64A58" w:rsidRPr="006E25B0">
        <w:rPr>
          <w:rFonts w:ascii="Times New Roman" w:hAnsi="Times New Roman" w:cs="Times New Roman"/>
          <w:noProof/>
          <w:sz w:val="24"/>
          <w:szCs w:val="24"/>
        </w:rPr>
        <w:t xml:space="preserve"> (</w:t>
      </w:r>
      <w:bookmarkStart w:id="16" w:name="_Hlk111452889"/>
      <w:r w:rsidR="00A64A58" w:rsidRPr="006E25B0">
        <w:rPr>
          <w:rFonts w:ascii="Times New Roman" w:hAnsi="Times New Roman" w:cs="Times New Roman"/>
          <w:noProof/>
          <w:sz w:val="24"/>
          <w:szCs w:val="24"/>
        </w:rPr>
        <w:t>Decision</w:t>
      </w:r>
      <w:r w:rsidR="002B74DF" w:rsidRPr="006E25B0">
        <w:rPr>
          <w:rFonts w:ascii="Times New Roman" w:hAnsi="Times New Roman" w:cs="Times New Roman"/>
          <w:noProof/>
          <w:sz w:val="24"/>
          <w:szCs w:val="24"/>
        </w:rPr>
        <w:t xml:space="preserve"> </w:t>
      </w:r>
      <w:r w:rsidR="00A64A58" w:rsidRPr="006E25B0">
        <w:rPr>
          <w:rFonts w:ascii="Times New Roman" w:hAnsi="Times New Roman" w:cs="Times New Roman"/>
          <w:noProof/>
          <w:sz w:val="24"/>
          <w:szCs w:val="24"/>
        </w:rPr>
        <w:t>76/2011 of the EEA Joint Committee; Decision</w:t>
      </w:r>
      <w:r w:rsidR="002B74DF" w:rsidRPr="006E25B0">
        <w:rPr>
          <w:rFonts w:ascii="Times New Roman" w:hAnsi="Times New Roman" w:cs="Times New Roman"/>
          <w:noProof/>
          <w:sz w:val="24"/>
          <w:szCs w:val="24"/>
        </w:rPr>
        <w:t xml:space="preserve"> </w:t>
      </w:r>
      <w:r w:rsidR="00A64A58" w:rsidRPr="006E25B0">
        <w:rPr>
          <w:rFonts w:ascii="Times New Roman" w:hAnsi="Times New Roman" w:cs="Times New Roman"/>
          <w:noProof/>
          <w:sz w:val="24"/>
          <w:szCs w:val="24"/>
        </w:rPr>
        <w:t xml:space="preserve">1/2012 of the EU-Swiss Joint Committee; </w:t>
      </w:r>
      <w:r w:rsidR="004F13A9" w:rsidRPr="006E25B0">
        <w:rPr>
          <w:rFonts w:ascii="Times New Roman" w:hAnsi="Times New Roman" w:cs="Times New Roman"/>
          <w:noProof/>
          <w:sz w:val="24"/>
          <w:szCs w:val="24"/>
        </w:rPr>
        <w:t xml:space="preserve">the Withdrawal Agreement; </w:t>
      </w:r>
      <w:r w:rsidR="00317DBE" w:rsidRPr="006E25B0">
        <w:rPr>
          <w:rFonts w:ascii="Times New Roman" w:hAnsi="Times New Roman" w:cs="Times New Roman"/>
          <w:noProof/>
          <w:sz w:val="24"/>
          <w:szCs w:val="24"/>
        </w:rPr>
        <w:t xml:space="preserve">the </w:t>
      </w:r>
      <w:r w:rsidR="004F13A9" w:rsidRPr="006E25B0">
        <w:rPr>
          <w:rFonts w:ascii="Times New Roman" w:hAnsi="Times New Roman" w:cs="Times New Roman"/>
          <w:noProof/>
          <w:sz w:val="24"/>
          <w:szCs w:val="24"/>
        </w:rPr>
        <w:t xml:space="preserve">Protocol on Social Security Coordination of the </w:t>
      </w:r>
      <w:bookmarkStart w:id="17" w:name="_Hlk111707533"/>
      <w:r w:rsidR="004F13A9" w:rsidRPr="006E25B0">
        <w:rPr>
          <w:rFonts w:ascii="Times New Roman" w:hAnsi="Times New Roman" w:cs="Times New Roman"/>
          <w:noProof/>
          <w:sz w:val="24"/>
          <w:szCs w:val="24"/>
        </w:rPr>
        <w:t>Trade and Cooperation Agreement</w:t>
      </w:r>
      <w:bookmarkEnd w:id="16"/>
      <w:bookmarkEnd w:id="17"/>
      <w:r w:rsidR="00A64A58"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w:t>
      </w:r>
    </w:p>
    <w:p w14:paraId="7D06CB3F" w14:textId="67105F04" w:rsidR="008E7D18" w:rsidRPr="006E25B0" w:rsidRDefault="00C02263" w:rsidP="00D95347">
      <w:pPr>
        <w:pStyle w:val="Heading2"/>
        <w:rPr>
          <w:rFonts w:ascii="Times New Roman" w:hAnsi="Times New Roman" w:cs="Times New Roman"/>
          <w:noProof/>
          <w:color w:val="auto"/>
        </w:rPr>
      </w:pPr>
      <w:bookmarkStart w:id="18" w:name="_Hlk78370936"/>
      <w:r w:rsidRPr="006E25B0">
        <w:rPr>
          <w:rFonts w:ascii="Times New Roman" w:hAnsi="Times New Roman" w:cs="Times New Roman"/>
          <w:noProof/>
          <w:color w:val="auto"/>
        </w:rPr>
        <w:t xml:space="preserve">2. </w:t>
      </w:r>
      <w:r w:rsidR="008E7D18" w:rsidRPr="006E25B0">
        <w:rPr>
          <w:rFonts w:ascii="Times New Roman" w:hAnsi="Times New Roman" w:cs="Times New Roman"/>
          <w:noProof/>
          <w:color w:val="auto"/>
        </w:rPr>
        <w:t xml:space="preserve">Which Member State’s </w:t>
      </w:r>
      <w:r w:rsidR="00E43576" w:rsidRPr="006E25B0">
        <w:rPr>
          <w:rFonts w:ascii="Times New Roman" w:hAnsi="Times New Roman" w:cs="Times New Roman"/>
          <w:noProof/>
          <w:color w:val="auto"/>
        </w:rPr>
        <w:t>l</w:t>
      </w:r>
      <w:r w:rsidR="008E7D18" w:rsidRPr="006E25B0">
        <w:rPr>
          <w:rFonts w:ascii="Times New Roman" w:hAnsi="Times New Roman" w:cs="Times New Roman"/>
          <w:noProof/>
          <w:color w:val="auto"/>
        </w:rPr>
        <w:t xml:space="preserve">aw </w:t>
      </w:r>
      <w:r w:rsidR="00CA72AF" w:rsidRPr="006E25B0">
        <w:rPr>
          <w:rFonts w:ascii="Times New Roman" w:hAnsi="Times New Roman" w:cs="Times New Roman"/>
          <w:noProof/>
          <w:color w:val="auto"/>
        </w:rPr>
        <w:t>i</w:t>
      </w:r>
      <w:r w:rsidR="008E7D18" w:rsidRPr="006E25B0">
        <w:rPr>
          <w:rFonts w:ascii="Times New Roman" w:hAnsi="Times New Roman" w:cs="Times New Roman"/>
          <w:noProof/>
          <w:color w:val="auto"/>
        </w:rPr>
        <w:t xml:space="preserve">s </w:t>
      </w:r>
      <w:r w:rsidR="00E43576" w:rsidRPr="006E25B0">
        <w:rPr>
          <w:rFonts w:ascii="Times New Roman" w:hAnsi="Times New Roman" w:cs="Times New Roman"/>
          <w:noProof/>
          <w:color w:val="auto"/>
        </w:rPr>
        <w:t>a</w:t>
      </w:r>
      <w:r w:rsidR="008E7D18" w:rsidRPr="006E25B0">
        <w:rPr>
          <w:rFonts w:ascii="Times New Roman" w:hAnsi="Times New Roman" w:cs="Times New Roman"/>
          <w:noProof/>
          <w:color w:val="auto"/>
        </w:rPr>
        <w:t>pplicable?</w:t>
      </w:r>
    </w:p>
    <w:bookmarkEnd w:id="18"/>
    <w:p w14:paraId="08B02873" w14:textId="229EC477" w:rsidR="008E7D18" w:rsidRPr="006E25B0" w:rsidRDefault="00D95347" w:rsidP="00D95347">
      <w:pPr>
        <w:rPr>
          <w:rFonts w:ascii="Times New Roman" w:hAnsi="Times New Roman" w:cs="Times New Roman"/>
          <w:noProof/>
          <w:sz w:val="24"/>
          <w:szCs w:val="24"/>
        </w:rPr>
      </w:pPr>
      <w:r w:rsidRPr="006E25B0">
        <w:rPr>
          <w:rFonts w:ascii="Times New Roman" w:hAnsi="Times New Roman" w:cs="Times New Roman"/>
          <w:noProof/>
          <w:sz w:val="24"/>
          <w:szCs w:val="24"/>
        </w:rPr>
        <w:t>15</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For those who fall within the scope of Regulation</w:t>
      </w:r>
      <w:r w:rsidR="002B74D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883/2004, the conflict rules laid down in </w:t>
      </w:r>
      <w:r w:rsidR="002F51DE" w:rsidRPr="006E25B0">
        <w:rPr>
          <w:rFonts w:ascii="Times New Roman" w:hAnsi="Times New Roman" w:cs="Times New Roman"/>
          <w:noProof/>
          <w:sz w:val="24"/>
          <w:szCs w:val="24"/>
        </w:rPr>
        <w:t xml:space="preserve">its </w:t>
      </w:r>
      <w:r w:rsidR="008E7D18" w:rsidRPr="006E25B0">
        <w:rPr>
          <w:rFonts w:ascii="Times New Roman" w:hAnsi="Times New Roman" w:cs="Times New Roman"/>
          <w:noProof/>
          <w:sz w:val="24"/>
          <w:szCs w:val="24"/>
        </w:rPr>
        <w:t>Title II designate the law that determines benefit rights and contribution duties.</w:t>
      </w:r>
      <w:r w:rsidR="008E7D18" w:rsidRPr="006E25B0">
        <w:rPr>
          <w:rFonts w:ascii="Times New Roman" w:hAnsi="Times New Roman" w:cs="Times New Roman"/>
          <w:iCs/>
          <w:noProof/>
          <w:sz w:val="24"/>
          <w:szCs w:val="24"/>
        </w:rPr>
        <w:t xml:space="preserve"> </w:t>
      </w:r>
    </w:p>
    <w:p w14:paraId="690C814B" w14:textId="0D0684E6" w:rsidR="008E7D18" w:rsidRPr="006E25B0" w:rsidRDefault="005821D8" w:rsidP="00D95347">
      <w:pPr>
        <w:pStyle w:val="Heading3"/>
        <w:rPr>
          <w:rFonts w:ascii="Times New Roman" w:hAnsi="Times New Roman" w:cs="Times New Roman"/>
          <w:noProof/>
          <w:color w:val="auto"/>
        </w:rPr>
      </w:pPr>
      <w:bookmarkStart w:id="19" w:name="_Hlk78370932"/>
      <w:r w:rsidRPr="006E25B0">
        <w:rPr>
          <w:rFonts w:ascii="Times New Roman" w:hAnsi="Times New Roman" w:cs="Times New Roman"/>
          <w:noProof/>
          <w:color w:val="auto"/>
        </w:rPr>
        <w:t>(a)</w:t>
      </w:r>
      <w:r w:rsidR="00B36B60"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The </w:t>
      </w:r>
      <w:r w:rsidR="008E7D18" w:rsidRPr="006E25B0">
        <w:rPr>
          <w:rFonts w:ascii="Times New Roman" w:hAnsi="Times New Roman" w:cs="Times New Roman"/>
          <w:i/>
          <w:iCs/>
          <w:noProof/>
          <w:color w:val="auto"/>
        </w:rPr>
        <w:t>lex loci laboris</w:t>
      </w:r>
    </w:p>
    <w:bookmarkEnd w:id="19"/>
    <w:p w14:paraId="1FC8F8F5" w14:textId="408CFAEB"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16</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general conflict rule for economically active persons</w:t>
      </w:r>
      <w:r w:rsidR="00D9764D"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is the </w:t>
      </w:r>
      <w:r w:rsidR="008E7D18" w:rsidRPr="006E25B0">
        <w:rPr>
          <w:rFonts w:ascii="Times New Roman" w:eastAsia="Calibri" w:hAnsi="Times New Roman" w:cs="Times New Roman"/>
          <w:i/>
          <w:noProof/>
          <w:sz w:val="24"/>
          <w:szCs w:val="24"/>
        </w:rPr>
        <w:t>lex loci laboris</w:t>
      </w:r>
      <w:r w:rsidR="008E7D18" w:rsidRPr="006E25B0">
        <w:rPr>
          <w:rFonts w:ascii="Times New Roman" w:eastAsia="Calibri" w:hAnsi="Times New Roman" w:cs="Times New Roman"/>
          <w:noProof/>
          <w:sz w:val="24"/>
          <w:szCs w:val="24"/>
        </w:rPr>
        <w:t>: ‘a person pursuing an activity as an employed or self-employed person in a Member State shall be subject to the legislation of that Member State’</w:t>
      </w:r>
      <w:r w:rsidR="00D9764D" w:rsidRPr="006E25B0">
        <w:rPr>
          <w:rFonts w:ascii="Times New Roman" w:eastAsia="Calibri" w:hAnsi="Times New Roman" w:cs="Times New Roman"/>
          <w:noProof/>
          <w:sz w:val="24"/>
          <w:szCs w:val="24"/>
        </w:rPr>
        <w:t xml:space="preserve"> (Art. 11(3)(a) Regulation</w:t>
      </w:r>
      <w:r w:rsidR="002B74DF" w:rsidRPr="006E25B0">
        <w:rPr>
          <w:rFonts w:ascii="Times New Roman" w:eastAsia="Calibri" w:hAnsi="Times New Roman" w:cs="Times New Roman"/>
          <w:noProof/>
          <w:sz w:val="24"/>
          <w:szCs w:val="24"/>
        </w:rPr>
        <w:t xml:space="preserve"> </w:t>
      </w:r>
      <w:r w:rsidR="00D9764D" w:rsidRPr="006E25B0">
        <w:rPr>
          <w:rFonts w:ascii="Times New Roman" w:eastAsia="Calibri" w:hAnsi="Times New Roman" w:cs="Times New Roman"/>
          <w:noProof/>
          <w:sz w:val="24"/>
          <w:szCs w:val="24"/>
        </w:rPr>
        <w:t>883/2004)</w:t>
      </w:r>
      <w:r w:rsidR="008E7D18" w:rsidRPr="006E25B0">
        <w:rPr>
          <w:rFonts w:ascii="Times New Roman" w:eastAsia="Calibri" w:hAnsi="Times New Roman" w:cs="Times New Roman"/>
          <w:noProof/>
          <w:sz w:val="24"/>
          <w:szCs w:val="24"/>
        </w:rPr>
        <w:t xml:space="preserve">. </w:t>
      </w:r>
    </w:p>
    <w:p w14:paraId="7C039941" w14:textId="46DC097E" w:rsidR="008E7D18" w:rsidRPr="006E25B0" w:rsidRDefault="009A1017" w:rsidP="00D95347">
      <w:pPr>
        <w:rPr>
          <w:rFonts w:ascii="Times New Roman" w:eastAsia="Calibri" w:hAnsi="Times New Roman" w:cs="Times New Roman"/>
          <w:noProof/>
          <w:sz w:val="24"/>
          <w:szCs w:val="24"/>
        </w:rPr>
      </w:pPr>
      <w:r w:rsidRPr="006E25B0">
        <w:rPr>
          <w:rFonts w:ascii="Times New Roman" w:hAnsi="Times New Roman" w:cs="Times New Roman"/>
          <w:noProof/>
          <w:sz w:val="24"/>
          <w:szCs w:val="24"/>
        </w:rPr>
        <w:t>17</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w:t>
      </w:r>
      <w:r w:rsidR="008E7D18" w:rsidRPr="006E25B0">
        <w:rPr>
          <w:rFonts w:ascii="Times New Roman" w:hAnsi="Times New Roman" w:cs="Times New Roman"/>
          <w:i/>
          <w:noProof/>
          <w:sz w:val="24"/>
          <w:szCs w:val="24"/>
        </w:rPr>
        <w:t>lex loci laboris</w:t>
      </w:r>
      <w:r w:rsidR="008E7D18" w:rsidRPr="006E25B0">
        <w:rPr>
          <w:rFonts w:ascii="Times New Roman" w:hAnsi="Times New Roman" w:cs="Times New Roman"/>
          <w:noProof/>
          <w:sz w:val="24"/>
          <w:szCs w:val="24"/>
        </w:rPr>
        <w:t xml:space="preserve"> fits well with national and international law: work is a major gateway to social security at national level</w:t>
      </w:r>
      <w:r w:rsidR="00DC2F64" w:rsidRPr="006E25B0">
        <w:rPr>
          <w:rFonts w:ascii="Times New Roman" w:hAnsi="Times New Roman" w:cs="Times New Roman"/>
          <w:noProof/>
          <w:sz w:val="24"/>
          <w:szCs w:val="24"/>
        </w:rPr>
        <w:t xml:space="preserve"> (Missoc)</w:t>
      </w:r>
      <w:r w:rsidR="008E7D18" w:rsidRPr="006E25B0">
        <w:rPr>
          <w:rFonts w:ascii="Times New Roman" w:hAnsi="Times New Roman" w:cs="Times New Roman"/>
          <w:noProof/>
          <w:sz w:val="24"/>
          <w:szCs w:val="24"/>
        </w:rPr>
        <w:t xml:space="preserve"> and bilateral social security agreements tend to be based on the </w:t>
      </w:r>
      <w:r w:rsidR="008E7D18" w:rsidRPr="006E25B0">
        <w:rPr>
          <w:rFonts w:ascii="Times New Roman" w:hAnsi="Times New Roman" w:cs="Times New Roman"/>
          <w:i/>
          <w:noProof/>
          <w:sz w:val="24"/>
          <w:szCs w:val="24"/>
        </w:rPr>
        <w:t>lex loci laboris</w:t>
      </w:r>
      <w:r w:rsidR="00D9764D" w:rsidRPr="006E25B0">
        <w:rPr>
          <w:rFonts w:ascii="Times New Roman" w:hAnsi="Times New Roman" w:cs="Times New Roman"/>
          <w:iCs/>
          <w:noProof/>
          <w:sz w:val="24"/>
          <w:szCs w:val="24"/>
        </w:rPr>
        <w:t xml:space="preserve"> (eg Spiegel, 33)</w:t>
      </w:r>
      <w:r w:rsidR="008E7D18" w:rsidRPr="006E25B0">
        <w:rPr>
          <w:rFonts w:ascii="Times New Roman" w:hAnsi="Times New Roman" w:cs="Times New Roman"/>
          <w:noProof/>
          <w:sz w:val="24"/>
          <w:szCs w:val="24"/>
        </w:rPr>
        <w:t xml:space="preserve">. </w:t>
      </w:r>
      <w:r w:rsidR="008E7D18" w:rsidRPr="006E25B0">
        <w:rPr>
          <w:rFonts w:ascii="Times New Roman" w:hAnsi="Times New Roman" w:cs="Times New Roman"/>
          <w:iCs/>
          <w:noProof/>
          <w:sz w:val="24"/>
          <w:szCs w:val="24"/>
        </w:rPr>
        <w:t>Moreover, the idea that the State of (habitual) work should regulate employment relationships also dominates labour law and tax law</w:t>
      </w:r>
      <w:r w:rsidR="00D9764D" w:rsidRPr="006E25B0">
        <w:rPr>
          <w:rFonts w:ascii="Times New Roman" w:hAnsi="Times New Roman" w:cs="Times New Roman"/>
          <w:iCs/>
          <w:noProof/>
          <w:sz w:val="24"/>
          <w:szCs w:val="24"/>
        </w:rPr>
        <w:t xml:space="preserve"> (Art. 8 </w:t>
      </w:r>
      <w:bookmarkStart w:id="20" w:name="_Hlk111452707"/>
      <w:r w:rsidR="00D9764D" w:rsidRPr="006E25B0">
        <w:rPr>
          <w:rFonts w:ascii="Times New Roman" w:hAnsi="Times New Roman" w:cs="Times New Roman"/>
          <w:iCs/>
          <w:noProof/>
          <w:sz w:val="24"/>
          <w:szCs w:val="24"/>
        </w:rPr>
        <w:t>Regulation</w:t>
      </w:r>
      <w:r w:rsidR="002B74DF" w:rsidRPr="006E25B0">
        <w:rPr>
          <w:rFonts w:ascii="Times New Roman" w:hAnsi="Times New Roman" w:cs="Times New Roman"/>
          <w:iCs/>
          <w:noProof/>
          <w:sz w:val="24"/>
          <w:szCs w:val="24"/>
        </w:rPr>
        <w:t xml:space="preserve"> </w:t>
      </w:r>
      <w:r w:rsidR="00D9764D" w:rsidRPr="006E25B0">
        <w:rPr>
          <w:rFonts w:ascii="Times New Roman" w:hAnsi="Times New Roman" w:cs="Times New Roman"/>
          <w:iCs/>
          <w:noProof/>
          <w:sz w:val="24"/>
          <w:szCs w:val="24"/>
        </w:rPr>
        <w:t>593/2008; Art. 15 OECD Model Tax Convention on Income and on Capital 2017</w:t>
      </w:r>
      <w:bookmarkEnd w:id="20"/>
      <w:r w:rsidR="00D9764D" w:rsidRPr="006E25B0">
        <w:rPr>
          <w:rFonts w:ascii="Times New Roman" w:hAnsi="Times New Roman" w:cs="Times New Roman"/>
          <w:iCs/>
          <w:noProof/>
          <w:sz w:val="24"/>
          <w:szCs w:val="24"/>
        </w:rPr>
        <w:t>; Van Hoek, 455-460)</w:t>
      </w:r>
      <w:r w:rsidR="008E7D18" w:rsidRPr="006E25B0">
        <w:rPr>
          <w:rFonts w:ascii="Times New Roman" w:hAnsi="Times New Roman" w:cs="Times New Roman"/>
          <w:iCs/>
          <w:noProof/>
          <w:sz w:val="24"/>
          <w:szCs w:val="24"/>
        </w:rPr>
        <w:t xml:space="preserve">. The </w:t>
      </w:r>
      <w:r w:rsidR="008E7D18" w:rsidRPr="006E25B0">
        <w:rPr>
          <w:rFonts w:ascii="Times New Roman" w:hAnsi="Times New Roman" w:cs="Times New Roman"/>
          <w:i/>
          <w:noProof/>
          <w:sz w:val="24"/>
          <w:szCs w:val="24"/>
        </w:rPr>
        <w:t>lex loci laboris</w:t>
      </w:r>
      <w:r w:rsidR="008E7D18" w:rsidRPr="006E25B0">
        <w:rPr>
          <w:rFonts w:ascii="Times New Roman" w:hAnsi="Times New Roman" w:cs="Times New Roman"/>
          <w:iCs/>
          <w:noProof/>
          <w:sz w:val="24"/>
          <w:szCs w:val="24"/>
        </w:rPr>
        <w:t xml:space="preserve"> also chimes with primary law. It </w:t>
      </w:r>
      <w:r w:rsidR="008E7D18" w:rsidRPr="006E25B0">
        <w:rPr>
          <w:rFonts w:ascii="Times New Roman" w:eastAsia="Calibri" w:hAnsi="Times New Roman" w:cs="Times New Roman"/>
          <w:noProof/>
          <w:sz w:val="24"/>
          <w:szCs w:val="24"/>
        </w:rPr>
        <w:t>realises the free movement of workers by</w:t>
      </w:r>
      <w:r w:rsidR="008E7D18" w:rsidRPr="006E25B0">
        <w:rPr>
          <w:rFonts w:ascii="Times New Roman" w:hAnsi="Times New Roman" w:cs="Times New Roman"/>
          <w:noProof/>
          <w:sz w:val="24"/>
          <w:szCs w:val="24"/>
        </w:rPr>
        <w:t xml:space="preserve"> entitling them to equal social protection in the State in which they work. As a result, workers are </w:t>
      </w:r>
      <w:r w:rsidR="008E7D18" w:rsidRPr="006E25B0">
        <w:rPr>
          <w:rFonts w:ascii="Times New Roman" w:eastAsia="Calibri" w:hAnsi="Times New Roman" w:cs="Times New Roman"/>
          <w:noProof/>
          <w:sz w:val="24"/>
          <w:szCs w:val="24"/>
        </w:rPr>
        <w:t xml:space="preserve">often subject to the social security </w:t>
      </w:r>
      <w:r w:rsidR="00FB72B4" w:rsidRPr="006E25B0">
        <w:rPr>
          <w:rFonts w:ascii="Times New Roman" w:eastAsia="Calibri" w:hAnsi="Times New Roman" w:cs="Times New Roman"/>
          <w:noProof/>
          <w:sz w:val="24"/>
          <w:szCs w:val="24"/>
        </w:rPr>
        <w:t xml:space="preserve">system </w:t>
      </w:r>
      <w:r w:rsidR="008E7D18" w:rsidRPr="006E25B0">
        <w:rPr>
          <w:rFonts w:ascii="Times New Roman" w:eastAsia="Calibri" w:hAnsi="Times New Roman" w:cs="Times New Roman"/>
          <w:noProof/>
          <w:sz w:val="24"/>
          <w:szCs w:val="24"/>
        </w:rPr>
        <w:t xml:space="preserve">of the Member State to which they are (most) closely connected. The </w:t>
      </w:r>
      <w:r w:rsidR="008E7D18" w:rsidRPr="006E25B0">
        <w:rPr>
          <w:rFonts w:ascii="Times New Roman" w:eastAsia="Calibri" w:hAnsi="Times New Roman" w:cs="Times New Roman"/>
          <w:i/>
          <w:iCs/>
          <w:noProof/>
          <w:sz w:val="24"/>
          <w:szCs w:val="24"/>
        </w:rPr>
        <w:t>lex loci laboris</w:t>
      </w:r>
      <w:r w:rsidR="008E7D18" w:rsidRPr="006E25B0">
        <w:rPr>
          <w:rFonts w:ascii="Times New Roman" w:eastAsia="Calibri" w:hAnsi="Times New Roman" w:cs="Times New Roman"/>
          <w:noProof/>
          <w:sz w:val="24"/>
          <w:szCs w:val="24"/>
        </w:rPr>
        <w:t xml:space="preserve"> is an emanation of market solidarity</w:t>
      </w:r>
      <w:r w:rsidR="00F33C3B" w:rsidRPr="006E25B0">
        <w:rPr>
          <w:rFonts w:ascii="Times New Roman" w:eastAsia="Calibri" w:hAnsi="Times New Roman" w:cs="Times New Roman"/>
          <w:noProof/>
          <w:sz w:val="24"/>
          <w:szCs w:val="24"/>
        </w:rPr>
        <w:t xml:space="preserve"> (see de Witte, Chapter 3)</w:t>
      </w:r>
      <w:r w:rsidR="008E7D18" w:rsidRPr="006E25B0">
        <w:rPr>
          <w:rFonts w:ascii="Times New Roman" w:eastAsia="Calibri" w:hAnsi="Times New Roman" w:cs="Times New Roman"/>
          <w:noProof/>
          <w:sz w:val="24"/>
          <w:szCs w:val="24"/>
        </w:rPr>
        <w:t>. It also enables fair competition</w:t>
      </w:r>
      <w:r w:rsidR="00F33C3B" w:rsidRPr="006E25B0">
        <w:rPr>
          <w:rFonts w:ascii="Times New Roman" w:eastAsia="Calibri" w:hAnsi="Times New Roman" w:cs="Times New Roman"/>
          <w:noProof/>
          <w:sz w:val="24"/>
          <w:szCs w:val="24"/>
        </w:rPr>
        <w:t xml:space="preserve"> (see eg Pennings, 2005)</w:t>
      </w:r>
      <w:r w:rsidR="008E7D18" w:rsidRPr="006E25B0">
        <w:rPr>
          <w:rFonts w:ascii="Times New Roman" w:eastAsia="Calibri" w:hAnsi="Times New Roman" w:cs="Times New Roman"/>
          <w:noProof/>
          <w:sz w:val="24"/>
          <w:szCs w:val="24"/>
        </w:rPr>
        <w:t xml:space="preserve">. </w:t>
      </w:r>
      <w:bookmarkStart w:id="21" w:name="_Hlk111627292"/>
      <w:bookmarkStart w:id="22" w:name="_Hlk111627276"/>
      <w:r w:rsidR="008E7D18" w:rsidRPr="006E25B0">
        <w:rPr>
          <w:rFonts w:ascii="Times New Roman" w:hAnsi="Times New Roman" w:cs="Times New Roman"/>
          <w:noProof/>
          <w:sz w:val="24"/>
          <w:szCs w:val="24"/>
        </w:rPr>
        <w:t>Employers cannot reap a competitive advantage by hiring a migrant worker instead of a local worker or vice versa: the same social security contribution duties apply, regardless of the employee’s place of residence or the employer’s place of establishment</w:t>
      </w:r>
      <w:r w:rsidR="00F33C3B" w:rsidRPr="006E25B0">
        <w:rPr>
          <w:rFonts w:ascii="Times New Roman" w:hAnsi="Times New Roman" w:cs="Times New Roman"/>
          <w:noProof/>
          <w:sz w:val="24"/>
          <w:szCs w:val="24"/>
        </w:rPr>
        <w:t xml:space="preserve"> (see Verschueren, 2008, 186-187)</w:t>
      </w:r>
      <w:r w:rsidR="008E7D18" w:rsidRPr="006E25B0">
        <w:rPr>
          <w:rFonts w:ascii="Times New Roman" w:hAnsi="Times New Roman" w:cs="Times New Roman"/>
          <w:noProof/>
          <w:sz w:val="24"/>
          <w:szCs w:val="24"/>
        </w:rPr>
        <w:t xml:space="preserve">. </w:t>
      </w:r>
      <w:bookmarkEnd w:id="21"/>
    </w:p>
    <w:bookmarkEnd w:id="22"/>
    <w:p w14:paraId="311B530B" w14:textId="7B4BB196"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18</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dominance of the </w:t>
      </w:r>
      <w:r w:rsidR="008E7D18" w:rsidRPr="006E25B0">
        <w:rPr>
          <w:rFonts w:ascii="Times New Roman" w:hAnsi="Times New Roman" w:cs="Times New Roman"/>
          <w:i/>
          <w:iCs/>
          <w:noProof/>
          <w:sz w:val="24"/>
          <w:szCs w:val="24"/>
        </w:rPr>
        <w:t>lex loci laboris</w:t>
      </w:r>
      <w:r w:rsidR="008E7D18" w:rsidRPr="006E25B0">
        <w:rPr>
          <w:rFonts w:ascii="Times New Roman" w:hAnsi="Times New Roman" w:cs="Times New Roman"/>
          <w:noProof/>
          <w:sz w:val="24"/>
          <w:szCs w:val="24"/>
        </w:rPr>
        <w:t xml:space="preserve"> </w:t>
      </w:r>
      <w:r w:rsidR="00E61CD2" w:rsidRPr="006E25B0">
        <w:rPr>
          <w:rFonts w:ascii="Times New Roman" w:hAnsi="Times New Roman" w:cs="Times New Roman"/>
          <w:noProof/>
          <w:sz w:val="24"/>
          <w:szCs w:val="24"/>
        </w:rPr>
        <w:t xml:space="preserve">has been </w:t>
      </w:r>
      <w:r w:rsidR="008E7D18" w:rsidRPr="006E25B0">
        <w:rPr>
          <w:rFonts w:ascii="Times New Roman" w:hAnsi="Times New Roman" w:cs="Times New Roman"/>
          <w:noProof/>
          <w:sz w:val="24"/>
          <w:szCs w:val="24"/>
        </w:rPr>
        <w:t>questioned in respect of some Member States and some workers. The Member States adopting the initial social security regulations operated systems in which work, and not mere residence, brought about social protection</w:t>
      </w:r>
      <w:r w:rsidR="00F33C3B" w:rsidRPr="006E25B0">
        <w:rPr>
          <w:rFonts w:ascii="Times New Roman" w:hAnsi="Times New Roman" w:cs="Times New Roman"/>
          <w:noProof/>
          <w:sz w:val="24"/>
          <w:szCs w:val="24"/>
        </w:rPr>
        <w:t xml:space="preserve"> (eg Cornelissen, 1997, 212)</w:t>
      </w:r>
      <w:r w:rsidR="008E7D18" w:rsidRPr="006E25B0">
        <w:rPr>
          <w:rFonts w:ascii="Times New Roman" w:hAnsi="Times New Roman" w:cs="Times New Roman"/>
          <w:noProof/>
          <w:sz w:val="24"/>
          <w:szCs w:val="24"/>
        </w:rPr>
        <w:t xml:space="preserve">. When enlargement and welfare state reform brought about a rise </w:t>
      </w:r>
      <w:r w:rsidR="008E7D18" w:rsidRPr="006E25B0">
        <w:rPr>
          <w:rFonts w:ascii="Times New Roman" w:eastAsia="Calibri" w:hAnsi="Times New Roman" w:cs="Times New Roman"/>
          <w:noProof/>
          <w:sz w:val="24"/>
          <w:szCs w:val="24"/>
        </w:rPr>
        <w:t>in residence-based social security schemes</w:t>
      </w:r>
      <w:r w:rsidR="008E7D18" w:rsidRPr="006E25B0">
        <w:rPr>
          <w:rFonts w:ascii="Times New Roman" w:hAnsi="Times New Roman" w:cs="Times New Roman"/>
          <w:noProof/>
          <w:sz w:val="24"/>
          <w:szCs w:val="24"/>
        </w:rPr>
        <w:t xml:space="preserve">, the choice for the </w:t>
      </w:r>
      <w:r w:rsidR="008E7D18" w:rsidRPr="006E25B0">
        <w:rPr>
          <w:rFonts w:ascii="Times New Roman" w:hAnsi="Times New Roman" w:cs="Times New Roman"/>
          <w:i/>
          <w:iCs/>
          <w:noProof/>
          <w:sz w:val="24"/>
          <w:szCs w:val="24"/>
        </w:rPr>
        <w:t>lex loci laboris</w:t>
      </w:r>
      <w:r w:rsidR="008E7D18" w:rsidRPr="006E25B0">
        <w:rPr>
          <w:rFonts w:ascii="Times New Roman" w:hAnsi="Times New Roman" w:cs="Times New Roman"/>
          <w:noProof/>
          <w:sz w:val="24"/>
          <w:szCs w:val="24"/>
        </w:rPr>
        <w:t xml:space="preserve"> seemed less self-evident. While calls to subject workers to the laws of their State of residence rather than their State of work have quietened down</w:t>
      </w:r>
      <w:r w:rsidR="00F33C3B" w:rsidRPr="006E25B0">
        <w:rPr>
          <w:rFonts w:ascii="Times New Roman" w:hAnsi="Times New Roman" w:cs="Times New Roman"/>
          <w:noProof/>
          <w:sz w:val="24"/>
          <w:szCs w:val="24"/>
        </w:rPr>
        <w:t xml:space="preserve"> (for references and </w:t>
      </w:r>
      <w:r w:rsidR="006D3387" w:rsidRPr="006E25B0">
        <w:rPr>
          <w:rFonts w:ascii="Times New Roman" w:hAnsi="Times New Roman" w:cs="Times New Roman"/>
          <w:noProof/>
          <w:sz w:val="24"/>
          <w:szCs w:val="24"/>
        </w:rPr>
        <w:t>evaluation</w:t>
      </w:r>
      <w:r w:rsidR="00F33C3B" w:rsidRPr="006E25B0">
        <w:rPr>
          <w:rFonts w:ascii="Times New Roman" w:hAnsi="Times New Roman" w:cs="Times New Roman"/>
          <w:noProof/>
          <w:sz w:val="24"/>
          <w:szCs w:val="24"/>
        </w:rPr>
        <w:t>, see Pennings, 2005, 76-79)</w:t>
      </w:r>
      <w:r w:rsidR="008E7D18" w:rsidRPr="006E25B0">
        <w:rPr>
          <w:rFonts w:ascii="Times New Roman" w:hAnsi="Times New Roman" w:cs="Times New Roman"/>
          <w:noProof/>
          <w:sz w:val="24"/>
          <w:szCs w:val="24"/>
        </w:rPr>
        <w:t xml:space="preserve">, there remains discussion as to whether </w:t>
      </w:r>
      <w:r w:rsidR="008E7D18" w:rsidRPr="006E25B0">
        <w:rPr>
          <w:rFonts w:ascii="Times New Roman" w:eastAsia="Calibri" w:hAnsi="Times New Roman" w:cs="Times New Roman"/>
          <w:noProof/>
          <w:sz w:val="24"/>
          <w:szCs w:val="24"/>
        </w:rPr>
        <w:t xml:space="preserve">the </w:t>
      </w:r>
      <w:r w:rsidR="008E7D18" w:rsidRPr="006E25B0">
        <w:rPr>
          <w:rFonts w:ascii="Times New Roman" w:eastAsia="Calibri" w:hAnsi="Times New Roman" w:cs="Times New Roman"/>
          <w:i/>
          <w:noProof/>
          <w:sz w:val="24"/>
          <w:szCs w:val="24"/>
        </w:rPr>
        <w:t>lex loci laboris</w:t>
      </w:r>
      <w:r w:rsidR="008E7D18" w:rsidRPr="006E25B0">
        <w:rPr>
          <w:rFonts w:ascii="Times New Roman" w:eastAsia="Calibri" w:hAnsi="Times New Roman" w:cs="Times New Roman"/>
          <w:noProof/>
          <w:sz w:val="24"/>
          <w:szCs w:val="24"/>
        </w:rPr>
        <w:t xml:space="preserve"> negatively affects residence-based systems</w:t>
      </w:r>
      <w:r w:rsidR="00F33C3B" w:rsidRPr="006E25B0">
        <w:rPr>
          <w:rFonts w:ascii="Times New Roman" w:eastAsia="Calibri" w:hAnsi="Times New Roman" w:cs="Times New Roman"/>
          <w:noProof/>
          <w:sz w:val="24"/>
          <w:szCs w:val="24"/>
        </w:rPr>
        <w:t xml:space="preserve"> (see Erhag)</w:t>
      </w:r>
      <w:r w:rsidR="008E7D18" w:rsidRPr="006E25B0">
        <w:rPr>
          <w:rFonts w:ascii="Times New Roman" w:eastAsia="Calibri" w:hAnsi="Times New Roman" w:cs="Times New Roman"/>
          <w:noProof/>
          <w:sz w:val="24"/>
          <w:szCs w:val="24"/>
        </w:rPr>
        <w:t xml:space="preserve">. </w:t>
      </w:r>
    </w:p>
    <w:p w14:paraId="39BDECCA" w14:textId="27E9AED3" w:rsidR="009B655F"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19</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An issue that came to the fore more recently relates to atypical employment that attracts very little social security protection. Subjecting non-resident atypical workers to the social security system of their State of work can cut them off from the more protective system of their State of residence</w:t>
      </w:r>
      <w:r w:rsidR="0051447B" w:rsidRPr="006E25B0">
        <w:rPr>
          <w:rFonts w:ascii="Times New Roman" w:hAnsi="Times New Roman" w:cs="Times New Roman"/>
          <w:noProof/>
          <w:sz w:val="24"/>
          <w:szCs w:val="24"/>
        </w:rPr>
        <w:t xml:space="preserve"> (</w:t>
      </w:r>
      <w:r w:rsidR="00B705F1" w:rsidRPr="006E25B0">
        <w:rPr>
          <w:rFonts w:ascii="Times New Roman" w:hAnsi="Times New Roman" w:cs="Times New Roman"/>
          <w:noProof/>
          <w:sz w:val="24"/>
          <w:szCs w:val="24"/>
        </w:rPr>
        <w:t>c</w:t>
      </w:r>
      <w:r w:rsidR="0051447B" w:rsidRPr="006E25B0">
        <w:rPr>
          <w:rFonts w:ascii="Times New Roman" w:hAnsi="Times New Roman" w:cs="Times New Roman"/>
          <w:noProof/>
          <w:sz w:val="24"/>
          <w:szCs w:val="24"/>
        </w:rPr>
        <w:t xml:space="preserve">ontrast </w:t>
      </w:r>
      <w:r w:rsidR="0051447B" w:rsidRPr="006E25B0">
        <w:rPr>
          <w:rFonts w:ascii="Times New Roman" w:hAnsi="Times New Roman" w:cs="Times New Roman"/>
          <w:i/>
          <w:noProof/>
          <w:sz w:val="24"/>
          <w:szCs w:val="24"/>
        </w:rPr>
        <w:t xml:space="preserve">van den Berg and Others </w:t>
      </w:r>
      <w:r w:rsidR="0051447B" w:rsidRPr="006E25B0">
        <w:rPr>
          <w:rFonts w:ascii="Times New Roman" w:hAnsi="Times New Roman" w:cs="Times New Roman"/>
          <w:noProof/>
          <w:sz w:val="24"/>
          <w:szCs w:val="24"/>
        </w:rPr>
        <w:t xml:space="preserve">with the Opinion of AG Sharpston in those cases and the Opinion of AG Szpunar in </w:t>
      </w:r>
      <w:r w:rsidR="0051447B" w:rsidRPr="006E25B0">
        <w:rPr>
          <w:rFonts w:ascii="Times New Roman" w:hAnsi="Times New Roman" w:cs="Times New Roman"/>
          <w:i/>
          <w:noProof/>
          <w:sz w:val="24"/>
          <w:szCs w:val="24"/>
        </w:rPr>
        <w:t>Franzen</w:t>
      </w:r>
      <w:r w:rsidR="0051447B"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Two assumptions underlying the </w:t>
      </w:r>
      <w:r w:rsidR="008E7D18" w:rsidRPr="006E25B0">
        <w:rPr>
          <w:rFonts w:ascii="Times New Roman" w:hAnsi="Times New Roman" w:cs="Times New Roman"/>
          <w:i/>
          <w:iCs/>
          <w:noProof/>
          <w:sz w:val="24"/>
          <w:szCs w:val="24"/>
        </w:rPr>
        <w:t>lex loci laboris</w:t>
      </w:r>
      <w:r w:rsidR="008E7D18" w:rsidRPr="006E25B0">
        <w:rPr>
          <w:rFonts w:ascii="Times New Roman" w:hAnsi="Times New Roman" w:cs="Times New Roman"/>
          <w:noProof/>
          <w:sz w:val="24"/>
          <w:szCs w:val="24"/>
        </w:rPr>
        <w:t xml:space="preserve"> then prove to be shaky, as is illustrated by the facts of </w:t>
      </w:r>
      <w:r w:rsidR="008E7D18" w:rsidRPr="006E25B0">
        <w:rPr>
          <w:rFonts w:ascii="Times New Roman" w:hAnsi="Times New Roman" w:cs="Times New Roman"/>
          <w:i/>
          <w:iCs/>
          <w:noProof/>
          <w:sz w:val="24"/>
          <w:szCs w:val="24"/>
        </w:rPr>
        <w:t>van den Berg and Others</w:t>
      </w:r>
      <w:r w:rsidR="008E7D18" w:rsidRPr="006E25B0">
        <w:rPr>
          <w:rFonts w:ascii="Times New Roman" w:hAnsi="Times New Roman" w:cs="Times New Roman"/>
          <w:noProof/>
          <w:sz w:val="24"/>
          <w:szCs w:val="24"/>
        </w:rPr>
        <w:t xml:space="preserve">, involving claimants residing in the Netherlands. First, the </w:t>
      </w:r>
      <w:r w:rsidR="008E7D18" w:rsidRPr="006E25B0">
        <w:rPr>
          <w:rFonts w:ascii="Times New Roman" w:hAnsi="Times New Roman" w:cs="Times New Roman"/>
          <w:i/>
          <w:iCs/>
          <w:noProof/>
          <w:sz w:val="24"/>
          <w:szCs w:val="24"/>
        </w:rPr>
        <w:t>lex loci laboris</w:t>
      </w:r>
      <w:r w:rsidR="008E7D18" w:rsidRPr="006E25B0">
        <w:rPr>
          <w:rFonts w:ascii="Times New Roman" w:hAnsi="Times New Roman" w:cs="Times New Roman"/>
          <w:noProof/>
          <w:sz w:val="24"/>
          <w:szCs w:val="24"/>
        </w:rPr>
        <w:t xml:space="preserve"> does not, in such cases, generate meaningful social protection. For instance, a single mother lost her Dutch family benefits because she started to work for 20 hours per week as a hairdresser in Germany; due to her very low earnings, she was only insured against occupational accidents in Germany. Working diminished her social security protection. A second unrealised assumption is that the </w:t>
      </w:r>
      <w:r w:rsidR="008E7D18" w:rsidRPr="006E25B0">
        <w:rPr>
          <w:rFonts w:ascii="Times New Roman" w:hAnsi="Times New Roman" w:cs="Times New Roman"/>
          <w:i/>
          <w:iCs/>
          <w:noProof/>
          <w:sz w:val="24"/>
          <w:szCs w:val="24"/>
        </w:rPr>
        <w:t>lex loci laboris</w:t>
      </w:r>
      <w:r w:rsidR="008E7D18" w:rsidRPr="006E25B0">
        <w:rPr>
          <w:rFonts w:ascii="Times New Roman" w:hAnsi="Times New Roman" w:cs="Times New Roman"/>
          <w:noProof/>
          <w:sz w:val="24"/>
          <w:szCs w:val="24"/>
        </w:rPr>
        <w:t xml:space="preserve"> subjects people to the social security law of a Member State to which they are strongly connected. Three days of on-call work in Germany per month suffice to shift from Dutch to German law, but not to forge a stronger connection with Germany than with the Netherlands. This is but one of several issues arising from the application of the regulations’ conflict rules to an increasingly flexible and digital labour market</w:t>
      </w:r>
      <w:r w:rsidR="008E550F" w:rsidRPr="006E25B0">
        <w:rPr>
          <w:rFonts w:ascii="Times New Roman" w:hAnsi="Times New Roman" w:cs="Times New Roman"/>
          <w:noProof/>
          <w:sz w:val="24"/>
          <w:szCs w:val="24"/>
        </w:rPr>
        <w:t xml:space="preserve"> (see eg Strban, Carrascosa Bermejo, Schoukens and Vukorepa; van der Mei and van Ooij)</w:t>
      </w:r>
      <w:r w:rsidR="008E7D18" w:rsidRPr="006E25B0">
        <w:rPr>
          <w:rFonts w:ascii="Times New Roman" w:hAnsi="Times New Roman" w:cs="Times New Roman"/>
          <w:noProof/>
          <w:sz w:val="24"/>
          <w:szCs w:val="24"/>
        </w:rPr>
        <w:t>.</w:t>
      </w:r>
    </w:p>
    <w:p w14:paraId="3A34DD63" w14:textId="7380F51D" w:rsidR="008E7D18" w:rsidRPr="006E25B0" w:rsidRDefault="005821D8" w:rsidP="00D95347">
      <w:pPr>
        <w:pStyle w:val="Heading3"/>
        <w:rPr>
          <w:rFonts w:ascii="Times New Roman" w:hAnsi="Times New Roman" w:cs="Times New Roman"/>
          <w:noProof/>
          <w:color w:val="auto"/>
        </w:rPr>
      </w:pPr>
      <w:bookmarkStart w:id="23" w:name="_Hlk78370923"/>
      <w:r w:rsidRPr="006E25B0">
        <w:rPr>
          <w:rFonts w:ascii="Times New Roman" w:hAnsi="Times New Roman" w:cs="Times New Roman"/>
          <w:noProof/>
          <w:color w:val="auto"/>
        </w:rPr>
        <w:t>(b)</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The posting rule</w:t>
      </w:r>
    </w:p>
    <w:bookmarkEnd w:id="23"/>
    <w:p w14:paraId="191DE613" w14:textId="459D9684" w:rsidR="008E7D18" w:rsidRPr="006E25B0" w:rsidRDefault="009A1017" w:rsidP="00D95347">
      <w:pPr>
        <w:rPr>
          <w:rFonts w:ascii="Times New Roman" w:hAnsi="Times New Roman" w:cs="Times New Roman"/>
          <w:iCs/>
          <w:noProof/>
          <w:sz w:val="24"/>
          <w:szCs w:val="24"/>
        </w:rPr>
      </w:pPr>
      <w:r w:rsidRPr="006E25B0">
        <w:rPr>
          <w:rFonts w:ascii="Times New Roman" w:hAnsi="Times New Roman" w:cs="Times New Roman"/>
          <w:noProof/>
          <w:sz w:val="24"/>
          <w:szCs w:val="24"/>
        </w:rPr>
        <w:t>20</w:t>
      </w:r>
      <w:r w:rsidRPr="006E25B0">
        <w:rPr>
          <w:rFonts w:ascii="Times New Roman" w:hAnsi="Times New Roman" w:cs="Times New Roman"/>
          <w:noProof/>
          <w:sz w:val="24"/>
          <w:szCs w:val="24"/>
        </w:rPr>
        <w:tab/>
      </w:r>
      <w:r w:rsidR="00B93504" w:rsidRPr="006E25B0">
        <w:rPr>
          <w:rFonts w:ascii="Times New Roman" w:hAnsi="Times New Roman" w:cs="Times New Roman"/>
          <w:noProof/>
          <w:sz w:val="24"/>
          <w:szCs w:val="24"/>
        </w:rPr>
        <w:t>T</w:t>
      </w:r>
      <w:r w:rsidR="000724F2" w:rsidRPr="006E25B0">
        <w:rPr>
          <w:rFonts w:ascii="Times New Roman" w:hAnsi="Times New Roman" w:cs="Times New Roman"/>
          <w:noProof/>
          <w:sz w:val="24"/>
          <w:szCs w:val="24"/>
        </w:rPr>
        <w:t xml:space="preserve">he </w:t>
      </w:r>
      <w:r w:rsidR="000724F2" w:rsidRPr="006E25B0">
        <w:rPr>
          <w:rFonts w:ascii="Times New Roman" w:hAnsi="Times New Roman" w:cs="Times New Roman"/>
          <w:i/>
          <w:iCs/>
          <w:noProof/>
          <w:sz w:val="24"/>
          <w:szCs w:val="24"/>
        </w:rPr>
        <w:t>lex loci laboris</w:t>
      </w:r>
      <w:r w:rsidR="000724F2" w:rsidRPr="006E25B0">
        <w:rPr>
          <w:rFonts w:ascii="Times New Roman" w:hAnsi="Times New Roman" w:cs="Times New Roman"/>
          <w:noProof/>
          <w:sz w:val="24"/>
          <w:szCs w:val="24"/>
        </w:rPr>
        <w:t xml:space="preserve"> is flanked by further conflict rules</w:t>
      </w:r>
      <w:r w:rsidR="00B93504" w:rsidRPr="006E25B0">
        <w:rPr>
          <w:rFonts w:ascii="Times New Roman" w:hAnsi="Times New Roman" w:cs="Times New Roman"/>
          <w:noProof/>
          <w:sz w:val="24"/>
          <w:szCs w:val="24"/>
        </w:rPr>
        <w:t xml:space="preserve"> deemed more appropriate for certain groups</w:t>
      </w:r>
      <w:r w:rsidR="000724F2" w:rsidRPr="006E25B0">
        <w:rPr>
          <w:rFonts w:ascii="Times New Roman" w:hAnsi="Times New Roman" w:cs="Times New Roman"/>
          <w:noProof/>
          <w:sz w:val="24"/>
          <w:szCs w:val="24"/>
        </w:rPr>
        <w:t xml:space="preserve">. </w:t>
      </w:r>
      <w:r w:rsidR="009B655F" w:rsidRPr="006E25B0">
        <w:rPr>
          <w:rFonts w:ascii="Times New Roman" w:hAnsi="Times New Roman" w:cs="Times New Roman"/>
          <w:noProof/>
          <w:sz w:val="24"/>
          <w:szCs w:val="24"/>
        </w:rPr>
        <w:t xml:space="preserve">A first </w:t>
      </w:r>
      <w:r w:rsidR="000724F2" w:rsidRPr="006E25B0">
        <w:rPr>
          <w:rFonts w:ascii="Times New Roman" w:hAnsi="Times New Roman" w:cs="Times New Roman"/>
          <w:noProof/>
          <w:sz w:val="24"/>
          <w:szCs w:val="24"/>
        </w:rPr>
        <w:t xml:space="preserve">such </w:t>
      </w:r>
      <w:r w:rsidR="009B655F" w:rsidRPr="006E25B0">
        <w:rPr>
          <w:rFonts w:ascii="Times New Roman" w:hAnsi="Times New Roman" w:cs="Times New Roman"/>
          <w:noProof/>
          <w:sz w:val="24"/>
          <w:szCs w:val="24"/>
        </w:rPr>
        <w:t>rule is</w:t>
      </w:r>
      <w:r w:rsidR="008E7D18" w:rsidRPr="006E25B0">
        <w:rPr>
          <w:rFonts w:ascii="Times New Roman" w:hAnsi="Times New Roman" w:cs="Times New Roman"/>
          <w:noProof/>
          <w:sz w:val="24"/>
          <w:szCs w:val="24"/>
        </w:rPr>
        <w:t xml:space="preserve"> laid down in </w:t>
      </w:r>
      <w:r w:rsidR="005A6CF7" w:rsidRPr="006E25B0">
        <w:rPr>
          <w:rFonts w:ascii="Times New Roman" w:hAnsi="Times New Roman" w:cs="Times New Roman"/>
          <w:noProof/>
          <w:sz w:val="24"/>
          <w:szCs w:val="24"/>
        </w:rPr>
        <w:t>Art</w:t>
      </w:r>
      <w:r w:rsidR="00761632"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12 Regulation</w:t>
      </w:r>
      <w:r w:rsidR="002B74D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w:t>
      </w:r>
      <w:r w:rsidR="003F28F0" w:rsidRPr="006E25B0">
        <w:rPr>
          <w:rFonts w:ascii="Times New Roman" w:hAnsi="Times New Roman" w:cs="Times New Roman"/>
          <w:noProof/>
          <w:sz w:val="24"/>
          <w:szCs w:val="24"/>
        </w:rPr>
        <w:t>. Th</w:t>
      </w:r>
      <w:r w:rsidR="00C4268F" w:rsidRPr="006E25B0">
        <w:rPr>
          <w:rFonts w:ascii="Times New Roman" w:hAnsi="Times New Roman" w:cs="Times New Roman"/>
          <w:noProof/>
          <w:sz w:val="24"/>
          <w:szCs w:val="24"/>
        </w:rPr>
        <w:t>is</w:t>
      </w:r>
      <w:r w:rsidR="003F28F0" w:rsidRPr="006E25B0">
        <w:rPr>
          <w:rFonts w:ascii="Times New Roman" w:hAnsi="Times New Roman" w:cs="Times New Roman"/>
          <w:noProof/>
          <w:sz w:val="24"/>
          <w:szCs w:val="24"/>
        </w:rPr>
        <w:t xml:space="preserve"> posting rule</w:t>
      </w:r>
      <w:r w:rsidR="008E7D18" w:rsidRPr="006E25B0">
        <w:rPr>
          <w:rFonts w:ascii="Times New Roman" w:hAnsi="Times New Roman" w:cs="Times New Roman"/>
          <w:noProof/>
          <w:sz w:val="24"/>
          <w:szCs w:val="24"/>
        </w:rPr>
        <w:t xml:space="preserve"> enables persons to temporarily work in a Member State while remaining subject to the social security law of another Member State. In short, an employer normally carrying out its activities in </w:t>
      </w:r>
      <w:r w:rsidR="00B705F1" w:rsidRPr="006E25B0">
        <w:rPr>
          <w:rFonts w:ascii="Times New Roman" w:hAnsi="Times New Roman" w:cs="Times New Roman"/>
          <w:noProof/>
          <w:sz w:val="24"/>
          <w:szCs w:val="24"/>
        </w:rPr>
        <w:t xml:space="preserve">one </w:t>
      </w:r>
      <w:r w:rsidR="008E7D18" w:rsidRPr="006E25B0">
        <w:rPr>
          <w:rFonts w:ascii="Times New Roman" w:hAnsi="Times New Roman" w:cs="Times New Roman"/>
          <w:noProof/>
          <w:sz w:val="24"/>
          <w:szCs w:val="24"/>
        </w:rPr>
        <w:t xml:space="preserve">Member State can post its employees to another Member State to perform work on its behalf for up to two years. Persons who normally exercise a self-employed activity in one Member State can avail of the posting rule to pursue a similar activity in another Member State for up to two years. The posting rule avoids the frequent changes in the applicable law—and the ensuing complications—that the </w:t>
      </w:r>
      <w:r w:rsidR="008E7D18" w:rsidRPr="006E25B0">
        <w:rPr>
          <w:rFonts w:ascii="Times New Roman" w:hAnsi="Times New Roman" w:cs="Times New Roman"/>
          <w:i/>
          <w:iCs/>
          <w:noProof/>
          <w:sz w:val="24"/>
          <w:szCs w:val="24"/>
        </w:rPr>
        <w:t>lex loci laboris</w:t>
      </w:r>
      <w:r w:rsidR="008E7D18" w:rsidRPr="006E25B0">
        <w:rPr>
          <w:rFonts w:ascii="Times New Roman" w:hAnsi="Times New Roman" w:cs="Times New Roman"/>
          <w:noProof/>
          <w:sz w:val="24"/>
          <w:szCs w:val="24"/>
        </w:rPr>
        <w:t xml:space="preserve"> would entail. In so doing, it aims ‘</w:t>
      </w:r>
      <w:r w:rsidR="008E7D18" w:rsidRPr="006E25B0">
        <w:rPr>
          <w:rFonts w:ascii="Times New Roman" w:hAnsi="Times New Roman" w:cs="Times New Roman"/>
          <w:iCs/>
          <w:noProof/>
          <w:sz w:val="24"/>
          <w:szCs w:val="24"/>
        </w:rPr>
        <w:t>to promote freedom to provide services’</w:t>
      </w:r>
      <w:r w:rsidR="0020665C" w:rsidRPr="006E25B0">
        <w:rPr>
          <w:rFonts w:ascii="Times New Roman" w:hAnsi="Times New Roman" w:cs="Times New Roman"/>
          <w:iCs/>
          <w:noProof/>
          <w:sz w:val="24"/>
          <w:szCs w:val="24"/>
        </w:rPr>
        <w:t xml:space="preserve"> (</w:t>
      </w:r>
      <w:r w:rsidR="0020665C" w:rsidRPr="006E25B0">
        <w:rPr>
          <w:rFonts w:ascii="Times New Roman" w:hAnsi="Times New Roman" w:cs="Times New Roman"/>
          <w:i/>
          <w:iCs/>
          <w:noProof/>
          <w:sz w:val="24"/>
          <w:szCs w:val="24"/>
        </w:rPr>
        <w:t>Fitzwilliam</w:t>
      </w:r>
      <w:r w:rsidR="0020665C" w:rsidRPr="006E25B0">
        <w:rPr>
          <w:rFonts w:ascii="Times New Roman" w:hAnsi="Times New Roman" w:cs="Times New Roman"/>
          <w:iCs/>
          <w:noProof/>
          <w:sz w:val="24"/>
          <w:szCs w:val="24"/>
        </w:rPr>
        <w:t xml:space="preserve">, </w:t>
      </w:r>
      <w:r w:rsidR="00753583" w:rsidRPr="006E25B0">
        <w:rPr>
          <w:rFonts w:ascii="Times New Roman" w:hAnsi="Times New Roman" w:cs="Times New Roman"/>
          <w:noProof/>
          <w:sz w:val="24"/>
          <w:szCs w:val="24"/>
        </w:rPr>
        <w:t xml:space="preserve">para. </w:t>
      </w:r>
      <w:r w:rsidR="0020665C" w:rsidRPr="006E25B0">
        <w:rPr>
          <w:rFonts w:ascii="Times New Roman" w:hAnsi="Times New Roman" w:cs="Times New Roman"/>
          <w:iCs/>
          <w:noProof/>
          <w:sz w:val="24"/>
          <w:szCs w:val="24"/>
        </w:rPr>
        <w:t>28)</w:t>
      </w:r>
      <w:r w:rsidR="008E7D18" w:rsidRPr="006E25B0">
        <w:rPr>
          <w:rFonts w:ascii="Times New Roman" w:hAnsi="Times New Roman" w:cs="Times New Roman"/>
          <w:iCs/>
          <w:noProof/>
          <w:sz w:val="24"/>
          <w:szCs w:val="24"/>
        </w:rPr>
        <w:t>.</w:t>
      </w:r>
    </w:p>
    <w:p w14:paraId="2B10373A" w14:textId="09A43DC9"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21</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Posting is a growing phenomenon</w:t>
      </w:r>
      <w:r w:rsidR="00AC0318" w:rsidRPr="006E25B0">
        <w:rPr>
          <w:rFonts w:ascii="Times New Roman" w:hAnsi="Times New Roman" w:cs="Times New Roman"/>
          <w:noProof/>
          <w:sz w:val="24"/>
          <w:szCs w:val="24"/>
        </w:rPr>
        <w:t xml:space="preserve"> (De Wispelaere, De Smedt and Pacolet, 29</w:t>
      </w:r>
      <w:r w:rsidR="009841C6" w:rsidRPr="006E25B0">
        <w:rPr>
          <w:rFonts w:ascii="Times New Roman" w:hAnsi="Times New Roman" w:cs="Times New Roman"/>
          <w:noProof/>
          <w:sz w:val="24"/>
          <w:szCs w:val="24"/>
        </w:rPr>
        <w:t>-30</w:t>
      </w:r>
      <w:r w:rsidR="00AC0318"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that elicits strong sentiments. Even though the debate in social security law may seem insipid when compared to that in post-</w:t>
      </w:r>
      <w:r w:rsidR="008E7D18" w:rsidRPr="006E25B0">
        <w:rPr>
          <w:rFonts w:ascii="Times New Roman" w:hAnsi="Times New Roman" w:cs="Times New Roman"/>
          <w:i/>
          <w:noProof/>
          <w:sz w:val="24"/>
          <w:szCs w:val="24"/>
        </w:rPr>
        <w:t>Viking and Laval</w:t>
      </w:r>
      <w:r w:rsidR="008E7D18" w:rsidRPr="006E25B0">
        <w:rPr>
          <w:rFonts w:ascii="Times New Roman" w:hAnsi="Times New Roman" w:cs="Times New Roman"/>
          <w:noProof/>
          <w:sz w:val="24"/>
          <w:szCs w:val="24"/>
        </w:rPr>
        <w:t xml:space="preserve"> labour law, they cover overlapping ground. Politically, there is an East–West divide. In the ‘old’ Member States—often the destination of posted workers—and in academic circles, there is a concern that posting is, or at least can be, used as a vehicle for social dumping, undermining the social protection and free movement rights of workers while distorting competition on the labour market</w:t>
      </w:r>
      <w:r w:rsidR="00B77CD9" w:rsidRPr="006E25B0">
        <w:rPr>
          <w:rFonts w:ascii="Times New Roman" w:hAnsi="Times New Roman" w:cs="Times New Roman"/>
          <w:noProof/>
          <w:sz w:val="24"/>
          <w:szCs w:val="24"/>
        </w:rPr>
        <w:t xml:space="preserve"> (see eg Verschueren, 2008)</w:t>
      </w:r>
      <w:r w:rsidR="008E7D18" w:rsidRPr="006E25B0">
        <w:rPr>
          <w:rFonts w:ascii="Times New Roman" w:hAnsi="Times New Roman" w:cs="Times New Roman"/>
          <w:noProof/>
          <w:sz w:val="24"/>
          <w:szCs w:val="24"/>
        </w:rPr>
        <w:t>. Posted workers might be subjected to the social security system of a State with which they have only tenuous connections</w:t>
      </w:r>
      <w:r w:rsidR="00B77CD9" w:rsidRPr="006E25B0">
        <w:rPr>
          <w:rFonts w:ascii="Times New Roman" w:hAnsi="Times New Roman" w:cs="Times New Roman"/>
          <w:noProof/>
          <w:sz w:val="24"/>
          <w:szCs w:val="24"/>
        </w:rPr>
        <w:t xml:space="preserve"> (see Rennuy, 2021, 22-25)</w:t>
      </w:r>
      <w:r w:rsidR="008E7D18" w:rsidRPr="006E25B0">
        <w:rPr>
          <w:rFonts w:ascii="Times New Roman" w:hAnsi="Times New Roman" w:cs="Times New Roman"/>
          <w:noProof/>
          <w:sz w:val="24"/>
          <w:szCs w:val="24"/>
        </w:rPr>
        <w:t>. Others retort that posting increases the employability of posted workers while providing companies based in ‘new’ Member States with a wholly legitimate competitive advantage</w:t>
      </w:r>
      <w:r w:rsidR="00B77CD9" w:rsidRPr="006E25B0">
        <w:rPr>
          <w:rFonts w:ascii="Times New Roman" w:hAnsi="Times New Roman" w:cs="Times New Roman"/>
          <w:noProof/>
          <w:sz w:val="24"/>
          <w:szCs w:val="24"/>
        </w:rPr>
        <w:t xml:space="preserve"> (see eg Bottero)</w:t>
      </w:r>
      <w:r w:rsidR="008E7D18" w:rsidRPr="006E25B0">
        <w:rPr>
          <w:rFonts w:ascii="Times New Roman" w:hAnsi="Times New Roman" w:cs="Times New Roman"/>
          <w:noProof/>
          <w:sz w:val="24"/>
          <w:szCs w:val="24"/>
        </w:rPr>
        <w:t xml:space="preserve">. The </w:t>
      </w:r>
      <w:r w:rsidR="00D3367E" w:rsidRPr="006E25B0">
        <w:rPr>
          <w:rFonts w:ascii="Times New Roman" w:hAnsi="Times New Roman" w:cs="Times New Roman"/>
          <w:noProof/>
          <w:sz w:val="24"/>
          <w:szCs w:val="24"/>
        </w:rPr>
        <w:t xml:space="preserve">controversy </w:t>
      </w:r>
      <w:r w:rsidR="008E7D18" w:rsidRPr="006E25B0">
        <w:rPr>
          <w:rFonts w:ascii="Times New Roman" w:hAnsi="Times New Roman" w:cs="Times New Roman"/>
          <w:noProof/>
          <w:sz w:val="24"/>
          <w:szCs w:val="24"/>
        </w:rPr>
        <w:t>concerns, not the existence of a posting rule—widely recognised as a key component of a pan-European labour market—but rather its modalities (ie maximum duration and other conditions</w:t>
      </w:r>
      <w:r w:rsidR="00E979AB" w:rsidRPr="006E25B0">
        <w:rPr>
          <w:rFonts w:ascii="Times New Roman" w:hAnsi="Times New Roman" w:cs="Times New Roman"/>
          <w:noProof/>
          <w:sz w:val="24"/>
          <w:szCs w:val="24"/>
        </w:rPr>
        <w:t xml:space="preserve">—see </w:t>
      </w:r>
      <w:r w:rsidR="00DD2F2D" w:rsidRPr="006E25B0">
        <w:rPr>
          <w:rFonts w:ascii="Times New Roman" w:hAnsi="Times New Roman" w:cs="Times New Roman"/>
          <w:noProof/>
          <w:sz w:val="24"/>
          <w:szCs w:val="24"/>
        </w:rPr>
        <w:t xml:space="preserve">Pieters, 195-196; </w:t>
      </w:r>
      <w:r w:rsidR="00E979AB" w:rsidRPr="006E25B0">
        <w:rPr>
          <w:rFonts w:ascii="Times New Roman" w:hAnsi="Times New Roman" w:cs="Times New Roman"/>
          <w:noProof/>
          <w:sz w:val="24"/>
          <w:szCs w:val="24"/>
        </w:rPr>
        <w:t>Rennuy, 2021; Schoukens and Pieters, 107</w:t>
      </w:r>
      <w:r w:rsidR="008E7D18" w:rsidRPr="006E25B0">
        <w:rPr>
          <w:rFonts w:ascii="Times New Roman" w:hAnsi="Times New Roman" w:cs="Times New Roman"/>
          <w:noProof/>
          <w:sz w:val="24"/>
          <w:szCs w:val="24"/>
        </w:rPr>
        <w:t>), effects (ie which Member State sets the contribution rates</w:t>
      </w:r>
      <w:r w:rsidR="006B2FF3" w:rsidRPr="006E25B0">
        <w:rPr>
          <w:rFonts w:ascii="Times New Roman" w:hAnsi="Times New Roman" w:cs="Times New Roman"/>
          <w:noProof/>
          <w:sz w:val="24"/>
          <w:szCs w:val="24"/>
        </w:rPr>
        <w:t xml:space="preserve">—see </w:t>
      </w:r>
      <w:r w:rsidR="00DD2F2D" w:rsidRPr="006E25B0">
        <w:rPr>
          <w:rFonts w:ascii="Times New Roman" w:hAnsi="Times New Roman" w:cs="Times New Roman"/>
          <w:noProof/>
          <w:sz w:val="24"/>
          <w:szCs w:val="24"/>
        </w:rPr>
        <w:t xml:space="preserve">Pennings, 2015 B, 333-334; </w:t>
      </w:r>
      <w:r w:rsidR="006B2FF3" w:rsidRPr="006E25B0">
        <w:rPr>
          <w:rFonts w:ascii="Times New Roman" w:hAnsi="Times New Roman" w:cs="Times New Roman"/>
          <w:noProof/>
          <w:sz w:val="24"/>
          <w:szCs w:val="24"/>
        </w:rPr>
        <w:t>Pieters and Schoukens, 109</w:t>
      </w:r>
      <w:r w:rsidR="008E7D18" w:rsidRPr="006E25B0">
        <w:rPr>
          <w:rFonts w:ascii="Times New Roman" w:hAnsi="Times New Roman" w:cs="Times New Roman"/>
          <w:noProof/>
          <w:sz w:val="24"/>
          <w:szCs w:val="24"/>
        </w:rPr>
        <w:t>) and enforcement (ie whether the posting conditions are adequately monitored</w:t>
      </w:r>
      <w:r w:rsidR="00B83D00" w:rsidRPr="006E25B0">
        <w:rPr>
          <w:rFonts w:ascii="Times New Roman" w:hAnsi="Times New Roman" w:cs="Times New Roman"/>
          <w:noProof/>
          <w:sz w:val="24"/>
          <w:szCs w:val="24"/>
        </w:rPr>
        <w:t>—see below</w:t>
      </w:r>
      <w:r w:rsidR="008E7D18" w:rsidRPr="006E25B0">
        <w:rPr>
          <w:rFonts w:ascii="Times New Roman" w:hAnsi="Times New Roman" w:cs="Times New Roman"/>
          <w:noProof/>
          <w:sz w:val="24"/>
          <w:szCs w:val="24"/>
        </w:rPr>
        <w:t xml:space="preserve">). </w:t>
      </w:r>
    </w:p>
    <w:p w14:paraId="28237B1F" w14:textId="663C2301" w:rsidR="008E7D18" w:rsidRPr="006E25B0" w:rsidRDefault="005821D8" w:rsidP="00D95347">
      <w:pPr>
        <w:pStyle w:val="Heading3"/>
        <w:rPr>
          <w:rFonts w:ascii="Times New Roman" w:hAnsi="Times New Roman" w:cs="Times New Roman"/>
          <w:noProof/>
          <w:color w:val="auto"/>
        </w:rPr>
      </w:pPr>
      <w:bookmarkStart w:id="24" w:name="_Hlk78370918"/>
      <w:r w:rsidRPr="006E25B0">
        <w:rPr>
          <w:rFonts w:ascii="Times New Roman" w:hAnsi="Times New Roman" w:cs="Times New Roman"/>
          <w:noProof/>
          <w:color w:val="auto"/>
        </w:rPr>
        <w:t>(c)</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The </w:t>
      </w:r>
      <w:bookmarkStart w:id="25" w:name="_Hlk92440152"/>
      <w:r w:rsidR="008E7D18" w:rsidRPr="006E25B0">
        <w:rPr>
          <w:rFonts w:ascii="Times New Roman" w:hAnsi="Times New Roman" w:cs="Times New Roman"/>
          <w:noProof/>
          <w:color w:val="auto"/>
        </w:rPr>
        <w:t>multi-activity rules</w:t>
      </w:r>
      <w:bookmarkEnd w:id="25"/>
    </w:p>
    <w:bookmarkEnd w:id="24"/>
    <w:p w14:paraId="74371FF0" w14:textId="43DBF1E8"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22</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w:t>
      </w:r>
      <w:r w:rsidR="008E7D18" w:rsidRPr="006E25B0">
        <w:rPr>
          <w:rFonts w:ascii="Times New Roman" w:hAnsi="Times New Roman" w:cs="Times New Roman"/>
          <w:i/>
          <w:iCs/>
          <w:noProof/>
          <w:sz w:val="24"/>
          <w:szCs w:val="24"/>
        </w:rPr>
        <w:t>lex loci laboris</w:t>
      </w:r>
      <w:r w:rsidR="008E7D18" w:rsidRPr="006E25B0">
        <w:rPr>
          <w:rFonts w:ascii="Times New Roman" w:hAnsi="Times New Roman" w:cs="Times New Roman"/>
          <w:noProof/>
          <w:sz w:val="24"/>
          <w:szCs w:val="24"/>
        </w:rPr>
        <w:t xml:space="preserve"> is </w:t>
      </w:r>
      <w:r w:rsidR="00A763C7" w:rsidRPr="006E25B0">
        <w:rPr>
          <w:rFonts w:ascii="Times New Roman" w:hAnsi="Times New Roman" w:cs="Times New Roman"/>
          <w:noProof/>
          <w:sz w:val="24"/>
          <w:szCs w:val="24"/>
        </w:rPr>
        <w:t>ill-</w:t>
      </w:r>
      <w:r w:rsidR="008E7D18" w:rsidRPr="006E25B0">
        <w:rPr>
          <w:rFonts w:ascii="Times New Roman" w:hAnsi="Times New Roman" w:cs="Times New Roman"/>
          <w:noProof/>
          <w:sz w:val="24"/>
          <w:szCs w:val="24"/>
        </w:rPr>
        <w:t>suited for the rising number</w:t>
      </w:r>
      <w:r w:rsidR="00A763C7" w:rsidRPr="006E25B0">
        <w:rPr>
          <w:rFonts w:ascii="Times New Roman" w:hAnsi="Times New Roman" w:cs="Times New Roman"/>
          <w:noProof/>
          <w:sz w:val="24"/>
          <w:szCs w:val="24"/>
        </w:rPr>
        <w:t xml:space="preserve"> (De Wispelaere, De Smedt and Pacolet, </w:t>
      </w:r>
      <w:r w:rsidR="003239D6" w:rsidRPr="006E25B0">
        <w:rPr>
          <w:rFonts w:ascii="Times New Roman" w:hAnsi="Times New Roman" w:cs="Times New Roman"/>
          <w:noProof/>
          <w:sz w:val="24"/>
          <w:szCs w:val="24"/>
        </w:rPr>
        <w:t>41-42</w:t>
      </w:r>
      <w:r w:rsidR="00A763C7"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of people who </w:t>
      </w:r>
      <w:r w:rsidR="008E7D18" w:rsidRPr="006E25B0">
        <w:rPr>
          <w:rFonts w:ascii="Times New Roman" w:hAnsi="Times New Roman" w:cs="Times New Roman"/>
          <w:i/>
          <w:iCs/>
          <w:noProof/>
          <w:sz w:val="24"/>
          <w:szCs w:val="24"/>
        </w:rPr>
        <w:t>normally</w:t>
      </w:r>
      <w:r w:rsidR="008E7D18" w:rsidRPr="006E25B0">
        <w:rPr>
          <w:rFonts w:ascii="Times New Roman" w:hAnsi="Times New Roman" w:cs="Times New Roman"/>
          <w:noProof/>
          <w:sz w:val="24"/>
          <w:szCs w:val="24"/>
        </w:rPr>
        <w:t xml:space="preserve"> work in two or more Member States: it subjects them to their laws, whether concurrently (eg where they work mornings in one State and afternoons in another) or successively (eg where they work on alternate days in each). Neither is the posting rule appropriate for </w:t>
      </w:r>
      <w:r w:rsidR="008E7D18" w:rsidRPr="006E25B0">
        <w:rPr>
          <w:rFonts w:ascii="Times New Roman" w:hAnsi="Times New Roman" w:cs="Times New Roman"/>
          <w:i/>
          <w:iCs/>
          <w:noProof/>
          <w:sz w:val="24"/>
          <w:szCs w:val="24"/>
        </w:rPr>
        <w:t>durable</w:t>
      </w:r>
      <w:r w:rsidR="008E7D18" w:rsidRPr="006E25B0">
        <w:rPr>
          <w:rFonts w:ascii="Times New Roman" w:hAnsi="Times New Roman" w:cs="Times New Roman"/>
          <w:noProof/>
          <w:sz w:val="24"/>
          <w:szCs w:val="24"/>
        </w:rPr>
        <w:t xml:space="preserve"> work patterns. Therefore, </w:t>
      </w:r>
      <w:r w:rsidR="005A6CF7" w:rsidRPr="006E25B0">
        <w:rPr>
          <w:rFonts w:ascii="Times New Roman" w:hAnsi="Times New Roman" w:cs="Times New Roman"/>
          <w:noProof/>
          <w:sz w:val="24"/>
          <w:szCs w:val="24"/>
        </w:rPr>
        <w:t>Art</w:t>
      </w:r>
      <w:r w:rsidR="00761632"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13 Regulation</w:t>
      </w:r>
      <w:r w:rsidR="002B74D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883/2004 provides a set of conflict rules for those who normally pursue their activities in more than one Member State. It often subjects them to the law of the State where they both reside and pursue a substantial part of their activities. </w:t>
      </w:r>
    </w:p>
    <w:p w14:paraId="01D12590" w14:textId="0590D5BD"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23</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Long neglected, </w:t>
      </w:r>
      <w:r w:rsidR="005A6CF7" w:rsidRPr="006E25B0">
        <w:rPr>
          <w:rFonts w:ascii="Times New Roman" w:hAnsi="Times New Roman" w:cs="Times New Roman"/>
          <w:noProof/>
          <w:sz w:val="24"/>
          <w:szCs w:val="24"/>
        </w:rPr>
        <w:t>Art</w:t>
      </w:r>
      <w:r w:rsidR="00761632"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13 Regulation</w:t>
      </w:r>
      <w:r w:rsidR="002B74D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has drawn some attention of late. Its complexity and ambiguity have been pointed out</w:t>
      </w:r>
      <w:r w:rsidR="00C20466" w:rsidRPr="006E25B0">
        <w:rPr>
          <w:rFonts w:ascii="Times New Roman" w:hAnsi="Times New Roman" w:cs="Times New Roman"/>
          <w:noProof/>
          <w:sz w:val="24"/>
          <w:szCs w:val="24"/>
        </w:rPr>
        <w:t xml:space="preserve"> (see Paolin; van Ooij)</w:t>
      </w:r>
      <w:r w:rsidR="008E7D18" w:rsidRPr="006E25B0">
        <w:rPr>
          <w:rFonts w:ascii="Times New Roman" w:hAnsi="Times New Roman" w:cs="Times New Roman"/>
          <w:noProof/>
          <w:sz w:val="24"/>
          <w:szCs w:val="24"/>
        </w:rPr>
        <w:t xml:space="preserve">. Questions have been raised as to whether it is fit to deal with the increase in telework during and after the Covid-19 pandemic: should non-resident workers who (have to) work at home shift to the social security system of their State of residence? Finally, </w:t>
      </w:r>
      <w:r w:rsidR="005A6CF7" w:rsidRPr="006E25B0">
        <w:rPr>
          <w:rFonts w:ascii="Times New Roman" w:hAnsi="Times New Roman" w:cs="Times New Roman"/>
          <w:noProof/>
          <w:sz w:val="24"/>
          <w:szCs w:val="24"/>
        </w:rPr>
        <w:t>Art</w:t>
      </w:r>
      <w:r w:rsidR="00761632"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13 has been criticised because it can subject workers to the law of a Member State with which they have tenuous connections while enabling employers to effectively choose the applicable law</w:t>
      </w:r>
      <w:r w:rsidR="00C20466" w:rsidRPr="006E25B0">
        <w:rPr>
          <w:rFonts w:ascii="Times New Roman" w:hAnsi="Times New Roman" w:cs="Times New Roman"/>
          <w:noProof/>
          <w:sz w:val="24"/>
          <w:szCs w:val="24"/>
        </w:rPr>
        <w:t xml:space="preserve"> (Rennuy, 2021, 25-29)</w:t>
      </w:r>
      <w:r w:rsidR="008E7D18" w:rsidRPr="006E25B0">
        <w:rPr>
          <w:rFonts w:ascii="Times New Roman" w:hAnsi="Times New Roman" w:cs="Times New Roman"/>
          <w:noProof/>
          <w:sz w:val="24"/>
          <w:szCs w:val="24"/>
        </w:rPr>
        <w:t xml:space="preserve">. </w:t>
      </w:r>
    </w:p>
    <w:p w14:paraId="4F9AC407" w14:textId="740332BD" w:rsidR="008E7D18" w:rsidRPr="006E25B0" w:rsidRDefault="005821D8" w:rsidP="00D95347">
      <w:pPr>
        <w:pStyle w:val="Heading3"/>
        <w:rPr>
          <w:rFonts w:ascii="Times New Roman" w:hAnsi="Times New Roman" w:cs="Times New Roman"/>
          <w:noProof/>
          <w:color w:val="auto"/>
        </w:rPr>
      </w:pPr>
      <w:bookmarkStart w:id="26" w:name="_Hlk78370912"/>
      <w:r w:rsidRPr="006E25B0">
        <w:rPr>
          <w:rFonts w:ascii="Times New Roman" w:hAnsi="Times New Roman" w:cs="Times New Roman"/>
          <w:noProof/>
          <w:color w:val="auto"/>
        </w:rPr>
        <w:t>(d)</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The </w:t>
      </w:r>
      <w:r w:rsidR="008E7D18" w:rsidRPr="006E25B0">
        <w:rPr>
          <w:rFonts w:ascii="Times New Roman" w:hAnsi="Times New Roman" w:cs="Times New Roman"/>
          <w:i/>
          <w:iCs/>
          <w:noProof/>
          <w:color w:val="auto"/>
        </w:rPr>
        <w:t>lex loci domicilii</w:t>
      </w:r>
    </w:p>
    <w:p w14:paraId="7F5F1BA8" w14:textId="50556E5D"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24</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Art</w:t>
      </w:r>
      <w:r w:rsidR="00454347"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11(3)(e) Regulation</w:t>
      </w:r>
      <w:r w:rsidR="002B74D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subjects people to the law of their</w:t>
      </w:r>
      <w:r w:rsidR="00CE5038" w:rsidRPr="006E25B0">
        <w:rPr>
          <w:rFonts w:ascii="Times New Roman" w:hAnsi="Times New Roman" w:cs="Times New Roman"/>
          <w:noProof/>
          <w:sz w:val="24"/>
          <w:szCs w:val="24"/>
        </w:rPr>
        <w:t xml:space="preserve"> Member</w:t>
      </w:r>
      <w:r w:rsidR="008E7D18" w:rsidRPr="006E25B0">
        <w:rPr>
          <w:rFonts w:ascii="Times New Roman" w:hAnsi="Times New Roman" w:cs="Times New Roman"/>
          <w:noProof/>
          <w:sz w:val="24"/>
          <w:szCs w:val="24"/>
        </w:rPr>
        <w:t xml:space="preserve"> State of habitual residence. It applies to people who are not covered by any other conflict rule—mainly economically inactive persons. The place of a person’s habitual residence is ‘where the habitual centre of their interests is to be found’</w:t>
      </w:r>
      <w:r w:rsidR="00DF7637" w:rsidRPr="006E25B0">
        <w:rPr>
          <w:rFonts w:ascii="Times New Roman" w:hAnsi="Times New Roman" w:cs="Times New Roman"/>
          <w:noProof/>
          <w:sz w:val="24"/>
          <w:szCs w:val="24"/>
        </w:rPr>
        <w:t xml:space="preserve"> (</w:t>
      </w:r>
      <w:r w:rsidR="00DF7637" w:rsidRPr="006E25B0">
        <w:rPr>
          <w:rFonts w:ascii="Times New Roman" w:hAnsi="Times New Roman" w:cs="Times New Roman"/>
          <w:i/>
          <w:noProof/>
          <w:sz w:val="24"/>
          <w:szCs w:val="24"/>
        </w:rPr>
        <w:t>Swaddling</w:t>
      </w:r>
      <w:r w:rsidR="00DF7637" w:rsidRPr="006E25B0">
        <w:rPr>
          <w:rFonts w:ascii="Times New Roman" w:hAnsi="Times New Roman" w:cs="Times New Roman"/>
          <w:noProof/>
          <w:sz w:val="24"/>
          <w:szCs w:val="24"/>
        </w:rPr>
        <w:t xml:space="preserve">, </w:t>
      </w:r>
      <w:r w:rsidR="00753583" w:rsidRPr="006E25B0">
        <w:rPr>
          <w:rFonts w:ascii="Times New Roman" w:hAnsi="Times New Roman" w:cs="Times New Roman"/>
          <w:noProof/>
          <w:sz w:val="24"/>
          <w:szCs w:val="24"/>
        </w:rPr>
        <w:t xml:space="preserve">para. </w:t>
      </w:r>
      <w:r w:rsidR="00DF7637" w:rsidRPr="006E25B0">
        <w:rPr>
          <w:rFonts w:ascii="Times New Roman" w:hAnsi="Times New Roman" w:cs="Times New Roman"/>
          <w:noProof/>
          <w:sz w:val="24"/>
          <w:szCs w:val="24"/>
        </w:rPr>
        <w:t>29).</w:t>
      </w:r>
      <w:r w:rsidR="008E7D18" w:rsidRPr="006E25B0">
        <w:rPr>
          <w:rFonts w:ascii="Times New Roman" w:hAnsi="Times New Roman" w:cs="Times New Roman"/>
          <w:noProof/>
          <w:sz w:val="24"/>
          <w:szCs w:val="24"/>
        </w:rPr>
        <w:t xml:space="preserve"> Art</w:t>
      </w:r>
      <w:r w:rsidR="00454347"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11 Regulation</w:t>
      </w:r>
      <w:r w:rsidR="002B74D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987/2009 codifies indicators of habitual residence. </w:t>
      </w:r>
    </w:p>
    <w:p w14:paraId="7EB4E813" w14:textId="1A67318D"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25</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w:t>
      </w:r>
      <w:r w:rsidR="00CD3B7C" w:rsidRPr="006E25B0">
        <w:rPr>
          <w:rFonts w:ascii="Times New Roman" w:hAnsi="Times New Roman" w:cs="Times New Roman"/>
          <w:noProof/>
          <w:sz w:val="24"/>
          <w:szCs w:val="24"/>
        </w:rPr>
        <w:t>e</w:t>
      </w:r>
      <w:r w:rsidR="008E7D18" w:rsidRPr="006E25B0">
        <w:rPr>
          <w:rFonts w:ascii="Times New Roman" w:hAnsi="Times New Roman" w:cs="Times New Roman"/>
          <w:noProof/>
          <w:sz w:val="24"/>
          <w:szCs w:val="24"/>
        </w:rPr>
        <w:t xml:space="preserve"> </w:t>
      </w:r>
      <w:r w:rsidR="008E7D18" w:rsidRPr="006E25B0">
        <w:rPr>
          <w:rFonts w:ascii="Times New Roman" w:hAnsi="Times New Roman" w:cs="Times New Roman"/>
          <w:i/>
          <w:iCs/>
          <w:noProof/>
          <w:sz w:val="24"/>
          <w:szCs w:val="24"/>
        </w:rPr>
        <w:t>lex loci domicilii</w:t>
      </w:r>
      <w:r w:rsidR="008E7D18" w:rsidRPr="006E25B0">
        <w:rPr>
          <w:rFonts w:ascii="Times New Roman" w:hAnsi="Times New Roman" w:cs="Times New Roman"/>
          <w:noProof/>
          <w:sz w:val="24"/>
          <w:szCs w:val="24"/>
        </w:rPr>
        <w:t xml:space="preserve"> ensures that social protection is afforded by the State to which a person is (most) closely connected, as determined on the basis of ‘an overall assessment of all available information’</w:t>
      </w:r>
      <w:r w:rsidR="00DF7637" w:rsidRPr="006E25B0">
        <w:rPr>
          <w:rFonts w:ascii="Times New Roman" w:hAnsi="Times New Roman" w:cs="Times New Roman"/>
          <w:noProof/>
          <w:sz w:val="24"/>
          <w:szCs w:val="24"/>
        </w:rPr>
        <w:t xml:space="preserve"> (Art. 11 Regulation</w:t>
      </w:r>
      <w:r w:rsidR="002B74DF" w:rsidRPr="006E25B0">
        <w:rPr>
          <w:rFonts w:ascii="Times New Roman" w:hAnsi="Times New Roman" w:cs="Times New Roman"/>
          <w:noProof/>
          <w:sz w:val="24"/>
          <w:szCs w:val="24"/>
        </w:rPr>
        <w:t xml:space="preserve"> </w:t>
      </w:r>
      <w:r w:rsidR="00DF7637" w:rsidRPr="006E25B0">
        <w:rPr>
          <w:rFonts w:ascii="Times New Roman" w:hAnsi="Times New Roman" w:cs="Times New Roman"/>
          <w:noProof/>
          <w:sz w:val="24"/>
          <w:szCs w:val="24"/>
        </w:rPr>
        <w:t>987/2009)</w:t>
      </w:r>
      <w:r w:rsidR="008E7D18" w:rsidRPr="006E25B0">
        <w:rPr>
          <w:rFonts w:ascii="Times New Roman" w:hAnsi="Times New Roman" w:cs="Times New Roman"/>
          <w:noProof/>
          <w:sz w:val="24"/>
          <w:szCs w:val="24"/>
        </w:rPr>
        <w:t xml:space="preserve">. At the same time, </w:t>
      </w:r>
      <w:r w:rsidR="00EB4603" w:rsidRPr="006E25B0">
        <w:rPr>
          <w:rFonts w:ascii="Times New Roman" w:hAnsi="Times New Roman" w:cs="Times New Roman"/>
          <w:noProof/>
          <w:sz w:val="24"/>
          <w:szCs w:val="24"/>
        </w:rPr>
        <w:t>that provision</w:t>
      </w:r>
      <w:r w:rsidR="008E7D18" w:rsidRPr="006E25B0">
        <w:rPr>
          <w:rFonts w:ascii="Times New Roman" w:hAnsi="Times New Roman" w:cs="Times New Roman"/>
          <w:noProof/>
          <w:sz w:val="24"/>
          <w:szCs w:val="24"/>
        </w:rPr>
        <w:t xml:space="preserve"> </w:t>
      </w:r>
      <w:r w:rsidR="002528CC" w:rsidRPr="006E25B0">
        <w:rPr>
          <w:rFonts w:ascii="Times New Roman" w:hAnsi="Times New Roman" w:cs="Times New Roman"/>
          <w:noProof/>
          <w:sz w:val="24"/>
          <w:szCs w:val="24"/>
        </w:rPr>
        <w:t>sidesteps</w:t>
      </w:r>
      <w:r w:rsidR="008E7D18" w:rsidRPr="006E25B0">
        <w:rPr>
          <w:rFonts w:ascii="Times New Roman" w:hAnsi="Times New Roman" w:cs="Times New Roman"/>
          <w:noProof/>
          <w:sz w:val="24"/>
          <w:szCs w:val="24"/>
        </w:rPr>
        <w:t xml:space="preserve"> </w:t>
      </w:r>
      <w:r w:rsidR="00CC72F3" w:rsidRPr="006E25B0">
        <w:rPr>
          <w:rFonts w:ascii="Times New Roman" w:hAnsi="Times New Roman" w:cs="Times New Roman"/>
          <w:noProof/>
          <w:sz w:val="24"/>
          <w:szCs w:val="24"/>
        </w:rPr>
        <w:t xml:space="preserve">a </w:t>
      </w:r>
      <w:r w:rsidR="00C573E5" w:rsidRPr="006E25B0">
        <w:rPr>
          <w:rFonts w:ascii="Times New Roman" w:hAnsi="Times New Roman" w:cs="Times New Roman"/>
          <w:noProof/>
          <w:sz w:val="24"/>
          <w:szCs w:val="24"/>
        </w:rPr>
        <w:t xml:space="preserve">common </w:t>
      </w:r>
      <w:r w:rsidR="008E7D18" w:rsidRPr="006E25B0">
        <w:rPr>
          <w:rFonts w:ascii="Times New Roman" w:hAnsi="Times New Roman" w:cs="Times New Roman"/>
          <w:noProof/>
          <w:sz w:val="24"/>
          <w:szCs w:val="24"/>
        </w:rPr>
        <w:t xml:space="preserve">pitfall of </w:t>
      </w:r>
      <w:r w:rsidR="007E1B08" w:rsidRPr="006E25B0">
        <w:rPr>
          <w:rFonts w:ascii="Times New Roman" w:hAnsi="Times New Roman" w:cs="Times New Roman"/>
          <w:noProof/>
          <w:sz w:val="24"/>
          <w:szCs w:val="24"/>
        </w:rPr>
        <w:t>such</w:t>
      </w:r>
      <w:r w:rsidR="008E7D18" w:rsidRPr="006E25B0">
        <w:rPr>
          <w:rFonts w:ascii="Times New Roman" w:hAnsi="Times New Roman" w:cs="Times New Roman"/>
          <w:noProof/>
          <w:sz w:val="24"/>
          <w:szCs w:val="24"/>
        </w:rPr>
        <w:t xml:space="preserve"> assessments—divergent interpretations leading to the designation of more or less than one State—by obliging the Member States involved to agree upon a single place of residence.</w:t>
      </w:r>
    </w:p>
    <w:p w14:paraId="7D381E67" w14:textId="5728CE68"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26</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One of the main controversies around the </w:t>
      </w:r>
      <w:r w:rsidR="008E7D18" w:rsidRPr="006E25B0">
        <w:rPr>
          <w:rFonts w:ascii="Times New Roman" w:hAnsi="Times New Roman" w:cs="Times New Roman"/>
          <w:i/>
          <w:iCs/>
          <w:noProof/>
          <w:sz w:val="24"/>
          <w:szCs w:val="24"/>
        </w:rPr>
        <w:t>lex loci domicilii</w:t>
      </w:r>
      <w:r w:rsidR="008E7D18" w:rsidRPr="006E25B0">
        <w:rPr>
          <w:rFonts w:ascii="Times New Roman" w:hAnsi="Times New Roman" w:cs="Times New Roman"/>
          <w:noProof/>
          <w:sz w:val="24"/>
          <w:szCs w:val="24"/>
        </w:rPr>
        <w:t xml:space="preserve"> concern unemployment benefits: should non-resident workers who become unemployed receive the benefits of their current Member State of residence or their last Member State of work</w:t>
      </w:r>
      <w:r w:rsidR="0082100D" w:rsidRPr="006E25B0">
        <w:rPr>
          <w:rFonts w:ascii="Times New Roman" w:hAnsi="Times New Roman" w:cs="Times New Roman"/>
          <w:noProof/>
          <w:sz w:val="24"/>
          <w:szCs w:val="24"/>
        </w:rPr>
        <w:t xml:space="preserve"> (see eg Cornelissen, 2007; Pennings, 2020)</w:t>
      </w:r>
      <w:r w:rsidR="008E7D18" w:rsidRPr="006E25B0">
        <w:rPr>
          <w:rFonts w:ascii="Times New Roman" w:hAnsi="Times New Roman" w:cs="Times New Roman"/>
          <w:noProof/>
          <w:sz w:val="24"/>
          <w:szCs w:val="24"/>
        </w:rPr>
        <w:t>? The issue is prominent in the reform package under negotiation.</w:t>
      </w:r>
    </w:p>
    <w:p w14:paraId="6CF35F35" w14:textId="5F0A32B6"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(e)</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Who decides which law applies?</w:t>
      </w:r>
    </w:p>
    <w:p w14:paraId="4F9875F4" w14:textId="05B2DBDC"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27</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There are two approaches to the interpretation and application of the above conflict rules. The first lets each Member State that so wishes apply the conflict rules to ascertain whether a person is subject to its law. Problems arise when Member States disagree. Two Member States might deem each other’s law to be applicable to a person and therefore deny them social security protection; or deem their own law to be applicable to them, resulting in double social security contribution duties. </w:t>
      </w:r>
    </w:p>
    <w:p w14:paraId="26F1FBAA" w14:textId="71444D1A"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28</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alternative approach to decision-making avoids such complications and increases legal certainty by enabling a Member State to impose its interpretation of the conflict rules on other Member States. With few exceptions, whichever social security institution first </w:t>
      </w:r>
      <w:r w:rsidR="008D0ADC" w:rsidRPr="006E25B0">
        <w:rPr>
          <w:rFonts w:ascii="Times New Roman" w:hAnsi="Times New Roman" w:cs="Times New Roman"/>
          <w:noProof/>
          <w:sz w:val="24"/>
          <w:szCs w:val="24"/>
        </w:rPr>
        <w:t xml:space="preserve">delivers </w:t>
      </w:r>
      <w:r w:rsidR="008E7D18" w:rsidRPr="006E25B0">
        <w:rPr>
          <w:rFonts w:ascii="Times New Roman" w:hAnsi="Times New Roman" w:cs="Times New Roman"/>
          <w:noProof/>
          <w:sz w:val="24"/>
          <w:szCs w:val="24"/>
        </w:rPr>
        <w:t>a Portable Document A1 (‘Portable Document’) not only certifies that its law applies, but also prevents the social security institutions and courts of other Member States from finding otherwise</w:t>
      </w:r>
      <w:r w:rsidR="00A470A1" w:rsidRPr="006E25B0">
        <w:rPr>
          <w:rFonts w:ascii="Times New Roman" w:hAnsi="Times New Roman" w:cs="Times New Roman"/>
          <w:noProof/>
          <w:sz w:val="24"/>
          <w:szCs w:val="24"/>
        </w:rPr>
        <w:t xml:space="preserve"> (Art. 5 Regulation</w:t>
      </w:r>
      <w:r w:rsidR="00C67654" w:rsidRPr="006E25B0">
        <w:rPr>
          <w:rFonts w:ascii="Times New Roman" w:hAnsi="Times New Roman" w:cs="Times New Roman"/>
          <w:noProof/>
          <w:sz w:val="24"/>
          <w:szCs w:val="24"/>
        </w:rPr>
        <w:t xml:space="preserve"> </w:t>
      </w:r>
      <w:r w:rsidR="00A470A1" w:rsidRPr="006E25B0">
        <w:rPr>
          <w:rFonts w:ascii="Times New Roman" w:hAnsi="Times New Roman" w:cs="Times New Roman"/>
          <w:noProof/>
          <w:sz w:val="24"/>
          <w:szCs w:val="24"/>
        </w:rPr>
        <w:t xml:space="preserve">987/2009; </w:t>
      </w:r>
      <w:r w:rsidR="00A470A1" w:rsidRPr="006E25B0">
        <w:rPr>
          <w:rFonts w:ascii="Times New Roman" w:hAnsi="Times New Roman" w:cs="Times New Roman"/>
          <w:i/>
          <w:noProof/>
          <w:sz w:val="24"/>
          <w:szCs w:val="24"/>
        </w:rPr>
        <w:t>Herbosch Kiere</w:t>
      </w:r>
      <w:r w:rsidR="00A470A1"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As long as no such document is issued, the first approach applies. </w:t>
      </w:r>
    </w:p>
    <w:p w14:paraId="2C50836C" w14:textId="4DC01D3F"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29</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In theory, a</w:t>
      </w:r>
      <w:r w:rsidR="00CE5038" w:rsidRPr="006E25B0">
        <w:rPr>
          <w:rFonts w:ascii="Times New Roman" w:hAnsi="Times New Roman" w:cs="Times New Roman"/>
          <w:noProof/>
          <w:sz w:val="24"/>
          <w:szCs w:val="24"/>
        </w:rPr>
        <w:t xml:space="preserve"> social security</w:t>
      </w:r>
      <w:r w:rsidR="008E7D18" w:rsidRPr="006E25B0">
        <w:rPr>
          <w:rFonts w:ascii="Times New Roman" w:hAnsi="Times New Roman" w:cs="Times New Roman"/>
          <w:noProof/>
          <w:sz w:val="24"/>
          <w:szCs w:val="24"/>
        </w:rPr>
        <w:t xml:space="preserve"> institution must ‘carry out a proper assessment of the facts’ before issuing a Portable Document, and reconsider it and, where appropriate, withdraw it upon request from other Member States</w:t>
      </w:r>
      <w:r w:rsidR="004D0262" w:rsidRPr="006E25B0">
        <w:rPr>
          <w:rFonts w:ascii="Times New Roman" w:hAnsi="Times New Roman" w:cs="Times New Roman"/>
          <w:noProof/>
          <w:sz w:val="24"/>
          <w:szCs w:val="24"/>
        </w:rPr>
        <w:t xml:space="preserve"> (</w:t>
      </w:r>
      <w:r w:rsidR="004D0262" w:rsidRPr="006E25B0">
        <w:rPr>
          <w:rFonts w:ascii="Times New Roman" w:hAnsi="Times New Roman" w:cs="Times New Roman"/>
          <w:i/>
          <w:noProof/>
          <w:sz w:val="24"/>
          <w:szCs w:val="24"/>
        </w:rPr>
        <w:t>Fitzwilliam</w:t>
      </w:r>
      <w:r w:rsidR="004D0262" w:rsidRPr="006E25B0">
        <w:rPr>
          <w:rFonts w:ascii="Times New Roman" w:hAnsi="Times New Roman" w:cs="Times New Roman"/>
          <w:noProof/>
          <w:sz w:val="24"/>
          <w:szCs w:val="24"/>
        </w:rPr>
        <w:t xml:space="preserve">, </w:t>
      </w:r>
      <w:r w:rsidR="00753583" w:rsidRPr="006E25B0">
        <w:rPr>
          <w:rFonts w:ascii="Times New Roman" w:hAnsi="Times New Roman" w:cs="Times New Roman"/>
          <w:noProof/>
          <w:sz w:val="24"/>
          <w:szCs w:val="24"/>
        </w:rPr>
        <w:t xml:space="preserve">para. </w:t>
      </w:r>
      <w:r w:rsidR="004D0262" w:rsidRPr="006E25B0">
        <w:rPr>
          <w:rFonts w:ascii="Times New Roman" w:hAnsi="Times New Roman" w:cs="Times New Roman"/>
          <w:noProof/>
          <w:sz w:val="24"/>
          <w:szCs w:val="24"/>
        </w:rPr>
        <w:t>51; Art. 5 Regulation</w:t>
      </w:r>
      <w:r w:rsidR="00C67654" w:rsidRPr="006E25B0">
        <w:rPr>
          <w:rFonts w:ascii="Times New Roman" w:hAnsi="Times New Roman" w:cs="Times New Roman"/>
          <w:noProof/>
          <w:sz w:val="24"/>
          <w:szCs w:val="24"/>
        </w:rPr>
        <w:t xml:space="preserve"> </w:t>
      </w:r>
      <w:r w:rsidR="004D0262" w:rsidRPr="006E25B0">
        <w:rPr>
          <w:rFonts w:ascii="Times New Roman" w:hAnsi="Times New Roman" w:cs="Times New Roman"/>
          <w:noProof/>
          <w:sz w:val="24"/>
          <w:szCs w:val="24"/>
        </w:rPr>
        <w:t>987/2009)</w:t>
      </w:r>
      <w:r w:rsidR="008E7D18" w:rsidRPr="006E25B0">
        <w:rPr>
          <w:rFonts w:ascii="Times New Roman" w:hAnsi="Times New Roman" w:cs="Times New Roman"/>
          <w:noProof/>
          <w:sz w:val="24"/>
          <w:szCs w:val="24"/>
        </w:rPr>
        <w:t xml:space="preserve">. In practice, Portable Documents tend to be </w:t>
      </w:r>
      <w:r w:rsidR="001B6BE3" w:rsidRPr="006E25B0">
        <w:rPr>
          <w:rFonts w:ascii="Times New Roman" w:hAnsi="Times New Roman" w:cs="Times New Roman"/>
          <w:noProof/>
          <w:sz w:val="24"/>
          <w:szCs w:val="24"/>
        </w:rPr>
        <w:t xml:space="preserve">delivered </w:t>
      </w:r>
      <w:r w:rsidR="008E7D18" w:rsidRPr="006E25B0">
        <w:rPr>
          <w:rFonts w:ascii="Times New Roman" w:hAnsi="Times New Roman" w:cs="Times New Roman"/>
          <w:noProof/>
          <w:sz w:val="24"/>
          <w:szCs w:val="24"/>
        </w:rPr>
        <w:t>without much by way verification and requests for reconsideration tend to fall on deaf ears</w:t>
      </w:r>
      <w:r w:rsidR="004D0262" w:rsidRPr="006E25B0">
        <w:rPr>
          <w:rFonts w:ascii="Times New Roman" w:hAnsi="Times New Roman" w:cs="Times New Roman"/>
          <w:noProof/>
          <w:sz w:val="24"/>
          <w:szCs w:val="24"/>
        </w:rPr>
        <w:t xml:space="preserve"> (Rennuy, 2020)</w:t>
      </w:r>
      <w:r w:rsidR="008E7D18" w:rsidRPr="006E25B0">
        <w:rPr>
          <w:rFonts w:ascii="Times New Roman" w:hAnsi="Times New Roman" w:cs="Times New Roman"/>
          <w:noProof/>
          <w:sz w:val="24"/>
          <w:szCs w:val="24"/>
        </w:rPr>
        <w:t xml:space="preserve">. As a result, Portable Documents that wrongly label workers as posted, issued with little to no verification as to whether the posting conditions are satisfied, bind the Member State where they work, whose law should apply. Concretely, workers are excluded from the (possibly more generous) social security system of the Member State to which they are posted; that State is deprived of social security contributions; and the employer pays (possibly lower) social security contributions in the wrong Member State. </w:t>
      </w:r>
    </w:p>
    <w:p w14:paraId="27CE97D5" w14:textId="28172345"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30</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practical importance of this issue has </w:t>
      </w:r>
      <w:r w:rsidR="001B6BE3" w:rsidRPr="006E25B0">
        <w:rPr>
          <w:rFonts w:ascii="Times New Roman" w:hAnsi="Times New Roman" w:cs="Times New Roman"/>
          <w:noProof/>
          <w:sz w:val="24"/>
          <w:szCs w:val="24"/>
        </w:rPr>
        <w:t xml:space="preserve">grown </w:t>
      </w:r>
      <w:r w:rsidR="008E7D18" w:rsidRPr="006E25B0">
        <w:rPr>
          <w:rFonts w:ascii="Times New Roman" w:hAnsi="Times New Roman" w:cs="Times New Roman"/>
          <w:noProof/>
          <w:sz w:val="24"/>
          <w:szCs w:val="24"/>
        </w:rPr>
        <w:t>in line with the steep increase in the number of Portable Documents—from 1.5 million in 2012 to 4.5 million in 2019</w:t>
      </w:r>
      <w:r w:rsidR="00342E8E" w:rsidRPr="006E25B0">
        <w:rPr>
          <w:rFonts w:ascii="Times New Roman" w:hAnsi="Times New Roman" w:cs="Times New Roman"/>
          <w:noProof/>
          <w:sz w:val="24"/>
          <w:szCs w:val="24"/>
        </w:rPr>
        <w:t xml:space="preserve"> (De Wispelaere, De Smedt and Pacolet, 2</w:t>
      </w:r>
      <w:r w:rsidR="009C1057" w:rsidRPr="006E25B0">
        <w:rPr>
          <w:rFonts w:ascii="Times New Roman" w:hAnsi="Times New Roman" w:cs="Times New Roman"/>
          <w:noProof/>
          <w:sz w:val="24"/>
          <w:szCs w:val="24"/>
        </w:rPr>
        <w:t>4</w:t>
      </w:r>
      <w:r w:rsidR="00342E8E"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A widespread view is that the Portable Documents should be more reliable. The recent launch of the European Labour Authority and, if adopted, the reform package should further this goal</w:t>
      </w:r>
      <w:r w:rsidR="00F630F2" w:rsidRPr="006E25B0">
        <w:rPr>
          <w:rFonts w:ascii="Times New Roman" w:hAnsi="Times New Roman" w:cs="Times New Roman"/>
          <w:noProof/>
          <w:sz w:val="24"/>
          <w:szCs w:val="24"/>
        </w:rPr>
        <w:t xml:space="preserve"> (</w:t>
      </w:r>
      <w:r w:rsidR="00BA69B8" w:rsidRPr="006E25B0">
        <w:rPr>
          <w:rFonts w:ascii="Times New Roman" w:hAnsi="Times New Roman" w:cs="Times New Roman"/>
          <w:noProof/>
          <w:sz w:val="24"/>
          <w:szCs w:val="24"/>
        </w:rPr>
        <w:t xml:space="preserve">Regulation 2019/1149; </w:t>
      </w:r>
      <w:r w:rsidR="006B317D" w:rsidRPr="006E25B0">
        <w:rPr>
          <w:rFonts w:ascii="Times New Roman" w:hAnsi="Times New Roman" w:cs="Times New Roman"/>
          <w:noProof/>
          <w:sz w:val="24"/>
          <w:szCs w:val="24"/>
        </w:rPr>
        <w:t>General Secretariat of the Council; Rennuy, 2020</w:t>
      </w:r>
      <w:r w:rsidR="00F630F2"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Another argument is that Portable Documents should be less binding</w:t>
      </w:r>
      <w:r w:rsidR="003E4ECC" w:rsidRPr="006E25B0">
        <w:rPr>
          <w:rFonts w:ascii="Times New Roman" w:hAnsi="Times New Roman" w:cs="Times New Roman"/>
          <w:noProof/>
          <w:sz w:val="24"/>
          <w:szCs w:val="24"/>
        </w:rPr>
        <w:t xml:space="preserve"> (</w:t>
      </w:r>
      <w:r w:rsidR="005166C8" w:rsidRPr="006E25B0">
        <w:rPr>
          <w:rFonts w:ascii="Times New Roman" w:hAnsi="Times New Roman" w:cs="Times New Roman"/>
          <w:noProof/>
          <w:sz w:val="24"/>
          <w:szCs w:val="24"/>
        </w:rPr>
        <w:t xml:space="preserve">see </w:t>
      </w:r>
      <w:r w:rsidR="003E4ECC" w:rsidRPr="006E25B0">
        <w:rPr>
          <w:rFonts w:ascii="Times New Roman" w:hAnsi="Times New Roman" w:cs="Times New Roman"/>
          <w:noProof/>
          <w:sz w:val="24"/>
          <w:szCs w:val="24"/>
        </w:rPr>
        <w:t>Rennuy, 2022)</w:t>
      </w:r>
      <w:r w:rsidR="008E7D18" w:rsidRPr="006E25B0">
        <w:rPr>
          <w:rFonts w:ascii="Times New Roman" w:hAnsi="Times New Roman" w:cs="Times New Roman"/>
          <w:noProof/>
          <w:sz w:val="24"/>
          <w:szCs w:val="24"/>
        </w:rPr>
        <w:t xml:space="preserve">. </w:t>
      </w:r>
      <w:bookmarkStart w:id="27" w:name="_Hlk111627525"/>
      <w:r w:rsidR="007D0E53" w:rsidRPr="006E25B0">
        <w:rPr>
          <w:rFonts w:ascii="Times New Roman" w:hAnsi="Times New Roman" w:cs="Times New Roman"/>
          <w:noProof/>
          <w:sz w:val="24"/>
          <w:szCs w:val="24"/>
        </w:rPr>
        <w:t xml:space="preserve">In </w:t>
      </w:r>
      <w:r w:rsidR="007D0E53" w:rsidRPr="006E25B0">
        <w:rPr>
          <w:rFonts w:ascii="Times New Roman" w:hAnsi="Times New Roman" w:cs="Times New Roman"/>
          <w:i/>
          <w:noProof/>
          <w:sz w:val="24"/>
          <w:szCs w:val="24"/>
        </w:rPr>
        <w:t>Altun</w:t>
      </w:r>
      <w:r w:rsidR="007D0E53" w:rsidRPr="006E25B0">
        <w:rPr>
          <w:rFonts w:ascii="Times New Roman" w:hAnsi="Times New Roman" w:cs="Times New Roman"/>
          <w:noProof/>
          <w:sz w:val="24"/>
          <w:szCs w:val="24"/>
        </w:rPr>
        <w:t xml:space="preserve">, the </w:t>
      </w:r>
      <w:r w:rsidR="008E7D18" w:rsidRPr="006E25B0">
        <w:rPr>
          <w:rFonts w:ascii="Times New Roman" w:hAnsi="Times New Roman" w:cs="Times New Roman"/>
          <w:noProof/>
          <w:sz w:val="24"/>
          <w:szCs w:val="24"/>
        </w:rPr>
        <w:t>CJEU somewhat relaxe</w:t>
      </w:r>
      <w:r w:rsidR="007D0E53" w:rsidRPr="006E25B0">
        <w:rPr>
          <w:rFonts w:ascii="Times New Roman" w:hAnsi="Times New Roman" w:cs="Times New Roman"/>
          <w:noProof/>
          <w:sz w:val="24"/>
          <w:szCs w:val="24"/>
        </w:rPr>
        <w:t>d</w:t>
      </w:r>
      <w:r w:rsidR="008E7D18" w:rsidRPr="006E25B0">
        <w:rPr>
          <w:rFonts w:ascii="Times New Roman" w:hAnsi="Times New Roman" w:cs="Times New Roman"/>
          <w:noProof/>
          <w:sz w:val="24"/>
          <w:szCs w:val="24"/>
        </w:rPr>
        <w:t xml:space="preserve"> the binding effect by enabling the courts of the Member State of destination to disregard fraudulent Portable Document</w:t>
      </w:r>
      <w:r w:rsidR="006177CA" w:rsidRPr="006E25B0">
        <w:rPr>
          <w:rFonts w:ascii="Times New Roman" w:hAnsi="Times New Roman" w:cs="Times New Roman"/>
          <w:noProof/>
          <w:sz w:val="24"/>
          <w:szCs w:val="24"/>
        </w:rPr>
        <w:t>s</w:t>
      </w:r>
      <w:r w:rsidR="008E7D18" w:rsidRPr="006E25B0">
        <w:rPr>
          <w:rFonts w:ascii="Times New Roman" w:hAnsi="Times New Roman" w:cs="Times New Roman"/>
          <w:noProof/>
          <w:sz w:val="24"/>
          <w:szCs w:val="24"/>
        </w:rPr>
        <w:t xml:space="preserve"> under conditions</w:t>
      </w:r>
      <w:r w:rsidR="004D0262" w:rsidRPr="006E25B0">
        <w:rPr>
          <w:rFonts w:ascii="Times New Roman" w:hAnsi="Times New Roman" w:cs="Times New Roman"/>
          <w:noProof/>
          <w:sz w:val="24"/>
          <w:szCs w:val="24"/>
        </w:rPr>
        <w:t xml:space="preserve"> </w:t>
      </w:r>
      <w:r w:rsidR="007574C6" w:rsidRPr="006E25B0">
        <w:rPr>
          <w:rFonts w:ascii="Times New Roman" w:hAnsi="Times New Roman" w:cs="Times New Roman"/>
          <w:noProof/>
          <w:sz w:val="24"/>
          <w:szCs w:val="24"/>
        </w:rPr>
        <w:t>that</w:t>
      </w:r>
      <w:r w:rsidR="008E7D18" w:rsidRPr="006E25B0">
        <w:rPr>
          <w:rFonts w:ascii="Times New Roman" w:hAnsi="Times New Roman" w:cs="Times New Roman"/>
          <w:noProof/>
          <w:sz w:val="24"/>
          <w:szCs w:val="24"/>
        </w:rPr>
        <w:t xml:space="preserve"> have been criticised as overly strict.</w:t>
      </w:r>
      <w:bookmarkEnd w:id="27"/>
    </w:p>
    <w:p w14:paraId="3BA398CD" w14:textId="0A026C0D" w:rsidR="008E7D18" w:rsidRPr="006E25B0" w:rsidRDefault="00C02263" w:rsidP="00D95347">
      <w:pPr>
        <w:pStyle w:val="Heading2"/>
        <w:rPr>
          <w:rFonts w:ascii="Times New Roman" w:hAnsi="Times New Roman" w:cs="Times New Roman"/>
          <w:noProof/>
          <w:color w:val="auto"/>
        </w:rPr>
      </w:pPr>
      <w:bookmarkStart w:id="28" w:name="_Hlk78370872"/>
      <w:bookmarkEnd w:id="26"/>
      <w:r w:rsidRPr="006E25B0">
        <w:rPr>
          <w:rFonts w:ascii="Times New Roman" w:hAnsi="Times New Roman" w:cs="Times New Roman"/>
          <w:noProof/>
          <w:color w:val="auto"/>
        </w:rPr>
        <w:t xml:space="preserve">3. </w:t>
      </w:r>
      <w:r w:rsidR="008E7D18" w:rsidRPr="006E25B0">
        <w:rPr>
          <w:rFonts w:ascii="Times New Roman" w:hAnsi="Times New Roman" w:cs="Times New Roman"/>
          <w:noProof/>
          <w:color w:val="auto"/>
        </w:rPr>
        <w:t xml:space="preserve">How </w:t>
      </w:r>
      <w:r w:rsidR="00E43576" w:rsidRPr="006E25B0">
        <w:rPr>
          <w:rFonts w:ascii="Times New Roman" w:hAnsi="Times New Roman" w:cs="Times New Roman"/>
          <w:noProof/>
          <w:color w:val="auto"/>
        </w:rPr>
        <w:t xml:space="preserve">is the applicable law to be applied? </w:t>
      </w:r>
    </w:p>
    <w:bookmarkEnd w:id="28"/>
    <w:p w14:paraId="0E29C2D2" w14:textId="5E3EFDE6" w:rsidR="008E7D18" w:rsidRPr="006E25B0" w:rsidRDefault="009A1017" w:rsidP="00D95347">
      <w:pPr>
        <w:rPr>
          <w:rFonts w:ascii="Times New Roman" w:hAnsi="Times New Roman" w:cs="Times New Roman"/>
          <w:iCs/>
          <w:noProof/>
          <w:sz w:val="24"/>
          <w:szCs w:val="24"/>
        </w:rPr>
      </w:pPr>
      <w:r w:rsidRPr="006E25B0">
        <w:rPr>
          <w:rFonts w:ascii="Times New Roman" w:hAnsi="Times New Roman" w:cs="Times New Roman"/>
          <w:iCs/>
          <w:noProof/>
          <w:sz w:val="24"/>
          <w:szCs w:val="24"/>
        </w:rPr>
        <w:t>31</w:t>
      </w:r>
      <w:r w:rsidRPr="006E25B0">
        <w:rPr>
          <w:rFonts w:ascii="Times New Roman" w:hAnsi="Times New Roman" w:cs="Times New Roman"/>
          <w:iCs/>
          <w:noProof/>
          <w:sz w:val="24"/>
          <w:szCs w:val="24"/>
        </w:rPr>
        <w:tab/>
      </w:r>
      <w:r w:rsidR="008E7D18" w:rsidRPr="006E25B0">
        <w:rPr>
          <w:rFonts w:ascii="Times New Roman" w:hAnsi="Times New Roman" w:cs="Times New Roman"/>
          <w:iCs/>
          <w:noProof/>
          <w:sz w:val="24"/>
          <w:szCs w:val="24"/>
        </w:rPr>
        <w:t>The competent Member State should apply its law as per usual in order to determine the entitlement to benefits and the liability for contributions, albeit with certain modifications required by the regulations and general free movement law. The regulations combine general principles that apply to all branches of social security (found in Title I of Regulation</w:t>
      </w:r>
      <w:r w:rsidR="00C67654" w:rsidRPr="006E25B0">
        <w:rPr>
          <w:rFonts w:ascii="Times New Roman" w:hAnsi="Times New Roman" w:cs="Times New Roman"/>
          <w:iCs/>
          <w:noProof/>
          <w:sz w:val="24"/>
          <w:szCs w:val="24"/>
        </w:rPr>
        <w:t xml:space="preserve"> </w:t>
      </w:r>
      <w:r w:rsidR="008E7D18" w:rsidRPr="006E25B0">
        <w:rPr>
          <w:rFonts w:ascii="Times New Roman" w:hAnsi="Times New Roman" w:cs="Times New Roman"/>
          <w:iCs/>
          <w:noProof/>
          <w:sz w:val="24"/>
          <w:szCs w:val="24"/>
        </w:rPr>
        <w:t>883/2004) with refinements per type of benefit (found in its Title III as well as Regulation</w:t>
      </w:r>
      <w:r w:rsidR="00C67654" w:rsidRPr="006E25B0">
        <w:rPr>
          <w:rFonts w:ascii="Times New Roman" w:hAnsi="Times New Roman" w:cs="Times New Roman"/>
          <w:iCs/>
          <w:noProof/>
          <w:sz w:val="24"/>
          <w:szCs w:val="24"/>
        </w:rPr>
        <w:t xml:space="preserve"> </w:t>
      </w:r>
      <w:r w:rsidR="008E7D18" w:rsidRPr="006E25B0">
        <w:rPr>
          <w:rFonts w:ascii="Times New Roman" w:hAnsi="Times New Roman" w:cs="Times New Roman"/>
          <w:iCs/>
          <w:noProof/>
          <w:sz w:val="24"/>
          <w:szCs w:val="24"/>
        </w:rPr>
        <w:t>987/2009).</w:t>
      </w:r>
      <w:r w:rsidR="00213FE1" w:rsidRPr="006E25B0">
        <w:rPr>
          <w:rFonts w:ascii="Times New Roman" w:hAnsi="Times New Roman" w:cs="Times New Roman"/>
          <w:iCs/>
          <w:noProof/>
          <w:sz w:val="24"/>
          <w:szCs w:val="24"/>
        </w:rPr>
        <w:t xml:space="preserve"> This section discusses the general principles (see </w:t>
      </w:r>
      <w:r w:rsidR="000A7171" w:rsidRPr="006E25B0">
        <w:rPr>
          <w:rFonts w:ascii="Times New Roman" w:hAnsi="Times New Roman" w:cs="Times New Roman"/>
          <w:iCs/>
          <w:noProof/>
          <w:sz w:val="24"/>
          <w:szCs w:val="24"/>
        </w:rPr>
        <w:t>further</w:t>
      </w:r>
      <w:r w:rsidR="00213FE1" w:rsidRPr="006E25B0">
        <w:rPr>
          <w:rFonts w:ascii="Times New Roman" w:hAnsi="Times New Roman" w:cs="Times New Roman"/>
          <w:iCs/>
          <w:noProof/>
          <w:sz w:val="24"/>
          <w:szCs w:val="24"/>
        </w:rPr>
        <w:t xml:space="preserve"> eg Cornelissen, 1996; Jorens and Van Overmeiren; Rennuy, forthcoming; Van Raepenbusch, 2001).</w:t>
      </w:r>
    </w:p>
    <w:p w14:paraId="7323BDAA" w14:textId="1643E121" w:rsidR="008E7D18" w:rsidRPr="006E25B0" w:rsidRDefault="005821D8" w:rsidP="00D95347">
      <w:pPr>
        <w:pStyle w:val="Heading3"/>
        <w:rPr>
          <w:rFonts w:ascii="Times New Roman" w:hAnsi="Times New Roman" w:cs="Times New Roman"/>
          <w:noProof/>
          <w:color w:val="auto"/>
        </w:rPr>
      </w:pPr>
      <w:bookmarkStart w:id="29" w:name="_Hlk78370901"/>
      <w:r w:rsidRPr="006E25B0">
        <w:rPr>
          <w:rFonts w:ascii="Times New Roman" w:hAnsi="Times New Roman" w:cs="Times New Roman"/>
          <w:noProof/>
          <w:color w:val="auto"/>
        </w:rPr>
        <w:t>(a)</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The </w:t>
      </w:r>
      <w:r w:rsidR="00E43576" w:rsidRPr="006E25B0">
        <w:rPr>
          <w:rFonts w:ascii="Times New Roman" w:hAnsi="Times New Roman" w:cs="Times New Roman"/>
          <w:noProof/>
          <w:color w:val="auto"/>
        </w:rPr>
        <w:t>principle of equal treatment</w:t>
      </w:r>
    </w:p>
    <w:p w14:paraId="3D30189F" w14:textId="760ECD74"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32</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principle of non-discrimination is the linchpin of social security coordination. </w:t>
      </w:r>
      <w:r w:rsidR="006A36F6" w:rsidRPr="006E25B0">
        <w:rPr>
          <w:rFonts w:ascii="Times New Roman" w:hAnsi="Times New Roman" w:cs="Times New Roman"/>
          <w:noProof/>
          <w:sz w:val="24"/>
          <w:szCs w:val="24"/>
        </w:rPr>
        <w:t xml:space="preserve">It </w:t>
      </w:r>
      <w:r w:rsidR="0082193D" w:rsidRPr="006E25B0">
        <w:rPr>
          <w:rFonts w:ascii="Times New Roman" w:hAnsi="Times New Roman" w:cs="Times New Roman"/>
          <w:noProof/>
          <w:sz w:val="24"/>
          <w:szCs w:val="24"/>
        </w:rPr>
        <w:t>is crucial for guaranteeing</w:t>
      </w:r>
      <w:r w:rsidR="008E7D18" w:rsidRPr="006E25B0">
        <w:rPr>
          <w:rFonts w:ascii="Times New Roman" w:hAnsi="Times New Roman" w:cs="Times New Roman"/>
          <w:noProof/>
          <w:sz w:val="24"/>
          <w:szCs w:val="24"/>
        </w:rPr>
        <w:t xml:space="preserve"> migrants continuous social protection. </w:t>
      </w:r>
      <w:r w:rsidR="008E7D18" w:rsidRPr="006E25B0">
        <w:rPr>
          <w:rFonts w:ascii="Times New Roman" w:hAnsi="Times New Roman" w:cs="Times New Roman"/>
          <w:iCs/>
          <w:noProof/>
          <w:sz w:val="24"/>
          <w:szCs w:val="24"/>
        </w:rPr>
        <w:t>Just like other, overlapping, prohibitions on nationality discrimination</w:t>
      </w:r>
      <w:r w:rsidR="004A4D8C" w:rsidRPr="006E25B0">
        <w:rPr>
          <w:rFonts w:ascii="Times New Roman" w:hAnsi="Times New Roman" w:cs="Times New Roman"/>
          <w:iCs/>
          <w:noProof/>
          <w:sz w:val="24"/>
          <w:szCs w:val="24"/>
        </w:rPr>
        <w:t xml:space="preserve"> (</w:t>
      </w:r>
      <w:bookmarkStart w:id="30" w:name="_Hlk111452737"/>
      <w:r w:rsidR="003714F2" w:rsidRPr="006E25B0">
        <w:rPr>
          <w:rFonts w:ascii="Times New Roman" w:hAnsi="Times New Roman" w:cs="Times New Roman"/>
          <w:iCs/>
          <w:noProof/>
          <w:sz w:val="24"/>
          <w:szCs w:val="24"/>
        </w:rPr>
        <w:t>eg</w:t>
      </w:r>
      <w:r w:rsidR="004A4D8C" w:rsidRPr="006E25B0">
        <w:rPr>
          <w:rFonts w:ascii="Times New Roman" w:hAnsi="Times New Roman" w:cs="Times New Roman"/>
          <w:iCs/>
          <w:noProof/>
          <w:sz w:val="24"/>
          <w:szCs w:val="24"/>
        </w:rPr>
        <w:t xml:space="preserve"> Art. 45(2) TFEU; Art. 7(2) Regulation</w:t>
      </w:r>
      <w:r w:rsidR="00C67654" w:rsidRPr="006E25B0">
        <w:rPr>
          <w:rFonts w:ascii="Times New Roman" w:hAnsi="Times New Roman" w:cs="Times New Roman"/>
          <w:iCs/>
          <w:noProof/>
          <w:sz w:val="24"/>
          <w:szCs w:val="24"/>
        </w:rPr>
        <w:t xml:space="preserve"> </w:t>
      </w:r>
      <w:r w:rsidR="004A4D8C" w:rsidRPr="006E25B0">
        <w:rPr>
          <w:rFonts w:ascii="Times New Roman" w:hAnsi="Times New Roman" w:cs="Times New Roman"/>
          <w:iCs/>
          <w:noProof/>
          <w:sz w:val="24"/>
          <w:szCs w:val="24"/>
        </w:rPr>
        <w:t>492/2011; Art. 24 Directive</w:t>
      </w:r>
      <w:r w:rsidR="00C67654" w:rsidRPr="006E25B0">
        <w:rPr>
          <w:rFonts w:ascii="Times New Roman" w:hAnsi="Times New Roman" w:cs="Times New Roman"/>
          <w:iCs/>
          <w:noProof/>
          <w:sz w:val="24"/>
          <w:szCs w:val="24"/>
        </w:rPr>
        <w:t xml:space="preserve"> </w:t>
      </w:r>
      <w:r w:rsidR="004A4D8C" w:rsidRPr="006E25B0">
        <w:rPr>
          <w:rFonts w:ascii="Times New Roman" w:hAnsi="Times New Roman" w:cs="Times New Roman"/>
          <w:iCs/>
          <w:noProof/>
          <w:sz w:val="24"/>
          <w:szCs w:val="24"/>
        </w:rPr>
        <w:t>2004/38</w:t>
      </w:r>
      <w:bookmarkEnd w:id="30"/>
      <w:r w:rsidR="004A4D8C" w:rsidRPr="006E25B0">
        <w:rPr>
          <w:rFonts w:ascii="Times New Roman" w:hAnsi="Times New Roman" w:cs="Times New Roman"/>
          <w:iCs/>
          <w:noProof/>
          <w:sz w:val="24"/>
          <w:szCs w:val="24"/>
        </w:rPr>
        <w:t>)</w:t>
      </w:r>
      <w:r w:rsidR="008E7D18" w:rsidRPr="006E25B0">
        <w:rPr>
          <w:rFonts w:ascii="Times New Roman" w:hAnsi="Times New Roman" w:cs="Times New Roman"/>
          <w:iCs/>
          <w:noProof/>
          <w:sz w:val="24"/>
          <w:szCs w:val="24"/>
        </w:rPr>
        <w:t xml:space="preserve">, </w:t>
      </w:r>
      <w:r w:rsidR="005A6CF7" w:rsidRPr="006E25B0">
        <w:rPr>
          <w:rFonts w:ascii="Times New Roman" w:hAnsi="Times New Roman" w:cs="Times New Roman"/>
          <w:iCs/>
          <w:noProof/>
          <w:sz w:val="24"/>
          <w:szCs w:val="24"/>
        </w:rPr>
        <w:t>Art</w:t>
      </w:r>
      <w:r w:rsidR="00454347" w:rsidRPr="006E25B0">
        <w:rPr>
          <w:rFonts w:ascii="Times New Roman" w:hAnsi="Times New Roman" w:cs="Times New Roman"/>
          <w:iCs/>
          <w:noProof/>
          <w:sz w:val="24"/>
          <w:szCs w:val="24"/>
        </w:rPr>
        <w:t>icle</w:t>
      </w:r>
      <w:r w:rsidR="008E7D18" w:rsidRPr="006E25B0">
        <w:rPr>
          <w:rFonts w:ascii="Times New Roman" w:hAnsi="Times New Roman" w:cs="Times New Roman"/>
          <w:iCs/>
          <w:noProof/>
          <w:sz w:val="24"/>
          <w:szCs w:val="24"/>
        </w:rPr>
        <w:t xml:space="preserve"> 4 Regulation</w:t>
      </w:r>
      <w:r w:rsidR="00C67654" w:rsidRPr="006E25B0">
        <w:rPr>
          <w:rFonts w:ascii="Times New Roman" w:hAnsi="Times New Roman" w:cs="Times New Roman"/>
          <w:iCs/>
          <w:noProof/>
          <w:sz w:val="24"/>
          <w:szCs w:val="24"/>
        </w:rPr>
        <w:t xml:space="preserve"> </w:t>
      </w:r>
      <w:r w:rsidR="008E7D18" w:rsidRPr="006E25B0">
        <w:rPr>
          <w:rFonts w:ascii="Times New Roman" w:hAnsi="Times New Roman" w:cs="Times New Roman"/>
          <w:iCs/>
          <w:noProof/>
          <w:sz w:val="24"/>
          <w:szCs w:val="24"/>
        </w:rPr>
        <w:t>883/2004 bans both direct and indirect discrimination, unless it is justified by legitimate, suitable and proportionate grounds of public interest. The CJEU long wielded that provision robustly with a view to denationalising and deterritorialising the welfare state.</w:t>
      </w:r>
      <w:r w:rsidR="008E7D18" w:rsidRPr="006E25B0">
        <w:rPr>
          <w:rFonts w:ascii="Times New Roman" w:hAnsi="Times New Roman" w:cs="Times New Roman"/>
          <w:noProof/>
          <w:sz w:val="24"/>
          <w:szCs w:val="24"/>
        </w:rPr>
        <w:t xml:space="preserve"> More recently, the CJEU effectively made reliance upon </w:t>
      </w:r>
      <w:r w:rsidR="005A6CF7" w:rsidRPr="006E25B0">
        <w:rPr>
          <w:rFonts w:ascii="Times New Roman" w:hAnsi="Times New Roman" w:cs="Times New Roman"/>
          <w:noProof/>
          <w:sz w:val="24"/>
          <w:szCs w:val="24"/>
        </w:rPr>
        <w:t>Art</w:t>
      </w:r>
      <w:r w:rsidR="00454347"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4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conditional upon the possession of a right to reside under EU (rather than national) law</w:t>
      </w:r>
      <w:r w:rsidR="004A4D8C" w:rsidRPr="006E25B0">
        <w:rPr>
          <w:rFonts w:ascii="Times New Roman" w:hAnsi="Times New Roman" w:cs="Times New Roman"/>
          <w:noProof/>
          <w:sz w:val="24"/>
          <w:szCs w:val="24"/>
        </w:rPr>
        <w:t xml:space="preserve"> (</w:t>
      </w:r>
      <w:r w:rsidR="004A4D8C" w:rsidRPr="006E25B0">
        <w:rPr>
          <w:rFonts w:ascii="Times New Roman" w:hAnsi="Times New Roman" w:cs="Times New Roman"/>
          <w:i/>
          <w:noProof/>
          <w:sz w:val="24"/>
          <w:szCs w:val="24"/>
        </w:rPr>
        <w:t>Dano</w:t>
      </w:r>
      <w:r w:rsidR="004A4D8C" w:rsidRPr="006E25B0">
        <w:rPr>
          <w:rFonts w:ascii="Times New Roman" w:hAnsi="Times New Roman" w:cs="Times New Roman"/>
          <w:iCs/>
          <w:noProof/>
          <w:sz w:val="24"/>
          <w:szCs w:val="24"/>
        </w:rPr>
        <w:t>;</w:t>
      </w:r>
      <w:r w:rsidR="007C6B12" w:rsidRPr="006E25B0">
        <w:rPr>
          <w:rFonts w:ascii="Times New Roman" w:hAnsi="Times New Roman" w:cs="Times New Roman"/>
          <w:i/>
          <w:noProof/>
          <w:sz w:val="24"/>
          <w:szCs w:val="24"/>
        </w:rPr>
        <w:t xml:space="preserve"> </w:t>
      </w:r>
      <w:r w:rsidR="007C6B12" w:rsidRPr="006E25B0">
        <w:rPr>
          <w:rFonts w:ascii="Times New Roman" w:hAnsi="Times New Roman" w:cs="Times New Roman"/>
          <w:i/>
          <w:iCs/>
          <w:noProof/>
          <w:sz w:val="24"/>
          <w:szCs w:val="24"/>
        </w:rPr>
        <w:t>Commission v United Kingdom</w:t>
      </w:r>
      <w:r w:rsidR="007C6B12" w:rsidRPr="006E25B0">
        <w:rPr>
          <w:rFonts w:ascii="Times New Roman" w:hAnsi="Times New Roman" w:cs="Times New Roman"/>
          <w:iCs/>
          <w:noProof/>
          <w:sz w:val="24"/>
          <w:szCs w:val="24"/>
        </w:rPr>
        <w:t>;</w:t>
      </w:r>
      <w:r w:rsidR="004A4D8C" w:rsidRPr="006E25B0">
        <w:rPr>
          <w:rFonts w:ascii="Times New Roman" w:hAnsi="Times New Roman" w:cs="Times New Roman"/>
          <w:i/>
          <w:noProof/>
          <w:sz w:val="24"/>
          <w:szCs w:val="24"/>
        </w:rPr>
        <w:t xml:space="preserve"> CG</w:t>
      </w:r>
      <w:r w:rsidR="004A4D8C"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A rich debate, which will be introduced </w:t>
      </w:r>
      <w:r w:rsidR="00C71BFE" w:rsidRPr="006E25B0">
        <w:rPr>
          <w:rFonts w:ascii="Times New Roman" w:hAnsi="Times New Roman" w:cs="Times New Roman"/>
          <w:noProof/>
          <w:sz w:val="24"/>
          <w:szCs w:val="24"/>
        </w:rPr>
        <w:t>below</w:t>
      </w:r>
      <w:r w:rsidR="008E7D18" w:rsidRPr="006E25B0">
        <w:rPr>
          <w:rFonts w:ascii="Times New Roman" w:hAnsi="Times New Roman" w:cs="Times New Roman"/>
          <w:noProof/>
          <w:sz w:val="24"/>
          <w:szCs w:val="24"/>
        </w:rPr>
        <w:t xml:space="preserve">, ensued. </w:t>
      </w:r>
    </w:p>
    <w:p w14:paraId="792D5AF5" w14:textId="7572FB96"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(b)</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The</w:t>
      </w:r>
      <w:r w:rsidR="00E43576" w:rsidRPr="006E25B0">
        <w:rPr>
          <w:rFonts w:ascii="Times New Roman" w:hAnsi="Times New Roman" w:cs="Times New Roman"/>
          <w:noProof/>
          <w:color w:val="auto"/>
        </w:rPr>
        <w:t xml:space="preserve"> principle of aggregation</w:t>
      </w:r>
    </w:p>
    <w:p w14:paraId="5C0768FB" w14:textId="07173B44"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33</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All Member States make social security protection dependent upon the passing of time. Many benefits are awarded only to those who have completed periods of insurance, (self-)employment or residence on the national territory. For instance, entitlement to old-age pensions is not immediate and their amount is often proportionate to the length of the pensioner’s career. The principle of aggregation—required by </w:t>
      </w:r>
      <w:r w:rsidR="005A6CF7" w:rsidRPr="006E25B0">
        <w:rPr>
          <w:rFonts w:ascii="Times New Roman" w:hAnsi="Times New Roman" w:cs="Times New Roman"/>
          <w:noProof/>
          <w:sz w:val="24"/>
          <w:szCs w:val="24"/>
        </w:rPr>
        <w:t>Art</w:t>
      </w:r>
      <w:r w:rsidR="00454347"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48 TFEU and laid down in </w:t>
      </w:r>
      <w:r w:rsidR="005A6CF7" w:rsidRPr="006E25B0">
        <w:rPr>
          <w:rFonts w:ascii="Times New Roman" w:hAnsi="Times New Roman" w:cs="Times New Roman"/>
          <w:noProof/>
          <w:sz w:val="24"/>
          <w:szCs w:val="24"/>
        </w:rPr>
        <w:t>Art</w:t>
      </w:r>
      <w:r w:rsidR="00454347"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6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883/2004—does not prohibit such waiting periods, but rather obliges Member States to treat periods completed in other Member States as if they had been completed under their own law. Although the principle of aggregation attracts little direct commentary</w:t>
      </w:r>
      <w:r w:rsidR="003251BD" w:rsidRPr="006E25B0">
        <w:rPr>
          <w:rFonts w:ascii="Times New Roman" w:hAnsi="Times New Roman" w:cs="Times New Roman"/>
          <w:noProof/>
          <w:sz w:val="24"/>
          <w:szCs w:val="24"/>
        </w:rPr>
        <w:t xml:space="preserve"> (</w:t>
      </w:r>
      <w:r w:rsidR="000B2CA2" w:rsidRPr="006E25B0">
        <w:rPr>
          <w:rFonts w:ascii="Times New Roman" w:hAnsi="Times New Roman" w:cs="Times New Roman"/>
          <w:noProof/>
          <w:sz w:val="24"/>
          <w:szCs w:val="24"/>
        </w:rPr>
        <w:t>s</w:t>
      </w:r>
      <w:r w:rsidR="003251BD" w:rsidRPr="006E25B0">
        <w:rPr>
          <w:rFonts w:ascii="Times New Roman" w:hAnsi="Times New Roman" w:cs="Times New Roman"/>
          <w:noProof/>
          <w:sz w:val="24"/>
          <w:szCs w:val="24"/>
        </w:rPr>
        <w:t>ee eg Fuchs, de Cortázar, Kahil and Pöltl; Rennuy, 2011, 303-309)</w:t>
      </w:r>
      <w:r w:rsidR="008E7D18" w:rsidRPr="006E25B0">
        <w:rPr>
          <w:rFonts w:ascii="Times New Roman" w:hAnsi="Times New Roman" w:cs="Times New Roman"/>
          <w:noProof/>
          <w:sz w:val="24"/>
          <w:szCs w:val="24"/>
        </w:rPr>
        <w:t xml:space="preserve">, waiting periods take centre stage in academic and political </w:t>
      </w:r>
      <w:r w:rsidR="009E619A" w:rsidRPr="006E25B0">
        <w:rPr>
          <w:rFonts w:ascii="Times New Roman" w:hAnsi="Times New Roman" w:cs="Times New Roman"/>
          <w:noProof/>
          <w:sz w:val="24"/>
          <w:szCs w:val="24"/>
        </w:rPr>
        <w:t xml:space="preserve">discussions </w:t>
      </w:r>
      <w:r w:rsidR="008E7D18" w:rsidRPr="006E25B0">
        <w:rPr>
          <w:rFonts w:ascii="Times New Roman" w:hAnsi="Times New Roman" w:cs="Times New Roman"/>
          <w:noProof/>
          <w:sz w:val="24"/>
          <w:szCs w:val="24"/>
        </w:rPr>
        <w:t>on access to benefits</w:t>
      </w:r>
      <w:r w:rsidR="003251BD" w:rsidRPr="006E25B0">
        <w:rPr>
          <w:rFonts w:ascii="Times New Roman" w:hAnsi="Times New Roman" w:cs="Times New Roman"/>
          <w:noProof/>
          <w:sz w:val="24"/>
          <w:szCs w:val="24"/>
        </w:rPr>
        <w:t xml:space="preserve"> (see Rennuy, 2019)</w:t>
      </w:r>
      <w:r w:rsidR="008E7D18" w:rsidRPr="006E25B0">
        <w:rPr>
          <w:rFonts w:ascii="Times New Roman" w:hAnsi="Times New Roman" w:cs="Times New Roman"/>
          <w:noProof/>
          <w:sz w:val="24"/>
          <w:szCs w:val="24"/>
        </w:rPr>
        <w:t xml:space="preserve">. </w:t>
      </w:r>
    </w:p>
    <w:p w14:paraId="23534851" w14:textId="3CAA0820"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(c)</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Th</w:t>
      </w:r>
      <w:r w:rsidR="00E43576" w:rsidRPr="006E25B0">
        <w:rPr>
          <w:rFonts w:ascii="Times New Roman" w:hAnsi="Times New Roman" w:cs="Times New Roman"/>
          <w:noProof/>
          <w:color w:val="auto"/>
        </w:rPr>
        <w:t xml:space="preserve">e principle of equal treatment of benefits, income, facts </w:t>
      </w:r>
      <w:r w:rsidR="00550D36" w:rsidRPr="006E25B0">
        <w:rPr>
          <w:rFonts w:ascii="Times New Roman" w:hAnsi="Times New Roman" w:cs="Times New Roman"/>
          <w:noProof/>
          <w:color w:val="auto"/>
        </w:rPr>
        <w:t xml:space="preserve">and </w:t>
      </w:r>
      <w:r w:rsidR="00E43576" w:rsidRPr="006E25B0">
        <w:rPr>
          <w:rFonts w:ascii="Times New Roman" w:hAnsi="Times New Roman" w:cs="Times New Roman"/>
          <w:noProof/>
          <w:color w:val="auto"/>
        </w:rPr>
        <w:t>events</w:t>
      </w:r>
    </w:p>
    <w:p w14:paraId="4D0A0AD1" w14:textId="0EB064E0"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34</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Member States require not only periods but also other facts to take place on their own territory or within their own legal order. For instance, early old-age pensions might be granted to those in receipt of </w:t>
      </w:r>
      <w:r w:rsidR="008E7D18" w:rsidRPr="006E25B0">
        <w:rPr>
          <w:rFonts w:ascii="Times New Roman" w:hAnsi="Times New Roman" w:cs="Times New Roman"/>
          <w:i/>
          <w:iCs/>
          <w:noProof/>
          <w:sz w:val="24"/>
          <w:szCs w:val="24"/>
        </w:rPr>
        <w:t>domestic</w:t>
      </w:r>
      <w:r w:rsidR="008E7D18" w:rsidRPr="006E25B0">
        <w:rPr>
          <w:rFonts w:ascii="Times New Roman" w:hAnsi="Times New Roman" w:cs="Times New Roman"/>
          <w:noProof/>
          <w:sz w:val="24"/>
          <w:szCs w:val="24"/>
        </w:rPr>
        <w:t xml:space="preserve"> unemployment benefits. On the basis of the principle of non-discrimination, the CJEU has obliged Member States to assimilate foreign unemployment benefits and, more broadly, facts</w:t>
      </w:r>
      <w:r w:rsidR="003251BD" w:rsidRPr="006E25B0">
        <w:rPr>
          <w:rFonts w:ascii="Times New Roman" w:hAnsi="Times New Roman" w:cs="Times New Roman"/>
          <w:noProof/>
          <w:sz w:val="24"/>
          <w:szCs w:val="24"/>
        </w:rPr>
        <w:t xml:space="preserve"> (eg </w:t>
      </w:r>
      <w:r w:rsidR="003251BD" w:rsidRPr="006E25B0">
        <w:rPr>
          <w:rFonts w:ascii="Times New Roman" w:hAnsi="Times New Roman" w:cs="Times New Roman"/>
          <w:i/>
          <w:noProof/>
          <w:sz w:val="24"/>
          <w:szCs w:val="24"/>
        </w:rPr>
        <w:t>Öztürk</w:t>
      </w:r>
      <w:r w:rsidR="003251BD"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In 2004, the EU legislator codified this case-law into a new principle of ‘equal treatment of benefits, income, facts or events’. Art</w:t>
      </w:r>
      <w:r w:rsidR="00454347"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5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883/2004 provides: </w:t>
      </w:r>
    </w:p>
    <w:p w14:paraId="154DC108" w14:textId="77777777" w:rsidR="008E7D18" w:rsidRPr="006E25B0" w:rsidRDefault="008E7D18" w:rsidP="00D95347">
      <w:pPr>
        <w:ind w:left="720"/>
        <w:rPr>
          <w:rFonts w:ascii="Times New Roman" w:hAnsi="Times New Roman" w:cs="Times New Roman"/>
          <w:noProof/>
          <w:sz w:val="24"/>
          <w:szCs w:val="24"/>
        </w:rPr>
      </w:pPr>
      <w:r w:rsidRPr="006E25B0">
        <w:rPr>
          <w:rFonts w:ascii="Times New Roman" w:hAnsi="Times New Roman" w:cs="Times New Roman"/>
          <w:noProof/>
          <w:sz w:val="24"/>
          <w:szCs w:val="24"/>
        </w:rPr>
        <w:t>‘Unless otherwise provided for by this Regulation and in the light of the special implementing provisions laid down, the following shall apply:</w:t>
      </w:r>
      <w:r w:rsidRPr="006E25B0">
        <w:rPr>
          <w:rFonts w:ascii="Times New Roman" w:hAnsi="Times New Roman" w:cs="Times New Roman"/>
          <w:noProof/>
          <w:sz w:val="24"/>
          <w:szCs w:val="24"/>
        </w:rPr>
        <w:br/>
        <w:t>(a) where, under the legislation of the competent Member State, the receipt of social security benefits and other income has certain legal effects, the relevant provisions of that legislation shall also apply to the receipt of equivalent benefits acquired under the legislation of another Member State or to income acquired in another Member State;</w:t>
      </w:r>
      <w:r w:rsidRPr="006E25B0">
        <w:rPr>
          <w:rFonts w:ascii="Times New Roman" w:hAnsi="Times New Roman" w:cs="Times New Roman"/>
          <w:noProof/>
          <w:sz w:val="24"/>
          <w:szCs w:val="24"/>
        </w:rPr>
        <w:br/>
        <w:t>(b) where, under the legislation of the competent Member State, legal effects are attributed to the occurrence of certain facts or events, that Member State shall take account of like facts or events occurring in any Member State as though they had taken place in its own territory.’</w:t>
      </w:r>
    </w:p>
    <w:p w14:paraId="62F2FFDC" w14:textId="3D3B626D"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35</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scholarship focuses on the principle’s meaning, its roots in and connections with the principle of equal treatment, its place in EU social security law and its impact on the territorial boundaries of the welfare state</w:t>
      </w:r>
      <w:r w:rsidR="00832421" w:rsidRPr="006E25B0">
        <w:rPr>
          <w:rFonts w:ascii="Times New Roman" w:hAnsi="Times New Roman" w:cs="Times New Roman"/>
          <w:noProof/>
          <w:sz w:val="24"/>
          <w:szCs w:val="24"/>
        </w:rPr>
        <w:t xml:space="preserve"> (</w:t>
      </w:r>
      <w:r w:rsidR="004D4316" w:rsidRPr="006E25B0">
        <w:rPr>
          <w:rFonts w:ascii="Times New Roman" w:hAnsi="Times New Roman" w:cs="Times New Roman"/>
          <w:noProof/>
          <w:sz w:val="24"/>
          <w:szCs w:val="24"/>
        </w:rPr>
        <w:t xml:space="preserve">see </w:t>
      </w:r>
      <w:r w:rsidR="00832421" w:rsidRPr="006E25B0">
        <w:rPr>
          <w:rFonts w:ascii="Times New Roman" w:hAnsi="Times New Roman" w:cs="Times New Roman"/>
          <w:noProof/>
          <w:sz w:val="24"/>
          <w:szCs w:val="24"/>
        </w:rPr>
        <w:t>Pöltl, Eichenhofer and Garcia de Cortázar; Rennuy, 2011)</w:t>
      </w:r>
      <w:r w:rsidR="008E7D18" w:rsidRPr="006E25B0">
        <w:rPr>
          <w:rFonts w:ascii="Times New Roman" w:hAnsi="Times New Roman" w:cs="Times New Roman"/>
          <w:noProof/>
          <w:sz w:val="24"/>
          <w:szCs w:val="24"/>
        </w:rPr>
        <w:t>.</w:t>
      </w:r>
    </w:p>
    <w:p w14:paraId="1F4E7E5B" w14:textId="1BBBE253"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(d)</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The</w:t>
      </w:r>
      <w:r w:rsidR="00E43576" w:rsidRPr="006E25B0">
        <w:rPr>
          <w:rFonts w:ascii="Times New Roman" w:hAnsi="Times New Roman" w:cs="Times New Roman"/>
          <w:noProof/>
          <w:color w:val="auto"/>
        </w:rPr>
        <w:t xml:space="preserve"> principle of export</w:t>
      </w:r>
    </w:p>
    <w:p w14:paraId="21521DF6" w14:textId="7C51F24F"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36</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States are strongly attached to residence conditions, which serve, in the first place, to tie social protection to integration. Residents reach a degree of social integration that can be hard to attain for non-residents. Another reason not to export benefits is that the verification of the fulfilment of eligibility conditions is more difficult abroad than on the national territory. </w:t>
      </w:r>
    </w:p>
    <w:p w14:paraId="665422FB" w14:textId="54FDE636" w:rsidR="008E7D18" w:rsidRPr="006E25B0" w:rsidRDefault="009A1017" w:rsidP="00D95347">
      <w:pPr>
        <w:rPr>
          <w:rFonts w:ascii="Times New Roman" w:hAnsi="Times New Roman" w:cs="Times New Roman"/>
          <w:iCs/>
          <w:noProof/>
          <w:sz w:val="24"/>
          <w:szCs w:val="24"/>
        </w:rPr>
      </w:pPr>
      <w:r w:rsidRPr="006E25B0">
        <w:rPr>
          <w:rFonts w:ascii="Times New Roman" w:hAnsi="Times New Roman" w:cs="Times New Roman"/>
          <w:noProof/>
          <w:sz w:val="24"/>
          <w:szCs w:val="24"/>
        </w:rPr>
        <w:t>37</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Art</w:t>
      </w:r>
      <w:r w:rsidR="004750DE"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7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waives residence clauses for cash benefits. Derogations from th</w:t>
      </w:r>
      <w:r w:rsidR="00550D36" w:rsidRPr="006E25B0">
        <w:rPr>
          <w:rFonts w:ascii="Times New Roman" w:hAnsi="Times New Roman" w:cs="Times New Roman"/>
          <w:noProof/>
          <w:sz w:val="24"/>
          <w:szCs w:val="24"/>
        </w:rPr>
        <w:t>is</w:t>
      </w:r>
      <w:r w:rsidR="008E7D18" w:rsidRPr="006E25B0">
        <w:rPr>
          <w:rFonts w:ascii="Times New Roman" w:hAnsi="Times New Roman" w:cs="Times New Roman"/>
          <w:noProof/>
          <w:sz w:val="24"/>
          <w:szCs w:val="24"/>
        </w:rPr>
        <w:t xml:space="preserve"> principle of exportability of cash benefits must be interpreted strictly</w:t>
      </w:r>
      <w:r w:rsidR="009F5468" w:rsidRPr="006E25B0">
        <w:rPr>
          <w:rFonts w:ascii="Times New Roman" w:hAnsi="Times New Roman" w:cs="Times New Roman"/>
          <w:noProof/>
          <w:sz w:val="24"/>
          <w:szCs w:val="24"/>
        </w:rPr>
        <w:t xml:space="preserve"> (</w:t>
      </w:r>
      <w:r w:rsidR="009F5468" w:rsidRPr="006E25B0">
        <w:rPr>
          <w:rFonts w:ascii="Times New Roman" w:hAnsi="Times New Roman" w:cs="Times New Roman"/>
          <w:i/>
          <w:noProof/>
          <w:sz w:val="24"/>
          <w:szCs w:val="24"/>
        </w:rPr>
        <w:t>Jauch</w:t>
      </w:r>
      <w:r w:rsidR="009F5468" w:rsidRPr="006E25B0">
        <w:rPr>
          <w:rFonts w:ascii="Times New Roman" w:hAnsi="Times New Roman" w:cs="Times New Roman"/>
          <w:noProof/>
          <w:sz w:val="24"/>
          <w:szCs w:val="24"/>
        </w:rPr>
        <w:t xml:space="preserve">, </w:t>
      </w:r>
      <w:r w:rsidR="00753583" w:rsidRPr="006E25B0">
        <w:rPr>
          <w:rFonts w:ascii="Times New Roman" w:hAnsi="Times New Roman" w:cs="Times New Roman"/>
          <w:noProof/>
          <w:sz w:val="24"/>
          <w:szCs w:val="24"/>
        </w:rPr>
        <w:t xml:space="preserve">para. </w:t>
      </w:r>
      <w:r w:rsidR="009F5468" w:rsidRPr="006E25B0">
        <w:rPr>
          <w:rFonts w:ascii="Times New Roman" w:hAnsi="Times New Roman" w:cs="Times New Roman"/>
          <w:iCs/>
          <w:noProof/>
          <w:sz w:val="24"/>
          <w:szCs w:val="24"/>
        </w:rPr>
        <w:t>21</w:t>
      </w:r>
      <w:r w:rsidR="009F5468"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w:t>
      </w:r>
      <w:r w:rsidR="008E7D18" w:rsidRPr="006E25B0">
        <w:rPr>
          <w:rFonts w:ascii="Times New Roman" w:hAnsi="Times New Roman" w:cs="Times New Roman"/>
          <w:iCs/>
          <w:noProof/>
          <w:sz w:val="24"/>
          <w:szCs w:val="24"/>
        </w:rPr>
        <w:t xml:space="preserve"> </w:t>
      </w:r>
      <w:bookmarkStart w:id="31" w:name="_Hlk111109523"/>
      <w:r w:rsidR="008E7D18" w:rsidRPr="006E25B0">
        <w:rPr>
          <w:rFonts w:ascii="Times New Roman" w:hAnsi="Times New Roman" w:cs="Times New Roman"/>
          <w:iCs/>
          <w:noProof/>
          <w:sz w:val="24"/>
          <w:szCs w:val="24"/>
        </w:rPr>
        <w:t xml:space="preserve">Three benefits in cash </w:t>
      </w:r>
      <w:r w:rsidR="00317B1F" w:rsidRPr="006E25B0">
        <w:rPr>
          <w:rFonts w:ascii="Times New Roman" w:hAnsi="Times New Roman" w:cs="Times New Roman"/>
          <w:iCs/>
          <w:noProof/>
          <w:sz w:val="24"/>
          <w:szCs w:val="24"/>
        </w:rPr>
        <w:t xml:space="preserve">do </w:t>
      </w:r>
      <w:r w:rsidR="008E7D18" w:rsidRPr="006E25B0">
        <w:rPr>
          <w:rFonts w:ascii="Times New Roman" w:hAnsi="Times New Roman" w:cs="Times New Roman"/>
          <w:iCs/>
          <w:noProof/>
          <w:sz w:val="24"/>
          <w:szCs w:val="24"/>
        </w:rPr>
        <w:t xml:space="preserve">not </w:t>
      </w:r>
      <w:r w:rsidR="00317B1F" w:rsidRPr="006E25B0">
        <w:rPr>
          <w:rFonts w:ascii="Times New Roman" w:hAnsi="Times New Roman" w:cs="Times New Roman"/>
          <w:iCs/>
          <w:noProof/>
          <w:sz w:val="24"/>
          <w:szCs w:val="24"/>
        </w:rPr>
        <w:t xml:space="preserve">have to </w:t>
      </w:r>
      <w:r w:rsidR="008E7D18" w:rsidRPr="006E25B0">
        <w:rPr>
          <w:rFonts w:ascii="Times New Roman" w:hAnsi="Times New Roman" w:cs="Times New Roman"/>
          <w:iCs/>
          <w:noProof/>
          <w:sz w:val="24"/>
          <w:szCs w:val="24"/>
        </w:rPr>
        <w:t>be exported: special non-contributory cash benefits;</w:t>
      </w:r>
      <w:bookmarkEnd w:id="31"/>
      <w:r w:rsidR="008E7D18" w:rsidRPr="006E25B0">
        <w:rPr>
          <w:rFonts w:ascii="Times New Roman" w:hAnsi="Times New Roman" w:cs="Times New Roman"/>
          <w:iCs/>
          <w:noProof/>
          <w:sz w:val="24"/>
          <w:szCs w:val="24"/>
        </w:rPr>
        <w:t xml:space="preserve"> supplements on minimum pensions; and, in specific circumstances, supplements on family benefits for children residing abroad</w:t>
      </w:r>
      <w:r w:rsidR="009F5468" w:rsidRPr="006E25B0">
        <w:rPr>
          <w:rFonts w:ascii="Times New Roman" w:hAnsi="Times New Roman" w:cs="Times New Roman"/>
          <w:iCs/>
          <w:noProof/>
          <w:sz w:val="24"/>
          <w:szCs w:val="24"/>
        </w:rPr>
        <w:t xml:space="preserve"> (Art. 58, 68(2) and 70 Regulation</w:t>
      </w:r>
      <w:r w:rsidR="00C67654" w:rsidRPr="006E25B0">
        <w:rPr>
          <w:rFonts w:ascii="Times New Roman" w:hAnsi="Times New Roman" w:cs="Times New Roman"/>
          <w:iCs/>
          <w:noProof/>
          <w:sz w:val="24"/>
          <w:szCs w:val="24"/>
        </w:rPr>
        <w:t xml:space="preserve"> </w:t>
      </w:r>
      <w:r w:rsidR="009F5468" w:rsidRPr="006E25B0">
        <w:rPr>
          <w:rFonts w:ascii="Times New Roman" w:hAnsi="Times New Roman" w:cs="Times New Roman"/>
          <w:iCs/>
          <w:noProof/>
          <w:sz w:val="24"/>
          <w:szCs w:val="24"/>
        </w:rPr>
        <w:t>883/2004)</w:t>
      </w:r>
      <w:r w:rsidR="008E7D18" w:rsidRPr="006E25B0">
        <w:rPr>
          <w:rFonts w:ascii="Times New Roman" w:hAnsi="Times New Roman" w:cs="Times New Roman"/>
          <w:iCs/>
          <w:noProof/>
          <w:sz w:val="24"/>
          <w:szCs w:val="24"/>
        </w:rPr>
        <w:t>. Unemployment benefits are exportable only for three to six months, and longer periods for some categories of non-resident workers</w:t>
      </w:r>
      <w:r w:rsidR="00F9238E" w:rsidRPr="006E25B0">
        <w:rPr>
          <w:rFonts w:ascii="Times New Roman" w:hAnsi="Times New Roman" w:cs="Times New Roman"/>
          <w:iCs/>
          <w:noProof/>
          <w:sz w:val="24"/>
          <w:szCs w:val="24"/>
        </w:rPr>
        <w:t xml:space="preserve"> (Chapter 6 </w:t>
      </w:r>
      <w:r w:rsidR="00FA1FDC" w:rsidRPr="006E25B0">
        <w:rPr>
          <w:rFonts w:ascii="Times New Roman" w:hAnsi="Times New Roman" w:cs="Times New Roman"/>
          <w:iCs/>
          <w:noProof/>
          <w:sz w:val="24"/>
          <w:szCs w:val="24"/>
        </w:rPr>
        <w:t xml:space="preserve">of </w:t>
      </w:r>
      <w:r w:rsidR="00F9238E" w:rsidRPr="006E25B0">
        <w:rPr>
          <w:rFonts w:ascii="Times New Roman" w:hAnsi="Times New Roman" w:cs="Times New Roman"/>
          <w:iCs/>
          <w:noProof/>
          <w:sz w:val="24"/>
          <w:szCs w:val="24"/>
        </w:rPr>
        <w:t>Regulation</w:t>
      </w:r>
      <w:r w:rsidR="00C67654" w:rsidRPr="006E25B0">
        <w:rPr>
          <w:rFonts w:ascii="Times New Roman" w:hAnsi="Times New Roman" w:cs="Times New Roman"/>
          <w:iCs/>
          <w:noProof/>
          <w:sz w:val="24"/>
          <w:szCs w:val="24"/>
        </w:rPr>
        <w:t xml:space="preserve"> </w:t>
      </w:r>
      <w:r w:rsidR="00F9238E" w:rsidRPr="006E25B0">
        <w:rPr>
          <w:rFonts w:ascii="Times New Roman" w:hAnsi="Times New Roman" w:cs="Times New Roman"/>
          <w:iCs/>
          <w:noProof/>
          <w:sz w:val="24"/>
          <w:szCs w:val="24"/>
        </w:rPr>
        <w:t>883/2004)</w:t>
      </w:r>
      <w:r w:rsidR="008E7D18" w:rsidRPr="006E25B0">
        <w:rPr>
          <w:rFonts w:ascii="Times New Roman" w:hAnsi="Times New Roman" w:cs="Times New Roman"/>
          <w:iCs/>
          <w:noProof/>
          <w:sz w:val="24"/>
          <w:szCs w:val="24"/>
        </w:rPr>
        <w:t>. Most contentious are the exportability of unemployment benefits</w:t>
      </w:r>
      <w:r w:rsidR="00F9238E" w:rsidRPr="006E25B0">
        <w:rPr>
          <w:rFonts w:ascii="Times New Roman" w:hAnsi="Times New Roman" w:cs="Times New Roman"/>
          <w:iCs/>
          <w:noProof/>
          <w:sz w:val="24"/>
          <w:szCs w:val="24"/>
        </w:rPr>
        <w:t xml:space="preserve"> (see eg Cornelissen, 2007; Pennings, 2020)</w:t>
      </w:r>
      <w:r w:rsidR="008E7D18" w:rsidRPr="006E25B0">
        <w:rPr>
          <w:rFonts w:ascii="Times New Roman" w:hAnsi="Times New Roman" w:cs="Times New Roman"/>
          <w:iCs/>
          <w:noProof/>
          <w:sz w:val="24"/>
          <w:szCs w:val="24"/>
        </w:rPr>
        <w:t xml:space="preserve"> and family benefits</w:t>
      </w:r>
      <w:r w:rsidR="000D3D9E" w:rsidRPr="006E25B0">
        <w:rPr>
          <w:rFonts w:ascii="Times New Roman" w:hAnsi="Times New Roman" w:cs="Times New Roman"/>
          <w:iCs/>
          <w:noProof/>
          <w:sz w:val="24"/>
          <w:szCs w:val="24"/>
        </w:rPr>
        <w:t xml:space="preserve"> (discussed below)</w:t>
      </w:r>
      <w:r w:rsidR="008E7D18" w:rsidRPr="006E25B0">
        <w:rPr>
          <w:rFonts w:ascii="Times New Roman" w:hAnsi="Times New Roman" w:cs="Times New Roman"/>
          <w:iCs/>
          <w:noProof/>
          <w:sz w:val="24"/>
          <w:szCs w:val="24"/>
        </w:rPr>
        <w:t>, as well as cases in which the CJEU derived further rights to export from the free movement provisions of the Treaty</w:t>
      </w:r>
      <w:r w:rsidR="00E371B2" w:rsidRPr="006E25B0">
        <w:rPr>
          <w:rFonts w:ascii="Times New Roman" w:hAnsi="Times New Roman" w:cs="Times New Roman"/>
          <w:iCs/>
          <w:noProof/>
          <w:sz w:val="24"/>
          <w:szCs w:val="24"/>
        </w:rPr>
        <w:t xml:space="preserve"> (see Dougan; </w:t>
      </w:r>
      <w:r w:rsidR="00E371B2" w:rsidRPr="006E25B0">
        <w:rPr>
          <w:rFonts w:ascii="Times New Roman" w:hAnsi="Times New Roman" w:cs="Times New Roman"/>
          <w:i/>
          <w:iCs/>
          <w:noProof/>
          <w:sz w:val="24"/>
          <w:szCs w:val="24"/>
        </w:rPr>
        <w:t>Hendrix</w:t>
      </w:r>
      <w:r w:rsidR="00E371B2" w:rsidRPr="006E25B0">
        <w:rPr>
          <w:rFonts w:ascii="Times New Roman" w:hAnsi="Times New Roman" w:cs="Times New Roman"/>
          <w:iCs/>
          <w:noProof/>
          <w:sz w:val="24"/>
          <w:szCs w:val="24"/>
        </w:rPr>
        <w:t xml:space="preserve">; </w:t>
      </w:r>
      <w:r w:rsidR="00E371B2" w:rsidRPr="006E25B0">
        <w:rPr>
          <w:rFonts w:ascii="Times New Roman" w:hAnsi="Times New Roman" w:cs="Times New Roman"/>
          <w:i/>
          <w:iCs/>
          <w:noProof/>
          <w:sz w:val="24"/>
          <w:szCs w:val="24"/>
        </w:rPr>
        <w:t>Stewart</w:t>
      </w:r>
      <w:r w:rsidR="00E371B2" w:rsidRPr="006E25B0">
        <w:rPr>
          <w:rFonts w:ascii="Times New Roman" w:hAnsi="Times New Roman" w:cs="Times New Roman"/>
          <w:iCs/>
          <w:noProof/>
          <w:sz w:val="24"/>
          <w:szCs w:val="24"/>
        </w:rPr>
        <w:t xml:space="preserve">; </w:t>
      </w:r>
      <w:r w:rsidR="00E371B2" w:rsidRPr="006E25B0">
        <w:rPr>
          <w:rFonts w:ascii="Times New Roman" w:hAnsi="Times New Roman" w:cs="Times New Roman"/>
          <w:i/>
          <w:iCs/>
          <w:noProof/>
          <w:sz w:val="24"/>
          <w:szCs w:val="24"/>
        </w:rPr>
        <w:t>A</w:t>
      </w:r>
      <w:r w:rsidR="00873019" w:rsidRPr="006E25B0">
        <w:rPr>
          <w:rFonts w:ascii="Times New Roman" w:hAnsi="Times New Roman" w:cs="Times New Roman"/>
          <w:noProof/>
          <w:sz w:val="24"/>
          <w:szCs w:val="24"/>
        </w:rPr>
        <w:t xml:space="preserve">, </w:t>
      </w:r>
      <w:r w:rsidR="00E371B2" w:rsidRPr="006E25B0">
        <w:rPr>
          <w:rFonts w:ascii="Times New Roman" w:hAnsi="Times New Roman" w:cs="Times New Roman"/>
          <w:iCs/>
          <w:noProof/>
          <w:sz w:val="24"/>
          <w:szCs w:val="24"/>
        </w:rPr>
        <w:t>2018)</w:t>
      </w:r>
      <w:r w:rsidR="008E7D18" w:rsidRPr="006E25B0">
        <w:rPr>
          <w:rFonts w:ascii="Times New Roman" w:hAnsi="Times New Roman" w:cs="Times New Roman"/>
          <w:iCs/>
          <w:noProof/>
          <w:sz w:val="24"/>
          <w:szCs w:val="24"/>
        </w:rPr>
        <w:t>.</w:t>
      </w:r>
    </w:p>
    <w:p w14:paraId="44CEF55D" w14:textId="1BD344C3"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(e)</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The </w:t>
      </w:r>
      <w:r w:rsidR="008E7D18" w:rsidRPr="006E25B0">
        <w:rPr>
          <w:rFonts w:ascii="Times New Roman" w:hAnsi="Times New Roman" w:cs="Times New Roman"/>
          <w:i/>
          <w:iCs/>
          <w:noProof/>
          <w:color w:val="auto"/>
        </w:rPr>
        <w:t>Petroni</w:t>
      </w:r>
      <w:r w:rsidR="008E7D18" w:rsidRPr="006E25B0">
        <w:rPr>
          <w:rFonts w:ascii="Times New Roman" w:hAnsi="Times New Roman" w:cs="Times New Roman"/>
          <w:noProof/>
          <w:color w:val="auto"/>
        </w:rPr>
        <w:t xml:space="preserve"> </w:t>
      </w:r>
      <w:r w:rsidR="00E43576" w:rsidRPr="006E25B0">
        <w:rPr>
          <w:rFonts w:ascii="Times New Roman" w:hAnsi="Times New Roman" w:cs="Times New Roman"/>
          <w:noProof/>
          <w:color w:val="auto"/>
        </w:rPr>
        <w:t>p</w:t>
      </w:r>
      <w:r w:rsidR="008E7D18" w:rsidRPr="006E25B0">
        <w:rPr>
          <w:rFonts w:ascii="Times New Roman" w:hAnsi="Times New Roman" w:cs="Times New Roman"/>
          <w:noProof/>
          <w:color w:val="auto"/>
        </w:rPr>
        <w:t>rinciple</w:t>
      </w:r>
    </w:p>
    <w:p w14:paraId="52A7C621" w14:textId="6D60500F"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38</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regulations generally protect migrants more than national law. EU law then displaces conflicting national law. However, national law can be more favourable to migrants than EU law. For instance, a person might be entitled to a higher old-age pension under national law than under EU law. Should the regulations displace such national law, they would hinder free movement, harming one of their </w:t>
      </w:r>
      <w:r w:rsidR="00AD6749" w:rsidRPr="006E25B0">
        <w:rPr>
          <w:rFonts w:ascii="Times New Roman" w:hAnsi="Times New Roman" w:cs="Times New Roman"/>
          <w:noProof/>
          <w:sz w:val="24"/>
          <w:szCs w:val="24"/>
        </w:rPr>
        <w:t xml:space="preserve">chief </w:t>
      </w:r>
      <w:r w:rsidR="008E7D18" w:rsidRPr="006E25B0">
        <w:rPr>
          <w:rFonts w:ascii="Times New Roman" w:hAnsi="Times New Roman" w:cs="Times New Roman"/>
          <w:noProof/>
          <w:sz w:val="24"/>
          <w:szCs w:val="24"/>
        </w:rPr>
        <w:t>goals. The CJEU decided this tension between the letter of the regulations and their spirit in favour of the latter: national law prevails where, taken in isolation, it is more favourable than if it were supplemented by EU law. The higher pension is due, even if EU law provides otherwise. ‘Regulation No 1408/71 may not be interpreted as prohibiting national legislation from granting social security benefits broader than those provided for by the application of that regulation’</w:t>
      </w:r>
      <w:r w:rsidR="00407248" w:rsidRPr="006E25B0">
        <w:rPr>
          <w:rFonts w:ascii="Times New Roman" w:hAnsi="Times New Roman" w:cs="Times New Roman"/>
          <w:noProof/>
          <w:sz w:val="24"/>
          <w:szCs w:val="24"/>
        </w:rPr>
        <w:t xml:space="preserve"> (</w:t>
      </w:r>
      <w:r w:rsidR="00407248" w:rsidRPr="006E25B0">
        <w:rPr>
          <w:rFonts w:ascii="Times New Roman" w:hAnsi="Times New Roman" w:cs="Times New Roman"/>
          <w:i/>
          <w:noProof/>
          <w:sz w:val="24"/>
          <w:szCs w:val="24"/>
        </w:rPr>
        <w:t>Borowitz</w:t>
      </w:r>
      <w:r w:rsidR="00407248" w:rsidRPr="006E25B0">
        <w:rPr>
          <w:rFonts w:ascii="Times New Roman" w:hAnsi="Times New Roman" w:cs="Times New Roman"/>
          <w:noProof/>
          <w:sz w:val="24"/>
          <w:szCs w:val="24"/>
        </w:rPr>
        <w:t xml:space="preserve">, </w:t>
      </w:r>
      <w:r w:rsidR="00F02406" w:rsidRPr="006E25B0">
        <w:rPr>
          <w:rFonts w:ascii="Times New Roman" w:hAnsi="Times New Roman" w:cs="Times New Roman"/>
          <w:noProof/>
          <w:sz w:val="24"/>
          <w:szCs w:val="24"/>
        </w:rPr>
        <w:t xml:space="preserve">para. </w:t>
      </w:r>
      <w:r w:rsidR="00407248" w:rsidRPr="006E25B0">
        <w:rPr>
          <w:rFonts w:ascii="Times New Roman" w:hAnsi="Times New Roman" w:cs="Times New Roman"/>
          <w:noProof/>
          <w:sz w:val="24"/>
          <w:szCs w:val="24"/>
        </w:rPr>
        <w:t>24)</w:t>
      </w:r>
      <w:r w:rsidR="008E7D18" w:rsidRPr="006E25B0">
        <w:rPr>
          <w:rFonts w:ascii="Times New Roman" w:hAnsi="Times New Roman" w:cs="Times New Roman"/>
          <w:noProof/>
          <w:sz w:val="24"/>
          <w:szCs w:val="24"/>
        </w:rPr>
        <w:t>. EU law cannot corrode rights that exist by virtue of domestic law only. This is a judge-made principle of inviolability of purely national rights. When invoked against the competent State, it tends to be referred to as the ‘</w:t>
      </w:r>
      <w:r w:rsidR="008E7D18" w:rsidRPr="006E25B0">
        <w:rPr>
          <w:rFonts w:ascii="Times New Roman" w:hAnsi="Times New Roman" w:cs="Times New Roman"/>
          <w:i/>
          <w:noProof/>
          <w:sz w:val="24"/>
          <w:szCs w:val="24"/>
        </w:rPr>
        <w:t>Petroni</w:t>
      </w:r>
      <w:r w:rsidR="008E7D18" w:rsidRPr="006E25B0">
        <w:rPr>
          <w:rFonts w:ascii="Times New Roman" w:hAnsi="Times New Roman" w:cs="Times New Roman"/>
          <w:noProof/>
          <w:sz w:val="24"/>
          <w:szCs w:val="24"/>
        </w:rPr>
        <w:t xml:space="preserve"> principle’, after the landmark case in which the CJEU invalidated a provision of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1408/71 because it curtailed purely domestic rights. Once described as ‘perhaps the most controversial aspect’ of international social security law</w:t>
      </w:r>
      <w:r w:rsidR="00407248" w:rsidRPr="006E25B0">
        <w:rPr>
          <w:rFonts w:ascii="Times New Roman" w:hAnsi="Times New Roman" w:cs="Times New Roman"/>
          <w:noProof/>
          <w:sz w:val="24"/>
          <w:szCs w:val="24"/>
        </w:rPr>
        <w:t xml:space="preserve"> (Forde, 23)</w:t>
      </w:r>
      <w:r w:rsidR="008E7D18" w:rsidRPr="006E25B0">
        <w:rPr>
          <w:rFonts w:ascii="Times New Roman" w:hAnsi="Times New Roman" w:cs="Times New Roman"/>
          <w:noProof/>
          <w:sz w:val="24"/>
          <w:szCs w:val="24"/>
        </w:rPr>
        <w:t>, it now attracts relatively little scholarly attention</w:t>
      </w:r>
      <w:r w:rsidR="00407248" w:rsidRPr="006E25B0">
        <w:rPr>
          <w:rFonts w:ascii="Times New Roman" w:hAnsi="Times New Roman" w:cs="Times New Roman"/>
          <w:noProof/>
          <w:sz w:val="24"/>
          <w:szCs w:val="24"/>
        </w:rPr>
        <w:t xml:space="preserve"> (see Bokeloh; Rennuy, 2013, in particular 1227-1229)</w:t>
      </w:r>
      <w:r w:rsidR="008E7D18" w:rsidRPr="006E25B0">
        <w:rPr>
          <w:rFonts w:ascii="Times New Roman" w:hAnsi="Times New Roman" w:cs="Times New Roman"/>
          <w:noProof/>
          <w:sz w:val="24"/>
          <w:szCs w:val="24"/>
        </w:rPr>
        <w:t xml:space="preserve">. Its application to the non-competent Member State, however, is still the subject of lively </w:t>
      </w:r>
      <w:r w:rsidR="009E619A" w:rsidRPr="006E25B0">
        <w:rPr>
          <w:rFonts w:ascii="Times New Roman" w:hAnsi="Times New Roman" w:cs="Times New Roman"/>
          <w:noProof/>
          <w:sz w:val="24"/>
          <w:szCs w:val="24"/>
        </w:rPr>
        <w:t>debate</w:t>
      </w:r>
      <w:r w:rsidR="008E7D18" w:rsidRPr="006E25B0">
        <w:rPr>
          <w:rFonts w:ascii="Times New Roman" w:hAnsi="Times New Roman" w:cs="Times New Roman"/>
          <w:noProof/>
          <w:sz w:val="24"/>
          <w:szCs w:val="24"/>
        </w:rPr>
        <w:t>, as will become apparent in the next section.</w:t>
      </w:r>
    </w:p>
    <w:p w14:paraId="0968B58F" w14:textId="73953F2D"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(f)</w:t>
      </w:r>
      <w:r w:rsidR="00C02263"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The</w:t>
      </w:r>
      <w:r w:rsidR="00E43576" w:rsidRPr="006E25B0">
        <w:rPr>
          <w:rFonts w:ascii="Times New Roman" w:hAnsi="Times New Roman" w:cs="Times New Roman"/>
          <w:noProof/>
          <w:color w:val="auto"/>
        </w:rPr>
        <w:t xml:space="preserve"> principle of exclusivity</w:t>
      </w:r>
    </w:p>
    <w:p w14:paraId="1109F310" w14:textId="63E4498D"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39</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principle of exclusivity is laid down in </w:t>
      </w:r>
      <w:r w:rsidR="005A6CF7" w:rsidRPr="006E25B0">
        <w:rPr>
          <w:rFonts w:ascii="Times New Roman" w:hAnsi="Times New Roman" w:cs="Times New Roman"/>
          <w:noProof/>
          <w:sz w:val="24"/>
          <w:szCs w:val="24"/>
        </w:rPr>
        <w:t>Art</w:t>
      </w:r>
      <w:r w:rsidR="004750DE"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11(1)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883/2004: ‘Persons to whom this Regulation applies shall be subject to the legislation of a single Member State only.’ Accordingly, the complications that would arise from the concurrent application of </w:t>
      </w:r>
      <w:r w:rsidR="00AD6749" w:rsidRPr="006E25B0">
        <w:rPr>
          <w:rFonts w:ascii="Times New Roman" w:hAnsi="Times New Roman" w:cs="Times New Roman"/>
          <w:noProof/>
          <w:sz w:val="24"/>
          <w:szCs w:val="24"/>
        </w:rPr>
        <w:t xml:space="preserve">laws rooted in </w:t>
      </w:r>
      <w:r w:rsidR="008E7D18" w:rsidRPr="006E25B0">
        <w:rPr>
          <w:rFonts w:ascii="Times New Roman" w:hAnsi="Times New Roman" w:cs="Times New Roman"/>
          <w:noProof/>
          <w:sz w:val="24"/>
          <w:szCs w:val="24"/>
        </w:rPr>
        <w:t xml:space="preserve">two or more legal orders are averted. </w:t>
      </w:r>
    </w:p>
    <w:p w14:paraId="45BE648F" w14:textId="356F0C57"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40</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principle, which enjoys broad support in the literature</w:t>
      </w:r>
      <w:r w:rsidR="008F12A2" w:rsidRPr="006E25B0">
        <w:rPr>
          <w:rFonts w:ascii="Times New Roman" w:hAnsi="Times New Roman" w:cs="Times New Roman"/>
          <w:noProof/>
          <w:sz w:val="24"/>
          <w:szCs w:val="24"/>
        </w:rPr>
        <w:t xml:space="preserve"> (see Rennuy, 2019, 1581-1585)</w:t>
      </w:r>
      <w:r w:rsidR="008E7D18" w:rsidRPr="006E25B0">
        <w:rPr>
          <w:rFonts w:ascii="Times New Roman" w:hAnsi="Times New Roman" w:cs="Times New Roman"/>
          <w:noProof/>
          <w:sz w:val="24"/>
          <w:szCs w:val="24"/>
        </w:rPr>
        <w:t>, is subject to derogations. The EU legislature allocates competence to more than one Member State for certain benefits, such as old-age pensions. A</w:t>
      </w:r>
      <w:r w:rsidR="00961E9E" w:rsidRPr="006E25B0">
        <w:rPr>
          <w:rFonts w:ascii="Times New Roman" w:hAnsi="Times New Roman" w:cs="Times New Roman"/>
          <w:noProof/>
          <w:sz w:val="24"/>
          <w:szCs w:val="24"/>
        </w:rPr>
        <w:t>s discussed below, a</w:t>
      </w:r>
      <w:r w:rsidR="008E7D18" w:rsidRPr="006E25B0">
        <w:rPr>
          <w:rFonts w:ascii="Times New Roman" w:hAnsi="Times New Roman" w:cs="Times New Roman"/>
          <w:noProof/>
          <w:sz w:val="24"/>
          <w:szCs w:val="24"/>
        </w:rPr>
        <w:t xml:space="preserve"> pensioner whose career extended across several Member States receives partial pensions from each (rather than a single pension from the State in which they last worked). </w:t>
      </w:r>
    </w:p>
    <w:p w14:paraId="4334103A" w14:textId="4E4AC93F" w:rsidR="0035422F"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41</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CJEU carved out further exceptions from the principle of exclusivity</w:t>
      </w:r>
      <w:r w:rsidR="00D52851" w:rsidRPr="006E25B0">
        <w:rPr>
          <w:rFonts w:ascii="Times New Roman" w:hAnsi="Times New Roman" w:cs="Times New Roman"/>
          <w:noProof/>
          <w:sz w:val="24"/>
          <w:szCs w:val="24"/>
        </w:rPr>
        <w:t xml:space="preserve"> (see Rennuy, 2013)</w:t>
      </w:r>
      <w:r w:rsidR="008E7D18" w:rsidRPr="006E25B0">
        <w:rPr>
          <w:rFonts w:ascii="Times New Roman" w:hAnsi="Times New Roman" w:cs="Times New Roman"/>
          <w:noProof/>
          <w:sz w:val="24"/>
          <w:szCs w:val="24"/>
        </w:rPr>
        <w:t xml:space="preserve">. In </w:t>
      </w:r>
      <w:r w:rsidR="008E7D18" w:rsidRPr="006E25B0">
        <w:rPr>
          <w:rFonts w:ascii="Times New Roman" w:hAnsi="Times New Roman" w:cs="Times New Roman"/>
          <w:i/>
          <w:iCs/>
          <w:noProof/>
          <w:sz w:val="24"/>
          <w:szCs w:val="24"/>
        </w:rPr>
        <w:t>Bosmann</w:t>
      </w:r>
      <w:r w:rsidR="008E7D18" w:rsidRPr="006E25B0">
        <w:rPr>
          <w:rFonts w:ascii="Times New Roman" w:hAnsi="Times New Roman" w:cs="Times New Roman"/>
          <w:noProof/>
          <w:sz w:val="24"/>
          <w:szCs w:val="24"/>
        </w:rPr>
        <w:t xml:space="preserve">, it activated the principle of inviolability of purely national rights against States other than the competent one. That principle is particularly powerful in that setting: since a non-competent State (eg the Member State of residence of a frontier worker) must not pay benefits by virtue of the regulations, any purely national right is more favourable than the regulations. </w:t>
      </w:r>
    </w:p>
    <w:p w14:paraId="3424A12F" w14:textId="7A7260A1"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42</w:t>
      </w:r>
      <w:r w:rsidRPr="006E25B0">
        <w:rPr>
          <w:rFonts w:ascii="Times New Roman" w:hAnsi="Times New Roman" w:cs="Times New Roman"/>
          <w:noProof/>
          <w:sz w:val="24"/>
          <w:szCs w:val="24"/>
        </w:rPr>
        <w:tab/>
      </w:r>
      <w:r w:rsidR="00005337" w:rsidRPr="006E25B0">
        <w:rPr>
          <w:rFonts w:ascii="Times New Roman" w:hAnsi="Times New Roman" w:cs="Times New Roman"/>
          <w:noProof/>
          <w:sz w:val="24"/>
          <w:szCs w:val="24"/>
        </w:rPr>
        <w:t xml:space="preserve">What if there is no </w:t>
      </w:r>
      <w:r w:rsidR="008668AD" w:rsidRPr="006E25B0">
        <w:rPr>
          <w:rFonts w:ascii="Times New Roman" w:hAnsi="Times New Roman" w:cs="Times New Roman"/>
          <w:noProof/>
          <w:sz w:val="24"/>
          <w:szCs w:val="24"/>
        </w:rPr>
        <w:t xml:space="preserve">entitlement under </w:t>
      </w:r>
      <w:r w:rsidR="006F5134" w:rsidRPr="006E25B0">
        <w:rPr>
          <w:rFonts w:ascii="Times New Roman" w:hAnsi="Times New Roman" w:cs="Times New Roman"/>
          <w:noProof/>
          <w:sz w:val="24"/>
          <w:szCs w:val="24"/>
        </w:rPr>
        <w:t xml:space="preserve">the </w:t>
      </w:r>
      <w:r w:rsidR="004153EC" w:rsidRPr="006E25B0">
        <w:rPr>
          <w:rFonts w:ascii="Times New Roman" w:hAnsi="Times New Roman" w:cs="Times New Roman"/>
          <w:noProof/>
          <w:sz w:val="24"/>
          <w:szCs w:val="24"/>
        </w:rPr>
        <w:t>national law</w:t>
      </w:r>
      <w:r w:rsidR="006F5134" w:rsidRPr="006E25B0">
        <w:rPr>
          <w:rFonts w:ascii="Times New Roman" w:hAnsi="Times New Roman" w:cs="Times New Roman"/>
          <w:noProof/>
          <w:sz w:val="24"/>
          <w:szCs w:val="24"/>
        </w:rPr>
        <w:t xml:space="preserve"> of the non-competent Member State</w:t>
      </w:r>
      <w:r w:rsidR="00005337"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In cases like</w:t>
      </w:r>
      <w:r w:rsidR="00C27D7F" w:rsidRPr="006E25B0">
        <w:rPr>
          <w:rFonts w:ascii="Times New Roman" w:hAnsi="Times New Roman" w:cs="Times New Roman"/>
          <w:noProof/>
          <w:sz w:val="24"/>
          <w:szCs w:val="24"/>
        </w:rPr>
        <w:t xml:space="preserve"> </w:t>
      </w:r>
      <w:r w:rsidR="00C27D7F" w:rsidRPr="006E25B0">
        <w:rPr>
          <w:rFonts w:ascii="Times New Roman" w:hAnsi="Times New Roman" w:cs="Times New Roman"/>
          <w:i/>
          <w:noProof/>
          <w:sz w:val="24"/>
          <w:szCs w:val="24"/>
        </w:rPr>
        <w:t>Hudziński and</w:t>
      </w:r>
      <w:r w:rsidR="008E7D18" w:rsidRPr="006E25B0">
        <w:rPr>
          <w:rFonts w:ascii="Times New Roman" w:hAnsi="Times New Roman" w:cs="Times New Roman"/>
          <w:noProof/>
          <w:sz w:val="24"/>
          <w:szCs w:val="24"/>
        </w:rPr>
        <w:t xml:space="preserve"> </w:t>
      </w:r>
      <w:r w:rsidR="008E7D18" w:rsidRPr="006E25B0">
        <w:rPr>
          <w:rFonts w:ascii="Times New Roman" w:hAnsi="Times New Roman" w:cs="Times New Roman"/>
          <w:i/>
          <w:noProof/>
          <w:sz w:val="24"/>
          <w:szCs w:val="24"/>
        </w:rPr>
        <w:t>Wawrzyniak</w:t>
      </w:r>
      <w:r w:rsidR="008E7D18" w:rsidRPr="006E25B0">
        <w:rPr>
          <w:rFonts w:ascii="Times New Roman" w:hAnsi="Times New Roman" w:cs="Times New Roman"/>
          <w:noProof/>
          <w:sz w:val="24"/>
          <w:szCs w:val="24"/>
        </w:rPr>
        <w:t xml:space="preserve">, the Grand Chamber went beyond </w:t>
      </w:r>
      <w:r w:rsidR="008E7D18" w:rsidRPr="006E25B0">
        <w:rPr>
          <w:rFonts w:ascii="Times New Roman" w:hAnsi="Times New Roman" w:cs="Times New Roman"/>
          <w:i/>
          <w:iCs/>
          <w:noProof/>
          <w:sz w:val="24"/>
          <w:szCs w:val="24"/>
        </w:rPr>
        <w:t>Bosmann</w:t>
      </w:r>
      <w:r w:rsidR="008E7D18" w:rsidRPr="006E25B0">
        <w:rPr>
          <w:rFonts w:ascii="Times New Roman" w:hAnsi="Times New Roman" w:cs="Times New Roman"/>
          <w:noProof/>
          <w:sz w:val="24"/>
          <w:szCs w:val="24"/>
        </w:rPr>
        <w:t xml:space="preserve">. Even though </w:t>
      </w:r>
      <w:r w:rsidR="00C845DF" w:rsidRPr="006E25B0">
        <w:rPr>
          <w:rFonts w:ascii="Times New Roman" w:hAnsi="Times New Roman" w:cs="Times New Roman"/>
          <w:noProof/>
          <w:sz w:val="24"/>
          <w:szCs w:val="24"/>
        </w:rPr>
        <w:t>Mr Wawrzyniak</w:t>
      </w:r>
      <w:r w:rsidR="009648A6" w:rsidRPr="006E25B0">
        <w:rPr>
          <w:rFonts w:ascii="Times New Roman" w:hAnsi="Times New Roman" w:cs="Times New Roman"/>
          <w:noProof/>
          <w:sz w:val="24"/>
          <w:szCs w:val="24"/>
        </w:rPr>
        <w:t xml:space="preserve"> was not </w:t>
      </w:r>
      <w:r w:rsidR="001E12E7" w:rsidRPr="006E25B0">
        <w:rPr>
          <w:rFonts w:ascii="Times New Roman" w:hAnsi="Times New Roman" w:cs="Times New Roman"/>
          <w:noProof/>
          <w:sz w:val="24"/>
          <w:szCs w:val="24"/>
        </w:rPr>
        <w:t>entitle</w:t>
      </w:r>
      <w:r w:rsidR="009648A6" w:rsidRPr="006E25B0">
        <w:rPr>
          <w:rFonts w:ascii="Times New Roman" w:hAnsi="Times New Roman" w:cs="Times New Roman"/>
          <w:noProof/>
          <w:sz w:val="24"/>
          <w:szCs w:val="24"/>
        </w:rPr>
        <w:t>d</w:t>
      </w:r>
      <w:r w:rsidR="001E12E7" w:rsidRPr="006E25B0">
        <w:rPr>
          <w:rFonts w:ascii="Times New Roman" w:hAnsi="Times New Roman" w:cs="Times New Roman"/>
          <w:noProof/>
          <w:sz w:val="24"/>
          <w:szCs w:val="24"/>
        </w:rPr>
        <w:t xml:space="preserve"> to </w:t>
      </w:r>
      <w:r w:rsidR="008E7D18" w:rsidRPr="006E25B0">
        <w:rPr>
          <w:rFonts w:ascii="Times New Roman" w:hAnsi="Times New Roman" w:cs="Times New Roman"/>
          <w:noProof/>
          <w:sz w:val="24"/>
          <w:szCs w:val="24"/>
        </w:rPr>
        <w:t xml:space="preserve">the disputed benefit </w:t>
      </w:r>
      <w:r w:rsidR="009648A6" w:rsidRPr="006E25B0">
        <w:rPr>
          <w:rFonts w:ascii="Times New Roman" w:hAnsi="Times New Roman" w:cs="Times New Roman"/>
          <w:noProof/>
          <w:sz w:val="24"/>
          <w:szCs w:val="24"/>
        </w:rPr>
        <w:t xml:space="preserve">under </w:t>
      </w:r>
      <w:r w:rsidR="008E7D18" w:rsidRPr="006E25B0">
        <w:rPr>
          <w:rFonts w:ascii="Times New Roman" w:hAnsi="Times New Roman" w:cs="Times New Roman"/>
          <w:noProof/>
          <w:sz w:val="24"/>
          <w:szCs w:val="24"/>
        </w:rPr>
        <w:t xml:space="preserve">German law, the CJEU considered that Germany, which was not competent, infringed the free movement of workers by </w:t>
      </w:r>
      <w:r w:rsidR="00C845DF" w:rsidRPr="006E25B0">
        <w:rPr>
          <w:rFonts w:ascii="Times New Roman" w:hAnsi="Times New Roman" w:cs="Times New Roman"/>
          <w:noProof/>
          <w:sz w:val="24"/>
          <w:szCs w:val="24"/>
        </w:rPr>
        <w:t>rejecting his claim</w:t>
      </w:r>
      <w:r w:rsidR="000B4425"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By contrast, in </w:t>
      </w:r>
      <w:r w:rsidR="008E7D18" w:rsidRPr="006E25B0">
        <w:rPr>
          <w:rFonts w:ascii="Times New Roman" w:hAnsi="Times New Roman" w:cs="Times New Roman"/>
          <w:i/>
          <w:iCs/>
          <w:noProof/>
          <w:sz w:val="24"/>
          <w:szCs w:val="24"/>
        </w:rPr>
        <w:t>van den Berg and Others</w:t>
      </w:r>
      <w:r w:rsidR="008E7D18" w:rsidRPr="006E25B0">
        <w:rPr>
          <w:rFonts w:ascii="Times New Roman" w:hAnsi="Times New Roman" w:cs="Times New Roman"/>
          <w:noProof/>
          <w:sz w:val="24"/>
          <w:szCs w:val="24"/>
        </w:rPr>
        <w:t xml:space="preserve">, the Grand Chamber found that the free movement of workers does not require the non-competent Member State to insure frontier workers residing on its territory. </w:t>
      </w:r>
    </w:p>
    <w:p w14:paraId="7C485CBD" w14:textId="40558191" w:rsidR="008E7D18" w:rsidRPr="006E25B0" w:rsidRDefault="003069F4" w:rsidP="00D95347">
      <w:pPr>
        <w:pStyle w:val="Heading2"/>
        <w:rPr>
          <w:rFonts w:ascii="Times New Roman" w:hAnsi="Times New Roman" w:cs="Times New Roman"/>
          <w:noProof/>
          <w:color w:val="auto"/>
        </w:rPr>
      </w:pPr>
      <w:r w:rsidRPr="006E25B0">
        <w:rPr>
          <w:rFonts w:ascii="Times New Roman" w:hAnsi="Times New Roman" w:cs="Times New Roman"/>
          <w:noProof/>
          <w:color w:val="auto"/>
        </w:rPr>
        <w:t xml:space="preserve">4. </w:t>
      </w:r>
      <w:r w:rsidR="008E7D18" w:rsidRPr="006E25B0">
        <w:rPr>
          <w:rFonts w:ascii="Times New Roman" w:hAnsi="Times New Roman" w:cs="Times New Roman"/>
          <w:noProof/>
          <w:color w:val="auto"/>
        </w:rPr>
        <w:t>Benefit-</w:t>
      </w:r>
      <w:r w:rsidR="00F80704" w:rsidRPr="006E25B0">
        <w:rPr>
          <w:rFonts w:ascii="Times New Roman" w:hAnsi="Times New Roman" w:cs="Times New Roman"/>
          <w:noProof/>
          <w:color w:val="auto"/>
        </w:rPr>
        <w:t>S</w:t>
      </w:r>
      <w:r w:rsidR="008E7D18" w:rsidRPr="006E25B0">
        <w:rPr>
          <w:rFonts w:ascii="Times New Roman" w:hAnsi="Times New Roman" w:cs="Times New Roman"/>
          <w:noProof/>
          <w:color w:val="auto"/>
        </w:rPr>
        <w:t xml:space="preserve">pecific </w:t>
      </w:r>
      <w:r w:rsidR="00F80704" w:rsidRPr="006E25B0">
        <w:rPr>
          <w:rFonts w:ascii="Times New Roman" w:hAnsi="Times New Roman" w:cs="Times New Roman"/>
          <w:noProof/>
          <w:color w:val="auto"/>
        </w:rPr>
        <w:t>R</w:t>
      </w:r>
      <w:r w:rsidR="008E7D18" w:rsidRPr="006E25B0">
        <w:rPr>
          <w:rFonts w:ascii="Times New Roman" w:hAnsi="Times New Roman" w:cs="Times New Roman"/>
          <w:noProof/>
          <w:color w:val="auto"/>
        </w:rPr>
        <w:t>ules</w:t>
      </w:r>
    </w:p>
    <w:p w14:paraId="7F1AC89A" w14:textId="159E0713"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43</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The conflict rules and general principles are fleshed out, and sometimes modified, by the benefit-specific rules of Title III of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as well as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987/2009. This section briefly sketches some of the rules applicable to sickness benefits, old-age pensions and family benefits, because they account for the largest spending and their coordination is distinct.</w:t>
      </w:r>
    </w:p>
    <w:p w14:paraId="418EA538" w14:textId="232C1299"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(a)</w:t>
      </w:r>
      <w:r w:rsidR="003069F4"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Sickness </w:t>
      </w:r>
      <w:r w:rsidR="00E43576" w:rsidRPr="006E25B0">
        <w:rPr>
          <w:rFonts w:ascii="Times New Roman" w:hAnsi="Times New Roman" w:cs="Times New Roman"/>
          <w:noProof/>
          <w:color w:val="auto"/>
        </w:rPr>
        <w:t>b</w:t>
      </w:r>
      <w:r w:rsidR="008E7D18" w:rsidRPr="006E25B0">
        <w:rPr>
          <w:rFonts w:ascii="Times New Roman" w:hAnsi="Times New Roman" w:cs="Times New Roman"/>
          <w:noProof/>
          <w:color w:val="auto"/>
        </w:rPr>
        <w:t>enefits</w:t>
      </w:r>
    </w:p>
    <w:p w14:paraId="18653721" w14:textId="4C0A7DB1"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44</w:t>
      </w:r>
      <w:r w:rsidRPr="006E25B0">
        <w:rPr>
          <w:rFonts w:ascii="Times New Roman" w:hAnsi="Times New Roman" w:cs="Times New Roman"/>
          <w:noProof/>
          <w:sz w:val="24"/>
          <w:szCs w:val="24"/>
        </w:rPr>
        <w:tab/>
      </w:r>
      <w:r w:rsidR="0072249A" w:rsidRPr="006E25B0">
        <w:rPr>
          <w:rFonts w:ascii="Times New Roman" w:hAnsi="Times New Roman" w:cs="Times New Roman"/>
          <w:noProof/>
          <w:sz w:val="24"/>
          <w:szCs w:val="24"/>
        </w:rPr>
        <w:t>The regulations cover healthcare, defining s</w:t>
      </w:r>
      <w:r w:rsidR="00182113" w:rsidRPr="006E25B0">
        <w:rPr>
          <w:rFonts w:ascii="Times New Roman" w:hAnsi="Times New Roman" w:cs="Times New Roman"/>
          <w:noProof/>
          <w:sz w:val="24"/>
          <w:szCs w:val="24"/>
        </w:rPr>
        <w:t>ickness benefits in kind</w:t>
      </w:r>
      <w:r w:rsidR="0072249A" w:rsidRPr="006E25B0">
        <w:rPr>
          <w:rFonts w:ascii="Times New Roman" w:hAnsi="Times New Roman" w:cs="Times New Roman"/>
          <w:noProof/>
          <w:sz w:val="24"/>
          <w:szCs w:val="24"/>
        </w:rPr>
        <w:t xml:space="preserve"> as being</w:t>
      </w:r>
      <w:r w:rsidR="00182113" w:rsidRPr="006E25B0">
        <w:rPr>
          <w:rFonts w:ascii="Times New Roman" w:hAnsi="Times New Roman" w:cs="Times New Roman"/>
          <w:noProof/>
          <w:sz w:val="24"/>
          <w:szCs w:val="24"/>
        </w:rPr>
        <w:t xml:space="preserve"> </w:t>
      </w:r>
      <w:r w:rsidR="00C01B7F" w:rsidRPr="006E25B0">
        <w:rPr>
          <w:rFonts w:ascii="Times New Roman" w:hAnsi="Times New Roman" w:cs="Times New Roman"/>
          <w:noProof/>
          <w:sz w:val="24"/>
          <w:szCs w:val="24"/>
        </w:rPr>
        <w:t>‘intended to supply, make available, pay directly or reimburse the cost of medical care and products and services ancillary to that care’</w:t>
      </w:r>
      <w:r w:rsidR="005E52EA" w:rsidRPr="006E25B0">
        <w:rPr>
          <w:rFonts w:ascii="Times New Roman" w:hAnsi="Times New Roman" w:cs="Times New Roman"/>
          <w:noProof/>
          <w:sz w:val="24"/>
          <w:szCs w:val="24"/>
        </w:rPr>
        <w:t xml:space="preserve"> (Art. 1(va)(i) Regulation</w:t>
      </w:r>
      <w:r w:rsidR="00C67654" w:rsidRPr="006E25B0">
        <w:rPr>
          <w:rFonts w:ascii="Times New Roman" w:hAnsi="Times New Roman" w:cs="Times New Roman"/>
          <w:noProof/>
          <w:sz w:val="24"/>
          <w:szCs w:val="24"/>
        </w:rPr>
        <w:t xml:space="preserve"> </w:t>
      </w:r>
      <w:r w:rsidR="005E52EA" w:rsidRPr="006E25B0">
        <w:rPr>
          <w:rFonts w:ascii="Times New Roman" w:hAnsi="Times New Roman" w:cs="Times New Roman"/>
          <w:noProof/>
          <w:sz w:val="24"/>
          <w:szCs w:val="24"/>
        </w:rPr>
        <w:t>883/2004).</w:t>
      </w:r>
      <w:r w:rsidR="00182113" w:rsidRPr="006E25B0">
        <w:rPr>
          <w:rFonts w:ascii="Times New Roman" w:hAnsi="Times New Roman" w:cs="Times New Roman"/>
          <w:noProof/>
          <w:sz w:val="24"/>
          <w:szCs w:val="24"/>
        </w:rPr>
        <w:t xml:space="preserve"> </w:t>
      </w:r>
      <w:r w:rsidR="00FC7924" w:rsidRPr="006E25B0">
        <w:rPr>
          <w:rFonts w:ascii="Times New Roman" w:hAnsi="Times New Roman" w:cs="Times New Roman"/>
          <w:noProof/>
          <w:sz w:val="24"/>
          <w:szCs w:val="24"/>
        </w:rPr>
        <w:t>The regulations also coordinate s</w:t>
      </w:r>
      <w:r w:rsidR="00C01B7F" w:rsidRPr="006E25B0">
        <w:rPr>
          <w:rFonts w:ascii="Times New Roman" w:hAnsi="Times New Roman" w:cs="Times New Roman"/>
          <w:noProof/>
          <w:sz w:val="24"/>
          <w:szCs w:val="24"/>
        </w:rPr>
        <w:t>ickness benefits in cash</w:t>
      </w:r>
      <w:r w:rsidR="00FC7924" w:rsidRPr="006E25B0">
        <w:rPr>
          <w:rFonts w:ascii="Times New Roman" w:hAnsi="Times New Roman" w:cs="Times New Roman"/>
          <w:noProof/>
          <w:sz w:val="24"/>
          <w:szCs w:val="24"/>
        </w:rPr>
        <w:t>, which</w:t>
      </w:r>
      <w:r w:rsidR="00C01B7F" w:rsidRPr="006E25B0">
        <w:rPr>
          <w:rFonts w:ascii="Times New Roman" w:hAnsi="Times New Roman" w:cs="Times New Roman"/>
          <w:noProof/>
          <w:sz w:val="24"/>
          <w:szCs w:val="24"/>
        </w:rPr>
        <w:t xml:space="preserve"> </w:t>
      </w:r>
      <w:r w:rsidR="001B0D9F" w:rsidRPr="006E25B0">
        <w:rPr>
          <w:rFonts w:ascii="Times New Roman" w:hAnsi="Times New Roman" w:cs="Times New Roman"/>
          <w:noProof/>
          <w:sz w:val="24"/>
          <w:szCs w:val="24"/>
        </w:rPr>
        <w:t xml:space="preserve">do not cover costs related to </w:t>
      </w:r>
      <w:r w:rsidR="00C01B7F" w:rsidRPr="006E25B0">
        <w:rPr>
          <w:rFonts w:ascii="Times New Roman" w:hAnsi="Times New Roman" w:cs="Times New Roman"/>
          <w:noProof/>
          <w:sz w:val="24"/>
          <w:szCs w:val="24"/>
        </w:rPr>
        <w:t xml:space="preserve">healthcare, but rather </w:t>
      </w:r>
      <w:r w:rsidR="001B0D9F" w:rsidRPr="006E25B0">
        <w:rPr>
          <w:rFonts w:ascii="Times New Roman" w:hAnsi="Times New Roman" w:cs="Times New Roman"/>
          <w:noProof/>
          <w:sz w:val="24"/>
          <w:szCs w:val="24"/>
        </w:rPr>
        <w:t xml:space="preserve">replace </w:t>
      </w:r>
      <w:r w:rsidR="00CE5217" w:rsidRPr="006E25B0">
        <w:rPr>
          <w:rFonts w:ascii="Times New Roman" w:hAnsi="Times New Roman" w:cs="Times New Roman"/>
          <w:noProof/>
          <w:sz w:val="24"/>
          <w:szCs w:val="24"/>
        </w:rPr>
        <w:t xml:space="preserve">lost </w:t>
      </w:r>
      <w:r w:rsidR="001B0D9F" w:rsidRPr="006E25B0">
        <w:rPr>
          <w:rFonts w:ascii="Times New Roman" w:hAnsi="Times New Roman" w:cs="Times New Roman"/>
          <w:noProof/>
          <w:sz w:val="24"/>
          <w:szCs w:val="24"/>
        </w:rPr>
        <w:t xml:space="preserve">income (or more broadly provide </w:t>
      </w:r>
      <w:r w:rsidR="003B19A5" w:rsidRPr="006E25B0">
        <w:rPr>
          <w:rFonts w:ascii="Times New Roman" w:hAnsi="Times New Roman" w:cs="Times New Roman"/>
          <w:noProof/>
          <w:sz w:val="24"/>
          <w:szCs w:val="24"/>
        </w:rPr>
        <w:t>financial support</w:t>
      </w:r>
      <w:r w:rsidR="001B0D9F" w:rsidRPr="006E25B0">
        <w:rPr>
          <w:rFonts w:ascii="Times New Roman" w:hAnsi="Times New Roman" w:cs="Times New Roman"/>
          <w:noProof/>
          <w:sz w:val="24"/>
          <w:szCs w:val="24"/>
        </w:rPr>
        <w:t>)</w:t>
      </w:r>
      <w:r w:rsidR="003B19A5" w:rsidRPr="006E25B0">
        <w:rPr>
          <w:rFonts w:ascii="Times New Roman" w:hAnsi="Times New Roman" w:cs="Times New Roman"/>
          <w:noProof/>
          <w:sz w:val="24"/>
          <w:szCs w:val="24"/>
        </w:rPr>
        <w:t xml:space="preserve"> </w:t>
      </w:r>
      <w:r w:rsidR="001A0013" w:rsidRPr="006E25B0">
        <w:rPr>
          <w:rFonts w:ascii="Times New Roman" w:hAnsi="Times New Roman" w:cs="Times New Roman"/>
          <w:noProof/>
          <w:sz w:val="24"/>
          <w:szCs w:val="24"/>
        </w:rPr>
        <w:t xml:space="preserve">to enable the sick person and their family members to maintain their </w:t>
      </w:r>
      <w:r w:rsidR="001C2285" w:rsidRPr="006E25B0">
        <w:rPr>
          <w:rFonts w:ascii="Times New Roman" w:hAnsi="Times New Roman" w:cs="Times New Roman"/>
          <w:noProof/>
          <w:sz w:val="24"/>
          <w:szCs w:val="24"/>
        </w:rPr>
        <w:t xml:space="preserve">living </w:t>
      </w:r>
      <w:r w:rsidR="001A0013" w:rsidRPr="006E25B0">
        <w:rPr>
          <w:rFonts w:ascii="Times New Roman" w:hAnsi="Times New Roman" w:cs="Times New Roman"/>
          <w:noProof/>
          <w:sz w:val="24"/>
          <w:szCs w:val="24"/>
        </w:rPr>
        <w:t>standard</w:t>
      </w:r>
      <w:r w:rsidR="001C2285" w:rsidRPr="006E25B0">
        <w:rPr>
          <w:rFonts w:ascii="Times New Roman" w:hAnsi="Times New Roman" w:cs="Times New Roman"/>
          <w:noProof/>
          <w:sz w:val="24"/>
          <w:szCs w:val="24"/>
        </w:rPr>
        <w:t>s</w:t>
      </w:r>
      <w:r w:rsidR="001A0013" w:rsidRPr="006E25B0">
        <w:rPr>
          <w:rFonts w:ascii="Times New Roman" w:hAnsi="Times New Roman" w:cs="Times New Roman"/>
          <w:noProof/>
          <w:sz w:val="24"/>
          <w:szCs w:val="24"/>
        </w:rPr>
        <w:t xml:space="preserve"> </w:t>
      </w:r>
      <w:r w:rsidR="005E52EA" w:rsidRPr="006E25B0">
        <w:rPr>
          <w:rFonts w:ascii="Times New Roman" w:hAnsi="Times New Roman" w:cs="Times New Roman"/>
          <w:noProof/>
          <w:sz w:val="24"/>
          <w:szCs w:val="24"/>
        </w:rPr>
        <w:t>(</w:t>
      </w:r>
      <w:r w:rsidR="005E52EA" w:rsidRPr="006E25B0">
        <w:rPr>
          <w:rFonts w:ascii="Times New Roman" w:hAnsi="Times New Roman" w:cs="Times New Roman"/>
          <w:i/>
          <w:iCs/>
          <w:noProof/>
          <w:sz w:val="24"/>
          <w:szCs w:val="24"/>
        </w:rPr>
        <w:t>Acereda Herrera</w:t>
      </w:r>
      <w:r w:rsidR="005E52EA" w:rsidRPr="006E25B0">
        <w:rPr>
          <w:rFonts w:ascii="Times New Roman" w:hAnsi="Times New Roman" w:cs="Times New Roman"/>
          <w:noProof/>
          <w:sz w:val="24"/>
          <w:szCs w:val="24"/>
        </w:rPr>
        <w:t xml:space="preserve">, </w:t>
      </w:r>
      <w:r w:rsidR="00F02406" w:rsidRPr="006E25B0">
        <w:rPr>
          <w:rFonts w:ascii="Times New Roman" w:hAnsi="Times New Roman" w:cs="Times New Roman"/>
          <w:noProof/>
          <w:sz w:val="24"/>
          <w:szCs w:val="24"/>
        </w:rPr>
        <w:t xml:space="preserve">para. </w:t>
      </w:r>
      <w:r w:rsidR="005E52EA" w:rsidRPr="006E25B0">
        <w:rPr>
          <w:rFonts w:ascii="Times New Roman" w:hAnsi="Times New Roman" w:cs="Times New Roman"/>
          <w:noProof/>
          <w:sz w:val="24"/>
          <w:szCs w:val="24"/>
        </w:rPr>
        <w:t>33)</w:t>
      </w:r>
      <w:r w:rsidR="003B19A5" w:rsidRPr="006E25B0">
        <w:rPr>
          <w:rFonts w:ascii="Times New Roman" w:hAnsi="Times New Roman" w:cs="Times New Roman"/>
          <w:noProof/>
          <w:sz w:val="24"/>
          <w:szCs w:val="24"/>
        </w:rPr>
        <w:t>.</w:t>
      </w:r>
      <w:r w:rsidR="00C01B7F"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As mentioned above, </w:t>
      </w:r>
      <w:r w:rsidR="0030103A" w:rsidRPr="006E25B0">
        <w:rPr>
          <w:rFonts w:ascii="Times New Roman" w:hAnsi="Times New Roman" w:cs="Times New Roman"/>
          <w:noProof/>
          <w:sz w:val="24"/>
          <w:szCs w:val="24"/>
        </w:rPr>
        <w:t xml:space="preserve">sickness benefits </w:t>
      </w:r>
      <w:r w:rsidR="008E7D18" w:rsidRPr="006E25B0">
        <w:rPr>
          <w:rFonts w:ascii="Times New Roman" w:hAnsi="Times New Roman" w:cs="Times New Roman"/>
          <w:noProof/>
          <w:sz w:val="24"/>
          <w:szCs w:val="24"/>
        </w:rPr>
        <w:t>also encompass long-term care benefits</w:t>
      </w:r>
      <w:r w:rsidR="00C01B7F" w:rsidRPr="006E25B0">
        <w:rPr>
          <w:rFonts w:ascii="Times New Roman" w:hAnsi="Times New Roman" w:cs="Times New Roman"/>
          <w:noProof/>
          <w:sz w:val="24"/>
          <w:szCs w:val="24"/>
        </w:rPr>
        <w:t>, whether in kind or in cash</w:t>
      </w:r>
      <w:r w:rsidR="008E7D18" w:rsidRPr="006E25B0">
        <w:rPr>
          <w:rFonts w:ascii="Times New Roman" w:hAnsi="Times New Roman" w:cs="Times New Roman"/>
          <w:noProof/>
          <w:sz w:val="24"/>
          <w:szCs w:val="24"/>
        </w:rPr>
        <w:t>.</w:t>
      </w:r>
    </w:p>
    <w:p w14:paraId="7E00A209" w14:textId="60BDDD2C"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45</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Cash sickness benefits are governed by the law of the competent Member State (designated by the conflict rules of Title II) and exported to patients residing or staying in another Member State. </w:t>
      </w:r>
    </w:p>
    <w:p w14:paraId="7955242F" w14:textId="59C34C0A"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46</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Unlike cash benefits, healthcare </w:t>
      </w:r>
      <w:r w:rsidR="000C11A1" w:rsidRPr="006E25B0">
        <w:rPr>
          <w:rFonts w:ascii="Times New Roman" w:hAnsi="Times New Roman" w:cs="Times New Roman"/>
          <w:noProof/>
          <w:sz w:val="24"/>
          <w:szCs w:val="24"/>
        </w:rPr>
        <w:t>(</w:t>
      </w:r>
      <w:r w:rsidR="00AA3ADA" w:rsidRPr="006E25B0">
        <w:rPr>
          <w:rFonts w:ascii="Times New Roman" w:hAnsi="Times New Roman" w:cs="Times New Roman"/>
          <w:noProof/>
          <w:sz w:val="24"/>
          <w:szCs w:val="24"/>
        </w:rPr>
        <w:t>→</w:t>
      </w:r>
      <w:r w:rsidR="000C11A1" w:rsidRPr="006E25B0">
        <w:rPr>
          <w:rFonts w:ascii="Times New Roman" w:hAnsi="Times New Roman" w:cs="Times New Roman"/>
          <w:noProof/>
          <w:sz w:val="24"/>
          <w:szCs w:val="24"/>
        </w:rPr>
        <w:t>Cross-Border Healthcare Under Regulation</w:t>
      </w:r>
      <w:r w:rsidR="00AA3ADA" w:rsidRPr="006E25B0">
        <w:rPr>
          <w:rFonts w:ascii="Times New Roman" w:hAnsi="Times New Roman" w:cs="Times New Roman"/>
          <w:noProof/>
          <w:sz w:val="24"/>
          <w:szCs w:val="24"/>
        </w:rPr>
        <w:t xml:space="preserve"> </w:t>
      </w:r>
      <w:r w:rsidR="000C11A1" w:rsidRPr="006E25B0">
        <w:rPr>
          <w:rFonts w:ascii="Times New Roman" w:hAnsi="Times New Roman" w:cs="Times New Roman"/>
          <w:noProof/>
          <w:sz w:val="24"/>
          <w:szCs w:val="24"/>
        </w:rPr>
        <w:t xml:space="preserve">883/2004) </w:t>
      </w:r>
      <w:r w:rsidR="008E7D18" w:rsidRPr="006E25B0">
        <w:rPr>
          <w:rFonts w:ascii="Times New Roman" w:hAnsi="Times New Roman" w:cs="Times New Roman"/>
          <w:noProof/>
          <w:sz w:val="24"/>
          <w:szCs w:val="24"/>
        </w:rPr>
        <w:t>cannot be exported as such. Therefore, non-residents are entitled to healthcare in their Member State of residence, on behalf and at the expense of the competent Member State</w:t>
      </w:r>
      <w:r w:rsidR="005E52EA" w:rsidRPr="006E25B0">
        <w:rPr>
          <w:rFonts w:ascii="Times New Roman" w:hAnsi="Times New Roman" w:cs="Times New Roman"/>
          <w:noProof/>
          <w:sz w:val="24"/>
          <w:szCs w:val="24"/>
        </w:rPr>
        <w:t xml:space="preserve"> (Art. 17 Regulation</w:t>
      </w:r>
      <w:r w:rsidR="00C67654" w:rsidRPr="006E25B0">
        <w:rPr>
          <w:rFonts w:ascii="Times New Roman" w:hAnsi="Times New Roman" w:cs="Times New Roman"/>
          <w:noProof/>
          <w:sz w:val="24"/>
          <w:szCs w:val="24"/>
        </w:rPr>
        <w:t xml:space="preserve"> </w:t>
      </w:r>
      <w:r w:rsidR="005E52EA" w:rsidRPr="006E25B0">
        <w:rPr>
          <w:rFonts w:ascii="Times New Roman" w:hAnsi="Times New Roman" w:cs="Times New Roman"/>
          <w:noProof/>
          <w:sz w:val="24"/>
          <w:szCs w:val="24"/>
        </w:rPr>
        <w:t>883/2004)</w:t>
      </w:r>
      <w:r w:rsidR="008E7D18" w:rsidRPr="006E25B0">
        <w:rPr>
          <w:rFonts w:ascii="Times New Roman" w:hAnsi="Times New Roman" w:cs="Times New Roman"/>
          <w:noProof/>
          <w:sz w:val="24"/>
          <w:szCs w:val="24"/>
        </w:rPr>
        <w:t>. Citizens staying outside their Member State of residence (eg on holiday) may unexpectedly need healthcare. The regulations create a right to such unplanned healthcare, facilitated by the European Health Insurance Card</w:t>
      </w:r>
      <w:r w:rsidR="005E52EA" w:rsidRPr="006E25B0">
        <w:rPr>
          <w:rFonts w:ascii="Times New Roman" w:hAnsi="Times New Roman" w:cs="Times New Roman"/>
          <w:noProof/>
          <w:sz w:val="24"/>
          <w:szCs w:val="24"/>
        </w:rPr>
        <w:t xml:space="preserve"> (Art. 19 Regulation</w:t>
      </w:r>
      <w:r w:rsidR="00C67654" w:rsidRPr="006E25B0">
        <w:rPr>
          <w:rFonts w:ascii="Times New Roman" w:hAnsi="Times New Roman" w:cs="Times New Roman"/>
          <w:noProof/>
          <w:sz w:val="24"/>
          <w:szCs w:val="24"/>
        </w:rPr>
        <w:t xml:space="preserve"> </w:t>
      </w:r>
      <w:r w:rsidR="005E52EA" w:rsidRPr="006E25B0">
        <w:rPr>
          <w:rFonts w:ascii="Times New Roman" w:hAnsi="Times New Roman" w:cs="Times New Roman"/>
          <w:noProof/>
          <w:sz w:val="24"/>
          <w:szCs w:val="24"/>
        </w:rPr>
        <w:t>883/2004)</w:t>
      </w:r>
      <w:r w:rsidR="008E7D18" w:rsidRPr="006E25B0">
        <w:rPr>
          <w:rFonts w:ascii="Times New Roman" w:hAnsi="Times New Roman" w:cs="Times New Roman"/>
          <w:noProof/>
          <w:sz w:val="24"/>
          <w:szCs w:val="24"/>
        </w:rPr>
        <w:t xml:space="preserve">. Finally, patients might travel in order to obtain healthcare abroad. </w:t>
      </w:r>
      <w:r w:rsidR="00B94F70" w:rsidRPr="006E25B0">
        <w:rPr>
          <w:rFonts w:ascii="Times New Roman" w:hAnsi="Times New Roman" w:cs="Times New Roman"/>
          <w:noProof/>
          <w:sz w:val="24"/>
          <w:szCs w:val="24"/>
        </w:rPr>
        <w:t xml:space="preserve">Article 20 Regulation 883/2004 </w:t>
      </w:r>
      <w:r w:rsidR="008E7D18" w:rsidRPr="006E25B0">
        <w:rPr>
          <w:rFonts w:ascii="Times New Roman" w:hAnsi="Times New Roman" w:cs="Times New Roman"/>
          <w:noProof/>
          <w:sz w:val="24"/>
          <w:szCs w:val="24"/>
        </w:rPr>
        <w:t xml:space="preserve">allows Member States to subject planned </w:t>
      </w:r>
      <w:r w:rsidR="00B94F70" w:rsidRPr="006E25B0">
        <w:rPr>
          <w:rFonts w:ascii="Times New Roman" w:hAnsi="Times New Roman" w:cs="Times New Roman"/>
          <w:noProof/>
          <w:sz w:val="24"/>
          <w:szCs w:val="24"/>
        </w:rPr>
        <w:t>health</w:t>
      </w:r>
      <w:r w:rsidR="008E7D18" w:rsidRPr="006E25B0">
        <w:rPr>
          <w:rFonts w:ascii="Times New Roman" w:hAnsi="Times New Roman" w:cs="Times New Roman"/>
          <w:noProof/>
          <w:sz w:val="24"/>
          <w:szCs w:val="24"/>
        </w:rPr>
        <w:t xml:space="preserve">care to authorisation requirements. In </w:t>
      </w:r>
      <w:r w:rsidR="008E7D18" w:rsidRPr="006E25B0">
        <w:rPr>
          <w:rFonts w:ascii="Times New Roman" w:hAnsi="Times New Roman" w:cs="Times New Roman"/>
          <w:i/>
          <w:noProof/>
          <w:sz w:val="24"/>
          <w:szCs w:val="24"/>
        </w:rPr>
        <w:t>Kohll</w:t>
      </w:r>
      <w:r w:rsidR="008E7D18" w:rsidRPr="006E25B0">
        <w:rPr>
          <w:rFonts w:ascii="Times New Roman" w:hAnsi="Times New Roman" w:cs="Times New Roman"/>
          <w:noProof/>
          <w:sz w:val="24"/>
          <w:szCs w:val="24"/>
        </w:rPr>
        <w:t xml:space="preserve"> and its progeny, the CJEU interpreted the free movement of services as vesting a right to seek non-hospital healthcare abroad </w:t>
      </w:r>
      <w:r w:rsidR="008E7D18" w:rsidRPr="006E25B0">
        <w:rPr>
          <w:rFonts w:ascii="Times New Roman" w:hAnsi="Times New Roman" w:cs="Times New Roman"/>
          <w:i/>
          <w:iCs/>
          <w:noProof/>
          <w:sz w:val="24"/>
          <w:szCs w:val="24"/>
        </w:rPr>
        <w:t>without authorisation</w:t>
      </w:r>
      <w:r w:rsidR="008E7D18" w:rsidRPr="006E25B0">
        <w:rPr>
          <w:rFonts w:ascii="Times New Roman" w:hAnsi="Times New Roman" w:cs="Times New Roman"/>
          <w:noProof/>
          <w:sz w:val="24"/>
          <w:szCs w:val="24"/>
        </w:rPr>
        <w:t xml:space="preserve"> and send the bill home. </w:t>
      </w:r>
      <w:bookmarkStart w:id="32" w:name="_Hlk111452845"/>
      <w:r w:rsidR="008E7D18" w:rsidRPr="006E25B0">
        <w:rPr>
          <w:rFonts w:ascii="Times New Roman" w:hAnsi="Times New Roman" w:cs="Times New Roman"/>
          <w:noProof/>
          <w:sz w:val="24"/>
          <w:szCs w:val="24"/>
        </w:rPr>
        <w:t>Directive</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2011/24 </w:t>
      </w:r>
      <w:bookmarkEnd w:id="32"/>
      <w:r w:rsidR="008E7D18" w:rsidRPr="006E25B0">
        <w:rPr>
          <w:rFonts w:ascii="Times New Roman" w:hAnsi="Times New Roman" w:cs="Times New Roman"/>
          <w:noProof/>
          <w:sz w:val="24"/>
          <w:szCs w:val="24"/>
        </w:rPr>
        <w:t xml:space="preserve">codifies </w:t>
      </w:r>
      <w:r w:rsidR="00A43F8E" w:rsidRPr="006E25B0">
        <w:rPr>
          <w:rFonts w:ascii="Times New Roman" w:hAnsi="Times New Roman" w:cs="Times New Roman"/>
          <w:noProof/>
          <w:sz w:val="24"/>
          <w:szCs w:val="24"/>
        </w:rPr>
        <w:t xml:space="preserve">and specifies </w:t>
      </w:r>
      <w:r w:rsidR="008E7D18" w:rsidRPr="006E25B0">
        <w:rPr>
          <w:rFonts w:ascii="Times New Roman" w:hAnsi="Times New Roman" w:cs="Times New Roman"/>
          <w:noProof/>
          <w:sz w:val="24"/>
          <w:szCs w:val="24"/>
        </w:rPr>
        <w:t>this case-law</w:t>
      </w:r>
      <w:r w:rsidR="00AA3ADA" w:rsidRPr="006E25B0">
        <w:rPr>
          <w:rFonts w:ascii="Times New Roman" w:hAnsi="Times New Roman" w:cs="Times New Roman"/>
          <w:noProof/>
          <w:sz w:val="24"/>
          <w:szCs w:val="24"/>
        </w:rPr>
        <w:t xml:space="preserve"> (→</w:t>
      </w:r>
      <w:bookmarkStart w:id="33" w:name="_Hlk111109665"/>
      <w:r w:rsidR="00AA3ADA" w:rsidRPr="006E25B0">
        <w:rPr>
          <w:rFonts w:ascii="Times New Roman" w:hAnsi="Times New Roman" w:cs="Times New Roman"/>
          <w:noProof/>
          <w:sz w:val="24"/>
          <w:szCs w:val="24"/>
        </w:rPr>
        <w:t>Cross-Border Healthcare Under Article 56 TFEU and the Patients’ Rights Directive</w:t>
      </w:r>
      <w:bookmarkEnd w:id="33"/>
      <w:r w:rsidR="00AA3ADA"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w:t>
      </w:r>
    </w:p>
    <w:p w14:paraId="525A1516" w14:textId="68152014"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47</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Although their number pales in comparison with unplanned treatments, planned treatments have given rise to vigorous debate. </w:t>
      </w:r>
      <w:r w:rsidR="00767F97" w:rsidRPr="006E25B0">
        <w:rPr>
          <w:rFonts w:ascii="Times New Roman" w:hAnsi="Times New Roman" w:cs="Times New Roman"/>
          <w:noProof/>
          <w:sz w:val="24"/>
          <w:szCs w:val="24"/>
        </w:rPr>
        <w:t xml:space="preserve">A worry is that the right to </w:t>
      </w:r>
      <w:r w:rsidR="006D3B81" w:rsidRPr="006E25B0">
        <w:rPr>
          <w:rFonts w:ascii="Times New Roman" w:hAnsi="Times New Roman" w:cs="Times New Roman"/>
          <w:noProof/>
          <w:sz w:val="24"/>
          <w:szCs w:val="24"/>
        </w:rPr>
        <w:t xml:space="preserve">seek treatment abroad </w:t>
      </w:r>
      <w:r w:rsidR="00767F97" w:rsidRPr="006E25B0">
        <w:rPr>
          <w:rFonts w:ascii="Times New Roman" w:hAnsi="Times New Roman" w:cs="Times New Roman"/>
          <w:noProof/>
          <w:sz w:val="24"/>
          <w:szCs w:val="24"/>
        </w:rPr>
        <w:t xml:space="preserve">diverts finite resources from immobile to more privileged mobile </w:t>
      </w:r>
      <w:r w:rsidR="006D3B81" w:rsidRPr="006E25B0">
        <w:rPr>
          <w:rFonts w:ascii="Times New Roman" w:hAnsi="Times New Roman" w:cs="Times New Roman"/>
          <w:noProof/>
          <w:sz w:val="24"/>
          <w:szCs w:val="24"/>
        </w:rPr>
        <w:t xml:space="preserve">citizens </w:t>
      </w:r>
      <w:r w:rsidR="00767F97" w:rsidRPr="006E25B0">
        <w:rPr>
          <w:rFonts w:ascii="Times New Roman" w:hAnsi="Times New Roman" w:cs="Times New Roman"/>
          <w:noProof/>
          <w:sz w:val="24"/>
          <w:szCs w:val="24"/>
        </w:rPr>
        <w:t xml:space="preserve">(see eg Newdick, 1646). </w:t>
      </w:r>
      <w:r w:rsidR="008E7D18" w:rsidRPr="006E25B0">
        <w:rPr>
          <w:rFonts w:ascii="Times New Roman" w:hAnsi="Times New Roman" w:cs="Times New Roman"/>
          <w:noProof/>
          <w:sz w:val="24"/>
          <w:szCs w:val="24"/>
        </w:rPr>
        <w:t xml:space="preserve">It is </w:t>
      </w:r>
      <w:r w:rsidR="006D3B81" w:rsidRPr="006E25B0">
        <w:rPr>
          <w:rFonts w:ascii="Times New Roman" w:hAnsi="Times New Roman" w:cs="Times New Roman"/>
          <w:noProof/>
          <w:sz w:val="24"/>
          <w:szCs w:val="24"/>
        </w:rPr>
        <w:t xml:space="preserve">also </w:t>
      </w:r>
      <w:r w:rsidR="008E7D18" w:rsidRPr="006E25B0">
        <w:rPr>
          <w:rFonts w:ascii="Times New Roman" w:hAnsi="Times New Roman" w:cs="Times New Roman"/>
          <w:noProof/>
          <w:sz w:val="24"/>
          <w:szCs w:val="24"/>
        </w:rPr>
        <w:t>feared that the individualism and consumerism encouraged by the right to cross-border healthcare could detrimentally affect the communitarian values of trust, community and reciprocity that underpin social solidarity</w:t>
      </w:r>
      <w:r w:rsidR="000C26C4" w:rsidRPr="006E25B0">
        <w:rPr>
          <w:rFonts w:ascii="Times New Roman" w:hAnsi="Times New Roman" w:cs="Times New Roman"/>
          <w:noProof/>
          <w:sz w:val="24"/>
          <w:szCs w:val="24"/>
        </w:rPr>
        <w:t xml:space="preserve"> (see Newdick)</w:t>
      </w:r>
      <w:r w:rsidR="008E7D18" w:rsidRPr="006E25B0">
        <w:rPr>
          <w:rFonts w:ascii="Times New Roman" w:hAnsi="Times New Roman" w:cs="Times New Roman"/>
          <w:noProof/>
          <w:sz w:val="24"/>
          <w:szCs w:val="24"/>
        </w:rPr>
        <w:t>. Besides, there are concerns that courts are usurping the decision-making powers of the legislature in the distribution of resources</w:t>
      </w:r>
      <w:r w:rsidR="00F239B7" w:rsidRPr="006E25B0">
        <w:rPr>
          <w:rFonts w:ascii="Times New Roman" w:hAnsi="Times New Roman" w:cs="Times New Roman"/>
          <w:noProof/>
          <w:sz w:val="24"/>
          <w:szCs w:val="24"/>
        </w:rPr>
        <w:t xml:space="preserve"> (see eg Newdick, in particular 1651-1653)</w:t>
      </w:r>
      <w:r w:rsidR="008E7D18" w:rsidRPr="006E25B0">
        <w:rPr>
          <w:rFonts w:ascii="Times New Roman" w:hAnsi="Times New Roman" w:cs="Times New Roman"/>
          <w:noProof/>
          <w:sz w:val="24"/>
          <w:szCs w:val="24"/>
        </w:rPr>
        <w:t>. The two lines of argument meet: can courts truly do justice to nebulous yet important communitarian values</w:t>
      </w:r>
      <w:r w:rsidR="00A50AA7" w:rsidRPr="006E25B0">
        <w:rPr>
          <w:rFonts w:ascii="Times New Roman" w:hAnsi="Times New Roman" w:cs="Times New Roman"/>
          <w:noProof/>
          <w:sz w:val="24"/>
          <w:szCs w:val="24"/>
        </w:rPr>
        <w:t xml:space="preserve"> (see Davies, 114 a</w:t>
      </w:r>
      <w:r w:rsidR="004877A6" w:rsidRPr="006E25B0">
        <w:rPr>
          <w:rFonts w:ascii="Times New Roman" w:hAnsi="Times New Roman" w:cs="Times New Roman"/>
          <w:noProof/>
          <w:sz w:val="24"/>
          <w:szCs w:val="24"/>
        </w:rPr>
        <w:t>nd following</w:t>
      </w:r>
      <w:r w:rsidR="00A50AA7"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Drawing upon the work of Albert O Hirschman, Gareth Davies argues that privileged patients who are offered the option to exit the healthcare system will be less inclined to lobby that system, leading to a general decline or stagnation in the quality of healthcare</w:t>
      </w:r>
      <w:r w:rsidR="00A50AA7" w:rsidRPr="006E25B0">
        <w:rPr>
          <w:rFonts w:ascii="Times New Roman" w:hAnsi="Times New Roman" w:cs="Times New Roman"/>
          <w:noProof/>
          <w:sz w:val="24"/>
          <w:szCs w:val="24"/>
        </w:rPr>
        <w:t xml:space="preserve"> (see Davies, in particular 112-114)</w:t>
      </w:r>
      <w:r w:rsidR="008E7D18" w:rsidRPr="006E25B0">
        <w:rPr>
          <w:rFonts w:ascii="Times New Roman" w:hAnsi="Times New Roman" w:cs="Times New Roman"/>
          <w:noProof/>
          <w:sz w:val="24"/>
          <w:szCs w:val="24"/>
        </w:rPr>
        <w:t>. Clemens M Rieder, on the contrary, writes that patient mobility leads only to a partial exit: since mobile patients rely on the system of their State of affiliation for reimbursement, they maintain a stake in its maintenance and improvement</w:t>
      </w:r>
      <w:r w:rsidR="00A50AA7" w:rsidRPr="006E25B0">
        <w:rPr>
          <w:rFonts w:ascii="Times New Roman" w:hAnsi="Times New Roman" w:cs="Times New Roman"/>
          <w:noProof/>
          <w:sz w:val="24"/>
          <w:szCs w:val="24"/>
        </w:rPr>
        <w:t xml:space="preserve"> (see Rieder, 130)</w:t>
      </w:r>
      <w:r w:rsidR="008E7D18" w:rsidRPr="006E25B0">
        <w:rPr>
          <w:rFonts w:ascii="Times New Roman" w:hAnsi="Times New Roman" w:cs="Times New Roman"/>
          <w:noProof/>
          <w:sz w:val="24"/>
          <w:szCs w:val="24"/>
        </w:rPr>
        <w:t>. He argues that the threat of exit amplifies patients’ voice; therefore ‘a system that allows for exit is more sensitive to critique and flaws occurring in the system’</w:t>
      </w:r>
      <w:r w:rsidR="00A50AA7" w:rsidRPr="006E25B0">
        <w:rPr>
          <w:rFonts w:ascii="Times New Roman" w:hAnsi="Times New Roman" w:cs="Times New Roman"/>
          <w:noProof/>
          <w:sz w:val="24"/>
          <w:szCs w:val="24"/>
        </w:rPr>
        <w:t xml:space="preserve"> (Rieder, 134).</w:t>
      </w:r>
      <w:r w:rsidR="008E7D18" w:rsidRPr="006E25B0">
        <w:rPr>
          <w:rFonts w:ascii="Times New Roman" w:hAnsi="Times New Roman" w:cs="Times New Roman"/>
          <w:noProof/>
          <w:sz w:val="24"/>
          <w:szCs w:val="24"/>
        </w:rPr>
        <w:t xml:space="preserve"> </w:t>
      </w:r>
    </w:p>
    <w:p w14:paraId="64E7CA20" w14:textId="5575B025"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(b)</w:t>
      </w:r>
      <w:r w:rsidR="003069F4"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Old-</w:t>
      </w:r>
      <w:r w:rsidR="00E43576" w:rsidRPr="006E25B0">
        <w:rPr>
          <w:rFonts w:ascii="Times New Roman" w:hAnsi="Times New Roman" w:cs="Times New Roman"/>
          <w:noProof/>
          <w:color w:val="auto"/>
        </w:rPr>
        <w:t>age pensions</w:t>
      </w:r>
    </w:p>
    <w:p w14:paraId="2B42255D" w14:textId="3E424544"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48</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While mandatory, statutory old-age pension schemes represent very large social protection expenditure at national level, their intricate coordination at European level has </w:t>
      </w:r>
      <w:r w:rsidR="00EA5F3E" w:rsidRPr="006E25B0">
        <w:rPr>
          <w:rFonts w:ascii="Times New Roman" w:hAnsi="Times New Roman" w:cs="Times New Roman"/>
          <w:noProof/>
          <w:sz w:val="24"/>
          <w:szCs w:val="24"/>
        </w:rPr>
        <w:t xml:space="preserve">received </w:t>
      </w:r>
      <w:r w:rsidR="008E7D18" w:rsidRPr="006E25B0">
        <w:rPr>
          <w:rFonts w:ascii="Times New Roman" w:hAnsi="Times New Roman" w:cs="Times New Roman"/>
          <w:noProof/>
          <w:sz w:val="24"/>
          <w:szCs w:val="24"/>
        </w:rPr>
        <w:t>scant attention since its reform in 1992</w:t>
      </w:r>
      <w:r w:rsidR="00F239B7" w:rsidRPr="006E25B0">
        <w:rPr>
          <w:rFonts w:ascii="Times New Roman" w:hAnsi="Times New Roman" w:cs="Times New Roman"/>
          <w:noProof/>
          <w:sz w:val="24"/>
          <w:szCs w:val="24"/>
        </w:rPr>
        <w:t xml:space="preserve"> (for an isolated example, see Verschueren, 2009)</w:t>
      </w:r>
      <w:r w:rsidR="008E7D18" w:rsidRPr="006E25B0">
        <w:rPr>
          <w:rFonts w:ascii="Times New Roman" w:hAnsi="Times New Roman" w:cs="Times New Roman"/>
          <w:noProof/>
          <w:sz w:val="24"/>
          <w:szCs w:val="24"/>
        </w:rPr>
        <w:t xml:space="preserve">. The approach to cash sickness benefits—one Member State bears the entire burden, </w:t>
      </w:r>
      <w:r w:rsidR="00076EF2" w:rsidRPr="006E25B0">
        <w:rPr>
          <w:rFonts w:ascii="Times New Roman" w:hAnsi="Times New Roman" w:cs="Times New Roman"/>
          <w:noProof/>
          <w:sz w:val="24"/>
          <w:szCs w:val="24"/>
        </w:rPr>
        <w:t xml:space="preserve">irrespective </w:t>
      </w:r>
      <w:r w:rsidR="008E7D18" w:rsidRPr="006E25B0">
        <w:rPr>
          <w:rFonts w:ascii="Times New Roman" w:hAnsi="Times New Roman" w:cs="Times New Roman"/>
          <w:noProof/>
          <w:sz w:val="24"/>
          <w:szCs w:val="24"/>
        </w:rPr>
        <w:t xml:space="preserve">of the length of time the beneficiary was connected to it—governs a number of social security benefits, but is inadequate for old-age pensions. It would expose retirement schemes to circumvention: as </w:t>
      </w:r>
      <w:r w:rsidR="003674D5" w:rsidRPr="006E25B0">
        <w:rPr>
          <w:rFonts w:ascii="Times New Roman" w:hAnsi="Times New Roman" w:cs="Times New Roman"/>
          <w:noProof/>
          <w:sz w:val="24"/>
          <w:szCs w:val="24"/>
        </w:rPr>
        <w:t xml:space="preserve">retirement </w:t>
      </w:r>
      <w:r w:rsidR="008E7D18" w:rsidRPr="006E25B0">
        <w:rPr>
          <w:rFonts w:ascii="Times New Roman" w:hAnsi="Times New Roman" w:cs="Times New Roman"/>
          <w:noProof/>
          <w:sz w:val="24"/>
          <w:szCs w:val="24"/>
        </w:rPr>
        <w:t>age is fully predictable and old-age pensions are life-defining, citizens could be tempted to move in the very last stages of their career, so as to obtain an attractive pension. This would sever the link between funding (during career) and benefit (after career).</w:t>
      </w:r>
      <w:r w:rsidR="008E7D18" w:rsidRPr="006E25B0" w:rsidDel="005D1E6A">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Instead of obliging a single Member State to award a full benefit, as if the migrant had never left its territory, Chapter 5 of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883/2004 requires every State that once was competent to grant a pension, the amount of which reflects the duration of its competence. Moving to another State two years before retiring will yield a pension, albeit a modest one. Responsibility for pensions is diffracted across several States. The sum of the resulting partial pensions corresponds to the pensioner’s occupational and residential history. </w:t>
      </w:r>
    </w:p>
    <w:p w14:paraId="23A01E4E" w14:textId="450976B6" w:rsidR="008E7D18" w:rsidRPr="006E25B0" w:rsidRDefault="005821D8" w:rsidP="00D95347">
      <w:pPr>
        <w:pStyle w:val="Heading3"/>
        <w:rPr>
          <w:rFonts w:ascii="Times New Roman" w:hAnsi="Times New Roman" w:cs="Times New Roman"/>
          <w:noProof/>
          <w:color w:val="auto"/>
        </w:rPr>
      </w:pPr>
      <w:r w:rsidRPr="006E25B0">
        <w:rPr>
          <w:rFonts w:ascii="Times New Roman" w:hAnsi="Times New Roman" w:cs="Times New Roman"/>
          <w:noProof/>
          <w:color w:val="auto"/>
        </w:rPr>
        <w:t>(c)</w:t>
      </w:r>
      <w:r w:rsidR="003069F4"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Family </w:t>
      </w:r>
      <w:r w:rsidR="00E43576" w:rsidRPr="006E25B0">
        <w:rPr>
          <w:rFonts w:ascii="Times New Roman" w:hAnsi="Times New Roman" w:cs="Times New Roman"/>
          <w:noProof/>
          <w:color w:val="auto"/>
        </w:rPr>
        <w:t>b</w:t>
      </w:r>
      <w:r w:rsidR="008E7D18" w:rsidRPr="006E25B0">
        <w:rPr>
          <w:rFonts w:ascii="Times New Roman" w:hAnsi="Times New Roman" w:cs="Times New Roman"/>
          <w:noProof/>
          <w:color w:val="auto"/>
        </w:rPr>
        <w:t>enefits</w:t>
      </w:r>
    </w:p>
    <w:p w14:paraId="50B74EAE" w14:textId="06E7A794"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49</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Unlike other social security benefits, family benefits target a family unit rather than an individual.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883/2004 first determines the law applicable to each member of the household. That law is then applied, taking into account the principles laid down in </w:t>
      </w:r>
      <w:r w:rsidR="005A6CF7" w:rsidRPr="006E25B0">
        <w:rPr>
          <w:rFonts w:ascii="Times New Roman" w:hAnsi="Times New Roman" w:cs="Times New Roman"/>
          <w:noProof/>
          <w:sz w:val="24"/>
          <w:szCs w:val="24"/>
        </w:rPr>
        <w:t>Art</w:t>
      </w:r>
      <w:r w:rsidR="004750DE" w:rsidRPr="006E25B0">
        <w:rPr>
          <w:rFonts w:ascii="Times New Roman" w:hAnsi="Times New Roman" w:cs="Times New Roman"/>
          <w:noProof/>
          <w:sz w:val="24"/>
          <w:szCs w:val="24"/>
        </w:rPr>
        <w:t>icles</w:t>
      </w:r>
      <w:r w:rsidR="008E7D18" w:rsidRPr="006E25B0">
        <w:rPr>
          <w:rFonts w:ascii="Times New Roman" w:hAnsi="Times New Roman" w:cs="Times New Roman"/>
          <w:noProof/>
          <w:sz w:val="24"/>
          <w:szCs w:val="24"/>
        </w:rPr>
        <w:t xml:space="preserve"> 4–7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Where more than one Member State awards benefits in respect of the same child and period, the regulation</w:t>
      </w:r>
      <w:r w:rsidR="00AD3793" w:rsidRPr="006E25B0">
        <w:rPr>
          <w:rFonts w:ascii="Times New Roman" w:hAnsi="Times New Roman" w:cs="Times New Roman"/>
          <w:noProof/>
          <w:sz w:val="24"/>
          <w:szCs w:val="24"/>
        </w:rPr>
        <w:t>s</w:t>
      </w:r>
      <w:r w:rsidR="008E7D18" w:rsidRPr="006E25B0">
        <w:rPr>
          <w:rFonts w:ascii="Times New Roman" w:hAnsi="Times New Roman" w:cs="Times New Roman"/>
          <w:noProof/>
          <w:sz w:val="24"/>
          <w:szCs w:val="24"/>
        </w:rPr>
        <w:t xml:space="preserve"> do not so much prevent overlapping as organise it. Art</w:t>
      </w:r>
      <w:r w:rsidR="004750DE"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68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 ranks the Member States. The first State pays its entire benefit. Where the benefit of the second-in-rank is higher, it award</w:t>
      </w:r>
      <w:r w:rsidR="003674D5" w:rsidRPr="006E25B0">
        <w:rPr>
          <w:rFonts w:ascii="Times New Roman" w:hAnsi="Times New Roman" w:cs="Times New Roman"/>
          <w:noProof/>
          <w:sz w:val="24"/>
          <w:szCs w:val="24"/>
        </w:rPr>
        <w:t>s</w:t>
      </w:r>
      <w:r w:rsidR="008E7D18" w:rsidRPr="006E25B0">
        <w:rPr>
          <w:rFonts w:ascii="Times New Roman" w:hAnsi="Times New Roman" w:cs="Times New Roman"/>
          <w:noProof/>
          <w:sz w:val="24"/>
          <w:szCs w:val="24"/>
        </w:rPr>
        <w:t xml:space="preserve"> a supplement equal to the difference between the two amounts. The third and following Member States proceed accordingly. As a result, the family is guaranteed to receive the highest amount available in the competent States of its members.</w:t>
      </w:r>
    </w:p>
    <w:p w14:paraId="2B135A3E" w14:textId="0D2DC037" w:rsidR="00653361"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50</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A number of questions have occupied judges, academics and lawmakers: who is a family member, what rights do family members derive from one another, and how is the supplement calculated</w:t>
      </w:r>
      <w:r w:rsidR="006272CF" w:rsidRPr="006E25B0">
        <w:rPr>
          <w:rFonts w:ascii="Times New Roman" w:hAnsi="Times New Roman" w:cs="Times New Roman"/>
          <w:noProof/>
          <w:sz w:val="24"/>
          <w:szCs w:val="24"/>
        </w:rPr>
        <w:t xml:space="preserve"> (see eg Holm; Strban; Strban, Spiegel and Schoukens)</w:t>
      </w:r>
      <w:r w:rsidR="008E7D18" w:rsidRPr="006E25B0">
        <w:rPr>
          <w:rFonts w:ascii="Times New Roman" w:hAnsi="Times New Roman" w:cs="Times New Roman"/>
          <w:noProof/>
          <w:sz w:val="24"/>
          <w:szCs w:val="24"/>
        </w:rPr>
        <w:t>? The issue that stands out is the export of family benefits</w:t>
      </w:r>
      <w:r w:rsidR="002E7993" w:rsidRPr="006E25B0">
        <w:rPr>
          <w:rFonts w:ascii="Times New Roman" w:hAnsi="Times New Roman" w:cs="Times New Roman"/>
          <w:noProof/>
          <w:sz w:val="24"/>
          <w:szCs w:val="24"/>
        </w:rPr>
        <w:t xml:space="preserve"> (see eg Blauberger, Heindlmaier and Kobler)</w:t>
      </w:r>
      <w:r w:rsidR="008E7D18" w:rsidRPr="006E25B0">
        <w:rPr>
          <w:rFonts w:ascii="Times New Roman" w:hAnsi="Times New Roman" w:cs="Times New Roman"/>
          <w:noProof/>
          <w:sz w:val="24"/>
          <w:szCs w:val="24"/>
        </w:rPr>
        <w:t>. In the run-up to the Brexit referendum, then UK Prime Minister David Cameron argued that child benefits should not be paid across borders—a view that had been expressed in some academic quarters</w:t>
      </w:r>
      <w:r w:rsidR="00E36B14" w:rsidRPr="006E25B0">
        <w:rPr>
          <w:rFonts w:ascii="Times New Roman" w:hAnsi="Times New Roman" w:cs="Times New Roman"/>
          <w:noProof/>
          <w:sz w:val="24"/>
          <w:szCs w:val="24"/>
        </w:rPr>
        <w:t xml:space="preserve"> (Christensen and Malmstedt, 106; Pieters, 191, 193)</w:t>
      </w:r>
      <w:r w:rsidR="008E7D18" w:rsidRPr="006E25B0">
        <w:rPr>
          <w:rFonts w:ascii="Times New Roman" w:hAnsi="Times New Roman" w:cs="Times New Roman"/>
          <w:noProof/>
          <w:sz w:val="24"/>
          <w:szCs w:val="24"/>
        </w:rPr>
        <w:t xml:space="preserve">. </w:t>
      </w:r>
      <w:bookmarkStart w:id="34" w:name="_Hlk92277996"/>
      <w:r w:rsidR="008E7D18" w:rsidRPr="006E25B0">
        <w:rPr>
          <w:rFonts w:ascii="Times New Roman" w:hAnsi="Times New Roman" w:cs="Times New Roman"/>
          <w:noProof/>
          <w:sz w:val="24"/>
          <w:szCs w:val="24"/>
        </w:rPr>
        <w:t>The New Settlement for the UK within the EU envisaged that the Commission would propose to introduce in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883/2004 an option to index child benefits to the circumstances in the child’s Member State of residence. </w:t>
      </w:r>
      <w:bookmarkEnd w:id="34"/>
      <w:r w:rsidR="008E7D18" w:rsidRPr="006E25B0">
        <w:rPr>
          <w:rFonts w:ascii="Times New Roman" w:hAnsi="Times New Roman" w:cs="Times New Roman"/>
          <w:noProof/>
          <w:sz w:val="24"/>
          <w:szCs w:val="24"/>
        </w:rPr>
        <w:t>That agreement is legally defunct</w:t>
      </w:r>
      <w:r w:rsidR="00B77CC2" w:rsidRPr="006E25B0">
        <w:rPr>
          <w:rFonts w:ascii="Times New Roman" w:hAnsi="Times New Roman" w:cs="Times New Roman"/>
          <w:noProof/>
          <w:sz w:val="24"/>
          <w:szCs w:val="24"/>
        </w:rPr>
        <w:t xml:space="preserve"> due to the outcome of the referendum;</w:t>
      </w:r>
      <w:r w:rsidR="006E0627" w:rsidRPr="006E25B0">
        <w:rPr>
          <w:rFonts w:ascii="Times New Roman" w:hAnsi="Times New Roman" w:cs="Times New Roman"/>
          <w:noProof/>
          <w:sz w:val="24"/>
          <w:szCs w:val="24"/>
        </w:rPr>
        <w:t xml:space="preserve"> the CJEU </w:t>
      </w:r>
      <w:r w:rsidR="00B77CC2" w:rsidRPr="006E25B0">
        <w:rPr>
          <w:rFonts w:ascii="Times New Roman" w:hAnsi="Times New Roman" w:cs="Times New Roman"/>
          <w:noProof/>
          <w:sz w:val="24"/>
          <w:szCs w:val="24"/>
        </w:rPr>
        <w:t>held</w:t>
      </w:r>
      <w:r w:rsidR="006E0627" w:rsidRPr="006E25B0">
        <w:rPr>
          <w:rFonts w:ascii="Times New Roman" w:hAnsi="Times New Roman" w:cs="Times New Roman"/>
          <w:noProof/>
          <w:sz w:val="24"/>
          <w:szCs w:val="24"/>
        </w:rPr>
        <w:t xml:space="preserve"> that, had it been adopted, it would have been contrary to Article 45 TFEU and therefore invalid</w:t>
      </w:r>
      <w:r w:rsidR="00640818" w:rsidRPr="006E25B0">
        <w:rPr>
          <w:rFonts w:ascii="Times New Roman" w:hAnsi="Times New Roman" w:cs="Times New Roman"/>
          <w:noProof/>
          <w:sz w:val="24"/>
          <w:szCs w:val="24"/>
        </w:rPr>
        <w:t xml:space="preserve"> </w:t>
      </w:r>
      <w:r w:rsidR="006E0627" w:rsidRPr="006E25B0">
        <w:rPr>
          <w:rFonts w:ascii="Times New Roman" w:hAnsi="Times New Roman" w:cs="Times New Roman"/>
          <w:noProof/>
          <w:sz w:val="24"/>
          <w:szCs w:val="24"/>
        </w:rPr>
        <w:t>(</w:t>
      </w:r>
      <w:r w:rsidR="006E0627" w:rsidRPr="006E25B0">
        <w:rPr>
          <w:rFonts w:ascii="Times New Roman" w:hAnsi="Times New Roman" w:cs="Times New Roman"/>
          <w:i/>
          <w:iCs/>
          <w:noProof/>
          <w:sz w:val="24"/>
          <w:szCs w:val="24"/>
        </w:rPr>
        <w:t>Commission v Austria</w:t>
      </w:r>
      <w:r w:rsidR="006E0627" w:rsidRPr="006E25B0">
        <w:rPr>
          <w:rFonts w:ascii="Times New Roman" w:hAnsi="Times New Roman" w:cs="Times New Roman"/>
          <w:noProof/>
          <w:sz w:val="24"/>
          <w:szCs w:val="24"/>
        </w:rPr>
        <w:t>, para. 57)</w:t>
      </w:r>
      <w:r w:rsidR="00602C20" w:rsidRPr="006E25B0">
        <w:rPr>
          <w:rFonts w:ascii="Times New Roman" w:hAnsi="Times New Roman" w:cs="Times New Roman"/>
          <w:noProof/>
          <w:sz w:val="24"/>
          <w:szCs w:val="24"/>
        </w:rPr>
        <w:t xml:space="preserve">. </w:t>
      </w:r>
      <w:r w:rsidR="006E0627" w:rsidRPr="006E25B0">
        <w:rPr>
          <w:rFonts w:ascii="Times New Roman" w:hAnsi="Times New Roman" w:cs="Times New Roman"/>
          <w:noProof/>
          <w:sz w:val="24"/>
          <w:szCs w:val="24"/>
        </w:rPr>
        <w:t>In th</w:t>
      </w:r>
      <w:r w:rsidR="00626649" w:rsidRPr="006E25B0">
        <w:rPr>
          <w:rFonts w:ascii="Times New Roman" w:hAnsi="Times New Roman" w:cs="Times New Roman"/>
          <w:noProof/>
          <w:sz w:val="24"/>
          <w:szCs w:val="24"/>
        </w:rPr>
        <w:t xml:space="preserve">at </w:t>
      </w:r>
      <w:r w:rsidR="006E0627" w:rsidRPr="006E25B0">
        <w:rPr>
          <w:rFonts w:ascii="Times New Roman" w:hAnsi="Times New Roman" w:cs="Times New Roman"/>
          <w:noProof/>
          <w:sz w:val="24"/>
          <w:szCs w:val="24"/>
        </w:rPr>
        <w:t xml:space="preserve">case, the CJEU </w:t>
      </w:r>
      <w:r w:rsidR="00B77CC2" w:rsidRPr="006E25B0">
        <w:rPr>
          <w:rFonts w:ascii="Times New Roman" w:hAnsi="Times New Roman" w:cs="Times New Roman"/>
          <w:noProof/>
          <w:sz w:val="24"/>
          <w:szCs w:val="24"/>
        </w:rPr>
        <w:t>found</w:t>
      </w:r>
      <w:r w:rsidR="006E0627" w:rsidRPr="006E25B0">
        <w:rPr>
          <w:rFonts w:ascii="Times New Roman" w:hAnsi="Times New Roman" w:cs="Times New Roman"/>
          <w:noProof/>
          <w:sz w:val="24"/>
          <w:szCs w:val="24"/>
        </w:rPr>
        <w:t xml:space="preserve"> t</w:t>
      </w:r>
      <w:r w:rsidR="00602C20" w:rsidRPr="006E25B0">
        <w:rPr>
          <w:rFonts w:ascii="Times New Roman" w:hAnsi="Times New Roman" w:cs="Times New Roman"/>
          <w:noProof/>
          <w:sz w:val="24"/>
          <w:szCs w:val="24"/>
        </w:rPr>
        <w:t xml:space="preserve">he </w:t>
      </w:r>
      <w:r w:rsidR="00626649" w:rsidRPr="006E25B0">
        <w:rPr>
          <w:rFonts w:ascii="Times New Roman" w:hAnsi="Times New Roman" w:cs="Times New Roman"/>
          <w:noProof/>
          <w:sz w:val="24"/>
          <w:szCs w:val="24"/>
        </w:rPr>
        <w:t xml:space="preserve">linkage </w:t>
      </w:r>
      <w:r w:rsidR="00602C20" w:rsidRPr="006E25B0">
        <w:rPr>
          <w:rFonts w:ascii="Times New Roman" w:hAnsi="Times New Roman" w:cs="Times New Roman"/>
          <w:noProof/>
          <w:sz w:val="24"/>
          <w:szCs w:val="24"/>
        </w:rPr>
        <w:t>of the amount of</w:t>
      </w:r>
      <w:r w:rsidR="00626649" w:rsidRPr="006E25B0">
        <w:rPr>
          <w:rFonts w:ascii="Times New Roman" w:hAnsi="Times New Roman" w:cs="Times New Roman"/>
          <w:noProof/>
          <w:sz w:val="24"/>
          <w:szCs w:val="24"/>
        </w:rPr>
        <w:t xml:space="preserve"> Austrian</w:t>
      </w:r>
      <w:r w:rsidR="00602C20" w:rsidRPr="006E25B0">
        <w:rPr>
          <w:rFonts w:ascii="Times New Roman" w:hAnsi="Times New Roman" w:cs="Times New Roman"/>
          <w:noProof/>
          <w:sz w:val="24"/>
          <w:szCs w:val="24"/>
        </w:rPr>
        <w:t xml:space="preserve"> family benefits </w:t>
      </w:r>
      <w:r w:rsidR="00626649" w:rsidRPr="006E25B0">
        <w:rPr>
          <w:rFonts w:ascii="Times New Roman" w:hAnsi="Times New Roman" w:cs="Times New Roman"/>
          <w:noProof/>
          <w:sz w:val="24"/>
          <w:szCs w:val="24"/>
        </w:rPr>
        <w:t xml:space="preserve">to </w:t>
      </w:r>
      <w:r w:rsidR="00B77CC2" w:rsidRPr="006E25B0">
        <w:rPr>
          <w:rFonts w:ascii="Times New Roman" w:hAnsi="Times New Roman" w:cs="Times New Roman"/>
          <w:noProof/>
          <w:sz w:val="24"/>
          <w:szCs w:val="24"/>
        </w:rPr>
        <w:t xml:space="preserve">the </w:t>
      </w:r>
      <w:r w:rsidR="00725619" w:rsidRPr="006E25B0">
        <w:rPr>
          <w:rFonts w:ascii="Times New Roman" w:hAnsi="Times New Roman" w:cs="Times New Roman"/>
          <w:noProof/>
          <w:sz w:val="24"/>
          <w:szCs w:val="24"/>
        </w:rPr>
        <w:t xml:space="preserve">cost of living in the child’s State of residence </w:t>
      </w:r>
      <w:r w:rsidR="006E0627" w:rsidRPr="006E25B0">
        <w:rPr>
          <w:rFonts w:ascii="Times New Roman" w:hAnsi="Times New Roman" w:cs="Times New Roman"/>
          <w:noProof/>
          <w:sz w:val="24"/>
          <w:szCs w:val="24"/>
        </w:rPr>
        <w:t>to be incompatible with EU law.</w:t>
      </w:r>
      <w:r w:rsidR="008E7D18" w:rsidRPr="006E25B0">
        <w:rPr>
          <w:rFonts w:ascii="Times New Roman" w:hAnsi="Times New Roman" w:cs="Times New Roman"/>
          <w:noProof/>
          <w:sz w:val="24"/>
          <w:szCs w:val="24"/>
        </w:rPr>
        <w:t xml:space="preserve"> </w:t>
      </w:r>
    </w:p>
    <w:p w14:paraId="294CF415" w14:textId="413A57F1" w:rsidR="008E7D18" w:rsidRPr="006E25B0" w:rsidRDefault="00D14284" w:rsidP="00D95347">
      <w:pPr>
        <w:pStyle w:val="Heading1"/>
        <w:rPr>
          <w:rFonts w:ascii="Times New Roman" w:hAnsi="Times New Roman" w:cs="Times New Roman"/>
          <w:noProof/>
          <w:color w:val="auto"/>
        </w:rPr>
      </w:pPr>
      <w:r w:rsidRPr="006E25B0">
        <w:rPr>
          <w:rFonts w:ascii="Times New Roman" w:hAnsi="Times New Roman" w:cs="Times New Roman"/>
          <w:noProof/>
          <w:color w:val="auto"/>
        </w:rPr>
        <w:t>C</w:t>
      </w:r>
      <w:r w:rsidR="003069F4" w:rsidRPr="006E25B0">
        <w:rPr>
          <w:rFonts w:ascii="Times New Roman" w:hAnsi="Times New Roman" w:cs="Times New Roman"/>
          <w:noProof/>
          <w:color w:val="auto"/>
        </w:rPr>
        <w:t xml:space="preserve">. </w:t>
      </w:r>
      <w:r w:rsidR="008E7D18" w:rsidRPr="006E25B0">
        <w:rPr>
          <w:rFonts w:ascii="Times New Roman" w:hAnsi="Times New Roman" w:cs="Times New Roman"/>
          <w:noProof/>
          <w:color w:val="auto"/>
        </w:rPr>
        <w:t xml:space="preserve">Social </w:t>
      </w:r>
      <w:r w:rsidR="00F80704" w:rsidRPr="006E25B0">
        <w:rPr>
          <w:rFonts w:ascii="Times New Roman" w:hAnsi="Times New Roman" w:cs="Times New Roman"/>
          <w:noProof/>
          <w:color w:val="auto"/>
        </w:rPr>
        <w:t>A</w:t>
      </w:r>
      <w:r w:rsidR="008E7D18" w:rsidRPr="006E25B0">
        <w:rPr>
          <w:rFonts w:ascii="Times New Roman" w:hAnsi="Times New Roman" w:cs="Times New Roman"/>
          <w:noProof/>
          <w:color w:val="auto"/>
        </w:rPr>
        <w:t>ssistance</w:t>
      </w:r>
    </w:p>
    <w:p w14:paraId="083C89D9" w14:textId="789C6E68"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51</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In social policy terms, social assistance covers a range of residual benefits in cash (ie minimum subsistence benefits) and in kind (eg services for homeless people) covering the risk of need (or poverty). Minimum subsistence benefits have long occupied EU institutions. </w:t>
      </w:r>
      <w:r w:rsidR="008E7D18" w:rsidRPr="006E25B0">
        <w:rPr>
          <w:rFonts w:ascii="Times New Roman" w:hAnsi="Times New Roman" w:cs="Times New Roman"/>
          <w:i/>
          <w:iCs/>
          <w:noProof/>
          <w:sz w:val="24"/>
          <w:szCs w:val="24"/>
        </w:rPr>
        <w:t>Universal</w:t>
      </w:r>
      <w:r w:rsidR="008E7D18" w:rsidRPr="006E25B0">
        <w:rPr>
          <w:rFonts w:ascii="Times New Roman" w:hAnsi="Times New Roman" w:cs="Times New Roman"/>
          <w:noProof/>
          <w:sz w:val="24"/>
          <w:szCs w:val="24"/>
        </w:rPr>
        <w:t xml:space="preserve"> minimum subsistence benefits, which cover only the risk of need, always were excluded from the scope of the social security regulations</w:t>
      </w:r>
      <w:r w:rsidR="002D7C15" w:rsidRPr="006E25B0">
        <w:rPr>
          <w:rFonts w:ascii="Times New Roman" w:hAnsi="Times New Roman" w:cs="Times New Roman"/>
          <w:noProof/>
          <w:sz w:val="24"/>
          <w:szCs w:val="24"/>
        </w:rPr>
        <w:t xml:space="preserve"> (Art. 3(5)(a) Regulation</w:t>
      </w:r>
      <w:r w:rsidR="00C67654" w:rsidRPr="006E25B0">
        <w:rPr>
          <w:rFonts w:ascii="Times New Roman" w:hAnsi="Times New Roman" w:cs="Times New Roman"/>
          <w:noProof/>
          <w:sz w:val="24"/>
          <w:szCs w:val="24"/>
        </w:rPr>
        <w:t xml:space="preserve"> </w:t>
      </w:r>
      <w:r w:rsidR="002D7C15" w:rsidRPr="006E25B0">
        <w:rPr>
          <w:rFonts w:ascii="Times New Roman" w:hAnsi="Times New Roman" w:cs="Times New Roman"/>
          <w:noProof/>
          <w:sz w:val="24"/>
          <w:szCs w:val="24"/>
        </w:rPr>
        <w:t>883/2004)</w:t>
      </w:r>
      <w:r w:rsidR="008E7D18" w:rsidRPr="006E25B0">
        <w:rPr>
          <w:rFonts w:ascii="Times New Roman" w:hAnsi="Times New Roman" w:cs="Times New Roman"/>
          <w:noProof/>
          <w:sz w:val="24"/>
          <w:szCs w:val="24"/>
        </w:rPr>
        <w:t xml:space="preserve">. </w:t>
      </w:r>
      <w:r w:rsidR="008E7D18" w:rsidRPr="006E25B0">
        <w:rPr>
          <w:rFonts w:ascii="Times New Roman" w:hAnsi="Times New Roman" w:cs="Times New Roman"/>
          <w:i/>
          <w:iCs/>
          <w:noProof/>
          <w:sz w:val="24"/>
          <w:szCs w:val="24"/>
        </w:rPr>
        <w:t>Categorical</w:t>
      </w:r>
      <w:r w:rsidR="008E7D18" w:rsidRPr="006E25B0">
        <w:rPr>
          <w:rFonts w:ascii="Times New Roman" w:hAnsi="Times New Roman" w:cs="Times New Roman"/>
          <w:noProof/>
          <w:sz w:val="24"/>
          <w:szCs w:val="24"/>
        </w:rPr>
        <w:t xml:space="preserve"> minimum subsistence benefits cover not only the risk of need, but also a social security risk such as old age or disability, taking the shape of income- or means-tested benefits for elderly or disabled people. As they straddle the border between ‘pure’ social assistance and ‘pure’ social security, the CJEU brought them within the scope of the social security regulations for certain people</w:t>
      </w:r>
      <w:r w:rsidR="004075EC" w:rsidRPr="006E25B0">
        <w:rPr>
          <w:rFonts w:ascii="Times New Roman" w:hAnsi="Times New Roman" w:cs="Times New Roman"/>
          <w:noProof/>
          <w:sz w:val="24"/>
          <w:szCs w:val="24"/>
        </w:rPr>
        <w:t xml:space="preserve"> (</w:t>
      </w:r>
      <w:r w:rsidR="004075EC" w:rsidRPr="006E25B0">
        <w:rPr>
          <w:rFonts w:ascii="Times New Roman" w:hAnsi="Times New Roman" w:cs="Times New Roman"/>
          <w:i/>
          <w:noProof/>
          <w:sz w:val="24"/>
          <w:szCs w:val="24"/>
        </w:rPr>
        <w:t>Frilli</w:t>
      </w:r>
      <w:r w:rsidR="004075EC"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The EU legislator later created specific rules for such ‘special non-contributory cash benefits’: the Member State of residence is competent, without having to export</w:t>
      </w:r>
      <w:r w:rsidR="004075EC" w:rsidRPr="006E25B0">
        <w:rPr>
          <w:rFonts w:ascii="Times New Roman" w:hAnsi="Times New Roman" w:cs="Times New Roman"/>
          <w:noProof/>
          <w:sz w:val="24"/>
          <w:szCs w:val="24"/>
        </w:rPr>
        <w:t xml:space="preserve"> (now Art. 70 Regulation</w:t>
      </w:r>
      <w:r w:rsidR="00C67654" w:rsidRPr="006E25B0">
        <w:rPr>
          <w:rFonts w:ascii="Times New Roman" w:hAnsi="Times New Roman" w:cs="Times New Roman"/>
          <w:noProof/>
          <w:sz w:val="24"/>
          <w:szCs w:val="24"/>
        </w:rPr>
        <w:t xml:space="preserve"> </w:t>
      </w:r>
      <w:r w:rsidR="004075EC" w:rsidRPr="006E25B0">
        <w:rPr>
          <w:rFonts w:ascii="Times New Roman" w:hAnsi="Times New Roman" w:cs="Times New Roman"/>
          <w:noProof/>
          <w:sz w:val="24"/>
          <w:szCs w:val="24"/>
        </w:rPr>
        <w:t>883/2004)</w:t>
      </w:r>
      <w:r w:rsidR="008E7D18" w:rsidRPr="006E25B0">
        <w:rPr>
          <w:rFonts w:ascii="Times New Roman" w:hAnsi="Times New Roman" w:cs="Times New Roman"/>
          <w:noProof/>
          <w:sz w:val="24"/>
          <w:szCs w:val="24"/>
        </w:rPr>
        <w:t>. These interventions by the CJEU and the EU legislator gave rise to lively debates, which have since subsided</w:t>
      </w:r>
      <w:r w:rsidR="004075EC" w:rsidRPr="006E25B0">
        <w:rPr>
          <w:rFonts w:ascii="Times New Roman" w:hAnsi="Times New Roman" w:cs="Times New Roman"/>
          <w:noProof/>
          <w:sz w:val="24"/>
          <w:szCs w:val="24"/>
        </w:rPr>
        <w:t xml:space="preserve"> (see eg van der Mei, 2002)</w:t>
      </w:r>
      <w:r w:rsidR="008E7D18" w:rsidRPr="006E25B0">
        <w:rPr>
          <w:rFonts w:ascii="Times New Roman" w:hAnsi="Times New Roman" w:cs="Times New Roman"/>
          <w:noProof/>
          <w:sz w:val="24"/>
          <w:szCs w:val="24"/>
        </w:rPr>
        <w:t xml:space="preserve">. The distinction between universal and categorical minimum subsistence benefits lost some importance due to the erosion of the protection afforded by the regulations in </w:t>
      </w:r>
      <w:r w:rsidR="002E47C0" w:rsidRPr="006E25B0">
        <w:rPr>
          <w:rFonts w:ascii="Times New Roman" w:hAnsi="Times New Roman" w:cs="Times New Roman"/>
          <w:noProof/>
          <w:sz w:val="24"/>
          <w:szCs w:val="24"/>
        </w:rPr>
        <w:t xml:space="preserve">CJEU </w:t>
      </w:r>
      <w:r w:rsidR="008E7D18" w:rsidRPr="006E25B0">
        <w:rPr>
          <w:rFonts w:ascii="Times New Roman" w:hAnsi="Times New Roman" w:cs="Times New Roman"/>
          <w:noProof/>
          <w:sz w:val="24"/>
          <w:szCs w:val="24"/>
        </w:rPr>
        <w:t>case-law. Access to all minimum subsistence benefits now depends primarily on the categories of general EU free movement law</w:t>
      </w:r>
      <w:r w:rsidR="00C51BE3" w:rsidRPr="006E25B0">
        <w:rPr>
          <w:rFonts w:ascii="Times New Roman" w:hAnsi="Times New Roman" w:cs="Times New Roman"/>
          <w:noProof/>
          <w:sz w:val="24"/>
          <w:szCs w:val="24"/>
        </w:rPr>
        <w:t xml:space="preserve"> (see below; </w:t>
      </w:r>
      <w:r w:rsidR="00E26A9A" w:rsidRPr="006E25B0">
        <w:rPr>
          <w:rFonts w:ascii="Times New Roman" w:hAnsi="Times New Roman" w:cs="Times New Roman"/>
          <w:noProof/>
          <w:sz w:val="24"/>
          <w:szCs w:val="24"/>
        </w:rPr>
        <w:t xml:space="preserve">space precludes </w:t>
      </w:r>
      <w:r w:rsidR="00394219" w:rsidRPr="006E25B0">
        <w:rPr>
          <w:rFonts w:ascii="Times New Roman" w:hAnsi="Times New Roman" w:cs="Times New Roman"/>
          <w:noProof/>
          <w:sz w:val="24"/>
          <w:szCs w:val="24"/>
        </w:rPr>
        <w:t xml:space="preserve">analysis </w:t>
      </w:r>
      <w:r w:rsidR="00E26A9A" w:rsidRPr="006E25B0">
        <w:rPr>
          <w:rFonts w:ascii="Times New Roman" w:hAnsi="Times New Roman" w:cs="Times New Roman"/>
          <w:noProof/>
          <w:sz w:val="24"/>
          <w:szCs w:val="24"/>
        </w:rPr>
        <w:t xml:space="preserve">of </w:t>
      </w:r>
      <w:r w:rsidR="00306C8F" w:rsidRPr="006E25B0">
        <w:rPr>
          <w:rFonts w:ascii="Times New Roman" w:hAnsi="Times New Roman" w:cs="Times New Roman"/>
          <w:noProof/>
          <w:sz w:val="24"/>
          <w:szCs w:val="24"/>
        </w:rPr>
        <w:t>groups such as jobseekers</w:t>
      </w:r>
      <w:r w:rsidR="00C51BE3"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Access to special non-contributory cash benefits in particular is facilitated by </w:t>
      </w:r>
      <w:r w:rsidR="005A6CF7" w:rsidRPr="006E25B0">
        <w:rPr>
          <w:rFonts w:ascii="Times New Roman" w:hAnsi="Times New Roman" w:cs="Times New Roman"/>
          <w:noProof/>
          <w:sz w:val="24"/>
          <w:szCs w:val="24"/>
        </w:rPr>
        <w:t>Art</w:t>
      </w:r>
      <w:r w:rsidR="004750DE" w:rsidRPr="006E25B0">
        <w:rPr>
          <w:rFonts w:ascii="Times New Roman" w:hAnsi="Times New Roman" w:cs="Times New Roman"/>
          <w:noProof/>
          <w:sz w:val="24"/>
          <w:szCs w:val="24"/>
        </w:rPr>
        <w:t>icles</w:t>
      </w:r>
      <w:r w:rsidR="008E7D18" w:rsidRPr="006E25B0">
        <w:rPr>
          <w:rFonts w:ascii="Times New Roman" w:hAnsi="Times New Roman" w:cs="Times New Roman"/>
          <w:noProof/>
          <w:sz w:val="24"/>
          <w:szCs w:val="24"/>
        </w:rPr>
        <w:t xml:space="preserve"> 4, 5 and 6 Regulation</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w:t>
      </w:r>
    </w:p>
    <w:p w14:paraId="1580F07F" w14:textId="3EAD69BD" w:rsidR="008E7D18" w:rsidRPr="006E25B0" w:rsidRDefault="003069F4" w:rsidP="00D95347">
      <w:pPr>
        <w:pStyle w:val="Heading2"/>
        <w:rPr>
          <w:rFonts w:ascii="Times New Roman" w:hAnsi="Times New Roman" w:cs="Times New Roman"/>
          <w:noProof/>
          <w:color w:val="auto"/>
        </w:rPr>
      </w:pPr>
      <w:bookmarkStart w:id="35" w:name="_Hlk88827685"/>
      <w:r w:rsidRPr="006E25B0">
        <w:rPr>
          <w:rFonts w:ascii="Times New Roman" w:hAnsi="Times New Roman" w:cs="Times New Roman"/>
          <w:noProof/>
          <w:color w:val="auto"/>
        </w:rPr>
        <w:t xml:space="preserve">1. </w:t>
      </w:r>
      <w:r w:rsidR="008E7D18" w:rsidRPr="006E25B0">
        <w:rPr>
          <w:rFonts w:ascii="Times New Roman" w:hAnsi="Times New Roman" w:cs="Times New Roman"/>
          <w:noProof/>
          <w:color w:val="auto"/>
        </w:rPr>
        <w:t xml:space="preserve">Economically </w:t>
      </w:r>
      <w:r w:rsidR="00E43576" w:rsidRPr="006E25B0">
        <w:rPr>
          <w:rFonts w:ascii="Times New Roman" w:hAnsi="Times New Roman" w:cs="Times New Roman"/>
          <w:noProof/>
          <w:color w:val="auto"/>
        </w:rPr>
        <w:t xml:space="preserve">active </w:t>
      </w:r>
      <w:r w:rsidR="008E7D18" w:rsidRPr="006E25B0">
        <w:rPr>
          <w:rFonts w:ascii="Times New Roman" w:hAnsi="Times New Roman" w:cs="Times New Roman"/>
          <w:noProof/>
          <w:color w:val="auto"/>
        </w:rPr>
        <w:t xml:space="preserve">EU </w:t>
      </w:r>
      <w:r w:rsidR="00E43576" w:rsidRPr="006E25B0">
        <w:rPr>
          <w:rFonts w:ascii="Times New Roman" w:hAnsi="Times New Roman" w:cs="Times New Roman"/>
          <w:noProof/>
          <w:color w:val="auto"/>
        </w:rPr>
        <w:t>citizens</w:t>
      </w:r>
    </w:p>
    <w:bookmarkEnd w:id="35"/>
    <w:p w14:paraId="0CE86A84" w14:textId="1AF3CCED" w:rsidR="00FC658A"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52</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Workers, self-employed persons and their family members enjoy strong protection against discriminatory and non-discriminatory obstacles when claiming social advantages such as minimum subsistence benefits</w:t>
      </w:r>
      <w:r w:rsidR="00754952" w:rsidRPr="006E25B0">
        <w:rPr>
          <w:rFonts w:ascii="Times New Roman" w:hAnsi="Times New Roman" w:cs="Times New Roman"/>
          <w:noProof/>
          <w:sz w:val="24"/>
          <w:szCs w:val="24"/>
        </w:rPr>
        <w:t xml:space="preserve"> (</w:t>
      </w:r>
      <w:bookmarkStart w:id="36" w:name="_Hlk111452807"/>
      <w:r w:rsidR="00754952" w:rsidRPr="006E25B0">
        <w:rPr>
          <w:rFonts w:ascii="Times New Roman" w:hAnsi="Times New Roman" w:cs="Times New Roman"/>
          <w:noProof/>
          <w:sz w:val="24"/>
          <w:szCs w:val="24"/>
        </w:rPr>
        <w:t>Art. 45 TFEU</w:t>
      </w:r>
      <w:r w:rsidR="00330CB4" w:rsidRPr="006E25B0">
        <w:rPr>
          <w:rFonts w:ascii="Times New Roman" w:hAnsi="Times New Roman" w:cs="Times New Roman"/>
          <w:noProof/>
          <w:sz w:val="24"/>
          <w:szCs w:val="24"/>
        </w:rPr>
        <w:t>;</w:t>
      </w:r>
      <w:r w:rsidR="00754952" w:rsidRPr="006E25B0">
        <w:rPr>
          <w:rFonts w:ascii="Times New Roman" w:hAnsi="Times New Roman" w:cs="Times New Roman"/>
          <w:noProof/>
          <w:sz w:val="24"/>
          <w:szCs w:val="24"/>
        </w:rPr>
        <w:t xml:space="preserve"> Art. 7(2) Regulation</w:t>
      </w:r>
      <w:r w:rsidR="00C67654" w:rsidRPr="006E25B0">
        <w:rPr>
          <w:rFonts w:ascii="Times New Roman" w:hAnsi="Times New Roman" w:cs="Times New Roman"/>
          <w:noProof/>
          <w:sz w:val="24"/>
          <w:szCs w:val="24"/>
        </w:rPr>
        <w:t xml:space="preserve"> </w:t>
      </w:r>
      <w:r w:rsidR="00754952" w:rsidRPr="006E25B0">
        <w:rPr>
          <w:rFonts w:ascii="Times New Roman" w:hAnsi="Times New Roman" w:cs="Times New Roman"/>
          <w:noProof/>
          <w:sz w:val="24"/>
          <w:szCs w:val="24"/>
        </w:rPr>
        <w:t>492/2011; Art. 24(1) Directive</w:t>
      </w:r>
      <w:r w:rsidR="00C67654" w:rsidRPr="006E25B0">
        <w:rPr>
          <w:rFonts w:ascii="Times New Roman" w:hAnsi="Times New Roman" w:cs="Times New Roman"/>
          <w:noProof/>
          <w:sz w:val="24"/>
          <w:szCs w:val="24"/>
        </w:rPr>
        <w:t xml:space="preserve"> </w:t>
      </w:r>
      <w:r w:rsidR="00754952" w:rsidRPr="006E25B0">
        <w:rPr>
          <w:rFonts w:ascii="Times New Roman" w:hAnsi="Times New Roman" w:cs="Times New Roman"/>
          <w:noProof/>
          <w:sz w:val="24"/>
          <w:szCs w:val="24"/>
        </w:rPr>
        <w:t>2004/38</w:t>
      </w:r>
      <w:bookmarkEnd w:id="36"/>
      <w:r w:rsidR="00754952"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This enables them to overcome not only nationality conditions, but in principle also territorial conditions such as waiting periods</w:t>
      </w:r>
      <w:r w:rsidR="00942BA5" w:rsidRPr="006E25B0">
        <w:rPr>
          <w:rFonts w:ascii="Times New Roman" w:hAnsi="Times New Roman" w:cs="Times New Roman"/>
          <w:noProof/>
          <w:sz w:val="24"/>
          <w:szCs w:val="24"/>
        </w:rPr>
        <w:t xml:space="preserve"> (van der Mei, 2003, 129-130, 138-139</w:t>
      </w:r>
      <w:r w:rsidR="001D120F" w:rsidRPr="006E25B0">
        <w:rPr>
          <w:rFonts w:ascii="Times New Roman" w:hAnsi="Times New Roman" w:cs="Times New Roman"/>
          <w:noProof/>
          <w:sz w:val="24"/>
          <w:szCs w:val="24"/>
        </w:rPr>
        <w:t xml:space="preserve">; </w:t>
      </w:r>
      <w:r w:rsidR="00B737BE" w:rsidRPr="006E25B0">
        <w:rPr>
          <w:rFonts w:ascii="Times New Roman" w:hAnsi="Times New Roman" w:cs="Times New Roman"/>
          <w:noProof/>
          <w:sz w:val="24"/>
          <w:szCs w:val="24"/>
        </w:rPr>
        <w:t xml:space="preserve">see </w:t>
      </w:r>
      <w:r w:rsidR="008B720D" w:rsidRPr="006E25B0">
        <w:rPr>
          <w:rFonts w:ascii="Times New Roman" w:hAnsi="Times New Roman" w:cs="Times New Roman"/>
          <w:noProof/>
          <w:sz w:val="24"/>
          <w:szCs w:val="24"/>
        </w:rPr>
        <w:t xml:space="preserve">however </w:t>
      </w:r>
      <w:r w:rsidR="001D120F" w:rsidRPr="006E25B0">
        <w:rPr>
          <w:rFonts w:ascii="Times New Roman" w:hAnsi="Times New Roman" w:cs="Times New Roman"/>
          <w:i/>
          <w:noProof/>
          <w:sz w:val="24"/>
          <w:szCs w:val="24"/>
        </w:rPr>
        <w:t>Giersch</w:t>
      </w:r>
      <w:r w:rsidR="00942BA5"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One of the outstanding issues is whether residence conditions are lawful. The CJEU accepted that the </w:t>
      </w:r>
      <w:r w:rsidR="008E7D18" w:rsidRPr="006E25B0">
        <w:rPr>
          <w:rFonts w:ascii="Times New Roman" w:hAnsi="Times New Roman" w:cs="Times New Roman"/>
          <w:i/>
          <w:iCs/>
          <w:noProof/>
          <w:sz w:val="24"/>
          <w:szCs w:val="24"/>
        </w:rPr>
        <w:t>EU legislator</w:t>
      </w:r>
      <w:r w:rsidR="008E7D18" w:rsidRPr="006E25B0">
        <w:rPr>
          <w:rFonts w:ascii="Times New Roman" w:hAnsi="Times New Roman" w:cs="Times New Roman"/>
          <w:noProof/>
          <w:sz w:val="24"/>
          <w:szCs w:val="24"/>
        </w:rPr>
        <w:t xml:space="preserve"> could make categorical minimum subsistence benefits non-exportable</w:t>
      </w:r>
      <w:r w:rsidR="00754952" w:rsidRPr="006E25B0">
        <w:rPr>
          <w:rFonts w:ascii="Times New Roman" w:hAnsi="Times New Roman" w:cs="Times New Roman"/>
          <w:noProof/>
          <w:sz w:val="24"/>
          <w:szCs w:val="24"/>
        </w:rPr>
        <w:t xml:space="preserve"> (</w:t>
      </w:r>
      <w:r w:rsidR="00754952" w:rsidRPr="006E25B0">
        <w:rPr>
          <w:rFonts w:ascii="Times New Roman" w:hAnsi="Times New Roman" w:cs="Times New Roman"/>
          <w:i/>
          <w:noProof/>
          <w:sz w:val="24"/>
          <w:szCs w:val="24"/>
        </w:rPr>
        <w:t>Snares</w:t>
      </w:r>
      <w:r w:rsidR="00754952" w:rsidRPr="006E25B0">
        <w:rPr>
          <w:rFonts w:ascii="Times New Roman" w:hAnsi="Times New Roman" w:cs="Times New Roman"/>
          <w:noProof/>
          <w:sz w:val="24"/>
          <w:szCs w:val="24"/>
        </w:rPr>
        <w:t>)</w:t>
      </w:r>
      <w:r w:rsidR="00CB5640"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w:t>
      </w:r>
      <w:r w:rsidR="00CB5640" w:rsidRPr="006E25B0">
        <w:rPr>
          <w:rFonts w:ascii="Times New Roman" w:hAnsi="Times New Roman" w:cs="Times New Roman"/>
          <w:noProof/>
          <w:sz w:val="24"/>
          <w:szCs w:val="24"/>
        </w:rPr>
        <w:t>I</w:t>
      </w:r>
      <w:r w:rsidR="008E7D18" w:rsidRPr="006E25B0">
        <w:rPr>
          <w:rFonts w:ascii="Times New Roman" w:hAnsi="Times New Roman" w:cs="Times New Roman"/>
          <w:noProof/>
          <w:sz w:val="24"/>
          <w:szCs w:val="24"/>
        </w:rPr>
        <w:t xml:space="preserve">n </w:t>
      </w:r>
      <w:r w:rsidR="008E7D18" w:rsidRPr="006E25B0">
        <w:rPr>
          <w:rFonts w:ascii="Times New Roman" w:hAnsi="Times New Roman" w:cs="Times New Roman"/>
          <w:i/>
          <w:iCs/>
          <w:noProof/>
          <w:sz w:val="24"/>
          <w:szCs w:val="24"/>
        </w:rPr>
        <w:t>Hendrix</w:t>
      </w:r>
      <w:r w:rsidR="00CB5640" w:rsidRPr="006E25B0">
        <w:rPr>
          <w:rFonts w:ascii="Times New Roman" w:hAnsi="Times New Roman" w:cs="Times New Roman"/>
          <w:noProof/>
          <w:sz w:val="24"/>
          <w:szCs w:val="24"/>
        </w:rPr>
        <w:t xml:space="preserve">, it </w:t>
      </w:r>
      <w:r w:rsidR="001B4FB1" w:rsidRPr="006E25B0">
        <w:rPr>
          <w:rFonts w:ascii="Times New Roman" w:hAnsi="Times New Roman" w:cs="Times New Roman"/>
          <w:noProof/>
          <w:sz w:val="24"/>
          <w:szCs w:val="24"/>
        </w:rPr>
        <w:t xml:space="preserve">held that a refusal to export such a benefit might be disproportionate </w:t>
      </w:r>
      <w:r w:rsidR="008E7D18" w:rsidRPr="006E25B0">
        <w:rPr>
          <w:rFonts w:ascii="Times New Roman" w:hAnsi="Times New Roman" w:cs="Times New Roman"/>
          <w:noProof/>
          <w:sz w:val="24"/>
          <w:szCs w:val="24"/>
        </w:rPr>
        <w:t>for a worker who had ‘maintained all of his economic and social links to the Member State of origin’</w:t>
      </w:r>
      <w:r w:rsidR="005A496E" w:rsidRPr="006E25B0">
        <w:rPr>
          <w:rFonts w:ascii="Times New Roman" w:hAnsi="Times New Roman" w:cs="Times New Roman"/>
          <w:noProof/>
          <w:sz w:val="24"/>
          <w:szCs w:val="24"/>
        </w:rPr>
        <w:t xml:space="preserve"> (at para. 58)</w:t>
      </w:r>
      <w:r w:rsidR="008E7D18" w:rsidRPr="006E25B0">
        <w:rPr>
          <w:rFonts w:ascii="Times New Roman" w:hAnsi="Times New Roman" w:cs="Times New Roman"/>
          <w:noProof/>
          <w:sz w:val="24"/>
          <w:szCs w:val="24"/>
        </w:rPr>
        <w:t xml:space="preserve">. </w:t>
      </w:r>
      <w:r w:rsidR="00C242D8" w:rsidRPr="006E25B0">
        <w:rPr>
          <w:rFonts w:ascii="Times New Roman" w:hAnsi="Times New Roman" w:cs="Times New Roman"/>
          <w:noProof/>
          <w:sz w:val="24"/>
          <w:szCs w:val="24"/>
        </w:rPr>
        <w:t xml:space="preserve">Before </w:t>
      </w:r>
      <w:r w:rsidR="008E7D18" w:rsidRPr="006E25B0">
        <w:rPr>
          <w:rFonts w:ascii="Times New Roman" w:hAnsi="Times New Roman" w:cs="Times New Roman"/>
          <w:i/>
          <w:iCs/>
          <w:noProof/>
          <w:sz w:val="24"/>
          <w:szCs w:val="24"/>
        </w:rPr>
        <w:t>Hendrix</w:t>
      </w:r>
      <w:r w:rsidR="008E7D18" w:rsidRPr="006E25B0">
        <w:rPr>
          <w:rFonts w:ascii="Times New Roman" w:hAnsi="Times New Roman" w:cs="Times New Roman"/>
          <w:noProof/>
          <w:sz w:val="24"/>
          <w:szCs w:val="24"/>
        </w:rPr>
        <w:t xml:space="preserve">, the European Commission and academics </w:t>
      </w:r>
      <w:r w:rsidR="00A55E34" w:rsidRPr="006E25B0">
        <w:rPr>
          <w:rFonts w:ascii="Times New Roman" w:hAnsi="Times New Roman" w:cs="Times New Roman"/>
          <w:noProof/>
          <w:sz w:val="24"/>
          <w:szCs w:val="24"/>
        </w:rPr>
        <w:t xml:space="preserve">had </w:t>
      </w:r>
      <w:r w:rsidR="008E7D18" w:rsidRPr="006E25B0">
        <w:rPr>
          <w:rFonts w:ascii="Times New Roman" w:hAnsi="Times New Roman" w:cs="Times New Roman"/>
          <w:noProof/>
          <w:sz w:val="24"/>
          <w:szCs w:val="24"/>
        </w:rPr>
        <w:t xml:space="preserve">argued that </w:t>
      </w:r>
      <w:r w:rsidR="008E7D18" w:rsidRPr="006E25B0">
        <w:rPr>
          <w:rFonts w:ascii="Times New Roman" w:hAnsi="Times New Roman" w:cs="Times New Roman"/>
          <w:i/>
          <w:iCs/>
          <w:noProof/>
          <w:sz w:val="24"/>
          <w:szCs w:val="24"/>
        </w:rPr>
        <w:t>national</w:t>
      </w:r>
      <w:r w:rsidR="008E7D18" w:rsidRPr="006E25B0">
        <w:rPr>
          <w:rFonts w:ascii="Times New Roman" w:hAnsi="Times New Roman" w:cs="Times New Roman"/>
          <w:noProof/>
          <w:sz w:val="24"/>
          <w:szCs w:val="24"/>
        </w:rPr>
        <w:t xml:space="preserve"> residence conditions are lawful for universal minimum subsistence benefits</w:t>
      </w:r>
      <w:r w:rsidR="005F6373" w:rsidRPr="006E25B0">
        <w:rPr>
          <w:rFonts w:ascii="Times New Roman" w:hAnsi="Times New Roman" w:cs="Times New Roman"/>
          <w:noProof/>
          <w:sz w:val="24"/>
          <w:szCs w:val="24"/>
        </w:rPr>
        <w:t xml:space="preserve"> (Commission, 2001, 10-11; van der Mei, 2003, 165-167)</w:t>
      </w:r>
      <w:r w:rsidR="008E7D18" w:rsidRPr="006E25B0">
        <w:rPr>
          <w:rFonts w:ascii="Times New Roman" w:hAnsi="Times New Roman" w:cs="Times New Roman"/>
          <w:noProof/>
          <w:sz w:val="24"/>
          <w:szCs w:val="24"/>
        </w:rPr>
        <w:t xml:space="preserve">. </w:t>
      </w:r>
    </w:p>
    <w:p w14:paraId="53070799" w14:textId="1A1AA938" w:rsidR="008E7D18" w:rsidRPr="006E25B0" w:rsidRDefault="003069F4" w:rsidP="00D95347">
      <w:pPr>
        <w:pStyle w:val="Heading2"/>
        <w:rPr>
          <w:rFonts w:ascii="Times New Roman" w:hAnsi="Times New Roman" w:cs="Times New Roman"/>
          <w:noProof/>
          <w:color w:val="auto"/>
        </w:rPr>
      </w:pPr>
      <w:bookmarkStart w:id="37" w:name="_Hlk88827700"/>
      <w:r w:rsidRPr="006E25B0">
        <w:rPr>
          <w:rFonts w:ascii="Times New Roman" w:hAnsi="Times New Roman" w:cs="Times New Roman"/>
          <w:noProof/>
          <w:color w:val="auto"/>
        </w:rPr>
        <w:t xml:space="preserve">2. </w:t>
      </w:r>
      <w:r w:rsidR="008E7D18" w:rsidRPr="006E25B0">
        <w:rPr>
          <w:rFonts w:ascii="Times New Roman" w:hAnsi="Times New Roman" w:cs="Times New Roman"/>
          <w:noProof/>
          <w:color w:val="auto"/>
        </w:rPr>
        <w:t xml:space="preserve">Economically </w:t>
      </w:r>
      <w:r w:rsidR="00E43576" w:rsidRPr="006E25B0">
        <w:rPr>
          <w:rFonts w:ascii="Times New Roman" w:hAnsi="Times New Roman" w:cs="Times New Roman"/>
          <w:noProof/>
          <w:color w:val="auto"/>
        </w:rPr>
        <w:t xml:space="preserve">inactive </w:t>
      </w:r>
      <w:r w:rsidR="008E7D18" w:rsidRPr="006E25B0">
        <w:rPr>
          <w:rFonts w:ascii="Times New Roman" w:hAnsi="Times New Roman" w:cs="Times New Roman"/>
          <w:noProof/>
          <w:color w:val="auto"/>
        </w:rPr>
        <w:t xml:space="preserve">EU </w:t>
      </w:r>
      <w:r w:rsidR="00E43576" w:rsidRPr="006E25B0">
        <w:rPr>
          <w:rFonts w:ascii="Times New Roman" w:hAnsi="Times New Roman" w:cs="Times New Roman"/>
          <w:noProof/>
          <w:color w:val="auto"/>
        </w:rPr>
        <w:t>citizens</w:t>
      </w:r>
    </w:p>
    <w:bookmarkEnd w:id="37"/>
    <w:p w14:paraId="4FBB5378" w14:textId="7A021AAE"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53</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In comparison to their economically active counterparts, economically inactive EU citizens benefit from a principle of equal treatment that is narrower in scope and weaker in strength. To fall within its scope, such citizens must establish a </w:t>
      </w:r>
      <w:r w:rsidR="008E7D18" w:rsidRPr="006E25B0">
        <w:rPr>
          <w:rFonts w:ascii="Times New Roman" w:hAnsi="Times New Roman" w:cs="Times New Roman"/>
          <w:i/>
          <w:iCs/>
          <w:noProof/>
          <w:sz w:val="24"/>
          <w:szCs w:val="24"/>
        </w:rPr>
        <w:t>qualifying</w:t>
      </w:r>
      <w:r w:rsidR="008E7D18" w:rsidRPr="006E25B0">
        <w:rPr>
          <w:rFonts w:ascii="Times New Roman" w:hAnsi="Times New Roman" w:cs="Times New Roman"/>
          <w:noProof/>
          <w:sz w:val="24"/>
          <w:szCs w:val="24"/>
        </w:rPr>
        <w:t xml:space="preserve"> right to reside. Those who clear that hurdle might have to defeat objective justifications that Member States can put forward. In particular, a Member State can require applicants for its benefits to have a ‘genuine link’ with it</w:t>
      </w:r>
      <w:r w:rsidR="00754952" w:rsidRPr="006E25B0">
        <w:rPr>
          <w:rFonts w:ascii="Times New Roman" w:hAnsi="Times New Roman" w:cs="Times New Roman"/>
          <w:noProof/>
          <w:sz w:val="24"/>
          <w:szCs w:val="24"/>
        </w:rPr>
        <w:t xml:space="preserve"> (eg </w:t>
      </w:r>
      <w:r w:rsidR="00754952" w:rsidRPr="006E25B0">
        <w:rPr>
          <w:rFonts w:ascii="Times New Roman" w:hAnsi="Times New Roman" w:cs="Times New Roman"/>
          <w:i/>
          <w:noProof/>
          <w:sz w:val="24"/>
          <w:szCs w:val="24"/>
        </w:rPr>
        <w:t>A</w:t>
      </w:r>
      <w:r w:rsidR="00754952" w:rsidRPr="006E25B0">
        <w:rPr>
          <w:rFonts w:ascii="Times New Roman" w:hAnsi="Times New Roman" w:cs="Times New Roman"/>
          <w:iCs/>
          <w:noProof/>
          <w:sz w:val="24"/>
          <w:szCs w:val="24"/>
        </w:rPr>
        <w:t xml:space="preserve">, </w:t>
      </w:r>
      <w:r w:rsidR="00754952" w:rsidRPr="006E25B0">
        <w:rPr>
          <w:rFonts w:ascii="Times New Roman" w:hAnsi="Times New Roman" w:cs="Times New Roman"/>
          <w:noProof/>
          <w:sz w:val="24"/>
          <w:szCs w:val="24"/>
        </w:rPr>
        <w:t>2018; see further eg Dougan; O</w:t>
      </w:r>
      <w:r w:rsidR="004750DE" w:rsidRPr="006E25B0">
        <w:rPr>
          <w:rFonts w:ascii="Times New Roman" w:hAnsi="Times New Roman" w:cs="Times New Roman"/>
          <w:noProof/>
          <w:sz w:val="24"/>
          <w:szCs w:val="24"/>
        </w:rPr>
        <w:t>’</w:t>
      </w:r>
      <w:r w:rsidR="00754952" w:rsidRPr="006E25B0">
        <w:rPr>
          <w:rFonts w:ascii="Times New Roman" w:hAnsi="Times New Roman" w:cs="Times New Roman"/>
          <w:noProof/>
          <w:sz w:val="24"/>
          <w:szCs w:val="24"/>
        </w:rPr>
        <w:t>Brien, 2008)</w:t>
      </w:r>
      <w:r w:rsidR="008E7D18" w:rsidRPr="006E25B0">
        <w:rPr>
          <w:rFonts w:ascii="Times New Roman" w:hAnsi="Times New Roman" w:cs="Times New Roman"/>
          <w:noProof/>
          <w:sz w:val="24"/>
          <w:szCs w:val="24"/>
        </w:rPr>
        <w:t xml:space="preserve">. </w:t>
      </w:r>
    </w:p>
    <w:p w14:paraId="607E0918" w14:textId="41FF1073"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54</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Directive</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2004/38 is the main source of residence rights for economically inactive EU citizens. The initial right to reside for up to three months is unconditional, but not qualifying: Member States may deny its holders social assistance</w:t>
      </w:r>
      <w:r w:rsidR="007512E4" w:rsidRPr="006E25B0">
        <w:rPr>
          <w:rFonts w:ascii="Times New Roman" w:hAnsi="Times New Roman" w:cs="Times New Roman"/>
          <w:noProof/>
          <w:sz w:val="24"/>
          <w:szCs w:val="24"/>
        </w:rPr>
        <w:t xml:space="preserve"> (Art. 6 and 24(2) Directive</w:t>
      </w:r>
      <w:r w:rsidR="00C67654" w:rsidRPr="006E25B0">
        <w:rPr>
          <w:rFonts w:ascii="Times New Roman" w:hAnsi="Times New Roman" w:cs="Times New Roman"/>
          <w:noProof/>
          <w:sz w:val="24"/>
          <w:szCs w:val="24"/>
        </w:rPr>
        <w:t xml:space="preserve"> </w:t>
      </w:r>
      <w:r w:rsidR="007512E4" w:rsidRPr="006E25B0">
        <w:rPr>
          <w:rFonts w:ascii="Times New Roman" w:hAnsi="Times New Roman" w:cs="Times New Roman"/>
          <w:noProof/>
          <w:sz w:val="24"/>
          <w:szCs w:val="24"/>
        </w:rPr>
        <w:t>2004/38)</w:t>
      </w:r>
      <w:r w:rsidR="008E7D18" w:rsidRPr="006E25B0">
        <w:rPr>
          <w:rFonts w:ascii="Times New Roman" w:hAnsi="Times New Roman" w:cs="Times New Roman"/>
          <w:noProof/>
          <w:sz w:val="24"/>
          <w:szCs w:val="24"/>
        </w:rPr>
        <w:t xml:space="preserve">. The strongest right to reside is in principle available after </w:t>
      </w:r>
      <w:r w:rsidR="00A91219" w:rsidRPr="006E25B0">
        <w:rPr>
          <w:rFonts w:ascii="Times New Roman" w:hAnsi="Times New Roman" w:cs="Times New Roman"/>
          <w:noProof/>
          <w:sz w:val="24"/>
          <w:szCs w:val="24"/>
        </w:rPr>
        <w:t>five</w:t>
      </w:r>
      <w:r w:rsidR="008E7D18" w:rsidRPr="006E25B0">
        <w:rPr>
          <w:rFonts w:ascii="Times New Roman" w:hAnsi="Times New Roman" w:cs="Times New Roman"/>
          <w:noProof/>
          <w:sz w:val="24"/>
          <w:szCs w:val="24"/>
        </w:rPr>
        <w:t xml:space="preserve"> years of continuous and lawful residence</w:t>
      </w:r>
      <w:r w:rsidR="007512E4" w:rsidRPr="006E25B0">
        <w:rPr>
          <w:rFonts w:ascii="Times New Roman" w:hAnsi="Times New Roman" w:cs="Times New Roman"/>
          <w:noProof/>
          <w:sz w:val="24"/>
          <w:szCs w:val="24"/>
        </w:rPr>
        <w:t xml:space="preserve"> (Art. 16 Directive</w:t>
      </w:r>
      <w:r w:rsidR="00C67654" w:rsidRPr="006E25B0">
        <w:rPr>
          <w:rFonts w:ascii="Times New Roman" w:hAnsi="Times New Roman" w:cs="Times New Roman"/>
          <w:noProof/>
          <w:sz w:val="24"/>
          <w:szCs w:val="24"/>
        </w:rPr>
        <w:t xml:space="preserve"> </w:t>
      </w:r>
      <w:r w:rsidR="007512E4" w:rsidRPr="006E25B0">
        <w:rPr>
          <w:rFonts w:ascii="Times New Roman" w:hAnsi="Times New Roman" w:cs="Times New Roman"/>
          <w:noProof/>
          <w:sz w:val="24"/>
          <w:szCs w:val="24"/>
        </w:rPr>
        <w:t>2004/38)</w:t>
      </w:r>
      <w:r w:rsidR="008E7D18" w:rsidRPr="006E25B0">
        <w:rPr>
          <w:rFonts w:ascii="Times New Roman" w:hAnsi="Times New Roman" w:cs="Times New Roman"/>
          <w:noProof/>
          <w:sz w:val="24"/>
          <w:szCs w:val="24"/>
        </w:rPr>
        <w:t xml:space="preserve">. </w:t>
      </w:r>
      <w:bookmarkStart w:id="38" w:name="_Hlk92549123"/>
      <w:r w:rsidR="008E7D18" w:rsidRPr="006E25B0">
        <w:rPr>
          <w:rFonts w:ascii="Times New Roman" w:hAnsi="Times New Roman" w:cs="Times New Roman"/>
          <w:noProof/>
          <w:sz w:val="24"/>
          <w:szCs w:val="24"/>
        </w:rPr>
        <w:t>This right of permanent residence comes with full protection against nationality discrimination</w:t>
      </w:r>
      <w:bookmarkStart w:id="39" w:name="_Hlk92549136"/>
      <w:r w:rsidR="008E7D18" w:rsidRPr="006E25B0">
        <w:rPr>
          <w:rFonts w:ascii="Times New Roman" w:hAnsi="Times New Roman" w:cs="Times New Roman"/>
          <w:noProof/>
          <w:sz w:val="24"/>
          <w:szCs w:val="24"/>
        </w:rPr>
        <w:t xml:space="preserve"> and its holders may be assumed to have a genuine link. </w:t>
      </w:r>
    </w:p>
    <w:bookmarkEnd w:id="38"/>
    <w:bookmarkEnd w:id="39"/>
    <w:p w14:paraId="37558183" w14:textId="00F215CC" w:rsidR="00D423F5"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55</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Between the end of the initial right to reside and the acquisition of the permanent right to reside, </w:t>
      </w:r>
      <w:r w:rsidR="005A6CF7" w:rsidRPr="006E25B0">
        <w:rPr>
          <w:rFonts w:ascii="Times New Roman" w:hAnsi="Times New Roman" w:cs="Times New Roman"/>
          <w:noProof/>
          <w:sz w:val="24"/>
          <w:szCs w:val="24"/>
        </w:rPr>
        <w:t>Art</w:t>
      </w:r>
      <w:r w:rsidR="004750DE"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7</w:t>
      </w:r>
      <w:r w:rsidR="00A91219" w:rsidRPr="006E25B0">
        <w:rPr>
          <w:rFonts w:ascii="Times New Roman" w:hAnsi="Times New Roman" w:cs="Times New Roman"/>
          <w:noProof/>
          <w:sz w:val="24"/>
          <w:szCs w:val="24"/>
        </w:rPr>
        <w:t>(1)(b)</w:t>
      </w:r>
      <w:r w:rsidR="008E7D18" w:rsidRPr="006E25B0">
        <w:rPr>
          <w:rFonts w:ascii="Times New Roman" w:hAnsi="Times New Roman" w:cs="Times New Roman"/>
          <w:noProof/>
          <w:sz w:val="24"/>
          <w:szCs w:val="24"/>
        </w:rPr>
        <w:t xml:space="preserve"> Directive</w:t>
      </w:r>
      <w:r w:rsidR="00C67654"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 xml:space="preserve">2004/38 grants economically inactive </w:t>
      </w:r>
      <w:r w:rsidR="008A1617" w:rsidRPr="006E25B0">
        <w:rPr>
          <w:rFonts w:ascii="Times New Roman" w:hAnsi="Times New Roman" w:cs="Times New Roman"/>
          <w:noProof/>
          <w:sz w:val="24"/>
          <w:szCs w:val="24"/>
        </w:rPr>
        <w:t xml:space="preserve">EU </w:t>
      </w:r>
      <w:r w:rsidR="008E7D18" w:rsidRPr="006E25B0">
        <w:rPr>
          <w:rFonts w:ascii="Times New Roman" w:hAnsi="Times New Roman" w:cs="Times New Roman"/>
          <w:noProof/>
          <w:sz w:val="24"/>
          <w:szCs w:val="24"/>
        </w:rPr>
        <w:t xml:space="preserve">citizens a right to reside on condition that they ‘have sufficient resources for themselves and their family members not to become a burden on the social assistance system of the host Member State […] and have comprehensive sickness insurance cover in the host Member State’. </w:t>
      </w:r>
      <w:r w:rsidR="0029405A" w:rsidRPr="006E25B0">
        <w:rPr>
          <w:rFonts w:ascii="Times New Roman" w:hAnsi="Times New Roman" w:cs="Times New Roman"/>
          <w:noProof/>
          <w:sz w:val="24"/>
          <w:szCs w:val="24"/>
        </w:rPr>
        <w:t xml:space="preserve">Each of these conditions has been </w:t>
      </w:r>
      <w:r w:rsidR="00D011D7" w:rsidRPr="006E25B0">
        <w:rPr>
          <w:rFonts w:ascii="Times New Roman" w:hAnsi="Times New Roman" w:cs="Times New Roman"/>
          <w:noProof/>
          <w:sz w:val="24"/>
          <w:szCs w:val="24"/>
        </w:rPr>
        <w:t>litigated</w:t>
      </w:r>
      <w:r w:rsidR="0029405A" w:rsidRPr="006E25B0">
        <w:rPr>
          <w:rFonts w:ascii="Times New Roman" w:hAnsi="Times New Roman" w:cs="Times New Roman"/>
          <w:noProof/>
          <w:sz w:val="24"/>
          <w:szCs w:val="24"/>
        </w:rPr>
        <w:t>.</w:t>
      </w:r>
    </w:p>
    <w:p w14:paraId="3BA11072" w14:textId="75932651" w:rsidR="0029405A"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56</w:t>
      </w:r>
      <w:r w:rsidRPr="006E25B0">
        <w:rPr>
          <w:rFonts w:ascii="Times New Roman" w:hAnsi="Times New Roman" w:cs="Times New Roman"/>
          <w:noProof/>
          <w:sz w:val="24"/>
          <w:szCs w:val="24"/>
        </w:rPr>
        <w:tab/>
      </w:r>
      <w:r w:rsidR="00D423F5" w:rsidRPr="006E25B0">
        <w:rPr>
          <w:rFonts w:ascii="Times New Roman" w:hAnsi="Times New Roman" w:cs="Times New Roman"/>
          <w:noProof/>
          <w:sz w:val="24"/>
          <w:szCs w:val="24"/>
        </w:rPr>
        <w:t>As regards</w:t>
      </w:r>
      <w:r w:rsidR="0029405A" w:rsidRPr="006E25B0">
        <w:rPr>
          <w:rFonts w:ascii="Times New Roman" w:hAnsi="Times New Roman" w:cs="Times New Roman"/>
          <w:noProof/>
          <w:sz w:val="24"/>
          <w:szCs w:val="24"/>
        </w:rPr>
        <w:t xml:space="preserve"> </w:t>
      </w:r>
      <w:r w:rsidR="00D423F5" w:rsidRPr="006E25B0">
        <w:rPr>
          <w:rFonts w:ascii="Times New Roman" w:hAnsi="Times New Roman" w:cs="Times New Roman"/>
          <w:noProof/>
          <w:sz w:val="24"/>
          <w:szCs w:val="24"/>
        </w:rPr>
        <w:t xml:space="preserve">comprehensive sickness insurance cover, the CJEU held that </w:t>
      </w:r>
      <w:r w:rsidR="00357F63" w:rsidRPr="006E25B0">
        <w:rPr>
          <w:rFonts w:ascii="Times New Roman" w:hAnsi="Times New Roman" w:cs="Times New Roman"/>
          <w:noProof/>
          <w:sz w:val="24"/>
          <w:szCs w:val="24"/>
        </w:rPr>
        <w:t xml:space="preserve">the </w:t>
      </w:r>
      <w:r w:rsidR="00D011D7" w:rsidRPr="006E25B0">
        <w:rPr>
          <w:rFonts w:ascii="Times New Roman" w:hAnsi="Times New Roman" w:cs="Times New Roman"/>
          <w:noProof/>
          <w:sz w:val="24"/>
          <w:szCs w:val="24"/>
        </w:rPr>
        <w:t xml:space="preserve">host </w:t>
      </w:r>
      <w:r w:rsidR="00357F63" w:rsidRPr="006E25B0">
        <w:rPr>
          <w:rFonts w:ascii="Times New Roman" w:hAnsi="Times New Roman" w:cs="Times New Roman"/>
          <w:noProof/>
          <w:sz w:val="24"/>
          <w:szCs w:val="24"/>
        </w:rPr>
        <w:t>State</w:t>
      </w:r>
      <w:r w:rsidR="00D011D7" w:rsidRPr="006E25B0">
        <w:rPr>
          <w:rFonts w:ascii="Times New Roman" w:hAnsi="Times New Roman" w:cs="Times New Roman"/>
          <w:noProof/>
          <w:sz w:val="24"/>
          <w:szCs w:val="24"/>
        </w:rPr>
        <w:t xml:space="preserve">, competent under the </w:t>
      </w:r>
      <w:r w:rsidR="00D011D7" w:rsidRPr="006E25B0">
        <w:rPr>
          <w:rFonts w:ascii="Times New Roman" w:hAnsi="Times New Roman" w:cs="Times New Roman"/>
          <w:i/>
          <w:iCs/>
          <w:noProof/>
          <w:sz w:val="24"/>
          <w:szCs w:val="24"/>
        </w:rPr>
        <w:t>lex loci domicilii</w:t>
      </w:r>
      <w:r w:rsidR="00D011D7" w:rsidRPr="006E25B0">
        <w:rPr>
          <w:rFonts w:ascii="Times New Roman" w:hAnsi="Times New Roman" w:cs="Times New Roman"/>
          <w:noProof/>
          <w:sz w:val="24"/>
          <w:szCs w:val="24"/>
        </w:rPr>
        <w:t>,</w:t>
      </w:r>
      <w:r w:rsidR="00357F63" w:rsidRPr="006E25B0">
        <w:rPr>
          <w:rFonts w:ascii="Times New Roman" w:hAnsi="Times New Roman" w:cs="Times New Roman"/>
          <w:noProof/>
          <w:sz w:val="24"/>
          <w:szCs w:val="24"/>
        </w:rPr>
        <w:t xml:space="preserve"> cannot refuse to affiliate economically inactive EU citizen</w:t>
      </w:r>
      <w:r w:rsidR="00ED77C7" w:rsidRPr="006E25B0">
        <w:rPr>
          <w:rFonts w:ascii="Times New Roman" w:hAnsi="Times New Roman" w:cs="Times New Roman"/>
          <w:noProof/>
          <w:sz w:val="24"/>
          <w:szCs w:val="24"/>
        </w:rPr>
        <w:t>s</w:t>
      </w:r>
      <w:r w:rsidR="00357F63" w:rsidRPr="006E25B0">
        <w:rPr>
          <w:rFonts w:ascii="Times New Roman" w:hAnsi="Times New Roman" w:cs="Times New Roman"/>
          <w:noProof/>
          <w:sz w:val="24"/>
          <w:szCs w:val="24"/>
        </w:rPr>
        <w:t xml:space="preserve"> to its healthcare system</w:t>
      </w:r>
      <w:r w:rsidR="00D44BC5" w:rsidRPr="006E25B0">
        <w:rPr>
          <w:rFonts w:ascii="Times New Roman" w:hAnsi="Times New Roman" w:cs="Times New Roman"/>
          <w:noProof/>
          <w:sz w:val="24"/>
          <w:szCs w:val="24"/>
        </w:rPr>
        <w:t xml:space="preserve"> (</w:t>
      </w:r>
      <w:r w:rsidR="00D44BC5" w:rsidRPr="006E25B0">
        <w:rPr>
          <w:rFonts w:ascii="Times New Roman" w:hAnsi="Times New Roman" w:cs="Times New Roman"/>
          <w:i/>
          <w:iCs/>
          <w:noProof/>
          <w:sz w:val="24"/>
          <w:szCs w:val="24"/>
        </w:rPr>
        <w:t>A</w:t>
      </w:r>
      <w:r w:rsidR="00D44BC5" w:rsidRPr="006E25B0">
        <w:rPr>
          <w:rFonts w:ascii="Times New Roman" w:hAnsi="Times New Roman" w:cs="Times New Roman"/>
          <w:noProof/>
          <w:sz w:val="24"/>
          <w:szCs w:val="24"/>
        </w:rPr>
        <w:t>, 2021)</w:t>
      </w:r>
      <w:r w:rsidR="003F3DBF" w:rsidRPr="006E25B0">
        <w:rPr>
          <w:rFonts w:ascii="Times New Roman" w:hAnsi="Times New Roman" w:cs="Times New Roman"/>
          <w:noProof/>
          <w:sz w:val="24"/>
          <w:szCs w:val="24"/>
        </w:rPr>
        <w:t xml:space="preserve">. However, </w:t>
      </w:r>
      <w:r w:rsidR="00D44BC5" w:rsidRPr="006E25B0">
        <w:rPr>
          <w:rFonts w:ascii="Times New Roman" w:hAnsi="Times New Roman" w:cs="Times New Roman"/>
          <w:noProof/>
          <w:sz w:val="24"/>
          <w:szCs w:val="24"/>
        </w:rPr>
        <w:t xml:space="preserve">as long as </w:t>
      </w:r>
      <w:r w:rsidR="00FF21C1" w:rsidRPr="006E25B0">
        <w:rPr>
          <w:rFonts w:ascii="Times New Roman" w:hAnsi="Times New Roman" w:cs="Times New Roman"/>
          <w:noProof/>
          <w:sz w:val="24"/>
          <w:szCs w:val="24"/>
        </w:rPr>
        <w:t xml:space="preserve">that State </w:t>
      </w:r>
      <w:r w:rsidR="00D44BC5" w:rsidRPr="006E25B0">
        <w:rPr>
          <w:rFonts w:ascii="Times New Roman" w:hAnsi="Times New Roman" w:cs="Times New Roman"/>
          <w:noProof/>
          <w:sz w:val="24"/>
          <w:szCs w:val="24"/>
        </w:rPr>
        <w:t xml:space="preserve">complies with the principle of proportionality, </w:t>
      </w:r>
      <w:r w:rsidR="003F3DBF" w:rsidRPr="006E25B0">
        <w:rPr>
          <w:rFonts w:ascii="Times New Roman" w:hAnsi="Times New Roman" w:cs="Times New Roman"/>
          <w:noProof/>
          <w:sz w:val="24"/>
          <w:szCs w:val="24"/>
        </w:rPr>
        <w:t>it can ma</w:t>
      </w:r>
      <w:r w:rsidR="00ED77C7" w:rsidRPr="006E25B0">
        <w:rPr>
          <w:rFonts w:ascii="Times New Roman" w:hAnsi="Times New Roman" w:cs="Times New Roman"/>
          <w:noProof/>
          <w:sz w:val="24"/>
          <w:szCs w:val="24"/>
        </w:rPr>
        <w:t>ke such affiliation subject to the payment of contributions or the possession of comprehensive private sickness insurance.</w:t>
      </w:r>
    </w:p>
    <w:p w14:paraId="478B501E" w14:textId="4DDFF8EC" w:rsidR="008A1617"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57</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The CJEU construed the social assistance system </w:t>
      </w:r>
    </w:p>
    <w:p w14:paraId="70514C3A" w14:textId="77777777" w:rsidR="008A1617" w:rsidRPr="006E25B0" w:rsidRDefault="008E7D18" w:rsidP="00D95347">
      <w:pPr>
        <w:ind w:left="720"/>
        <w:rPr>
          <w:rFonts w:ascii="Times New Roman" w:hAnsi="Times New Roman" w:cs="Times New Roman"/>
          <w:noProof/>
          <w:sz w:val="24"/>
          <w:szCs w:val="24"/>
        </w:rPr>
      </w:pPr>
      <w:r w:rsidRPr="006E25B0">
        <w:rPr>
          <w:rFonts w:ascii="Times New Roman" w:hAnsi="Times New Roman" w:cs="Times New Roman"/>
          <w:noProof/>
          <w:sz w:val="24"/>
          <w:szCs w:val="24"/>
        </w:rPr>
        <w:t>‘as covering all assistance introduced by the public authorities, whether at national, regional or local level, that can be claimed by an individual who does not have resources sufficient to meet his own basic needs and the needs of his family and who, by reason of that fact, may become a burden on the public finances of the host Member State during his period of residence which could have consequences for the overall level of assistance which may be granted by that State’</w:t>
      </w:r>
      <w:r w:rsidR="007512E4" w:rsidRPr="006E25B0">
        <w:rPr>
          <w:rFonts w:ascii="Times New Roman" w:hAnsi="Times New Roman" w:cs="Times New Roman"/>
          <w:noProof/>
          <w:sz w:val="24"/>
          <w:szCs w:val="24"/>
        </w:rPr>
        <w:t xml:space="preserve"> (</w:t>
      </w:r>
      <w:r w:rsidR="007512E4" w:rsidRPr="006E25B0">
        <w:rPr>
          <w:rFonts w:ascii="Times New Roman" w:hAnsi="Times New Roman" w:cs="Times New Roman"/>
          <w:i/>
          <w:noProof/>
          <w:sz w:val="24"/>
          <w:szCs w:val="24"/>
        </w:rPr>
        <w:t>Brey</w:t>
      </w:r>
      <w:r w:rsidR="007512E4" w:rsidRPr="006E25B0">
        <w:rPr>
          <w:rFonts w:ascii="Times New Roman" w:hAnsi="Times New Roman" w:cs="Times New Roman"/>
          <w:noProof/>
          <w:sz w:val="24"/>
          <w:szCs w:val="24"/>
        </w:rPr>
        <w:t xml:space="preserve">, </w:t>
      </w:r>
      <w:r w:rsidR="00F02406" w:rsidRPr="006E25B0">
        <w:rPr>
          <w:rFonts w:ascii="Times New Roman" w:hAnsi="Times New Roman" w:cs="Times New Roman"/>
          <w:noProof/>
          <w:sz w:val="24"/>
          <w:szCs w:val="24"/>
        </w:rPr>
        <w:t xml:space="preserve">para. </w:t>
      </w:r>
      <w:r w:rsidR="007512E4" w:rsidRPr="006E25B0">
        <w:rPr>
          <w:rFonts w:ascii="Times New Roman" w:hAnsi="Times New Roman" w:cs="Times New Roman"/>
          <w:noProof/>
          <w:sz w:val="24"/>
          <w:szCs w:val="24"/>
        </w:rPr>
        <w:t>61)</w:t>
      </w:r>
      <w:r w:rsidRPr="006E25B0">
        <w:rPr>
          <w:rFonts w:ascii="Times New Roman" w:hAnsi="Times New Roman" w:cs="Times New Roman"/>
          <w:noProof/>
          <w:sz w:val="24"/>
          <w:szCs w:val="24"/>
        </w:rPr>
        <w:t xml:space="preserve">. </w:t>
      </w:r>
    </w:p>
    <w:p w14:paraId="5E2FCA23" w14:textId="61594E02"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58</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In </w:t>
      </w:r>
      <w:r w:rsidR="008E7D18" w:rsidRPr="006E25B0">
        <w:rPr>
          <w:rFonts w:ascii="Times New Roman" w:hAnsi="Times New Roman" w:cs="Times New Roman"/>
          <w:i/>
          <w:iCs/>
          <w:noProof/>
          <w:sz w:val="24"/>
          <w:szCs w:val="24"/>
        </w:rPr>
        <w:t>Dano</w:t>
      </w:r>
      <w:r w:rsidR="008E7D18" w:rsidRPr="006E25B0">
        <w:rPr>
          <w:rFonts w:ascii="Times New Roman" w:hAnsi="Times New Roman" w:cs="Times New Roman"/>
          <w:noProof/>
          <w:sz w:val="24"/>
          <w:szCs w:val="24"/>
        </w:rPr>
        <w:t xml:space="preserve">, the CJEU narrowed the scope of equal treatment </w:t>
      </w:r>
      <w:r w:rsidR="00E74E48" w:rsidRPr="006E25B0">
        <w:rPr>
          <w:rFonts w:ascii="Times New Roman" w:hAnsi="Times New Roman" w:cs="Times New Roman"/>
          <w:noProof/>
          <w:sz w:val="24"/>
          <w:szCs w:val="24"/>
        </w:rPr>
        <w:t>under Art</w:t>
      </w:r>
      <w:r w:rsidR="004750DE" w:rsidRPr="006E25B0">
        <w:rPr>
          <w:rFonts w:ascii="Times New Roman" w:hAnsi="Times New Roman" w:cs="Times New Roman"/>
          <w:noProof/>
          <w:sz w:val="24"/>
          <w:szCs w:val="24"/>
        </w:rPr>
        <w:t>icle</w:t>
      </w:r>
      <w:r w:rsidR="00E74E48" w:rsidRPr="006E25B0">
        <w:rPr>
          <w:rFonts w:ascii="Times New Roman" w:hAnsi="Times New Roman" w:cs="Times New Roman"/>
          <w:noProof/>
          <w:sz w:val="24"/>
          <w:szCs w:val="24"/>
        </w:rPr>
        <w:t xml:space="preserve"> 24(1) Directive</w:t>
      </w:r>
      <w:r w:rsidR="00C67654" w:rsidRPr="006E25B0">
        <w:rPr>
          <w:rFonts w:ascii="Times New Roman" w:hAnsi="Times New Roman" w:cs="Times New Roman"/>
          <w:noProof/>
          <w:sz w:val="24"/>
          <w:szCs w:val="24"/>
        </w:rPr>
        <w:t xml:space="preserve"> </w:t>
      </w:r>
      <w:r w:rsidR="00E74E48" w:rsidRPr="006E25B0">
        <w:rPr>
          <w:rFonts w:ascii="Times New Roman" w:hAnsi="Times New Roman" w:cs="Times New Roman"/>
          <w:noProof/>
          <w:sz w:val="24"/>
          <w:szCs w:val="24"/>
        </w:rPr>
        <w:t xml:space="preserve">2004/38 </w:t>
      </w:r>
      <w:r w:rsidR="008E7D18" w:rsidRPr="006E25B0">
        <w:rPr>
          <w:rFonts w:ascii="Times New Roman" w:hAnsi="Times New Roman" w:cs="Times New Roman"/>
          <w:noProof/>
          <w:sz w:val="24"/>
          <w:szCs w:val="24"/>
        </w:rPr>
        <w:t>by ruling that ‘a Union citizen can claim equal treatment with nationals of the host Member State only if his residence in the territory of the host Member State complies with the conditions of Directive 2004/38’</w:t>
      </w:r>
      <w:r w:rsidR="00FC4595" w:rsidRPr="006E25B0">
        <w:rPr>
          <w:rFonts w:ascii="Times New Roman" w:hAnsi="Times New Roman" w:cs="Times New Roman"/>
          <w:noProof/>
          <w:sz w:val="24"/>
          <w:szCs w:val="24"/>
        </w:rPr>
        <w:t xml:space="preserve"> (at </w:t>
      </w:r>
      <w:r w:rsidR="005A496E" w:rsidRPr="006E25B0">
        <w:rPr>
          <w:rFonts w:ascii="Times New Roman" w:hAnsi="Times New Roman" w:cs="Times New Roman"/>
          <w:noProof/>
          <w:sz w:val="24"/>
          <w:szCs w:val="24"/>
        </w:rPr>
        <w:t xml:space="preserve">para. </w:t>
      </w:r>
      <w:r w:rsidR="00FC4595" w:rsidRPr="006E25B0">
        <w:rPr>
          <w:rFonts w:ascii="Times New Roman" w:hAnsi="Times New Roman" w:cs="Times New Roman"/>
          <w:noProof/>
          <w:sz w:val="24"/>
          <w:szCs w:val="24"/>
        </w:rPr>
        <w:t>69).</w:t>
      </w:r>
      <w:r w:rsidR="008E7D18" w:rsidRPr="006E25B0">
        <w:rPr>
          <w:rFonts w:ascii="Times New Roman" w:hAnsi="Times New Roman" w:cs="Times New Roman"/>
          <w:noProof/>
          <w:sz w:val="24"/>
          <w:szCs w:val="24"/>
        </w:rPr>
        <w:t xml:space="preserve"> This finding is not mitigated by primary law, be it the provisions on EU citizenship, the principle of equal treatment laid down in </w:t>
      </w:r>
      <w:r w:rsidR="005A6CF7" w:rsidRPr="006E25B0">
        <w:rPr>
          <w:rFonts w:ascii="Times New Roman" w:hAnsi="Times New Roman" w:cs="Times New Roman"/>
          <w:noProof/>
          <w:sz w:val="24"/>
          <w:szCs w:val="24"/>
        </w:rPr>
        <w:t>Art</w:t>
      </w:r>
      <w:r w:rsidR="004750DE"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18 TFEU, the principle of proportionality, or the Charter. Neither is it tempered by the applicability of </w:t>
      </w:r>
      <w:r w:rsidR="005A6CF7" w:rsidRPr="006E25B0">
        <w:rPr>
          <w:rFonts w:ascii="Times New Roman" w:hAnsi="Times New Roman" w:cs="Times New Roman"/>
          <w:noProof/>
          <w:sz w:val="24"/>
          <w:szCs w:val="24"/>
        </w:rPr>
        <w:t>Art</w:t>
      </w:r>
      <w:r w:rsidR="004750DE"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4 Regulation</w:t>
      </w:r>
      <w:r w:rsidR="00FD02D1"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883/2004</w:t>
      </w:r>
      <w:r w:rsidR="0050609E" w:rsidRPr="006E25B0">
        <w:rPr>
          <w:rFonts w:ascii="Times New Roman" w:hAnsi="Times New Roman" w:cs="Times New Roman"/>
          <w:noProof/>
          <w:sz w:val="24"/>
          <w:szCs w:val="24"/>
        </w:rPr>
        <w:t xml:space="preserve"> to special non-contributory cash benefit</w:t>
      </w:r>
      <w:r w:rsidR="006461E3" w:rsidRPr="006E25B0">
        <w:rPr>
          <w:rFonts w:ascii="Times New Roman" w:hAnsi="Times New Roman" w:cs="Times New Roman"/>
          <w:noProof/>
          <w:sz w:val="24"/>
          <w:szCs w:val="24"/>
        </w:rPr>
        <w:t>s</w:t>
      </w:r>
      <w:r w:rsidR="008E7D18" w:rsidRPr="006E25B0">
        <w:rPr>
          <w:rFonts w:ascii="Times New Roman" w:hAnsi="Times New Roman" w:cs="Times New Roman"/>
          <w:noProof/>
          <w:sz w:val="24"/>
          <w:szCs w:val="24"/>
        </w:rPr>
        <w:t xml:space="preserve">. Accordingly, the very EU citizens who need social assistance most (because they lack sufficient resources) </w:t>
      </w:r>
      <w:r w:rsidR="006461E3" w:rsidRPr="006E25B0">
        <w:rPr>
          <w:rFonts w:ascii="Times New Roman" w:hAnsi="Times New Roman" w:cs="Times New Roman"/>
          <w:noProof/>
          <w:sz w:val="24"/>
          <w:szCs w:val="24"/>
        </w:rPr>
        <w:t xml:space="preserve">can be </w:t>
      </w:r>
      <w:r w:rsidR="00612ED8" w:rsidRPr="006E25B0">
        <w:rPr>
          <w:rFonts w:ascii="Times New Roman" w:hAnsi="Times New Roman" w:cs="Times New Roman"/>
          <w:noProof/>
          <w:sz w:val="24"/>
          <w:szCs w:val="24"/>
        </w:rPr>
        <w:t xml:space="preserve">excluded </w:t>
      </w:r>
      <w:r w:rsidR="006461E3" w:rsidRPr="006E25B0">
        <w:rPr>
          <w:rFonts w:ascii="Times New Roman" w:hAnsi="Times New Roman" w:cs="Times New Roman"/>
          <w:noProof/>
          <w:sz w:val="24"/>
          <w:szCs w:val="24"/>
        </w:rPr>
        <w:t xml:space="preserve">from </w:t>
      </w:r>
      <w:r w:rsidR="008E7D18" w:rsidRPr="006E25B0">
        <w:rPr>
          <w:rFonts w:ascii="Times New Roman" w:hAnsi="Times New Roman" w:cs="Times New Roman"/>
          <w:noProof/>
          <w:sz w:val="24"/>
          <w:szCs w:val="24"/>
        </w:rPr>
        <w:t>it, precisely because their financial difficulties disqualify them from having a right to reside and therefore a right to equal treatment.</w:t>
      </w:r>
    </w:p>
    <w:p w14:paraId="6A6A9A8C" w14:textId="75E4F524" w:rsidR="008E7D18" w:rsidRPr="006E25B0" w:rsidRDefault="009A1017" w:rsidP="00D95347">
      <w:pPr>
        <w:rPr>
          <w:rFonts w:ascii="Times New Roman" w:hAnsi="Times New Roman" w:cs="Times New Roman"/>
          <w:noProof/>
          <w:sz w:val="24"/>
          <w:szCs w:val="24"/>
        </w:rPr>
      </w:pPr>
      <w:r w:rsidRPr="006E25B0">
        <w:rPr>
          <w:rFonts w:ascii="Times New Roman" w:hAnsi="Times New Roman" w:cs="Times New Roman"/>
          <w:noProof/>
          <w:sz w:val="24"/>
          <w:szCs w:val="24"/>
        </w:rPr>
        <w:t>59</w:t>
      </w:r>
      <w:r w:rsidRPr="006E25B0">
        <w:rPr>
          <w:rFonts w:ascii="Times New Roman" w:hAnsi="Times New Roman" w:cs="Times New Roman"/>
          <w:noProof/>
          <w:sz w:val="24"/>
          <w:szCs w:val="24"/>
        </w:rPr>
        <w:tab/>
      </w:r>
      <w:r w:rsidR="008E7D18" w:rsidRPr="006E25B0">
        <w:rPr>
          <w:rFonts w:ascii="Times New Roman" w:hAnsi="Times New Roman" w:cs="Times New Roman"/>
          <w:noProof/>
          <w:sz w:val="24"/>
          <w:szCs w:val="24"/>
        </w:rPr>
        <w:t xml:space="preserve">While a right to reside based on </w:t>
      </w:r>
      <w:r w:rsidR="005A6CF7" w:rsidRPr="006E25B0">
        <w:rPr>
          <w:rFonts w:ascii="Times New Roman" w:hAnsi="Times New Roman" w:cs="Times New Roman"/>
          <w:noProof/>
          <w:sz w:val="24"/>
          <w:szCs w:val="24"/>
        </w:rPr>
        <w:t>Art</w:t>
      </w:r>
      <w:r w:rsidR="004750DE" w:rsidRPr="006E25B0">
        <w:rPr>
          <w:rFonts w:ascii="Times New Roman" w:hAnsi="Times New Roman" w:cs="Times New Roman"/>
          <w:noProof/>
          <w:sz w:val="24"/>
          <w:szCs w:val="24"/>
        </w:rPr>
        <w:t>icle</w:t>
      </w:r>
      <w:r w:rsidR="008E7D18" w:rsidRPr="006E25B0">
        <w:rPr>
          <w:rFonts w:ascii="Times New Roman" w:hAnsi="Times New Roman" w:cs="Times New Roman"/>
          <w:noProof/>
          <w:sz w:val="24"/>
          <w:szCs w:val="24"/>
        </w:rPr>
        <w:t xml:space="preserve"> 10 Regulation</w:t>
      </w:r>
      <w:r w:rsidR="00FD02D1"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492/2011 comes with a right to equal treatment in accessing social assistance</w:t>
      </w:r>
      <w:r w:rsidR="00957BD8" w:rsidRPr="006E25B0">
        <w:rPr>
          <w:rFonts w:ascii="Times New Roman" w:hAnsi="Times New Roman" w:cs="Times New Roman"/>
          <w:noProof/>
          <w:sz w:val="24"/>
          <w:szCs w:val="24"/>
        </w:rPr>
        <w:t xml:space="preserve"> (</w:t>
      </w:r>
      <w:r w:rsidR="00957BD8" w:rsidRPr="006E25B0">
        <w:rPr>
          <w:rFonts w:ascii="Times New Roman" w:hAnsi="Times New Roman" w:cs="Times New Roman"/>
          <w:i/>
          <w:noProof/>
          <w:sz w:val="24"/>
          <w:szCs w:val="24"/>
        </w:rPr>
        <w:t>Jobcenter Krefeld</w:t>
      </w:r>
      <w:r w:rsidR="00957BD8" w:rsidRPr="006E25B0">
        <w:rPr>
          <w:rFonts w:ascii="Times New Roman" w:hAnsi="Times New Roman" w:cs="Times New Roman"/>
          <w:noProof/>
          <w:sz w:val="24"/>
          <w:szCs w:val="24"/>
        </w:rPr>
        <w:t>)</w:t>
      </w:r>
      <w:r w:rsidR="008E7D18" w:rsidRPr="006E25B0">
        <w:rPr>
          <w:rFonts w:ascii="Times New Roman" w:hAnsi="Times New Roman" w:cs="Times New Roman"/>
          <w:noProof/>
          <w:sz w:val="24"/>
          <w:szCs w:val="24"/>
        </w:rPr>
        <w:t xml:space="preserve">, the same is not true for residence rights based on national law only. In </w:t>
      </w:r>
      <w:r w:rsidR="008E7D18" w:rsidRPr="006E25B0">
        <w:rPr>
          <w:rFonts w:ascii="Times New Roman" w:hAnsi="Times New Roman" w:cs="Times New Roman"/>
          <w:i/>
          <w:iCs/>
          <w:noProof/>
          <w:sz w:val="24"/>
          <w:szCs w:val="24"/>
        </w:rPr>
        <w:t>CG</w:t>
      </w:r>
      <w:r w:rsidR="008E7D18" w:rsidRPr="006E25B0">
        <w:rPr>
          <w:rFonts w:ascii="Times New Roman" w:hAnsi="Times New Roman" w:cs="Times New Roman"/>
          <w:noProof/>
          <w:sz w:val="24"/>
          <w:szCs w:val="24"/>
        </w:rPr>
        <w:t xml:space="preserve">, the Grand Chamber held that </w:t>
      </w:r>
      <w:bookmarkStart w:id="40" w:name="_Hlk87291845"/>
      <w:r w:rsidR="008E7D18" w:rsidRPr="006E25B0">
        <w:rPr>
          <w:rFonts w:ascii="Times New Roman" w:hAnsi="Times New Roman" w:cs="Times New Roman"/>
          <w:noProof/>
          <w:sz w:val="24"/>
          <w:szCs w:val="24"/>
        </w:rPr>
        <w:t>an EU citizen who has a right to reside under national law, but not under EU law, cannot rely on the right to equal treatment</w:t>
      </w:r>
      <w:bookmarkEnd w:id="40"/>
      <w:r w:rsidR="008E7D18" w:rsidRPr="006E25B0">
        <w:rPr>
          <w:rFonts w:ascii="Times New Roman" w:hAnsi="Times New Roman" w:cs="Times New Roman"/>
          <w:noProof/>
          <w:sz w:val="24"/>
          <w:szCs w:val="24"/>
        </w:rPr>
        <w:t xml:space="preserve">. In so doing, the CJEU overturned </w:t>
      </w:r>
      <w:r w:rsidR="008E7D18" w:rsidRPr="006E25B0">
        <w:rPr>
          <w:rFonts w:ascii="Times New Roman" w:hAnsi="Times New Roman" w:cs="Times New Roman"/>
          <w:i/>
          <w:iCs/>
          <w:noProof/>
          <w:sz w:val="24"/>
          <w:szCs w:val="24"/>
        </w:rPr>
        <w:t>Trojani</w:t>
      </w:r>
      <w:r w:rsidR="0043124E" w:rsidRPr="006E25B0">
        <w:rPr>
          <w:rFonts w:ascii="Times New Roman" w:hAnsi="Times New Roman" w:cs="Times New Roman"/>
          <w:noProof/>
          <w:sz w:val="24"/>
          <w:szCs w:val="24"/>
        </w:rPr>
        <w:t xml:space="preserve"> (to which </w:t>
      </w:r>
      <w:r w:rsidR="0043124E" w:rsidRPr="006E25B0">
        <w:rPr>
          <w:rFonts w:ascii="Times New Roman" w:hAnsi="Times New Roman" w:cs="Times New Roman"/>
          <w:i/>
          <w:iCs/>
          <w:noProof/>
          <w:sz w:val="24"/>
          <w:szCs w:val="24"/>
        </w:rPr>
        <w:t>Dano</w:t>
      </w:r>
      <w:r w:rsidR="0043124E" w:rsidRPr="006E25B0">
        <w:rPr>
          <w:rFonts w:ascii="Times New Roman" w:hAnsi="Times New Roman" w:cs="Times New Roman"/>
          <w:noProof/>
          <w:sz w:val="24"/>
          <w:szCs w:val="24"/>
        </w:rPr>
        <w:t xml:space="preserve"> had already dealt a blow)</w:t>
      </w:r>
      <w:r w:rsidR="00C75B14" w:rsidRPr="006E25B0">
        <w:rPr>
          <w:rFonts w:ascii="Times New Roman" w:hAnsi="Times New Roman" w:cs="Times New Roman"/>
          <w:noProof/>
          <w:sz w:val="24"/>
          <w:szCs w:val="24"/>
        </w:rPr>
        <w:t xml:space="preserve">. In </w:t>
      </w:r>
      <w:r w:rsidR="00C75B14" w:rsidRPr="006E25B0">
        <w:rPr>
          <w:rFonts w:ascii="Times New Roman" w:hAnsi="Times New Roman" w:cs="Times New Roman"/>
          <w:i/>
          <w:iCs/>
          <w:noProof/>
          <w:sz w:val="24"/>
          <w:szCs w:val="24"/>
        </w:rPr>
        <w:t>Trojani</w:t>
      </w:r>
      <w:r w:rsidR="008E7D18" w:rsidRPr="006E25B0">
        <w:rPr>
          <w:rFonts w:ascii="Times New Roman" w:hAnsi="Times New Roman" w:cs="Times New Roman"/>
          <w:noProof/>
          <w:sz w:val="24"/>
          <w:szCs w:val="24"/>
        </w:rPr>
        <w:t>, the Grand Chamber had held that a Member State can revoke a purely domestic right to reside because of a lack of sufficient resources; but, until it does so, a person possessing such a right to reside can rely on ‘the fundamental principle of equal treatment’ in order to claim social assistance</w:t>
      </w:r>
      <w:r w:rsidR="00957BD8" w:rsidRPr="006E25B0">
        <w:rPr>
          <w:rFonts w:ascii="Times New Roman" w:hAnsi="Times New Roman" w:cs="Times New Roman"/>
          <w:noProof/>
          <w:sz w:val="24"/>
          <w:szCs w:val="24"/>
        </w:rPr>
        <w:t xml:space="preserve"> (at </w:t>
      </w:r>
      <w:r w:rsidR="0063124A" w:rsidRPr="006E25B0">
        <w:rPr>
          <w:rFonts w:ascii="Times New Roman" w:hAnsi="Times New Roman" w:cs="Times New Roman"/>
          <w:noProof/>
          <w:sz w:val="24"/>
          <w:szCs w:val="24"/>
        </w:rPr>
        <w:t xml:space="preserve">paras </w:t>
      </w:r>
      <w:r w:rsidR="00957BD8" w:rsidRPr="006E25B0">
        <w:rPr>
          <w:rFonts w:ascii="Times New Roman" w:hAnsi="Times New Roman" w:cs="Times New Roman"/>
          <w:noProof/>
          <w:sz w:val="24"/>
          <w:szCs w:val="24"/>
        </w:rPr>
        <w:t>40, 45)</w:t>
      </w:r>
      <w:r w:rsidR="008E7D18" w:rsidRPr="006E25B0">
        <w:rPr>
          <w:rFonts w:ascii="Times New Roman" w:hAnsi="Times New Roman" w:cs="Times New Roman"/>
          <w:noProof/>
          <w:sz w:val="24"/>
          <w:szCs w:val="24"/>
        </w:rPr>
        <w:t xml:space="preserve">. </w:t>
      </w:r>
      <w:r w:rsidR="008E7D18" w:rsidRPr="006E25B0">
        <w:rPr>
          <w:rFonts w:ascii="Times New Roman" w:hAnsi="Times New Roman" w:cs="Times New Roman"/>
          <w:i/>
          <w:iCs/>
          <w:noProof/>
          <w:sz w:val="24"/>
          <w:szCs w:val="24"/>
        </w:rPr>
        <w:t>CG</w:t>
      </w:r>
      <w:r w:rsidR="008E7D18" w:rsidRPr="006E25B0">
        <w:rPr>
          <w:rFonts w:ascii="Times New Roman" w:hAnsi="Times New Roman" w:cs="Times New Roman"/>
          <w:noProof/>
          <w:sz w:val="24"/>
          <w:szCs w:val="24"/>
        </w:rPr>
        <w:t xml:space="preserve"> brings the fundamental rights of the Charter into play. National authorities may reject a social assistance claim of a single mother lacking resources and fleeing domestic abuse with her young children ‘only after ascertaining that that refusal does not expose the citizen concerned and the children for which he or she is responsible to an actual and current risk of violation of their fundamental rights, as enshrined in Articles 1, 7 and 24 of the Charter’</w:t>
      </w:r>
      <w:r w:rsidR="005D7040" w:rsidRPr="006E25B0">
        <w:rPr>
          <w:rFonts w:ascii="Times New Roman" w:hAnsi="Times New Roman" w:cs="Times New Roman"/>
          <w:noProof/>
          <w:sz w:val="24"/>
          <w:szCs w:val="24"/>
        </w:rPr>
        <w:t xml:space="preserve"> (at</w:t>
      </w:r>
      <w:r w:rsidR="000C681E" w:rsidRPr="006E25B0">
        <w:rPr>
          <w:rFonts w:ascii="Times New Roman" w:hAnsi="Times New Roman" w:cs="Times New Roman"/>
          <w:noProof/>
          <w:sz w:val="24"/>
          <w:szCs w:val="24"/>
        </w:rPr>
        <w:t xml:space="preserve"> para.</w:t>
      </w:r>
      <w:r w:rsidR="005D7040" w:rsidRPr="006E25B0">
        <w:rPr>
          <w:rFonts w:ascii="Times New Roman" w:hAnsi="Times New Roman" w:cs="Times New Roman"/>
          <w:noProof/>
          <w:sz w:val="24"/>
          <w:szCs w:val="24"/>
        </w:rPr>
        <w:t xml:space="preserve"> 92).</w:t>
      </w:r>
      <w:r w:rsidR="008E7D18" w:rsidRPr="006E25B0">
        <w:rPr>
          <w:rFonts w:ascii="Times New Roman" w:hAnsi="Times New Roman" w:cs="Times New Roman"/>
          <w:noProof/>
          <w:sz w:val="24"/>
          <w:szCs w:val="24"/>
        </w:rPr>
        <w:t xml:space="preserve"> This raises novel questions as to the Charter’s applicability to and meaning for cross-border social benefits claims</w:t>
      </w:r>
      <w:r w:rsidR="004750DE" w:rsidRPr="006E25B0">
        <w:rPr>
          <w:rFonts w:ascii="Times New Roman" w:hAnsi="Times New Roman" w:cs="Times New Roman"/>
          <w:noProof/>
          <w:sz w:val="24"/>
          <w:szCs w:val="24"/>
        </w:rPr>
        <w:t xml:space="preserve"> (see O’Brien, 2021, 811-813)</w:t>
      </w:r>
      <w:r w:rsidR="008E7D18" w:rsidRPr="006E25B0">
        <w:rPr>
          <w:rFonts w:ascii="Times New Roman" w:hAnsi="Times New Roman" w:cs="Times New Roman"/>
          <w:noProof/>
          <w:sz w:val="24"/>
          <w:szCs w:val="24"/>
        </w:rPr>
        <w:t xml:space="preserve">. </w:t>
      </w:r>
    </w:p>
    <w:p w14:paraId="16B7D40A" w14:textId="0A699751" w:rsidR="008E7D18" w:rsidRPr="006E25B0" w:rsidRDefault="00815559" w:rsidP="00D95347">
      <w:pPr>
        <w:rPr>
          <w:rFonts w:ascii="Times New Roman" w:hAnsi="Times New Roman" w:cs="Times New Roman"/>
          <w:noProof/>
          <w:sz w:val="24"/>
          <w:szCs w:val="24"/>
        </w:rPr>
      </w:pPr>
      <w:r w:rsidRPr="006E25B0">
        <w:rPr>
          <w:rFonts w:ascii="Times New Roman" w:hAnsi="Times New Roman" w:cs="Times New Roman"/>
          <w:noProof/>
          <w:sz w:val="24"/>
          <w:szCs w:val="24"/>
        </w:rPr>
        <w:t>60</w:t>
      </w:r>
      <w:r w:rsidRPr="006E25B0">
        <w:rPr>
          <w:rFonts w:ascii="Times New Roman" w:hAnsi="Times New Roman" w:cs="Times New Roman"/>
          <w:noProof/>
          <w:sz w:val="24"/>
          <w:szCs w:val="24"/>
        </w:rPr>
        <w:tab/>
      </w:r>
      <w:r w:rsidR="008E7D18" w:rsidRPr="006E25B0">
        <w:rPr>
          <w:rFonts w:ascii="Times New Roman" w:hAnsi="Times New Roman" w:cs="Times New Roman"/>
          <w:i/>
          <w:iCs/>
          <w:noProof/>
          <w:sz w:val="24"/>
          <w:szCs w:val="24"/>
        </w:rPr>
        <w:t>Dano</w:t>
      </w:r>
      <w:r w:rsidR="008E7D18" w:rsidRPr="006E25B0">
        <w:rPr>
          <w:rFonts w:ascii="Times New Roman" w:hAnsi="Times New Roman" w:cs="Times New Roman"/>
          <w:noProof/>
          <w:sz w:val="24"/>
          <w:szCs w:val="24"/>
        </w:rPr>
        <w:t xml:space="preserve"> and its progeny </w:t>
      </w:r>
      <w:r w:rsidR="00AD5AEB" w:rsidRPr="006E25B0">
        <w:rPr>
          <w:rFonts w:ascii="Times New Roman" w:hAnsi="Times New Roman" w:cs="Times New Roman"/>
          <w:noProof/>
          <w:sz w:val="24"/>
          <w:szCs w:val="24"/>
        </w:rPr>
        <w:t xml:space="preserve">have given </w:t>
      </w:r>
      <w:r w:rsidR="008E7D18" w:rsidRPr="006E25B0">
        <w:rPr>
          <w:rFonts w:ascii="Times New Roman" w:hAnsi="Times New Roman" w:cs="Times New Roman"/>
          <w:noProof/>
          <w:sz w:val="24"/>
          <w:szCs w:val="24"/>
        </w:rPr>
        <w:t xml:space="preserve">rise to abundant, often negative, commentary, which can only be skimmed over here. </w:t>
      </w:r>
      <w:r w:rsidR="008E7D18" w:rsidRPr="006E25B0">
        <w:rPr>
          <w:rFonts w:ascii="Times New Roman" w:hAnsi="Times New Roman" w:cs="Times New Roman"/>
          <w:i/>
          <w:iCs/>
          <w:noProof/>
          <w:sz w:val="24"/>
          <w:szCs w:val="24"/>
        </w:rPr>
        <w:t>Dano</w:t>
      </w:r>
      <w:r w:rsidR="008E7D18" w:rsidRPr="006E25B0">
        <w:rPr>
          <w:rFonts w:ascii="Times New Roman" w:hAnsi="Times New Roman" w:cs="Times New Roman"/>
          <w:noProof/>
          <w:sz w:val="24"/>
          <w:szCs w:val="24"/>
        </w:rPr>
        <w:t xml:space="preserve"> opens a period of ‘doctrinal conservatism’</w:t>
      </w:r>
      <w:r w:rsidR="00C05DFF" w:rsidRPr="006E25B0">
        <w:rPr>
          <w:rFonts w:ascii="Times New Roman" w:hAnsi="Times New Roman" w:cs="Times New Roman"/>
          <w:noProof/>
          <w:sz w:val="24"/>
          <w:szCs w:val="24"/>
        </w:rPr>
        <w:t xml:space="preserve"> (Thym, 2015 A, 250)</w:t>
      </w:r>
      <w:r w:rsidR="008E7D18" w:rsidRPr="006E25B0">
        <w:rPr>
          <w:rFonts w:ascii="Times New Roman" w:hAnsi="Times New Roman" w:cs="Times New Roman"/>
          <w:noProof/>
          <w:sz w:val="24"/>
          <w:szCs w:val="24"/>
        </w:rPr>
        <w:t>, in which the CJEU excessively amplifies the conditions and limitations to the citizenship rights</w:t>
      </w:r>
      <w:r w:rsidR="00C05DFF" w:rsidRPr="006E25B0">
        <w:rPr>
          <w:rFonts w:ascii="Times New Roman" w:hAnsi="Times New Roman" w:cs="Times New Roman"/>
          <w:noProof/>
          <w:sz w:val="24"/>
          <w:szCs w:val="24"/>
        </w:rPr>
        <w:t xml:space="preserve"> (see Nic Shuibhne)</w:t>
      </w:r>
      <w:r w:rsidR="008E7D18" w:rsidRPr="006E25B0">
        <w:rPr>
          <w:rFonts w:ascii="Times New Roman" w:hAnsi="Times New Roman" w:cs="Times New Roman"/>
          <w:noProof/>
          <w:sz w:val="24"/>
          <w:szCs w:val="24"/>
        </w:rPr>
        <w:t>. This focus on restrictions undermines ‘the primary-ness of Union citizenship rights’</w:t>
      </w:r>
      <w:r w:rsidR="00C05DFF" w:rsidRPr="006E25B0">
        <w:rPr>
          <w:rFonts w:ascii="Times New Roman" w:hAnsi="Times New Roman" w:cs="Times New Roman"/>
          <w:noProof/>
          <w:sz w:val="24"/>
          <w:szCs w:val="24"/>
        </w:rPr>
        <w:t xml:space="preserve"> (Nic Shuibhne, 891)</w:t>
      </w:r>
      <w:r w:rsidR="008E7D18" w:rsidRPr="006E25B0">
        <w:rPr>
          <w:rFonts w:ascii="Times New Roman" w:hAnsi="Times New Roman" w:cs="Times New Roman"/>
          <w:noProof/>
          <w:sz w:val="24"/>
          <w:szCs w:val="24"/>
        </w:rPr>
        <w:t>. It diminishes the fundamental principle of equal treatment, the fundamental status of EU citizenship and the fundamental free movement rights</w:t>
      </w:r>
      <w:r w:rsidR="00C05DFF" w:rsidRPr="006E25B0">
        <w:rPr>
          <w:rFonts w:ascii="Times New Roman" w:hAnsi="Times New Roman" w:cs="Times New Roman"/>
          <w:noProof/>
          <w:sz w:val="24"/>
          <w:szCs w:val="24"/>
        </w:rPr>
        <w:t xml:space="preserve"> (see eg O</w:t>
      </w:r>
      <w:r w:rsidR="004750DE" w:rsidRPr="006E25B0">
        <w:rPr>
          <w:rFonts w:ascii="Times New Roman" w:hAnsi="Times New Roman" w:cs="Times New Roman"/>
          <w:noProof/>
          <w:sz w:val="24"/>
          <w:szCs w:val="24"/>
        </w:rPr>
        <w:t>’</w:t>
      </w:r>
      <w:r w:rsidR="00C05DFF" w:rsidRPr="006E25B0">
        <w:rPr>
          <w:rFonts w:ascii="Times New Roman" w:hAnsi="Times New Roman" w:cs="Times New Roman"/>
          <w:noProof/>
          <w:sz w:val="24"/>
          <w:szCs w:val="24"/>
        </w:rPr>
        <w:t>Brien, 2017)</w:t>
      </w:r>
      <w:r w:rsidR="008E7D18" w:rsidRPr="006E25B0">
        <w:rPr>
          <w:rFonts w:ascii="Times New Roman" w:hAnsi="Times New Roman" w:cs="Times New Roman"/>
          <w:noProof/>
          <w:sz w:val="24"/>
          <w:szCs w:val="24"/>
        </w:rPr>
        <w:t>. Thus understood, EU citizenship reinforces divisions along the lines of class, gender and disability, exposing vulnerable citizens to hardship</w:t>
      </w:r>
      <w:r w:rsidR="00C05DFF" w:rsidRPr="006E25B0">
        <w:rPr>
          <w:rFonts w:ascii="Times New Roman" w:hAnsi="Times New Roman" w:cs="Times New Roman"/>
          <w:noProof/>
          <w:sz w:val="24"/>
          <w:szCs w:val="24"/>
        </w:rPr>
        <w:t xml:space="preserve"> (see eg O</w:t>
      </w:r>
      <w:r w:rsidR="004750DE" w:rsidRPr="006E25B0">
        <w:rPr>
          <w:rFonts w:ascii="Times New Roman" w:hAnsi="Times New Roman" w:cs="Times New Roman"/>
          <w:noProof/>
          <w:sz w:val="24"/>
          <w:szCs w:val="24"/>
        </w:rPr>
        <w:t>’</w:t>
      </w:r>
      <w:r w:rsidR="00C05DFF" w:rsidRPr="006E25B0">
        <w:rPr>
          <w:rFonts w:ascii="Times New Roman" w:hAnsi="Times New Roman" w:cs="Times New Roman"/>
          <w:noProof/>
          <w:sz w:val="24"/>
          <w:szCs w:val="24"/>
        </w:rPr>
        <w:t xml:space="preserve">Brien, </w:t>
      </w:r>
      <w:r w:rsidR="00B35E4A" w:rsidRPr="006E25B0">
        <w:rPr>
          <w:rFonts w:ascii="Times New Roman" w:hAnsi="Times New Roman" w:cs="Times New Roman"/>
          <w:noProof/>
          <w:sz w:val="24"/>
          <w:szCs w:val="24"/>
        </w:rPr>
        <w:t xml:space="preserve">2016, </w:t>
      </w:r>
      <w:r w:rsidR="00C05DFF" w:rsidRPr="006E25B0">
        <w:rPr>
          <w:rFonts w:ascii="Times New Roman" w:hAnsi="Times New Roman" w:cs="Times New Roman"/>
          <w:noProof/>
          <w:sz w:val="24"/>
          <w:szCs w:val="24"/>
        </w:rPr>
        <w:t>2017)</w:t>
      </w:r>
      <w:r w:rsidR="008E7D18" w:rsidRPr="006E25B0">
        <w:rPr>
          <w:rFonts w:ascii="Times New Roman" w:hAnsi="Times New Roman" w:cs="Times New Roman"/>
          <w:noProof/>
          <w:sz w:val="24"/>
          <w:szCs w:val="24"/>
        </w:rPr>
        <w:t>. ‘</w:t>
      </w:r>
      <w:r w:rsidR="006432B6" w:rsidRPr="006E25B0">
        <w:rPr>
          <w:rFonts w:ascii="Times New Roman" w:hAnsi="Times New Roman" w:cs="Times New Roman"/>
          <w:noProof/>
          <w:sz w:val="24"/>
          <w:szCs w:val="24"/>
        </w:rPr>
        <w:t>T</w:t>
      </w:r>
      <w:r w:rsidR="008E7D18" w:rsidRPr="006E25B0">
        <w:rPr>
          <w:rFonts w:ascii="Times New Roman" w:hAnsi="Times New Roman" w:cs="Times New Roman"/>
          <w:noProof/>
          <w:sz w:val="24"/>
          <w:szCs w:val="24"/>
        </w:rPr>
        <w:t>he Court abandoned earlier attempts to read political visions of a good life and just society into the notion of Union citizenship’</w:t>
      </w:r>
      <w:r w:rsidR="00B35E4A" w:rsidRPr="006E25B0">
        <w:rPr>
          <w:rFonts w:ascii="Times New Roman" w:hAnsi="Times New Roman" w:cs="Times New Roman"/>
          <w:noProof/>
          <w:sz w:val="24"/>
          <w:szCs w:val="24"/>
        </w:rPr>
        <w:t xml:space="preserve"> (Thym, 2015 A, 250).</w:t>
      </w:r>
      <w:r w:rsidR="008E7D18" w:rsidRPr="006E25B0">
        <w:rPr>
          <w:rFonts w:ascii="Times New Roman" w:hAnsi="Times New Roman" w:cs="Times New Roman"/>
          <w:noProof/>
          <w:sz w:val="24"/>
          <w:szCs w:val="24"/>
        </w:rPr>
        <w:t xml:space="preserve"> This </w:t>
      </w:r>
      <w:r w:rsidR="00AC20FC" w:rsidRPr="006E25B0">
        <w:rPr>
          <w:rFonts w:ascii="Times New Roman" w:hAnsi="Times New Roman" w:cs="Times New Roman"/>
          <w:noProof/>
          <w:sz w:val="24"/>
          <w:szCs w:val="24"/>
        </w:rPr>
        <w:t>strengthens</w:t>
      </w:r>
      <w:r w:rsidR="0081180C" w:rsidRPr="006E25B0">
        <w:rPr>
          <w:rFonts w:ascii="Times New Roman" w:hAnsi="Times New Roman" w:cs="Times New Roman"/>
          <w:noProof/>
          <w:sz w:val="24"/>
          <w:szCs w:val="24"/>
        </w:rPr>
        <w:t xml:space="preserve"> </w:t>
      </w:r>
      <w:r w:rsidR="008E7D18" w:rsidRPr="006E25B0">
        <w:rPr>
          <w:rFonts w:ascii="Times New Roman" w:hAnsi="Times New Roman" w:cs="Times New Roman"/>
          <w:noProof/>
          <w:sz w:val="24"/>
          <w:szCs w:val="24"/>
        </w:rPr>
        <w:t>the criticism that EU citizenship is first and foremost a market citizenship</w:t>
      </w:r>
      <w:r w:rsidR="00B35E4A" w:rsidRPr="006E25B0">
        <w:rPr>
          <w:rFonts w:ascii="Times New Roman" w:hAnsi="Times New Roman" w:cs="Times New Roman"/>
          <w:noProof/>
          <w:sz w:val="24"/>
          <w:szCs w:val="24"/>
        </w:rPr>
        <w:t xml:space="preserve"> (</w:t>
      </w:r>
      <w:r w:rsidR="006C029F" w:rsidRPr="006E25B0">
        <w:rPr>
          <w:rFonts w:ascii="Times New Roman" w:hAnsi="Times New Roman" w:cs="Times New Roman"/>
          <w:noProof/>
          <w:sz w:val="24"/>
          <w:szCs w:val="24"/>
        </w:rPr>
        <w:t>s</w:t>
      </w:r>
      <w:r w:rsidR="00B35E4A" w:rsidRPr="006E25B0">
        <w:rPr>
          <w:rFonts w:ascii="Times New Roman" w:hAnsi="Times New Roman" w:cs="Times New Roman"/>
          <w:noProof/>
          <w:sz w:val="24"/>
          <w:szCs w:val="24"/>
        </w:rPr>
        <w:t xml:space="preserve">ee </w:t>
      </w:r>
      <w:r w:rsidR="00E9418C" w:rsidRPr="006E25B0">
        <w:rPr>
          <w:rFonts w:ascii="Times New Roman" w:hAnsi="Times New Roman" w:cs="Times New Roman"/>
          <w:noProof/>
          <w:sz w:val="24"/>
          <w:szCs w:val="24"/>
        </w:rPr>
        <w:t xml:space="preserve">eg </w:t>
      </w:r>
      <w:r w:rsidR="00B35E4A" w:rsidRPr="006E25B0">
        <w:rPr>
          <w:rFonts w:ascii="Times New Roman" w:hAnsi="Times New Roman" w:cs="Times New Roman"/>
          <w:noProof/>
          <w:sz w:val="24"/>
          <w:szCs w:val="24"/>
        </w:rPr>
        <w:t>O</w:t>
      </w:r>
      <w:r w:rsidR="004750DE" w:rsidRPr="006E25B0">
        <w:rPr>
          <w:rFonts w:ascii="Times New Roman" w:hAnsi="Times New Roman" w:cs="Times New Roman"/>
          <w:noProof/>
          <w:sz w:val="24"/>
          <w:szCs w:val="24"/>
        </w:rPr>
        <w:t>’</w:t>
      </w:r>
      <w:r w:rsidR="00B35E4A" w:rsidRPr="006E25B0">
        <w:rPr>
          <w:rFonts w:ascii="Times New Roman" w:hAnsi="Times New Roman" w:cs="Times New Roman"/>
          <w:noProof/>
          <w:sz w:val="24"/>
          <w:szCs w:val="24"/>
        </w:rPr>
        <w:t>Brien</w:t>
      </w:r>
      <w:r w:rsidR="006C029F" w:rsidRPr="006E25B0">
        <w:rPr>
          <w:rFonts w:ascii="Times New Roman" w:hAnsi="Times New Roman" w:cs="Times New Roman"/>
          <w:noProof/>
          <w:sz w:val="24"/>
          <w:szCs w:val="24"/>
        </w:rPr>
        <w:t>,</w:t>
      </w:r>
      <w:r w:rsidR="00B35E4A" w:rsidRPr="006E25B0">
        <w:rPr>
          <w:rFonts w:ascii="Times New Roman" w:hAnsi="Times New Roman" w:cs="Times New Roman"/>
          <w:noProof/>
          <w:sz w:val="24"/>
          <w:szCs w:val="24"/>
        </w:rPr>
        <w:t xml:space="preserve"> 2017)</w:t>
      </w:r>
      <w:r w:rsidR="008E7D18" w:rsidRPr="006E25B0">
        <w:rPr>
          <w:rFonts w:ascii="Times New Roman" w:hAnsi="Times New Roman" w:cs="Times New Roman"/>
          <w:noProof/>
          <w:sz w:val="24"/>
          <w:szCs w:val="24"/>
        </w:rPr>
        <w:t>. Daniel Thym reconstructs this evolution as a shift from a residence model (essentially, equal treatment for residents) to an integration model (essentially, equal treatment only for those who are sufficiently integrated)</w:t>
      </w:r>
      <w:r w:rsidR="006C029F" w:rsidRPr="006E25B0">
        <w:rPr>
          <w:rFonts w:ascii="Times New Roman" w:hAnsi="Times New Roman" w:cs="Times New Roman"/>
          <w:noProof/>
          <w:sz w:val="24"/>
          <w:szCs w:val="24"/>
        </w:rPr>
        <w:t xml:space="preserve"> (Thym, 2015 B, 33-39)</w:t>
      </w:r>
      <w:r w:rsidR="008E7D18" w:rsidRPr="006E25B0">
        <w:rPr>
          <w:rFonts w:ascii="Times New Roman" w:hAnsi="Times New Roman" w:cs="Times New Roman"/>
          <w:noProof/>
          <w:sz w:val="24"/>
          <w:szCs w:val="24"/>
        </w:rPr>
        <w:t xml:space="preserve">. </w:t>
      </w:r>
      <w:r w:rsidR="008E7D18" w:rsidRPr="006E25B0">
        <w:rPr>
          <w:rFonts w:ascii="Times New Roman" w:hAnsi="Times New Roman" w:cs="Times New Roman"/>
          <w:i/>
          <w:iCs/>
          <w:noProof/>
          <w:sz w:val="24"/>
          <w:szCs w:val="24"/>
        </w:rPr>
        <w:t>Dano</w:t>
      </w:r>
      <w:r w:rsidR="008E7D18" w:rsidRPr="006E25B0">
        <w:rPr>
          <w:rFonts w:ascii="Times New Roman" w:hAnsi="Times New Roman" w:cs="Times New Roman"/>
          <w:noProof/>
          <w:sz w:val="24"/>
          <w:szCs w:val="24"/>
        </w:rPr>
        <w:t xml:space="preserve"> fits in a broader trend towards earned citizenship: ‘rights have to be earned – through wealth, health and good behaviour’</w:t>
      </w:r>
      <w:r w:rsidR="006C029F" w:rsidRPr="006E25B0">
        <w:rPr>
          <w:rFonts w:ascii="Times New Roman" w:hAnsi="Times New Roman" w:cs="Times New Roman"/>
          <w:noProof/>
          <w:sz w:val="24"/>
          <w:szCs w:val="24"/>
        </w:rPr>
        <w:t xml:space="preserve"> (Spaventa, 221; see further Kramer).</w:t>
      </w:r>
    </w:p>
    <w:p w14:paraId="47C013C2" w14:textId="77777777" w:rsidR="00197CBB" w:rsidRPr="006E25B0" w:rsidRDefault="00197CBB" w:rsidP="00D95347">
      <w:pPr>
        <w:rPr>
          <w:rFonts w:ascii="Times New Roman" w:hAnsi="Times New Roman" w:cs="Times New Roman"/>
          <w:noProof/>
        </w:rPr>
      </w:pPr>
    </w:p>
    <w:bookmarkEnd w:id="29"/>
    <w:p w14:paraId="457B62CA" w14:textId="50C65FC0" w:rsidR="00042CC8" w:rsidRPr="006E25B0" w:rsidRDefault="0018677D" w:rsidP="00D95347">
      <w:pPr>
        <w:pStyle w:val="Heading1"/>
        <w:rPr>
          <w:rFonts w:ascii="Times New Roman" w:hAnsi="Times New Roman" w:cs="Times New Roman"/>
          <w:noProof/>
          <w:color w:val="auto"/>
        </w:rPr>
      </w:pPr>
      <w:r w:rsidRPr="006E25B0">
        <w:rPr>
          <w:rFonts w:ascii="Times New Roman" w:hAnsi="Times New Roman" w:cs="Times New Roman"/>
          <w:noProof/>
          <w:color w:val="auto"/>
        </w:rPr>
        <w:t>Select Bibliography</w:t>
      </w:r>
    </w:p>
    <w:p w14:paraId="03FCFA42"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M Blauberger, A Heindlmaier and C Kobler, 'Free movement of workers under challenge: The indexation of family benefits' (2020) 18(6) </w:t>
      </w:r>
      <w:r w:rsidRPr="006E25B0">
        <w:rPr>
          <w:rFonts w:ascii="Times New Roman" w:hAnsi="Times New Roman" w:cs="Times New Roman"/>
          <w:i/>
          <w:lang w:val="en-GB"/>
        </w:rPr>
        <w:t>Comparative European Politics</w:t>
      </w:r>
      <w:r w:rsidRPr="006E25B0">
        <w:rPr>
          <w:rFonts w:ascii="Times New Roman" w:hAnsi="Times New Roman" w:cs="Times New Roman"/>
          <w:lang w:val="en-GB"/>
        </w:rPr>
        <w:t xml:space="preserve"> 925.</w:t>
      </w:r>
    </w:p>
    <w:p w14:paraId="1B1963E9"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A Bokeloh, 'Das Petroni-Prinzip des Europäischen Gerichtshofes: Inhalt, Entstehungsgeschichte, heutige Bedeutung' (2012) 12(3) </w:t>
      </w:r>
      <w:r w:rsidRPr="006E25B0">
        <w:rPr>
          <w:rFonts w:ascii="Times New Roman" w:hAnsi="Times New Roman" w:cs="Times New Roman"/>
          <w:i/>
          <w:lang w:val="en-GB"/>
        </w:rPr>
        <w:t>Zeitschrift für europäisches Sozial- und Arbeitsrecht</w:t>
      </w:r>
      <w:r w:rsidRPr="006E25B0">
        <w:rPr>
          <w:rFonts w:ascii="Times New Roman" w:hAnsi="Times New Roman" w:cs="Times New Roman"/>
          <w:lang w:val="en-GB"/>
        </w:rPr>
        <w:t xml:space="preserve"> 121.</w:t>
      </w:r>
    </w:p>
    <w:p w14:paraId="381AA262"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M Bottero, </w:t>
      </w:r>
      <w:r w:rsidRPr="006E25B0">
        <w:rPr>
          <w:rFonts w:ascii="Times New Roman" w:hAnsi="Times New Roman" w:cs="Times New Roman"/>
          <w:i/>
          <w:lang w:val="en-GB"/>
        </w:rPr>
        <w:t>Posting of Workers in EU Law: Challenges of Equality, Solidarity and Fair Competition</w:t>
      </w:r>
      <w:r w:rsidRPr="006E25B0">
        <w:rPr>
          <w:rFonts w:ascii="Times New Roman" w:hAnsi="Times New Roman" w:cs="Times New Roman"/>
          <w:lang w:val="en-GB"/>
        </w:rPr>
        <w:t xml:space="preserve"> (Kluwer 2021).</w:t>
      </w:r>
    </w:p>
    <w:p w14:paraId="70D4610A"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A Christensen and M Malmstedt, '</w:t>
      </w:r>
      <w:r w:rsidRPr="006E25B0">
        <w:rPr>
          <w:rFonts w:ascii="Times New Roman" w:hAnsi="Times New Roman" w:cs="Times New Roman"/>
          <w:i/>
          <w:lang w:val="en-GB"/>
        </w:rPr>
        <w:t>Lex Loci Laboris</w:t>
      </w:r>
      <w:r w:rsidRPr="006E25B0">
        <w:rPr>
          <w:rFonts w:ascii="Times New Roman" w:hAnsi="Times New Roman" w:cs="Times New Roman"/>
          <w:lang w:val="en-GB"/>
        </w:rPr>
        <w:t xml:space="preserve"> versus </w:t>
      </w:r>
      <w:r w:rsidRPr="006E25B0">
        <w:rPr>
          <w:rFonts w:ascii="Times New Roman" w:hAnsi="Times New Roman" w:cs="Times New Roman"/>
          <w:i/>
          <w:lang w:val="en-GB"/>
        </w:rPr>
        <w:t>Lex Loci Domicilii</w:t>
      </w:r>
      <w:r w:rsidRPr="006E25B0">
        <w:rPr>
          <w:rFonts w:ascii="Times New Roman" w:hAnsi="Times New Roman" w:cs="Times New Roman"/>
          <w:lang w:val="en-GB"/>
        </w:rPr>
        <w:t xml:space="preserve"> - An Inquiry into the Normative Foundations of European Social Security Law' (2000) 2(1)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69.</w:t>
      </w:r>
    </w:p>
    <w:p w14:paraId="1E9BBBDD"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R Cornelissen, 'The principle of territoriality and the Community regulations on social security (Regulations 1408/71 and 574/72)' (1996) 33(3)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439.</w:t>
      </w:r>
    </w:p>
    <w:p w14:paraId="5782D13E"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R Cornelissen, 'Résultats et limites du règlement (C.E.E.) n° 1408/71' (1997) 1997(677/678) </w:t>
      </w:r>
      <w:r w:rsidRPr="006E25B0">
        <w:rPr>
          <w:rFonts w:ascii="Times New Roman" w:hAnsi="Times New Roman" w:cs="Times New Roman"/>
          <w:i/>
          <w:lang w:val="en-GB"/>
        </w:rPr>
        <w:t>Journal des tribunaux du travail</w:t>
      </w:r>
      <w:r w:rsidRPr="006E25B0">
        <w:rPr>
          <w:rFonts w:ascii="Times New Roman" w:hAnsi="Times New Roman" w:cs="Times New Roman"/>
          <w:lang w:val="en-GB"/>
        </w:rPr>
        <w:t xml:space="preserve"> 209.</w:t>
      </w:r>
    </w:p>
    <w:p w14:paraId="50A22E0F"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R Cornelissen, 'The new EU coordination system for workers who become unemployed' (2007) 9(3)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187.</w:t>
      </w:r>
    </w:p>
    <w:p w14:paraId="78CDDCEC" w14:textId="0357AF5A"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G Davies, 'The Price of Letting Courts Value Solidarity: The Judicial Role in Liberalizing Welfare' in M Ross and Y Borgmann-Prebil (ed</w:t>
      </w:r>
      <w:r w:rsidR="000608EA" w:rsidRPr="006E25B0">
        <w:rPr>
          <w:rFonts w:ascii="Times New Roman" w:hAnsi="Times New Roman" w:cs="Times New Roman"/>
          <w:lang w:val="en-GB"/>
        </w:rPr>
        <w:t>s</w:t>
      </w:r>
      <w:r w:rsidRPr="006E25B0">
        <w:rPr>
          <w:rFonts w:ascii="Times New Roman" w:hAnsi="Times New Roman" w:cs="Times New Roman"/>
          <w:lang w:val="en-GB"/>
        </w:rPr>
        <w:t xml:space="preserve">), </w:t>
      </w:r>
      <w:r w:rsidR="002503B1" w:rsidRPr="006E25B0">
        <w:rPr>
          <w:rFonts w:ascii="Times New Roman" w:hAnsi="Times New Roman" w:cs="Times New Roman"/>
          <w:i/>
          <w:lang w:val="en-GB"/>
        </w:rPr>
        <w:t>Promoting Solidarity in the European Union</w:t>
      </w:r>
      <w:r w:rsidR="002503B1" w:rsidRPr="006E25B0">
        <w:rPr>
          <w:rFonts w:ascii="Times New Roman" w:hAnsi="Times New Roman" w:cs="Times New Roman"/>
          <w:lang w:val="en-GB"/>
        </w:rPr>
        <w:t xml:space="preserve"> </w:t>
      </w:r>
      <w:r w:rsidRPr="006E25B0">
        <w:rPr>
          <w:rFonts w:ascii="Times New Roman" w:hAnsi="Times New Roman" w:cs="Times New Roman"/>
          <w:lang w:val="en-GB"/>
        </w:rPr>
        <w:t>(Oxford University Press 2010) 106.</w:t>
      </w:r>
    </w:p>
    <w:p w14:paraId="0CA14405"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F De Wispelaere, L De Smedt and J Pacolet, </w:t>
      </w:r>
      <w:r w:rsidRPr="006E25B0">
        <w:rPr>
          <w:rFonts w:ascii="Times New Roman" w:hAnsi="Times New Roman" w:cs="Times New Roman"/>
          <w:i/>
          <w:lang w:val="en-GB"/>
        </w:rPr>
        <w:t>Posting of workers: Report on A1 Portable Documents issued in 2020</w:t>
      </w:r>
      <w:r w:rsidRPr="006E25B0">
        <w:rPr>
          <w:rFonts w:ascii="Times New Roman" w:hAnsi="Times New Roman" w:cs="Times New Roman"/>
          <w:lang w:val="en-GB"/>
        </w:rPr>
        <w:t xml:space="preserve"> (Publications Office of the European Union 2022).</w:t>
      </w:r>
    </w:p>
    <w:p w14:paraId="26631CF3"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F de Witte, </w:t>
      </w:r>
      <w:r w:rsidRPr="006E25B0">
        <w:rPr>
          <w:rFonts w:ascii="Times New Roman" w:hAnsi="Times New Roman" w:cs="Times New Roman"/>
          <w:i/>
          <w:lang w:val="en-GB"/>
        </w:rPr>
        <w:t>Justice in the EU: The Emergence of Transnational Solidarity</w:t>
      </w:r>
      <w:r w:rsidRPr="006E25B0">
        <w:rPr>
          <w:rFonts w:ascii="Times New Roman" w:hAnsi="Times New Roman" w:cs="Times New Roman"/>
          <w:lang w:val="en-GB"/>
        </w:rPr>
        <w:t xml:space="preserve"> (Oxford University Press 2015).</w:t>
      </w:r>
    </w:p>
    <w:p w14:paraId="435A6D45" w14:textId="0ABBE8E4"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M Dougan, 'Expanding the Frontiers of Union Citizenship by Dismantling the Territorial Boundaries of the National Welfare States?' in C Barnard and O Odudu (ed</w:t>
      </w:r>
      <w:r w:rsidR="000608EA" w:rsidRPr="006E25B0">
        <w:rPr>
          <w:rFonts w:ascii="Times New Roman" w:hAnsi="Times New Roman" w:cs="Times New Roman"/>
          <w:lang w:val="en-GB"/>
        </w:rPr>
        <w:t>s</w:t>
      </w:r>
      <w:r w:rsidRPr="006E25B0">
        <w:rPr>
          <w:rFonts w:ascii="Times New Roman" w:hAnsi="Times New Roman" w:cs="Times New Roman"/>
          <w:lang w:val="en-GB"/>
        </w:rPr>
        <w:t xml:space="preserve">), </w:t>
      </w:r>
      <w:r w:rsidR="002503B1" w:rsidRPr="006E25B0">
        <w:rPr>
          <w:rFonts w:ascii="Times New Roman" w:hAnsi="Times New Roman" w:cs="Times New Roman"/>
          <w:i/>
          <w:lang w:val="en-GB"/>
        </w:rPr>
        <w:t>The Outer Limits of European Union Law</w:t>
      </w:r>
      <w:r w:rsidRPr="006E25B0">
        <w:rPr>
          <w:rFonts w:ascii="Times New Roman" w:hAnsi="Times New Roman" w:cs="Times New Roman"/>
          <w:lang w:val="en-GB"/>
        </w:rPr>
        <w:t xml:space="preserve"> (Hart Publishing 2009) 119.</w:t>
      </w:r>
    </w:p>
    <w:p w14:paraId="7F1EC57B" w14:textId="20EC373E"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E Eichenhofer, </w:t>
      </w:r>
      <w:r w:rsidRPr="006E25B0">
        <w:rPr>
          <w:rFonts w:ascii="Times New Roman" w:hAnsi="Times New Roman" w:cs="Times New Roman"/>
          <w:i/>
          <w:lang w:val="en-GB"/>
        </w:rPr>
        <w:t>Sozialrecht der Europäischen Union</w:t>
      </w:r>
      <w:r w:rsidR="00926446" w:rsidRPr="006E25B0">
        <w:rPr>
          <w:rFonts w:ascii="Times New Roman" w:hAnsi="Times New Roman" w:cs="Times New Roman"/>
          <w:lang w:val="en-GB"/>
        </w:rPr>
        <w:t>, 8</w:t>
      </w:r>
      <w:r w:rsidR="00926446" w:rsidRPr="006E25B0">
        <w:rPr>
          <w:rFonts w:ascii="Times New Roman" w:hAnsi="Times New Roman" w:cs="Times New Roman"/>
          <w:vertAlign w:val="superscript"/>
          <w:lang w:val="en-GB"/>
        </w:rPr>
        <w:t>th</w:t>
      </w:r>
      <w:r w:rsidR="00926446" w:rsidRPr="006E25B0">
        <w:rPr>
          <w:rFonts w:ascii="Times New Roman" w:hAnsi="Times New Roman" w:cs="Times New Roman"/>
          <w:lang w:val="en-GB"/>
        </w:rPr>
        <w:t xml:space="preserve"> edition </w:t>
      </w:r>
      <w:r w:rsidRPr="006E25B0">
        <w:rPr>
          <w:rFonts w:ascii="Times New Roman" w:hAnsi="Times New Roman" w:cs="Times New Roman"/>
          <w:lang w:val="en-GB"/>
        </w:rPr>
        <w:t>(Erich Schmidt Verlag 2022).</w:t>
      </w:r>
    </w:p>
    <w:p w14:paraId="5A8B0295" w14:textId="62196A3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M Forde, 'The Vertical Conflict of Social Security Laws in the European Court' (1980) 7(1) </w:t>
      </w:r>
      <w:r w:rsidRPr="006E25B0">
        <w:rPr>
          <w:rFonts w:ascii="Times New Roman" w:hAnsi="Times New Roman" w:cs="Times New Roman"/>
          <w:i/>
          <w:lang w:val="en-GB"/>
        </w:rPr>
        <w:t>Legal issues of European integration</w:t>
      </w:r>
      <w:r w:rsidRPr="006E25B0">
        <w:rPr>
          <w:rFonts w:ascii="Times New Roman" w:hAnsi="Times New Roman" w:cs="Times New Roman"/>
          <w:lang w:val="en-GB"/>
        </w:rPr>
        <w:t xml:space="preserve"> 23.</w:t>
      </w:r>
    </w:p>
    <w:p w14:paraId="040CAB35" w14:textId="60A9654D" w:rsidR="001C07D6" w:rsidRPr="006E25B0" w:rsidRDefault="00110724"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T Erhag (ed), Special Issue (2016) 18(2) </w:t>
      </w:r>
      <w:r w:rsidRPr="006E25B0">
        <w:rPr>
          <w:rFonts w:ascii="Times New Roman" w:hAnsi="Times New Roman" w:cs="Times New Roman"/>
          <w:i/>
          <w:iCs/>
          <w:lang w:val="en-GB"/>
        </w:rPr>
        <w:t>European Journal of Social Security</w:t>
      </w:r>
      <w:r w:rsidRPr="006E25B0">
        <w:rPr>
          <w:rFonts w:ascii="Times New Roman" w:hAnsi="Times New Roman" w:cs="Times New Roman"/>
          <w:lang w:val="en-GB"/>
        </w:rPr>
        <w:t xml:space="preserve"> 94.</w:t>
      </w:r>
    </w:p>
    <w:p w14:paraId="21EEF48F" w14:textId="454C306A"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M Fuchs and R Cornelissen (ed</w:t>
      </w:r>
      <w:r w:rsidR="000608EA" w:rsidRPr="006E25B0">
        <w:rPr>
          <w:rFonts w:ascii="Times New Roman" w:hAnsi="Times New Roman" w:cs="Times New Roman"/>
          <w:lang w:val="en-GB"/>
        </w:rPr>
        <w:t>s</w:t>
      </w:r>
      <w:r w:rsidRPr="006E25B0">
        <w:rPr>
          <w:rFonts w:ascii="Times New Roman" w:hAnsi="Times New Roman" w:cs="Times New Roman"/>
          <w:lang w:val="en-GB"/>
        </w:rPr>
        <w:t xml:space="preserve">), </w:t>
      </w:r>
      <w:r w:rsidRPr="006E25B0">
        <w:rPr>
          <w:rFonts w:ascii="Times New Roman" w:hAnsi="Times New Roman" w:cs="Times New Roman"/>
          <w:i/>
          <w:lang w:val="en-GB"/>
        </w:rPr>
        <w:t>EU Social Security Law: A Commentary on EU Regulations 883/2004 and 987/2009</w:t>
      </w:r>
      <w:r w:rsidRPr="006E25B0">
        <w:rPr>
          <w:rFonts w:ascii="Times New Roman" w:hAnsi="Times New Roman" w:cs="Times New Roman"/>
          <w:lang w:val="en-GB"/>
        </w:rPr>
        <w:t xml:space="preserve"> (Nomos 2015).</w:t>
      </w:r>
    </w:p>
    <w:p w14:paraId="6728D109" w14:textId="08704875"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M Fuchs, C G de Cortázar, B Kahil and M Pöltl</w:t>
      </w:r>
      <w:r w:rsidR="009D2C44" w:rsidRPr="006E25B0">
        <w:rPr>
          <w:rFonts w:ascii="Times New Roman" w:hAnsi="Times New Roman" w:cs="Times New Roman"/>
          <w:lang w:val="en-GB"/>
        </w:rPr>
        <w:t>,</w:t>
      </w:r>
      <w:r w:rsidRPr="006E25B0">
        <w:rPr>
          <w:rFonts w:ascii="Times New Roman" w:hAnsi="Times New Roman" w:cs="Times New Roman"/>
          <w:lang w:val="en-GB"/>
        </w:rPr>
        <w:t xml:space="preserve"> </w:t>
      </w:r>
      <w:r w:rsidRPr="006E25B0">
        <w:rPr>
          <w:rFonts w:ascii="Times New Roman" w:hAnsi="Times New Roman" w:cs="Times New Roman"/>
          <w:i/>
          <w:iCs/>
          <w:lang w:val="en-GB"/>
        </w:rPr>
        <w:t>Assessment of the impact of amendments to the EU social security coordination rules on aggregation of periods or salaries for unemployment benefits</w:t>
      </w:r>
      <w:r w:rsidR="009D2C44" w:rsidRPr="006E25B0">
        <w:rPr>
          <w:rFonts w:ascii="Times New Roman" w:hAnsi="Times New Roman" w:cs="Times New Roman"/>
          <w:lang w:val="en-GB"/>
        </w:rPr>
        <w:t xml:space="preserve"> (2015)</w:t>
      </w:r>
      <w:r w:rsidRPr="006E25B0">
        <w:rPr>
          <w:rFonts w:ascii="Times New Roman" w:hAnsi="Times New Roman" w:cs="Times New Roman"/>
          <w:lang w:val="en-GB"/>
        </w:rPr>
        <w:t xml:space="preserve"> FreSsco Analytical Report </w:t>
      </w:r>
      <w:r w:rsidR="00781166" w:rsidRPr="006E25B0">
        <w:rPr>
          <w:rFonts w:ascii="Times New Roman" w:hAnsi="Times New Roman" w:cs="Times New Roman"/>
          <w:lang w:val="en-GB"/>
        </w:rPr>
        <w:t>(</w:t>
      </w:r>
      <w:r w:rsidR="00B441BC" w:rsidRPr="006E25B0">
        <w:rPr>
          <w:rFonts w:ascii="Times New Roman" w:hAnsi="Times New Roman" w:cs="Times New Roman"/>
          <w:lang w:val="en-GB"/>
        </w:rPr>
        <w:t>17 April 2019</w:t>
      </w:r>
      <w:r w:rsidR="00781166" w:rsidRPr="006E25B0">
        <w:rPr>
          <w:rFonts w:ascii="Times New Roman" w:hAnsi="Times New Roman" w:cs="Times New Roman"/>
          <w:lang w:val="en-GB"/>
        </w:rPr>
        <w:t xml:space="preserve">) available at: </w:t>
      </w:r>
      <w:r w:rsidRPr="006E25B0">
        <w:rPr>
          <w:rFonts w:ascii="Times New Roman" w:hAnsi="Times New Roman" w:cs="Times New Roman"/>
          <w:lang w:val="en-GB"/>
        </w:rPr>
        <w:t>https://ec.europa.eu/social/BlobServlet?docId=16958&amp;langId=en.</w:t>
      </w:r>
    </w:p>
    <w:p w14:paraId="23E8443A"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E Hancox, 'Judicial approaches to norm overlaps in EU law: A case study on the free movement of workers' (2021) 58(4)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1057.</w:t>
      </w:r>
    </w:p>
    <w:p w14:paraId="208E2583"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E Holm, 'Coordination of classic and specific family benefits – Challenges and proposed solutions' (2020) 22(2)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196.</w:t>
      </w:r>
    </w:p>
    <w:p w14:paraId="0841CE29" w14:textId="769FA222"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Y Jorens (ed), B Spiegel (ed), J-C Fillon and G Strban</w:t>
      </w:r>
      <w:r w:rsidR="00571AF6" w:rsidRPr="006E25B0">
        <w:rPr>
          <w:rFonts w:ascii="Times New Roman" w:hAnsi="Times New Roman" w:cs="Times New Roman"/>
          <w:lang w:val="en-GB"/>
        </w:rPr>
        <w:t>,</w:t>
      </w:r>
      <w:r w:rsidRPr="006E25B0">
        <w:rPr>
          <w:rFonts w:ascii="Times New Roman" w:hAnsi="Times New Roman" w:cs="Times New Roman"/>
          <w:lang w:val="en-GB"/>
        </w:rPr>
        <w:t xml:space="preserve"> </w:t>
      </w:r>
      <w:r w:rsidRPr="006E25B0">
        <w:rPr>
          <w:rFonts w:ascii="Times New Roman" w:hAnsi="Times New Roman" w:cs="Times New Roman"/>
          <w:i/>
          <w:iCs/>
          <w:lang w:val="en-GB"/>
        </w:rPr>
        <w:t>Legal impact assessment for the revision of Regulation 883/2004 with regard to the coordination of long-term care benefits</w:t>
      </w:r>
      <w:r w:rsidR="00571AF6" w:rsidRPr="006E25B0">
        <w:rPr>
          <w:rFonts w:ascii="Times New Roman" w:hAnsi="Times New Roman" w:cs="Times New Roman"/>
          <w:lang w:val="en-GB"/>
        </w:rPr>
        <w:t xml:space="preserve"> (2012)</w:t>
      </w:r>
      <w:r w:rsidRPr="006E25B0">
        <w:rPr>
          <w:rFonts w:ascii="Times New Roman" w:hAnsi="Times New Roman" w:cs="Times New Roman"/>
          <w:lang w:val="en-GB"/>
        </w:rPr>
        <w:t xml:space="preserve"> trESS Analytical Study </w:t>
      </w:r>
      <w:r w:rsidR="00781166" w:rsidRPr="006E25B0">
        <w:rPr>
          <w:rFonts w:ascii="Times New Roman" w:hAnsi="Times New Roman" w:cs="Times New Roman"/>
          <w:lang w:val="en-GB"/>
        </w:rPr>
        <w:t>(</w:t>
      </w:r>
      <w:r w:rsidR="00B441BC" w:rsidRPr="006E25B0">
        <w:rPr>
          <w:rFonts w:ascii="Times New Roman" w:hAnsi="Times New Roman" w:cs="Times New Roman"/>
          <w:lang w:val="en-GB"/>
        </w:rPr>
        <w:t>27 July 2021</w:t>
      </w:r>
      <w:r w:rsidR="00781166" w:rsidRPr="006E25B0">
        <w:rPr>
          <w:rFonts w:ascii="Times New Roman" w:hAnsi="Times New Roman" w:cs="Times New Roman"/>
          <w:lang w:val="en-GB"/>
        </w:rPr>
        <w:t xml:space="preserve">) available at: </w:t>
      </w:r>
      <w:r w:rsidRPr="006E25B0">
        <w:rPr>
          <w:rFonts w:ascii="Times New Roman" w:hAnsi="Times New Roman" w:cs="Times New Roman"/>
          <w:lang w:val="en-GB"/>
        </w:rPr>
        <w:t>http://www.tress-network.org/TRESS/EUROPEAN%20RESOURCES/EUROPEANREPORT/trESS_Analytical%20Study%202012.pdf.</w:t>
      </w:r>
    </w:p>
    <w:p w14:paraId="5F8EBDE1"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Y Jorens and F Van Overmeiren, 'General Principles of Coordination in Regulation 883/2004' (2009) 11(1/2)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47.</w:t>
      </w:r>
    </w:p>
    <w:p w14:paraId="0217496B"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B Kahil-Wolff, </w:t>
      </w:r>
      <w:r w:rsidRPr="006E25B0">
        <w:rPr>
          <w:rFonts w:ascii="Times New Roman" w:hAnsi="Times New Roman" w:cs="Times New Roman"/>
          <w:i/>
          <w:lang w:val="en-GB"/>
        </w:rPr>
        <w:t>Droit social européen: Union européenne et pays associés</w:t>
      </w:r>
      <w:r w:rsidRPr="006E25B0">
        <w:rPr>
          <w:rFonts w:ascii="Times New Roman" w:hAnsi="Times New Roman" w:cs="Times New Roman"/>
          <w:lang w:val="en-GB"/>
        </w:rPr>
        <w:t xml:space="preserve"> (Schulthess Verlag 2017).</w:t>
      </w:r>
    </w:p>
    <w:p w14:paraId="526837D5"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D Kramer, 'Earning Social Citizenship in the European Union: Free Movement and Access to Social Assistance Benefits Reconstructed' (2016) 18(</w:t>
      </w:r>
      <w:r w:rsidRPr="006E25B0">
        <w:rPr>
          <w:rFonts w:ascii="Times New Roman" w:hAnsi="Times New Roman" w:cs="Times New Roman"/>
          <w:i/>
          <w:lang w:val="en-GB"/>
        </w:rPr>
        <w:t>Cambridge Yearbook of European Legal Studies</w:t>
      </w:r>
      <w:r w:rsidRPr="006E25B0">
        <w:rPr>
          <w:rFonts w:ascii="Times New Roman" w:hAnsi="Times New Roman" w:cs="Times New Roman"/>
          <w:lang w:val="en-GB"/>
        </w:rPr>
        <w:t xml:space="preserve"> 270.</w:t>
      </w:r>
    </w:p>
    <w:p w14:paraId="0332B56F"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P Melin, </w:t>
      </w:r>
      <w:r w:rsidRPr="006E25B0">
        <w:rPr>
          <w:rFonts w:ascii="Times New Roman" w:hAnsi="Times New Roman" w:cs="Times New Roman"/>
          <w:i/>
          <w:lang w:val="en-GB"/>
        </w:rPr>
        <w:t>The External Dimension of EU Social Security Coordination: Towards a Common EU Approach</w:t>
      </w:r>
      <w:r w:rsidRPr="006E25B0">
        <w:rPr>
          <w:rFonts w:ascii="Times New Roman" w:hAnsi="Times New Roman" w:cs="Times New Roman"/>
          <w:lang w:val="en-GB"/>
        </w:rPr>
        <w:t xml:space="preserve"> (Brill Nijhoff 2020).</w:t>
      </w:r>
    </w:p>
    <w:p w14:paraId="4B671FA4"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 Newdick, 'Citizenship, free movement and health care: Cementing individual rights by corroding social solidarity' (2006) 43(6)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1645.</w:t>
      </w:r>
    </w:p>
    <w:p w14:paraId="4E35B8E3"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N Nic Shuibhne, 'Limits rising, duties ascending: The changing legal shape of Union citizenship' (2015) 52(4)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889.</w:t>
      </w:r>
    </w:p>
    <w:p w14:paraId="7E02B2EE"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 O'Brien, 'Real links, abstract rights and false alarms: The relationship between the ECJ's "real link" case law and national solidarity' (2008) 33(5) </w:t>
      </w:r>
      <w:r w:rsidRPr="006E25B0">
        <w:rPr>
          <w:rFonts w:ascii="Times New Roman" w:hAnsi="Times New Roman" w:cs="Times New Roman"/>
          <w:i/>
          <w:lang w:val="en-GB"/>
        </w:rPr>
        <w:t>European Law Review</w:t>
      </w:r>
      <w:r w:rsidRPr="006E25B0">
        <w:rPr>
          <w:rFonts w:ascii="Times New Roman" w:hAnsi="Times New Roman" w:cs="Times New Roman"/>
          <w:lang w:val="en-GB"/>
        </w:rPr>
        <w:t xml:space="preserve"> 643.</w:t>
      </w:r>
    </w:p>
    <w:p w14:paraId="489745D4"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 O'Brien, 'Civis capitalist sum: Class as the new guiding principle of EU free movement rights' (2016) 53(4)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937.</w:t>
      </w:r>
    </w:p>
    <w:p w14:paraId="6E5EA91C"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 O'Brien, </w:t>
      </w:r>
      <w:r w:rsidRPr="006E25B0">
        <w:rPr>
          <w:rFonts w:ascii="Times New Roman" w:hAnsi="Times New Roman" w:cs="Times New Roman"/>
          <w:i/>
          <w:lang w:val="en-GB"/>
        </w:rPr>
        <w:t>Unity in Adversity: EU Citizenship, Social Justice and the Cautionary Tale of the UK</w:t>
      </w:r>
      <w:r w:rsidRPr="006E25B0">
        <w:rPr>
          <w:rFonts w:ascii="Times New Roman" w:hAnsi="Times New Roman" w:cs="Times New Roman"/>
          <w:lang w:val="en-GB"/>
        </w:rPr>
        <w:t xml:space="preserve"> (Hart Publishing 2017).</w:t>
      </w:r>
    </w:p>
    <w:p w14:paraId="408A81DF"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 O'Brien, 'The great EU citizenship illusion exposed: Equal treatment rights evaporate for the vulnerable (CG v The Department for Communities in Northern Ireland)' (2021) 46(6) </w:t>
      </w:r>
      <w:r w:rsidRPr="006E25B0">
        <w:rPr>
          <w:rFonts w:ascii="Times New Roman" w:hAnsi="Times New Roman" w:cs="Times New Roman"/>
          <w:i/>
          <w:lang w:val="en-GB"/>
        </w:rPr>
        <w:t>European Law Review</w:t>
      </w:r>
      <w:r w:rsidRPr="006E25B0">
        <w:rPr>
          <w:rFonts w:ascii="Times New Roman" w:hAnsi="Times New Roman" w:cs="Times New Roman"/>
          <w:lang w:val="en-GB"/>
        </w:rPr>
        <w:t xml:space="preserve"> 801.</w:t>
      </w:r>
    </w:p>
    <w:p w14:paraId="1CA514AA"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G Paolin, </w:t>
      </w:r>
      <w:r w:rsidRPr="006E25B0">
        <w:rPr>
          <w:rFonts w:ascii="Times New Roman" w:hAnsi="Times New Roman" w:cs="Times New Roman"/>
          <w:i/>
          <w:lang w:val="en-GB"/>
        </w:rPr>
        <w:t>Europe sociale et travailleurs pluriactifs: La législation applicable en matière de sécurité sociale</w:t>
      </w:r>
      <w:r w:rsidRPr="006E25B0">
        <w:rPr>
          <w:rFonts w:ascii="Times New Roman" w:hAnsi="Times New Roman" w:cs="Times New Roman"/>
          <w:lang w:val="en-GB"/>
        </w:rPr>
        <w:t xml:space="preserve"> (Larcier 2015).</w:t>
      </w:r>
    </w:p>
    <w:p w14:paraId="79A7E23E" w14:textId="77777777" w:rsidR="003F461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F Pennings, 'Co-ordination of social security on the basis of the State-of-employment principle: Time for an alternative?' (2005) 42(1)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67.</w:t>
      </w:r>
      <w:r w:rsidR="003F4616" w:rsidRPr="006E25B0">
        <w:rPr>
          <w:rFonts w:ascii="Times New Roman" w:hAnsi="Times New Roman" w:cs="Times New Roman"/>
          <w:lang w:val="en-GB"/>
        </w:rPr>
        <w:t xml:space="preserve"> </w:t>
      </w:r>
    </w:p>
    <w:p w14:paraId="79E2504A" w14:textId="06AFBFFA" w:rsidR="001C07D6" w:rsidRPr="006E25B0" w:rsidRDefault="003F461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F Pennings (ed), Special Issue (2009) 11(1-2) </w:t>
      </w:r>
      <w:r w:rsidRPr="006E25B0">
        <w:rPr>
          <w:rFonts w:ascii="Times New Roman" w:hAnsi="Times New Roman" w:cs="Times New Roman"/>
          <w:i/>
          <w:iCs/>
          <w:lang w:val="en-GB"/>
        </w:rPr>
        <w:t>European Journal of Social Security</w:t>
      </w:r>
      <w:r w:rsidRPr="006E25B0">
        <w:rPr>
          <w:rFonts w:ascii="Times New Roman" w:hAnsi="Times New Roman" w:cs="Times New Roman"/>
          <w:lang w:val="en-GB"/>
        </w:rPr>
        <w:t xml:space="preserve"> 1.</w:t>
      </w:r>
    </w:p>
    <w:p w14:paraId="70B74647" w14:textId="26087BEE"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F Pennings, </w:t>
      </w:r>
      <w:r w:rsidRPr="006E25B0">
        <w:rPr>
          <w:rFonts w:ascii="Times New Roman" w:hAnsi="Times New Roman" w:cs="Times New Roman"/>
          <w:i/>
          <w:lang w:val="en-GB"/>
        </w:rPr>
        <w:t>European Social Security Law</w:t>
      </w:r>
      <w:r w:rsidR="001B104A" w:rsidRPr="006E25B0">
        <w:rPr>
          <w:rFonts w:ascii="Times New Roman" w:hAnsi="Times New Roman" w:cs="Times New Roman"/>
          <w:lang w:val="en-GB"/>
        </w:rPr>
        <w:t>, 6</w:t>
      </w:r>
      <w:r w:rsidR="001B104A" w:rsidRPr="006E25B0">
        <w:rPr>
          <w:rFonts w:ascii="Times New Roman" w:hAnsi="Times New Roman" w:cs="Times New Roman"/>
          <w:vertAlign w:val="superscript"/>
          <w:lang w:val="en-GB"/>
        </w:rPr>
        <w:t>th</w:t>
      </w:r>
      <w:r w:rsidR="001B104A" w:rsidRPr="006E25B0">
        <w:rPr>
          <w:rFonts w:ascii="Times New Roman" w:hAnsi="Times New Roman" w:cs="Times New Roman"/>
          <w:lang w:val="en-GB"/>
        </w:rPr>
        <w:t xml:space="preserve"> edition </w:t>
      </w:r>
      <w:r w:rsidRPr="006E25B0">
        <w:rPr>
          <w:rFonts w:ascii="Times New Roman" w:hAnsi="Times New Roman" w:cs="Times New Roman"/>
          <w:lang w:val="en-GB"/>
        </w:rPr>
        <w:t>(Intersentia 2015).</w:t>
      </w:r>
    </w:p>
    <w:p w14:paraId="4210112C" w14:textId="714E2AC9"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F Pennings, 'Principles of EU coordination of social security' in F Pennings and G Vonk (ed</w:t>
      </w:r>
      <w:r w:rsidR="000608EA" w:rsidRPr="006E25B0">
        <w:rPr>
          <w:rFonts w:ascii="Times New Roman" w:hAnsi="Times New Roman" w:cs="Times New Roman"/>
          <w:lang w:val="en-GB"/>
        </w:rPr>
        <w:t>s</w:t>
      </w:r>
      <w:r w:rsidRPr="006E25B0">
        <w:rPr>
          <w:rFonts w:ascii="Times New Roman" w:hAnsi="Times New Roman" w:cs="Times New Roman"/>
          <w:lang w:val="en-GB"/>
        </w:rPr>
        <w:t xml:space="preserve">), </w:t>
      </w:r>
      <w:r w:rsidR="00692A48" w:rsidRPr="006E25B0">
        <w:rPr>
          <w:rFonts w:ascii="Times New Roman" w:hAnsi="Times New Roman" w:cs="Times New Roman"/>
          <w:i/>
          <w:lang w:val="en-GB"/>
        </w:rPr>
        <w:t>Research Handbook on European Social Security Law</w:t>
      </w:r>
      <w:r w:rsidR="001B104A" w:rsidRPr="006E25B0">
        <w:rPr>
          <w:rFonts w:ascii="Times New Roman" w:hAnsi="Times New Roman" w:cs="Times New Roman"/>
          <w:lang w:val="en-GB"/>
        </w:rPr>
        <w:t>, 1</w:t>
      </w:r>
      <w:r w:rsidR="001B104A" w:rsidRPr="006E25B0">
        <w:rPr>
          <w:rFonts w:ascii="Times New Roman" w:hAnsi="Times New Roman" w:cs="Times New Roman"/>
          <w:vertAlign w:val="superscript"/>
          <w:lang w:val="en-GB"/>
        </w:rPr>
        <w:t>st</w:t>
      </w:r>
      <w:r w:rsidR="001B104A" w:rsidRPr="006E25B0">
        <w:rPr>
          <w:rFonts w:ascii="Times New Roman" w:hAnsi="Times New Roman" w:cs="Times New Roman"/>
          <w:lang w:val="en-GB"/>
        </w:rPr>
        <w:t xml:space="preserve"> edition </w:t>
      </w:r>
      <w:r w:rsidRPr="006E25B0">
        <w:rPr>
          <w:rFonts w:ascii="Times New Roman" w:hAnsi="Times New Roman" w:cs="Times New Roman"/>
          <w:lang w:val="en-GB"/>
        </w:rPr>
        <w:t>(Elgar 2015) 321.</w:t>
      </w:r>
    </w:p>
    <w:p w14:paraId="7D6F96BA"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F Pennings, 'The discussion on the revision of the coordination rules of unemployment benefits – A battlefield between East and West' (2020) 22(2)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148.</w:t>
      </w:r>
    </w:p>
    <w:p w14:paraId="3CF6644B" w14:textId="3A986D92"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D Pieters, 'Towards a Radical Simplification of the Social Security Co-ordination: Explaratory study on possibilities of replacement of Regulations (EEC) Nos. 1408/71 and 574/72 in order to simplify the EC Co-ordination of social security schemes' in P Schoukens (ed), </w:t>
      </w:r>
      <w:r w:rsidR="00692A48" w:rsidRPr="006E25B0">
        <w:rPr>
          <w:rFonts w:ascii="Times New Roman" w:hAnsi="Times New Roman" w:cs="Times New Roman"/>
          <w:i/>
          <w:lang w:val="en-GB"/>
        </w:rPr>
        <w:t>Prospects of Social Security Co-ordination</w:t>
      </w:r>
      <w:r w:rsidRPr="006E25B0">
        <w:rPr>
          <w:rFonts w:ascii="Times New Roman" w:hAnsi="Times New Roman" w:cs="Times New Roman"/>
          <w:lang w:val="en-GB"/>
        </w:rPr>
        <w:t xml:space="preserve"> (Acco 1997) 177.</w:t>
      </w:r>
    </w:p>
    <w:p w14:paraId="53725B80" w14:textId="1EA71815"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D Pieters and P Schoukens, 'Posting and Article 17 Agreements: Some Comments' in P Schoukens (ed), </w:t>
      </w:r>
      <w:r w:rsidR="00692A48" w:rsidRPr="006E25B0">
        <w:rPr>
          <w:rFonts w:ascii="Times New Roman" w:hAnsi="Times New Roman" w:cs="Times New Roman"/>
          <w:i/>
          <w:lang w:val="en-GB"/>
        </w:rPr>
        <w:t>Prospects of Social Security Co-ordination</w:t>
      </w:r>
      <w:r w:rsidRPr="006E25B0">
        <w:rPr>
          <w:rFonts w:ascii="Times New Roman" w:hAnsi="Times New Roman" w:cs="Times New Roman"/>
          <w:lang w:val="en-GB"/>
        </w:rPr>
        <w:t xml:space="preserve"> (Acco 1997) 92.</w:t>
      </w:r>
    </w:p>
    <w:p w14:paraId="652D1790" w14:textId="5A365029"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M Pöltl, E Eichenhofer and C Garcia de Cortázar</w:t>
      </w:r>
      <w:r w:rsidR="00670116" w:rsidRPr="006E25B0">
        <w:rPr>
          <w:rFonts w:ascii="Times New Roman" w:hAnsi="Times New Roman" w:cs="Times New Roman"/>
          <w:lang w:val="en-GB"/>
        </w:rPr>
        <w:t>,</w:t>
      </w:r>
      <w:r w:rsidRPr="006E25B0">
        <w:rPr>
          <w:rFonts w:ascii="Times New Roman" w:hAnsi="Times New Roman" w:cs="Times New Roman"/>
          <w:lang w:val="en-GB"/>
        </w:rPr>
        <w:t xml:space="preserve"> </w:t>
      </w:r>
      <w:r w:rsidRPr="006E25B0">
        <w:rPr>
          <w:rFonts w:ascii="Times New Roman" w:hAnsi="Times New Roman" w:cs="Times New Roman"/>
          <w:i/>
          <w:iCs/>
          <w:lang w:val="en-GB"/>
        </w:rPr>
        <w:t>The principle of assimilation of facts</w:t>
      </w:r>
      <w:r w:rsidR="00670116" w:rsidRPr="006E25B0">
        <w:rPr>
          <w:rFonts w:ascii="Times New Roman" w:hAnsi="Times New Roman" w:cs="Times New Roman"/>
          <w:lang w:val="en-GB"/>
        </w:rPr>
        <w:t xml:space="preserve"> (2016)</w:t>
      </w:r>
      <w:r w:rsidRPr="006E25B0">
        <w:rPr>
          <w:rFonts w:ascii="Times New Roman" w:hAnsi="Times New Roman" w:cs="Times New Roman"/>
          <w:lang w:val="en-GB"/>
        </w:rPr>
        <w:t xml:space="preserve"> FreSsco Analytical Report </w:t>
      </w:r>
      <w:r w:rsidR="00781166" w:rsidRPr="006E25B0">
        <w:rPr>
          <w:rFonts w:ascii="Times New Roman" w:hAnsi="Times New Roman" w:cs="Times New Roman"/>
          <w:lang w:val="en-GB"/>
        </w:rPr>
        <w:t>(</w:t>
      </w:r>
      <w:r w:rsidR="002A55F3" w:rsidRPr="006E25B0">
        <w:rPr>
          <w:rFonts w:ascii="Times New Roman" w:hAnsi="Times New Roman" w:cs="Times New Roman"/>
          <w:lang w:val="en-GB"/>
        </w:rPr>
        <w:t>6 June 2021</w:t>
      </w:r>
      <w:r w:rsidR="00781166" w:rsidRPr="006E25B0">
        <w:rPr>
          <w:rFonts w:ascii="Times New Roman" w:hAnsi="Times New Roman" w:cs="Times New Roman"/>
          <w:lang w:val="en-GB"/>
        </w:rPr>
        <w:t xml:space="preserve">) available at: </w:t>
      </w:r>
      <w:r w:rsidRPr="006E25B0">
        <w:rPr>
          <w:rFonts w:ascii="Times New Roman" w:hAnsi="Times New Roman" w:cs="Times New Roman"/>
          <w:lang w:val="en-GB"/>
        </w:rPr>
        <w:t>https://ec.europa.eu/social/BlobServlet?docId=16867&amp;langId=en.</w:t>
      </w:r>
    </w:p>
    <w:p w14:paraId="0DEDD5E5"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N Rennuy, 'Assimilation, territoriality and reverse discrimination: A shift in European social security law?' (2011) 1(4) </w:t>
      </w:r>
      <w:r w:rsidRPr="006E25B0">
        <w:rPr>
          <w:rFonts w:ascii="Times New Roman" w:hAnsi="Times New Roman" w:cs="Times New Roman"/>
          <w:i/>
          <w:lang w:val="en-GB"/>
        </w:rPr>
        <w:t>European Journal of Social Law</w:t>
      </w:r>
      <w:r w:rsidRPr="006E25B0">
        <w:rPr>
          <w:rFonts w:ascii="Times New Roman" w:hAnsi="Times New Roman" w:cs="Times New Roman"/>
          <w:lang w:val="en-GB"/>
        </w:rPr>
        <w:t xml:space="preserve"> 289.</w:t>
      </w:r>
    </w:p>
    <w:p w14:paraId="783358DA"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N Rennuy, 'The emergence of a parallel system of social security coordination' (2013) 50(5)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1221.</w:t>
      </w:r>
    </w:p>
    <w:p w14:paraId="64E498E8"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N Rennuy, 'The trilemma of EU social benefits law: Seeing the wood and the trees' (2019) 56(5)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1549.</w:t>
      </w:r>
    </w:p>
    <w:p w14:paraId="30CAE3E9"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N Rennuy, 'Posting of workers: Enforcement, compliance, and reform' (2020) 22(2)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212.</w:t>
      </w:r>
    </w:p>
    <w:p w14:paraId="72961D23"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N Rennuy, 'Shopping for social security law in the EU' (2021) 58(1)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13.</w:t>
      </w:r>
    </w:p>
    <w:p w14:paraId="03E8AA1A" w14:textId="7E61E6EF"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N Rennuy, 'Posted Workers, Judges and Smokescreens: Narrowing the Gap in Judicial Control' (2022) 47(4) </w:t>
      </w:r>
      <w:r w:rsidRPr="006E25B0">
        <w:rPr>
          <w:rFonts w:ascii="Times New Roman" w:hAnsi="Times New Roman" w:cs="Times New Roman"/>
          <w:i/>
          <w:lang w:val="en-GB"/>
        </w:rPr>
        <w:t>European Law Review</w:t>
      </w:r>
      <w:r w:rsidRPr="006E25B0">
        <w:rPr>
          <w:rFonts w:ascii="Times New Roman" w:hAnsi="Times New Roman" w:cs="Times New Roman"/>
          <w:lang w:val="en-GB"/>
        </w:rPr>
        <w:t xml:space="preserve"> 463.</w:t>
      </w:r>
    </w:p>
    <w:p w14:paraId="0CE5621A" w14:textId="4FB86BDE" w:rsidR="001C07D6" w:rsidRPr="006E25B0" w:rsidRDefault="00A41EAF"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N Rennuy, </w:t>
      </w:r>
      <w:r w:rsidR="00D32BE7" w:rsidRPr="006E25B0">
        <w:rPr>
          <w:rFonts w:ascii="Times New Roman" w:hAnsi="Times New Roman" w:cs="Times New Roman"/>
          <w:lang w:val="en-GB"/>
        </w:rPr>
        <w:t xml:space="preserve">‘The general principles of Regulation 883/2004: Exploring doctrinal and normative boundaries’ in F Pennings and G Vonk (eds), </w:t>
      </w:r>
      <w:r w:rsidR="00D32BE7" w:rsidRPr="006E25B0">
        <w:rPr>
          <w:rFonts w:ascii="Times New Roman" w:hAnsi="Times New Roman" w:cs="Times New Roman"/>
          <w:i/>
          <w:iCs/>
          <w:lang w:val="en-GB"/>
        </w:rPr>
        <w:t>Research Handbook on European Social Security Law</w:t>
      </w:r>
      <w:r w:rsidR="00D32BE7" w:rsidRPr="006E25B0">
        <w:rPr>
          <w:rFonts w:ascii="Times New Roman" w:hAnsi="Times New Roman" w:cs="Times New Roman"/>
          <w:lang w:val="en-GB"/>
        </w:rPr>
        <w:t>, 2</w:t>
      </w:r>
      <w:r w:rsidR="00D32BE7" w:rsidRPr="006E25B0">
        <w:rPr>
          <w:rFonts w:ascii="Times New Roman" w:hAnsi="Times New Roman" w:cs="Times New Roman"/>
          <w:vertAlign w:val="superscript"/>
          <w:lang w:val="en-GB"/>
        </w:rPr>
        <w:t>nd</w:t>
      </w:r>
      <w:r w:rsidR="00257327" w:rsidRPr="006E25B0">
        <w:rPr>
          <w:rFonts w:ascii="Times New Roman" w:hAnsi="Times New Roman" w:cs="Times New Roman"/>
          <w:lang w:val="en-GB"/>
        </w:rPr>
        <w:t xml:space="preserve"> e</w:t>
      </w:r>
      <w:r w:rsidR="00D32BE7" w:rsidRPr="006E25B0">
        <w:rPr>
          <w:rFonts w:ascii="Times New Roman" w:hAnsi="Times New Roman" w:cs="Times New Roman"/>
          <w:lang w:val="en-GB"/>
        </w:rPr>
        <w:t>dition</w:t>
      </w:r>
      <w:r w:rsidR="00257327" w:rsidRPr="006E25B0">
        <w:rPr>
          <w:rFonts w:ascii="Times New Roman" w:hAnsi="Times New Roman" w:cs="Times New Roman"/>
          <w:lang w:val="en-GB"/>
        </w:rPr>
        <w:t xml:space="preserve"> (</w:t>
      </w:r>
      <w:r w:rsidR="00D32BE7" w:rsidRPr="006E25B0">
        <w:rPr>
          <w:rFonts w:ascii="Times New Roman" w:hAnsi="Times New Roman" w:cs="Times New Roman"/>
          <w:lang w:val="en-GB"/>
        </w:rPr>
        <w:t>Elgar</w:t>
      </w:r>
      <w:r w:rsidR="003F4616" w:rsidRPr="006E25B0">
        <w:rPr>
          <w:rFonts w:ascii="Times New Roman" w:hAnsi="Times New Roman" w:cs="Times New Roman"/>
          <w:lang w:val="en-GB"/>
        </w:rPr>
        <w:t>,</w:t>
      </w:r>
      <w:r w:rsidR="00257327" w:rsidRPr="006E25B0">
        <w:rPr>
          <w:rFonts w:ascii="Times New Roman" w:hAnsi="Times New Roman" w:cs="Times New Roman"/>
          <w:lang w:val="en-GB"/>
        </w:rPr>
        <w:t xml:space="preserve"> forthcoming)</w:t>
      </w:r>
      <w:r w:rsidR="00D32BE7" w:rsidRPr="006E25B0">
        <w:rPr>
          <w:rFonts w:ascii="Times New Roman" w:hAnsi="Times New Roman" w:cs="Times New Roman"/>
          <w:lang w:val="en-GB"/>
        </w:rPr>
        <w:t>.</w:t>
      </w:r>
    </w:p>
    <w:p w14:paraId="0FD24798" w14:textId="442BDCB4"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C M Rieder, 'When Patients Exit, What Happens to Solidarity?' in M Ross and Y Borgmann-Prebil (ed</w:t>
      </w:r>
      <w:r w:rsidR="003F4616" w:rsidRPr="006E25B0">
        <w:rPr>
          <w:rFonts w:ascii="Times New Roman" w:hAnsi="Times New Roman" w:cs="Times New Roman"/>
          <w:lang w:val="en-GB"/>
        </w:rPr>
        <w:t>s</w:t>
      </w:r>
      <w:r w:rsidRPr="006E25B0">
        <w:rPr>
          <w:rFonts w:ascii="Times New Roman" w:hAnsi="Times New Roman" w:cs="Times New Roman"/>
          <w:lang w:val="en-GB"/>
        </w:rPr>
        <w:t xml:space="preserve">), </w:t>
      </w:r>
      <w:r w:rsidR="00692A48" w:rsidRPr="006E25B0">
        <w:rPr>
          <w:rFonts w:ascii="Times New Roman" w:hAnsi="Times New Roman" w:cs="Times New Roman"/>
          <w:i/>
          <w:lang w:val="en-GB"/>
        </w:rPr>
        <w:t>Promoting Solidarity in the European Union</w:t>
      </w:r>
      <w:r w:rsidRPr="006E25B0">
        <w:rPr>
          <w:rFonts w:ascii="Times New Roman" w:hAnsi="Times New Roman" w:cs="Times New Roman"/>
          <w:lang w:val="en-GB"/>
        </w:rPr>
        <w:t xml:space="preserve"> (Oxford University Press 2010) 122.</w:t>
      </w:r>
    </w:p>
    <w:p w14:paraId="111142C7"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P Schoukens and D Pieters, 'The Rules Within Regulation 883/2004 for Determining the Applicable Legislation' (2009) 11(1)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81.</w:t>
      </w:r>
    </w:p>
    <w:p w14:paraId="5E3B7461" w14:textId="502EB944"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E Spaventa, 'Earned Citizenship – Understanding Union Citizenship through Its Scope' in D Kochenov (ed), </w:t>
      </w:r>
      <w:r w:rsidR="003F788E" w:rsidRPr="006E25B0">
        <w:rPr>
          <w:rFonts w:ascii="Times New Roman" w:hAnsi="Times New Roman" w:cs="Times New Roman"/>
          <w:i/>
          <w:lang w:val="en-GB"/>
        </w:rPr>
        <w:t>EU Citizenship and Federalism: The Role of Rights</w:t>
      </w:r>
      <w:r w:rsidRPr="006E25B0">
        <w:rPr>
          <w:rFonts w:ascii="Times New Roman" w:hAnsi="Times New Roman" w:cs="Times New Roman"/>
          <w:lang w:val="en-GB"/>
        </w:rPr>
        <w:t xml:space="preserve"> (Cambridge University Press 2015) </w:t>
      </w:r>
    </w:p>
    <w:p w14:paraId="29EC8DE6" w14:textId="003716A6"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B Spiegel</w:t>
      </w:r>
      <w:r w:rsidR="00571AF6" w:rsidRPr="006E25B0">
        <w:rPr>
          <w:rFonts w:ascii="Times New Roman" w:hAnsi="Times New Roman" w:cs="Times New Roman"/>
          <w:lang w:val="en-GB"/>
        </w:rPr>
        <w:t>,</w:t>
      </w:r>
      <w:r w:rsidRPr="006E25B0">
        <w:rPr>
          <w:rFonts w:ascii="Times New Roman" w:hAnsi="Times New Roman" w:cs="Times New Roman"/>
          <w:lang w:val="en-GB"/>
        </w:rPr>
        <w:t xml:space="preserve"> </w:t>
      </w:r>
      <w:r w:rsidRPr="006E25B0">
        <w:rPr>
          <w:rFonts w:ascii="Times New Roman" w:hAnsi="Times New Roman" w:cs="Times New Roman"/>
          <w:i/>
          <w:iCs/>
          <w:lang w:val="en-GB"/>
        </w:rPr>
        <w:t>Analysis of Member States' Bilateral Agreements on Social Security with Third Countries</w:t>
      </w:r>
      <w:r w:rsidRPr="006E25B0">
        <w:rPr>
          <w:rFonts w:ascii="Times New Roman" w:hAnsi="Times New Roman" w:cs="Times New Roman"/>
          <w:lang w:val="en-GB"/>
        </w:rPr>
        <w:t xml:space="preserve"> (</w:t>
      </w:r>
      <w:r w:rsidR="00571AF6" w:rsidRPr="006E25B0">
        <w:rPr>
          <w:rFonts w:ascii="Times New Roman" w:hAnsi="Times New Roman" w:cs="Times New Roman"/>
          <w:lang w:val="en-GB"/>
        </w:rPr>
        <w:t xml:space="preserve">2010, </w:t>
      </w:r>
      <w:r w:rsidRPr="006E25B0">
        <w:rPr>
          <w:rFonts w:ascii="Times New Roman" w:hAnsi="Times New Roman" w:cs="Times New Roman"/>
          <w:lang w:val="en-GB"/>
        </w:rPr>
        <w:t xml:space="preserve">European Commission) </w:t>
      </w:r>
      <w:r w:rsidR="00781166" w:rsidRPr="006E25B0">
        <w:rPr>
          <w:rFonts w:ascii="Times New Roman" w:hAnsi="Times New Roman" w:cs="Times New Roman"/>
          <w:lang w:val="en-GB"/>
        </w:rPr>
        <w:t>(</w:t>
      </w:r>
      <w:r w:rsidR="002A55F3" w:rsidRPr="006E25B0">
        <w:rPr>
          <w:rFonts w:ascii="Times New Roman" w:hAnsi="Times New Roman" w:cs="Times New Roman"/>
          <w:lang w:val="en-GB"/>
        </w:rPr>
        <w:t>13 December 2015</w:t>
      </w:r>
      <w:r w:rsidR="00781166" w:rsidRPr="006E25B0">
        <w:rPr>
          <w:rFonts w:ascii="Times New Roman" w:hAnsi="Times New Roman" w:cs="Times New Roman"/>
          <w:lang w:val="en-GB"/>
        </w:rPr>
        <w:t xml:space="preserve">) available at: </w:t>
      </w:r>
      <w:r w:rsidRPr="006E25B0">
        <w:rPr>
          <w:rFonts w:ascii="Times New Roman" w:hAnsi="Times New Roman" w:cs="Times New Roman"/>
          <w:lang w:val="en-GB"/>
        </w:rPr>
        <w:t>http://ec.europa.eu/social/BlobServlet?docId=6645&amp;langId=en.</w:t>
      </w:r>
    </w:p>
    <w:p w14:paraId="730C702B" w14:textId="05EB4CD3"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B Spiegel, K Daxkobler, G Strban and A P van der Mei</w:t>
      </w:r>
      <w:r w:rsidR="00C14F31" w:rsidRPr="006E25B0">
        <w:rPr>
          <w:rFonts w:ascii="Times New Roman" w:hAnsi="Times New Roman" w:cs="Times New Roman"/>
          <w:lang w:val="en-GB"/>
        </w:rPr>
        <w:t>,</w:t>
      </w:r>
      <w:r w:rsidRPr="006E25B0">
        <w:rPr>
          <w:rFonts w:ascii="Times New Roman" w:hAnsi="Times New Roman" w:cs="Times New Roman"/>
          <w:lang w:val="en-GB"/>
        </w:rPr>
        <w:t xml:space="preserve"> </w:t>
      </w:r>
      <w:r w:rsidRPr="006E25B0">
        <w:rPr>
          <w:rFonts w:ascii="Times New Roman" w:hAnsi="Times New Roman" w:cs="Times New Roman"/>
          <w:i/>
          <w:iCs/>
          <w:lang w:val="en-GB"/>
        </w:rPr>
        <w:t>The relationship between social security coordination and taxation law</w:t>
      </w:r>
      <w:r w:rsidR="00C14F31" w:rsidRPr="006E25B0">
        <w:rPr>
          <w:rFonts w:ascii="Times New Roman" w:hAnsi="Times New Roman" w:cs="Times New Roman"/>
          <w:lang w:val="en-GB"/>
        </w:rPr>
        <w:t xml:space="preserve"> (2015)</w:t>
      </w:r>
      <w:r w:rsidRPr="006E25B0">
        <w:rPr>
          <w:rFonts w:ascii="Times New Roman" w:hAnsi="Times New Roman" w:cs="Times New Roman"/>
          <w:lang w:val="en-GB"/>
        </w:rPr>
        <w:t xml:space="preserve"> FreSsco Analytical Report </w:t>
      </w:r>
      <w:r w:rsidR="00781166" w:rsidRPr="006E25B0">
        <w:rPr>
          <w:rFonts w:ascii="Times New Roman" w:hAnsi="Times New Roman" w:cs="Times New Roman"/>
          <w:lang w:val="en-GB"/>
        </w:rPr>
        <w:t>(</w:t>
      </w:r>
      <w:r w:rsidR="00C51C23" w:rsidRPr="006E25B0">
        <w:rPr>
          <w:rFonts w:ascii="Times New Roman" w:hAnsi="Times New Roman" w:cs="Times New Roman"/>
          <w:lang w:val="en-GB"/>
        </w:rPr>
        <w:t>16 March 2015</w:t>
      </w:r>
      <w:r w:rsidR="00781166" w:rsidRPr="006E25B0">
        <w:rPr>
          <w:rFonts w:ascii="Times New Roman" w:hAnsi="Times New Roman" w:cs="Times New Roman"/>
          <w:lang w:val="en-GB"/>
        </w:rPr>
        <w:t xml:space="preserve">) available at: </w:t>
      </w:r>
      <w:r w:rsidRPr="006E25B0">
        <w:rPr>
          <w:rFonts w:ascii="Times New Roman" w:hAnsi="Times New Roman" w:cs="Times New Roman"/>
          <w:lang w:val="en-GB"/>
        </w:rPr>
        <w:t>http://ec.europa.eu/social/BlobServlet?docId=13534&amp;langId=en.</w:t>
      </w:r>
    </w:p>
    <w:p w14:paraId="3F3803A1"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G Strban, 'Family Benefits in the EU: Is It Still Possible to Coordinate Them?' (2016) 23(5) </w:t>
      </w:r>
      <w:r w:rsidRPr="006E25B0">
        <w:rPr>
          <w:rFonts w:ascii="Times New Roman" w:hAnsi="Times New Roman" w:cs="Times New Roman"/>
          <w:i/>
          <w:lang w:val="en-GB"/>
        </w:rPr>
        <w:t>Maastricht Journal of European and Comparative Law</w:t>
      </w:r>
      <w:r w:rsidRPr="006E25B0">
        <w:rPr>
          <w:rFonts w:ascii="Times New Roman" w:hAnsi="Times New Roman" w:cs="Times New Roman"/>
          <w:lang w:val="en-GB"/>
        </w:rPr>
        <w:t xml:space="preserve"> 775.</w:t>
      </w:r>
    </w:p>
    <w:p w14:paraId="62F00171" w14:textId="2859ED8D"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G Strban, D Carrascosa Bermejo, P Schoukens and I Vukorepa</w:t>
      </w:r>
      <w:r w:rsidR="0008349F" w:rsidRPr="006E25B0">
        <w:rPr>
          <w:rFonts w:ascii="Times New Roman" w:hAnsi="Times New Roman" w:cs="Times New Roman"/>
          <w:lang w:val="en-GB"/>
        </w:rPr>
        <w:t>,</w:t>
      </w:r>
      <w:r w:rsidRPr="006E25B0">
        <w:rPr>
          <w:rFonts w:ascii="Times New Roman" w:hAnsi="Times New Roman" w:cs="Times New Roman"/>
          <w:lang w:val="en-GB"/>
        </w:rPr>
        <w:t xml:space="preserve"> </w:t>
      </w:r>
      <w:r w:rsidRPr="006E25B0">
        <w:rPr>
          <w:rFonts w:ascii="Times New Roman" w:hAnsi="Times New Roman" w:cs="Times New Roman"/>
          <w:i/>
          <w:iCs/>
          <w:lang w:val="en-GB"/>
        </w:rPr>
        <w:t>Social security coordination and non-standard forms of employment and self-employment: Interrelation, challenges and prospects</w:t>
      </w:r>
      <w:r w:rsidRPr="006E25B0">
        <w:rPr>
          <w:rFonts w:ascii="Times New Roman" w:hAnsi="Times New Roman" w:cs="Times New Roman"/>
          <w:lang w:val="en-GB"/>
        </w:rPr>
        <w:t xml:space="preserve"> </w:t>
      </w:r>
      <w:r w:rsidR="0008349F" w:rsidRPr="006E25B0">
        <w:rPr>
          <w:rFonts w:ascii="Times New Roman" w:hAnsi="Times New Roman" w:cs="Times New Roman"/>
          <w:lang w:val="en-GB"/>
        </w:rPr>
        <w:t xml:space="preserve">(2020) </w:t>
      </w:r>
      <w:r w:rsidRPr="006E25B0">
        <w:rPr>
          <w:rFonts w:ascii="Times New Roman" w:hAnsi="Times New Roman" w:cs="Times New Roman"/>
          <w:lang w:val="en-GB"/>
        </w:rPr>
        <w:t xml:space="preserve">MoveS Analytical Report </w:t>
      </w:r>
      <w:r w:rsidR="00781166" w:rsidRPr="006E25B0">
        <w:rPr>
          <w:rFonts w:ascii="Times New Roman" w:hAnsi="Times New Roman" w:cs="Times New Roman"/>
          <w:lang w:val="en-GB"/>
        </w:rPr>
        <w:t>(</w:t>
      </w:r>
      <w:r w:rsidR="00C51C23" w:rsidRPr="006E25B0">
        <w:rPr>
          <w:rFonts w:ascii="Times New Roman" w:hAnsi="Times New Roman" w:cs="Times New Roman"/>
          <w:lang w:val="en-GB"/>
        </w:rPr>
        <w:t>9 June 2021</w:t>
      </w:r>
      <w:r w:rsidR="00781166" w:rsidRPr="006E25B0">
        <w:rPr>
          <w:rFonts w:ascii="Times New Roman" w:hAnsi="Times New Roman" w:cs="Times New Roman"/>
          <w:lang w:val="en-GB"/>
        </w:rPr>
        <w:t xml:space="preserve">) available at: </w:t>
      </w:r>
      <w:r w:rsidRPr="006E25B0">
        <w:rPr>
          <w:rFonts w:ascii="Times New Roman" w:hAnsi="Times New Roman" w:cs="Times New Roman"/>
          <w:lang w:val="en-GB"/>
        </w:rPr>
        <w:t>https://ec.europa.eu/social/BlobServlet?docId=22854&amp;langId=en.</w:t>
      </w:r>
    </w:p>
    <w:p w14:paraId="2C74309B" w14:textId="7B434C0C"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G Strban, B Spiegel and P Schoukens</w:t>
      </w:r>
      <w:r w:rsidR="00C14F31" w:rsidRPr="006E25B0">
        <w:rPr>
          <w:rFonts w:ascii="Times New Roman" w:hAnsi="Times New Roman" w:cs="Times New Roman"/>
          <w:lang w:val="en-GB"/>
        </w:rPr>
        <w:t>,</w:t>
      </w:r>
      <w:r w:rsidRPr="006E25B0">
        <w:rPr>
          <w:rFonts w:ascii="Times New Roman" w:hAnsi="Times New Roman" w:cs="Times New Roman"/>
          <w:lang w:val="en-GB"/>
        </w:rPr>
        <w:t xml:space="preserve"> </w:t>
      </w:r>
      <w:r w:rsidRPr="006E25B0">
        <w:rPr>
          <w:rFonts w:ascii="Times New Roman" w:hAnsi="Times New Roman" w:cs="Times New Roman"/>
          <w:i/>
          <w:iCs/>
          <w:lang w:val="en-GB"/>
        </w:rPr>
        <w:t>The application of the social security coordination rules on modern forms of family</w:t>
      </w:r>
      <w:r w:rsidRPr="006E25B0">
        <w:rPr>
          <w:rFonts w:ascii="Times New Roman" w:hAnsi="Times New Roman" w:cs="Times New Roman"/>
          <w:lang w:val="en-GB"/>
        </w:rPr>
        <w:t xml:space="preserve"> </w:t>
      </w:r>
      <w:r w:rsidR="00C14F31" w:rsidRPr="006E25B0">
        <w:rPr>
          <w:rFonts w:ascii="Times New Roman" w:hAnsi="Times New Roman" w:cs="Times New Roman"/>
          <w:lang w:val="en-GB"/>
        </w:rPr>
        <w:t xml:space="preserve">(2020) </w:t>
      </w:r>
      <w:r w:rsidRPr="006E25B0">
        <w:rPr>
          <w:rFonts w:ascii="Times New Roman" w:hAnsi="Times New Roman" w:cs="Times New Roman"/>
          <w:lang w:val="en-GB"/>
        </w:rPr>
        <w:t xml:space="preserve">MoveS Analytical Legal Report </w:t>
      </w:r>
      <w:r w:rsidR="00781166" w:rsidRPr="006E25B0">
        <w:rPr>
          <w:rFonts w:ascii="Times New Roman" w:hAnsi="Times New Roman" w:cs="Times New Roman"/>
          <w:lang w:val="en-GB"/>
        </w:rPr>
        <w:t>(</w:t>
      </w:r>
      <w:r w:rsidR="004A732E" w:rsidRPr="006E25B0">
        <w:rPr>
          <w:rFonts w:ascii="Times New Roman" w:hAnsi="Times New Roman" w:cs="Times New Roman"/>
          <w:lang w:val="en-GB"/>
        </w:rPr>
        <w:t>3 August 2021</w:t>
      </w:r>
      <w:r w:rsidR="00781166" w:rsidRPr="006E25B0">
        <w:rPr>
          <w:rFonts w:ascii="Times New Roman" w:hAnsi="Times New Roman" w:cs="Times New Roman"/>
          <w:lang w:val="en-GB"/>
        </w:rPr>
        <w:t xml:space="preserve">) available at: </w:t>
      </w:r>
      <w:r w:rsidRPr="006E25B0">
        <w:rPr>
          <w:rFonts w:ascii="Times New Roman" w:hAnsi="Times New Roman" w:cs="Times New Roman"/>
          <w:lang w:val="en-GB"/>
        </w:rPr>
        <w:t>https://ec.europa.eu/social/BlobServlet?docId=22856&amp;langId=en</w:t>
      </w:r>
      <w:r w:rsidR="00BB295A" w:rsidRPr="006E25B0">
        <w:rPr>
          <w:rFonts w:ascii="Times New Roman" w:hAnsi="Times New Roman" w:cs="Times New Roman"/>
          <w:lang w:val="en-GB"/>
        </w:rPr>
        <w:t>a</w:t>
      </w:r>
      <w:r w:rsidRPr="006E25B0">
        <w:rPr>
          <w:rFonts w:ascii="Times New Roman" w:hAnsi="Times New Roman" w:cs="Times New Roman"/>
          <w:lang w:val="en-GB"/>
        </w:rPr>
        <w:t>.</w:t>
      </w:r>
    </w:p>
    <w:p w14:paraId="00797B03"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D Thym, 'The elusive limits of solidarity: Residence rights of and social benefits for economically inactive Union citizens' (2015) 52(1)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17.</w:t>
      </w:r>
    </w:p>
    <w:p w14:paraId="4F70C741"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D Thym, 'When Union citizens turn into illegal migrants: the Dano case' (2015) 40(2) </w:t>
      </w:r>
      <w:r w:rsidRPr="006E25B0">
        <w:rPr>
          <w:rFonts w:ascii="Times New Roman" w:hAnsi="Times New Roman" w:cs="Times New Roman"/>
          <w:i/>
          <w:lang w:val="en-GB"/>
        </w:rPr>
        <w:t>European Law Review</w:t>
      </w:r>
      <w:r w:rsidRPr="006E25B0">
        <w:rPr>
          <w:rFonts w:ascii="Times New Roman" w:hAnsi="Times New Roman" w:cs="Times New Roman"/>
          <w:lang w:val="en-GB"/>
        </w:rPr>
        <w:t xml:space="preserve"> 249.</w:t>
      </w:r>
    </w:p>
    <w:p w14:paraId="3498E60D"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A P van der Mei, 'Regulation 1408/71 and coordination of special non contributory benefit schemes' (2002) 27(5) </w:t>
      </w:r>
      <w:r w:rsidRPr="006E25B0">
        <w:rPr>
          <w:rFonts w:ascii="Times New Roman" w:hAnsi="Times New Roman" w:cs="Times New Roman"/>
          <w:i/>
          <w:lang w:val="en-GB"/>
        </w:rPr>
        <w:t>European Law Review</w:t>
      </w:r>
      <w:r w:rsidRPr="006E25B0">
        <w:rPr>
          <w:rFonts w:ascii="Times New Roman" w:hAnsi="Times New Roman" w:cs="Times New Roman"/>
          <w:lang w:val="en-GB"/>
        </w:rPr>
        <w:t xml:space="preserve"> 551.</w:t>
      </w:r>
    </w:p>
    <w:p w14:paraId="68BE5311"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A P van der Mei, </w:t>
      </w:r>
      <w:r w:rsidRPr="006E25B0">
        <w:rPr>
          <w:rFonts w:ascii="Times New Roman" w:hAnsi="Times New Roman" w:cs="Times New Roman"/>
          <w:i/>
          <w:lang w:val="en-GB"/>
        </w:rPr>
        <w:t>Free Movement of Persons Within the European Community: Cross-Border Access to Public Benefits</w:t>
      </w:r>
      <w:r w:rsidRPr="006E25B0">
        <w:rPr>
          <w:rFonts w:ascii="Times New Roman" w:hAnsi="Times New Roman" w:cs="Times New Roman"/>
          <w:lang w:val="en-GB"/>
        </w:rPr>
        <w:t xml:space="preserve"> (Hart Publishing 2003).</w:t>
      </w:r>
    </w:p>
    <w:p w14:paraId="6885A4EA" w14:textId="19B345BC"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A P van der Mei, 'Coordination of student financial aid systems: Free movement of students or free movement of workers?' in F Pennings and G Vonk (ed</w:t>
      </w:r>
      <w:r w:rsidR="000608EA" w:rsidRPr="006E25B0">
        <w:rPr>
          <w:rFonts w:ascii="Times New Roman" w:hAnsi="Times New Roman" w:cs="Times New Roman"/>
          <w:lang w:val="en-GB"/>
        </w:rPr>
        <w:t>s</w:t>
      </w:r>
      <w:r w:rsidRPr="006E25B0">
        <w:rPr>
          <w:rFonts w:ascii="Times New Roman" w:hAnsi="Times New Roman" w:cs="Times New Roman"/>
          <w:lang w:val="en-GB"/>
        </w:rPr>
        <w:t xml:space="preserve">), </w:t>
      </w:r>
      <w:r w:rsidR="003F788E" w:rsidRPr="006E25B0">
        <w:rPr>
          <w:rFonts w:ascii="Times New Roman" w:hAnsi="Times New Roman" w:cs="Times New Roman"/>
          <w:i/>
          <w:lang w:val="en-GB"/>
        </w:rPr>
        <w:t>Research Handbook on European Social Security</w:t>
      </w:r>
      <w:r w:rsidR="001B104A" w:rsidRPr="006E25B0">
        <w:rPr>
          <w:rFonts w:ascii="Times New Roman" w:hAnsi="Times New Roman" w:cs="Times New Roman"/>
          <w:lang w:val="en-GB"/>
        </w:rPr>
        <w:t xml:space="preserve"> </w:t>
      </w:r>
      <w:r w:rsidR="003F788E" w:rsidRPr="006E25B0">
        <w:rPr>
          <w:rFonts w:ascii="Times New Roman" w:hAnsi="Times New Roman" w:cs="Times New Roman"/>
          <w:i/>
          <w:lang w:val="en-GB"/>
        </w:rPr>
        <w:t>Law</w:t>
      </w:r>
      <w:r w:rsidR="00D22C70" w:rsidRPr="006E25B0">
        <w:rPr>
          <w:rFonts w:ascii="Times New Roman" w:hAnsi="Times New Roman" w:cs="Times New Roman"/>
          <w:lang w:val="en-GB"/>
        </w:rPr>
        <w:t>, 1</w:t>
      </w:r>
      <w:r w:rsidR="00D22C70" w:rsidRPr="006E25B0">
        <w:rPr>
          <w:rFonts w:ascii="Times New Roman" w:hAnsi="Times New Roman" w:cs="Times New Roman"/>
          <w:vertAlign w:val="superscript"/>
          <w:lang w:val="en-GB"/>
        </w:rPr>
        <w:t>st</w:t>
      </w:r>
      <w:r w:rsidR="00D22C70" w:rsidRPr="006E25B0">
        <w:rPr>
          <w:rFonts w:ascii="Times New Roman" w:hAnsi="Times New Roman" w:cs="Times New Roman"/>
          <w:lang w:val="en-GB"/>
        </w:rPr>
        <w:t xml:space="preserve"> edition</w:t>
      </w:r>
      <w:r w:rsidRPr="006E25B0">
        <w:rPr>
          <w:rFonts w:ascii="Times New Roman" w:hAnsi="Times New Roman" w:cs="Times New Roman"/>
          <w:lang w:val="en-GB"/>
        </w:rPr>
        <w:t xml:space="preserve"> (Elgar 2015) 468.</w:t>
      </w:r>
    </w:p>
    <w:p w14:paraId="6A149ADE"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A P van der mei and E van Ooij, 'The judicial finetuning of the EU rules determining the applicable social security legislation' (2022) 29(1) </w:t>
      </w:r>
      <w:r w:rsidRPr="006E25B0">
        <w:rPr>
          <w:rFonts w:ascii="Times New Roman" w:hAnsi="Times New Roman" w:cs="Times New Roman"/>
          <w:i/>
          <w:lang w:val="en-GB"/>
        </w:rPr>
        <w:t>Maastricht Journal of European and Comparative Law</w:t>
      </w:r>
      <w:r w:rsidRPr="006E25B0">
        <w:rPr>
          <w:rFonts w:ascii="Times New Roman" w:hAnsi="Times New Roman" w:cs="Times New Roman"/>
          <w:lang w:val="en-GB"/>
        </w:rPr>
        <w:t xml:space="preserve"> 132.</w:t>
      </w:r>
    </w:p>
    <w:p w14:paraId="33862C23"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A A H Van Hoek, 'Re-embedding the transnational employment relationship: A tale about the limitations of (EU) law?' (2018) 55(2) </w:t>
      </w:r>
      <w:r w:rsidRPr="006E25B0">
        <w:rPr>
          <w:rFonts w:ascii="Times New Roman" w:hAnsi="Times New Roman" w:cs="Times New Roman"/>
          <w:i/>
          <w:lang w:val="en-GB"/>
        </w:rPr>
        <w:t>Common Market Law Review</w:t>
      </w:r>
      <w:r w:rsidRPr="006E25B0">
        <w:rPr>
          <w:rFonts w:ascii="Times New Roman" w:hAnsi="Times New Roman" w:cs="Times New Roman"/>
          <w:lang w:val="en-GB"/>
        </w:rPr>
        <w:t xml:space="preserve"> 449.</w:t>
      </w:r>
    </w:p>
    <w:p w14:paraId="3D580D5C"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E van Ooij, 'Highly mobile workers challenging Regulation 883/2004: Pushing borders or opening Pandora’s box?' (2020) 27(5) </w:t>
      </w:r>
      <w:r w:rsidRPr="006E25B0">
        <w:rPr>
          <w:rFonts w:ascii="Times New Roman" w:hAnsi="Times New Roman" w:cs="Times New Roman"/>
          <w:i/>
          <w:lang w:val="en-GB"/>
        </w:rPr>
        <w:t>Maastricht Journal of European and Comparative Law</w:t>
      </w:r>
      <w:r w:rsidRPr="006E25B0">
        <w:rPr>
          <w:rFonts w:ascii="Times New Roman" w:hAnsi="Times New Roman" w:cs="Times New Roman"/>
          <w:lang w:val="en-GB"/>
        </w:rPr>
        <w:t xml:space="preserve"> 573.</w:t>
      </w:r>
    </w:p>
    <w:p w14:paraId="760569AC"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S Van Raepenbusch, </w:t>
      </w:r>
      <w:r w:rsidRPr="006E25B0">
        <w:rPr>
          <w:rFonts w:ascii="Times New Roman" w:hAnsi="Times New Roman" w:cs="Times New Roman"/>
          <w:i/>
          <w:lang w:val="en-GB"/>
        </w:rPr>
        <w:t>La sécurité sociale des travailleurs européens: Principes directeurs et grands arrêts de la Cour de justice des Communautés européennes</w:t>
      </w:r>
      <w:r w:rsidRPr="006E25B0">
        <w:rPr>
          <w:rFonts w:ascii="Times New Roman" w:hAnsi="Times New Roman" w:cs="Times New Roman"/>
          <w:lang w:val="en-GB"/>
        </w:rPr>
        <w:t xml:space="preserve"> (De Boeck &amp; Larcier 2001).</w:t>
      </w:r>
    </w:p>
    <w:p w14:paraId="48B3D0DD"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H Verschueren, 'Cross-Border Workers in the European Internal Market: Trojan Horses for Member States' Labour and Social Security Law?' (2008) 24(2) </w:t>
      </w:r>
      <w:r w:rsidRPr="006E25B0">
        <w:rPr>
          <w:rFonts w:ascii="Times New Roman" w:hAnsi="Times New Roman" w:cs="Times New Roman"/>
          <w:i/>
          <w:lang w:val="en-GB"/>
        </w:rPr>
        <w:t>International Journal of Comparative Labour Law and Industrial Relations</w:t>
      </w:r>
      <w:r w:rsidRPr="006E25B0">
        <w:rPr>
          <w:rFonts w:ascii="Times New Roman" w:hAnsi="Times New Roman" w:cs="Times New Roman"/>
          <w:lang w:val="en-GB"/>
        </w:rPr>
        <w:t xml:space="preserve"> 167.</w:t>
      </w:r>
    </w:p>
    <w:p w14:paraId="35607EFC" w14:textId="77777777"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H Verschueren, 'Regulation 883/2004 and Invalidity and Old-age Pensions' (2009) 11(1/2)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143.</w:t>
      </w:r>
    </w:p>
    <w:p w14:paraId="51F45513" w14:textId="2121D044"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H Verschueren, 'The EU social security co-ordination system: A close interplay between the EU legislature and judiciary' in P Syrpis (ed), </w:t>
      </w:r>
      <w:r w:rsidR="003F788E" w:rsidRPr="006E25B0">
        <w:rPr>
          <w:rFonts w:ascii="Times New Roman" w:hAnsi="Times New Roman" w:cs="Times New Roman"/>
          <w:i/>
          <w:lang w:val="en-GB"/>
        </w:rPr>
        <w:t>The Judiciary, the Legislature and the EU Internal Market</w:t>
      </w:r>
      <w:r w:rsidRPr="006E25B0">
        <w:rPr>
          <w:rFonts w:ascii="Times New Roman" w:hAnsi="Times New Roman" w:cs="Times New Roman"/>
          <w:lang w:val="en-GB"/>
        </w:rPr>
        <w:t xml:space="preserve"> (Cambridge University Press 2012) 177.</w:t>
      </w:r>
    </w:p>
    <w:p w14:paraId="6B6AAB7C" w14:textId="51047E2A" w:rsidR="001C07D6" w:rsidRPr="006E25B0" w:rsidRDefault="001C07D6"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G Vonk, 'The EU (non) co-ordination of minimum subsistence benefits: What went wrong and what ways forward?' (2020) 22(2) </w:t>
      </w:r>
      <w:r w:rsidRPr="006E25B0">
        <w:rPr>
          <w:rFonts w:ascii="Times New Roman" w:hAnsi="Times New Roman" w:cs="Times New Roman"/>
          <w:i/>
          <w:lang w:val="en-GB"/>
        </w:rPr>
        <w:t>European Journal of Social Security</w:t>
      </w:r>
      <w:r w:rsidRPr="006E25B0">
        <w:rPr>
          <w:rFonts w:ascii="Times New Roman" w:hAnsi="Times New Roman" w:cs="Times New Roman"/>
          <w:lang w:val="en-GB"/>
        </w:rPr>
        <w:t xml:space="preserve"> 138.</w:t>
      </w:r>
    </w:p>
    <w:p w14:paraId="7C3B64C7" w14:textId="77777777" w:rsidR="00A41EAF" w:rsidRPr="006E25B0" w:rsidRDefault="00A41EAF" w:rsidP="00D95347">
      <w:pPr>
        <w:pStyle w:val="Heading1"/>
        <w:rPr>
          <w:rFonts w:ascii="Times New Roman" w:hAnsi="Times New Roman" w:cs="Times New Roman"/>
          <w:noProof/>
          <w:color w:val="auto"/>
        </w:rPr>
      </w:pPr>
      <w:r w:rsidRPr="006E25B0">
        <w:rPr>
          <w:rFonts w:ascii="Times New Roman" w:hAnsi="Times New Roman" w:cs="Times New Roman"/>
          <w:noProof/>
          <w:color w:val="auto"/>
        </w:rPr>
        <w:t>Select Cases</w:t>
      </w:r>
    </w:p>
    <w:p w14:paraId="199F41B8"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1/72 </w:t>
      </w:r>
      <w:r w:rsidRPr="006E25B0">
        <w:rPr>
          <w:rFonts w:ascii="Times New Roman" w:hAnsi="Times New Roman" w:cs="Times New Roman"/>
          <w:i/>
          <w:lang w:val="en-GB"/>
        </w:rPr>
        <w:t>Frilli v Belgian State</w:t>
      </w:r>
      <w:r w:rsidRPr="006E25B0">
        <w:rPr>
          <w:rFonts w:ascii="Times New Roman" w:hAnsi="Times New Roman" w:cs="Times New Roman"/>
          <w:lang w:val="en-GB"/>
        </w:rPr>
        <w:t xml:space="preserve"> ECLI:EU:C:1972:56.</w:t>
      </w:r>
    </w:p>
    <w:p w14:paraId="0DA8EFFC"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24/75 </w:t>
      </w:r>
      <w:r w:rsidRPr="006E25B0">
        <w:rPr>
          <w:rFonts w:ascii="Times New Roman" w:hAnsi="Times New Roman" w:cs="Times New Roman"/>
          <w:i/>
          <w:lang w:val="en-GB"/>
        </w:rPr>
        <w:t>Petroni v Office national des pensions pour travailleurs salariés, Bruxelles</w:t>
      </w:r>
      <w:r w:rsidRPr="006E25B0">
        <w:rPr>
          <w:rFonts w:ascii="Times New Roman" w:hAnsi="Times New Roman" w:cs="Times New Roman"/>
          <w:lang w:val="en-GB"/>
        </w:rPr>
        <w:t xml:space="preserve"> ECLI:EU:C:1975:129.</w:t>
      </w:r>
    </w:p>
    <w:p w14:paraId="250B5C9B"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39/76 </w:t>
      </w:r>
      <w:r w:rsidRPr="006E25B0">
        <w:rPr>
          <w:rFonts w:ascii="Times New Roman" w:hAnsi="Times New Roman" w:cs="Times New Roman"/>
          <w:i/>
          <w:lang w:val="en-GB"/>
        </w:rPr>
        <w:t>Bestuur der Bedrijfsvereniging voor de Metaalnijverheid v Mouthaan</w:t>
      </w:r>
      <w:r w:rsidRPr="006E25B0">
        <w:rPr>
          <w:rFonts w:ascii="Times New Roman" w:hAnsi="Times New Roman" w:cs="Times New Roman"/>
          <w:lang w:val="en-GB"/>
        </w:rPr>
        <w:t xml:space="preserve"> ECLI:EU:C:1976:181.</w:t>
      </w:r>
    </w:p>
    <w:p w14:paraId="6E08AE77"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110/79 </w:t>
      </w:r>
      <w:r w:rsidRPr="006E25B0">
        <w:rPr>
          <w:rFonts w:ascii="Times New Roman" w:hAnsi="Times New Roman" w:cs="Times New Roman"/>
          <w:i/>
          <w:lang w:val="en-GB"/>
        </w:rPr>
        <w:t>Coonan v Insurance Officer</w:t>
      </w:r>
      <w:r w:rsidRPr="006E25B0">
        <w:rPr>
          <w:rFonts w:ascii="Times New Roman" w:hAnsi="Times New Roman" w:cs="Times New Roman"/>
          <w:lang w:val="en-GB"/>
        </w:rPr>
        <w:t xml:space="preserve"> ECLI:EU:C:1980:112.</w:t>
      </w:r>
    </w:p>
    <w:p w14:paraId="5E1A1000"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300/84 </w:t>
      </w:r>
      <w:r w:rsidRPr="006E25B0">
        <w:rPr>
          <w:rFonts w:ascii="Times New Roman" w:hAnsi="Times New Roman" w:cs="Times New Roman"/>
          <w:i/>
          <w:lang w:val="en-GB"/>
        </w:rPr>
        <w:t>van Roosmalen v Bestuur van de Bedrijfsvereniging voor de Gezondheid, Geestelijke en Maatschappelijke Belangen</w:t>
      </w:r>
      <w:r w:rsidRPr="006E25B0">
        <w:rPr>
          <w:rFonts w:ascii="Times New Roman" w:hAnsi="Times New Roman" w:cs="Times New Roman"/>
          <w:lang w:val="en-GB"/>
        </w:rPr>
        <w:t xml:space="preserve"> ECLI:EU:C:1986:402.</w:t>
      </w:r>
    </w:p>
    <w:p w14:paraId="28E4CB1C"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21/87 </w:t>
      </w:r>
      <w:r w:rsidRPr="006E25B0">
        <w:rPr>
          <w:rFonts w:ascii="Times New Roman" w:hAnsi="Times New Roman" w:cs="Times New Roman"/>
          <w:i/>
          <w:lang w:val="en-GB"/>
        </w:rPr>
        <w:t>Borowitz v Bundesversicherungsanstalt für Angestellte</w:t>
      </w:r>
      <w:r w:rsidRPr="006E25B0">
        <w:rPr>
          <w:rFonts w:ascii="Times New Roman" w:hAnsi="Times New Roman" w:cs="Times New Roman"/>
          <w:lang w:val="en-GB"/>
        </w:rPr>
        <w:t xml:space="preserve"> ECLI:EU:C:1988:362.</w:t>
      </w:r>
    </w:p>
    <w:p w14:paraId="6C50B55B"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C-153/91 </w:t>
      </w:r>
      <w:r w:rsidRPr="006E25B0">
        <w:rPr>
          <w:rFonts w:ascii="Times New Roman" w:hAnsi="Times New Roman" w:cs="Times New Roman"/>
          <w:i/>
          <w:lang w:val="en-GB"/>
        </w:rPr>
        <w:t>Petit v Office national des pensions</w:t>
      </w:r>
      <w:r w:rsidRPr="006E25B0">
        <w:rPr>
          <w:rFonts w:ascii="Times New Roman" w:hAnsi="Times New Roman" w:cs="Times New Roman"/>
          <w:lang w:val="en-GB"/>
        </w:rPr>
        <w:t xml:space="preserve"> ECLI:EU:C:1992:354.</w:t>
      </w:r>
    </w:p>
    <w:p w14:paraId="6F4A4922"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C-23/92 </w:t>
      </w:r>
      <w:r w:rsidRPr="006E25B0">
        <w:rPr>
          <w:rFonts w:ascii="Times New Roman" w:hAnsi="Times New Roman" w:cs="Times New Roman"/>
          <w:i/>
          <w:lang w:val="en-GB"/>
        </w:rPr>
        <w:t>Grana-Novoa v Landesversicherungsanstalt Hessen</w:t>
      </w:r>
      <w:r w:rsidRPr="006E25B0">
        <w:rPr>
          <w:rFonts w:ascii="Times New Roman" w:hAnsi="Times New Roman" w:cs="Times New Roman"/>
          <w:lang w:val="en-GB"/>
        </w:rPr>
        <w:t xml:space="preserve"> ECLI:EU:C:1993:339.</w:t>
      </w:r>
    </w:p>
    <w:p w14:paraId="50B0E001"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C-308/93 </w:t>
      </w:r>
      <w:r w:rsidRPr="006E25B0">
        <w:rPr>
          <w:rFonts w:ascii="Times New Roman" w:hAnsi="Times New Roman" w:cs="Times New Roman"/>
          <w:i/>
          <w:lang w:val="en-GB"/>
        </w:rPr>
        <w:t>Bestuur van de Sociale Verzekeringsbank v Cabanis-Issarte</w:t>
      </w:r>
      <w:r w:rsidRPr="006E25B0">
        <w:rPr>
          <w:rFonts w:ascii="Times New Roman" w:hAnsi="Times New Roman" w:cs="Times New Roman"/>
          <w:lang w:val="en-GB"/>
        </w:rPr>
        <w:t xml:space="preserve"> ECLI:EU:C:1996:169.</w:t>
      </w:r>
    </w:p>
    <w:p w14:paraId="2C8E6945"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C-20/96 </w:t>
      </w:r>
      <w:r w:rsidRPr="006E25B0">
        <w:rPr>
          <w:rFonts w:ascii="Times New Roman" w:hAnsi="Times New Roman" w:cs="Times New Roman"/>
          <w:i/>
          <w:lang w:val="en-GB"/>
        </w:rPr>
        <w:t>Snares v Adjudication Officer</w:t>
      </w:r>
      <w:r w:rsidRPr="006E25B0">
        <w:rPr>
          <w:rFonts w:ascii="Times New Roman" w:hAnsi="Times New Roman" w:cs="Times New Roman"/>
          <w:lang w:val="en-GB"/>
        </w:rPr>
        <w:t xml:space="preserve"> ECLI:EU:C:1997:518.</w:t>
      </w:r>
    </w:p>
    <w:p w14:paraId="6E694CE9"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C-160/96 </w:t>
      </w:r>
      <w:r w:rsidRPr="006E25B0">
        <w:rPr>
          <w:rFonts w:ascii="Times New Roman" w:hAnsi="Times New Roman" w:cs="Times New Roman"/>
          <w:i/>
          <w:lang w:val="en-GB"/>
        </w:rPr>
        <w:t>Molenaar v Allgemeine Ortskrankenkasse Baden-Württemberg</w:t>
      </w:r>
      <w:r w:rsidRPr="006E25B0">
        <w:rPr>
          <w:rFonts w:ascii="Times New Roman" w:hAnsi="Times New Roman" w:cs="Times New Roman"/>
          <w:lang w:val="en-GB"/>
        </w:rPr>
        <w:t xml:space="preserve"> ECLI:EU:C:1998:84.</w:t>
      </w:r>
    </w:p>
    <w:p w14:paraId="58B88679"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C-158/96 </w:t>
      </w:r>
      <w:r w:rsidRPr="006E25B0">
        <w:rPr>
          <w:rFonts w:ascii="Times New Roman" w:hAnsi="Times New Roman" w:cs="Times New Roman"/>
          <w:i/>
          <w:lang w:val="en-GB"/>
        </w:rPr>
        <w:t>Kohll v Union des caisses de maladie</w:t>
      </w:r>
      <w:r w:rsidRPr="006E25B0">
        <w:rPr>
          <w:rFonts w:ascii="Times New Roman" w:hAnsi="Times New Roman" w:cs="Times New Roman"/>
          <w:lang w:val="en-GB"/>
        </w:rPr>
        <w:t xml:space="preserve"> ECLI:EU:C:1998:171.</w:t>
      </w:r>
    </w:p>
    <w:p w14:paraId="3A0BA54D"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C-90/97 </w:t>
      </w:r>
      <w:r w:rsidRPr="006E25B0">
        <w:rPr>
          <w:rFonts w:ascii="Times New Roman" w:hAnsi="Times New Roman" w:cs="Times New Roman"/>
          <w:i/>
          <w:lang w:val="en-GB"/>
        </w:rPr>
        <w:t>Swaddling v Adjudication Officer</w:t>
      </w:r>
      <w:r w:rsidRPr="006E25B0">
        <w:rPr>
          <w:rFonts w:ascii="Times New Roman" w:hAnsi="Times New Roman" w:cs="Times New Roman"/>
          <w:lang w:val="en-GB"/>
        </w:rPr>
        <w:t xml:space="preserve"> ECLI:EU:C:1999:96.</w:t>
      </w:r>
    </w:p>
    <w:p w14:paraId="6BD1508A"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C-202/97 </w:t>
      </w:r>
      <w:r w:rsidRPr="006E25B0">
        <w:rPr>
          <w:rFonts w:ascii="Times New Roman" w:hAnsi="Times New Roman" w:cs="Times New Roman"/>
          <w:i/>
          <w:lang w:val="en-GB"/>
        </w:rPr>
        <w:t>Fitzwilliam Executive Search v Bestuur van het Landelijk instituut sociale verzekeringen</w:t>
      </w:r>
      <w:r w:rsidRPr="006E25B0">
        <w:rPr>
          <w:rFonts w:ascii="Times New Roman" w:hAnsi="Times New Roman" w:cs="Times New Roman"/>
          <w:lang w:val="en-GB"/>
        </w:rPr>
        <w:t xml:space="preserve"> ECLI:EU:C:2000:75.</w:t>
      </w:r>
    </w:p>
    <w:p w14:paraId="580BA89B"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C-215/99 </w:t>
      </w:r>
      <w:r w:rsidRPr="006E25B0">
        <w:rPr>
          <w:rFonts w:ascii="Times New Roman" w:hAnsi="Times New Roman" w:cs="Times New Roman"/>
          <w:i/>
          <w:lang w:val="en-GB"/>
        </w:rPr>
        <w:t>Jauch v Pensionsversicherungsanstalt der Arbeiter</w:t>
      </w:r>
      <w:r w:rsidRPr="006E25B0">
        <w:rPr>
          <w:rFonts w:ascii="Times New Roman" w:hAnsi="Times New Roman" w:cs="Times New Roman"/>
          <w:lang w:val="en-GB"/>
        </w:rPr>
        <w:t xml:space="preserve"> ECLI:EU:C:2001:139.</w:t>
      </w:r>
    </w:p>
    <w:p w14:paraId="085D3F42" w14:textId="1B12A657" w:rsidR="00E377FF" w:rsidRPr="006E25B0" w:rsidRDefault="00E377FF"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C-373/02 </w:t>
      </w:r>
      <w:r w:rsidRPr="006E25B0">
        <w:rPr>
          <w:rFonts w:ascii="Times New Roman" w:hAnsi="Times New Roman" w:cs="Times New Roman"/>
          <w:i/>
          <w:lang w:val="en-GB"/>
        </w:rPr>
        <w:t>Öztürk v Pensionsversicherungsanstalt der Arbeiter</w:t>
      </w:r>
      <w:r w:rsidRPr="006E25B0">
        <w:rPr>
          <w:rFonts w:ascii="Times New Roman" w:hAnsi="Times New Roman" w:cs="Times New Roman"/>
          <w:lang w:val="en-GB"/>
        </w:rPr>
        <w:t xml:space="preserve"> ECLI:EU:C:2004:232.</w:t>
      </w:r>
    </w:p>
    <w:p w14:paraId="5250207E" w14:textId="4A8917A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C-456/02 </w:t>
      </w:r>
      <w:r w:rsidRPr="006E25B0">
        <w:rPr>
          <w:rFonts w:ascii="Times New Roman" w:hAnsi="Times New Roman" w:cs="Times New Roman"/>
          <w:i/>
          <w:lang w:val="en-GB"/>
        </w:rPr>
        <w:t>Trojani v Centre public d'aide sociale de Bruxelles</w:t>
      </w:r>
      <w:r w:rsidRPr="006E25B0">
        <w:rPr>
          <w:rFonts w:ascii="Times New Roman" w:hAnsi="Times New Roman" w:cs="Times New Roman"/>
          <w:lang w:val="en-GB"/>
        </w:rPr>
        <w:t xml:space="preserve"> ECLI:EU:C:2004:488.</w:t>
      </w:r>
    </w:p>
    <w:p w14:paraId="55D0B25E"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C-466/04 </w:t>
      </w:r>
      <w:r w:rsidRPr="006E25B0">
        <w:rPr>
          <w:rFonts w:ascii="Times New Roman" w:hAnsi="Times New Roman" w:cs="Times New Roman"/>
          <w:i/>
          <w:lang w:val="en-GB"/>
        </w:rPr>
        <w:t>Acereda Herrera v Servicio Cántabro de Salud</w:t>
      </w:r>
      <w:r w:rsidRPr="006E25B0">
        <w:rPr>
          <w:rFonts w:ascii="Times New Roman" w:hAnsi="Times New Roman" w:cs="Times New Roman"/>
          <w:lang w:val="en-GB"/>
        </w:rPr>
        <w:t xml:space="preserve"> ECLI:EU:C:2006:405.</w:t>
      </w:r>
    </w:p>
    <w:p w14:paraId="4257A41A"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C-287/05 </w:t>
      </w:r>
      <w:r w:rsidRPr="006E25B0">
        <w:rPr>
          <w:rFonts w:ascii="Times New Roman" w:hAnsi="Times New Roman" w:cs="Times New Roman"/>
          <w:i/>
          <w:lang w:val="en-GB"/>
        </w:rPr>
        <w:t>Hendrix v Raad van Bestuur van het Uitvoeringsinstituut Werknemersverzekeringen</w:t>
      </w:r>
      <w:r w:rsidRPr="006E25B0">
        <w:rPr>
          <w:rFonts w:ascii="Times New Roman" w:hAnsi="Times New Roman" w:cs="Times New Roman"/>
          <w:lang w:val="en-GB"/>
        </w:rPr>
        <w:t xml:space="preserve"> ECLI:EU:C:2007:494.</w:t>
      </w:r>
    </w:p>
    <w:p w14:paraId="373F5F20"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C-388/09 </w:t>
      </w:r>
      <w:r w:rsidRPr="006E25B0">
        <w:rPr>
          <w:rFonts w:ascii="Times New Roman" w:hAnsi="Times New Roman" w:cs="Times New Roman"/>
          <w:i/>
          <w:lang w:val="en-GB"/>
        </w:rPr>
        <w:t>da Silva Martins v Bank Betriebskrankenkasse - Pflegekasse</w:t>
      </w:r>
      <w:r w:rsidRPr="006E25B0">
        <w:rPr>
          <w:rFonts w:ascii="Times New Roman" w:hAnsi="Times New Roman" w:cs="Times New Roman"/>
          <w:lang w:val="en-GB"/>
        </w:rPr>
        <w:t xml:space="preserve"> ECLI:EU:C:2011:439.</w:t>
      </w:r>
    </w:p>
    <w:p w14:paraId="153114C3"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C-503/09 </w:t>
      </w:r>
      <w:r w:rsidRPr="006E25B0">
        <w:rPr>
          <w:rFonts w:ascii="Times New Roman" w:hAnsi="Times New Roman" w:cs="Times New Roman"/>
          <w:i/>
          <w:lang w:val="en-GB"/>
        </w:rPr>
        <w:t>Stewart v Secretary of State for Work and Pensions</w:t>
      </w:r>
      <w:r w:rsidRPr="006E25B0">
        <w:rPr>
          <w:rFonts w:ascii="Times New Roman" w:hAnsi="Times New Roman" w:cs="Times New Roman"/>
          <w:lang w:val="en-GB"/>
        </w:rPr>
        <w:t xml:space="preserve"> ECLI:EU:C:2011:500.</w:t>
      </w:r>
    </w:p>
    <w:p w14:paraId="16F630EB" w14:textId="53F7B4B4" w:rsidR="000A634D" w:rsidRPr="006E25B0" w:rsidRDefault="007E5862"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Joined </w:t>
      </w:r>
      <w:r w:rsidR="000A634D" w:rsidRPr="006E25B0">
        <w:rPr>
          <w:rFonts w:ascii="Times New Roman" w:hAnsi="Times New Roman" w:cs="Times New Roman"/>
          <w:lang w:val="en-GB"/>
        </w:rPr>
        <w:t>Case</w:t>
      </w:r>
      <w:r w:rsidRPr="006E25B0">
        <w:rPr>
          <w:rFonts w:ascii="Times New Roman" w:hAnsi="Times New Roman" w:cs="Times New Roman"/>
          <w:lang w:val="en-GB"/>
        </w:rPr>
        <w:t>s</w:t>
      </w:r>
      <w:r w:rsidR="000A634D" w:rsidRPr="006E25B0">
        <w:rPr>
          <w:rFonts w:ascii="Times New Roman" w:hAnsi="Times New Roman" w:cs="Times New Roman"/>
          <w:lang w:val="en-GB"/>
        </w:rPr>
        <w:t xml:space="preserve"> C-611/10 and C-612/10 </w:t>
      </w:r>
      <w:r w:rsidR="000A634D" w:rsidRPr="006E25B0">
        <w:rPr>
          <w:rFonts w:ascii="Times New Roman" w:hAnsi="Times New Roman" w:cs="Times New Roman"/>
          <w:i/>
          <w:lang w:val="en-GB"/>
        </w:rPr>
        <w:t>Hudziński v Agentur für Arbeit Wesel - Familienkasse and Wawrzyniak v Agentur für Arbeit Mönchengladbach - Familienkasse</w:t>
      </w:r>
      <w:r w:rsidR="000A634D" w:rsidRPr="006E25B0">
        <w:rPr>
          <w:rFonts w:ascii="Times New Roman" w:hAnsi="Times New Roman" w:cs="Times New Roman"/>
          <w:lang w:val="en-GB"/>
        </w:rPr>
        <w:t xml:space="preserve"> ECLI:EU:C:2012:339.</w:t>
      </w:r>
    </w:p>
    <w:p w14:paraId="326E9899"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C-20/12 </w:t>
      </w:r>
      <w:r w:rsidRPr="006E25B0">
        <w:rPr>
          <w:rFonts w:ascii="Times New Roman" w:hAnsi="Times New Roman" w:cs="Times New Roman"/>
          <w:i/>
          <w:lang w:val="en-GB"/>
        </w:rPr>
        <w:t>Giersch v État du Grand-Duché de Luxembourg</w:t>
      </w:r>
      <w:r w:rsidRPr="006E25B0">
        <w:rPr>
          <w:rFonts w:ascii="Times New Roman" w:hAnsi="Times New Roman" w:cs="Times New Roman"/>
          <w:lang w:val="en-GB"/>
        </w:rPr>
        <w:t xml:space="preserve"> ECLI:EU:C:2013:411.</w:t>
      </w:r>
    </w:p>
    <w:p w14:paraId="57E0F6E1" w14:textId="7DACA7E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C-140/12 </w:t>
      </w:r>
      <w:r w:rsidRPr="006E25B0">
        <w:rPr>
          <w:rFonts w:ascii="Times New Roman" w:hAnsi="Times New Roman" w:cs="Times New Roman"/>
          <w:i/>
          <w:lang w:val="en-GB"/>
        </w:rPr>
        <w:t>Pensionsversicherungsanstalt v Brey</w:t>
      </w:r>
      <w:r w:rsidRPr="006E25B0">
        <w:rPr>
          <w:rFonts w:ascii="Times New Roman" w:hAnsi="Times New Roman" w:cs="Times New Roman"/>
          <w:lang w:val="en-GB"/>
        </w:rPr>
        <w:t xml:space="preserve"> ECLI:EU:C:2013:565.</w:t>
      </w:r>
    </w:p>
    <w:p w14:paraId="63B2479F" w14:textId="094B6C3D" w:rsidR="00E377FF" w:rsidRPr="006E25B0" w:rsidRDefault="00E377FF"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Joined Cases C-216/12 and C-217/12 </w:t>
      </w:r>
      <w:r w:rsidRPr="006E25B0">
        <w:rPr>
          <w:rFonts w:ascii="Times New Roman" w:hAnsi="Times New Roman" w:cs="Times New Roman"/>
          <w:i/>
          <w:lang w:val="en-GB"/>
        </w:rPr>
        <w:t>Caisse nationale des prestations familiales v Hliddal and Bornand</w:t>
      </w:r>
      <w:r w:rsidRPr="006E25B0">
        <w:rPr>
          <w:rFonts w:ascii="Times New Roman" w:hAnsi="Times New Roman" w:cs="Times New Roman"/>
          <w:lang w:val="en-GB"/>
        </w:rPr>
        <w:t xml:space="preserve"> ECLI:EU:C:2013:568.</w:t>
      </w:r>
    </w:p>
    <w:p w14:paraId="6C6BF2A6"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C-333/13 </w:t>
      </w:r>
      <w:r w:rsidRPr="006E25B0">
        <w:rPr>
          <w:rFonts w:ascii="Times New Roman" w:hAnsi="Times New Roman" w:cs="Times New Roman"/>
          <w:i/>
          <w:lang w:val="en-GB"/>
        </w:rPr>
        <w:t>Dano v Jobcenter Leipzig</w:t>
      </w:r>
      <w:r w:rsidRPr="006E25B0">
        <w:rPr>
          <w:rFonts w:ascii="Times New Roman" w:hAnsi="Times New Roman" w:cs="Times New Roman"/>
          <w:lang w:val="en-GB"/>
        </w:rPr>
        <w:t xml:space="preserve"> ECLI:EU:C:2014:2358.</w:t>
      </w:r>
    </w:p>
    <w:p w14:paraId="0448AD24"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C-382/13 </w:t>
      </w:r>
      <w:r w:rsidRPr="006E25B0">
        <w:rPr>
          <w:rFonts w:ascii="Times New Roman" w:hAnsi="Times New Roman" w:cs="Times New Roman"/>
          <w:i/>
          <w:lang w:val="en-GB"/>
        </w:rPr>
        <w:t>Franzen v Raad van bestuur van de Sociale verzekeringsbank</w:t>
      </w:r>
      <w:r w:rsidRPr="006E25B0">
        <w:rPr>
          <w:rFonts w:ascii="Times New Roman" w:hAnsi="Times New Roman" w:cs="Times New Roman"/>
          <w:lang w:val="en-GB"/>
        </w:rPr>
        <w:t xml:space="preserve"> ECLI:EU:C:2015:261.</w:t>
      </w:r>
    </w:p>
    <w:p w14:paraId="7326E1AB"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C-361/13 </w:t>
      </w:r>
      <w:r w:rsidRPr="006E25B0">
        <w:rPr>
          <w:rFonts w:ascii="Times New Roman" w:hAnsi="Times New Roman" w:cs="Times New Roman"/>
          <w:i/>
          <w:lang w:val="en-GB"/>
        </w:rPr>
        <w:t>Commission v Slovakia (Christmas bonus)</w:t>
      </w:r>
      <w:r w:rsidRPr="006E25B0">
        <w:rPr>
          <w:rFonts w:ascii="Times New Roman" w:hAnsi="Times New Roman" w:cs="Times New Roman"/>
          <w:lang w:val="en-GB"/>
        </w:rPr>
        <w:t xml:space="preserve"> ECLI:EU:C:2015:601.</w:t>
      </w:r>
    </w:p>
    <w:p w14:paraId="35AC41AD"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C-308/14 </w:t>
      </w:r>
      <w:r w:rsidRPr="006E25B0">
        <w:rPr>
          <w:rFonts w:ascii="Times New Roman" w:hAnsi="Times New Roman" w:cs="Times New Roman"/>
          <w:i/>
          <w:lang w:val="en-GB"/>
        </w:rPr>
        <w:t>Commission v United Kingdom (child benefit)</w:t>
      </w:r>
      <w:r w:rsidRPr="006E25B0">
        <w:rPr>
          <w:rFonts w:ascii="Times New Roman" w:hAnsi="Times New Roman" w:cs="Times New Roman"/>
          <w:lang w:val="en-GB"/>
        </w:rPr>
        <w:t xml:space="preserve"> ECLI:EU:C:2016:436.</w:t>
      </w:r>
    </w:p>
    <w:p w14:paraId="07843822" w14:textId="4D27D14C"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C‑359/16 </w:t>
      </w:r>
      <w:r w:rsidRPr="006E25B0">
        <w:rPr>
          <w:rFonts w:ascii="Times New Roman" w:hAnsi="Times New Roman" w:cs="Times New Roman"/>
          <w:i/>
          <w:lang w:val="en-GB"/>
        </w:rPr>
        <w:t>Criminal proceedings against Altun</w:t>
      </w:r>
      <w:r w:rsidRPr="006E25B0">
        <w:rPr>
          <w:rFonts w:ascii="Times New Roman" w:hAnsi="Times New Roman" w:cs="Times New Roman"/>
          <w:lang w:val="en-GB"/>
        </w:rPr>
        <w:t xml:space="preserve"> ECLI:EU:C:2018:63.</w:t>
      </w:r>
    </w:p>
    <w:p w14:paraId="0B952E93" w14:textId="66DAFD36" w:rsidR="00E377FF" w:rsidRPr="006E25B0" w:rsidRDefault="00E377FF"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C‑679/16 </w:t>
      </w:r>
      <w:r w:rsidRPr="006E25B0">
        <w:rPr>
          <w:rFonts w:ascii="Times New Roman" w:hAnsi="Times New Roman" w:cs="Times New Roman"/>
          <w:i/>
          <w:lang w:val="en-GB"/>
        </w:rPr>
        <w:t>A</w:t>
      </w:r>
      <w:r w:rsidRPr="006E25B0">
        <w:rPr>
          <w:rFonts w:ascii="Times New Roman" w:hAnsi="Times New Roman" w:cs="Times New Roman"/>
          <w:lang w:val="en-GB"/>
        </w:rPr>
        <w:t xml:space="preserve"> ECLI:EU:C:2018:601.</w:t>
      </w:r>
    </w:p>
    <w:p w14:paraId="603B15B4"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C-631/17 </w:t>
      </w:r>
      <w:r w:rsidRPr="006E25B0">
        <w:rPr>
          <w:rFonts w:ascii="Times New Roman" w:hAnsi="Times New Roman" w:cs="Times New Roman"/>
          <w:i/>
          <w:lang w:val="en-GB"/>
        </w:rPr>
        <w:t>SF v Inspecteur van de Belastingdienst</w:t>
      </w:r>
      <w:r w:rsidRPr="006E25B0">
        <w:rPr>
          <w:rFonts w:ascii="Times New Roman" w:hAnsi="Times New Roman" w:cs="Times New Roman"/>
          <w:lang w:val="en-GB"/>
        </w:rPr>
        <w:t xml:space="preserve"> ECLI:EU:C:2019:381.</w:t>
      </w:r>
    </w:p>
    <w:p w14:paraId="55BC8D1B" w14:textId="1D27618A" w:rsidR="000A634D" w:rsidRPr="006E25B0" w:rsidRDefault="007E5862"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Joined </w:t>
      </w:r>
      <w:r w:rsidR="000A634D" w:rsidRPr="006E25B0">
        <w:rPr>
          <w:rFonts w:ascii="Times New Roman" w:hAnsi="Times New Roman" w:cs="Times New Roman"/>
          <w:lang w:val="en-GB"/>
        </w:rPr>
        <w:t>Case</w:t>
      </w:r>
      <w:r w:rsidRPr="006E25B0">
        <w:rPr>
          <w:rFonts w:ascii="Times New Roman" w:hAnsi="Times New Roman" w:cs="Times New Roman"/>
          <w:lang w:val="en-GB"/>
        </w:rPr>
        <w:t>s</w:t>
      </w:r>
      <w:r w:rsidRPr="006E25B0" w:rsidDel="007E5862">
        <w:rPr>
          <w:rFonts w:ascii="Times New Roman" w:hAnsi="Times New Roman" w:cs="Times New Roman"/>
          <w:lang w:val="en-GB"/>
        </w:rPr>
        <w:t xml:space="preserve"> </w:t>
      </w:r>
      <w:r w:rsidR="000A634D" w:rsidRPr="006E25B0">
        <w:rPr>
          <w:rFonts w:ascii="Times New Roman" w:hAnsi="Times New Roman" w:cs="Times New Roman"/>
          <w:lang w:val="en-GB"/>
        </w:rPr>
        <w:t xml:space="preserve">C-95/18 and C-96/18 </w:t>
      </w:r>
      <w:r w:rsidR="000A634D" w:rsidRPr="006E25B0">
        <w:rPr>
          <w:rFonts w:ascii="Times New Roman" w:hAnsi="Times New Roman" w:cs="Times New Roman"/>
          <w:i/>
          <w:lang w:val="en-GB"/>
        </w:rPr>
        <w:t>Sociale Verzekeringsbank v van den Berg and Others</w:t>
      </w:r>
      <w:r w:rsidR="000A634D" w:rsidRPr="006E25B0">
        <w:rPr>
          <w:rFonts w:ascii="Times New Roman" w:hAnsi="Times New Roman" w:cs="Times New Roman"/>
          <w:lang w:val="en-GB"/>
        </w:rPr>
        <w:t xml:space="preserve"> ECLI:EU:C:2019:767.</w:t>
      </w:r>
    </w:p>
    <w:p w14:paraId="2AF1B1E6"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C-181/19 </w:t>
      </w:r>
      <w:r w:rsidRPr="006E25B0">
        <w:rPr>
          <w:rFonts w:ascii="Times New Roman" w:hAnsi="Times New Roman" w:cs="Times New Roman"/>
          <w:i/>
          <w:lang w:val="en-GB"/>
        </w:rPr>
        <w:t>Jobcenter Krefeld - Widerspruchsstelle v JD</w:t>
      </w:r>
      <w:r w:rsidRPr="006E25B0">
        <w:rPr>
          <w:rFonts w:ascii="Times New Roman" w:hAnsi="Times New Roman" w:cs="Times New Roman"/>
          <w:lang w:val="en-GB"/>
        </w:rPr>
        <w:t xml:space="preserve"> ECLI:EU:C:2020:794.</w:t>
      </w:r>
    </w:p>
    <w:p w14:paraId="376A3E60" w14:textId="7135E758"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C-535/19 </w:t>
      </w:r>
      <w:r w:rsidRPr="006E25B0">
        <w:rPr>
          <w:rFonts w:ascii="Times New Roman" w:hAnsi="Times New Roman" w:cs="Times New Roman"/>
          <w:i/>
          <w:lang w:val="en-GB"/>
        </w:rPr>
        <w:t>A v Latvijas Republikas Veselības ministrija</w:t>
      </w:r>
      <w:r w:rsidRPr="006E25B0">
        <w:rPr>
          <w:rFonts w:ascii="Times New Roman" w:hAnsi="Times New Roman" w:cs="Times New Roman"/>
          <w:lang w:val="en-GB"/>
        </w:rPr>
        <w:t xml:space="preserve"> ECLI:EU:C:2021:595.</w:t>
      </w:r>
    </w:p>
    <w:p w14:paraId="3BF90644" w14:textId="16B61B39" w:rsidR="00504419" w:rsidRPr="006E25B0" w:rsidRDefault="00504419"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C-709/20 </w:t>
      </w:r>
      <w:r w:rsidRPr="006E25B0">
        <w:rPr>
          <w:rFonts w:ascii="Times New Roman" w:hAnsi="Times New Roman" w:cs="Times New Roman"/>
          <w:i/>
          <w:lang w:val="en-GB"/>
        </w:rPr>
        <w:t>CG v The Department for Communities in Northern Ireland</w:t>
      </w:r>
      <w:r w:rsidRPr="006E25B0">
        <w:rPr>
          <w:rFonts w:ascii="Times New Roman" w:hAnsi="Times New Roman" w:cs="Times New Roman"/>
          <w:lang w:val="en-GB"/>
        </w:rPr>
        <w:t xml:space="preserve"> ECLI:EU:C:2021:602.</w:t>
      </w:r>
    </w:p>
    <w:p w14:paraId="01E7A891" w14:textId="77777777"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C-328/20 </w:t>
      </w:r>
      <w:r w:rsidRPr="006E25B0">
        <w:rPr>
          <w:rFonts w:ascii="Times New Roman" w:hAnsi="Times New Roman" w:cs="Times New Roman"/>
          <w:i/>
          <w:lang w:val="en-GB"/>
        </w:rPr>
        <w:t>Commission v Austria (indexation)</w:t>
      </w:r>
      <w:r w:rsidRPr="006E25B0">
        <w:rPr>
          <w:rFonts w:ascii="Times New Roman" w:hAnsi="Times New Roman" w:cs="Times New Roman"/>
          <w:lang w:val="en-GB"/>
        </w:rPr>
        <w:t xml:space="preserve"> ECLI:EU:C:2022:468.</w:t>
      </w:r>
    </w:p>
    <w:p w14:paraId="2F3A854A" w14:textId="1B6F5300" w:rsidR="000A634D" w:rsidRPr="006E25B0" w:rsidRDefault="000A634D" w:rsidP="00D95347">
      <w:pPr>
        <w:pStyle w:val="EndNoteBibliography"/>
        <w:spacing w:after="0" w:line="276" w:lineRule="auto"/>
        <w:rPr>
          <w:rFonts w:ascii="Times New Roman" w:hAnsi="Times New Roman" w:cs="Times New Roman"/>
          <w:lang w:val="en-GB"/>
        </w:rPr>
      </w:pPr>
      <w:r w:rsidRPr="006E25B0">
        <w:rPr>
          <w:rFonts w:ascii="Times New Roman" w:hAnsi="Times New Roman" w:cs="Times New Roman"/>
          <w:lang w:val="en-GB"/>
        </w:rPr>
        <w:t xml:space="preserve">Case C-411/20 </w:t>
      </w:r>
      <w:r w:rsidRPr="006E25B0">
        <w:rPr>
          <w:rFonts w:ascii="Times New Roman" w:hAnsi="Times New Roman" w:cs="Times New Roman"/>
          <w:i/>
          <w:lang w:val="en-GB"/>
        </w:rPr>
        <w:t>S v Familienkasse Niedersachsen-Bremen</w:t>
      </w:r>
      <w:r w:rsidRPr="006E25B0">
        <w:rPr>
          <w:rFonts w:ascii="Times New Roman" w:hAnsi="Times New Roman" w:cs="Times New Roman"/>
          <w:lang w:val="en-GB"/>
        </w:rPr>
        <w:t xml:space="preserve"> ECLI:EU:C:2022:602.</w:t>
      </w:r>
    </w:p>
    <w:p w14:paraId="5BA520F9" w14:textId="516D1B66" w:rsidR="00C729A2" w:rsidRPr="006E25B0" w:rsidRDefault="00000000" w:rsidP="00D95347">
      <w:pPr>
        <w:pStyle w:val="Heading1"/>
        <w:rPr>
          <w:rFonts w:ascii="Times New Roman" w:hAnsi="Times New Roman" w:cs="Times New Roman"/>
          <w:noProof/>
          <w:color w:val="auto"/>
        </w:rPr>
      </w:pPr>
      <w:r w:rsidRPr="006E25B0">
        <w:rPr>
          <w:rFonts w:ascii="Times New Roman" w:hAnsi="Times New Roman" w:cs="Times New Roman"/>
          <w:noProof/>
          <w:color w:val="auto"/>
        </w:rPr>
        <w:fldChar w:fldCharType="begin"/>
      </w:r>
      <w:r w:rsidRPr="006E25B0">
        <w:rPr>
          <w:rFonts w:ascii="Times New Roman" w:hAnsi="Times New Roman" w:cs="Times New Roman"/>
          <w:noProof/>
          <w:color w:val="auto"/>
        </w:rPr>
        <w:instrText xml:space="preserve"> ADDIN EN.REFLIST </w:instrText>
      </w:r>
      <w:r w:rsidRPr="006E25B0">
        <w:rPr>
          <w:rFonts w:ascii="Times New Roman" w:hAnsi="Times New Roman" w:cs="Times New Roman"/>
          <w:noProof/>
          <w:color w:val="auto"/>
        </w:rPr>
        <w:fldChar w:fldCharType="separate"/>
      </w:r>
      <w:r w:rsidRPr="006E25B0">
        <w:rPr>
          <w:rFonts w:ascii="Times New Roman" w:hAnsi="Times New Roman" w:cs="Times New Roman"/>
          <w:noProof/>
          <w:color w:val="auto"/>
        </w:rPr>
        <w:fldChar w:fldCharType="end"/>
      </w:r>
      <w:r w:rsidR="009D6964" w:rsidRPr="006E25B0">
        <w:rPr>
          <w:rFonts w:ascii="Times New Roman" w:hAnsi="Times New Roman" w:cs="Times New Roman"/>
          <w:noProof/>
          <w:color w:val="auto"/>
        </w:rPr>
        <w:t>Select Documents</w:t>
      </w:r>
    </w:p>
    <w:p w14:paraId="711D4B9D" w14:textId="18E160CC" w:rsidR="004253F1" w:rsidRPr="006E25B0" w:rsidRDefault="004F6FDC"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Règlement n° 3 concernant la sécurité sociale des travailleurs migrants</w:t>
      </w:r>
      <w:r w:rsidR="004253F1" w:rsidRPr="006E25B0">
        <w:rPr>
          <w:rFonts w:ascii="Times New Roman" w:hAnsi="Times New Roman" w:cs="Times New Roman"/>
          <w:noProof/>
          <w:sz w:val="20"/>
          <w:szCs w:val="20"/>
        </w:rPr>
        <w:t xml:space="preserve"> (</w:t>
      </w:r>
      <w:r w:rsidR="00935C5C" w:rsidRPr="006E25B0">
        <w:rPr>
          <w:rFonts w:ascii="Times New Roman" w:hAnsi="Times New Roman" w:cs="Times New Roman"/>
          <w:noProof/>
          <w:sz w:val="20"/>
          <w:szCs w:val="20"/>
        </w:rPr>
        <w:t>25 September 1958</w:t>
      </w:r>
      <w:r w:rsidR="004253F1" w:rsidRPr="006E25B0">
        <w:rPr>
          <w:rFonts w:ascii="Times New Roman" w:hAnsi="Times New Roman" w:cs="Times New Roman"/>
          <w:noProof/>
          <w:sz w:val="20"/>
          <w:szCs w:val="20"/>
        </w:rPr>
        <w:t>) [1958]</w:t>
      </w:r>
      <w:r w:rsidR="00F27F74" w:rsidRPr="006E25B0">
        <w:rPr>
          <w:rFonts w:ascii="Times New Roman" w:hAnsi="Times New Roman" w:cs="Times New Roman"/>
          <w:noProof/>
          <w:sz w:val="20"/>
          <w:szCs w:val="20"/>
        </w:rPr>
        <w:t xml:space="preserve"> </w:t>
      </w:r>
      <w:r w:rsidRPr="006E25B0">
        <w:rPr>
          <w:rFonts w:ascii="Times New Roman" w:hAnsi="Times New Roman" w:cs="Times New Roman"/>
          <w:noProof/>
          <w:sz w:val="20"/>
          <w:szCs w:val="20"/>
        </w:rPr>
        <w:t>OJ 30</w:t>
      </w:r>
      <w:r w:rsidR="00F27F74" w:rsidRPr="006E25B0">
        <w:rPr>
          <w:rFonts w:ascii="Times New Roman" w:hAnsi="Times New Roman" w:cs="Times New Roman"/>
          <w:noProof/>
          <w:sz w:val="20"/>
          <w:szCs w:val="20"/>
        </w:rPr>
        <w:t>/</w:t>
      </w:r>
      <w:r w:rsidRPr="006E25B0">
        <w:rPr>
          <w:rFonts w:ascii="Times New Roman" w:hAnsi="Times New Roman" w:cs="Times New Roman"/>
          <w:noProof/>
          <w:sz w:val="20"/>
          <w:szCs w:val="20"/>
        </w:rPr>
        <w:t>561–596</w:t>
      </w:r>
      <w:r w:rsidR="000E69E4" w:rsidRPr="006E25B0">
        <w:rPr>
          <w:rFonts w:ascii="Times New Roman" w:hAnsi="Times New Roman" w:cs="Times New Roman"/>
          <w:noProof/>
          <w:sz w:val="20"/>
          <w:szCs w:val="20"/>
        </w:rPr>
        <w:t>.</w:t>
      </w:r>
    </w:p>
    <w:p w14:paraId="06CD2174" w14:textId="2B71B40E" w:rsidR="004253F1" w:rsidRPr="006E25B0" w:rsidRDefault="004253F1"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Règlement n° 4 fixant les modalités d'application et complétant les dispositions du règlement n° 3 concernant la sécurité sociale des travailleurs migrants (</w:t>
      </w:r>
      <w:r w:rsidR="00935C5C" w:rsidRPr="006E25B0">
        <w:rPr>
          <w:rFonts w:ascii="Times New Roman" w:hAnsi="Times New Roman" w:cs="Times New Roman"/>
          <w:noProof/>
          <w:sz w:val="20"/>
          <w:szCs w:val="20"/>
        </w:rPr>
        <w:t>3 December 1958</w:t>
      </w:r>
      <w:r w:rsidRPr="006E25B0">
        <w:rPr>
          <w:rFonts w:ascii="Times New Roman" w:hAnsi="Times New Roman" w:cs="Times New Roman"/>
          <w:noProof/>
          <w:sz w:val="20"/>
          <w:szCs w:val="20"/>
        </w:rPr>
        <w:t>) [1958] OJ 30/597–664</w:t>
      </w:r>
      <w:r w:rsidR="000E69E4" w:rsidRPr="006E25B0">
        <w:rPr>
          <w:rFonts w:ascii="Times New Roman" w:hAnsi="Times New Roman" w:cs="Times New Roman"/>
          <w:noProof/>
          <w:sz w:val="20"/>
          <w:szCs w:val="20"/>
        </w:rPr>
        <w:t>.</w:t>
      </w:r>
    </w:p>
    <w:p w14:paraId="02C469EC" w14:textId="4EF892D2" w:rsidR="00F27F74" w:rsidRPr="006E25B0" w:rsidRDefault="008D555D"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Regulation (EEC) No 1408/71 of the Council on the application of social security schemes to employed persons and their families moving within the Community</w:t>
      </w:r>
      <w:r w:rsidR="00F27F74" w:rsidRPr="006E25B0">
        <w:rPr>
          <w:rFonts w:ascii="Times New Roman" w:hAnsi="Times New Roman" w:cs="Times New Roman"/>
          <w:noProof/>
          <w:sz w:val="20"/>
          <w:szCs w:val="20"/>
        </w:rPr>
        <w:t xml:space="preserve"> (14 June 1971) [1971] OJ English special edition: Series I Volume 1971(II)</w:t>
      </w:r>
      <w:r w:rsidR="00C90E45" w:rsidRPr="006E25B0">
        <w:rPr>
          <w:rFonts w:ascii="Times New Roman" w:hAnsi="Times New Roman" w:cs="Times New Roman"/>
          <w:noProof/>
          <w:sz w:val="20"/>
          <w:szCs w:val="20"/>
        </w:rPr>
        <w:t>/</w:t>
      </w:r>
      <w:r w:rsidR="00F27F74" w:rsidRPr="006E25B0">
        <w:rPr>
          <w:rFonts w:ascii="Times New Roman" w:hAnsi="Times New Roman" w:cs="Times New Roman"/>
          <w:noProof/>
          <w:sz w:val="20"/>
          <w:szCs w:val="20"/>
        </w:rPr>
        <w:t>416</w:t>
      </w:r>
      <w:r w:rsidR="00EF1995" w:rsidRPr="006E25B0">
        <w:rPr>
          <w:rFonts w:ascii="Times New Roman" w:hAnsi="Times New Roman" w:cs="Times New Roman"/>
          <w:noProof/>
          <w:sz w:val="20"/>
          <w:szCs w:val="20"/>
        </w:rPr>
        <w:t>–</w:t>
      </w:r>
      <w:r w:rsidR="00F27F74" w:rsidRPr="006E25B0">
        <w:rPr>
          <w:rFonts w:ascii="Times New Roman" w:hAnsi="Times New Roman" w:cs="Times New Roman"/>
          <w:noProof/>
          <w:sz w:val="20"/>
          <w:szCs w:val="20"/>
        </w:rPr>
        <w:t>463</w:t>
      </w:r>
      <w:r w:rsidR="000E69E4" w:rsidRPr="006E25B0">
        <w:rPr>
          <w:rFonts w:ascii="Times New Roman" w:hAnsi="Times New Roman" w:cs="Times New Roman"/>
          <w:noProof/>
          <w:sz w:val="20"/>
          <w:szCs w:val="20"/>
        </w:rPr>
        <w:t>.</w:t>
      </w:r>
    </w:p>
    <w:p w14:paraId="05B23BDB" w14:textId="17DAE502" w:rsidR="008D555D" w:rsidRPr="006E25B0" w:rsidRDefault="008D555D"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Regulation (EEC) No 574/72 of the Council fixing the procedure for implementing Regulation (EEC) No 1408/71 on the application of social security schemes to employed persons and their families moving within the Community</w:t>
      </w:r>
      <w:r w:rsidR="00EF1995" w:rsidRPr="006E25B0">
        <w:rPr>
          <w:rFonts w:ascii="Times New Roman" w:hAnsi="Times New Roman" w:cs="Times New Roman"/>
          <w:noProof/>
          <w:sz w:val="20"/>
          <w:szCs w:val="20"/>
        </w:rPr>
        <w:t xml:space="preserve"> (21 March 1972) </w:t>
      </w:r>
      <w:r w:rsidR="007B4429" w:rsidRPr="006E25B0">
        <w:rPr>
          <w:rFonts w:ascii="Times New Roman" w:hAnsi="Times New Roman" w:cs="Times New Roman"/>
          <w:noProof/>
          <w:sz w:val="20"/>
          <w:szCs w:val="20"/>
        </w:rPr>
        <w:t>[</w:t>
      </w:r>
      <w:r w:rsidR="00EF1995" w:rsidRPr="006E25B0">
        <w:rPr>
          <w:rFonts w:ascii="Times New Roman" w:hAnsi="Times New Roman" w:cs="Times New Roman"/>
          <w:noProof/>
          <w:sz w:val="20"/>
          <w:szCs w:val="20"/>
        </w:rPr>
        <w:t>1972</w:t>
      </w:r>
      <w:r w:rsidR="007B4429" w:rsidRPr="006E25B0">
        <w:rPr>
          <w:rFonts w:ascii="Times New Roman" w:hAnsi="Times New Roman" w:cs="Times New Roman"/>
          <w:noProof/>
          <w:sz w:val="20"/>
          <w:szCs w:val="20"/>
        </w:rPr>
        <w:t>]</w:t>
      </w:r>
      <w:r w:rsidR="00EF1995" w:rsidRPr="006E25B0">
        <w:rPr>
          <w:rFonts w:ascii="Times New Roman" w:hAnsi="Times New Roman" w:cs="Times New Roman"/>
          <w:noProof/>
          <w:sz w:val="20"/>
          <w:szCs w:val="20"/>
        </w:rPr>
        <w:t xml:space="preserve"> </w:t>
      </w:r>
      <w:r w:rsidRPr="006E25B0">
        <w:rPr>
          <w:rFonts w:ascii="Times New Roman" w:hAnsi="Times New Roman" w:cs="Times New Roman"/>
          <w:noProof/>
          <w:sz w:val="20"/>
          <w:szCs w:val="20"/>
        </w:rPr>
        <w:t>OJ English special edition: Series I Volume 1972(I)</w:t>
      </w:r>
      <w:r w:rsidR="00C90E45" w:rsidRPr="006E25B0">
        <w:rPr>
          <w:rFonts w:ascii="Times New Roman" w:hAnsi="Times New Roman" w:cs="Times New Roman"/>
          <w:noProof/>
          <w:sz w:val="20"/>
          <w:szCs w:val="20"/>
        </w:rPr>
        <w:t>/</w:t>
      </w:r>
      <w:r w:rsidRPr="006E25B0">
        <w:rPr>
          <w:rFonts w:ascii="Times New Roman" w:hAnsi="Times New Roman" w:cs="Times New Roman"/>
          <w:noProof/>
          <w:sz w:val="20"/>
          <w:szCs w:val="20"/>
        </w:rPr>
        <w:t>160–233</w:t>
      </w:r>
      <w:r w:rsidR="000E69E4" w:rsidRPr="006E25B0">
        <w:rPr>
          <w:rFonts w:ascii="Times New Roman" w:hAnsi="Times New Roman" w:cs="Times New Roman"/>
          <w:noProof/>
          <w:sz w:val="20"/>
          <w:szCs w:val="20"/>
        </w:rPr>
        <w:t>.</w:t>
      </w:r>
    </w:p>
    <w:p w14:paraId="20BA513E" w14:textId="77777777" w:rsidR="009A56EE" w:rsidRPr="006E25B0" w:rsidRDefault="009A56EE"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Commission, Proposal for a European Parliament and Council Directive on the right of citizens of the Union and their family members to move and reside freely within the territory of the Member States (23 May 2001) [2001] COM(2001)257 final/2.</w:t>
      </w:r>
    </w:p>
    <w:p w14:paraId="2375A144" w14:textId="3AD74308" w:rsidR="00706AB4" w:rsidRPr="006E25B0" w:rsidRDefault="00706AB4"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Directive 2004/38/EC of the European Parliament and of the Council on the right of citizens of the Union and their family members to move and reside freely within the territory of the Member States amending Regulation (EEC) No 1612/68 and repealing Directives 64/221/EEC, 68/360/EEC, 72/194/EEC, 73/148/EEC, 75/34/EEC, 75/35/EEC, 90/364/EEC, 90/365/EEC and 93/96/EEC (29 April 2004) [2004] OJ L 158/77–123</w:t>
      </w:r>
      <w:r w:rsidR="000E69E4" w:rsidRPr="006E25B0">
        <w:rPr>
          <w:rFonts w:ascii="Times New Roman" w:hAnsi="Times New Roman" w:cs="Times New Roman"/>
          <w:noProof/>
          <w:sz w:val="20"/>
          <w:szCs w:val="20"/>
        </w:rPr>
        <w:t>.</w:t>
      </w:r>
    </w:p>
    <w:p w14:paraId="446594DA" w14:textId="3C207AED" w:rsidR="0080421F" w:rsidRPr="006E25B0" w:rsidRDefault="0080421F"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Regulation (EC) No 883/2004 of the European Parliament and of the Council on the coordination of social security systems (29 April 2004) [2004] OJ L 166/1–123</w:t>
      </w:r>
      <w:r w:rsidR="000E69E4" w:rsidRPr="006E25B0">
        <w:rPr>
          <w:rFonts w:ascii="Times New Roman" w:hAnsi="Times New Roman" w:cs="Times New Roman"/>
          <w:noProof/>
          <w:sz w:val="20"/>
          <w:szCs w:val="20"/>
        </w:rPr>
        <w:t>.</w:t>
      </w:r>
    </w:p>
    <w:p w14:paraId="5D5073CD" w14:textId="405D182F" w:rsidR="009631B7" w:rsidRPr="006E25B0" w:rsidRDefault="009631B7"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Regulation (EC) No 593/2008 of the European Parliament and of the Council on the law applicable to contractual obligations (Rome I) (17 June 2008) [2008] OJ L 177/6–16</w:t>
      </w:r>
      <w:r w:rsidR="000E69E4" w:rsidRPr="006E25B0">
        <w:rPr>
          <w:rFonts w:ascii="Times New Roman" w:hAnsi="Times New Roman" w:cs="Times New Roman"/>
          <w:noProof/>
          <w:sz w:val="20"/>
          <w:szCs w:val="20"/>
        </w:rPr>
        <w:t>.</w:t>
      </w:r>
    </w:p>
    <w:p w14:paraId="75752488" w14:textId="175348EC" w:rsidR="00EE34FB" w:rsidRPr="006E25B0" w:rsidRDefault="00296DB9"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Regulation (EC) No 987/2009 of the European Parliament and of the Council laying down the procedure for implementing Regulation (EC) No 883/2004 on the coordination of social security systems (16 September 2009) [2009] OJ L 284/1–42</w:t>
      </w:r>
      <w:r w:rsidR="000E69E4" w:rsidRPr="006E25B0">
        <w:rPr>
          <w:rFonts w:ascii="Times New Roman" w:hAnsi="Times New Roman" w:cs="Times New Roman"/>
          <w:noProof/>
          <w:sz w:val="20"/>
          <w:szCs w:val="20"/>
        </w:rPr>
        <w:t>.</w:t>
      </w:r>
    </w:p>
    <w:p w14:paraId="004E5EBA" w14:textId="5D0C5422" w:rsidR="001A73D9" w:rsidRPr="006E25B0" w:rsidRDefault="001A73D9"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Directive 2011/24/EU of the European Parliament and of the Council on the application of patients’ rights in cross-border healthcare (9 March 2011) [2011] OJ L 88/45–65.</w:t>
      </w:r>
    </w:p>
    <w:p w14:paraId="3ED55372" w14:textId="1A7E74AA" w:rsidR="0021654C" w:rsidRPr="006E25B0" w:rsidRDefault="0021654C"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Regulation (EU) No 492/2011 of the European Parliament and of the Council on freedom of movement for workers within the Union (5 April 2011) [2011] OJ L 141/1–12</w:t>
      </w:r>
      <w:r w:rsidR="000E69E4" w:rsidRPr="006E25B0">
        <w:rPr>
          <w:rFonts w:ascii="Times New Roman" w:hAnsi="Times New Roman" w:cs="Times New Roman"/>
          <w:noProof/>
          <w:sz w:val="20"/>
          <w:szCs w:val="20"/>
        </w:rPr>
        <w:t>.</w:t>
      </w:r>
    </w:p>
    <w:p w14:paraId="604CE88C" w14:textId="6AB313DA" w:rsidR="00F11050" w:rsidRPr="006E25B0" w:rsidRDefault="00F11050"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Decision of the EEA Joint Committee No 76/2011 amending Annex VI (Social security) and Protocol 37 to the EEA Agreement (1 July 2011) [2011] OJ L 262/33–43</w:t>
      </w:r>
      <w:r w:rsidR="000E69E4" w:rsidRPr="006E25B0">
        <w:rPr>
          <w:rFonts w:ascii="Times New Roman" w:hAnsi="Times New Roman" w:cs="Times New Roman"/>
          <w:noProof/>
          <w:sz w:val="20"/>
          <w:szCs w:val="20"/>
        </w:rPr>
        <w:t>.</w:t>
      </w:r>
    </w:p>
    <w:p w14:paraId="4EEF5C9B" w14:textId="34600372" w:rsidR="009549F0" w:rsidRPr="006E25B0" w:rsidRDefault="009549F0"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Decision No 1/2012 of the Joint Committee established under the Agreement between the European Community and its Member States, of the one part, and the Swiss Confederation, of the other, on the free movement of persons replacing Annex II to that Agreement on the coordination of social security schemes (31 March 2012) [2012] OJ L 103/51–59</w:t>
      </w:r>
      <w:r w:rsidR="000E69E4" w:rsidRPr="006E25B0">
        <w:rPr>
          <w:rFonts w:ascii="Times New Roman" w:hAnsi="Times New Roman" w:cs="Times New Roman"/>
          <w:noProof/>
          <w:sz w:val="20"/>
          <w:szCs w:val="20"/>
        </w:rPr>
        <w:t>.</w:t>
      </w:r>
    </w:p>
    <w:p w14:paraId="29E07DAF" w14:textId="2EC4308E" w:rsidR="00853CD4" w:rsidRPr="006E25B0" w:rsidRDefault="00853CD4"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A New Settlement for the United Kingdom within the European Union</w:t>
      </w:r>
      <w:r w:rsidR="001A4D68" w:rsidRPr="006E25B0">
        <w:rPr>
          <w:rFonts w:ascii="Times New Roman" w:hAnsi="Times New Roman" w:cs="Times New Roman"/>
          <w:noProof/>
          <w:sz w:val="20"/>
          <w:szCs w:val="20"/>
        </w:rPr>
        <w:t xml:space="preserve"> </w:t>
      </w:r>
      <w:r w:rsidR="00362FDD" w:rsidRPr="006E25B0">
        <w:rPr>
          <w:rFonts w:ascii="Times New Roman" w:hAnsi="Times New Roman" w:cs="Times New Roman"/>
          <w:noProof/>
          <w:sz w:val="20"/>
          <w:szCs w:val="20"/>
        </w:rPr>
        <w:t>(1</w:t>
      </w:r>
      <w:r w:rsidR="003153CC" w:rsidRPr="006E25B0">
        <w:rPr>
          <w:rFonts w:ascii="Times New Roman" w:hAnsi="Times New Roman" w:cs="Times New Roman"/>
          <w:noProof/>
          <w:sz w:val="20"/>
          <w:szCs w:val="20"/>
        </w:rPr>
        <w:t>8-1</w:t>
      </w:r>
      <w:r w:rsidR="00362FDD" w:rsidRPr="006E25B0">
        <w:rPr>
          <w:rFonts w:ascii="Times New Roman" w:hAnsi="Times New Roman" w:cs="Times New Roman"/>
          <w:noProof/>
          <w:sz w:val="20"/>
          <w:szCs w:val="20"/>
        </w:rPr>
        <w:t xml:space="preserve">9 February 2016) [2016] </w:t>
      </w:r>
      <w:r w:rsidRPr="006E25B0">
        <w:rPr>
          <w:rFonts w:ascii="Times New Roman" w:hAnsi="Times New Roman" w:cs="Times New Roman"/>
          <w:noProof/>
          <w:sz w:val="20"/>
          <w:szCs w:val="20"/>
        </w:rPr>
        <w:t>OJ C 69I</w:t>
      </w:r>
      <w:r w:rsidR="00362FDD" w:rsidRPr="006E25B0">
        <w:rPr>
          <w:rFonts w:ascii="Times New Roman" w:hAnsi="Times New Roman" w:cs="Times New Roman"/>
          <w:noProof/>
          <w:sz w:val="20"/>
          <w:szCs w:val="20"/>
        </w:rPr>
        <w:t>/</w:t>
      </w:r>
      <w:r w:rsidRPr="006E25B0">
        <w:rPr>
          <w:rFonts w:ascii="Times New Roman" w:hAnsi="Times New Roman" w:cs="Times New Roman"/>
          <w:noProof/>
          <w:sz w:val="20"/>
          <w:szCs w:val="20"/>
        </w:rPr>
        <w:t>1–16</w:t>
      </w:r>
      <w:r w:rsidR="000E69E4" w:rsidRPr="006E25B0">
        <w:rPr>
          <w:rFonts w:ascii="Times New Roman" w:hAnsi="Times New Roman" w:cs="Times New Roman"/>
          <w:noProof/>
          <w:sz w:val="20"/>
          <w:szCs w:val="20"/>
        </w:rPr>
        <w:t>.</w:t>
      </w:r>
    </w:p>
    <w:p w14:paraId="241BA808" w14:textId="36E8039C" w:rsidR="001A7170" w:rsidRPr="006E25B0" w:rsidRDefault="008C6970"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 xml:space="preserve">Commission, </w:t>
      </w:r>
      <w:r w:rsidR="001A7170" w:rsidRPr="006E25B0">
        <w:rPr>
          <w:rFonts w:ascii="Times New Roman" w:hAnsi="Times New Roman" w:cs="Times New Roman"/>
          <w:noProof/>
          <w:sz w:val="20"/>
          <w:szCs w:val="20"/>
        </w:rPr>
        <w:t>Proposal for a Regulation of the European Parliament and of the Council amending Regulation (EC) No 883/2004 on the coordination of social security systems and regulation (EC) No 987/2009 laying down the procedure for implementing Regulation (EC) No 883/2004 (</w:t>
      </w:r>
      <w:r w:rsidR="00867FA8" w:rsidRPr="006E25B0">
        <w:rPr>
          <w:rFonts w:ascii="Times New Roman" w:hAnsi="Times New Roman" w:cs="Times New Roman"/>
          <w:noProof/>
          <w:sz w:val="20"/>
          <w:szCs w:val="20"/>
        </w:rPr>
        <w:t xml:space="preserve">13 December 2016) [2016] </w:t>
      </w:r>
      <w:r w:rsidR="001A7170" w:rsidRPr="006E25B0">
        <w:rPr>
          <w:rFonts w:ascii="Times New Roman" w:hAnsi="Times New Roman" w:cs="Times New Roman"/>
          <w:noProof/>
          <w:sz w:val="20"/>
          <w:szCs w:val="20"/>
        </w:rPr>
        <w:t>COM</w:t>
      </w:r>
      <w:r w:rsidR="00867FA8" w:rsidRPr="006E25B0">
        <w:rPr>
          <w:rFonts w:ascii="Times New Roman" w:hAnsi="Times New Roman" w:cs="Times New Roman"/>
          <w:noProof/>
          <w:sz w:val="20"/>
          <w:szCs w:val="20"/>
        </w:rPr>
        <w:t>(</w:t>
      </w:r>
      <w:r w:rsidR="001A7170" w:rsidRPr="006E25B0">
        <w:rPr>
          <w:rFonts w:ascii="Times New Roman" w:hAnsi="Times New Roman" w:cs="Times New Roman"/>
          <w:noProof/>
          <w:sz w:val="20"/>
          <w:szCs w:val="20"/>
        </w:rPr>
        <w:t>2016</w:t>
      </w:r>
      <w:r w:rsidR="00867FA8" w:rsidRPr="006E25B0">
        <w:rPr>
          <w:rFonts w:ascii="Times New Roman" w:hAnsi="Times New Roman" w:cs="Times New Roman"/>
          <w:noProof/>
          <w:sz w:val="20"/>
          <w:szCs w:val="20"/>
        </w:rPr>
        <w:t>)</w:t>
      </w:r>
      <w:r w:rsidR="001A7170" w:rsidRPr="006E25B0">
        <w:rPr>
          <w:rFonts w:ascii="Times New Roman" w:hAnsi="Times New Roman" w:cs="Times New Roman"/>
          <w:noProof/>
          <w:sz w:val="20"/>
          <w:szCs w:val="20"/>
        </w:rPr>
        <w:t>815 final</w:t>
      </w:r>
      <w:r w:rsidR="000E69E4" w:rsidRPr="006E25B0">
        <w:rPr>
          <w:rFonts w:ascii="Times New Roman" w:hAnsi="Times New Roman" w:cs="Times New Roman"/>
          <w:noProof/>
          <w:sz w:val="20"/>
          <w:szCs w:val="20"/>
        </w:rPr>
        <w:t>.</w:t>
      </w:r>
    </w:p>
    <w:p w14:paraId="2EA342B7" w14:textId="77777777" w:rsidR="00020DCC" w:rsidRPr="006E25B0" w:rsidRDefault="00020DCC" w:rsidP="00D95347">
      <w:pPr>
        <w:spacing w:after="0"/>
        <w:rPr>
          <w:rFonts w:ascii="Times New Roman" w:hAnsi="Times New Roman" w:cs="Times New Roman"/>
          <w:iCs/>
          <w:noProof/>
          <w:sz w:val="20"/>
          <w:szCs w:val="20"/>
        </w:rPr>
      </w:pPr>
      <w:r w:rsidRPr="006E25B0">
        <w:rPr>
          <w:rFonts w:ascii="Times New Roman" w:hAnsi="Times New Roman" w:cs="Times New Roman"/>
          <w:iCs/>
          <w:noProof/>
          <w:sz w:val="20"/>
          <w:szCs w:val="20"/>
        </w:rPr>
        <w:t>OECD Model Tax Convention on Income and on Capital 2017 (18 August 2022)</w:t>
      </w:r>
      <w:r w:rsidRPr="006E25B0">
        <w:rPr>
          <w:rFonts w:ascii="Times New Roman" w:hAnsi="Times New Roman" w:cs="Times New Roman"/>
          <w:noProof/>
          <w:sz w:val="20"/>
          <w:szCs w:val="20"/>
        </w:rPr>
        <w:t xml:space="preserve"> available at:</w:t>
      </w:r>
      <w:r w:rsidR="00CB7B44" w:rsidRPr="006E25B0">
        <w:rPr>
          <w:rFonts w:ascii="Times New Roman" w:hAnsi="Times New Roman" w:cs="Times New Roman"/>
          <w:noProof/>
          <w:sz w:val="20"/>
          <w:szCs w:val="20"/>
        </w:rPr>
        <w:t xml:space="preserve"> </w:t>
      </w:r>
      <w:r w:rsidRPr="006E25B0">
        <w:rPr>
          <w:rFonts w:ascii="Times New Roman" w:hAnsi="Times New Roman" w:cs="Times New Roman"/>
          <w:iCs/>
          <w:noProof/>
          <w:sz w:val="20"/>
          <w:szCs w:val="20"/>
        </w:rPr>
        <w:t>https://www.oecd.org/tax/model-tax-convention-on-income-and-on-capital-full-version-9a5b369e-en.htm</w:t>
      </w:r>
      <w:r w:rsidR="000E69E4" w:rsidRPr="006E25B0">
        <w:rPr>
          <w:rFonts w:ascii="Times New Roman" w:hAnsi="Times New Roman" w:cs="Times New Roman"/>
          <w:iCs/>
          <w:noProof/>
          <w:sz w:val="20"/>
          <w:szCs w:val="20"/>
        </w:rPr>
        <w:t>.</w:t>
      </w:r>
    </w:p>
    <w:p w14:paraId="4720DC7F" w14:textId="41748CFF" w:rsidR="00BA69B8" w:rsidRPr="006E25B0" w:rsidRDefault="00BA69B8"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Regulation (EU) 2019/1149 of the European Parliament and of the Council establishing a European Labour Authority, amending Regulations (EC) No 883/2004, (EU) No 492/2011, and (EU) 2016/589 and repealing Decision (EU) 2016/344 (20 June 2019)</w:t>
      </w:r>
      <w:r w:rsidR="005D6F59" w:rsidRPr="006E25B0">
        <w:rPr>
          <w:rFonts w:ascii="Times New Roman" w:hAnsi="Times New Roman" w:cs="Times New Roman"/>
          <w:noProof/>
          <w:sz w:val="20"/>
          <w:szCs w:val="20"/>
        </w:rPr>
        <w:t xml:space="preserve"> [2019] </w:t>
      </w:r>
      <w:r w:rsidRPr="006E25B0">
        <w:rPr>
          <w:rFonts w:ascii="Times New Roman" w:hAnsi="Times New Roman" w:cs="Times New Roman"/>
          <w:noProof/>
          <w:sz w:val="20"/>
          <w:szCs w:val="20"/>
        </w:rPr>
        <w:t>OJ L 186</w:t>
      </w:r>
      <w:r w:rsidR="005D6F59" w:rsidRPr="006E25B0">
        <w:rPr>
          <w:rFonts w:ascii="Times New Roman" w:hAnsi="Times New Roman" w:cs="Times New Roman"/>
          <w:noProof/>
          <w:sz w:val="20"/>
          <w:szCs w:val="20"/>
        </w:rPr>
        <w:t>/</w:t>
      </w:r>
      <w:r w:rsidRPr="006E25B0">
        <w:rPr>
          <w:rFonts w:ascii="Times New Roman" w:hAnsi="Times New Roman" w:cs="Times New Roman"/>
          <w:noProof/>
          <w:sz w:val="20"/>
          <w:szCs w:val="20"/>
        </w:rPr>
        <w:t>21–56</w:t>
      </w:r>
    </w:p>
    <w:p w14:paraId="0ACABF74" w14:textId="7B535640" w:rsidR="00131559" w:rsidRPr="006E25B0" w:rsidRDefault="00131559"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 xml:space="preserve">Agreement on the withdrawal of the United Kingdom of Great Britain and Northern Ireland from the European Union and the European Atomic Energy Community </w:t>
      </w:r>
      <w:r w:rsidR="00417FB2" w:rsidRPr="006E25B0">
        <w:rPr>
          <w:rFonts w:ascii="Times New Roman" w:hAnsi="Times New Roman" w:cs="Times New Roman"/>
          <w:noProof/>
          <w:sz w:val="20"/>
          <w:szCs w:val="20"/>
        </w:rPr>
        <w:t>(</w:t>
      </w:r>
      <w:r w:rsidR="00804170" w:rsidRPr="006E25B0">
        <w:rPr>
          <w:rFonts w:ascii="Times New Roman" w:hAnsi="Times New Roman" w:cs="Times New Roman"/>
          <w:noProof/>
          <w:sz w:val="20"/>
          <w:szCs w:val="20"/>
        </w:rPr>
        <w:t xml:space="preserve">signed </w:t>
      </w:r>
      <w:r w:rsidR="001E5E14" w:rsidRPr="006E25B0">
        <w:rPr>
          <w:rFonts w:ascii="Times New Roman" w:hAnsi="Times New Roman" w:cs="Times New Roman"/>
          <w:noProof/>
          <w:sz w:val="20"/>
          <w:szCs w:val="20"/>
        </w:rPr>
        <w:t>24 January 2020</w:t>
      </w:r>
      <w:r w:rsidR="00804170" w:rsidRPr="006E25B0">
        <w:rPr>
          <w:rFonts w:ascii="Times New Roman" w:hAnsi="Times New Roman" w:cs="Times New Roman"/>
          <w:noProof/>
          <w:sz w:val="20"/>
          <w:szCs w:val="20"/>
        </w:rPr>
        <w:t xml:space="preserve">, entered into force </w:t>
      </w:r>
      <w:r w:rsidR="001E5E14" w:rsidRPr="006E25B0">
        <w:rPr>
          <w:rFonts w:ascii="Times New Roman" w:hAnsi="Times New Roman" w:cs="Times New Roman"/>
          <w:noProof/>
          <w:sz w:val="20"/>
          <w:szCs w:val="20"/>
        </w:rPr>
        <w:t>31 January 2020</w:t>
      </w:r>
      <w:r w:rsidR="00417FB2" w:rsidRPr="006E25B0">
        <w:rPr>
          <w:rFonts w:ascii="Times New Roman" w:hAnsi="Times New Roman" w:cs="Times New Roman"/>
          <w:noProof/>
          <w:sz w:val="20"/>
          <w:szCs w:val="20"/>
        </w:rPr>
        <w:t xml:space="preserve">) [2019] </w:t>
      </w:r>
      <w:r w:rsidRPr="006E25B0">
        <w:rPr>
          <w:rFonts w:ascii="Times New Roman" w:hAnsi="Times New Roman" w:cs="Times New Roman"/>
          <w:noProof/>
          <w:sz w:val="20"/>
          <w:szCs w:val="20"/>
        </w:rPr>
        <w:t>OJ C 384I</w:t>
      </w:r>
      <w:r w:rsidR="00417FB2" w:rsidRPr="006E25B0">
        <w:rPr>
          <w:rFonts w:ascii="Times New Roman" w:hAnsi="Times New Roman" w:cs="Times New Roman"/>
          <w:noProof/>
          <w:sz w:val="20"/>
          <w:szCs w:val="20"/>
        </w:rPr>
        <w:t>/</w:t>
      </w:r>
      <w:r w:rsidRPr="006E25B0">
        <w:rPr>
          <w:rFonts w:ascii="Times New Roman" w:hAnsi="Times New Roman" w:cs="Times New Roman"/>
          <w:noProof/>
          <w:sz w:val="20"/>
          <w:szCs w:val="20"/>
        </w:rPr>
        <w:t>1–177</w:t>
      </w:r>
      <w:r w:rsidR="00804170" w:rsidRPr="006E25B0">
        <w:rPr>
          <w:rFonts w:ascii="Times New Roman" w:hAnsi="Times New Roman" w:cs="Times New Roman"/>
          <w:noProof/>
          <w:sz w:val="20"/>
          <w:szCs w:val="20"/>
        </w:rPr>
        <w:t>; Withdrawal Agreement</w:t>
      </w:r>
      <w:r w:rsidR="000E69E4" w:rsidRPr="006E25B0">
        <w:rPr>
          <w:rFonts w:ascii="Times New Roman" w:hAnsi="Times New Roman" w:cs="Times New Roman"/>
          <w:noProof/>
          <w:sz w:val="20"/>
          <w:szCs w:val="20"/>
        </w:rPr>
        <w:t>.</w:t>
      </w:r>
    </w:p>
    <w:p w14:paraId="1E03EDD9" w14:textId="7DCA0CF5" w:rsidR="00C64374" w:rsidRPr="006E25B0" w:rsidRDefault="00422A19"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Trade and Cooperation Agreement between the European Union and the European Atomic Energy Community, of the one part, and the United Kingdom of Great Britain and Northern Ireland, of the other part (</w:t>
      </w:r>
      <w:r w:rsidR="00804170" w:rsidRPr="006E25B0">
        <w:rPr>
          <w:rFonts w:ascii="Times New Roman" w:hAnsi="Times New Roman" w:cs="Times New Roman"/>
          <w:noProof/>
          <w:sz w:val="20"/>
          <w:szCs w:val="20"/>
        </w:rPr>
        <w:t xml:space="preserve">signed </w:t>
      </w:r>
      <w:r w:rsidR="00BD3C2E" w:rsidRPr="006E25B0">
        <w:rPr>
          <w:rFonts w:ascii="Times New Roman" w:hAnsi="Times New Roman" w:cs="Times New Roman"/>
          <w:noProof/>
          <w:sz w:val="20"/>
          <w:szCs w:val="20"/>
        </w:rPr>
        <w:t>30 December 2020</w:t>
      </w:r>
      <w:r w:rsidR="00804170" w:rsidRPr="006E25B0">
        <w:rPr>
          <w:rFonts w:ascii="Times New Roman" w:hAnsi="Times New Roman" w:cs="Times New Roman"/>
          <w:noProof/>
          <w:sz w:val="20"/>
          <w:szCs w:val="20"/>
        </w:rPr>
        <w:t xml:space="preserve">, </w:t>
      </w:r>
      <w:r w:rsidR="00BD3C2E" w:rsidRPr="006E25B0">
        <w:rPr>
          <w:rFonts w:ascii="Times New Roman" w:hAnsi="Times New Roman" w:cs="Times New Roman"/>
          <w:noProof/>
          <w:sz w:val="20"/>
          <w:szCs w:val="20"/>
        </w:rPr>
        <w:t xml:space="preserve">formally </w:t>
      </w:r>
      <w:r w:rsidR="00804170" w:rsidRPr="006E25B0">
        <w:rPr>
          <w:rFonts w:ascii="Times New Roman" w:hAnsi="Times New Roman" w:cs="Times New Roman"/>
          <w:noProof/>
          <w:sz w:val="20"/>
          <w:szCs w:val="20"/>
        </w:rPr>
        <w:t xml:space="preserve">entered into force </w:t>
      </w:r>
      <w:r w:rsidR="00BD3C2E" w:rsidRPr="006E25B0">
        <w:rPr>
          <w:rFonts w:ascii="Times New Roman" w:hAnsi="Times New Roman" w:cs="Times New Roman"/>
          <w:noProof/>
          <w:sz w:val="20"/>
          <w:szCs w:val="20"/>
        </w:rPr>
        <w:t>1 May 2021</w:t>
      </w:r>
      <w:r w:rsidRPr="006E25B0">
        <w:rPr>
          <w:rFonts w:ascii="Times New Roman" w:hAnsi="Times New Roman" w:cs="Times New Roman"/>
          <w:noProof/>
          <w:sz w:val="20"/>
          <w:szCs w:val="20"/>
        </w:rPr>
        <w:t>) [</w:t>
      </w:r>
      <w:r w:rsidR="00E74DDE" w:rsidRPr="006E25B0">
        <w:rPr>
          <w:rFonts w:ascii="Times New Roman" w:hAnsi="Times New Roman" w:cs="Times New Roman"/>
          <w:noProof/>
          <w:sz w:val="20"/>
          <w:szCs w:val="20"/>
        </w:rPr>
        <w:t>2021</w:t>
      </w:r>
      <w:r w:rsidRPr="006E25B0">
        <w:rPr>
          <w:rFonts w:ascii="Times New Roman" w:hAnsi="Times New Roman" w:cs="Times New Roman"/>
          <w:noProof/>
          <w:sz w:val="20"/>
          <w:szCs w:val="20"/>
        </w:rPr>
        <w:t>]</w:t>
      </w:r>
      <w:r w:rsidR="00E74DDE" w:rsidRPr="006E25B0">
        <w:rPr>
          <w:rFonts w:ascii="Times New Roman" w:hAnsi="Times New Roman" w:cs="Times New Roman"/>
          <w:noProof/>
          <w:sz w:val="20"/>
          <w:szCs w:val="20"/>
        </w:rPr>
        <w:t xml:space="preserve"> </w:t>
      </w:r>
      <w:r w:rsidRPr="006E25B0">
        <w:rPr>
          <w:rFonts w:ascii="Times New Roman" w:hAnsi="Times New Roman" w:cs="Times New Roman"/>
          <w:noProof/>
          <w:sz w:val="20"/>
          <w:szCs w:val="20"/>
        </w:rPr>
        <w:t>OJ L 149</w:t>
      </w:r>
      <w:r w:rsidR="00E74DDE" w:rsidRPr="006E25B0">
        <w:rPr>
          <w:rFonts w:ascii="Times New Roman" w:hAnsi="Times New Roman" w:cs="Times New Roman"/>
          <w:noProof/>
          <w:sz w:val="20"/>
          <w:szCs w:val="20"/>
        </w:rPr>
        <w:t>/</w:t>
      </w:r>
      <w:r w:rsidRPr="006E25B0">
        <w:rPr>
          <w:rFonts w:ascii="Times New Roman" w:hAnsi="Times New Roman" w:cs="Times New Roman"/>
          <w:noProof/>
          <w:sz w:val="20"/>
          <w:szCs w:val="20"/>
        </w:rPr>
        <w:t>10–2539</w:t>
      </w:r>
      <w:r w:rsidR="00804170" w:rsidRPr="006E25B0">
        <w:rPr>
          <w:rFonts w:ascii="Times New Roman" w:hAnsi="Times New Roman" w:cs="Times New Roman"/>
          <w:noProof/>
          <w:sz w:val="20"/>
          <w:szCs w:val="20"/>
        </w:rPr>
        <w:t>; Trade and Cooperation Agreement</w:t>
      </w:r>
      <w:r w:rsidR="000E69E4" w:rsidRPr="006E25B0">
        <w:rPr>
          <w:rFonts w:ascii="Times New Roman" w:hAnsi="Times New Roman" w:cs="Times New Roman"/>
          <w:noProof/>
          <w:sz w:val="20"/>
          <w:szCs w:val="20"/>
        </w:rPr>
        <w:t>.</w:t>
      </w:r>
    </w:p>
    <w:p w14:paraId="4B600DD0" w14:textId="268695A7" w:rsidR="001A73D9" w:rsidRPr="006E25B0" w:rsidRDefault="001A73D9"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General Secretariat of the Council, Proposal for a Regulation of the European Parliament and of the Council</w:t>
      </w:r>
      <w:r w:rsidRPr="006E25B0">
        <w:rPr>
          <w:rFonts w:ascii="Times New Roman" w:hAnsi="Times New Roman" w:cs="Times New Roman"/>
          <w:noProof/>
          <w:sz w:val="20"/>
          <w:szCs w:val="20"/>
        </w:rPr>
        <w:br/>
        <w:t>amending Regulation (EC) No 883/2004 on the coordination of social security systems and Regulation (EC) No 987/2009 laying down the procedure for implementing Regulation (EC) No 883/2004 - Analysis of the compromise text with a view to agreement (17 December 2021) [2021] 15068/21 Add 1.</w:t>
      </w:r>
    </w:p>
    <w:p w14:paraId="4DB8930E" w14:textId="33A9E95F" w:rsidR="005F3550" w:rsidRPr="006E25B0" w:rsidRDefault="003B682B"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MISSOC, ‘Comparative tables’ (16 August 2022) available at: https://www.missoc.org/missoc-database/comparative-tables/</w:t>
      </w:r>
      <w:r w:rsidR="000E69E4" w:rsidRPr="006E25B0">
        <w:rPr>
          <w:rFonts w:ascii="Times New Roman" w:hAnsi="Times New Roman" w:cs="Times New Roman"/>
          <w:noProof/>
          <w:sz w:val="20"/>
          <w:szCs w:val="20"/>
        </w:rPr>
        <w:t>.</w:t>
      </w:r>
    </w:p>
    <w:p w14:paraId="3392FB9E" w14:textId="5F94F9FD" w:rsidR="009D6964" w:rsidRPr="006E25B0" w:rsidRDefault="009D6964" w:rsidP="00D95347">
      <w:pPr>
        <w:pStyle w:val="Heading1"/>
        <w:rPr>
          <w:rFonts w:ascii="Times New Roman" w:hAnsi="Times New Roman" w:cs="Times New Roman"/>
          <w:noProof/>
          <w:color w:val="auto"/>
        </w:rPr>
      </w:pPr>
      <w:r w:rsidRPr="006E25B0">
        <w:rPr>
          <w:rFonts w:ascii="Times New Roman" w:hAnsi="Times New Roman" w:cs="Times New Roman"/>
          <w:noProof/>
          <w:color w:val="auto"/>
        </w:rPr>
        <w:t>Date of writing</w:t>
      </w:r>
    </w:p>
    <w:p w14:paraId="7147446F" w14:textId="1BBA9C24" w:rsidR="006C13D7" w:rsidRPr="006E25B0" w:rsidRDefault="00E165D3" w:rsidP="00D95347">
      <w:pPr>
        <w:spacing w:after="0"/>
        <w:rPr>
          <w:rFonts w:ascii="Times New Roman" w:hAnsi="Times New Roman" w:cs="Times New Roman"/>
          <w:noProof/>
          <w:sz w:val="20"/>
          <w:szCs w:val="20"/>
        </w:rPr>
      </w:pPr>
      <w:r w:rsidRPr="006E25B0">
        <w:rPr>
          <w:rFonts w:ascii="Times New Roman" w:hAnsi="Times New Roman" w:cs="Times New Roman"/>
          <w:noProof/>
          <w:sz w:val="20"/>
          <w:szCs w:val="20"/>
        </w:rPr>
        <w:t>18 August 2022</w:t>
      </w:r>
    </w:p>
    <w:sectPr w:rsidR="006C13D7" w:rsidRPr="006E25B0" w:rsidSect="00B41F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A806" w14:textId="77777777" w:rsidR="00730F47" w:rsidRDefault="00730F47" w:rsidP="008E7D18">
      <w:pPr>
        <w:spacing w:after="0" w:line="240" w:lineRule="auto"/>
      </w:pPr>
      <w:r>
        <w:separator/>
      </w:r>
    </w:p>
  </w:endnote>
  <w:endnote w:type="continuationSeparator" w:id="0">
    <w:p w14:paraId="6E615BD1" w14:textId="77777777" w:rsidR="00730F47" w:rsidRDefault="00730F47" w:rsidP="008E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379006"/>
      <w:docPartObj>
        <w:docPartGallery w:val="Page Numbers (Bottom of Page)"/>
        <w:docPartUnique/>
      </w:docPartObj>
    </w:sdtPr>
    <w:sdtEndPr>
      <w:rPr>
        <w:rFonts w:ascii="Times New Roman" w:hAnsi="Times New Roman" w:cs="Times New Roman"/>
        <w:noProof/>
      </w:rPr>
    </w:sdtEndPr>
    <w:sdtContent>
      <w:p w14:paraId="46409F53" w14:textId="77777777" w:rsidR="005276F5" w:rsidRPr="00700C13" w:rsidRDefault="00CD493F">
        <w:pPr>
          <w:pStyle w:val="Footer"/>
          <w:jc w:val="right"/>
          <w:rPr>
            <w:rFonts w:ascii="Times New Roman" w:hAnsi="Times New Roman" w:cs="Times New Roman"/>
          </w:rPr>
        </w:pPr>
        <w:r w:rsidRPr="00700C13">
          <w:rPr>
            <w:rFonts w:ascii="Times New Roman" w:hAnsi="Times New Roman" w:cs="Times New Roman"/>
          </w:rPr>
          <w:fldChar w:fldCharType="begin"/>
        </w:r>
        <w:r w:rsidRPr="00700C13">
          <w:rPr>
            <w:rFonts w:ascii="Times New Roman" w:hAnsi="Times New Roman" w:cs="Times New Roman"/>
          </w:rPr>
          <w:instrText xml:space="preserve"> PAGE   \* MERGEFORMAT </w:instrText>
        </w:r>
        <w:r w:rsidRPr="00700C13">
          <w:rPr>
            <w:rFonts w:ascii="Times New Roman" w:hAnsi="Times New Roman" w:cs="Times New Roman"/>
          </w:rPr>
          <w:fldChar w:fldCharType="separate"/>
        </w:r>
        <w:r w:rsidRPr="00700C13">
          <w:rPr>
            <w:rFonts w:ascii="Times New Roman" w:hAnsi="Times New Roman" w:cs="Times New Roman"/>
            <w:noProof/>
          </w:rPr>
          <w:t>2</w:t>
        </w:r>
        <w:r w:rsidRPr="00700C13">
          <w:rPr>
            <w:rFonts w:ascii="Times New Roman" w:hAnsi="Times New Roman" w:cs="Times New Roman"/>
            <w:noProof/>
          </w:rPr>
          <w:fldChar w:fldCharType="end"/>
        </w:r>
      </w:p>
    </w:sdtContent>
  </w:sdt>
  <w:p w14:paraId="382D0E1E" w14:textId="77777777" w:rsidR="005276F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8C32" w14:textId="77777777" w:rsidR="00730F47" w:rsidRDefault="00730F47" w:rsidP="008E7D18">
      <w:pPr>
        <w:spacing w:after="0" w:line="240" w:lineRule="auto"/>
      </w:pPr>
      <w:r>
        <w:separator/>
      </w:r>
    </w:p>
  </w:footnote>
  <w:footnote w:type="continuationSeparator" w:id="0">
    <w:p w14:paraId="34E79BC7" w14:textId="77777777" w:rsidR="00730F47" w:rsidRDefault="00730F47" w:rsidP="008E7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505"/>
    <w:multiLevelType w:val="hybridMultilevel"/>
    <w:tmpl w:val="8358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51BBF"/>
    <w:multiLevelType w:val="hybridMultilevel"/>
    <w:tmpl w:val="7614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94BAB"/>
    <w:multiLevelType w:val="hybridMultilevel"/>
    <w:tmpl w:val="4094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2534D"/>
    <w:multiLevelType w:val="hybridMultilevel"/>
    <w:tmpl w:val="1664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1262"/>
    <w:multiLevelType w:val="hybridMultilevel"/>
    <w:tmpl w:val="5B6A6E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443E8"/>
    <w:multiLevelType w:val="hybridMultilevel"/>
    <w:tmpl w:val="63FE7AF2"/>
    <w:lvl w:ilvl="0" w:tplc="036A7466">
      <w:start w:val="1"/>
      <w:numFmt w:val="bullet"/>
      <w:lvlText w:val=""/>
      <w:lvlJc w:val="left"/>
      <w:pPr>
        <w:ind w:left="21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25151"/>
    <w:multiLevelType w:val="hybridMultilevel"/>
    <w:tmpl w:val="9D36CDD0"/>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2683A"/>
    <w:multiLevelType w:val="hybridMultilevel"/>
    <w:tmpl w:val="7D4C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6480"/>
    <w:multiLevelType w:val="hybridMultilevel"/>
    <w:tmpl w:val="9DA2D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6D39A9"/>
    <w:multiLevelType w:val="hybridMultilevel"/>
    <w:tmpl w:val="38FA3BDC"/>
    <w:lvl w:ilvl="0" w:tplc="D09C78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F11250"/>
    <w:multiLevelType w:val="hybridMultilevel"/>
    <w:tmpl w:val="A8B84210"/>
    <w:lvl w:ilvl="0" w:tplc="F00491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11BDD"/>
    <w:multiLevelType w:val="hybridMultilevel"/>
    <w:tmpl w:val="2452A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471BD"/>
    <w:multiLevelType w:val="multilevel"/>
    <w:tmpl w:val="D36C7A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BB5518"/>
    <w:multiLevelType w:val="hybridMultilevel"/>
    <w:tmpl w:val="A19A4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4631D"/>
    <w:multiLevelType w:val="hybridMultilevel"/>
    <w:tmpl w:val="A492F04A"/>
    <w:lvl w:ilvl="0" w:tplc="596C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F0CD4"/>
    <w:multiLevelType w:val="hybridMultilevel"/>
    <w:tmpl w:val="C84E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73D88"/>
    <w:multiLevelType w:val="hybridMultilevel"/>
    <w:tmpl w:val="90E669D2"/>
    <w:lvl w:ilvl="0" w:tplc="A9BE4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16468"/>
    <w:multiLevelType w:val="hybridMultilevel"/>
    <w:tmpl w:val="B464D982"/>
    <w:lvl w:ilvl="0" w:tplc="A9BE4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E0612"/>
    <w:multiLevelType w:val="hybridMultilevel"/>
    <w:tmpl w:val="0A92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82D0B"/>
    <w:multiLevelType w:val="hybridMultilevel"/>
    <w:tmpl w:val="5152077E"/>
    <w:lvl w:ilvl="0" w:tplc="F004914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93F70"/>
    <w:multiLevelType w:val="hybridMultilevel"/>
    <w:tmpl w:val="EB6638B4"/>
    <w:lvl w:ilvl="0" w:tplc="F00491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C6F87"/>
    <w:multiLevelType w:val="multilevel"/>
    <w:tmpl w:val="D36C7A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4A3480"/>
    <w:multiLevelType w:val="hybridMultilevel"/>
    <w:tmpl w:val="7090E0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8261AD"/>
    <w:multiLevelType w:val="hybridMultilevel"/>
    <w:tmpl w:val="BDF27930"/>
    <w:lvl w:ilvl="0" w:tplc="DF1E0F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02331"/>
    <w:multiLevelType w:val="hybridMultilevel"/>
    <w:tmpl w:val="A1F6FE98"/>
    <w:lvl w:ilvl="0" w:tplc="3A88EC74">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F5B6E"/>
    <w:multiLevelType w:val="hybridMultilevel"/>
    <w:tmpl w:val="A814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18391">
    <w:abstractNumId w:val="13"/>
  </w:num>
  <w:num w:numId="2" w16cid:durableId="91556312">
    <w:abstractNumId w:val="24"/>
  </w:num>
  <w:num w:numId="3" w16cid:durableId="308946140">
    <w:abstractNumId w:val="2"/>
  </w:num>
  <w:num w:numId="4" w16cid:durableId="1970431717">
    <w:abstractNumId w:val="17"/>
  </w:num>
  <w:num w:numId="5" w16cid:durableId="1323849168">
    <w:abstractNumId w:val="3"/>
  </w:num>
  <w:num w:numId="6" w16cid:durableId="333455781">
    <w:abstractNumId w:val="15"/>
  </w:num>
  <w:num w:numId="7" w16cid:durableId="223370919">
    <w:abstractNumId w:val="7"/>
  </w:num>
  <w:num w:numId="8" w16cid:durableId="1119833808">
    <w:abstractNumId w:val="1"/>
  </w:num>
  <w:num w:numId="9" w16cid:durableId="1516308189">
    <w:abstractNumId w:val="25"/>
  </w:num>
  <w:num w:numId="10" w16cid:durableId="502624309">
    <w:abstractNumId w:val="10"/>
  </w:num>
  <w:num w:numId="11" w16cid:durableId="130876796">
    <w:abstractNumId w:val="19"/>
  </w:num>
  <w:num w:numId="12" w16cid:durableId="441270833">
    <w:abstractNumId w:val="20"/>
  </w:num>
  <w:num w:numId="13" w16cid:durableId="1839005856">
    <w:abstractNumId w:val="11"/>
  </w:num>
  <w:num w:numId="14" w16cid:durableId="1735935208">
    <w:abstractNumId w:val="18"/>
  </w:num>
  <w:num w:numId="15" w16cid:durableId="1741363595">
    <w:abstractNumId w:val="16"/>
  </w:num>
  <w:num w:numId="16" w16cid:durableId="83890324">
    <w:abstractNumId w:val="22"/>
  </w:num>
  <w:num w:numId="17" w16cid:durableId="1961454786">
    <w:abstractNumId w:val="4"/>
  </w:num>
  <w:num w:numId="18" w16cid:durableId="107509130">
    <w:abstractNumId w:val="21"/>
  </w:num>
  <w:num w:numId="19" w16cid:durableId="746154746">
    <w:abstractNumId w:val="12"/>
  </w:num>
  <w:num w:numId="20" w16cid:durableId="314337873">
    <w:abstractNumId w:val="0"/>
  </w:num>
  <w:num w:numId="21" w16cid:durableId="1037898662">
    <w:abstractNumId w:val="14"/>
  </w:num>
  <w:num w:numId="22" w16cid:durableId="833834130">
    <w:abstractNumId w:val="8"/>
  </w:num>
  <w:num w:numId="23" w16cid:durableId="1945067705">
    <w:abstractNumId w:val="9"/>
  </w:num>
  <w:num w:numId="24" w16cid:durableId="1875147190">
    <w:abstractNumId w:val="6"/>
  </w:num>
  <w:num w:numId="25" w16cid:durableId="1054154989">
    <w:abstractNumId w:val="23"/>
  </w:num>
  <w:num w:numId="26" w16cid:durableId="207758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OUP Encyclopedi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2adpvpc02ve2ez9x35s9shxf9fpxtprdta&quot;&gt;EndNote Library - PhD-GOOD&lt;record-ids&gt;&lt;item&gt;2495&lt;/item&gt;&lt;/record-ids&gt;&lt;/item&gt;&lt;/Libraries&gt;"/>
  </w:docVars>
  <w:rsids>
    <w:rsidRoot w:val="008E7D18"/>
    <w:rsid w:val="00003C6F"/>
    <w:rsid w:val="00005337"/>
    <w:rsid w:val="000055A7"/>
    <w:rsid w:val="00015578"/>
    <w:rsid w:val="000158E5"/>
    <w:rsid w:val="00020DCC"/>
    <w:rsid w:val="0002366B"/>
    <w:rsid w:val="00023E2B"/>
    <w:rsid w:val="00027626"/>
    <w:rsid w:val="00027F73"/>
    <w:rsid w:val="00041D98"/>
    <w:rsid w:val="00042CC8"/>
    <w:rsid w:val="00044807"/>
    <w:rsid w:val="00047648"/>
    <w:rsid w:val="000512F3"/>
    <w:rsid w:val="00055381"/>
    <w:rsid w:val="000608EA"/>
    <w:rsid w:val="0006502A"/>
    <w:rsid w:val="000666AD"/>
    <w:rsid w:val="0007006C"/>
    <w:rsid w:val="000724F2"/>
    <w:rsid w:val="000745E6"/>
    <w:rsid w:val="00076EF2"/>
    <w:rsid w:val="0008349F"/>
    <w:rsid w:val="000A22DF"/>
    <w:rsid w:val="000A276B"/>
    <w:rsid w:val="000A2CFD"/>
    <w:rsid w:val="000A634D"/>
    <w:rsid w:val="000A7171"/>
    <w:rsid w:val="000B0A39"/>
    <w:rsid w:val="000B0DC1"/>
    <w:rsid w:val="000B1B17"/>
    <w:rsid w:val="000B2CA2"/>
    <w:rsid w:val="000B4425"/>
    <w:rsid w:val="000C11A1"/>
    <w:rsid w:val="000C166A"/>
    <w:rsid w:val="000C1FAC"/>
    <w:rsid w:val="000C259E"/>
    <w:rsid w:val="000C26C4"/>
    <w:rsid w:val="000C3FC1"/>
    <w:rsid w:val="000C681E"/>
    <w:rsid w:val="000D3D9E"/>
    <w:rsid w:val="000D5E98"/>
    <w:rsid w:val="000D637C"/>
    <w:rsid w:val="000D7733"/>
    <w:rsid w:val="000E06BB"/>
    <w:rsid w:val="000E1E49"/>
    <w:rsid w:val="000E3E33"/>
    <w:rsid w:val="000E69E4"/>
    <w:rsid w:val="000F19A7"/>
    <w:rsid w:val="001015E3"/>
    <w:rsid w:val="00105DD1"/>
    <w:rsid w:val="00110724"/>
    <w:rsid w:val="001110F6"/>
    <w:rsid w:val="00131559"/>
    <w:rsid w:val="001440D4"/>
    <w:rsid w:val="00152101"/>
    <w:rsid w:val="00152B03"/>
    <w:rsid w:val="00156287"/>
    <w:rsid w:val="00157938"/>
    <w:rsid w:val="00157F7B"/>
    <w:rsid w:val="001654B9"/>
    <w:rsid w:val="001749EB"/>
    <w:rsid w:val="001765A2"/>
    <w:rsid w:val="0018019C"/>
    <w:rsid w:val="0018127B"/>
    <w:rsid w:val="00181F85"/>
    <w:rsid w:val="00182113"/>
    <w:rsid w:val="0018677D"/>
    <w:rsid w:val="00197CBB"/>
    <w:rsid w:val="001A0013"/>
    <w:rsid w:val="001A2541"/>
    <w:rsid w:val="001A4D68"/>
    <w:rsid w:val="001A6187"/>
    <w:rsid w:val="001A7170"/>
    <w:rsid w:val="001A73D9"/>
    <w:rsid w:val="001B0D9F"/>
    <w:rsid w:val="001B104A"/>
    <w:rsid w:val="001B3316"/>
    <w:rsid w:val="001B4894"/>
    <w:rsid w:val="001B4FB1"/>
    <w:rsid w:val="001B6BE3"/>
    <w:rsid w:val="001C07D6"/>
    <w:rsid w:val="001C2285"/>
    <w:rsid w:val="001C2DBD"/>
    <w:rsid w:val="001D120F"/>
    <w:rsid w:val="001D2A4E"/>
    <w:rsid w:val="001D5710"/>
    <w:rsid w:val="001E108A"/>
    <w:rsid w:val="001E12E7"/>
    <w:rsid w:val="001E3B44"/>
    <w:rsid w:val="001E50DD"/>
    <w:rsid w:val="001E5E14"/>
    <w:rsid w:val="001F5301"/>
    <w:rsid w:val="0020403A"/>
    <w:rsid w:val="00205A6C"/>
    <w:rsid w:val="0020665C"/>
    <w:rsid w:val="00206D03"/>
    <w:rsid w:val="00206E6F"/>
    <w:rsid w:val="0021046F"/>
    <w:rsid w:val="002134EB"/>
    <w:rsid w:val="00213FE1"/>
    <w:rsid w:val="00214574"/>
    <w:rsid w:val="0021654C"/>
    <w:rsid w:val="0022077C"/>
    <w:rsid w:val="00221306"/>
    <w:rsid w:val="00221550"/>
    <w:rsid w:val="00221822"/>
    <w:rsid w:val="002250A1"/>
    <w:rsid w:val="00226D65"/>
    <w:rsid w:val="00232375"/>
    <w:rsid w:val="00235215"/>
    <w:rsid w:val="00241B3A"/>
    <w:rsid w:val="00247313"/>
    <w:rsid w:val="002503B1"/>
    <w:rsid w:val="002528CC"/>
    <w:rsid w:val="0025586C"/>
    <w:rsid w:val="00257327"/>
    <w:rsid w:val="0026529E"/>
    <w:rsid w:val="002717EB"/>
    <w:rsid w:val="00271EA1"/>
    <w:rsid w:val="002744E1"/>
    <w:rsid w:val="00276BF5"/>
    <w:rsid w:val="00281130"/>
    <w:rsid w:val="00287651"/>
    <w:rsid w:val="002907F2"/>
    <w:rsid w:val="0029405A"/>
    <w:rsid w:val="00295082"/>
    <w:rsid w:val="002953B9"/>
    <w:rsid w:val="00296DB9"/>
    <w:rsid w:val="00297CC9"/>
    <w:rsid w:val="002A0022"/>
    <w:rsid w:val="002A0816"/>
    <w:rsid w:val="002A2C2E"/>
    <w:rsid w:val="002A55F3"/>
    <w:rsid w:val="002B5B03"/>
    <w:rsid w:val="002B74DF"/>
    <w:rsid w:val="002C0749"/>
    <w:rsid w:val="002D0CF1"/>
    <w:rsid w:val="002D3C53"/>
    <w:rsid w:val="002D54D6"/>
    <w:rsid w:val="002D752F"/>
    <w:rsid w:val="002D7C15"/>
    <w:rsid w:val="002E1443"/>
    <w:rsid w:val="002E2AE8"/>
    <w:rsid w:val="002E47C0"/>
    <w:rsid w:val="002E7977"/>
    <w:rsid w:val="002E7993"/>
    <w:rsid w:val="002E7ED7"/>
    <w:rsid w:val="002F1DDC"/>
    <w:rsid w:val="002F2C14"/>
    <w:rsid w:val="002F51DE"/>
    <w:rsid w:val="002F5E70"/>
    <w:rsid w:val="002F74AF"/>
    <w:rsid w:val="0030103A"/>
    <w:rsid w:val="003069F4"/>
    <w:rsid w:val="00306C8F"/>
    <w:rsid w:val="003114FE"/>
    <w:rsid w:val="00312143"/>
    <w:rsid w:val="00314FD6"/>
    <w:rsid w:val="003153CC"/>
    <w:rsid w:val="00317B1F"/>
    <w:rsid w:val="00317DBE"/>
    <w:rsid w:val="003239D6"/>
    <w:rsid w:val="003251BD"/>
    <w:rsid w:val="0032742B"/>
    <w:rsid w:val="00330CB4"/>
    <w:rsid w:val="00336994"/>
    <w:rsid w:val="00337A31"/>
    <w:rsid w:val="00341660"/>
    <w:rsid w:val="00342E8E"/>
    <w:rsid w:val="00345AFC"/>
    <w:rsid w:val="003464A0"/>
    <w:rsid w:val="00347477"/>
    <w:rsid w:val="0035422F"/>
    <w:rsid w:val="00356553"/>
    <w:rsid w:val="00357B1D"/>
    <w:rsid w:val="00357F63"/>
    <w:rsid w:val="00362FDD"/>
    <w:rsid w:val="003635A0"/>
    <w:rsid w:val="00366671"/>
    <w:rsid w:val="003674D5"/>
    <w:rsid w:val="003714F2"/>
    <w:rsid w:val="003735DF"/>
    <w:rsid w:val="00373917"/>
    <w:rsid w:val="00380548"/>
    <w:rsid w:val="00381300"/>
    <w:rsid w:val="00383392"/>
    <w:rsid w:val="003836C0"/>
    <w:rsid w:val="003853F5"/>
    <w:rsid w:val="00390840"/>
    <w:rsid w:val="00392216"/>
    <w:rsid w:val="00394219"/>
    <w:rsid w:val="003A26AF"/>
    <w:rsid w:val="003A4F78"/>
    <w:rsid w:val="003A68D6"/>
    <w:rsid w:val="003A737A"/>
    <w:rsid w:val="003B19A5"/>
    <w:rsid w:val="003B5F98"/>
    <w:rsid w:val="003B61A6"/>
    <w:rsid w:val="003B67CE"/>
    <w:rsid w:val="003B682B"/>
    <w:rsid w:val="003C6318"/>
    <w:rsid w:val="003D0C8E"/>
    <w:rsid w:val="003D44B3"/>
    <w:rsid w:val="003D47A4"/>
    <w:rsid w:val="003D6EF4"/>
    <w:rsid w:val="003D76F9"/>
    <w:rsid w:val="003E0431"/>
    <w:rsid w:val="003E4ECC"/>
    <w:rsid w:val="003F28F0"/>
    <w:rsid w:val="003F2E6C"/>
    <w:rsid w:val="003F3DBF"/>
    <w:rsid w:val="003F4616"/>
    <w:rsid w:val="003F59E0"/>
    <w:rsid w:val="003F788E"/>
    <w:rsid w:val="00401FB4"/>
    <w:rsid w:val="004041E7"/>
    <w:rsid w:val="00407248"/>
    <w:rsid w:val="0040743F"/>
    <w:rsid w:val="004075EC"/>
    <w:rsid w:val="004153EC"/>
    <w:rsid w:val="00417FB2"/>
    <w:rsid w:val="00422A19"/>
    <w:rsid w:val="004249FC"/>
    <w:rsid w:val="004253F1"/>
    <w:rsid w:val="00426C48"/>
    <w:rsid w:val="0043124E"/>
    <w:rsid w:val="004355D6"/>
    <w:rsid w:val="00435CB4"/>
    <w:rsid w:val="00436AD3"/>
    <w:rsid w:val="00441E3D"/>
    <w:rsid w:val="0044733C"/>
    <w:rsid w:val="00452FD4"/>
    <w:rsid w:val="00454347"/>
    <w:rsid w:val="00454AC0"/>
    <w:rsid w:val="00462FE6"/>
    <w:rsid w:val="004676CD"/>
    <w:rsid w:val="004704B9"/>
    <w:rsid w:val="004705E1"/>
    <w:rsid w:val="00474A58"/>
    <w:rsid w:val="004750DE"/>
    <w:rsid w:val="00485FCF"/>
    <w:rsid w:val="004877A6"/>
    <w:rsid w:val="00492CDB"/>
    <w:rsid w:val="00496B27"/>
    <w:rsid w:val="004A21FC"/>
    <w:rsid w:val="004A2826"/>
    <w:rsid w:val="004A30EC"/>
    <w:rsid w:val="004A49D6"/>
    <w:rsid w:val="004A4D8C"/>
    <w:rsid w:val="004A551A"/>
    <w:rsid w:val="004A5B9D"/>
    <w:rsid w:val="004A732E"/>
    <w:rsid w:val="004B0D85"/>
    <w:rsid w:val="004B196C"/>
    <w:rsid w:val="004B3A68"/>
    <w:rsid w:val="004B3CC0"/>
    <w:rsid w:val="004B4736"/>
    <w:rsid w:val="004B579C"/>
    <w:rsid w:val="004B67B6"/>
    <w:rsid w:val="004C3A3D"/>
    <w:rsid w:val="004C5034"/>
    <w:rsid w:val="004D0262"/>
    <w:rsid w:val="004D4316"/>
    <w:rsid w:val="004E31AA"/>
    <w:rsid w:val="004F13A9"/>
    <w:rsid w:val="004F21EF"/>
    <w:rsid w:val="004F6FDC"/>
    <w:rsid w:val="005004DA"/>
    <w:rsid w:val="00501D66"/>
    <w:rsid w:val="00502484"/>
    <w:rsid w:val="00504419"/>
    <w:rsid w:val="0050609E"/>
    <w:rsid w:val="00506166"/>
    <w:rsid w:val="0051447B"/>
    <w:rsid w:val="005166C8"/>
    <w:rsid w:val="0052220D"/>
    <w:rsid w:val="0052629D"/>
    <w:rsid w:val="00527A29"/>
    <w:rsid w:val="00531542"/>
    <w:rsid w:val="00533E28"/>
    <w:rsid w:val="00543AFE"/>
    <w:rsid w:val="005458B7"/>
    <w:rsid w:val="00550D36"/>
    <w:rsid w:val="0056751E"/>
    <w:rsid w:val="00571AF6"/>
    <w:rsid w:val="00573C45"/>
    <w:rsid w:val="005816C1"/>
    <w:rsid w:val="00581B22"/>
    <w:rsid w:val="00581DD1"/>
    <w:rsid w:val="005821D8"/>
    <w:rsid w:val="00590A9E"/>
    <w:rsid w:val="005964AC"/>
    <w:rsid w:val="005A0B92"/>
    <w:rsid w:val="005A3467"/>
    <w:rsid w:val="005A496E"/>
    <w:rsid w:val="005A4E8D"/>
    <w:rsid w:val="005A58B8"/>
    <w:rsid w:val="005A6CF7"/>
    <w:rsid w:val="005B0232"/>
    <w:rsid w:val="005B0C76"/>
    <w:rsid w:val="005C2A92"/>
    <w:rsid w:val="005C2AA1"/>
    <w:rsid w:val="005C5522"/>
    <w:rsid w:val="005D2AAB"/>
    <w:rsid w:val="005D42B5"/>
    <w:rsid w:val="005D4B31"/>
    <w:rsid w:val="005D6878"/>
    <w:rsid w:val="005D6F59"/>
    <w:rsid w:val="005D7040"/>
    <w:rsid w:val="005E52EA"/>
    <w:rsid w:val="005F1E7D"/>
    <w:rsid w:val="005F3502"/>
    <w:rsid w:val="005F3550"/>
    <w:rsid w:val="005F6373"/>
    <w:rsid w:val="0060016B"/>
    <w:rsid w:val="0060279F"/>
    <w:rsid w:val="00602C20"/>
    <w:rsid w:val="00605212"/>
    <w:rsid w:val="00605867"/>
    <w:rsid w:val="00610A98"/>
    <w:rsid w:val="00612639"/>
    <w:rsid w:val="00612ED8"/>
    <w:rsid w:val="006153A4"/>
    <w:rsid w:val="006177CA"/>
    <w:rsid w:val="00623CEC"/>
    <w:rsid w:val="00626649"/>
    <w:rsid w:val="006272CF"/>
    <w:rsid w:val="0063098B"/>
    <w:rsid w:val="0063124A"/>
    <w:rsid w:val="006334E9"/>
    <w:rsid w:val="00636A1B"/>
    <w:rsid w:val="00640818"/>
    <w:rsid w:val="00641857"/>
    <w:rsid w:val="006432B6"/>
    <w:rsid w:val="00643DE2"/>
    <w:rsid w:val="006461E3"/>
    <w:rsid w:val="00650EA2"/>
    <w:rsid w:val="00653361"/>
    <w:rsid w:val="00654440"/>
    <w:rsid w:val="00655220"/>
    <w:rsid w:val="006561E7"/>
    <w:rsid w:val="0066245C"/>
    <w:rsid w:val="006650F1"/>
    <w:rsid w:val="00670116"/>
    <w:rsid w:val="00671D9B"/>
    <w:rsid w:val="00673F51"/>
    <w:rsid w:val="00677C14"/>
    <w:rsid w:val="00683D67"/>
    <w:rsid w:val="006859CC"/>
    <w:rsid w:val="006866CB"/>
    <w:rsid w:val="00690291"/>
    <w:rsid w:val="00692A48"/>
    <w:rsid w:val="00695410"/>
    <w:rsid w:val="006A08BD"/>
    <w:rsid w:val="006A36F6"/>
    <w:rsid w:val="006A39AD"/>
    <w:rsid w:val="006A621F"/>
    <w:rsid w:val="006B2FF3"/>
    <w:rsid w:val="006B317D"/>
    <w:rsid w:val="006C029F"/>
    <w:rsid w:val="006C13D7"/>
    <w:rsid w:val="006C5C06"/>
    <w:rsid w:val="006C6115"/>
    <w:rsid w:val="006D1749"/>
    <w:rsid w:val="006D3387"/>
    <w:rsid w:val="006D3B81"/>
    <w:rsid w:val="006E0627"/>
    <w:rsid w:val="006E1248"/>
    <w:rsid w:val="006E25B0"/>
    <w:rsid w:val="006E6B23"/>
    <w:rsid w:val="006E71F6"/>
    <w:rsid w:val="006F5134"/>
    <w:rsid w:val="006F79A0"/>
    <w:rsid w:val="006F79E2"/>
    <w:rsid w:val="0070052C"/>
    <w:rsid w:val="00700A5A"/>
    <w:rsid w:val="00700C13"/>
    <w:rsid w:val="00702207"/>
    <w:rsid w:val="00706AB4"/>
    <w:rsid w:val="00710FBF"/>
    <w:rsid w:val="007126AC"/>
    <w:rsid w:val="00713AE1"/>
    <w:rsid w:val="00713E50"/>
    <w:rsid w:val="0071635A"/>
    <w:rsid w:val="0072249A"/>
    <w:rsid w:val="00725619"/>
    <w:rsid w:val="00726388"/>
    <w:rsid w:val="00730F47"/>
    <w:rsid w:val="007312CC"/>
    <w:rsid w:val="00733F86"/>
    <w:rsid w:val="00743C7D"/>
    <w:rsid w:val="007461A3"/>
    <w:rsid w:val="00746AB9"/>
    <w:rsid w:val="007512E4"/>
    <w:rsid w:val="00753583"/>
    <w:rsid w:val="00754952"/>
    <w:rsid w:val="007571AE"/>
    <w:rsid w:val="007574C6"/>
    <w:rsid w:val="00761632"/>
    <w:rsid w:val="00762E04"/>
    <w:rsid w:val="00767F97"/>
    <w:rsid w:val="00770C93"/>
    <w:rsid w:val="00773076"/>
    <w:rsid w:val="007731C1"/>
    <w:rsid w:val="0077357D"/>
    <w:rsid w:val="00776D2C"/>
    <w:rsid w:val="00781166"/>
    <w:rsid w:val="0078204B"/>
    <w:rsid w:val="00784AE6"/>
    <w:rsid w:val="007A634A"/>
    <w:rsid w:val="007B06A9"/>
    <w:rsid w:val="007B1E99"/>
    <w:rsid w:val="007B4429"/>
    <w:rsid w:val="007C2D9E"/>
    <w:rsid w:val="007C6B12"/>
    <w:rsid w:val="007D0591"/>
    <w:rsid w:val="007D0E53"/>
    <w:rsid w:val="007D2A2B"/>
    <w:rsid w:val="007E01E3"/>
    <w:rsid w:val="007E1B08"/>
    <w:rsid w:val="007E5862"/>
    <w:rsid w:val="008032E2"/>
    <w:rsid w:val="00804170"/>
    <w:rsid w:val="0080421F"/>
    <w:rsid w:val="0081180C"/>
    <w:rsid w:val="00812329"/>
    <w:rsid w:val="00815559"/>
    <w:rsid w:val="0082100D"/>
    <w:rsid w:val="0082193D"/>
    <w:rsid w:val="008268B8"/>
    <w:rsid w:val="0083204F"/>
    <w:rsid w:val="00832421"/>
    <w:rsid w:val="00832A75"/>
    <w:rsid w:val="00833929"/>
    <w:rsid w:val="00834C10"/>
    <w:rsid w:val="00837DF9"/>
    <w:rsid w:val="008407E0"/>
    <w:rsid w:val="008411D8"/>
    <w:rsid w:val="00853CD4"/>
    <w:rsid w:val="008554AE"/>
    <w:rsid w:val="00861225"/>
    <w:rsid w:val="00864FFF"/>
    <w:rsid w:val="008668AD"/>
    <w:rsid w:val="00867FA8"/>
    <w:rsid w:val="00873019"/>
    <w:rsid w:val="00886932"/>
    <w:rsid w:val="008A0282"/>
    <w:rsid w:val="008A02CF"/>
    <w:rsid w:val="008A1617"/>
    <w:rsid w:val="008A3556"/>
    <w:rsid w:val="008A7715"/>
    <w:rsid w:val="008B5E89"/>
    <w:rsid w:val="008B720D"/>
    <w:rsid w:val="008C1738"/>
    <w:rsid w:val="008C3715"/>
    <w:rsid w:val="008C60F2"/>
    <w:rsid w:val="008C6751"/>
    <w:rsid w:val="008C685B"/>
    <w:rsid w:val="008C6970"/>
    <w:rsid w:val="008D0ADC"/>
    <w:rsid w:val="008D4C6D"/>
    <w:rsid w:val="008D555D"/>
    <w:rsid w:val="008D74CE"/>
    <w:rsid w:val="008E550F"/>
    <w:rsid w:val="008E7D18"/>
    <w:rsid w:val="008F0C03"/>
    <w:rsid w:val="008F0DF8"/>
    <w:rsid w:val="008F12A2"/>
    <w:rsid w:val="008F7247"/>
    <w:rsid w:val="00900E92"/>
    <w:rsid w:val="009038FA"/>
    <w:rsid w:val="0091495D"/>
    <w:rsid w:val="00920244"/>
    <w:rsid w:val="00920770"/>
    <w:rsid w:val="00923BF9"/>
    <w:rsid w:val="00924C7C"/>
    <w:rsid w:val="00926446"/>
    <w:rsid w:val="009338B9"/>
    <w:rsid w:val="00934A03"/>
    <w:rsid w:val="009358FF"/>
    <w:rsid w:val="00935C5C"/>
    <w:rsid w:val="00942BA5"/>
    <w:rsid w:val="0094502C"/>
    <w:rsid w:val="00947F76"/>
    <w:rsid w:val="00951A68"/>
    <w:rsid w:val="00953F5D"/>
    <w:rsid w:val="009549F0"/>
    <w:rsid w:val="0095718C"/>
    <w:rsid w:val="00957BD8"/>
    <w:rsid w:val="00961E9E"/>
    <w:rsid w:val="009631B7"/>
    <w:rsid w:val="00963D29"/>
    <w:rsid w:val="009648A6"/>
    <w:rsid w:val="00965F65"/>
    <w:rsid w:val="00967E34"/>
    <w:rsid w:val="00971910"/>
    <w:rsid w:val="00971BC3"/>
    <w:rsid w:val="00975BD7"/>
    <w:rsid w:val="00976424"/>
    <w:rsid w:val="00982B79"/>
    <w:rsid w:val="009841C6"/>
    <w:rsid w:val="00984EBC"/>
    <w:rsid w:val="009855AD"/>
    <w:rsid w:val="00986693"/>
    <w:rsid w:val="009906A9"/>
    <w:rsid w:val="00994F2D"/>
    <w:rsid w:val="009A1017"/>
    <w:rsid w:val="009A56EE"/>
    <w:rsid w:val="009A7301"/>
    <w:rsid w:val="009B521D"/>
    <w:rsid w:val="009B655F"/>
    <w:rsid w:val="009C1057"/>
    <w:rsid w:val="009C145F"/>
    <w:rsid w:val="009C2041"/>
    <w:rsid w:val="009C7B5C"/>
    <w:rsid w:val="009D0339"/>
    <w:rsid w:val="009D2C44"/>
    <w:rsid w:val="009D6964"/>
    <w:rsid w:val="009E0BDA"/>
    <w:rsid w:val="009E619A"/>
    <w:rsid w:val="009F41A9"/>
    <w:rsid w:val="009F5468"/>
    <w:rsid w:val="009F6FEE"/>
    <w:rsid w:val="009F7643"/>
    <w:rsid w:val="00A00638"/>
    <w:rsid w:val="00A12156"/>
    <w:rsid w:val="00A12343"/>
    <w:rsid w:val="00A1458B"/>
    <w:rsid w:val="00A232D6"/>
    <w:rsid w:val="00A33A69"/>
    <w:rsid w:val="00A413FF"/>
    <w:rsid w:val="00A41EAF"/>
    <w:rsid w:val="00A43F8E"/>
    <w:rsid w:val="00A452C5"/>
    <w:rsid w:val="00A470A1"/>
    <w:rsid w:val="00A479C5"/>
    <w:rsid w:val="00A50879"/>
    <w:rsid w:val="00A50AA7"/>
    <w:rsid w:val="00A52CF0"/>
    <w:rsid w:val="00A5309A"/>
    <w:rsid w:val="00A55E34"/>
    <w:rsid w:val="00A646DD"/>
    <w:rsid w:val="00A64A58"/>
    <w:rsid w:val="00A66D90"/>
    <w:rsid w:val="00A763C7"/>
    <w:rsid w:val="00A83FB1"/>
    <w:rsid w:val="00A91219"/>
    <w:rsid w:val="00A9311C"/>
    <w:rsid w:val="00AA03B1"/>
    <w:rsid w:val="00AA3ADA"/>
    <w:rsid w:val="00AB02CE"/>
    <w:rsid w:val="00AB336F"/>
    <w:rsid w:val="00AC0318"/>
    <w:rsid w:val="00AC1865"/>
    <w:rsid w:val="00AC20FC"/>
    <w:rsid w:val="00AC2D19"/>
    <w:rsid w:val="00AC65BB"/>
    <w:rsid w:val="00AC736B"/>
    <w:rsid w:val="00AD1CF7"/>
    <w:rsid w:val="00AD3793"/>
    <w:rsid w:val="00AD3818"/>
    <w:rsid w:val="00AD3938"/>
    <w:rsid w:val="00AD3CBB"/>
    <w:rsid w:val="00AD48CD"/>
    <w:rsid w:val="00AD5AEB"/>
    <w:rsid w:val="00AD6749"/>
    <w:rsid w:val="00AD69C4"/>
    <w:rsid w:val="00AE3677"/>
    <w:rsid w:val="00AE49D1"/>
    <w:rsid w:val="00AF44EE"/>
    <w:rsid w:val="00AF55B8"/>
    <w:rsid w:val="00B02BFA"/>
    <w:rsid w:val="00B04522"/>
    <w:rsid w:val="00B10056"/>
    <w:rsid w:val="00B11AC2"/>
    <w:rsid w:val="00B15154"/>
    <w:rsid w:val="00B157CD"/>
    <w:rsid w:val="00B218D5"/>
    <w:rsid w:val="00B21A53"/>
    <w:rsid w:val="00B22257"/>
    <w:rsid w:val="00B22FC3"/>
    <w:rsid w:val="00B23916"/>
    <w:rsid w:val="00B3320E"/>
    <w:rsid w:val="00B35E4A"/>
    <w:rsid w:val="00B36B60"/>
    <w:rsid w:val="00B40E6C"/>
    <w:rsid w:val="00B41FD9"/>
    <w:rsid w:val="00B42774"/>
    <w:rsid w:val="00B43C93"/>
    <w:rsid w:val="00B441BC"/>
    <w:rsid w:val="00B46345"/>
    <w:rsid w:val="00B56943"/>
    <w:rsid w:val="00B63033"/>
    <w:rsid w:val="00B705F1"/>
    <w:rsid w:val="00B72102"/>
    <w:rsid w:val="00B737BE"/>
    <w:rsid w:val="00B764F3"/>
    <w:rsid w:val="00B76C43"/>
    <w:rsid w:val="00B77CC2"/>
    <w:rsid w:val="00B77CD9"/>
    <w:rsid w:val="00B80F83"/>
    <w:rsid w:val="00B81DB1"/>
    <w:rsid w:val="00B83D00"/>
    <w:rsid w:val="00B86BA9"/>
    <w:rsid w:val="00B90A1E"/>
    <w:rsid w:val="00B91D48"/>
    <w:rsid w:val="00B92761"/>
    <w:rsid w:val="00B93504"/>
    <w:rsid w:val="00B94F70"/>
    <w:rsid w:val="00B95E2D"/>
    <w:rsid w:val="00BA1B31"/>
    <w:rsid w:val="00BA4EAB"/>
    <w:rsid w:val="00BA69B8"/>
    <w:rsid w:val="00BB054F"/>
    <w:rsid w:val="00BB295A"/>
    <w:rsid w:val="00BB4133"/>
    <w:rsid w:val="00BC2BFE"/>
    <w:rsid w:val="00BC3E43"/>
    <w:rsid w:val="00BD3C2E"/>
    <w:rsid w:val="00BD4FC3"/>
    <w:rsid w:val="00BD557B"/>
    <w:rsid w:val="00BD72D8"/>
    <w:rsid w:val="00BE19AF"/>
    <w:rsid w:val="00BE467C"/>
    <w:rsid w:val="00BE46EA"/>
    <w:rsid w:val="00BE63C5"/>
    <w:rsid w:val="00BE6653"/>
    <w:rsid w:val="00BF0D9B"/>
    <w:rsid w:val="00BF2266"/>
    <w:rsid w:val="00BF605C"/>
    <w:rsid w:val="00C01B7F"/>
    <w:rsid w:val="00C02263"/>
    <w:rsid w:val="00C0561F"/>
    <w:rsid w:val="00C05DFF"/>
    <w:rsid w:val="00C06CCF"/>
    <w:rsid w:val="00C07343"/>
    <w:rsid w:val="00C14F31"/>
    <w:rsid w:val="00C20466"/>
    <w:rsid w:val="00C216AD"/>
    <w:rsid w:val="00C242D8"/>
    <w:rsid w:val="00C25943"/>
    <w:rsid w:val="00C27D7F"/>
    <w:rsid w:val="00C27F00"/>
    <w:rsid w:val="00C31350"/>
    <w:rsid w:val="00C33288"/>
    <w:rsid w:val="00C361CF"/>
    <w:rsid w:val="00C40D68"/>
    <w:rsid w:val="00C41597"/>
    <w:rsid w:val="00C4268F"/>
    <w:rsid w:val="00C4483A"/>
    <w:rsid w:val="00C450F2"/>
    <w:rsid w:val="00C505E0"/>
    <w:rsid w:val="00C51A7E"/>
    <w:rsid w:val="00C51BE3"/>
    <w:rsid w:val="00C51C23"/>
    <w:rsid w:val="00C52CA7"/>
    <w:rsid w:val="00C573E5"/>
    <w:rsid w:val="00C64374"/>
    <w:rsid w:val="00C67654"/>
    <w:rsid w:val="00C71BFE"/>
    <w:rsid w:val="00C75B14"/>
    <w:rsid w:val="00C81098"/>
    <w:rsid w:val="00C845DF"/>
    <w:rsid w:val="00C90E45"/>
    <w:rsid w:val="00C929D6"/>
    <w:rsid w:val="00C94A54"/>
    <w:rsid w:val="00C958DD"/>
    <w:rsid w:val="00CA19F9"/>
    <w:rsid w:val="00CA212C"/>
    <w:rsid w:val="00CA72AF"/>
    <w:rsid w:val="00CB2C9C"/>
    <w:rsid w:val="00CB5640"/>
    <w:rsid w:val="00CB6322"/>
    <w:rsid w:val="00CB7B44"/>
    <w:rsid w:val="00CC69C6"/>
    <w:rsid w:val="00CC72F3"/>
    <w:rsid w:val="00CD3B7C"/>
    <w:rsid w:val="00CD3F9B"/>
    <w:rsid w:val="00CD493F"/>
    <w:rsid w:val="00CD4CFE"/>
    <w:rsid w:val="00CD7EE1"/>
    <w:rsid w:val="00CE5038"/>
    <w:rsid w:val="00CE5217"/>
    <w:rsid w:val="00CF07DA"/>
    <w:rsid w:val="00CF5B5C"/>
    <w:rsid w:val="00D00E21"/>
    <w:rsid w:val="00D011D7"/>
    <w:rsid w:val="00D14284"/>
    <w:rsid w:val="00D16940"/>
    <w:rsid w:val="00D218CC"/>
    <w:rsid w:val="00D21EB3"/>
    <w:rsid w:val="00D22C70"/>
    <w:rsid w:val="00D25429"/>
    <w:rsid w:val="00D32BE7"/>
    <w:rsid w:val="00D3367E"/>
    <w:rsid w:val="00D35CED"/>
    <w:rsid w:val="00D423F5"/>
    <w:rsid w:val="00D44A34"/>
    <w:rsid w:val="00D44BC5"/>
    <w:rsid w:val="00D52851"/>
    <w:rsid w:val="00D53064"/>
    <w:rsid w:val="00D53AC7"/>
    <w:rsid w:val="00D65019"/>
    <w:rsid w:val="00D65797"/>
    <w:rsid w:val="00D65970"/>
    <w:rsid w:val="00D73025"/>
    <w:rsid w:val="00D811F6"/>
    <w:rsid w:val="00D92537"/>
    <w:rsid w:val="00D945C8"/>
    <w:rsid w:val="00D95347"/>
    <w:rsid w:val="00D95958"/>
    <w:rsid w:val="00D95D29"/>
    <w:rsid w:val="00D95E56"/>
    <w:rsid w:val="00D9764D"/>
    <w:rsid w:val="00DA33E5"/>
    <w:rsid w:val="00DA556F"/>
    <w:rsid w:val="00DA578A"/>
    <w:rsid w:val="00DB05CE"/>
    <w:rsid w:val="00DB4078"/>
    <w:rsid w:val="00DC1586"/>
    <w:rsid w:val="00DC2317"/>
    <w:rsid w:val="00DC2F64"/>
    <w:rsid w:val="00DD2F2D"/>
    <w:rsid w:val="00DE4002"/>
    <w:rsid w:val="00DE506F"/>
    <w:rsid w:val="00DE5CE0"/>
    <w:rsid w:val="00DE7B30"/>
    <w:rsid w:val="00DF7637"/>
    <w:rsid w:val="00E04038"/>
    <w:rsid w:val="00E04498"/>
    <w:rsid w:val="00E078B7"/>
    <w:rsid w:val="00E124E1"/>
    <w:rsid w:val="00E13E38"/>
    <w:rsid w:val="00E14764"/>
    <w:rsid w:val="00E15C9B"/>
    <w:rsid w:val="00E165D3"/>
    <w:rsid w:val="00E26A9A"/>
    <w:rsid w:val="00E310F9"/>
    <w:rsid w:val="00E36A4F"/>
    <w:rsid w:val="00E36B14"/>
    <w:rsid w:val="00E371B2"/>
    <w:rsid w:val="00E377FF"/>
    <w:rsid w:val="00E37F4C"/>
    <w:rsid w:val="00E43487"/>
    <w:rsid w:val="00E43576"/>
    <w:rsid w:val="00E511AF"/>
    <w:rsid w:val="00E54CD3"/>
    <w:rsid w:val="00E55964"/>
    <w:rsid w:val="00E56302"/>
    <w:rsid w:val="00E56DDD"/>
    <w:rsid w:val="00E6060A"/>
    <w:rsid w:val="00E6084C"/>
    <w:rsid w:val="00E61CD2"/>
    <w:rsid w:val="00E64270"/>
    <w:rsid w:val="00E702EE"/>
    <w:rsid w:val="00E7422D"/>
    <w:rsid w:val="00E74DDE"/>
    <w:rsid w:val="00E74E48"/>
    <w:rsid w:val="00E76FE7"/>
    <w:rsid w:val="00E8028E"/>
    <w:rsid w:val="00E807B6"/>
    <w:rsid w:val="00E81DD8"/>
    <w:rsid w:val="00E827E4"/>
    <w:rsid w:val="00E832DF"/>
    <w:rsid w:val="00E86904"/>
    <w:rsid w:val="00E915E7"/>
    <w:rsid w:val="00E93D62"/>
    <w:rsid w:val="00E93F3A"/>
    <w:rsid w:val="00E9418C"/>
    <w:rsid w:val="00E979AB"/>
    <w:rsid w:val="00EA0719"/>
    <w:rsid w:val="00EA0A8A"/>
    <w:rsid w:val="00EA1856"/>
    <w:rsid w:val="00EA5F3E"/>
    <w:rsid w:val="00EB1B2D"/>
    <w:rsid w:val="00EB355E"/>
    <w:rsid w:val="00EB4603"/>
    <w:rsid w:val="00EB4FDE"/>
    <w:rsid w:val="00EB7BF2"/>
    <w:rsid w:val="00EC01F8"/>
    <w:rsid w:val="00EC0671"/>
    <w:rsid w:val="00EC4C4A"/>
    <w:rsid w:val="00EC7AD9"/>
    <w:rsid w:val="00ED3425"/>
    <w:rsid w:val="00ED4D62"/>
    <w:rsid w:val="00ED60AB"/>
    <w:rsid w:val="00ED77C7"/>
    <w:rsid w:val="00EE02EE"/>
    <w:rsid w:val="00EE34FB"/>
    <w:rsid w:val="00EE646C"/>
    <w:rsid w:val="00EE6F1F"/>
    <w:rsid w:val="00EF1995"/>
    <w:rsid w:val="00EF2E64"/>
    <w:rsid w:val="00EF504C"/>
    <w:rsid w:val="00EF5CFB"/>
    <w:rsid w:val="00EF60C3"/>
    <w:rsid w:val="00EF76D4"/>
    <w:rsid w:val="00F0181A"/>
    <w:rsid w:val="00F02406"/>
    <w:rsid w:val="00F11050"/>
    <w:rsid w:val="00F12C01"/>
    <w:rsid w:val="00F14135"/>
    <w:rsid w:val="00F14A2E"/>
    <w:rsid w:val="00F17B6A"/>
    <w:rsid w:val="00F23259"/>
    <w:rsid w:val="00F239B7"/>
    <w:rsid w:val="00F27B37"/>
    <w:rsid w:val="00F27F74"/>
    <w:rsid w:val="00F33C3B"/>
    <w:rsid w:val="00F35467"/>
    <w:rsid w:val="00F36776"/>
    <w:rsid w:val="00F37F4C"/>
    <w:rsid w:val="00F41E8C"/>
    <w:rsid w:val="00F46F9C"/>
    <w:rsid w:val="00F50648"/>
    <w:rsid w:val="00F510D1"/>
    <w:rsid w:val="00F52667"/>
    <w:rsid w:val="00F55256"/>
    <w:rsid w:val="00F569D5"/>
    <w:rsid w:val="00F573F4"/>
    <w:rsid w:val="00F630F2"/>
    <w:rsid w:val="00F644D8"/>
    <w:rsid w:val="00F64C57"/>
    <w:rsid w:val="00F70ECE"/>
    <w:rsid w:val="00F7301B"/>
    <w:rsid w:val="00F76C6B"/>
    <w:rsid w:val="00F77CD1"/>
    <w:rsid w:val="00F80704"/>
    <w:rsid w:val="00F82312"/>
    <w:rsid w:val="00F842E2"/>
    <w:rsid w:val="00F914E6"/>
    <w:rsid w:val="00F9238E"/>
    <w:rsid w:val="00F9245F"/>
    <w:rsid w:val="00F96729"/>
    <w:rsid w:val="00F97A57"/>
    <w:rsid w:val="00FA17A6"/>
    <w:rsid w:val="00FA1FDC"/>
    <w:rsid w:val="00FA7C01"/>
    <w:rsid w:val="00FB1D16"/>
    <w:rsid w:val="00FB684F"/>
    <w:rsid w:val="00FB72B4"/>
    <w:rsid w:val="00FC1A78"/>
    <w:rsid w:val="00FC1C41"/>
    <w:rsid w:val="00FC4595"/>
    <w:rsid w:val="00FC658A"/>
    <w:rsid w:val="00FC7924"/>
    <w:rsid w:val="00FD02D1"/>
    <w:rsid w:val="00FD4EA8"/>
    <w:rsid w:val="00FE04C0"/>
    <w:rsid w:val="00FE25CF"/>
    <w:rsid w:val="00FF173D"/>
    <w:rsid w:val="00FF21C1"/>
    <w:rsid w:val="00FF2D9B"/>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748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D18"/>
    <w:pPr>
      <w:spacing w:after="200" w:line="276" w:lineRule="auto"/>
    </w:pPr>
    <w:rPr>
      <w:rFonts w:eastAsiaTheme="minorHAnsi" w:hAnsiTheme="minorHAnsi" w:cstheme="minorBidi"/>
      <w:lang w:eastAsia="en-US"/>
    </w:rPr>
  </w:style>
  <w:style w:type="paragraph" w:styleId="Heading1">
    <w:name w:val="heading 1"/>
    <w:basedOn w:val="Normal"/>
    <w:next w:val="Normal"/>
    <w:link w:val="Heading1Char"/>
    <w:uiPriority w:val="9"/>
    <w:qFormat/>
    <w:rsid w:val="008E7D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7D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7D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E7D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D18"/>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8E7D18"/>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8E7D18"/>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8E7D18"/>
    <w:rPr>
      <w:rFonts w:asciiTheme="majorHAnsi" w:eastAsiaTheme="majorEastAsia" w:hAnsiTheme="majorHAnsi" w:cstheme="majorBidi"/>
      <w:i/>
      <w:iCs/>
      <w:color w:val="2F5496" w:themeColor="accent1" w:themeShade="BF"/>
      <w:lang w:eastAsia="en-US"/>
    </w:rPr>
  </w:style>
  <w:style w:type="paragraph" w:styleId="FootnoteText">
    <w:name w:val="footnote text"/>
    <w:basedOn w:val="Normal"/>
    <w:link w:val="FootnoteTextChar"/>
    <w:uiPriority w:val="99"/>
    <w:unhideWhenUsed/>
    <w:rsid w:val="008E7D18"/>
    <w:pPr>
      <w:spacing w:after="0" w:line="240" w:lineRule="auto"/>
    </w:pPr>
    <w:rPr>
      <w:sz w:val="20"/>
      <w:szCs w:val="20"/>
    </w:rPr>
  </w:style>
  <w:style w:type="character" w:customStyle="1" w:styleId="FootnoteTextChar">
    <w:name w:val="Footnote Text Char"/>
    <w:basedOn w:val="DefaultParagraphFont"/>
    <w:link w:val="FootnoteText"/>
    <w:uiPriority w:val="99"/>
    <w:rsid w:val="008E7D18"/>
    <w:rPr>
      <w:rFonts w:eastAsiaTheme="minorHAnsi" w:hAnsiTheme="minorHAnsi" w:cstheme="minorBidi"/>
      <w:sz w:val="20"/>
      <w:szCs w:val="20"/>
      <w:lang w:eastAsia="en-US"/>
    </w:rPr>
  </w:style>
  <w:style w:type="character" w:styleId="FootnoteReference">
    <w:name w:val="footnote reference"/>
    <w:aliases w:val="Footnote Reference in text,Footnotemark,FR,Footnotemark1,Footnotemark2,FR1,Footnotemark3,FR2,Footnotemark4,FR3,Footnotemark5,FR4,Footnotemark6,Footnotemark7,Footnotemark8,FR5,Footnotemark11,Footnotemark21,FR11,Footnotemark31,FR21,FR31"/>
    <w:basedOn w:val="DefaultParagraphFont"/>
    <w:unhideWhenUsed/>
    <w:rsid w:val="008E7D18"/>
    <w:rPr>
      <w:vertAlign w:val="superscript"/>
    </w:rPr>
  </w:style>
  <w:style w:type="character" w:styleId="CommentReference">
    <w:name w:val="annotation reference"/>
    <w:basedOn w:val="DefaultParagraphFont"/>
    <w:uiPriority w:val="99"/>
    <w:semiHidden/>
    <w:unhideWhenUsed/>
    <w:rsid w:val="008E7D18"/>
    <w:rPr>
      <w:sz w:val="16"/>
      <w:szCs w:val="16"/>
    </w:rPr>
  </w:style>
  <w:style w:type="paragraph" w:styleId="CommentText">
    <w:name w:val="annotation text"/>
    <w:basedOn w:val="Normal"/>
    <w:link w:val="CommentTextChar"/>
    <w:uiPriority w:val="99"/>
    <w:unhideWhenUsed/>
    <w:rsid w:val="008E7D18"/>
    <w:pPr>
      <w:spacing w:line="240" w:lineRule="auto"/>
    </w:pPr>
    <w:rPr>
      <w:sz w:val="20"/>
      <w:szCs w:val="20"/>
    </w:rPr>
  </w:style>
  <w:style w:type="character" w:customStyle="1" w:styleId="CommentTextChar">
    <w:name w:val="Comment Text Char"/>
    <w:basedOn w:val="DefaultParagraphFont"/>
    <w:link w:val="CommentText"/>
    <w:uiPriority w:val="99"/>
    <w:rsid w:val="008E7D18"/>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8E7D18"/>
    <w:rPr>
      <w:b/>
      <w:bCs/>
    </w:rPr>
  </w:style>
  <w:style w:type="character" w:customStyle="1" w:styleId="CommentSubjectChar">
    <w:name w:val="Comment Subject Char"/>
    <w:basedOn w:val="CommentTextChar"/>
    <w:link w:val="CommentSubject"/>
    <w:uiPriority w:val="99"/>
    <w:semiHidden/>
    <w:rsid w:val="008E7D18"/>
    <w:rPr>
      <w:rFonts w:eastAsiaTheme="minorHAnsi" w:hAnsiTheme="minorHAnsi" w:cstheme="minorBidi"/>
      <w:b/>
      <w:bCs/>
      <w:sz w:val="20"/>
      <w:szCs w:val="20"/>
      <w:lang w:eastAsia="en-US"/>
    </w:rPr>
  </w:style>
  <w:style w:type="paragraph" w:styleId="ListParagraph">
    <w:name w:val="List Paragraph"/>
    <w:basedOn w:val="Normal"/>
    <w:uiPriority w:val="34"/>
    <w:qFormat/>
    <w:rsid w:val="008E7D18"/>
    <w:pPr>
      <w:ind w:left="720"/>
      <w:contextualSpacing/>
    </w:pPr>
  </w:style>
  <w:style w:type="paragraph" w:styleId="NormalWeb">
    <w:name w:val="Normal (Web)"/>
    <w:basedOn w:val="Normal"/>
    <w:uiPriority w:val="99"/>
    <w:semiHidden/>
    <w:unhideWhenUsed/>
    <w:rsid w:val="008E7D18"/>
    <w:rPr>
      <w:rFonts w:ascii="Times New Roman" w:hAnsi="Times New Roman" w:cs="Times New Roman"/>
      <w:sz w:val="24"/>
      <w:szCs w:val="24"/>
    </w:rPr>
  </w:style>
  <w:style w:type="character" w:styleId="Hyperlink">
    <w:name w:val="Hyperlink"/>
    <w:basedOn w:val="DefaultParagraphFont"/>
    <w:uiPriority w:val="99"/>
    <w:unhideWhenUsed/>
    <w:rsid w:val="008E7D18"/>
    <w:rPr>
      <w:color w:val="0563C1" w:themeColor="hyperlink"/>
      <w:u w:val="single"/>
    </w:rPr>
  </w:style>
  <w:style w:type="character" w:styleId="UnresolvedMention">
    <w:name w:val="Unresolved Mention"/>
    <w:basedOn w:val="DefaultParagraphFont"/>
    <w:uiPriority w:val="99"/>
    <w:semiHidden/>
    <w:unhideWhenUsed/>
    <w:rsid w:val="008E7D18"/>
    <w:rPr>
      <w:color w:val="605E5C"/>
      <w:shd w:val="clear" w:color="auto" w:fill="E1DFDD"/>
    </w:rPr>
  </w:style>
  <w:style w:type="paragraph" w:styleId="Revision">
    <w:name w:val="Revision"/>
    <w:hidden/>
    <w:uiPriority w:val="99"/>
    <w:semiHidden/>
    <w:rsid w:val="008E7D18"/>
    <w:pPr>
      <w:spacing w:after="0" w:line="240" w:lineRule="auto"/>
    </w:pPr>
    <w:rPr>
      <w:rFonts w:eastAsiaTheme="minorHAnsi" w:hAnsiTheme="minorHAnsi" w:cstheme="minorBidi"/>
      <w:lang w:eastAsia="en-US"/>
    </w:rPr>
  </w:style>
  <w:style w:type="paragraph" w:styleId="NoSpacing">
    <w:name w:val="No Spacing"/>
    <w:uiPriority w:val="1"/>
    <w:qFormat/>
    <w:rsid w:val="008E7D18"/>
    <w:pPr>
      <w:spacing w:after="0" w:line="240" w:lineRule="auto"/>
    </w:pPr>
    <w:rPr>
      <w:rFonts w:eastAsiaTheme="minorHAnsi" w:hAnsiTheme="minorHAnsi" w:cstheme="minorBidi"/>
      <w:lang w:eastAsia="en-US"/>
    </w:rPr>
  </w:style>
  <w:style w:type="table" w:styleId="TableGrid">
    <w:name w:val="Table Grid"/>
    <w:basedOn w:val="TableNormal"/>
    <w:uiPriority w:val="39"/>
    <w:rsid w:val="008E7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E7D18"/>
    <w:pPr>
      <w:spacing w:after="0"/>
      <w:jc w:val="center"/>
    </w:pPr>
    <w:rPr>
      <w:rFonts w:ascii="Calibri" w:hAnsi="Calibri" w:cs="Calibri"/>
      <w:noProof/>
      <w:sz w:val="20"/>
      <w:szCs w:val="20"/>
      <w:lang w:val="en-US"/>
    </w:rPr>
  </w:style>
  <w:style w:type="character" w:customStyle="1" w:styleId="EndNoteBibliographyTitleChar">
    <w:name w:val="EndNote Bibliography Title Char"/>
    <w:basedOn w:val="FootnoteTextChar"/>
    <w:link w:val="EndNoteBibliographyTitle"/>
    <w:rsid w:val="008E7D18"/>
    <w:rPr>
      <w:rFonts w:ascii="Calibri" w:eastAsiaTheme="minorHAnsi" w:hAnsi="Calibri" w:cs="Calibri"/>
      <w:noProof/>
      <w:sz w:val="20"/>
      <w:szCs w:val="20"/>
      <w:lang w:val="en-US" w:eastAsia="en-US"/>
    </w:rPr>
  </w:style>
  <w:style w:type="paragraph" w:customStyle="1" w:styleId="EndNoteBibliography">
    <w:name w:val="EndNote Bibliography"/>
    <w:basedOn w:val="Normal"/>
    <w:link w:val="EndNoteBibliographyChar"/>
    <w:rsid w:val="008E7D18"/>
    <w:pPr>
      <w:spacing w:line="240" w:lineRule="auto"/>
    </w:pPr>
    <w:rPr>
      <w:rFonts w:ascii="Calibri" w:hAnsi="Calibri" w:cs="Calibri"/>
      <w:noProof/>
      <w:sz w:val="20"/>
      <w:szCs w:val="20"/>
      <w:lang w:val="en-US"/>
    </w:rPr>
  </w:style>
  <w:style w:type="character" w:customStyle="1" w:styleId="EndNoteBibliographyChar">
    <w:name w:val="EndNote Bibliography Char"/>
    <w:basedOn w:val="FootnoteTextChar"/>
    <w:link w:val="EndNoteBibliography"/>
    <w:rsid w:val="008E7D18"/>
    <w:rPr>
      <w:rFonts w:ascii="Calibri" w:eastAsiaTheme="minorHAnsi" w:hAnsi="Calibri" w:cs="Calibri"/>
      <w:noProof/>
      <w:sz w:val="20"/>
      <w:szCs w:val="20"/>
      <w:lang w:val="en-US" w:eastAsia="en-US"/>
    </w:rPr>
  </w:style>
  <w:style w:type="paragraph" w:styleId="Header">
    <w:name w:val="header"/>
    <w:basedOn w:val="Normal"/>
    <w:link w:val="HeaderChar"/>
    <w:uiPriority w:val="99"/>
    <w:unhideWhenUsed/>
    <w:rsid w:val="008E7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D18"/>
    <w:rPr>
      <w:rFonts w:eastAsiaTheme="minorHAnsi" w:hAnsiTheme="minorHAnsi" w:cstheme="minorBidi"/>
      <w:lang w:eastAsia="en-US"/>
    </w:rPr>
  </w:style>
  <w:style w:type="paragraph" w:styleId="Footer">
    <w:name w:val="footer"/>
    <w:basedOn w:val="Normal"/>
    <w:link w:val="FooterChar"/>
    <w:uiPriority w:val="99"/>
    <w:unhideWhenUsed/>
    <w:rsid w:val="008E7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D18"/>
    <w:rPr>
      <w:rFonts w:eastAsiaTheme="minorHAnsi" w:hAnsiTheme="minorHAnsi" w:cstheme="minorBidi"/>
      <w:lang w:eastAsia="en-US"/>
    </w:rPr>
  </w:style>
  <w:style w:type="paragraph" w:styleId="Title">
    <w:name w:val="Title"/>
    <w:basedOn w:val="Normal"/>
    <w:next w:val="Normal"/>
    <w:link w:val="TitleChar"/>
    <w:uiPriority w:val="10"/>
    <w:qFormat/>
    <w:rsid w:val="006A39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9A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389">
      <w:bodyDiv w:val="1"/>
      <w:marLeft w:val="0"/>
      <w:marRight w:val="0"/>
      <w:marTop w:val="0"/>
      <w:marBottom w:val="0"/>
      <w:divBdr>
        <w:top w:val="none" w:sz="0" w:space="0" w:color="auto"/>
        <w:left w:val="none" w:sz="0" w:space="0" w:color="auto"/>
        <w:bottom w:val="none" w:sz="0" w:space="0" w:color="auto"/>
        <w:right w:val="none" w:sz="0" w:space="0" w:color="auto"/>
      </w:divBdr>
      <w:divsChild>
        <w:div w:id="1210190639">
          <w:marLeft w:val="0"/>
          <w:marRight w:val="0"/>
          <w:marTop w:val="0"/>
          <w:marBottom w:val="0"/>
          <w:divBdr>
            <w:top w:val="none" w:sz="0" w:space="0" w:color="auto"/>
            <w:left w:val="none" w:sz="0" w:space="0" w:color="auto"/>
            <w:bottom w:val="none" w:sz="0" w:space="0" w:color="auto"/>
            <w:right w:val="none" w:sz="0" w:space="0" w:color="auto"/>
          </w:divBdr>
          <w:divsChild>
            <w:div w:id="1793398631">
              <w:marLeft w:val="0"/>
              <w:marRight w:val="0"/>
              <w:marTop w:val="0"/>
              <w:marBottom w:val="0"/>
              <w:divBdr>
                <w:top w:val="none" w:sz="0" w:space="0" w:color="auto"/>
                <w:left w:val="none" w:sz="0" w:space="0" w:color="auto"/>
                <w:bottom w:val="none" w:sz="0" w:space="0" w:color="auto"/>
                <w:right w:val="none" w:sz="0" w:space="0" w:color="auto"/>
              </w:divBdr>
              <w:divsChild>
                <w:div w:id="1613170821">
                  <w:marLeft w:val="0"/>
                  <w:marRight w:val="0"/>
                  <w:marTop w:val="0"/>
                  <w:marBottom w:val="0"/>
                  <w:divBdr>
                    <w:top w:val="none" w:sz="0" w:space="0" w:color="auto"/>
                    <w:left w:val="none" w:sz="0" w:space="0" w:color="auto"/>
                    <w:bottom w:val="none" w:sz="0" w:space="0" w:color="auto"/>
                    <w:right w:val="none" w:sz="0" w:space="0" w:color="auto"/>
                  </w:divBdr>
                  <w:divsChild>
                    <w:div w:id="1997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4460">
      <w:bodyDiv w:val="1"/>
      <w:marLeft w:val="0"/>
      <w:marRight w:val="0"/>
      <w:marTop w:val="0"/>
      <w:marBottom w:val="0"/>
      <w:divBdr>
        <w:top w:val="none" w:sz="0" w:space="0" w:color="auto"/>
        <w:left w:val="none" w:sz="0" w:space="0" w:color="auto"/>
        <w:bottom w:val="none" w:sz="0" w:space="0" w:color="auto"/>
        <w:right w:val="none" w:sz="0" w:space="0" w:color="auto"/>
      </w:divBdr>
    </w:div>
    <w:div w:id="180710389">
      <w:bodyDiv w:val="1"/>
      <w:marLeft w:val="0"/>
      <w:marRight w:val="0"/>
      <w:marTop w:val="0"/>
      <w:marBottom w:val="0"/>
      <w:divBdr>
        <w:top w:val="none" w:sz="0" w:space="0" w:color="auto"/>
        <w:left w:val="none" w:sz="0" w:space="0" w:color="auto"/>
        <w:bottom w:val="none" w:sz="0" w:space="0" w:color="auto"/>
        <w:right w:val="none" w:sz="0" w:space="0" w:color="auto"/>
      </w:divBdr>
    </w:div>
    <w:div w:id="184901700">
      <w:bodyDiv w:val="1"/>
      <w:marLeft w:val="0"/>
      <w:marRight w:val="0"/>
      <w:marTop w:val="0"/>
      <w:marBottom w:val="0"/>
      <w:divBdr>
        <w:top w:val="none" w:sz="0" w:space="0" w:color="auto"/>
        <w:left w:val="none" w:sz="0" w:space="0" w:color="auto"/>
        <w:bottom w:val="none" w:sz="0" w:space="0" w:color="auto"/>
        <w:right w:val="none" w:sz="0" w:space="0" w:color="auto"/>
      </w:divBdr>
    </w:div>
    <w:div w:id="204760310">
      <w:bodyDiv w:val="1"/>
      <w:marLeft w:val="0"/>
      <w:marRight w:val="0"/>
      <w:marTop w:val="0"/>
      <w:marBottom w:val="0"/>
      <w:divBdr>
        <w:top w:val="none" w:sz="0" w:space="0" w:color="auto"/>
        <w:left w:val="none" w:sz="0" w:space="0" w:color="auto"/>
        <w:bottom w:val="none" w:sz="0" w:space="0" w:color="auto"/>
        <w:right w:val="none" w:sz="0" w:space="0" w:color="auto"/>
      </w:divBdr>
    </w:div>
    <w:div w:id="245656124">
      <w:bodyDiv w:val="1"/>
      <w:marLeft w:val="0"/>
      <w:marRight w:val="0"/>
      <w:marTop w:val="0"/>
      <w:marBottom w:val="0"/>
      <w:divBdr>
        <w:top w:val="none" w:sz="0" w:space="0" w:color="auto"/>
        <w:left w:val="none" w:sz="0" w:space="0" w:color="auto"/>
        <w:bottom w:val="none" w:sz="0" w:space="0" w:color="auto"/>
        <w:right w:val="none" w:sz="0" w:space="0" w:color="auto"/>
      </w:divBdr>
    </w:div>
    <w:div w:id="295528030">
      <w:bodyDiv w:val="1"/>
      <w:marLeft w:val="0"/>
      <w:marRight w:val="0"/>
      <w:marTop w:val="0"/>
      <w:marBottom w:val="0"/>
      <w:divBdr>
        <w:top w:val="none" w:sz="0" w:space="0" w:color="auto"/>
        <w:left w:val="none" w:sz="0" w:space="0" w:color="auto"/>
        <w:bottom w:val="none" w:sz="0" w:space="0" w:color="auto"/>
        <w:right w:val="none" w:sz="0" w:space="0" w:color="auto"/>
      </w:divBdr>
    </w:div>
    <w:div w:id="331030366">
      <w:bodyDiv w:val="1"/>
      <w:marLeft w:val="0"/>
      <w:marRight w:val="0"/>
      <w:marTop w:val="0"/>
      <w:marBottom w:val="0"/>
      <w:divBdr>
        <w:top w:val="none" w:sz="0" w:space="0" w:color="auto"/>
        <w:left w:val="none" w:sz="0" w:space="0" w:color="auto"/>
        <w:bottom w:val="none" w:sz="0" w:space="0" w:color="auto"/>
        <w:right w:val="none" w:sz="0" w:space="0" w:color="auto"/>
      </w:divBdr>
    </w:div>
    <w:div w:id="382675301">
      <w:bodyDiv w:val="1"/>
      <w:marLeft w:val="0"/>
      <w:marRight w:val="0"/>
      <w:marTop w:val="0"/>
      <w:marBottom w:val="0"/>
      <w:divBdr>
        <w:top w:val="none" w:sz="0" w:space="0" w:color="auto"/>
        <w:left w:val="none" w:sz="0" w:space="0" w:color="auto"/>
        <w:bottom w:val="none" w:sz="0" w:space="0" w:color="auto"/>
        <w:right w:val="none" w:sz="0" w:space="0" w:color="auto"/>
      </w:divBdr>
    </w:div>
    <w:div w:id="501359180">
      <w:bodyDiv w:val="1"/>
      <w:marLeft w:val="0"/>
      <w:marRight w:val="0"/>
      <w:marTop w:val="0"/>
      <w:marBottom w:val="0"/>
      <w:divBdr>
        <w:top w:val="none" w:sz="0" w:space="0" w:color="auto"/>
        <w:left w:val="none" w:sz="0" w:space="0" w:color="auto"/>
        <w:bottom w:val="none" w:sz="0" w:space="0" w:color="auto"/>
        <w:right w:val="none" w:sz="0" w:space="0" w:color="auto"/>
      </w:divBdr>
    </w:div>
    <w:div w:id="546993450">
      <w:bodyDiv w:val="1"/>
      <w:marLeft w:val="0"/>
      <w:marRight w:val="0"/>
      <w:marTop w:val="0"/>
      <w:marBottom w:val="0"/>
      <w:divBdr>
        <w:top w:val="none" w:sz="0" w:space="0" w:color="auto"/>
        <w:left w:val="none" w:sz="0" w:space="0" w:color="auto"/>
        <w:bottom w:val="none" w:sz="0" w:space="0" w:color="auto"/>
        <w:right w:val="none" w:sz="0" w:space="0" w:color="auto"/>
      </w:divBdr>
    </w:div>
    <w:div w:id="550071884">
      <w:bodyDiv w:val="1"/>
      <w:marLeft w:val="0"/>
      <w:marRight w:val="0"/>
      <w:marTop w:val="0"/>
      <w:marBottom w:val="0"/>
      <w:divBdr>
        <w:top w:val="none" w:sz="0" w:space="0" w:color="auto"/>
        <w:left w:val="none" w:sz="0" w:space="0" w:color="auto"/>
        <w:bottom w:val="none" w:sz="0" w:space="0" w:color="auto"/>
        <w:right w:val="none" w:sz="0" w:space="0" w:color="auto"/>
      </w:divBdr>
    </w:div>
    <w:div w:id="554853454">
      <w:bodyDiv w:val="1"/>
      <w:marLeft w:val="0"/>
      <w:marRight w:val="0"/>
      <w:marTop w:val="0"/>
      <w:marBottom w:val="0"/>
      <w:divBdr>
        <w:top w:val="none" w:sz="0" w:space="0" w:color="auto"/>
        <w:left w:val="none" w:sz="0" w:space="0" w:color="auto"/>
        <w:bottom w:val="none" w:sz="0" w:space="0" w:color="auto"/>
        <w:right w:val="none" w:sz="0" w:space="0" w:color="auto"/>
      </w:divBdr>
    </w:div>
    <w:div w:id="594823458">
      <w:bodyDiv w:val="1"/>
      <w:marLeft w:val="0"/>
      <w:marRight w:val="0"/>
      <w:marTop w:val="0"/>
      <w:marBottom w:val="0"/>
      <w:divBdr>
        <w:top w:val="none" w:sz="0" w:space="0" w:color="auto"/>
        <w:left w:val="none" w:sz="0" w:space="0" w:color="auto"/>
        <w:bottom w:val="none" w:sz="0" w:space="0" w:color="auto"/>
        <w:right w:val="none" w:sz="0" w:space="0" w:color="auto"/>
      </w:divBdr>
    </w:div>
    <w:div w:id="737946509">
      <w:bodyDiv w:val="1"/>
      <w:marLeft w:val="0"/>
      <w:marRight w:val="0"/>
      <w:marTop w:val="0"/>
      <w:marBottom w:val="0"/>
      <w:divBdr>
        <w:top w:val="none" w:sz="0" w:space="0" w:color="auto"/>
        <w:left w:val="none" w:sz="0" w:space="0" w:color="auto"/>
        <w:bottom w:val="none" w:sz="0" w:space="0" w:color="auto"/>
        <w:right w:val="none" w:sz="0" w:space="0" w:color="auto"/>
      </w:divBdr>
    </w:div>
    <w:div w:id="746535146">
      <w:bodyDiv w:val="1"/>
      <w:marLeft w:val="0"/>
      <w:marRight w:val="0"/>
      <w:marTop w:val="0"/>
      <w:marBottom w:val="0"/>
      <w:divBdr>
        <w:top w:val="none" w:sz="0" w:space="0" w:color="auto"/>
        <w:left w:val="none" w:sz="0" w:space="0" w:color="auto"/>
        <w:bottom w:val="none" w:sz="0" w:space="0" w:color="auto"/>
        <w:right w:val="none" w:sz="0" w:space="0" w:color="auto"/>
      </w:divBdr>
    </w:div>
    <w:div w:id="799345096">
      <w:bodyDiv w:val="1"/>
      <w:marLeft w:val="0"/>
      <w:marRight w:val="0"/>
      <w:marTop w:val="0"/>
      <w:marBottom w:val="0"/>
      <w:divBdr>
        <w:top w:val="none" w:sz="0" w:space="0" w:color="auto"/>
        <w:left w:val="none" w:sz="0" w:space="0" w:color="auto"/>
        <w:bottom w:val="none" w:sz="0" w:space="0" w:color="auto"/>
        <w:right w:val="none" w:sz="0" w:space="0" w:color="auto"/>
      </w:divBdr>
    </w:div>
    <w:div w:id="813252109">
      <w:bodyDiv w:val="1"/>
      <w:marLeft w:val="0"/>
      <w:marRight w:val="0"/>
      <w:marTop w:val="0"/>
      <w:marBottom w:val="0"/>
      <w:divBdr>
        <w:top w:val="none" w:sz="0" w:space="0" w:color="auto"/>
        <w:left w:val="none" w:sz="0" w:space="0" w:color="auto"/>
        <w:bottom w:val="none" w:sz="0" w:space="0" w:color="auto"/>
        <w:right w:val="none" w:sz="0" w:space="0" w:color="auto"/>
      </w:divBdr>
    </w:div>
    <w:div w:id="852033937">
      <w:bodyDiv w:val="1"/>
      <w:marLeft w:val="0"/>
      <w:marRight w:val="0"/>
      <w:marTop w:val="0"/>
      <w:marBottom w:val="0"/>
      <w:divBdr>
        <w:top w:val="none" w:sz="0" w:space="0" w:color="auto"/>
        <w:left w:val="none" w:sz="0" w:space="0" w:color="auto"/>
        <w:bottom w:val="none" w:sz="0" w:space="0" w:color="auto"/>
        <w:right w:val="none" w:sz="0" w:space="0" w:color="auto"/>
      </w:divBdr>
    </w:div>
    <w:div w:id="866724622">
      <w:bodyDiv w:val="1"/>
      <w:marLeft w:val="0"/>
      <w:marRight w:val="0"/>
      <w:marTop w:val="0"/>
      <w:marBottom w:val="0"/>
      <w:divBdr>
        <w:top w:val="none" w:sz="0" w:space="0" w:color="auto"/>
        <w:left w:val="none" w:sz="0" w:space="0" w:color="auto"/>
        <w:bottom w:val="none" w:sz="0" w:space="0" w:color="auto"/>
        <w:right w:val="none" w:sz="0" w:space="0" w:color="auto"/>
      </w:divBdr>
    </w:div>
    <w:div w:id="893584577">
      <w:bodyDiv w:val="1"/>
      <w:marLeft w:val="0"/>
      <w:marRight w:val="0"/>
      <w:marTop w:val="0"/>
      <w:marBottom w:val="0"/>
      <w:divBdr>
        <w:top w:val="none" w:sz="0" w:space="0" w:color="auto"/>
        <w:left w:val="none" w:sz="0" w:space="0" w:color="auto"/>
        <w:bottom w:val="none" w:sz="0" w:space="0" w:color="auto"/>
        <w:right w:val="none" w:sz="0" w:space="0" w:color="auto"/>
      </w:divBdr>
    </w:div>
    <w:div w:id="914585862">
      <w:bodyDiv w:val="1"/>
      <w:marLeft w:val="0"/>
      <w:marRight w:val="0"/>
      <w:marTop w:val="0"/>
      <w:marBottom w:val="0"/>
      <w:divBdr>
        <w:top w:val="none" w:sz="0" w:space="0" w:color="auto"/>
        <w:left w:val="none" w:sz="0" w:space="0" w:color="auto"/>
        <w:bottom w:val="none" w:sz="0" w:space="0" w:color="auto"/>
        <w:right w:val="none" w:sz="0" w:space="0" w:color="auto"/>
      </w:divBdr>
      <w:divsChild>
        <w:div w:id="1343968621">
          <w:marLeft w:val="0"/>
          <w:marRight w:val="0"/>
          <w:marTop w:val="0"/>
          <w:marBottom w:val="0"/>
          <w:divBdr>
            <w:top w:val="none" w:sz="0" w:space="0" w:color="auto"/>
            <w:left w:val="none" w:sz="0" w:space="0" w:color="auto"/>
            <w:bottom w:val="none" w:sz="0" w:space="0" w:color="auto"/>
            <w:right w:val="none" w:sz="0" w:space="0" w:color="auto"/>
          </w:divBdr>
          <w:divsChild>
            <w:div w:id="381174794">
              <w:marLeft w:val="0"/>
              <w:marRight w:val="0"/>
              <w:marTop w:val="0"/>
              <w:marBottom w:val="0"/>
              <w:divBdr>
                <w:top w:val="none" w:sz="0" w:space="0" w:color="auto"/>
                <w:left w:val="none" w:sz="0" w:space="0" w:color="auto"/>
                <w:bottom w:val="none" w:sz="0" w:space="0" w:color="auto"/>
                <w:right w:val="none" w:sz="0" w:space="0" w:color="auto"/>
              </w:divBdr>
              <w:divsChild>
                <w:div w:id="1203712998">
                  <w:marLeft w:val="0"/>
                  <w:marRight w:val="0"/>
                  <w:marTop w:val="0"/>
                  <w:marBottom w:val="0"/>
                  <w:divBdr>
                    <w:top w:val="none" w:sz="0" w:space="0" w:color="auto"/>
                    <w:left w:val="none" w:sz="0" w:space="0" w:color="auto"/>
                    <w:bottom w:val="none" w:sz="0" w:space="0" w:color="auto"/>
                    <w:right w:val="none" w:sz="0" w:space="0" w:color="auto"/>
                  </w:divBdr>
                  <w:divsChild>
                    <w:div w:id="18471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58394">
      <w:bodyDiv w:val="1"/>
      <w:marLeft w:val="0"/>
      <w:marRight w:val="0"/>
      <w:marTop w:val="0"/>
      <w:marBottom w:val="0"/>
      <w:divBdr>
        <w:top w:val="none" w:sz="0" w:space="0" w:color="auto"/>
        <w:left w:val="none" w:sz="0" w:space="0" w:color="auto"/>
        <w:bottom w:val="none" w:sz="0" w:space="0" w:color="auto"/>
        <w:right w:val="none" w:sz="0" w:space="0" w:color="auto"/>
      </w:divBdr>
    </w:div>
    <w:div w:id="971836197">
      <w:bodyDiv w:val="1"/>
      <w:marLeft w:val="0"/>
      <w:marRight w:val="0"/>
      <w:marTop w:val="0"/>
      <w:marBottom w:val="0"/>
      <w:divBdr>
        <w:top w:val="none" w:sz="0" w:space="0" w:color="auto"/>
        <w:left w:val="none" w:sz="0" w:space="0" w:color="auto"/>
        <w:bottom w:val="none" w:sz="0" w:space="0" w:color="auto"/>
        <w:right w:val="none" w:sz="0" w:space="0" w:color="auto"/>
      </w:divBdr>
    </w:div>
    <w:div w:id="974943248">
      <w:bodyDiv w:val="1"/>
      <w:marLeft w:val="0"/>
      <w:marRight w:val="0"/>
      <w:marTop w:val="0"/>
      <w:marBottom w:val="0"/>
      <w:divBdr>
        <w:top w:val="none" w:sz="0" w:space="0" w:color="auto"/>
        <w:left w:val="none" w:sz="0" w:space="0" w:color="auto"/>
        <w:bottom w:val="none" w:sz="0" w:space="0" w:color="auto"/>
        <w:right w:val="none" w:sz="0" w:space="0" w:color="auto"/>
      </w:divBdr>
    </w:div>
    <w:div w:id="990452552">
      <w:bodyDiv w:val="1"/>
      <w:marLeft w:val="0"/>
      <w:marRight w:val="0"/>
      <w:marTop w:val="0"/>
      <w:marBottom w:val="0"/>
      <w:divBdr>
        <w:top w:val="none" w:sz="0" w:space="0" w:color="auto"/>
        <w:left w:val="none" w:sz="0" w:space="0" w:color="auto"/>
        <w:bottom w:val="none" w:sz="0" w:space="0" w:color="auto"/>
        <w:right w:val="none" w:sz="0" w:space="0" w:color="auto"/>
      </w:divBdr>
    </w:div>
    <w:div w:id="1039165166">
      <w:bodyDiv w:val="1"/>
      <w:marLeft w:val="0"/>
      <w:marRight w:val="0"/>
      <w:marTop w:val="0"/>
      <w:marBottom w:val="0"/>
      <w:divBdr>
        <w:top w:val="none" w:sz="0" w:space="0" w:color="auto"/>
        <w:left w:val="none" w:sz="0" w:space="0" w:color="auto"/>
        <w:bottom w:val="none" w:sz="0" w:space="0" w:color="auto"/>
        <w:right w:val="none" w:sz="0" w:space="0" w:color="auto"/>
      </w:divBdr>
    </w:div>
    <w:div w:id="1050107412">
      <w:bodyDiv w:val="1"/>
      <w:marLeft w:val="0"/>
      <w:marRight w:val="0"/>
      <w:marTop w:val="0"/>
      <w:marBottom w:val="0"/>
      <w:divBdr>
        <w:top w:val="none" w:sz="0" w:space="0" w:color="auto"/>
        <w:left w:val="none" w:sz="0" w:space="0" w:color="auto"/>
        <w:bottom w:val="none" w:sz="0" w:space="0" w:color="auto"/>
        <w:right w:val="none" w:sz="0" w:space="0" w:color="auto"/>
      </w:divBdr>
    </w:div>
    <w:div w:id="1054701117">
      <w:bodyDiv w:val="1"/>
      <w:marLeft w:val="0"/>
      <w:marRight w:val="0"/>
      <w:marTop w:val="0"/>
      <w:marBottom w:val="0"/>
      <w:divBdr>
        <w:top w:val="none" w:sz="0" w:space="0" w:color="auto"/>
        <w:left w:val="none" w:sz="0" w:space="0" w:color="auto"/>
        <w:bottom w:val="none" w:sz="0" w:space="0" w:color="auto"/>
        <w:right w:val="none" w:sz="0" w:space="0" w:color="auto"/>
      </w:divBdr>
    </w:div>
    <w:div w:id="1170297685">
      <w:bodyDiv w:val="1"/>
      <w:marLeft w:val="0"/>
      <w:marRight w:val="0"/>
      <w:marTop w:val="0"/>
      <w:marBottom w:val="0"/>
      <w:divBdr>
        <w:top w:val="none" w:sz="0" w:space="0" w:color="auto"/>
        <w:left w:val="none" w:sz="0" w:space="0" w:color="auto"/>
        <w:bottom w:val="none" w:sz="0" w:space="0" w:color="auto"/>
        <w:right w:val="none" w:sz="0" w:space="0" w:color="auto"/>
      </w:divBdr>
    </w:div>
    <w:div w:id="1217811447">
      <w:bodyDiv w:val="1"/>
      <w:marLeft w:val="0"/>
      <w:marRight w:val="0"/>
      <w:marTop w:val="0"/>
      <w:marBottom w:val="0"/>
      <w:divBdr>
        <w:top w:val="none" w:sz="0" w:space="0" w:color="auto"/>
        <w:left w:val="none" w:sz="0" w:space="0" w:color="auto"/>
        <w:bottom w:val="none" w:sz="0" w:space="0" w:color="auto"/>
        <w:right w:val="none" w:sz="0" w:space="0" w:color="auto"/>
      </w:divBdr>
    </w:div>
    <w:div w:id="1222181674">
      <w:bodyDiv w:val="1"/>
      <w:marLeft w:val="0"/>
      <w:marRight w:val="0"/>
      <w:marTop w:val="0"/>
      <w:marBottom w:val="0"/>
      <w:divBdr>
        <w:top w:val="none" w:sz="0" w:space="0" w:color="auto"/>
        <w:left w:val="none" w:sz="0" w:space="0" w:color="auto"/>
        <w:bottom w:val="none" w:sz="0" w:space="0" w:color="auto"/>
        <w:right w:val="none" w:sz="0" w:space="0" w:color="auto"/>
      </w:divBdr>
    </w:div>
    <w:div w:id="1359159441">
      <w:bodyDiv w:val="1"/>
      <w:marLeft w:val="0"/>
      <w:marRight w:val="0"/>
      <w:marTop w:val="0"/>
      <w:marBottom w:val="0"/>
      <w:divBdr>
        <w:top w:val="none" w:sz="0" w:space="0" w:color="auto"/>
        <w:left w:val="none" w:sz="0" w:space="0" w:color="auto"/>
        <w:bottom w:val="none" w:sz="0" w:space="0" w:color="auto"/>
        <w:right w:val="none" w:sz="0" w:space="0" w:color="auto"/>
      </w:divBdr>
    </w:div>
    <w:div w:id="1384451854">
      <w:bodyDiv w:val="1"/>
      <w:marLeft w:val="0"/>
      <w:marRight w:val="0"/>
      <w:marTop w:val="0"/>
      <w:marBottom w:val="0"/>
      <w:divBdr>
        <w:top w:val="none" w:sz="0" w:space="0" w:color="auto"/>
        <w:left w:val="none" w:sz="0" w:space="0" w:color="auto"/>
        <w:bottom w:val="none" w:sz="0" w:space="0" w:color="auto"/>
        <w:right w:val="none" w:sz="0" w:space="0" w:color="auto"/>
      </w:divBdr>
    </w:div>
    <w:div w:id="1434864122">
      <w:bodyDiv w:val="1"/>
      <w:marLeft w:val="0"/>
      <w:marRight w:val="0"/>
      <w:marTop w:val="0"/>
      <w:marBottom w:val="0"/>
      <w:divBdr>
        <w:top w:val="none" w:sz="0" w:space="0" w:color="auto"/>
        <w:left w:val="none" w:sz="0" w:space="0" w:color="auto"/>
        <w:bottom w:val="none" w:sz="0" w:space="0" w:color="auto"/>
        <w:right w:val="none" w:sz="0" w:space="0" w:color="auto"/>
      </w:divBdr>
    </w:div>
    <w:div w:id="1586526553">
      <w:bodyDiv w:val="1"/>
      <w:marLeft w:val="0"/>
      <w:marRight w:val="0"/>
      <w:marTop w:val="0"/>
      <w:marBottom w:val="0"/>
      <w:divBdr>
        <w:top w:val="none" w:sz="0" w:space="0" w:color="auto"/>
        <w:left w:val="none" w:sz="0" w:space="0" w:color="auto"/>
        <w:bottom w:val="none" w:sz="0" w:space="0" w:color="auto"/>
        <w:right w:val="none" w:sz="0" w:space="0" w:color="auto"/>
      </w:divBdr>
    </w:div>
    <w:div w:id="1596010443">
      <w:bodyDiv w:val="1"/>
      <w:marLeft w:val="0"/>
      <w:marRight w:val="0"/>
      <w:marTop w:val="0"/>
      <w:marBottom w:val="0"/>
      <w:divBdr>
        <w:top w:val="none" w:sz="0" w:space="0" w:color="auto"/>
        <w:left w:val="none" w:sz="0" w:space="0" w:color="auto"/>
        <w:bottom w:val="none" w:sz="0" w:space="0" w:color="auto"/>
        <w:right w:val="none" w:sz="0" w:space="0" w:color="auto"/>
      </w:divBdr>
      <w:divsChild>
        <w:div w:id="868879989">
          <w:marLeft w:val="0"/>
          <w:marRight w:val="0"/>
          <w:marTop w:val="0"/>
          <w:marBottom w:val="0"/>
          <w:divBdr>
            <w:top w:val="none" w:sz="0" w:space="0" w:color="auto"/>
            <w:left w:val="none" w:sz="0" w:space="0" w:color="auto"/>
            <w:bottom w:val="none" w:sz="0" w:space="0" w:color="auto"/>
            <w:right w:val="none" w:sz="0" w:space="0" w:color="auto"/>
          </w:divBdr>
          <w:divsChild>
            <w:div w:id="1561593557">
              <w:marLeft w:val="0"/>
              <w:marRight w:val="0"/>
              <w:marTop w:val="0"/>
              <w:marBottom w:val="0"/>
              <w:divBdr>
                <w:top w:val="none" w:sz="0" w:space="0" w:color="auto"/>
                <w:left w:val="none" w:sz="0" w:space="0" w:color="auto"/>
                <w:bottom w:val="none" w:sz="0" w:space="0" w:color="auto"/>
                <w:right w:val="none" w:sz="0" w:space="0" w:color="auto"/>
              </w:divBdr>
              <w:divsChild>
                <w:div w:id="64495017">
                  <w:marLeft w:val="0"/>
                  <w:marRight w:val="0"/>
                  <w:marTop w:val="0"/>
                  <w:marBottom w:val="0"/>
                  <w:divBdr>
                    <w:top w:val="none" w:sz="0" w:space="0" w:color="auto"/>
                    <w:left w:val="none" w:sz="0" w:space="0" w:color="auto"/>
                    <w:bottom w:val="none" w:sz="0" w:space="0" w:color="auto"/>
                    <w:right w:val="none" w:sz="0" w:space="0" w:color="auto"/>
                  </w:divBdr>
                  <w:divsChild>
                    <w:div w:id="3264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52897">
      <w:bodyDiv w:val="1"/>
      <w:marLeft w:val="0"/>
      <w:marRight w:val="0"/>
      <w:marTop w:val="0"/>
      <w:marBottom w:val="0"/>
      <w:divBdr>
        <w:top w:val="none" w:sz="0" w:space="0" w:color="auto"/>
        <w:left w:val="none" w:sz="0" w:space="0" w:color="auto"/>
        <w:bottom w:val="none" w:sz="0" w:space="0" w:color="auto"/>
        <w:right w:val="none" w:sz="0" w:space="0" w:color="auto"/>
      </w:divBdr>
      <w:divsChild>
        <w:div w:id="2143378276">
          <w:marLeft w:val="0"/>
          <w:marRight w:val="0"/>
          <w:marTop w:val="0"/>
          <w:marBottom w:val="0"/>
          <w:divBdr>
            <w:top w:val="none" w:sz="0" w:space="0" w:color="auto"/>
            <w:left w:val="none" w:sz="0" w:space="0" w:color="auto"/>
            <w:bottom w:val="none" w:sz="0" w:space="0" w:color="auto"/>
            <w:right w:val="none" w:sz="0" w:space="0" w:color="auto"/>
          </w:divBdr>
          <w:divsChild>
            <w:div w:id="1860655847">
              <w:marLeft w:val="0"/>
              <w:marRight w:val="0"/>
              <w:marTop w:val="0"/>
              <w:marBottom w:val="0"/>
              <w:divBdr>
                <w:top w:val="none" w:sz="0" w:space="0" w:color="auto"/>
                <w:left w:val="none" w:sz="0" w:space="0" w:color="auto"/>
                <w:bottom w:val="none" w:sz="0" w:space="0" w:color="auto"/>
                <w:right w:val="none" w:sz="0" w:space="0" w:color="auto"/>
              </w:divBdr>
              <w:divsChild>
                <w:div w:id="975184030">
                  <w:marLeft w:val="0"/>
                  <w:marRight w:val="0"/>
                  <w:marTop w:val="0"/>
                  <w:marBottom w:val="0"/>
                  <w:divBdr>
                    <w:top w:val="none" w:sz="0" w:space="0" w:color="auto"/>
                    <w:left w:val="none" w:sz="0" w:space="0" w:color="auto"/>
                    <w:bottom w:val="none" w:sz="0" w:space="0" w:color="auto"/>
                    <w:right w:val="none" w:sz="0" w:space="0" w:color="auto"/>
                  </w:divBdr>
                  <w:divsChild>
                    <w:div w:id="1236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15813">
      <w:bodyDiv w:val="1"/>
      <w:marLeft w:val="0"/>
      <w:marRight w:val="0"/>
      <w:marTop w:val="0"/>
      <w:marBottom w:val="0"/>
      <w:divBdr>
        <w:top w:val="none" w:sz="0" w:space="0" w:color="auto"/>
        <w:left w:val="none" w:sz="0" w:space="0" w:color="auto"/>
        <w:bottom w:val="none" w:sz="0" w:space="0" w:color="auto"/>
        <w:right w:val="none" w:sz="0" w:space="0" w:color="auto"/>
      </w:divBdr>
    </w:div>
    <w:div w:id="1732192113">
      <w:bodyDiv w:val="1"/>
      <w:marLeft w:val="0"/>
      <w:marRight w:val="0"/>
      <w:marTop w:val="0"/>
      <w:marBottom w:val="0"/>
      <w:divBdr>
        <w:top w:val="none" w:sz="0" w:space="0" w:color="auto"/>
        <w:left w:val="none" w:sz="0" w:space="0" w:color="auto"/>
        <w:bottom w:val="none" w:sz="0" w:space="0" w:color="auto"/>
        <w:right w:val="none" w:sz="0" w:space="0" w:color="auto"/>
      </w:divBdr>
    </w:div>
    <w:div w:id="1767531856">
      <w:bodyDiv w:val="1"/>
      <w:marLeft w:val="0"/>
      <w:marRight w:val="0"/>
      <w:marTop w:val="0"/>
      <w:marBottom w:val="0"/>
      <w:divBdr>
        <w:top w:val="none" w:sz="0" w:space="0" w:color="auto"/>
        <w:left w:val="none" w:sz="0" w:space="0" w:color="auto"/>
        <w:bottom w:val="none" w:sz="0" w:space="0" w:color="auto"/>
        <w:right w:val="none" w:sz="0" w:space="0" w:color="auto"/>
      </w:divBdr>
    </w:div>
    <w:div w:id="1767917857">
      <w:bodyDiv w:val="1"/>
      <w:marLeft w:val="0"/>
      <w:marRight w:val="0"/>
      <w:marTop w:val="0"/>
      <w:marBottom w:val="0"/>
      <w:divBdr>
        <w:top w:val="none" w:sz="0" w:space="0" w:color="auto"/>
        <w:left w:val="none" w:sz="0" w:space="0" w:color="auto"/>
        <w:bottom w:val="none" w:sz="0" w:space="0" w:color="auto"/>
        <w:right w:val="none" w:sz="0" w:space="0" w:color="auto"/>
      </w:divBdr>
    </w:div>
    <w:div w:id="1782407884">
      <w:bodyDiv w:val="1"/>
      <w:marLeft w:val="0"/>
      <w:marRight w:val="0"/>
      <w:marTop w:val="0"/>
      <w:marBottom w:val="0"/>
      <w:divBdr>
        <w:top w:val="none" w:sz="0" w:space="0" w:color="auto"/>
        <w:left w:val="none" w:sz="0" w:space="0" w:color="auto"/>
        <w:bottom w:val="none" w:sz="0" w:space="0" w:color="auto"/>
        <w:right w:val="none" w:sz="0" w:space="0" w:color="auto"/>
      </w:divBdr>
    </w:div>
    <w:div w:id="1835029427">
      <w:bodyDiv w:val="1"/>
      <w:marLeft w:val="0"/>
      <w:marRight w:val="0"/>
      <w:marTop w:val="0"/>
      <w:marBottom w:val="0"/>
      <w:divBdr>
        <w:top w:val="none" w:sz="0" w:space="0" w:color="auto"/>
        <w:left w:val="none" w:sz="0" w:space="0" w:color="auto"/>
        <w:bottom w:val="none" w:sz="0" w:space="0" w:color="auto"/>
        <w:right w:val="none" w:sz="0" w:space="0" w:color="auto"/>
      </w:divBdr>
    </w:div>
    <w:div w:id="1855652148">
      <w:bodyDiv w:val="1"/>
      <w:marLeft w:val="0"/>
      <w:marRight w:val="0"/>
      <w:marTop w:val="0"/>
      <w:marBottom w:val="0"/>
      <w:divBdr>
        <w:top w:val="none" w:sz="0" w:space="0" w:color="auto"/>
        <w:left w:val="none" w:sz="0" w:space="0" w:color="auto"/>
        <w:bottom w:val="none" w:sz="0" w:space="0" w:color="auto"/>
        <w:right w:val="none" w:sz="0" w:space="0" w:color="auto"/>
      </w:divBdr>
    </w:div>
    <w:div w:id="1856336066">
      <w:bodyDiv w:val="1"/>
      <w:marLeft w:val="0"/>
      <w:marRight w:val="0"/>
      <w:marTop w:val="0"/>
      <w:marBottom w:val="0"/>
      <w:divBdr>
        <w:top w:val="none" w:sz="0" w:space="0" w:color="auto"/>
        <w:left w:val="none" w:sz="0" w:space="0" w:color="auto"/>
        <w:bottom w:val="none" w:sz="0" w:space="0" w:color="auto"/>
        <w:right w:val="none" w:sz="0" w:space="0" w:color="auto"/>
      </w:divBdr>
    </w:div>
    <w:div w:id="1897164150">
      <w:bodyDiv w:val="1"/>
      <w:marLeft w:val="0"/>
      <w:marRight w:val="0"/>
      <w:marTop w:val="0"/>
      <w:marBottom w:val="0"/>
      <w:divBdr>
        <w:top w:val="none" w:sz="0" w:space="0" w:color="auto"/>
        <w:left w:val="none" w:sz="0" w:space="0" w:color="auto"/>
        <w:bottom w:val="none" w:sz="0" w:space="0" w:color="auto"/>
        <w:right w:val="none" w:sz="0" w:space="0" w:color="auto"/>
      </w:divBdr>
    </w:div>
    <w:div w:id="2053187212">
      <w:bodyDiv w:val="1"/>
      <w:marLeft w:val="0"/>
      <w:marRight w:val="0"/>
      <w:marTop w:val="0"/>
      <w:marBottom w:val="0"/>
      <w:divBdr>
        <w:top w:val="none" w:sz="0" w:space="0" w:color="auto"/>
        <w:left w:val="none" w:sz="0" w:space="0" w:color="auto"/>
        <w:bottom w:val="none" w:sz="0" w:space="0" w:color="auto"/>
        <w:right w:val="none" w:sz="0" w:space="0" w:color="auto"/>
      </w:divBdr>
    </w:div>
    <w:div w:id="2124880216">
      <w:bodyDiv w:val="1"/>
      <w:marLeft w:val="0"/>
      <w:marRight w:val="0"/>
      <w:marTop w:val="0"/>
      <w:marBottom w:val="0"/>
      <w:divBdr>
        <w:top w:val="none" w:sz="0" w:space="0" w:color="auto"/>
        <w:left w:val="none" w:sz="0" w:space="0" w:color="auto"/>
        <w:bottom w:val="none" w:sz="0" w:space="0" w:color="auto"/>
        <w:right w:val="none" w:sz="0" w:space="0" w:color="auto"/>
      </w:divBdr>
    </w:div>
    <w:div w:id="2129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0DC73-BC2B-4A41-BE09-84B2FF72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9819</Words>
  <Characters>55972</Characters>
  <Application>Microsoft Office Word</Application>
  <DocSecurity>0</DocSecurity>
  <Lines>466</Lines>
  <Paragraphs>131</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A. Introduction</vt:lpstr>
      <vt:lpstr>B. Social Security Coordination</vt:lpstr>
      <vt:lpstr>    1. Scope</vt:lpstr>
      <vt:lpstr>        (a) Material scope</vt:lpstr>
      <vt:lpstr>        (b) Personal scope</vt:lpstr>
      <vt:lpstr>        (c) International scope</vt:lpstr>
      <vt:lpstr>    2. Which Member State’s law is applicable?</vt:lpstr>
      <vt:lpstr>        (a) The lex loci laboris</vt:lpstr>
      <vt:lpstr>        (b) The posting rule</vt:lpstr>
      <vt:lpstr>        (c) The multi-activity rules</vt:lpstr>
      <vt:lpstr>        (d) The lex loci domicilii</vt:lpstr>
      <vt:lpstr>        (e) Who decides which law applies?</vt:lpstr>
      <vt:lpstr>    3. How is the applicable law to be applied? </vt:lpstr>
      <vt:lpstr>        (a) The principle of equal treatment</vt:lpstr>
      <vt:lpstr>        (b) The principle of aggregation</vt:lpstr>
      <vt:lpstr>        (c) The principle of equal treatment of benefits, income, facts and events</vt:lpstr>
      <vt:lpstr>        (d) The principle of export</vt:lpstr>
      <vt:lpstr>        (e) The Petroni principle</vt:lpstr>
      <vt:lpstr>        (f) The principle of exclusivity</vt:lpstr>
      <vt:lpstr>    4. Benefit-Specific Rules</vt:lpstr>
      <vt:lpstr>        (a) Sickness benefits</vt:lpstr>
      <vt:lpstr>        (b) Old-age pensions</vt:lpstr>
      <vt:lpstr>        (c) Family benefits</vt:lpstr>
      <vt:lpstr>C. Social Assistance</vt:lpstr>
      <vt:lpstr>    1. Economically active EU citizens</vt:lpstr>
      <vt:lpstr>    2. Economically inactive EU citizens</vt:lpstr>
      <vt:lpstr>Select Bibliography</vt:lpstr>
      <vt:lpstr>Select Cases</vt:lpstr>
      <vt:lpstr>Select Documents</vt:lpstr>
      <vt:lpstr>Date of writing</vt:lpstr>
    </vt:vector>
  </TitlesOfParts>
  <Company/>
  <LinksUpToDate>false</LinksUpToDate>
  <CharactersWithSpaces>65660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2022-01-09T19:33:00Z</dcterms:created>
  <dcterms:modified xsi:type="dcterms:W3CDTF">2022-08-19T11:19:00Z</dcterms:modified>
</cp:coreProperties>
</file>