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3B1DE" w14:textId="77777777" w:rsidR="0059627B" w:rsidRDefault="007B1972">
      <w:pPr>
        <w:spacing w:line="480" w:lineRule="auto"/>
        <w:jc w:val="center"/>
        <w:rPr>
          <w:b/>
        </w:rPr>
      </w:pPr>
      <w:r>
        <w:rPr>
          <w:b/>
        </w:rPr>
        <w:t>A Longitudinal Study of the Mental Health of Autistic Children and Adolescents and their Parents during COVID-19: Part 2, Qualitative Findings</w:t>
      </w:r>
    </w:p>
    <w:p w14:paraId="190B4CD8" w14:textId="77777777" w:rsidR="0059627B" w:rsidRDefault="0059627B">
      <w:pPr>
        <w:spacing w:line="480" w:lineRule="auto"/>
        <w:jc w:val="center"/>
        <w:rPr>
          <w:b/>
        </w:rPr>
      </w:pPr>
    </w:p>
    <w:p w14:paraId="618FC0F9" w14:textId="77777777" w:rsidR="0059627B" w:rsidRDefault="007B1972">
      <w:pPr>
        <w:spacing w:line="480" w:lineRule="auto"/>
        <w:jc w:val="center"/>
        <w:rPr>
          <w:vertAlign w:val="superscript"/>
        </w:rPr>
      </w:pPr>
      <w:r>
        <w:t>Kathryn Asbury</w:t>
      </w:r>
      <w:r>
        <w:rPr>
          <w:vertAlign w:val="superscript"/>
        </w:rPr>
        <w:t xml:space="preserve">1 </w:t>
      </w:r>
      <w:r>
        <w:t>and Umar Toseeb</w:t>
      </w:r>
      <w:r>
        <w:rPr>
          <w:vertAlign w:val="superscript"/>
        </w:rPr>
        <w:t>1</w:t>
      </w:r>
    </w:p>
    <w:p w14:paraId="62EB0DBC" w14:textId="77777777" w:rsidR="0059627B" w:rsidRDefault="007B1972">
      <w:pPr>
        <w:spacing w:line="480" w:lineRule="auto"/>
        <w:jc w:val="center"/>
      </w:pPr>
      <w:r>
        <w:rPr>
          <w:vertAlign w:val="superscript"/>
        </w:rPr>
        <w:t>1</w:t>
      </w:r>
      <w:r>
        <w:t>Department of Education, University of York, York YO10 5DD</w:t>
      </w:r>
    </w:p>
    <w:p w14:paraId="6E7ADA1C" w14:textId="77777777" w:rsidR="0059627B" w:rsidRDefault="0059627B">
      <w:pPr>
        <w:spacing w:line="480" w:lineRule="auto"/>
        <w:jc w:val="center"/>
      </w:pPr>
    </w:p>
    <w:p w14:paraId="7A0E44D3" w14:textId="77777777" w:rsidR="0059627B" w:rsidRDefault="0059627B">
      <w:pPr>
        <w:spacing w:line="480" w:lineRule="auto"/>
      </w:pPr>
    </w:p>
    <w:p w14:paraId="10735F25" w14:textId="77777777" w:rsidR="0059627B" w:rsidRDefault="007B1972">
      <w:pPr>
        <w:spacing w:line="480" w:lineRule="auto"/>
        <w:jc w:val="center"/>
        <w:rPr>
          <w:b/>
        </w:rPr>
      </w:pPr>
      <w:r>
        <w:rPr>
          <w:b/>
        </w:rPr>
        <w:t>Author Note</w:t>
      </w:r>
    </w:p>
    <w:p w14:paraId="220FFFC4" w14:textId="7BE063F5" w:rsidR="0059627B" w:rsidRDefault="007B1972">
      <w:pPr>
        <w:spacing w:line="480" w:lineRule="auto"/>
        <w:ind w:firstLine="720"/>
        <w:rPr>
          <w:highlight w:val="white"/>
        </w:rPr>
      </w:pPr>
      <w:r>
        <w:rPr>
          <w:highlight w:val="white"/>
        </w:rPr>
        <w:t xml:space="preserve">Kathryn Asbury </w:t>
      </w:r>
      <w:proofErr w:type="spellStart"/>
      <w:r>
        <w:rPr>
          <w:highlight w:val="white"/>
        </w:rPr>
        <w:t>ORCID</w:t>
      </w:r>
      <w:proofErr w:type="spellEnd"/>
      <w:r>
        <w:rPr>
          <w:highlight w:val="white"/>
        </w:rPr>
        <w:t xml:space="preserve">: </w:t>
      </w:r>
      <w:hyperlink r:id="rId8">
        <w:r>
          <w:rPr>
            <w:highlight w:val="white"/>
            <w:u w:val="single"/>
          </w:rPr>
          <w:t>https://orcid.org/0000-0003-0011-457X</w:t>
        </w:r>
      </w:hyperlink>
      <w:r>
        <w:rPr>
          <w:highlight w:val="white"/>
        </w:rPr>
        <w:t xml:space="preserve"> </w:t>
      </w:r>
    </w:p>
    <w:p w14:paraId="6A679F5F" w14:textId="26AC1B18" w:rsidR="00A734FB" w:rsidRDefault="00A734FB" w:rsidP="00A734FB">
      <w:pPr>
        <w:spacing w:line="480" w:lineRule="auto"/>
        <w:ind w:firstLine="720"/>
        <w:rPr>
          <w:highlight w:val="white"/>
        </w:rPr>
      </w:pPr>
      <w:r>
        <w:t xml:space="preserve">Umar Toseeb </w:t>
      </w:r>
      <w:proofErr w:type="spellStart"/>
      <w:r>
        <w:t>ORCID</w:t>
      </w:r>
      <w:proofErr w:type="spellEnd"/>
      <w:r>
        <w:t xml:space="preserve">: </w:t>
      </w:r>
      <w:hyperlink r:id="rId9">
        <w:r>
          <w:rPr>
            <w:highlight w:val="white"/>
            <w:u w:val="single"/>
          </w:rPr>
          <w:t>https://orcid.org/0000-0002-7536-2722</w:t>
        </w:r>
      </w:hyperlink>
    </w:p>
    <w:p w14:paraId="5AD3BD05" w14:textId="77777777" w:rsidR="0059627B" w:rsidRDefault="007B1972">
      <w:pPr>
        <w:spacing w:line="480" w:lineRule="auto"/>
        <w:ind w:firstLine="720"/>
      </w:pPr>
      <w:r>
        <w:rPr>
          <w:highlight w:val="white"/>
        </w:rPr>
        <w:t>We have no conflicts of inter</w:t>
      </w:r>
      <w:r>
        <w:rPr>
          <w:highlight w:val="white"/>
        </w:rPr>
        <w:t xml:space="preserve">est to disclose.  </w:t>
      </w:r>
      <w:r>
        <w:t>We are grateful to all of the families who took the time to take part in the study during a very difficult period, and to the Autistica Network and National Autistic Society, which helped with the recruitment of some families. Thank you t</w:t>
      </w:r>
      <w:r>
        <w:t xml:space="preserve">o Emre Deniz, Laura Fox, and Aimee Code for their contributions to data collection. </w:t>
      </w:r>
    </w:p>
    <w:p w14:paraId="08075936" w14:textId="77777777" w:rsidR="0059627B" w:rsidRDefault="007B1972">
      <w:pPr>
        <w:spacing w:line="480" w:lineRule="auto"/>
        <w:ind w:firstLine="720"/>
        <w:rPr>
          <w:highlight w:val="white"/>
        </w:rPr>
      </w:pPr>
      <w:r>
        <w:rPr>
          <w:highlight w:val="white"/>
        </w:rPr>
        <w:t xml:space="preserve">Correspondence regarding this article should be addressed to Umar Toseeb, Department of Education, University of York, York YO10 5DD, Email: </w:t>
      </w:r>
      <w:hyperlink r:id="rId10">
        <w:r>
          <w:rPr>
            <w:color w:val="0563C1"/>
            <w:highlight w:val="white"/>
            <w:u w:val="single"/>
          </w:rPr>
          <w:t>umar.toseeb@york.ac.uk</w:t>
        </w:r>
      </w:hyperlink>
      <w:r>
        <w:rPr>
          <w:highlight w:val="white"/>
        </w:rPr>
        <w:t xml:space="preserve"> </w:t>
      </w:r>
    </w:p>
    <w:p w14:paraId="1CF631C7" w14:textId="77777777" w:rsidR="0059627B" w:rsidRDefault="007B1972">
      <w:pPr>
        <w:spacing w:line="480" w:lineRule="auto"/>
        <w:rPr>
          <w:b/>
        </w:rPr>
      </w:pPr>
      <w:r>
        <w:rPr>
          <w:b/>
          <w:highlight w:val="white"/>
        </w:rPr>
        <w:t>Funding</w:t>
      </w:r>
    </w:p>
    <w:p w14:paraId="2BE06BDF" w14:textId="77777777" w:rsidR="0059627B" w:rsidRDefault="007B1972">
      <w:pPr>
        <w:spacing w:line="480" w:lineRule="auto"/>
        <w:ind w:firstLine="720"/>
      </w:pPr>
      <w:r>
        <w:t xml:space="preserve">This work was part funded by the Wellcome Trust (reference:204829) through the Centre for Future Health at the University of York.   </w:t>
      </w:r>
      <w:r>
        <w:br w:type="page"/>
      </w:r>
    </w:p>
    <w:p w14:paraId="5B9715EA" w14:textId="77777777" w:rsidR="0059627B" w:rsidRDefault="007B1972">
      <w:pPr>
        <w:spacing w:line="480" w:lineRule="auto"/>
        <w:jc w:val="center"/>
        <w:rPr>
          <w:b/>
          <w:highlight w:val="white"/>
        </w:rPr>
      </w:pPr>
      <w:bookmarkStart w:id="0" w:name="_heading=h.gjdgxs" w:colFirst="0" w:colLast="0"/>
      <w:bookmarkEnd w:id="0"/>
      <w:r>
        <w:rPr>
          <w:b/>
          <w:highlight w:val="white"/>
        </w:rPr>
        <w:lastRenderedPageBreak/>
        <w:t>Lay Abstract</w:t>
      </w:r>
    </w:p>
    <w:p w14:paraId="4E308BEC" w14:textId="77777777" w:rsidR="0059627B" w:rsidRDefault="007B1972">
      <w:pPr>
        <w:spacing w:line="480" w:lineRule="auto"/>
        <w:rPr>
          <w:highlight w:val="white"/>
        </w:rPr>
      </w:pPr>
      <w:r>
        <w:rPr>
          <w:highlight w:val="white"/>
        </w:rPr>
        <w:t>We know that autistic children and young people, and thei</w:t>
      </w:r>
      <w:r>
        <w:rPr>
          <w:highlight w:val="white"/>
        </w:rPr>
        <w:t>r caregivers, are at increased risk of mental ill health. We asked whether the first six months of COVID-19 exacerbated that risk, and whether the implications were different for autistic pupils and their caregivers, than for those with other special educa</w:t>
      </w:r>
      <w:r>
        <w:rPr>
          <w:highlight w:val="white"/>
        </w:rPr>
        <w:t>tional needs and difficulties (</w:t>
      </w:r>
      <w:proofErr w:type="spellStart"/>
      <w:r>
        <w:rPr>
          <w:highlight w:val="white"/>
        </w:rPr>
        <w:t>SENDs</w:t>
      </w:r>
      <w:proofErr w:type="spellEnd"/>
      <w:r>
        <w:rPr>
          <w:highlight w:val="white"/>
        </w:rPr>
        <w:t xml:space="preserve">). </w:t>
      </w:r>
    </w:p>
    <w:p w14:paraId="3774B560" w14:textId="77777777" w:rsidR="0059627B" w:rsidRDefault="007B1972">
      <w:pPr>
        <w:spacing w:line="480" w:lineRule="auto"/>
        <w:ind w:firstLine="720"/>
        <w:rPr>
          <w:highlight w:val="white"/>
        </w:rPr>
      </w:pPr>
      <w:r>
        <w:rPr>
          <w:highlight w:val="white"/>
        </w:rPr>
        <w:t xml:space="preserve">In a linked paper we found that caregivers of autistic pupils reported higher levels of depression and anxiety symptoms in their children than parents of children with other </w:t>
      </w:r>
      <w:proofErr w:type="spellStart"/>
      <w:r>
        <w:rPr>
          <w:highlight w:val="white"/>
        </w:rPr>
        <w:t>SENDs</w:t>
      </w:r>
      <w:proofErr w:type="spellEnd"/>
      <w:r>
        <w:rPr>
          <w:highlight w:val="white"/>
        </w:rPr>
        <w:t xml:space="preserve">. For pupils with other </w:t>
      </w:r>
      <w:proofErr w:type="spellStart"/>
      <w:r>
        <w:rPr>
          <w:highlight w:val="white"/>
        </w:rPr>
        <w:t>SENDs</w:t>
      </w:r>
      <w:proofErr w:type="spellEnd"/>
      <w:r>
        <w:rPr>
          <w:highlight w:val="white"/>
        </w:rPr>
        <w:t xml:space="preserve">, their </w:t>
      </w:r>
      <w:r>
        <w:rPr>
          <w:highlight w:val="white"/>
        </w:rPr>
        <w:t xml:space="preserve">parent-reported anxiety symptoms eased over time while remaining high throughout for autistic pupils. There were no differences in mental health and wellbeing between caregivers of autistic pupils and those with other </w:t>
      </w:r>
      <w:proofErr w:type="spellStart"/>
      <w:r>
        <w:rPr>
          <w:highlight w:val="white"/>
        </w:rPr>
        <w:t>SENDs</w:t>
      </w:r>
      <w:proofErr w:type="spellEnd"/>
      <w:r>
        <w:rPr>
          <w:highlight w:val="white"/>
        </w:rPr>
        <w:t xml:space="preserve">.  </w:t>
      </w:r>
    </w:p>
    <w:p w14:paraId="135EF925" w14:textId="77777777" w:rsidR="0059627B" w:rsidRDefault="007B1972">
      <w:pPr>
        <w:spacing w:line="480" w:lineRule="auto"/>
        <w:ind w:firstLine="720"/>
        <w:rPr>
          <w:highlight w:val="white"/>
        </w:rPr>
      </w:pPr>
      <w:r>
        <w:rPr>
          <w:highlight w:val="white"/>
        </w:rPr>
        <w:t>Here we used parents’ written</w:t>
      </w:r>
      <w:r>
        <w:rPr>
          <w:highlight w:val="white"/>
        </w:rPr>
        <w:t xml:space="preserve"> descriptions of their own and their child’s mental health during the first six months of COVID-19 to explore these linked findings in greater depth. We identified strong evidence of worry and distress for all, but most prominently autistic children and yo</w:t>
      </w:r>
      <w:r>
        <w:rPr>
          <w:highlight w:val="white"/>
        </w:rPr>
        <w:t xml:space="preserve">ung people.  Our finding that worry and distress declined over time for pupils with other </w:t>
      </w:r>
      <w:proofErr w:type="spellStart"/>
      <w:r>
        <w:rPr>
          <w:highlight w:val="white"/>
        </w:rPr>
        <w:t>SENDs</w:t>
      </w:r>
      <w:proofErr w:type="spellEnd"/>
      <w:r>
        <w:rPr>
          <w:highlight w:val="white"/>
        </w:rPr>
        <w:t xml:space="preserve">, but not for autistic pupils, was supported and we observed few differences between caregivers.  We also found evidence of wellbeing throughout the sample, and </w:t>
      </w:r>
      <w:r>
        <w:rPr>
          <w:highlight w:val="white"/>
        </w:rPr>
        <w:t>examples of some (mainly autistic) pupils benefiting from a reduction in demands (e.g., going to school). This has implications for our understanding of the school experience for autistic pupils. Findings suggest that the mental health of autistic children</w:t>
      </w:r>
      <w:r>
        <w:rPr>
          <w:highlight w:val="white"/>
        </w:rPr>
        <w:t xml:space="preserve"> and young people may have been disproportionately affected during the first six months of COVID-19 and that careful consideration of optimal support, from both health and education perspectives, is vital.    </w:t>
      </w:r>
    </w:p>
    <w:p w14:paraId="3D88CF0B" w14:textId="77777777" w:rsidR="0059627B" w:rsidRDefault="0059627B">
      <w:pPr>
        <w:spacing w:line="480" w:lineRule="auto"/>
        <w:ind w:firstLine="720"/>
      </w:pPr>
    </w:p>
    <w:p w14:paraId="447BA13A" w14:textId="77777777" w:rsidR="0059627B" w:rsidRDefault="0059627B"/>
    <w:p w14:paraId="55E50BCE" w14:textId="77777777" w:rsidR="0059627B" w:rsidRDefault="0059627B">
      <w:pPr>
        <w:spacing w:line="480" w:lineRule="auto"/>
        <w:jc w:val="center"/>
        <w:rPr>
          <w:b/>
          <w:highlight w:val="white"/>
        </w:rPr>
      </w:pPr>
    </w:p>
    <w:p w14:paraId="4F02C097" w14:textId="77777777" w:rsidR="0059627B" w:rsidRDefault="007B1972">
      <w:pPr>
        <w:spacing w:line="480" w:lineRule="auto"/>
        <w:jc w:val="center"/>
        <w:rPr>
          <w:b/>
          <w:color w:val="000000"/>
          <w:highlight w:val="white"/>
        </w:rPr>
      </w:pPr>
      <w:r>
        <w:rPr>
          <w:b/>
          <w:color w:val="000000"/>
          <w:highlight w:val="white"/>
        </w:rPr>
        <w:t>Abstract</w:t>
      </w:r>
    </w:p>
    <w:p w14:paraId="37A34A21" w14:textId="77777777" w:rsidR="0059627B" w:rsidRDefault="007B1972">
      <w:pPr>
        <w:spacing w:line="480" w:lineRule="auto"/>
        <w:rPr>
          <w:color w:val="000000"/>
          <w:highlight w:val="white"/>
        </w:rPr>
      </w:pPr>
      <w:r>
        <w:rPr>
          <w:color w:val="000000"/>
          <w:highlight w:val="white"/>
        </w:rPr>
        <w:lastRenderedPageBreak/>
        <w:t>In Part 1 of this United Kingdom b</w:t>
      </w:r>
      <w:r>
        <w:rPr>
          <w:color w:val="000000"/>
          <w:highlight w:val="white"/>
        </w:rPr>
        <w:t xml:space="preserve">ased study </w:t>
      </w:r>
      <w:r>
        <w:rPr>
          <w:highlight w:val="white"/>
        </w:rPr>
        <w:t>(Toseeb &amp; Asbury, 2022)</w:t>
      </w:r>
      <w:r>
        <w:rPr>
          <w:color w:val="000000"/>
          <w:highlight w:val="white"/>
        </w:rPr>
        <w:t>, across four timepoints between March and October 2020, autistic children and young people showed higher levels of parent-reported depression and anxiety symptoms than those with other Special Educational Needs and Disabi</w:t>
      </w:r>
      <w:r>
        <w:rPr>
          <w:color w:val="000000"/>
          <w:highlight w:val="white"/>
        </w:rPr>
        <w:t>lities (</w:t>
      </w:r>
      <w:proofErr w:type="spellStart"/>
      <w:r>
        <w:rPr>
          <w:color w:val="000000"/>
          <w:highlight w:val="white"/>
        </w:rPr>
        <w:t>SENDs</w:t>
      </w:r>
      <w:proofErr w:type="spellEnd"/>
      <w:r>
        <w:rPr>
          <w:color w:val="000000"/>
          <w:highlight w:val="white"/>
        </w:rPr>
        <w:t>). In the current study we draw on</w:t>
      </w:r>
      <w:r>
        <w:rPr>
          <w:color w:val="000000"/>
        </w:rPr>
        <w:t xml:space="preserve"> </w:t>
      </w:r>
      <w:r>
        <w:rPr>
          <w:color w:val="000000"/>
          <w:highlight w:val="white"/>
        </w:rPr>
        <w:t xml:space="preserve">qualitative data from 478 parents/carers of autistic pupils  and those with other </w:t>
      </w:r>
      <w:proofErr w:type="spellStart"/>
      <w:r>
        <w:rPr>
          <w:color w:val="000000"/>
          <w:highlight w:val="white"/>
        </w:rPr>
        <w:t>SENDs</w:t>
      </w:r>
      <w:proofErr w:type="spellEnd"/>
      <w:r>
        <w:rPr>
          <w:color w:val="000000"/>
          <w:highlight w:val="white"/>
        </w:rPr>
        <w:t xml:space="preserve"> to conduct a longitudinal qualitative content analysis examining stability and change in the mental health of these young people, and their parents/carers, during the f</w:t>
      </w:r>
      <w:r>
        <w:rPr>
          <w:color w:val="000000"/>
          <w:highlight w:val="white"/>
        </w:rPr>
        <w:t>irst six months of the COVID-19 pandemic. Worry and psychological distress were dominant categories at all timepoints and we noted that, in line with quantitative findings, worry in autistic pupils stayed stable over time but decreased for those with other</w:t>
      </w:r>
      <w:r>
        <w:rPr>
          <w:color w:val="000000"/>
          <w:highlight w:val="white"/>
        </w:rPr>
        <w:t xml:space="preserve"> </w:t>
      </w:r>
      <w:proofErr w:type="spellStart"/>
      <w:r>
        <w:rPr>
          <w:color w:val="000000"/>
          <w:highlight w:val="white"/>
        </w:rPr>
        <w:t>SENDs</w:t>
      </w:r>
      <w:proofErr w:type="spellEnd"/>
      <w:r>
        <w:rPr>
          <w:color w:val="000000"/>
          <w:highlight w:val="white"/>
        </w:rPr>
        <w:t>. The third dominant category was wellbeing and we saw evidence that removing demands, especially the demand to attend school, was a driver of wellbeing for a significant minority of pupils, particularly autistic pupils, and their parents/carers.  Ov</w:t>
      </w:r>
      <w:r>
        <w:rPr>
          <w:color w:val="000000"/>
          <w:highlight w:val="white"/>
        </w:rPr>
        <w:t xml:space="preserve">erall, we observed no differences in mental health experiences between the two groups of parents, also mirroring quantitative findings.  </w:t>
      </w:r>
    </w:p>
    <w:p w14:paraId="0E5FB5B3" w14:textId="77777777" w:rsidR="0059627B" w:rsidRDefault="007B1972">
      <w:pPr>
        <w:spacing w:line="480" w:lineRule="auto"/>
        <w:ind w:firstLine="720"/>
        <w:rPr>
          <w:i/>
          <w:color w:val="000000"/>
          <w:highlight w:val="white"/>
        </w:rPr>
        <w:sectPr w:rsidR="0059627B">
          <w:headerReference w:type="default" r:id="rId11"/>
          <w:pgSz w:w="11909" w:h="16834"/>
          <w:pgMar w:top="1440" w:right="1440" w:bottom="1440" w:left="1440" w:header="720" w:footer="720" w:gutter="0"/>
          <w:pgNumType w:start="1"/>
          <w:cols w:space="720"/>
        </w:sectPr>
      </w:pPr>
      <w:r>
        <w:rPr>
          <w:color w:val="000000"/>
          <w:highlight w:val="white"/>
        </w:rPr>
        <w:t>Keywords:</w:t>
      </w:r>
      <w:r>
        <w:rPr>
          <w:i/>
          <w:color w:val="000000"/>
          <w:highlight w:val="white"/>
        </w:rPr>
        <w:t xml:space="preserve"> special educational needs, autism, mental health, longitudinal, COVID-19, mixed-methods, qualitative, quantitative</w:t>
      </w:r>
    </w:p>
    <w:p w14:paraId="08CA421D" w14:textId="77777777" w:rsidR="0059627B" w:rsidRDefault="007B1972">
      <w:pPr>
        <w:spacing w:line="480" w:lineRule="auto"/>
        <w:jc w:val="center"/>
        <w:rPr>
          <w:b/>
          <w:color w:val="000000"/>
        </w:rPr>
      </w:pPr>
      <w:r>
        <w:rPr>
          <w:b/>
          <w:color w:val="000000"/>
        </w:rPr>
        <w:lastRenderedPageBreak/>
        <w:t>A Longitudinal Study of the Mental Health of Autistic Children and Adolescents and their Parents during COVID-19: Part 2, Qualitative Findin</w:t>
      </w:r>
      <w:r>
        <w:rPr>
          <w:b/>
          <w:color w:val="000000"/>
        </w:rPr>
        <w:t>gs</w:t>
      </w:r>
      <w:r>
        <w:rPr>
          <w:color w:val="000000"/>
        </w:rPr>
        <w:tab/>
      </w:r>
    </w:p>
    <w:p w14:paraId="5256FAD9" w14:textId="77777777" w:rsidR="0059627B" w:rsidRDefault="007B1972">
      <w:pPr>
        <w:spacing w:line="480" w:lineRule="auto"/>
        <w:ind w:firstLine="720"/>
        <w:rPr>
          <w:color w:val="000000"/>
        </w:rPr>
      </w:pPr>
      <w:r>
        <w:rPr>
          <w:color w:val="000000"/>
        </w:rPr>
        <w:t xml:space="preserve">We know that autistic children and young people are at substantially increased risk of experiencing mental ill health, including depression (Hudson et al., 2019) and anxiety (van </w:t>
      </w:r>
      <w:proofErr w:type="spellStart"/>
      <w:r>
        <w:rPr>
          <w:color w:val="000000"/>
        </w:rPr>
        <w:t>Steensel</w:t>
      </w:r>
      <w:proofErr w:type="spellEnd"/>
      <w:r>
        <w:rPr>
          <w:color w:val="000000"/>
        </w:rPr>
        <w:t xml:space="preserve"> et al., 2011). We also know that autism is characterised by soci</w:t>
      </w:r>
      <w:r>
        <w:rPr>
          <w:color w:val="000000"/>
        </w:rPr>
        <w:t>al and communication challenges and by rigid and repetitive behaviour, interests and activities (American Psychiatric Association, 2013). This profile suggests that the COVID-19 pandemic may have affected the mental health of autistic young people differen</w:t>
      </w:r>
      <w:r>
        <w:rPr>
          <w:color w:val="000000"/>
        </w:rPr>
        <w:t>tly to how it has affected neurotypical young people and those with other special educational needs and disabilities (</w:t>
      </w:r>
      <w:proofErr w:type="spellStart"/>
      <w:r>
        <w:rPr>
          <w:color w:val="000000"/>
        </w:rPr>
        <w:t>SENDs</w:t>
      </w:r>
      <w:proofErr w:type="spellEnd"/>
      <w:r>
        <w:rPr>
          <w:color w:val="000000"/>
        </w:rPr>
        <w:t>). Understanding the impact of COVID-19 on autistic young people is therefore essential to the design of optimal health and education</w:t>
      </w:r>
      <w:r>
        <w:rPr>
          <w:color w:val="000000"/>
        </w:rPr>
        <w:t xml:space="preserve"> support as we move forward.  </w:t>
      </w:r>
    </w:p>
    <w:p w14:paraId="6DE22607" w14:textId="77777777" w:rsidR="0059627B" w:rsidRDefault="007B1972">
      <w:pPr>
        <w:spacing w:line="480" w:lineRule="auto"/>
        <w:ind w:firstLine="720"/>
        <w:rPr>
          <w:color w:val="000000"/>
        </w:rPr>
      </w:pPr>
      <w:r>
        <w:rPr>
          <w:color w:val="000000"/>
        </w:rPr>
        <w:t xml:space="preserve">On March 23rd 2020 the UK went into lockdown for the first time in the pandemic, with schools closed to all pupils other than the children of </w:t>
      </w:r>
      <w:proofErr w:type="gramStart"/>
      <w:r>
        <w:rPr>
          <w:color w:val="000000"/>
        </w:rPr>
        <w:t>key-workers</w:t>
      </w:r>
      <w:proofErr w:type="gramEnd"/>
      <w:r>
        <w:rPr>
          <w:color w:val="000000"/>
        </w:rPr>
        <w:t xml:space="preserve"> and those who were vulnerable.  Although some young people with autism </w:t>
      </w:r>
      <w:r>
        <w:rPr>
          <w:color w:val="000000"/>
        </w:rPr>
        <w:t xml:space="preserve">and other </w:t>
      </w:r>
      <w:proofErr w:type="spellStart"/>
      <w:r>
        <w:rPr>
          <w:color w:val="000000"/>
        </w:rPr>
        <w:t>SENDs</w:t>
      </w:r>
      <w:proofErr w:type="spellEnd"/>
      <w:r>
        <w:rPr>
          <w:color w:val="000000"/>
        </w:rPr>
        <w:t xml:space="preserve"> had the option of attending school as vulnerable pupils, many parents chose to keep them at home.  Schools reopened to some year groups in early June and to all pupils in September 2020. This period of disruption may have been particularly </w:t>
      </w:r>
      <w:r>
        <w:rPr>
          <w:color w:val="000000"/>
        </w:rPr>
        <w:t>challenging for autistic young people who often rely heavily on carefully established routines.  Indeed, studies based in Ireland (O'Sullivan et al., 2021) and Portugal (Amorim et al., 2020) have found that disruption to routine during COVID-19 was a key d</w:t>
      </w:r>
      <w:r>
        <w:rPr>
          <w:color w:val="000000"/>
        </w:rPr>
        <w:t xml:space="preserve">river of increased anxiety for autistic young people.  We also know that parents/carers of autistic young people are likely to have poorer mental health than parents of neurotypical children (Hoffman et al., 2009) or those with other </w:t>
      </w:r>
      <w:proofErr w:type="spellStart"/>
      <w:r>
        <w:rPr>
          <w:color w:val="000000"/>
        </w:rPr>
        <w:t>SENDs</w:t>
      </w:r>
      <w:proofErr w:type="spellEnd"/>
      <w:r>
        <w:rPr>
          <w:color w:val="000000"/>
        </w:rPr>
        <w:t xml:space="preserve"> (</w:t>
      </w:r>
      <w:proofErr w:type="spellStart"/>
      <w:r>
        <w:rPr>
          <w:color w:val="000000"/>
        </w:rPr>
        <w:t>Pisula</w:t>
      </w:r>
      <w:proofErr w:type="spellEnd"/>
      <w:r>
        <w:rPr>
          <w:color w:val="000000"/>
        </w:rPr>
        <w:t xml:space="preserve">, 2007). </w:t>
      </w:r>
      <w:r>
        <w:rPr>
          <w:color w:val="000000"/>
        </w:rPr>
        <w:t xml:space="preserve">The additional caring and home-schooling responsibilities that came with lockdown, alongside COVID-related anxieties, have been found to be particularly challenging for parents of young people with </w:t>
      </w:r>
      <w:proofErr w:type="spellStart"/>
      <w:r>
        <w:rPr>
          <w:color w:val="000000"/>
        </w:rPr>
        <w:t>SENDs</w:t>
      </w:r>
      <w:proofErr w:type="spellEnd"/>
      <w:r>
        <w:rPr>
          <w:color w:val="000000"/>
        </w:rPr>
        <w:t xml:space="preserve"> including autism (Lee et al., 2021). There is some </w:t>
      </w:r>
      <w:r>
        <w:rPr>
          <w:color w:val="000000"/>
        </w:rPr>
        <w:lastRenderedPageBreak/>
        <w:t>c</w:t>
      </w:r>
      <w:r>
        <w:rPr>
          <w:color w:val="000000"/>
        </w:rPr>
        <w:t xml:space="preserve">ross-sectional evidence of significant mental health concerns among young people with autism and other </w:t>
      </w:r>
      <w:proofErr w:type="spellStart"/>
      <w:r>
        <w:rPr>
          <w:color w:val="000000"/>
        </w:rPr>
        <w:t>SENDs</w:t>
      </w:r>
      <w:proofErr w:type="spellEnd"/>
      <w:r>
        <w:rPr>
          <w:color w:val="000000"/>
        </w:rPr>
        <w:t xml:space="preserve">, and in some cases their parents/carers, in the UK during the first lockdown (Asbury et al., 2021; Banerjee et al., 2021; </w:t>
      </w:r>
      <w:proofErr w:type="spellStart"/>
      <w:r>
        <w:rPr>
          <w:color w:val="000000"/>
        </w:rPr>
        <w:t>Nonweiler</w:t>
      </w:r>
      <w:proofErr w:type="spellEnd"/>
      <w:r>
        <w:rPr>
          <w:color w:val="000000"/>
        </w:rPr>
        <w:t xml:space="preserve"> et al., 2020). </w:t>
      </w:r>
      <w:r>
        <w:rPr>
          <w:color w:val="000000"/>
        </w:rPr>
        <w:t>There is also evidence that social isolation was a particular trigger for poor mental health and wellbeing among autistic individuals and their parents (</w:t>
      </w:r>
      <w:proofErr w:type="spellStart"/>
      <w:r>
        <w:rPr>
          <w:color w:val="000000"/>
        </w:rPr>
        <w:t>Pellicano</w:t>
      </w:r>
      <w:proofErr w:type="spellEnd"/>
      <w:r>
        <w:rPr>
          <w:color w:val="000000"/>
        </w:rPr>
        <w:t xml:space="preserve"> et al., 2021). However, it is important to note that none of these studies were longitudinal </w:t>
      </w:r>
      <w:r>
        <w:rPr>
          <w:color w:val="000000"/>
        </w:rPr>
        <w:t xml:space="preserve">and so they were unable to explore change and stability as the pandemic progressed.  </w:t>
      </w:r>
    </w:p>
    <w:p w14:paraId="17D9DA86" w14:textId="77777777" w:rsidR="0059627B" w:rsidRDefault="007B1972">
      <w:pPr>
        <w:spacing w:line="480" w:lineRule="auto"/>
        <w:ind w:firstLine="720"/>
        <w:rPr>
          <w:color w:val="000000"/>
        </w:rPr>
      </w:pPr>
      <w:r>
        <w:rPr>
          <w:color w:val="000000"/>
        </w:rPr>
        <w:t xml:space="preserve">Autistic children and young people have been found to experience anxiety in both similar and different ways to those without autism, and for that anxiety to be triggered </w:t>
      </w:r>
      <w:r>
        <w:rPr>
          <w:color w:val="000000"/>
        </w:rPr>
        <w:t xml:space="preserve">and moderated by different factors (Halim et al., 2018; Wood &amp; </w:t>
      </w:r>
      <w:proofErr w:type="spellStart"/>
      <w:r>
        <w:rPr>
          <w:color w:val="000000"/>
        </w:rPr>
        <w:t>Gadow</w:t>
      </w:r>
      <w:proofErr w:type="spellEnd"/>
      <w:r>
        <w:rPr>
          <w:color w:val="000000"/>
        </w:rPr>
        <w:t xml:space="preserve">, 2010).  For example, in a study of autistic children and young people aged 7-17, Kerns et al. (2014) found that atypical anxiety symptoms (i.e. symptoms that are inconsistent with DSM-V </w:t>
      </w:r>
      <w:r>
        <w:rPr>
          <w:color w:val="000000"/>
        </w:rPr>
        <w:t>anxiety criteria) were triggered by both traditional (i.e. DSM-V consistent) anxiety and autism symptoms.  These downstream effects manifested in autism-specific anxiety symptoms including unusual, specific phobias, social fearfulness, anxiety around routi</w:t>
      </w:r>
      <w:r>
        <w:rPr>
          <w:color w:val="000000"/>
        </w:rPr>
        <w:t>nes and compulsive, ritualistic behaviour.  This may have been particularly relevant during COVID-19, at a time when individuals in many households were likely to experience unusual stressors, changes to routine and a lack of certainty.   Low tolerance for</w:t>
      </w:r>
      <w:r>
        <w:rPr>
          <w:color w:val="000000"/>
        </w:rPr>
        <w:t xml:space="preserve"> uncertainty in the autistic community (South &amp; Rogers, 2018)  may have been particularly important in the context of a global pandemic characterised by lockdowns and a reduction in autonomy for all.  It is important to note that autistic people have also </w:t>
      </w:r>
      <w:r>
        <w:rPr>
          <w:color w:val="000000"/>
        </w:rPr>
        <w:t xml:space="preserve">been found to experience other domains of mental ill health differently to non-autistic people, including depression (e.g. </w:t>
      </w:r>
      <w:proofErr w:type="spellStart"/>
      <w:r>
        <w:rPr>
          <w:color w:val="000000"/>
        </w:rPr>
        <w:t>Bitsika</w:t>
      </w:r>
      <w:proofErr w:type="spellEnd"/>
      <w:r>
        <w:rPr>
          <w:color w:val="000000"/>
        </w:rPr>
        <w:t xml:space="preserve"> et al., 2015) and eating disorders (e.g. </w:t>
      </w:r>
      <w:proofErr w:type="spellStart"/>
      <w:r>
        <w:rPr>
          <w:color w:val="000000"/>
        </w:rPr>
        <w:t>Huke</w:t>
      </w:r>
      <w:proofErr w:type="spellEnd"/>
      <w:r>
        <w:rPr>
          <w:color w:val="000000"/>
        </w:rPr>
        <w:t xml:space="preserve"> et al., 2013).   This means it is important to compare the mental health experi</w:t>
      </w:r>
      <w:r>
        <w:rPr>
          <w:color w:val="000000"/>
        </w:rPr>
        <w:t>ences of autistic individuals with those of non-autistic individuals during COVID-19.</w:t>
      </w:r>
    </w:p>
    <w:p w14:paraId="1BA10373" w14:textId="77777777" w:rsidR="0059627B" w:rsidRDefault="007B1972">
      <w:pPr>
        <w:spacing w:line="480" w:lineRule="auto"/>
        <w:ind w:firstLine="720"/>
        <w:rPr>
          <w:color w:val="000000"/>
        </w:rPr>
      </w:pPr>
      <w:r>
        <w:rPr>
          <w:color w:val="000000"/>
        </w:rPr>
        <w:lastRenderedPageBreak/>
        <w:t xml:space="preserve">The current study had both quantitative and qualitative research strands, and the quantitative findings are presented in Part 1 of this pair of papers </w:t>
      </w:r>
      <w:r>
        <w:rPr>
          <w:highlight w:val="white"/>
        </w:rPr>
        <w:t>(Toseeb &amp; Asbury, 2</w:t>
      </w:r>
      <w:r>
        <w:rPr>
          <w:highlight w:val="white"/>
        </w:rPr>
        <w:t>022)</w:t>
      </w:r>
      <w:r>
        <w:rPr>
          <w:color w:val="000000"/>
        </w:rPr>
        <w:t xml:space="preserve">.  In brief, the quantitative data showed that autistic young people showed higher levels of parent-reported anxiety than those with other </w:t>
      </w:r>
      <w:proofErr w:type="spellStart"/>
      <w:r>
        <w:rPr>
          <w:color w:val="000000"/>
        </w:rPr>
        <w:t>SENDs</w:t>
      </w:r>
      <w:proofErr w:type="spellEnd"/>
      <w:r>
        <w:rPr>
          <w:color w:val="000000"/>
        </w:rPr>
        <w:t xml:space="preserve">.  Furthermore, anxiety decreased between March and October 2020 for young people with other </w:t>
      </w:r>
      <w:proofErr w:type="spellStart"/>
      <w:r>
        <w:rPr>
          <w:color w:val="000000"/>
        </w:rPr>
        <w:t>SENDs</w:t>
      </w:r>
      <w:proofErr w:type="spellEnd"/>
      <w:r>
        <w:rPr>
          <w:color w:val="000000"/>
        </w:rPr>
        <w:t xml:space="preserve"> but not f</w:t>
      </w:r>
      <w:r>
        <w:rPr>
          <w:color w:val="000000"/>
        </w:rPr>
        <w:t xml:space="preserve">or those with autism. Within the autistic group it was noted that parent-reported anxiety was higher for older children and girls than it was for younger children and boys.  Those with autism also showed higher levels of depression than those other </w:t>
      </w:r>
      <w:proofErr w:type="spellStart"/>
      <w:r>
        <w:rPr>
          <w:color w:val="000000"/>
        </w:rPr>
        <w:t>SENDs</w:t>
      </w:r>
      <w:proofErr w:type="spellEnd"/>
      <w:r>
        <w:rPr>
          <w:color w:val="000000"/>
        </w:rPr>
        <w:t xml:space="preserve"> b</w:t>
      </w:r>
      <w:r>
        <w:rPr>
          <w:color w:val="000000"/>
        </w:rPr>
        <w:t>ut this pattern remained stable over time, with no decrease for either group.  Once again, older children and girls showed higher levels of depression, as did pupils in mainstream rather than special education. Parents showed very similar levels of psychol</w:t>
      </w:r>
      <w:r>
        <w:rPr>
          <w:color w:val="000000"/>
        </w:rPr>
        <w:t>ogical distress and wellbeing whether their child had autism or another SEND and this pattern remained stable over time.  However, a significant main effect of household income was noted in both groups, with those in lower-income households reporting highe</w:t>
      </w:r>
      <w:r>
        <w:rPr>
          <w:color w:val="000000"/>
        </w:rPr>
        <w:t xml:space="preserve">r levels of psychological distress and lower wellbeing.  </w:t>
      </w:r>
    </w:p>
    <w:p w14:paraId="0B0E122C" w14:textId="77777777" w:rsidR="0059627B" w:rsidRDefault="007B1972">
      <w:pPr>
        <w:spacing w:line="480" w:lineRule="auto"/>
        <w:ind w:firstLine="720"/>
        <w:rPr>
          <w:color w:val="000000"/>
        </w:rPr>
      </w:pPr>
      <w:r>
        <w:rPr>
          <w:color w:val="000000"/>
        </w:rPr>
        <w:t xml:space="preserve">We used qualitative data to: (a) provide a rich description of how parents described the impact of COVID-19 on their own and their children’s mental health; </w:t>
      </w:r>
      <w:proofErr w:type="gramStart"/>
      <w:r>
        <w:rPr>
          <w:color w:val="000000"/>
        </w:rPr>
        <w:t>and,</w:t>
      </w:r>
      <w:proofErr w:type="gramEnd"/>
      <w:r>
        <w:rPr>
          <w:color w:val="000000"/>
        </w:rPr>
        <w:t xml:space="preserve"> (b) investigate our quantitative fin</w:t>
      </w:r>
      <w:r>
        <w:rPr>
          <w:color w:val="000000"/>
        </w:rPr>
        <w:t>dings in greater depth.  We asked:</w:t>
      </w:r>
    </w:p>
    <w:p w14:paraId="35DBC8B9" w14:textId="77777777" w:rsidR="0059627B" w:rsidRDefault="007B1972">
      <w:pPr>
        <w:numPr>
          <w:ilvl w:val="0"/>
          <w:numId w:val="1"/>
        </w:numPr>
        <w:spacing w:line="480" w:lineRule="auto"/>
        <w:rPr>
          <w:color w:val="000000"/>
        </w:rPr>
      </w:pPr>
      <w:r>
        <w:rPr>
          <w:color w:val="000000"/>
        </w:rPr>
        <w:t>How did parents of autistic children and young people describe the effects of the COVID-19 pandemic on their own mental health and that of their children from the beginning of the first COVID-19 lockdown until after schoo</w:t>
      </w:r>
      <w:r>
        <w:rPr>
          <w:color w:val="000000"/>
        </w:rPr>
        <w:t xml:space="preserve">l return, six months later? </w:t>
      </w:r>
    </w:p>
    <w:p w14:paraId="4BB03786" w14:textId="77777777" w:rsidR="0059627B" w:rsidRDefault="007B1972">
      <w:pPr>
        <w:numPr>
          <w:ilvl w:val="0"/>
          <w:numId w:val="1"/>
        </w:numPr>
        <w:spacing w:line="480" w:lineRule="auto"/>
        <w:rPr>
          <w:color w:val="000000"/>
        </w:rPr>
      </w:pPr>
      <w:r>
        <w:rPr>
          <w:color w:val="000000"/>
        </w:rPr>
        <w:t xml:space="preserve">To what extent did  responses from parents of autistic children and young people differ from those of children and young people with other </w:t>
      </w:r>
      <w:proofErr w:type="spellStart"/>
      <w:r>
        <w:rPr>
          <w:color w:val="000000"/>
        </w:rPr>
        <w:t>SENDs</w:t>
      </w:r>
      <w:proofErr w:type="spellEnd"/>
      <w:r>
        <w:rPr>
          <w:color w:val="000000"/>
        </w:rPr>
        <w:t>?</w:t>
      </w:r>
    </w:p>
    <w:p w14:paraId="424EF31C" w14:textId="77777777" w:rsidR="0059627B" w:rsidRDefault="007B1972">
      <w:pPr>
        <w:numPr>
          <w:ilvl w:val="0"/>
          <w:numId w:val="1"/>
        </w:numPr>
        <w:spacing w:line="480" w:lineRule="auto"/>
        <w:rPr>
          <w:color w:val="000000"/>
        </w:rPr>
      </w:pPr>
      <w:r>
        <w:rPr>
          <w:color w:val="000000"/>
        </w:rPr>
        <w:t>To what extent can parents’ qualitative responses explain the trends observed fro</w:t>
      </w:r>
      <w:r>
        <w:rPr>
          <w:color w:val="000000"/>
        </w:rPr>
        <w:t xml:space="preserve">m quantitative data analysis in Part 1 of this study </w:t>
      </w:r>
      <w:r>
        <w:rPr>
          <w:highlight w:val="white"/>
        </w:rPr>
        <w:t>(Toseeb &amp; Asbury, 2022)</w:t>
      </w:r>
      <w:r>
        <w:rPr>
          <w:color w:val="000000"/>
        </w:rPr>
        <w:t>?</w:t>
      </w:r>
    </w:p>
    <w:p w14:paraId="69D1546F" w14:textId="77777777" w:rsidR="0059627B" w:rsidRDefault="007B1972">
      <w:pPr>
        <w:spacing w:line="480" w:lineRule="auto"/>
        <w:rPr>
          <w:rFonts w:ascii="Arial" w:eastAsia="Arial" w:hAnsi="Arial" w:cs="Arial"/>
          <w:color w:val="000000"/>
          <w:sz w:val="22"/>
          <w:szCs w:val="22"/>
        </w:rPr>
      </w:pPr>
      <w:r>
        <w:rPr>
          <w:color w:val="000000"/>
        </w:rPr>
        <w:lastRenderedPageBreak/>
        <w:t>A qualitative approach is particularly well suited to addressing these questions because, by giving participants the opportunity to comment freely on their experiences we gain ac</w:t>
      </w:r>
      <w:r>
        <w:rPr>
          <w:color w:val="000000"/>
        </w:rPr>
        <w:t>cess to their personal explanations for why they felt the way they did, and why they believe their children felt and behaved the way that they did in this situation.  We also enrich our understanding of what living through a pandemic with a child with auti</w:t>
      </w:r>
      <w:r>
        <w:rPr>
          <w:color w:val="000000"/>
        </w:rPr>
        <w:t xml:space="preserve">sm or other </w:t>
      </w:r>
      <w:proofErr w:type="spellStart"/>
      <w:r>
        <w:rPr>
          <w:color w:val="000000"/>
        </w:rPr>
        <w:t>SENDs</w:t>
      </w:r>
      <w:proofErr w:type="spellEnd"/>
      <w:r>
        <w:rPr>
          <w:color w:val="000000"/>
        </w:rPr>
        <w:t xml:space="preserve"> was like - for both child and parent (from the parent’s point of view) - in terms of tangible and </w:t>
      </w:r>
      <w:proofErr w:type="gramStart"/>
      <w:r>
        <w:rPr>
          <w:color w:val="000000"/>
        </w:rPr>
        <w:t>fine grained</w:t>
      </w:r>
      <w:proofErr w:type="gramEnd"/>
      <w:r>
        <w:rPr>
          <w:color w:val="000000"/>
        </w:rPr>
        <w:t xml:space="preserve"> experiences, something that broad brush quantitative measures cannot provide.  This enhanced understanding may form a useful ev</w:t>
      </w:r>
      <w:r>
        <w:rPr>
          <w:color w:val="000000"/>
        </w:rPr>
        <w:t>idence base for developing hypotheses about the mechanisms that can explain associations between this experience and mental wellbeing in autistic children and young people and their parents, and point towards optimal support mechanisms.</w:t>
      </w:r>
    </w:p>
    <w:p w14:paraId="1EA1094F" w14:textId="77777777" w:rsidR="0059627B" w:rsidRDefault="007B1972">
      <w:pPr>
        <w:spacing w:line="480" w:lineRule="auto"/>
        <w:jc w:val="center"/>
        <w:rPr>
          <w:b/>
          <w:color w:val="000000"/>
        </w:rPr>
      </w:pPr>
      <w:r>
        <w:rPr>
          <w:b/>
          <w:color w:val="000000"/>
        </w:rPr>
        <w:t>Method</w:t>
      </w:r>
    </w:p>
    <w:p w14:paraId="22EECD27" w14:textId="77777777" w:rsidR="0059627B" w:rsidRDefault="007B1972">
      <w:pPr>
        <w:spacing w:line="480" w:lineRule="auto"/>
        <w:rPr>
          <w:b/>
          <w:color w:val="000000"/>
        </w:rPr>
      </w:pPr>
      <w:r>
        <w:rPr>
          <w:b/>
          <w:color w:val="000000"/>
        </w:rPr>
        <w:t>Ethics</w:t>
      </w:r>
    </w:p>
    <w:p w14:paraId="3E412683" w14:textId="77777777" w:rsidR="0059627B" w:rsidRDefault="007B1972">
      <w:pPr>
        <w:spacing w:line="480" w:lineRule="auto"/>
        <w:ind w:firstLine="720"/>
        <w:rPr>
          <w:color w:val="000000"/>
        </w:rPr>
      </w:pPr>
      <w:r>
        <w:rPr>
          <w:color w:val="000000"/>
        </w:rPr>
        <w:t>The s</w:t>
      </w:r>
      <w:r>
        <w:rPr>
          <w:color w:val="000000"/>
        </w:rPr>
        <w:t xml:space="preserve">tudy was approved by the Education Ethics Committee at the University of </w:t>
      </w:r>
      <w:r>
        <w:t>York, UK</w:t>
      </w:r>
      <w:r>
        <w:rPr>
          <w:color w:val="000000"/>
        </w:rPr>
        <w:t xml:space="preserve"> (Reference 20/05).  Parents/carers of autistic young people and those with other </w:t>
      </w:r>
      <w:proofErr w:type="spellStart"/>
      <w:r>
        <w:rPr>
          <w:color w:val="000000"/>
        </w:rPr>
        <w:t>SENDs</w:t>
      </w:r>
      <w:proofErr w:type="spellEnd"/>
      <w:r>
        <w:rPr>
          <w:color w:val="000000"/>
        </w:rPr>
        <w:t xml:space="preserve"> provided informed consent electronically.</w:t>
      </w:r>
    </w:p>
    <w:p w14:paraId="646F4528" w14:textId="77777777" w:rsidR="0059627B" w:rsidRDefault="007B1972">
      <w:pPr>
        <w:spacing w:line="480" w:lineRule="auto"/>
        <w:rPr>
          <w:b/>
          <w:color w:val="000000"/>
        </w:rPr>
      </w:pPr>
      <w:r>
        <w:rPr>
          <w:b/>
          <w:color w:val="000000"/>
        </w:rPr>
        <w:t>Participant Recruitment and Study Design</w:t>
      </w:r>
    </w:p>
    <w:p w14:paraId="1BBCFA02" w14:textId="77777777" w:rsidR="0059627B" w:rsidRDefault="007B1972">
      <w:pPr>
        <w:spacing w:line="480" w:lineRule="auto"/>
        <w:ind w:firstLine="720"/>
        <w:rPr>
          <w:color w:val="000000"/>
        </w:rPr>
      </w:pPr>
      <w:r>
        <w:rPr>
          <w:color w:val="000000"/>
        </w:rPr>
        <w:t xml:space="preserve">Parents/carers of 517 autistic young people (75%) and other </w:t>
      </w:r>
      <w:proofErr w:type="spellStart"/>
      <w:r>
        <w:rPr>
          <w:color w:val="000000"/>
        </w:rPr>
        <w:t>SENDs</w:t>
      </w:r>
      <w:proofErr w:type="spellEnd"/>
      <w:r>
        <w:rPr>
          <w:color w:val="000000"/>
        </w:rPr>
        <w:t xml:space="preserve"> completed online questionnaires between 22nd March 2020 and 10th October 2020. Of these, 478 provided qualitative data for the analysis reported here</w:t>
      </w:r>
      <w:r>
        <w:rPr>
          <w:color w:val="000000"/>
        </w:rPr>
        <w:t xml:space="preserve"> (</w:t>
      </w:r>
      <w:r>
        <w:rPr>
          <w:color w:val="000000"/>
          <w:highlight w:val="white"/>
        </w:rPr>
        <w:t>282 at Time 1, 211 at Time 2, 104 at Time 3, and 183 at Time 4).</w:t>
      </w:r>
      <w:r>
        <w:rPr>
          <w:color w:val="000000"/>
        </w:rPr>
        <w:t xml:space="preserve"> Data were also gathered from parents of 95 nonverbal and minimally verbal children and young people but these participants were excluded from the current analysis and their data will be ana</w:t>
      </w:r>
      <w:r>
        <w:rPr>
          <w:color w:val="000000"/>
        </w:rPr>
        <w:t xml:space="preserve">lysed and presented separately.  This decision was taken because the current analysis is closely tied to the quantitative analysis presented in </w:t>
      </w:r>
      <w:r>
        <w:t>Toseeb &amp; Asbury (2022)</w:t>
      </w:r>
      <w:r>
        <w:rPr>
          <w:color w:val="000000"/>
        </w:rPr>
        <w:t xml:space="preserve"> and quantitative mental health data was not gathered from parents/carers of </w:t>
      </w:r>
      <w:r>
        <w:rPr>
          <w:color w:val="000000"/>
        </w:rPr>
        <w:lastRenderedPageBreak/>
        <w:t>minimally ver</w:t>
      </w:r>
      <w:r>
        <w:rPr>
          <w:color w:val="000000"/>
        </w:rPr>
        <w:t xml:space="preserve">bal or nonverbal children and young people because the measures used were not appropriate for them.  Sample demographics, divided by timepoint, are presented in Part 1 </w:t>
      </w:r>
      <w:r>
        <w:rPr>
          <w:highlight w:val="white"/>
        </w:rPr>
        <w:t>(Toseeb &amp; Asbury, 2022)</w:t>
      </w:r>
      <w:r>
        <w:rPr>
          <w:color w:val="000000"/>
        </w:rPr>
        <w:t xml:space="preserve">. Young people with a broad range of </w:t>
      </w:r>
      <w:proofErr w:type="spellStart"/>
      <w:r>
        <w:rPr>
          <w:color w:val="000000"/>
        </w:rPr>
        <w:t>SENDs</w:t>
      </w:r>
      <w:proofErr w:type="spellEnd"/>
      <w:r>
        <w:rPr>
          <w:color w:val="000000"/>
        </w:rPr>
        <w:t xml:space="preserve"> were included and full</w:t>
      </w:r>
      <w:r>
        <w:rPr>
          <w:color w:val="000000"/>
        </w:rPr>
        <w:t xml:space="preserve"> details are provided in </w:t>
      </w:r>
      <w:r>
        <w:rPr>
          <w:highlight w:val="white"/>
        </w:rPr>
        <w:t>Toseeb &amp; Asbury (2022).</w:t>
      </w:r>
    </w:p>
    <w:p w14:paraId="3BCFD679" w14:textId="77777777" w:rsidR="0059627B" w:rsidRDefault="007B1972">
      <w:pPr>
        <w:spacing w:line="480" w:lineRule="auto"/>
        <w:ind w:firstLine="720"/>
        <w:rPr>
          <w:color w:val="000000"/>
          <w:highlight w:val="white"/>
        </w:rPr>
      </w:pPr>
      <w:r>
        <w:rPr>
          <w:color w:val="000000"/>
        </w:rPr>
        <w:t>During 2020, data were collected at four timepoints: Time 1 (T1: 23rd March -22nd April), Time 2 (T2: 23rd April-22nd May), Time 3 (T3: 23rd May-22nd June), and Time 4 (T4: 29th September-10th October). Parents took part at one or more timepoints. Those wh</w:t>
      </w:r>
      <w:r>
        <w:rPr>
          <w:color w:val="000000"/>
        </w:rPr>
        <w:t>o took part at a previous time point were invited to take part in all future time points.  New participants were recruited in each wave of data collection to maintain sample size. This was particularly important for the quantitative analyses presented in [</w:t>
      </w:r>
      <w:r>
        <w:rPr>
          <w:color w:val="000000"/>
        </w:rPr>
        <w:t>citation anonymised for peer review].  Sample attrition was as follows: T2 - 56% (173 parents took part at T1 but not T2), T3 – 72% (288 parents took part at T1 or T2 but not T3), and T4 – 63% (326 parents took part at T1, T2, or T3 but not T4). There were</w:t>
      </w:r>
      <w:r>
        <w:rPr>
          <w:color w:val="000000"/>
        </w:rPr>
        <w:t xml:space="preserve"> 260 (50%) participants who only took part at one-time point, 158 (31%) who took part at two-time points, 53 (10%) who took part at three-time points, and 46 (9%) who took part at all four-time points. </w:t>
      </w:r>
    </w:p>
    <w:p w14:paraId="2F63BF31" w14:textId="77777777" w:rsidR="0059627B" w:rsidRDefault="007B1972">
      <w:pPr>
        <w:spacing w:line="480" w:lineRule="auto"/>
        <w:rPr>
          <w:b/>
          <w:i/>
          <w:color w:val="000000"/>
        </w:rPr>
      </w:pPr>
      <w:r>
        <w:rPr>
          <w:b/>
          <w:color w:val="000000"/>
        </w:rPr>
        <w:t xml:space="preserve">Measures </w:t>
      </w:r>
    </w:p>
    <w:p w14:paraId="20AA8F79" w14:textId="77777777" w:rsidR="0059627B" w:rsidRDefault="007B1972">
      <w:pPr>
        <w:spacing w:line="480" w:lineRule="auto"/>
        <w:rPr>
          <w:color w:val="000000"/>
          <w:highlight w:val="white"/>
        </w:rPr>
      </w:pPr>
      <w:r>
        <w:rPr>
          <w:color w:val="000000"/>
        </w:rPr>
        <w:tab/>
        <w:t>Parents/carers were asked a single open-en</w:t>
      </w:r>
      <w:r>
        <w:rPr>
          <w:color w:val="000000"/>
        </w:rPr>
        <w:t>ded item about their own and their child’s mental health at all four time points. The wording of the item at T1 was “</w:t>
      </w:r>
      <w:r>
        <w:rPr>
          <w:color w:val="000000"/>
          <w:highlight w:val="white"/>
        </w:rPr>
        <w:t>Please describe in your own words how the Coronavirus outbreak is affecting your mental health and your child's mental health”. The wording</w:t>
      </w:r>
      <w:r>
        <w:rPr>
          <w:color w:val="000000"/>
          <w:highlight w:val="white"/>
        </w:rPr>
        <w:t xml:space="preserve"> at T2-4 was amended slightly to elicit responses related to the preceding month “Please describe in your own words how the Coronavirus outbreak has affected your mental health and your child's mental health in the last month”  Parents/carers were provided</w:t>
      </w:r>
      <w:r>
        <w:rPr>
          <w:color w:val="000000"/>
          <w:highlight w:val="white"/>
        </w:rPr>
        <w:t xml:space="preserve"> with a free text box to input their responses.  No word limit was imposed and the average word count for responses was 65 at T1, 72  at T2, 57 at T3, and 61 at T4. </w:t>
      </w:r>
    </w:p>
    <w:p w14:paraId="4A4ED22C" w14:textId="77777777" w:rsidR="0059627B" w:rsidRDefault="007B1972">
      <w:pPr>
        <w:spacing w:line="480" w:lineRule="auto"/>
        <w:rPr>
          <w:b/>
          <w:i/>
          <w:color w:val="000000"/>
        </w:rPr>
      </w:pPr>
      <w:r>
        <w:rPr>
          <w:b/>
          <w:color w:val="000000"/>
        </w:rPr>
        <w:lastRenderedPageBreak/>
        <w:t>Analysis and Coding</w:t>
      </w:r>
    </w:p>
    <w:p w14:paraId="4CE1CB2F" w14:textId="77777777" w:rsidR="0059627B" w:rsidRDefault="007B1972">
      <w:pPr>
        <w:spacing w:line="480" w:lineRule="auto"/>
        <w:ind w:firstLine="720"/>
        <w:rPr>
          <w:color w:val="000000"/>
        </w:rPr>
      </w:pPr>
      <w:r>
        <w:rPr>
          <w:color w:val="000000"/>
        </w:rPr>
        <w:t xml:space="preserve">There are “no cast iron rules or procedures” (Neale, 2019, p.108) for </w:t>
      </w:r>
      <w:r>
        <w:rPr>
          <w:color w:val="000000"/>
        </w:rPr>
        <w:t>longitudinal qualitative analysis (</w:t>
      </w:r>
      <w:proofErr w:type="spellStart"/>
      <w:r>
        <w:rPr>
          <w:color w:val="000000"/>
        </w:rPr>
        <w:t>Saldaña</w:t>
      </w:r>
      <w:proofErr w:type="spellEnd"/>
      <w:r>
        <w:rPr>
          <w:color w:val="000000"/>
        </w:rPr>
        <w:t xml:space="preserve">, 2003).  We used a repeated cross-sectional design because we have data from different samples of the population of interest at each timepoint, albeit with many individuals represented at more than one timepoint. </w:t>
      </w:r>
      <w:r>
        <w:rPr>
          <w:color w:val="000000"/>
        </w:rPr>
        <w:t>We conducted content analyses of the qualitative data gathered at each of our four timepoints and summarised them in brief pen portraits (Bengtsson, 2016) in order to gain a bird's eye view of what changed over time.  These individual content analyses high</w:t>
      </w:r>
      <w:r>
        <w:rPr>
          <w:color w:val="000000"/>
        </w:rPr>
        <w:t xml:space="preserve">lighted the most prevalent or new issues described by participants at each timepoint in relation to their mental health and that of the autistic young people and those with other </w:t>
      </w:r>
      <w:proofErr w:type="spellStart"/>
      <w:r>
        <w:rPr>
          <w:color w:val="000000"/>
        </w:rPr>
        <w:t>SENDs</w:t>
      </w:r>
      <w:proofErr w:type="spellEnd"/>
      <w:r>
        <w:rPr>
          <w:color w:val="000000"/>
        </w:rPr>
        <w:t xml:space="preserve"> in their care. Our longitudinal analysis followed on from this and focu</w:t>
      </w:r>
      <w:r>
        <w:rPr>
          <w:color w:val="000000"/>
        </w:rPr>
        <w:t>sed on how participants’ self-reported mental health changed between T1 and T4 (</w:t>
      </w:r>
      <w:proofErr w:type="spellStart"/>
      <w:r>
        <w:rPr>
          <w:color w:val="000000"/>
        </w:rPr>
        <w:t>Grossoehme</w:t>
      </w:r>
      <w:proofErr w:type="spellEnd"/>
      <w:r>
        <w:rPr>
          <w:color w:val="000000"/>
        </w:rPr>
        <w:t xml:space="preserve"> &amp; </w:t>
      </w:r>
      <w:proofErr w:type="spellStart"/>
      <w:r>
        <w:rPr>
          <w:color w:val="000000"/>
        </w:rPr>
        <w:t>Lipstein</w:t>
      </w:r>
      <w:proofErr w:type="spellEnd"/>
      <w:r>
        <w:rPr>
          <w:color w:val="000000"/>
        </w:rPr>
        <w:t xml:space="preserve">, 2016).  It was conducted in line with </w:t>
      </w:r>
      <w:proofErr w:type="spellStart"/>
      <w:r>
        <w:rPr>
          <w:color w:val="000000"/>
        </w:rPr>
        <w:t>Saldaña</w:t>
      </w:r>
      <w:proofErr w:type="spellEnd"/>
      <w:r>
        <w:rPr>
          <w:color w:val="000000"/>
        </w:rPr>
        <w:t xml:space="preserve"> (2003)’s sixteen questions for longitudinal qualitative research.  These questions are clustered in three g</w:t>
      </w:r>
      <w:r>
        <w:rPr>
          <w:color w:val="000000"/>
        </w:rPr>
        <w:t>roups: framing questions, descriptive questions and analytic/interpretive questions.  The five framing questions are designed to anchor the data in the context of the time in which it was gathered and include: ‘What is different from one pond or pool of da</w:t>
      </w:r>
      <w:r>
        <w:rPr>
          <w:color w:val="000000"/>
        </w:rPr>
        <w:t>ta through the next?’ and ‘When do changes occur through time?’  These are followed by seven descriptive questions which build on the dynamic time frame established by the framing questions and inform the interpretive questions which follow.  They are ‘Wha</w:t>
      </w:r>
      <w:r>
        <w:rPr>
          <w:color w:val="000000"/>
        </w:rPr>
        <w:t>t?’ questions, such as: ‘What increases or emerges through time?’ and ‘What remains constant or consistent through time?’  Finally, four analytic and interpretive questions are asked of the data, including: ‘Which changes interrelate through time?’ and ‘Wh</w:t>
      </w:r>
      <w:r>
        <w:rPr>
          <w:color w:val="000000"/>
        </w:rPr>
        <w:t>at is the through-line of the study?’</w:t>
      </w:r>
    </w:p>
    <w:p w14:paraId="0D3CA4D1" w14:textId="77777777" w:rsidR="0059627B" w:rsidRDefault="007B1972">
      <w:pPr>
        <w:spacing w:line="480" w:lineRule="auto"/>
        <w:ind w:firstLine="720"/>
        <w:rPr>
          <w:color w:val="000000"/>
        </w:rPr>
      </w:pPr>
      <w:r>
        <w:rPr>
          <w:color w:val="000000"/>
        </w:rPr>
        <w:t xml:space="preserve">At T1, data were coded inductively by a single coder and, after discussion between the </w:t>
      </w:r>
      <w:proofErr w:type="gramStart"/>
      <w:r>
        <w:rPr>
          <w:color w:val="000000"/>
        </w:rPr>
        <w:t>authors</w:t>
      </w:r>
      <w:proofErr w:type="gramEnd"/>
      <w:r>
        <w:rPr>
          <w:color w:val="000000"/>
        </w:rPr>
        <w:t>, agreed codes were documented in a codebook. All coding was manifest rather than latent as we were interested in representi</w:t>
      </w:r>
      <w:r>
        <w:rPr>
          <w:color w:val="000000"/>
        </w:rPr>
        <w:t xml:space="preserve">ng participants’ actual responses rather than </w:t>
      </w:r>
      <w:r>
        <w:rPr>
          <w:color w:val="000000"/>
        </w:rPr>
        <w:lastRenderedPageBreak/>
        <w:t>exploring underlying ideas or assumptions. Beyond T1 both deductive and inductive approaches were used; the codes applied to the initial dataset were used (deductive) and additional inductive codes were added a</w:t>
      </w:r>
      <w:r>
        <w:rPr>
          <w:color w:val="000000"/>
        </w:rPr>
        <w:t>s needed. When new codes were identified previous timepoints were re-visited.  For instance, if a new code was applied at T3, the authors went back through the (already coded) T1 and T2 data to check for meaning units where it may be appropriate to apply t</w:t>
      </w:r>
      <w:r>
        <w:rPr>
          <w:color w:val="000000"/>
        </w:rPr>
        <w:t>he new code. Code definitions were also re-reviewed iteratively, on the basis of the new data, to ensure shared understanding at all times. In this way it was ensured that the coding for all four timepoints was comparable. Although T1 data had been previou</w:t>
      </w:r>
      <w:r>
        <w:rPr>
          <w:color w:val="000000"/>
        </w:rPr>
        <w:t xml:space="preserve">sly coded by a team of researchers </w:t>
      </w:r>
      <w:r>
        <w:t>(Asbury et al., 2021)</w:t>
      </w:r>
      <w:r>
        <w:rPr>
          <w:color w:val="000000"/>
        </w:rPr>
        <w:t>, it was re-coded for the current study because of differences in the sample (i.e., additional participants and the exclusion of non-verbal and minimally verbal children and young people from the curr</w:t>
      </w:r>
      <w:r>
        <w:rPr>
          <w:color w:val="000000"/>
        </w:rPr>
        <w:t>ent study), and in light of revisiting the data on the basis of codes added at later time points. In reporting participants’ words some minor typos or grammatical errors have been corrected for clarity, where doing so does not impact the meaning of the quo</w:t>
      </w:r>
      <w:r>
        <w:rPr>
          <w:color w:val="000000"/>
        </w:rPr>
        <w:t>tation. These codes were then clustered into categories at each timepoint, as described above.</w:t>
      </w:r>
    </w:p>
    <w:p w14:paraId="6A8B9820" w14:textId="77777777" w:rsidR="0059627B" w:rsidRDefault="007B1972">
      <w:pPr>
        <w:spacing w:line="480" w:lineRule="auto"/>
        <w:ind w:firstLine="720"/>
        <w:rPr>
          <w:color w:val="000000"/>
        </w:rPr>
      </w:pPr>
      <w:r>
        <w:rPr>
          <w:color w:val="000000"/>
        </w:rPr>
        <w:t>For the current analysis we only included codes that were applied at least 15 times at one or more timepoints and which were subsequently clustered in one of the</w:t>
      </w:r>
      <w:r>
        <w:rPr>
          <w:color w:val="000000"/>
        </w:rPr>
        <w:t xml:space="preserve"> three primary categories identified in the data (see Results). In this way 87 codes in the codebook were reduced to a more manageable 20.  Data from every 5</w:t>
      </w:r>
      <w:r>
        <w:rPr>
          <w:color w:val="000000"/>
          <w:vertAlign w:val="superscript"/>
        </w:rPr>
        <w:t>th</w:t>
      </w:r>
      <w:r>
        <w:rPr>
          <w:color w:val="000000"/>
        </w:rPr>
        <w:t xml:space="preserve"> participant in each dataset (20% of each sample) at each timepoint was </w:t>
      </w:r>
      <w:proofErr w:type="gramStart"/>
      <w:r>
        <w:rPr>
          <w:color w:val="000000"/>
        </w:rPr>
        <w:t>blind-coded</w:t>
      </w:r>
      <w:proofErr w:type="gramEnd"/>
      <w:r>
        <w:rPr>
          <w:color w:val="000000"/>
        </w:rPr>
        <w:t xml:space="preserve"> by a second </w:t>
      </w:r>
      <w:proofErr w:type="spellStart"/>
      <w:r>
        <w:rPr>
          <w:color w:val="000000"/>
        </w:rPr>
        <w:t>r</w:t>
      </w:r>
      <w:r>
        <w:rPr>
          <w:color w:val="000000"/>
        </w:rPr>
        <w:t>ater</w:t>
      </w:r>
      <w:proofErr w:type="spellEnd"/>
      <w:r>
        <w:rPr>
          <w:color w:val="000000"/>
        </w:rPr>
        <w:t xml:space="preserve"> and Fleiss’ kappa was calculated to assess the inter-rater reliability of the coding.</w:t>
      </w:r>
    </w:p>
    <w:p w14:paraId="0857F84B" w14:textId="77777777" w:rsidR="0059627B" w:rsidRDefault="007B1972">
      <w:pPr>
        <w:spacing w:line="480" w:lineRule="auto"/>
        <w:ind w:firstLine="720"/>
        <w:jc w:val="center"/>
        <w:rPr>
          <w:color w:val="000000"/>
        </w:rPr>
      </w:pPr>
      <w:r>
        <w:rPr>
          <w:color w:val="000000"/>
        </w:rPr>
        <w:t>[TABLE 1]</w:t>
      </w:r>
    </w:p>
    <w:p w14:paraId="31DD019B" w14:textId="77777777" w:rsidR="0059627B" w:rsidRDefault="007B1972">
      <w:pPr>
        <w:spacing w:line="480" w:lineRule="auto"/>
        <w:ind w:firstLine="720"/>
        <w:rPr>
          <w:color w:val="000000"/>
        </w:rPr>
      </w:pPr>
      <w:r>
        <w:rPr>
          <w:color w:val="000000"/>
        </w:rPr>
        <w:t>It can be seen in Table 1 that coding reliability ranged from moderately reliable (</w:t>
      </w:r>
      <w:r>
        <w:rPr>
          <w:i/>
          <w:color w:val="000000"/>
        </w:rPr>
        <w:t>kappa</w:t>
      </w:r>
      <w:r>
        <w:rPr>
          <w:color w:val="000000"/>
        </w:rPr>
        <w:t>=0.60-0.79) through to almost perfectly reliable (</w:t>
      </w:r>
      <w:r>
        <w:rPr>
          <w:i/>
          <w:color w:val="000000"/>
        </w:rPr>
        <w:t>kappa</w:t>
      </w:r>
      <w:r>
        <w:rPr>
          <w:color w:val="000000"/>
        </w:rPr>
        <w:t>=0.90-1.00).</w:t>
      </w:r>
      <w:r>
        <w:rPr>
          <w:color w:val="000000"/>
        </w:rPr>
        <w:t xml:space="preserve">  </w:t>
      </w:r>
    </w:p>
    <w:p w14:paraId="06935F2B" w14:textId="77777777" w:rsidR="0059627B" w:rsidRDefault="007B1972">
      <w:pPr>
        <w:spacing w:line="480" w:lineRule="auto"/>
        <w:rPr>
          <w:b/>
          <w:color w:val="000000"/>
        </w:rPr>
      </w:pPr>
      <w:r>
        <w:rPr>
          <w:b/>
          <w:color w:val="000000"/>
        </w:rPr>
        <w:t>Community Involvement</w:t>
      </w:r>
    </w:p>
    <w:p w14:paraId="5EB6AF83" w14:textId="77777777" w:rsidR="0059627B" w:rsidRDefault="007B1972">
      <w:pPr>
        <w:spacing w:line="480" w:lineRule="auto"/>
        <w:ind w:firstLine="720"/>
        <w:rPr>
          <w:color w:val="000000"/>
        </w:rPr>
      </w:pPr>
      <w:r>
        <w:rPr>
          <w:color w:val="000000"/>
          <w:highlight w:val="white"/>
        </w:rPr>
        <w:lastRenderedPageBreak/>
        <w:t xml:space="preserve"> There was no community involvement in this study from the autistic community.  A member of the research team, who was centrally involved in the design of the study and study questions, is a parent of a child with autism and one ot</w:t>
      </w:r>
      <w:r>
        <w:rPr>
          <w:color w:val="000000"/>
          <w:highlight w:val="white"/>
        </w:rPr>
        <w:t xml:space="preserve">her SEND.     </w:t>
      </w:r>
    </w:p>
    <w:p w14:paraId="21782BF4" w14:textId="77777777" w:rsidR="0059627B" w:rsidRDefault="007B1972">
      <w:pPr>
        <w:spacing w:line="480" w:lineRule="auto"/>
        <w:jc w:val="center"/>
        <w:rPr>
          <w:b/>
          <w:color w:val="000000"/>
        </w:rPr>
      </w:pPr>
      <w:r>
        <w:rPr>
          <w:b/>
          <w:color w:val="000000"/>
        </w:rPr>
        <w:t>Results and Discussion</w:t>
      </w:r>
    </w:p>
    <w:p w14:paraId="1A3AF0AE" w14:textId="77777777" w:rsidR="0059627B" w:rsidRDefault="007B1972">
      <w:pPr>
        <w:spacing w:line="480" w:lineRule="auto"/>
        <w:ind w:firstLine="720"/>
        <w:rPr>
          <w:color w:val="000000"/>
        </w:rPr>
      </w:pPr>
      <w:r>
        <w:rPr>
          <w:color w:val="000000"/>
        </w:rPr>
        <w:t xml:space="preserve">In our cross-sectional analyses we developed seven categories that were present, to a greater or lesser degree, at all four timepoints.  We designated three of these as </w:t>
      </w:r>
      <w:r>
        <w:rPr>
          <w:i/>
          <w:color w:val="000000"/>
        </w:rPr>
        <w:t>primary categories</w:t>
      </w:r>
      <w:r>
        <w:rPr>
          <w:color w:val="000000"/>
        </w:rPr>
        <w:t xml:space="preserve"> which directly address this st</w:t>
      </w:r>
      <w:r>
        <w:rPr>
          <w:color w:val="000000"/>
        </w:rPr>
        <w:t xml:space="preserve">udy’s research questions about mental health: (1) worry, (2) psychological distress and (3) wellbeing.  The remaining four were </w:t>
      </w:r>
      <w:r>
        <w:rPr>
          <w:i/>
          <w:color w:val="000000"/>
        </w:rPr>
        <w:t>contributing categories</w:t>
      </w:r>
      <w:r>
        <w:rPr>
          <w:color w:val="000000"/>
        </w:rPr>
        <w:t>:  (4) loss, (5) understanding and awareness, (6) overwhelmed and (7) education, because we interpreted t</w:t>
      </w:r>
      <w:r>
        <w:rPr>
          <w:color w:val="000000"/>
        </w:rPr>
        <w:t xml:space="preserve">hem as contributing to the worry, psychological distress or wellbeing that participants described. </w:t>
      </w:r>
    </w:p>
    <w:p w14:paraId="62301029" w14:textId="77777777" w:rsidR="0059627B" w:rsidRDefault="007B1972">
      <w:pPr>
        <w:spacing w:line="480" w:lineRule="auto"/>
        <w:jc w:val="center"/>
        <w:rPr>
          <w:color w:val="000000"/>
        </w:rPr>
      </w:pPr>
      <w:r>
        <w:rPr>
          <w:color w:val="000000"/>
        </w:rPr>
        <w:t>[FIGURE 1]</w:t>
      </w:r>
    </w:p>
    <w:p w14:paraId="68E8E3A3" w14:textId="77777777" w:rsidR="0059627B" w:rsidRDefault="007B1972">
      <w:pPr>
        <w:spacing w:line="480" w:lineRule="auto"/>
        <w:ind w:firstLine="720"/>
        <w:rPr>
          <w:color w:val="000000"/>
        </w:rPr>
      </w:pPr>
      <w:r>
        <w:rPr>
          <w:color w:val="000000"/>
        </w:rPr>
        <w:t xml:space="preserve"> In order to be able to explore the data in sufficient depth we present only the three </w:t>
      </w:r>
      <w:r>
        <w:rPr>
          <w:i/>
          <w:color w:val="000000"/>
        </w:rPr>
        <w:t xml:space="preserve">primary categories </w:t>
      </w:r>
      <w:r>
        <w:rPr>
          <w:color w:val="000000"/>
        </w:rPr>
        <w:t>here, drawing upon the contributing cat</w:t>
      </w:r>
      <w:r>
        <w:rPr>
          <w:color w:val="000000"/>
        </w:rPr>
        <w:t xml:space="preserve">egories to add insight where appropriate.  </w:t>
      </w:r>
    </w:p>
    <w:p w14:paraId="4971CFE3" w14:textId="77777777" w:rsidR="0059627B" w:rsidRDefault="007B1972">
      <w:pPr>
        <w:spacing w:line="480" w:lineRule="auto"/>
        <w:ind w:firstLine="720"/>
        <w:rPr>
          <w:color w:val="000000"/>
        </w:rPr>
      </w:pPr>
      <w:r>
        <w:rPr>
          <w:color w:val="000000"/>
        </w:rPr>
        <w:t>Table 2 shows how many times each primary category code was applied at each timepoint, and what proportion of each sample (auti</w:t>
      </w:r>
      <w:r>
        <w:t>stic</w:t>
      </w:r>
      <w:r>
        <w:rPr>
          <w:color w:val="000000"/>
        </w:rPr>
        <w:t xml:space="preserve"> compared to other </w:t>
      </w:r>
      <w:proofErr w:type="spellStart"/>
      <w:r>
        <w:rPr>
          <w:color w:val="000000"/>
        </w:rPr>
        <w:t>SENDs</w:t>
      </w:r>
      <w:proofErr w:type="spellEnd"/>
      <w:r>
        <w:rPr>
          <w:color w:val="000000"/>
        </w:rPr>
        <w:t xml:space="preserve">) described a situation that was relevant to the code.  </w:t>
      </w:r>
    </w:p>
    <w:p w14:paraId="2E4111FB" w14:textId="77777777" w:rsidR="0059627B" w:rsidRDefault="007B1972">
      <w:pPr>
        <w:spacing w:line="480" w:lineRule="auto"/>
        <w:jc w:val="center"/>
        <w:rPr>
          <w:color w:val="000000"/>
        </w:rPr>
      </w:pPr>
      <w:r>
        <w:rPr>
          <w:color w:val="000000"/>
        </w:rPr>
        <w:t>[TABLE 2]</w:t>
      </w:r>
    </w:p>
    <w:p w14:paraId="115B8DD9" w14:textId="77777777" w:rsidR="0059627B" w:rsidRDefault="007B1972">
      <w:pPr>
        <w:spacing w:line="480" w:lineRule="auto"/>
        <w:rPr>
          <w:color w:val="000000"/>
        </w:rPr>
      </w:pPr>
      <w:r>
        <w:rPr>
          <w:color w:val="000000"/>
        </w:rPr>
        <w:t xml:space="preserve">This gives us a broad-brush overview of the issues that dominated responses at each timepoint, and how their prevalence differed between families with an autistic young person compared to families with a young person with </w:t>
      </w:r>
      <w:proofErr w:type="spellStart"/>
      <w:r>
        <w:rPr>
          <w:color w:val="000000"/>
        </w:rPr>
        <w:t>SENDs</w:t>
      </w:r>
      <w:proofErr w:type="spellEnd"/>
      <w:r>
        <w:rPr>
          <w:color w:val="000000"/>
        </w:rPr>
        <w:t xml:space="preserve"> other than autism.</w:t>
      </w:r>
      <w:r>
        <w:rPr>
          <w:color w:val="000000"/>
        </w:rPr>
        <w:t xml:space="preserve">  </w:t>
      </w:r>
    </w:p>
    <w:p w14:paraId="005D7223" w14:textId="77777777" w:rsidR="0059627B" w:rsidRDefault="007B1972">
      <w:pPr>
        <w:spacing w:line="480" w:lineRule="auto"/>
        <w:rPr>
          <w:color w:val="000000"/>
        </w:rPr>
      </w:pPr>
      <w:r>
        <w:rPr>
          <w:b/>
          <w:i/>
          <w:color w:val="000000"/>
        </w:rPr>
        <w:t>Worry</w:t>
      </w:r>
    </w:p>
    <w:p w14:paraId="1BF053F3" w14:textId="77777777" w:rsidR="0059627B" w:rsidRDefault="007B1972">
      <w:pPr>
        <w:spacing w:line="480" w:lineRule="auto"/>
        <w:ind w:firstLine="720"/>
        <w:rPr>
          <w:color w:val="000000"/>
        </w:rPr>
      </w:pPr>
      <w:r>
        <w:rPr>
          <w:color w:val="000000"/>
        </w:rPr>
        <w:t xml:space="preserve">Our ‘worry’  category represents data that describes and reflects on participants’ feelings or observations of anxiety or worry.  Worry was the dominant theme in the data at </w:t>
      </w:r>
      <w:r>
        <w:rPr>
          <w:color w:val="000000"/>
        </w:rPr>
        <w:lastRenderedPageBreak/>
        <w:t>almost all timepoints, with anxiety being coded in 20-38% of responses, a</w:t>
      </w:r>
      <w:r>
        <w:rPr>
          <w:color w:val="000000"/>
        </w:rPr>
        <w:t xml:space="preserve">s shown in Table 2.  As one parent put it: “I cannot see the end of the tunnel and it is hard to support my children’s fears when it is already difficult to manage my own anxiety.” (P161/T2/Autism).  </w:t>
      </w:r>
    </w:p>
    <w:p w14:paraId="6DD163B3" w14:textId="77777777" w:rsidR="0059627B" w:rsidRDefault="007B1972">
      <w:pPr>
        <w:spacing w:line="480" w:lineRule="auto"/>
        <w:ind w:firstLine="720"/>
        <w:rPr>
          <w:color w:val="000000"/>
        </w:rPr>
      </w:pPr>
      <w:r>
        <w:rPr>
          <w:color w:val="000000"/>
        </w:rPr>
        <w:t>Participants described symptoms of anxiety in their chi</w:t>
      </w:r>
      <w:r>
        <w:rPr>
          <w:color w:val="000000"/>
        </w:rPr>
        <w:t xml:space="preserve">ldren that ranged from obsessive handwashing through to epileptic seizures, and included agoraphobia, violence and aggression, self-harm, tics, stimming, sensory issues, breath holding, hand or nail biting, refusing to open windows or leave the house, not </w:t>
      </w:r>
      <w:r>
        <w:rPr>
          <w:color w:val="000000"/>
        </w:rPr>
        <w:t>sleeping, not eating and nightmares.  At T4 one parent said: “he believes he will die … his brain is telling him to drink the cleaning products and then he will die” (P485/T4/Autism).  Similar examples of severe levels of worry among young people were evid</w:t>
      </w:r>
      <w:r>
        <w:rPr>
          <w:color w:val="000000"/>
        </w:rPr>
        <w:t xml:space="preserve">ent at all four timepoints.  It is also important to note, however, that some parents reported a reduction in worry for their children.  In general though, parents reported high levels of anxiety in their children that they saw as being directly caused or </w:t>
      </w:r>
      <w:r>
        <w:rPr>
          <w:color w:val="000000"/>
        </w:rPr>
        <w:t>exacerbated by COVID-19 and lockdown.</w:t>
      </w:r>
    </w:p>
    <w:p w14:paraId="14EAAAC3" w14:textId="77777777" w:rsidR="0059627B" w:rsidRDefault="007B1972">
      <w:pPr>
        <w:spacing w:line="480" w:lineRule="auto"/>
        <w:ind w:firstLine="720"/>
        <w:rPr>
          <w:color w:val="000000"/>
        </w:rPr>
      </w:pPr>
      <w:r>
        <w:rPr>
          <w:color w:val="000000"/>
        </w:rPr>
        <w:t>As well as describing their children’s worries, parents expressed a great deal of worry themselves.  One of their major sources of worry regarded their children falling behind in education.  “I worry that I’m not doing</w:t>
      </w:r>
      <w:r>
        <w:rPr>
          <w:color w:val="000000"/>
        </w:rPr>
        <w:t xml:space="preserve"> home ed correctly and that my son will fall even further behind at school due to my failings.” (P237/T1/Autism).  Parents and carers also expressed concern about how difficult it would be to get young people back to school after lockdown, with some report</w:t>
      </w:r>
      <w:r>
        <w:rPr>
          <w:color w:val="000000"/>
        </w:rPr>
        <w:t xml:space="preserve">ing that they could only manage their child’s worry by not asking them to engage with schoolwork.  Some worried about bringing the virus home from work, as is likely to have been the case for many parents working outside the home.  However, these concerns </w:t>
      </w:r>
      <w:r>
        <w:rPr>
          <w:color w:val="000000"/>
        </w:rPr>
        <w:t>were often specific to being the parent of a child with additional needs: “I was fine until the government implemented the who lives who dies policy.” (P241/T1/Autism).  In other cases, concerns related to who would look after their children if they were t</w:t>
      </w:r>
      <w:r>
        <w:rPr>
          <w:color w:val="000000"/>
        </w:rPr>
        <w:t xml:space="preserve">o get </w:t>
      </w:r>
      <w:r>
        <w:rPr>
          <w:color w:val="000000"/>
        </w:rPr>
        <w:lastRenderedPageBreak/>
        <w:t xml:space="preserve">COVID and die.  There was evidence of this level of worry for a meaningful proportion of parents/carers at all four timepoints. </w:t>
      </w:r>
    </w:p>
    <w:p w14:paraId="09A5C180" w14:textId="77777777" w:rsidR="0059627B" w:rsidRDefault="007B1972">
      <w:pPr>
        <w:spacing w:line="480" w:lineRule="auto"/>
        <w:ind w:firstLine="720"/>
        <w:rPr>
          <w:color w:val="000000"/>
        </w:rPr>
      </w:pPr>
      <w:r>
        <w:rPr>
          <w:color w:val="000000"/>
        </w:rPr>
        <w:t xml:space="preserve">Using </w:t>
      </w:r>
      <w:proofErr w:type="spellStart"/>
      <w:r>
        <w:rPr>
          <w:color w:val="000000"/>
        </w:rPr>
        <w:t>Saldaña’s</w:t>
      </w:r>
      <w:proofErr w:type="spellEnd"/>
      <w:r>
        <w:rPr>
          <w:color w:val="000000"/>
        </w:rPr>
        <w:t xml:space="preserve"> (2003) questions as our framework for longitudinal inquiry we asked how participants’ worries changed bet</w:t>
      </w:r>
      <w:r>
        <w:rPr>
          <w:color w:val="000000"/>
        </w:rPr>
        <w:t>ween March/April and October 2020.  We noted that T1 - just after the UK went into its first lockdown and the reality of a global pandemic hit - was the peak for worry-related codes in both parent and child data.  We noted a slight decline in the prevalenc</w:t>
      </w:r>
      <w:r>
        <w:rPr>
          <w:color w:val="000000"/>
        </w:rPr>
        <w:t>e of these codes by T2, a more marked dip by T3 and then a spike at T4 when young people had mostly returned to school.  At T1 parents reported that their children’s anxiety was triggered by the abrupt change of routine, fear of themselves or a loved one b</w:t>
      </w:r>
      <w:r>
        <w:rPr>
          <w:color w:val="000000"/>
        </w:rPr>
        <w:t>ecoming ill, and overly literal interpretations of social distancing rules. For example, one parent said her son was: “scared to venture out because he thinks he will get in trouble from the police, even if he goes in the garden.” (P77/T1/Autism).  In some</w:t>
      </w:r>
      <w:r>
        <w:rPr>
          <w:color w:val="000000"/>
        </w:rPr>
        <w:t xml:space="preserve"> cases, this was exacerbated by young people being unable to understand why these sudden changes were occurring.  “I think she was confused and a bit scared although she couldn’t explain it herself.” (P43/T1/SEND).  Parents’ own worries at T1 most commonly</w:t>
      </w:r>
      <w:r>
        <w:rPr>
          <w:color w:val="000000"/>
        </w:rPr>
        <w:t xml:space="preserve"> related to their children’s education and to issues such as news about Do Not Resuscitate orders for those with disabilities, and availability of food for young people with a limited diet.  There was a sense of shock in the T1 responses that had settled s</w:t>
      </w:r>
      <w:r>
        <w:rPr>
          <w:color w:val="000000"/>
        </w:rPr>
        <w:t>omewhat by T2 when, although many causes for concern were the same, some people had begun to adjust.  However, by T2 a growing number of parents expressed concern that they weren’t doing a good enough job of home education and that learning at home was cau</w:t>
      </w:r>
      <w:r>
        <w:rPr>
          <w:color w:val="000000"/>
        </w:rPr>
        <w:t>sing high levels of anxiety for their children.  At T3 there was evidence of parent and child worry, driven by similar factors as Times 1 and 2, but the prevalence was noticeably reduced, and most examples were less extreme.  There were signs that many par</w:t>
      </w:r>
      <w:r>
        <w:rPr>
          <w:color w:val="000000"/>
        </w:rPr>
        <w:t xml:space="preserve">ticipants had accepted or settled into the situation and were coping as well as they could: “my daughter was initially very nervous to even leave </w:t>
      </w:r>
      <w:r>
        <w:rPr>
          <w:color w:val="000000"/>
        </w:rPr>
        <w:lastRenderedPageBreak/>
        <w:t xml:space="preserve">the house but is starting to overcome this now” (P45/T3/SEND).  It is important to note that this was not the </w:t>
      </w:r>
      <w:r>
        <w:rPr>
          <w:color w:val="000000"/>
        </w:rPr>
        <w:t>case for everybody though: “His anxiety has been very high and he’s had many violent meltdowns.” (P224/T3/Autism).</w:t>
      </w:r>
    </w:p>
    <w:p w14:paraId="36FD09FE" w14:textId="77777777" w:rsidR="0059627B" w:rsidRDefault="007B1972">
      <w:pPr>
        <w:spacing w:line="480" w:lineRule="auto"/>
        <w:ind w:firstLine="720"/>
        <w:rPr>
          <w:color w:val="000000"/>
        </w:rPr>
      </w:pPr>
      <w:r>
        <w:rPr>
          <w:color w:val="000000"/>
        </w:rPr>
        <w:t xml:space="preserve">We observed a spike in worry at T4 when school </w:t>
      </w:r>
      <w:proofErr w:type="spellStart"/>
      <w:r>
        <w:rPr>
          <w:color w:val="000000"/>
        </w:rPr>
        <w:t>reopenings</w:t>
      </w:r>
      <w:proofErr w:type="spellEnd"/>
      <w:r>
        <w:rPr>
          <w:color w:val="000000"/>
        </w:rPr>
        <w:t xml:space="preserve"> triggered high levels of anxiety, mainly for young people but also for some parents. In some cases, participants said young people were worried because they did not want to go to school or found the</w:t>
      </w:r>
      <w:r>
        <w:rPr>
          <w:color w:val="000000"/>
        </w:rPr>
        <w:t xml:space="preserve"> return difficult.  Others, by contrast, wanted to be there but had fears around the safety of the environment and the likelihood of things changing again. In short, we saw high initial levels of parent and child anxiety which by T2 seemed to have become e</w:t>
      </w:r>
      <w:r>
        <w:rPr>
          <w:color w:val="000000"/>
        </w:rPr>
        <w:t>mbedded, and slightly reduced in some families.  Both the prevalence and severity of anxiety decreased at T3 but by T4, when schools had reopened levels of worry had increased substantially, although not back to T1 levels.  This may have been because the r</w:t>
      </w:r>
      <w:r>
        <w:rPr>
          <w:color w:val="000000"/>
        </w:rPr>
        <w:t>eopening of schools was less worry-inducing for parents, overall, than their closing had been and because reactions among young people were mixed.  Overall, the qualitative data mirrored the quantitative findings reasonably accurately, although we should n</w:t>
      </w:r>
      <w:r>
        <w:rPr>
          <w:color w:val="000000"/>
        </w:rPr>
        <w:t>ote that we do not have anxiety-specific quantitative data for parents (anxiety symptoms are included in the measure used for psychological distress).</w:t>
      </w:r>
    </w:p>
    <w:p w14:paraId="24751B7C" w14:textId="77777777" w:rsidR="0059627B" w:rsidRDefault="007B1972">
      <w:pPr>
        <w:spacing w:line="480" w:lineRule="auto"/>
        <w:ind w:firstLine="720"/>
        <w:rPr>
          <w:color w:val="000000"/>
        </w:rPr>
      </w:pPr>
      <w:r>
        <w:rPr>
          <w:color w:val="000000"/>
        </w:rPr>
        <w:t>We also asked whether patterns of worry differed for young people with a diagnosis of autism and those wi</w:t>
      </w:r>
      <w:r>
        <w:rPr>
          <w:color w:val="000000"/>
        </w:rPr>
        <w:t>th other diagnoses, as indicated in the quantitative data, and whether there was any difference between the parents/carers of these two groups.  Findings generally aligned well with the quantitative data.  The qualitative data showed few differences betwee</w:t>
      </w:r>
      <w:r>
        <w:rPr>
          <w:color w:val="000000"/>
        </w:rPr>
        <w:t xml:space="preserve">n the two groups of parents, as was also the case in the quantitative data. The quantitative data also showed that autistic young people showed higher levels of anxiety at all timepoints and that, unlike those with other </w:t>
      </w:r>
      <w:proofErr w:type="spellStart"/>
      <w:r>
        <w:rPr>
          <w:color w:val="000000"/>
        </w:rPr>
        <w:t>SENDs</w:t>
      </w:r>
      <w:proofErr w:type="spellEnd"/>
      <w:r>
        <w:rPr>
          <w:color w:val="000000"/>
        </w:rPr>
        <w:t>, their anxiety did not decrea</w:t>
      </w:r>
      <w:r>
        <w:rPr>
          <w:color w:val="000000"/>
        </w:rPr>
        <w:t xml:space="preserve">se over time.  This was broadly supported by the qualitative data.  We noted a striking decrease in worry for young </w:t>
      </w:r>
      <w:r>
        <w:rPr>
          <w:color w:val="000000"/>
        </w:rPr>
        <w:lastRenderedPageBreak/>
        <w:t xml:space="preserve">people with </w:t>
      </w:r>
      <w:proofErr w:type="spellStart"/>
      <w:r>
        <w:rPr>
          <w:color w:val="000000"/>
        </w:rPr>
        <w:t>SENDs</w:t>
      </w:r>
      <w:proofErr w:type="spellEnd"/>
      <w:r>
        <w:rPr>
          <w:color w:val="000000"/>
        </w:rPr>
        <w:t xml:space="preserve"> by T2, but not for autistic young people, perhaps reflecting relative success in adjusting to the new circumstances.  This</w:t>
      </w:r>
      <w:r>
        <w:rPr>
          <w:color w:val="000000"/>
        </w:rPr>
        <w:t xml:space="preserve"> also aligns well with literature on the role of intolerance of uncertainty in autistic anxiety (Halim et al., 2018; South &amp; Rogers, 2017).  There were signs of a decrease in worry-related codes for all at T3 (not seen in the quantitative data), and an inc</w:t>
      </w:r>
      <w:r>
        <w:rPr>
          <w:color w:val="000000"/>
        </w:rPr>
        <w:t xml:space="preserve">rease for all at T4 that was primarily driven by autistic young people.  Interestingly, Table 2 shows that proportionately more parent anxiety codes were applied to data from parents of children with </w:t>
      </w:r>
      <w:proofErr w:type="spellStart"/>
      <w:r>
        <w:rPr>
          <w:color w:val="000000"/>
        </w:rPr>
        <w:t>SENDs</w:t>
      </w:r>
      <w:proofErr w:type="spellEnd"/>
      <w:r>
        <w:rPr>
          <w:color w:val="000000"/>
        </w:rPr>
        <w:t xml:space="preserve"> other than autism at T1.  While the reason for thi</w:t>
      </w:r>
      <w:r>
        <w:rPr>
          <w:color w:val="000000"/>
        </w:rPr>
        <w:t>s is uncertain, one possible explanation is that more parents of autistic children benefited from an initial reduction in their child’s anxiety, possibly as a result of reduced social and educational demands, and therefore felt a little less anxious themse</w:t>
      </w:r>
      <w:r>
        <w:rPr>
          <w:color w:val="000000"/>
        </w:rPr>
        <w:t xml:space="preserve">lves.  That said, autistic young people were still clearly the more anxious group.  </w:t>
      </w:r>
    </w:p>
    <w:p w14:paraId="3BAC1F17" w14:textId="77777777" w:rsidR="0059627B" w:rsidRDefault="007B1972">
      <w:pPr>
        <w:spacing w:line="480" w:lineRule="auto"/>
        <w:rPr>
          <w:b/>
          <w:i/>
          <w:color w:val="000000"/>
        </w:rPr>
      </w:pPr>
      <w:r>
        <w:rPr>
          <w:b/>
          <w:i/>
          <w:color w:val="000000"/>
        </w:rPr>
        <w:t>Psychological distress</w:t>
      </w:r>
    </w:p>
    <w:p w14:paraId="5531944A" w14:textId="77777777" w:rsidR="0059627B" w:rsidRDefault="007B1972">
      <w:pPr>
        <w:spacing w:line="480" w:lineRule="auto"/>
        <w:ind w:firstLine="720"/>
        <w:rPr>
          <w:color w:val="000000"/>
        </w:rPr>
      </w:pPr>
      <w:r>
        <w:rPr>
          <w:color w:val="000000"/>
        </w:rPr>
        <w:t>The psychological distress category represents data that describes and reflects on feelings such as sadness, low mood or despair, and behaviour such</w:t>
      </w:r>
      <w:r>
        <w:rPr>
          <w:color w:val="000000"/>
        </w:rPr>
        <w:t xml:space="preserve"> as crying or acting out in ways that could be interpreted as representing distress.  Codes related to psychological distress were less prevalent in the data than codes related to worry.  However, it is important to note that these two categories, while di</w:t>
      </w:r>
      <w:r>
        <w:rPr>
          <w:color w:val="000000"/>
        </w:rPr>
        <w:t>stinct, cannot be viewed as entirely unrelated. There were signs in the data that distress and its various manifestations were often triggered by anxiety, even if that was not explicitly stated by participants.  It was notable that low mood codes were appl</w:t>
      </w:r>
      <w:r>
        <w:rPr>
          <w:color w:val="000000"/>
        </w:rPr>
        <w:t>ied in 7-10% of cases for parents and 5-10% of cases for young people, with distress and deteriorating mental health showing a similar prevalence.  Interestingly, the prevalence of challenging behaviour and negative behaviour change was higher - particular</w:t>
      </w:r>
      <w:r>
        <w:rPr>
          <w:color w:val="000000"/>
        </w:rPr>
        <w:t xml:space="preserve">ly at T1 and T2 where it was around 14% - suggesting that this, rather than depressive symptoms, was the primary way in which young people showed their psychological distress.  </w:t>
      </w:r>
    </w:p>
    <w:p w14:paraId="6A12BA0A" w14:textId="77777777" w:rsidR="0059627B" w:rsidRDefault="007B1972">
      <w:pPr>
        <w:spacing w:line="480" w:lineRule="auto"/>
        <w:ind w:firstLine="720"/>
        <w:rPr>
          <w:color w:val="000000"/>
        </w:rPr>
      </w:pPr>
      <w:r>
        <w:rPr>
          <w:color w:val="000000"/>
        </w:rPr>
        <w:lastRenderedPageBreak/>
        <w:t>For parents/carers distress was triggered by internal factors including anxiet</w:t>
      </w:r>
      <w:r>
        <w:rPr>
          <w:color w:val="000000"/>
        </w:rPr>
        <w:t>y, feeling overwhelmed and exhausted, challenging behaviour from their child, guilt about how well they were supporting their child, loneliness and, for some, a loss of purpose.  For example, “I’m feeling very low and hopeless and don’t know what’s going t</w:t>
      </w:r>
      <w:r>
        <w:rPr>
          <w:color w:val="000000"/>
        </w:rPr>
        <w:t>o happen to her in the future because she’s regressing so badly”</w:t>
      </w:r>
      <w:r>
        <w:rPr>
          <w:i/>
          <w:color w:val="000000"/>
        </w:rPr>
        <w:t xml:space="preserve"> </w:t>
      </w:r>
      <w:r>
        <w:rPr>
          <w:color w:val="000000"/>
        </w:rPr>
        <w:t>(P307/T1/Autism).  External triggers for psychological distress included the sudden change of routine, a lack of respite, experiences of violence and aggression and the demands of home educat</w:t>
      </w:r>
      <w:r>
        <w:rPr>
          <w:color w:val="000000"/>
        </w:rPr>
        <w:t xml:space="preserve">ion.  “Our entire support network has been taken away from us, including family.  I am a single parent of twins, both of </w:t>
      </w:r>
      <w:proofErr w:type="gramStart"/>
      <w:r>
        <w:rPr>
          <w:color w:val="000000"/>
        </w:rPr>
        <w:t>who</w:t>
      </w:r>
      <w:proofErr w:type="gramEnd"/>
      <w:r>
        <w:rPr>
          <w:color w:val="000000"/>
        </w:rPr>
        <w:t xml:space="preserve"> have complex learning difficulties, and the thought of having to manage alone fills me with dread”</w:t>
      </w:r>
      <w:r>
        <w:rPr>
          <w:i/>
          <w:color w:val="000000"/>
        </w:rPr>
        <w:t xml:space="preserve"> </w:t>
      </w:r>
      <w:r>
        <w:rPr>
          <w:color w:val="000000"/>
        </w:rPr>
        <w:t>(P194/T1/Autism</w:t>
      </w:r>
      <w:r>
        <w:rPr>
          <w:i/>
          <w:color w:val="000000"/>
        </w:rPr>
        <w:t>)</w:t>
      </w:r>
      <w:r>
        <w:rPr>
          <w:color w:val="000000"/>
        </w:rPr>
        <w:t>.  This reflects</w:t>
      </w:r>
      <w:r>
        <w:rPr>
          <w:color w:val="000000"/>
        </w:rPr>
        <w:t xml:space="preserve"> </w:t>
      </w:r>
      <w:proofErr w:type="spellStart"/>
      <w:r>
        <w:rPr>
          <w:color w:val="000000"/>
        </w:rPr>
        <w:t>Pellicano</w:t>
      </w:r>
      <w:proofErr w:type="spellEnd"/>
      <w:r>
        <w:rPr>
          <w:color w:val="000000"/>
        </w:rPr>
        <w:t xml:space="preserve"> et al.’s (2021) findings regarding the detrimental impact of social isolation on mental health and wellbeing among autistic people and their families.  One participant pointed out the overwhelming nature of lockdown with a child with additional </w:t>
      </w:r>
      <w:r>
        <w:rPr>
          <w:color w:val="000000"/>
        </w:rPr>
        <w:t xml:space="preserve">needs, noting a role as a </w:t>
      </w:r>
      <w:proofErr w:type="spellStart"/>
      <w:r>
        <w:rPr>
          <w:color w:val="000000"/>
        </w:rPr>
        <w:t>carer</w:t>
      </w:r>
      <w:proofErr w:type="spellEnd"/>
      <w:r>
        <w:rPr>
          <w:color w:val="000000"/>
        </w:rPr>
        <w:t xml:space="preserve"> that is not required of other parents: “It is exhausting trying to be parent, carer and teacher” (P283/T2/Autism).  There were no notable differences between the parents of those with autism and those with other </w:t>
      </w:r>
      <w:proofErr w:type="spellStart"/>
      <w:r>
        <w:rPr>
          <w:color w:val="000000"/>
        </w:rPr>
        <w:t>SENDs</w:t>
      </w:r>
      <w:proofErr w:type="spellEnd"/>
      <w:r>
        <w:rPr>
          <w:color w:val="000000"/>
        </w:rPr>
        <w:t xml:space="preserve"> in ter</w:t>
      </w:r>
      <w:r>
        <w:rPr>
          <w:color w:val="000000"/>
        </w:rPr>
        <w:t>ms of the regularity with which they talked about psychological distress, or its severity.</w:t>
      </w:r>
    </w:p>
    <w:p w14:paraId="6B7805B2" w14:textId="77777777" w:rsidR="0059627B" w:rsidRDefault="007B1972">
      <w:pPr>
        <w:spacing w:line="480" w:lineRule="auto"/>
        <w:ind w:firstLine="720"/>
        <w:rPr>
          <w:i/>
          <w:color w:val="000000"/>
        </w:rPr>
      </w:pPr>
      <w:r>
        <w:rPr>
          <w:color w:val="000000"/>
        </w:rPr>
        <w:t>The psychological distress reported for young people was primarily displayed through challenging behaviour or negative behaviour change and was exacerbated by a lack</w:t>
      </w:r>
      <w:r>
        <w:rPr>
          <w:color w:val="000000"/>
        </w:rPr>
        <w:t xml:space="preserve"> of support.  For example: “my child is struggling and this can lead to violent threats and abuse that we cannot get away from” (P389/T1/Autism).</w:t>
      </w:r>
      <w:r>
        <w:rPr>
          <w:i/>
          <w:color w:val="000000"/>
        </w:rPr>
        <w:t xml:space="preserve">  </w:t>
      </w:r>
      <w:r>
        <w:rPr>
          <w:color w:val="000000"/>
        </w:rPr>
        <w:t xml:space="preserve">There were some signs of low mood in the data ranging from mild depressive symptoms, “Lacking motivation and </w:t>
      </w:r>
      <w:r>
        <w:rPr>
          <w:color w:val="000000"/>
        </w:rPr>
        <w:t xml:space="preserve">enjoyment for things” (P369/T3/SEND) through to suicidal ideation and suicide attempts: </w:t>
      </w:r>
    </w:p>
    <w:p w14:paraId="767F655D" w14:textId="77777777" w:rsidR="0059627B" w:rsidRDefault="0059627B">
      <w:pPr>
        <w:spacing w:line="480" w:lineRule="auto"/>
        <w:rPr>
          <w:i/>
          <w:color w:val="000000"/>
        </w:rPr>
      </w:pPr>
    </w:p>
    <w:p w14:paraId="1060899D" w14:textId="77777777" w:rsidR="0059627B" w:rsidRDefault="007B1972">
      <w:pPr>
        <w:spacing w:line="480" w:lineRule="auto"/>
        <w:jc w:val="center"/>
        <w:rPr>
          <w:color w:val="000000"/>
        </w:rPr>
      </w:pPr>
      <w:r>
        <w:rPr>
          <w:color w:val="000000"/>
        </w:rPr>
        <w:t>The lockdown had a devastating impact on our son to the extent that he became very close to being sectioned.  The rug was pulled completely from under his feet and he</w:t>
      </w:r>
      <w:r>
        <w:rPr>
          <w:color w:val="000000"/>
        </w:rPr>
        <w:t xml:space="preserve"> just could not </w:t>
      </w:r>
      <w:r>
        <w:rPr>
          <w:color w:val="000000"/>
        </w:rPr>
        <w:lastRenderedPageBreak/>
        <w:t xml:space="preserve">cope, became extremely violent, tried to take his life, and became quite manic.  He is slowly recovering but is hardly attending school and when he </w:t>
      </w:r>
      <w:proofErr w:type="gramStart"/>
      <w:r>
        <w:rPr>
          <w:color w:val="000000"/>
        </w:rPr>
        <w:t>does</w:t>
      </w:r>
      <w:proofErr w:type="gramEnd"/>
      <w:r>
        <w:rPr>
          <w:color w:val="000000"/>
        </w:rPr>
        <w:t xml:space="preserve"> he does not cope” (P179/T4/Autism).</w:t>
      </w:r>
    </w:p>
    <w:p w14:paraId="628C0401" w14:textId="77777777" w:rsidR="0059627B" w:rsidRDefault="0059627B">
      <w:pPr>
        <w:spacing w:line="480" w:lineRule="auto"/>
        <w:rPr>
          <w:i/>
          <w:color w:val="000000"/>
        </w:rPr>
      </w:pPr>
    </w:p>
    <w:p w14:paraId="30828E81" w14:textId="77777777" w:rsidR="0059627B" w:rsidRDefault="007B1972">
      <w:pPr>
        <w:spacing w:line="480" w:lineRule="auto"/>
        <w:rPr>
          <w:color w:val="000000"/>
        </w:rPr>
      </w:pPr>
      <w:r>
        <w:rPr>
          <w:color w:val="000000"/>
        </w:rPr>
        <w:t>It was notable that the severity of distress, incl</w:t>
      </w:r>
      <w:r>
        <w:rPr>
          <w:color w:val="000000"/>
        </w:rPr>
        <w:t xml:space="preserve">uding low mood, described by participants was generally higher for autistic young people than it was for those with other </w:t>
      </w:r>
      <w:proofErr w:type="spellStart"/>
      <w:r>
        <w:rPr>
          <w:color w:val="000000"/>
        </w:rPr>
        <w:t>SENDs</w:t>
      </w:r>
      <w:proofErr w:type="spellEnd"/>
      <w:r>
        <w:rPr>
          <w:color w:val="000000"/>
        </w:rPr>
        <w:t xml:space="preserve">.  Some of this aligns well with Halim et </w:t>
      </w:r>
      <w:proofErr w:type="spellStart"/>
      <w:r>
        <w:rPr>
          <w:color w:val="000000"/>
        </w:rPr>
        <w:t>al’s</w:t>
      </w:r>
      <w:proofErr w:type="spellEnd"/>
      <w:r>
        <w:rPr>
          <w:color w:val="000000"/>
        </w:rPr>
        <w:t xml:space="preserve"> (2018) finding that one way of coping with the experience of shutting or melting d</w:t>
      </w:r>
      <w:r>
        <w:rPr>
          <w:color w:val="000000"/>
        </w:rPr>
        <w:t xml:space="preserve">own is to engage in self-injurious behaviour as a way of re-setting.  The distress of most young people with </w:t>
      </w:r>
      <w:proofErr w:type="spellStart"/>
      <w:r>
        <w:rPr>
          <w:color w:val="000000"/>
        </w:rPr>
        <w:t>SENDs</w:t>
      </w:r>
      <w:proofErr w:type="spellEnd"/>
      <w:r>
        <w:rPr>
          <w:color w:val="000000"/>
        </w:rPr>
        <w:t xml:space="preserve"> was triggered by common factors including missing friends and routine.  By contrast, the self-harm, suicidal ideation, food refusal and meltd</w:t>
      </w:r>
      <w:r>
        <w:rPr>
          <w:color w:val="000000"/>
        </w:rPr>
        <w:t>owns described for some autistic young people  represented a generally more severe level of distress: “My son is crying all the time and said that he cannot handle all this, he has started talking to people who are not there (P165/T1/Autism).</w:t>
      </w:r>
      <w:r>
        <w:rPr>
          <w:i/>
          <w:color w:val="000000"/>
        </w:rPr>
        <w:t xml:space="preserve">  </w:t>
      </w:r>
      <w:r>
        <w:rPr>
          <w:color w:val="000000"/>
        </w:rPr>
        <w:t>It is import</w:t>
      </w:r>
      <w:r>
        <w:rPr>
          <w:color w:val="000000"/>
        </w:rPr>
        <w:t>ant to note that while such extreme reactions were identified in a minority of the sample there was a broad spectrum of responses, as would be expected and as illustrated by our Category 3 (Wellbeing) analysis below.  Across both groups there were signs th</w:t>
      </w:r>
      <w:r>
        <w:rPr>
          <w:color w:val="000000"/>
        </w:rPr>
        <w:t>at low levels of understanding and awareness affected anxiety and distress, but not always in the same direction.  While a lack of understanding triggered high levels of distress in some young people, it served as a protective factor for others.  For examp</w:t>
      </w:r>
      <w:r>
        <w:rPr>
          <w:color w:val="000000"/>
        </w:rPr>
        <w:t>le, at T1 one parent said: “She doesn’t understand why things have changed so instead she’s become aggressive.  She’s broken a window and an oven” (P120/T1/Autism); while another, by contrast, said: “</w:t>
      </w:r>
      <w:r>
        <w:rPr>
          <w:color w:val="000000"/>
          <w:highlight w:val="white"/>
        </w:rPr>
        <w:t>I don’t think my child has any idea anything bad is happ</w:t>
      </w:r>
      <w:r>
        <w:rPr>
          <w:color w:val="000000"/>
          <w:highlight w:val="white"/>
        </w:rPr>
        <w:t>ening” (P139/T1/Autism)</w:t>
      </w:r>
      <w:r>
        <w:rPr>
          <w:color w:val="000000"/>
        </w:rPr>
        <w:t>.</w:t>
      </w:r>
    </w:p>
    <w:p w14:paraId="1BA1B32C" w14:textId="77777777" w:rsidR="0059627B" w:rsidRDefault="007B1972">
      <w:pPr>
        <w:spacing w:line="480" w:lineRule="auto"/>
        <w:ind w:firstLine="720"/>
        <w:rPr>
          <w:color w:val="000000"/>
        </w:rPr>
      </w:pPr>
      <w:r>
        <w:rPr>
          <w:color w:val="000000"/>
        </w:rPr>
        <w:t>Our longitudinal analysis identified elements of both stability and change over time.  At T1 we noted high levels of distress among both parents and young people that were more prevalent and severe for autistic young people than th</w:t>
      </w:r>
      <w:r>
        <w:rPr>
          <w:color w:val="000000"/>
        </w:rPr>
        <w:t xml:space="preserve">ose with other </w:t>
      </w:r>
      <w:proofErr w:type="spellStart"/>
      <w:r>
        <w:rPr>
          <w:color w:val="000000"/>
        </w:rPr>
        <w:t>SENDs</w:t>
      </w:r>
      <w:proofErr w:type="spellEnd"/>
      <w:r>
        <w:rPr>
          <w:color w:val="000000"/>
        </w:rPr>
        <w:t xml:space="preserve">, but which </w:t>
      </w:r>
      <w:r>
        <w:rPr>
          <w:color w:val="000000"/>
        </w:rPr>
        <w:lastRenderedPageBreak/>
        <w:t>showed no differences for parents/carers.  Much of this distress was triggered by an abrupt change of routine and widespread uncertainty. While distress was maintained at a similar level in T2 there was evidence of two speci</w:t>
      </w:r>
      <w:r>
        <w:rPr>
          <w:color w:val="000000"/>
        </w:rPr>
        <w:t>fic drivers for much of it.  The first, and most widespread, related to home education which was completely unacceptable to some of these young people, leading to high levels of distress and challenging behaviour, and to guilt and feelings of failure for p</w:t>
      </w:r>
      <w:r>
        <w:rPr>
          <w:color w:val="000000"/>
        </w:rPr>
        <w:t>arents: “My child began to recover from the trauma of school since schools were closed … Since Easter her mental health is deteriorating to the point of feeling suicidal due to the schoolwork making her overwhelmed” (P565/T2/Autism).  The second driver rel</w:t>
      </w:r>
      <w:r>
        <w:rPr>
          <w:color w:val="000000"/>
        </w:rPr>
        <w:t xml:space="preserve">ated specifically to those young people who had needed mental health support prior to lockdown, and the sudden withdrawal of that support.  </w:t>
      </w:r>
    </w:p>
    <w:p w14:paraId="25635D54" w14:textId="77777777" w:rsidR="0059627B" w:rsidRDefault="0059627B">
      <w:pPr>
        <w:spacing w:line="480" w:lineRule="auto"/>
        <w:rPr>
          <w:color w:val="000000"/>
        </w:rPr>
      </w:pPr>
    </w:p>
    <w:p w14:paraId="700017C9" w14:textId="77777777" w:rsidR="0059627B" w:rsidRDefault="007B1972">
      <w:pPr>
        <w:spacing w:line="480" w:lineRule="auto"/>
        <w:jc w:val="center"/>
        <w:rPr>
          <w:color w:val="000000"/>
        </w:rPr>
      </w:pPr>
      <w:r>
        <w:rPr>
          <w:color w:val="000000"/>
        </w:rPr>
        <w:t>A couple of months prior to going into lockdown [child] was expressing suicidal thoughts.  School had arranged som</w:t>
      </w:r>
      <w:r>
        <w:rPr>
          <w:color w:val="000000"/>
        </w:rPr>
        <w:t>e counselling for him but this hasn’t taken place and I feel we have been abandoned.  He is still feeling very low and still expressing suicidal thoughts.  It feels like everything is focused on Covid-19 and there is no support for anything else (P39/T2/Au</w:t>
      </w:r>
      <w:r>
        <w:rPr>
          <w:color w:val="000000"/>
        </w:rPr>
        <w:t>tism).</w:t>
      </w:r>
    </w:p>
    <w:p w14:paraId="4E9D63AB" w14:textId="77777777" w:rsidR="0059627B" w:rsidRDefault="0059627B">
      <w:pPr>
        <w:spacing w:line="480" w:lineRule="auto"/>
        <w:rPr>
          <w:color w:val="000000"/>
        </w:rPr>
      </w:pPr>
    </w:p>
    <w:p w14:paraId="07057576" w14:textId="77777777" w:rsidR="0059627B" w:rsidRDefault="007B1972">
      <w:pPr>
        <w:spacing w:line="480" w:lineRule="auto"/>
        <w:rPr>
          <w:color w:val="000000"/>
        </w:rPr>
      </w:pPr>
      <w:r>
        <w:rPr>
          <w:color w:val="000000"/>
        </w:rPr>
        <w:t>These young people and their families were made particularly vulnerable during COVID-19 lockdowns and, in almost all cases, had an autism diagnosis.</w:t>
      </w:r>
    </w:p>
    <w:p w14:paraId="7777D747" w14:textId="77777777" w:rsidR="0059627B" w:rsidRDefault="007B1972">
      <w:pPr>
        <w:spacing w:line="480" w:lineRule="auto"/>
        <w:ind w:firstLine="720"/>
      </w:pPr>
      <w:r>
        <w:rPr>
          <w:color w:val="000000"/>
        </w:rPr>
        <w:t xml:space="preserve">There was a change of tone in participants’ responses at T3 that was perhaps indicative of fatigue </w:t>
      </w:r>
      <w:r>
        <w:rPr>
          <w:color w:val="000000"/>
        </w:rPr>
        <w:t>and resignation setting in, and this was the time at which differences between the two groups were the least pronounced.  Although we didn’t see change in the prevalence of low mood codes there was a reduction in challenging behaviour codes, and in the typ</w:t>
      </w:r>
      <w:r>
        <w:rPr>
          <w:color w:val="000000"/>
        </w:rPr>
        <w:t xml:space="preserve">e of overt distress described above.  Home education was still triggering outbursts in some young people but this was less prevalent than at T2, perhaps because more had returned </w:t>
      </w:r>
      <w:r>
        <w:rPr>
          <w:color w:val="000000"/>
        </w:rPr>
        <w:lastRenderedPageBreak/>
        <w:t>to school or because some families had given up trying in order to reduce dem</w:t>
      </w:r>
      <w:r>
        <w:rPr>
          <w:color w:val="000000"/>
        </w:rPr>
        <w:t>ands on their children and make their home life more manageable.  Overall, responses at T3 were characterised by lethargy, “My mental health has deteriorated but am now medicated” (P374/T3/SEND).  Perhaps surprisingly, the return to school by T4 did not in</w:t>
      </w:r>
      <w:r>
        <w:rPr>
          <w:color w:val="000000"/>
        </w:rPr>
        <w:t>crease or decrease distress for either group very much, or for parents – which was not the case for worry where we observed a clear spike when young people returned to school.  Many participants still sounded rather ground down, partly because even those w</w:t>
      </w:r>
      <w:r>
        <w:rPr>
          <w:color w:val="000000"/>
        </w:rPr>
        <w:t xml:space="preserve">ho were pleased about school re-openings were struggling with uncertainty and the likelihood of further hits to routine.  </w:t>
      </w:r>
    </w:p>
    <w:p w14:paraId="4B8AAD76" w14:textId="77777777" w:rsidR="0059627B" w:rsidRDefault="007B1972">
      <w:pPr>
        <w:spacing w:line="480" w:lineRule="auto"/>
        <w:ind w:firstLine="720"/>
        <w:rPr>
          <w:i/>
          <w:color w:val="000000"/>
        </w:rPr>
      </w:pPr>
      <w:r>
        <w:rPr>
          <w:color w:val="000000"/>
        </w:rPr>
        <w:t xml:space="preserve">While going back to school was a positive experience for many young people, more of those with autism than other </w:t>
      </w:r>
      <w:proofErr w:type="spellStart"/>
      <w:r>
        <w:rPr>
          <w:color w:val="000000"/>
        </w:rPr>
        <w:t>SENDs</w:t>
      </w:r>
      <w:proofErr w:type="spellEnd"/>
      <w:r>
        <w:rPr>
          <w:color w:val="000000"/>
        </w:rPr>
        <w:t xml:space="preserve"> struggled with</w:t>
      </w:r>
      <w:r>
        <w:rPr>
          <w:color w:val="000000"/>
        </w:rPr>
        <w:t xml:space="preserve"> it and in some cases returned to an environment in which they were bullied or felt they did not fit in.  </w:t>
      </w:r>
    </w:p>
    <w:p w14:paraId="222D6CA6" w14:textId="77777777" w:rsidR="0059627B" w:rsidRDefault="0059627B">
      <w:pPr>
        <w:spacing w:line="480" w:lineRule="auto"/>
        <w:rPr>
          <w:i/>
          <w:color w:val="000000"/>
        </w:rPr>
      </w:pPr>
    </w:p>
    <w:p w14:paraId="43ADDB8B" w14:textId="77777777" w:rsidR="0059627B" w:rsidRDefault="007B1972">
      <w:pPr>
        <w:spacing w:line="480" w:lineRule="auto"/>
        <w:jc w:val="center"/>
        <w:rPr>
          <w:i/>
          <w:color w:val="000000"/>
        </w:rPr>
      </w:pPr>
      <w:r>
        <w:rPr>
          <w:color w:val="000000"/>
        </w:rPr>
        <w:t>My son has struggled with returning to school and doing homework.  His antidepressant medication dose has been increased and this seems to have take</w:t>
      </w:r>
      <w:r>
        <w:rPr>
          <w:color w:val="000000"/>
        </w:rPr>
        <w:t>n the edge off a bit since then but he feels that the only way to help him feel better is to stop making him go to school.  And of course now he has had experience of life without school being better.”</w:t>
      </w:r>
      <w:r>
        <w:rPr>
          <w:i/>
          <w:color w:val="000000"/>
        </w:rPr>
        <w:t xml:space="preserve"> </w:t>
      </w:r>
      <w:r>
        <w:rPr>
          <w:color w:val="000000"/>
        </w:rPr>
        <w:t>(P312/T4/Autism)</w:t>
      </w:r>
      <w:r>
        <w:rPr>
          <w:i/>
          <w:color w:val="000000"/>
        </w:rPr>
        <w:t xml:space="preserve"> </w:t>
      </w:r>
    </w:p>
    <w:p w14:paraId="7FCC4905" w14:textId="77777777" w:rsidR="0059627B" w:rsidRDefault="0059627B">
      <w:pPr>
        <w:spacing w:line="480" w:lineRule="auto"/>
        <w:rPr>
          <w:i/>
          <w:color w:val="000000"/>
        </w:rPr>
      </w:pPr>
    </w:p>
    <w:p w14:paraId="5B1A49BD" w14:textId="77777777" w:rsidR="0059627B" w:rsidRDefault="007B1972">
      <w:pPr>
        <w:spacing w:line="480" w:lineRule="auto"/>
        <w:rPr>
          <w:color w:val="000000"/>
        </w:rPr>
      </w:pPr>
      <w:r>
        <w:rPr>
          <w:color w:val="000000"/>
        </w:rPr>
        <w:t>Also, while many parents were relie</w:t>
      </w:r>
      <w:r>
        <w:rPr>
          <w:color w:val="000000"/>
        </w:rPr>
        <w:t>ved that their children could return to school some struggled with anxiety, fear, uncertainty and, for a minority, loneliness and a loss of self-worth after several months in which they had felt busier and more needed than before.   In short, the picture w</w:t>
      </w:r>
      <w:r>
        <w:rPr>
          <w:color w:val="000000"/>
        </w:rPr>
        <w:t>as complex and low-level distress was evident in participants' responses.</w:t>
      </w:r>
    </w:p>
    <w:p w14:paraId="1A8BBA7E" w14:textId="77777777" w:rsidR="0059627B" w:rsidRDefault="007B1972">
      <w:pPr>
        <w:spacing w:line="480" w:lineRule="auto"/>
        <w:ind w:firstLine="720"/>
        <w:rPr>
          <w:color w:val="000000"/>
        </w:rPr>
      </w:pPr>
      <w:r>
        <w:rPr>
          <w:color w:val="000000"/>
        </w:rPr>
        <w:t xml:space="preserve">Overall, these findings support and shed light on findings from our quantitative data.  Specifically, we observed that the prevalence and severity of parents’ psychological distress </w:t>
      </w:r>
      <w:r>
        <w:rPr>
          <w:color w:val="000000"/>
        </w:rPr>
        <w:t xml:space="preserve">did not seem to differ by group or, other than a dip in energy at T3, to change over time.  </w:t>
      </w:r>
      <w:r>
        <w:rPr>
          <w:color w:val="000000"/>
        </w:rPr>
        <w:lastRenderedPageBreak/>
        <w:t>While there were cases in which it was clear that household income was a stressor, not enough participants talked about this for us to be able to develop a clear vi</w:t>
      </w:r>
      <w:r>
        <w:rPr>
          <w:color w:val="000000"/>
        </w:rPr>
        <w:t xml:space="preserve">ew on whether those from lower income households experienced higher distress.  The qualitative data supported the finding that autistic young people experienced higher levels of psychological distress than young people with other </w:t>
      </w:r>
      <w:proofErr w:type="spellStart"/>
      <w:r>
        <w:rPr>
          <w:color w:val="000000"/>
        </w:rPr>
        <w:t>SENDs</w:t>
      </w:r>
      <w:proofErr w:type="spellEnd"/>
      <w:r>
        <w:rPr>
          <w:color w:val="000000"/>
        </w:rPr>
        <w:t xml:space="preserve"> at all timepoints, a</w:t>
      </w:r>
      <w:r>
        <w:rPr>
          <w:color w:val="000000"/>
        </w:rPr>
        <w:t>lthough there was some suggestion that the difference was less pronounced at T3.  It was also evident that older children and girls were more severely affected than younger children and boys.  It was less clear whether those who attended mainstream schools</w:t>
      </w:r>
      <w:r>
        <w:rPr>
          <w:color w:val="000000"/>
        </w:rPr>
        <w:t xml:space="preserve"> were more severely affected than those in special schools and, if so, why that was the case.</w:t>
      </w:r>
    </w:p>
    <w:p w14:paraId="7D7E3DA6" w14:textId="77777777" w:rsidR="0059627B" w:rsidRDefault="007B1972">
      <w:pPr>
        <w:spacing w:line="480" w:lineRule="auto"/>
        <w:rPr>
          <w:b/>
          <w:i/>
          <w:color w:val="000000"/>
        </w:rPr>
      </w:pPr>
      <w:r>
        <w:rPr>
          <w:b/>
          <w:i/>
          <w:color w:val="000000"/>
        </w:rPr>
        <w:t>Wellbeing</w:t>
      </w:r>
    </w:p>
    <w:p w14:paraId="6F100D40" w14:textId="77777777" w:rsidR="0059627B" w:rsidRDefault="007B1972">
      <w:pPr>
        <w:spacing w:line="480" w:lineRule="auto"/>
        <w:ind w:firstLine="720"/>
        <w:rPr>
          <w:color w:val="000000"/>
        </w:rPr>
      </w:pPr>
      <w:r>
        <w:rPr>
          <w:color w:val="000000"/>
        </w:rPr>
        <w:t>This ‘wellbeing’ category draws together evidence of increased wellbeing, including positive emotions and a calmer home environment, as a result of COVI</w:t>
      </w:r>
      <w:r>
        <w:rPr>
          <w:color w:val="000000"/>
        </w:rPr>
        <w:t>D-19-related changes.  A substantial minority of participants reported mental health and wellbeing benefits for their children, and to a lesser extent themselves, as a direct result of not having to go to school during COVID-19 lockdowns. As one parent put</w:t>
      </w:r>
      <w:r>
        <w:rPr>
          <w:color w:val="000000"/>
        </w:rPr>
        <w:t xml:space="preserve"> it: “he no longer has the daily torture of going to school” (P71/T1/Autism).  Codes associated with wellbeing were more prevalent in our data than those associated with psychological distress, although less prevalent than those associated with worry. </w:t>
      </w:r>
    </w:p>
    <w:p w14:paraId="55D94B82" w14:textId="77777777" w:rsidR="0059627B" w:rsidRDefault="007B1972">
      <w:pPr>
        <w:spacing w:line="480" w:lineRule="auto"/>
        <w:ind w:firstLine="720"/>
        <w:rPr>
          <w:i/>
          <w:color w:val="000000"/>
        </w:rPr>
      </w:pPr>
      <w:r>
        <w:rPr>
          <w:color w:val="000000"/>
        </w:rPr>
        <w:t>Par</w:t>
      </w:r>
      <w:r>
        <w:rPr>
          <w:color w:val="000000"/>
        </w:rPr>
        <w:t xml:space="preserve">ticipants reported good levels of positive emotions for young people at all timepoints, but particularly at Times 2 and 3 when almost one-quarter of the codes applied to the data reflected positive child emotions.  </w:t>
      </w:r>
    </w:p>
    <w:p w14:paraId="0C328C6D" w14:textId="77777777" w:rsidR="0059627B" w:rsidRDefault="0059627B">
      <w:pPr>
        <w:spacing w:line="480" w:lineRule="auto"/>
        <w:rPr>
          <w:i/>
          <w:color w:val="000000"/>
        </w:rPr>
      </w:pPr>
    </w:p>
    <w:p w14:paraId="0A41EF0B" w14:textId="77777777" w:rsidR="0059627B" w:rsidRDefault="007B1972">
      <w:pPr>
        <w:spacing w:line="480" w:lineRule="auto"/>
        <w:jc w:val="center"/>
        <w:rPr>
          <w:color w:val="000000"/>
        </w:rPr>
      </w:pPr>
      <w:r>
        <w:rPr>
          <w:color w:val="000000"/>
        </w:rPr>
        <w:t>My son is loving being at home.  He has</w:t>
      </w:r>
      <w:r>
        <w:rPr>
          <w:color w:val="000000"/>
        </w:rPr>
        <w:t xml:space="preserve">n’t got dressed since his last day at school, his appetite has improved and he’s doing some of his work with support because now I am his </w:t>
      </w:r>
      <w:r>
        <w:rPr>
          <w:color w:val="000000"/>
        </w:rPr>
        <w:lastRenderedPageBreak/>
        <w:t>1:1.  I’m available for every piece of work to prompt him when he forgets what he’s doing or his attention wanders.  H</w:t>
      </w:r>
      <w:r>
        <w:rPr>
          <w:color w:val="000000"/>
        </w:rPr>
        <w:t>e’s loving not going out (P460/T2/Autism).</w:t>
      </w:r>
    </w:p>
    <w:p w14:paraId="1E7C2A60" w14:textId="77777777" w:rsidR="0059627B" w:rsidRDefault="0059627B">
      <w:pPr>
        <w:spacing w:line="480" w:lineRule="auto"/>
        <w:rPr>
          <w:color w:val="000000"/>
        </w:rPr>
      </w:pPr>
    </w:p>
    <w:p w14:paraId="1C727341" w14:textId="77777777" w:rsidR="0059627B" w:rsidRDefault="007B1972">
      <w:pPr>
        <w:spacing w:line="480" w:lineRule="auto"/>
        <w:rPr>
          <w:color w:val="000000"/>
        </w:rPr>
      </w:pPr>
      <w:r>
        <w:rPr>
          <w:color w:val="000000"/>
        </w:rPr>
        <w:t xml:space="preserve">It is clear that the removal of school from some young people’s daily lives made a huge and positive difference to them, largely by reducing demands.  It was common for home to be referred to as a safe and happy place.  It was notable that improvements in </w:t>
      </w:r>
      <w:r>
        <w:rPr>
          <w:color w:val="000000"/>
        </w:rPr>
        <w:t xml:space="preserve">physical health, as well as wellbeing, were described.  “My daughter had very bad headaches when at school and we had been referred to hospital.  These have completely ceased since lockdown” (P210/T2/Autism).  In summary, the removal of the requirement to </w:t>
      </w:r>
      <w:r>
        <w:rPr>
          <w:color w:val="000000"/>
        </w:rPr>
        <w:t xml:space="preserve">attend school appears to have been a substantial driver of wellbeing for some young people.  For some, however, this was contingent on not being pressured to do any schoolwork at all at home, with clear implications for post-lockdown educational recovery. </w:t>
      </w:r>
    </w:p>
    <w:p w14:paraId="6DBC37F0" w14:textId="77777777" w:rsidR="0059627B" w:rsidRDefault="007B1972">
      <w:pPr>
        <w:spacing w:line="480" w:lineRule="auto"/>
        <w:ind w:firstLine="720"/>
        <w:rPr>
          <w:i/>
          <w:color w:val="000000"/>
        </w:rPr>
      </w:pPr>
      <w:r>
        <w:rPr>
          <w:color w:val="000000"/>
        </w:rPr>
        <w:t xml:space="preserve">Wellbeing codes were less prevalent in the parent data than the child data but, nonetheless, approximately 10% of codes related to parents’ positive emotions, and this was stable across the four timepoints.  For example: “I have never been calmer or more </w:t>
      </w:r>
      <w:r>
        <w:rPr>
          <w:color w:val="000000"/>
        </w:rPr>
        <w:t xml:space="preserve">content” (P293/T1/Autism).  There were no major wellbeing differences observed between timepoints, or between the parents of autistic young people compared to those with other </w:t>
      </w:r>
      <w:proofErr w:type="spellStart"/>
      <w:r>
        <w:rPr>
          <w:color w:val="000000"/>
        </w:rPr>
        <w:t>SENDs</w:t>
      </w:r>
      <w:proofErr w:type="spellEnd"/>
      <w:r>
        <w:rPr>
          <w:color w:val="000000"/>
        </w:rPr>
        <w:t>, supporting our quantitative findings.  Furthermore, some participants ack</w:t>
      </w:r>
      <w:r>
        <w:rPr>
          <w:color w:val="000000"/>
        </w:rPr>
        <w:t>nowledged the importance of material comfort and security in being able to cope well with lockdown.  For example: “We are very fortunate.  We have isolated hard but had the means to do so in comfort” (P401/T3/SEND).</w:t>
      </w:r>
      <w:r>
        <w:rPr>
          <w:i/>
          <w:color w:val="000000"/>
        </w:rPr>
        <w:t xml:space="preserve">  </w:t>
      </w:r>
      <w:r>
        <w:rPr>
          <w:color w:val="000000"/>
        </w:rPr>
        <w:t>The primary wellbeing benefit for paren</w:t>
      </w:r>
      <w:r>
        <w:rPr>
          <w:color w:val="000000"/>
        </w:rPr>
        <w:t>ts came from having children who were calmer, happier and less stressed than usual, and there were many descriptions of reductions in meltdowns, aggressive behaviour and anxiety.  “My child hates going to school and would have daily meltdowns on arrival at</w:t>
      </w:r>
      <w:r>
        <w:rPr>
          <w:color w:val="000000"/>
        </w:rPr>
        <w:t xml:space="preserve"> the school gates.  We are not </w:t>
      </w:r>
      <w:r>
        <w:rPr>
          <w:color w:val="000000"/>
        </w:rPr>
        <w:lastRenderedPageBreak/>
        <w:t xml:space="preserve">having any of these meltdowns” (P499/T1/Autism).  Parents also benefited from reduced demands on themselves as well as on their children.  For example: </w:t>
      </w:r>
    </w:p>
    <w:p w14:paraId="68BADC49" w14:textId="77777777" w:rsidR="0059627B" w:rsidRDefault="0059627B">
      <w:pPr>
        <w:spacing w:line="480" w:lineRule="auto"/>
        <w:rPr>
          <w:i/>
          <w:color w:val="000000"/>
        </w:rPr>
      </w:pPr>
    </w:p>
    <w:p w14:paraId="63A1BE26" w14:textId="77777777" w:rsidR="0059627B" w:rsidRDefault="007B1972">
      <w:pPr>
        <w:spacing w:line="480" w:lineRule="auto"/>
        <w:jc w:val="center"/>
        <w:rPr>
          <w:color w:val="000000"/>
        </w:rPr>
      </w:pPr>
      <w:r>
        <w:rPr>
          <w:color w:val="000000"/>
        </w:rPr>
        <w:t xml:space="preserve">I feel less under pressure to battle with her to go to the supermarket </w:t>
      </w:r>
      <w:r>
        <w:rPr>
          <w:color w:val="000000"/>
        </w:rPr>
        <w:t xml:space="preserve">or to cinema or park etc as she always finds these a struggle </w:t>
      </w:r>
      <w:proofErr w:type="spellStart"/>
      <w:r>
        <w:rPr>
          <w:color w:val="000000"/>
        </w:rPr>
        <w:t>noisewise</w:t>
      </w:r>
      <w:proofErr w:type="spellEnd"/>
      <w:r>
        <w:rPr>
          <w:color w:val="000000"/>
        </w:rPr>
        <w:t xml:space="preserve"> and she doesn’t like other people being near her, so being isolated has taken away a lot of stress (P562/T1/Autism).</w:t>
      </w:r>
    </w:p>
    <w:p w14:paraId="4F08ABA5" w14:textId="77777777" w:rsidR="0059627B" w:rsidRDefault="0059627B">
      <w:pPr>
        <w:spacing w:line="480" w:lineRule="auto"/>
        <w:rPr>
          <w:color w:val="000000"/>
        </w:rPr>
      </w:pPr>
    </w:p>
    <w:p w14:paraId="1AADABBD" w14:textId="77777777" w:rsidR="0059627B" w:rsidRDefault="007B1972">
      <w:pPr>
        <w:spacing w:line="480" w:lineRule="auto"/>
        <w:ind w:firstLine="720"/>
      </w:pPr>
      <w:r>
        <w:rPr>
          <w:color w:val="000000"/>
        </w:rPr>
        <w:t>In terms of how the pattern of wellbeing codes and comments change</w:t>
      </w:r>
      <w:r>
        <w:rPr>
          <w:color w:val="000000"/>
        </w:rPr>
        <w:t>d over time, we saw that wellbeing benefits were evident from T1 and increased at T2, remaining stable at T3.  The most notable change came at T4, when most young people were back at school, and the prevalence of wellbeing codes dropped back to the T1 leve</w:t>
      </w:r>
      <w:r>
        <w:rPr>
          <w:color w:val="000000"/>
        </w:rPr>
        <w:t>l (e.g. positive emotions codes made up 8% of parent data and 13% of child data).  At T4 some parents were very positive about the wellbeing benefits of going back to school, for example.  Even for parents who were positive about this change, however, thei</w:t>
      </w:r>
      <w:r>
        <w:rPr>
          <w:color w:val="000000"/>
        </w:rPr>
        <w:t xml:space="preserve">r pleasure was often tinged with worry about future closures or about whether their child’s mental health and wellbeing would deteriorate again, perhaps explaining the dip in wellbeing codes at this timepoint.   Overall, we noted a drop in wellbeing codes </w:t>
      </w:r>
      <w:r>
        <w:rPr>
          <w:color w:val="000000"/>
        </w:rPr>
        <w:t xml:space="preserve">at T4, but no difference between autistic young people and those with other </w:t>
      </w:r>
      <w:proofErr w:type="spellStart"/>
      <w:r>
        <w:rPr>
          <w:color w:val="000000"/>
        </w:rPr>
        <w:t>SENDs</w:t>
      </w:r>
      <w:proofErr w:type="spellEnd"/>
      <w:r>
        <w:rPr>
          <w:color w:val="000000"/>
        </w:rPr>
        <w:t>.  Looking across all timepoints, aside from the positive evidence that some young people seem to have thrived during lockdowns there is the clear, negative, underpinning mess</w:t>
      </w:r>
      <w:r>
        <w:rPr>
          <w:color w:val="000000"/>
        </w:rPr>
        <w:t>age that school is really hard for some of these young people.</w:t>
      </w:r>
    </w:p>
    <w:p w14:paraId="13A2407D" w14:textId="77777777" w:rsidR="0059627B" w:rsidRDefault="007B1972">
      <w:pPr>
        <w:spacing w:line="480" w:lineRule="auto"/>
        <w:rPr>
          <w:b/>
          <w:i/>
          <w:color w:val="000000"/>
        </w:rPr>
      </w:pPr>
      <w:r>
        <w:rPr>
          <w:b/>
          <w:i/>
          <w:color w:val="000000"/>
        </w:rPr>
        <w:t>Implications and Future directions</w:t>
      </w:r>
    </w:p>
    <w:p w14:paraId="5290B22F" w14:textId="77777777" w:rsidR="0059627B" w:rsidRDefault="007B1972">
      <w:pPr>
        <w:spacing w:line="480" w:lineRule="auto"/>
        <w:ind w:firstLine="720"/>
        <w:rPr>
          <w:color w:val="000000"/>
        </w:rPr>
      </w:pPr>
      <w:r>
        <w:rPr>
          <w:color w:val="000000"/>
        </w:rPr>
        <w:t>These findings add to our understanding of the impact of COVID-19 on autistic young people and their parents/carers and we hope they will be useful in the eve</w:t>
      </w:r>
      <w:r>
        <w:rPr>
          <w:color w:val="000000"/>
        </w:rPr>
        <w:t xml:space="preserve">nt of future lockdowns as well as in a future in which COVID-19 becomes endemic.  In the event of a future lockdown these findings suggest ways of managing transitions in and out of school </w:t>
      </w:r>
      <w:r>
        <w:rPr>
          <w:color w:val="000000"/>
        </w:rPr>
        <w:lastRenderedPageBreak/>
        <w:t>more effectively, and of tailoring home education demands so that t</w:t>
      </w:r>
      <w:r>
        <w:rPr>
          <w:color w:val="000000"/>
        </w:rPr>
        <w:t>hey are less anxiety-inducing for both pupils and parents.  They also strongly suggest that existing support should be kept in place in whatever form is possible.  In the event that we have no further lockdowns but are living with the virus, our participan</w:t>
      </w:r>
      <w:r>
        <w:rPr>
          <w:color w:val="000000"/>
        </w:rPr>
        <w:t>ts’ views can be used to inform initiatives around reducing uncertainty for autistic individuals and those who care for them, such as providing very clear guidance around what is and is not allowed when restrictions are in place.</w:t>
      </w:r>
    </w:p>
    <w:p w14:paraId="14108673" w14:textId="77777777" w:rsidR="0059627B" w:rsidRDefault="007B1972">
      <w:pPr>
        <w:spacing w:line="480" w:lineRule="auto"/>
        <w:ind w:firstLine="720"/>
        <w:rPr>
          <w:color w:val="000000"/>
        </w:rPr>
      </w:pPr>
      <w:r>
        <w:rPr>
          <w:color w:val="000000"/>
        </w:rPr>
        <w:t>Our findings suggest that autistic young people have been disproportionately affected by COVID-19-related disruption and that, therefore, careful consideration of how they can be supported is vital.  Those who have not been able to access the mental health</w:t>
      </w:r>
      <w:r>
        <w:rPr>
          <w:color w:val="000000"/>
        </w:rPr>
        <w:t xml:space="preserve"> support they had been granted prior to the pandemic should be considered as a particular and pressing priority, and the need for professional mental health support is likely to have expanded to a wider group.  Participants’ descriptions of school-related </w:t>
      </w:r>
      <w:r>
        <w:rPr>
          <w:color w:val="000000"/>
        </w:rPr>
        <w:t>anxiety suggest that much remains to be done to make most schools ‘autism-friendly’ and that, given these young people experience higher levels of anxiety and distress than neurotypical young people and those with other SENDS, this should also be considere</w:t>
      </w:r>
      <w:r>
        <w:rPr>
          <w:color w:val="000000"/>
        </w:rPr>
        <w:t xml:space="preserve">d a priority.  </w:t>
      </w:r>
    </w:p>
    <w:p w14:paraId="5902A74B" w14:textId="77777777" w:rsidR="0059627B" w:rsidRDefault="007B1972">
      <w:pPr>
        <w:spacing w:line="480" w:lineRule="auto"/>
        <w:ind w:firstLine="720"/>
        <w:rPr>
          <w:color w:val="000000"/>
        </w:rPr>
      </w:pPr>
      <w:r>
        <w:rPr>
          <w:color w:val="000000"/>
        </w:rPr>
        <w:t>In regard to parents, our findings suggest that any mental health and wellbeing support for parents/carers can potentially be shared across a range of diagnoses and that parents of autistic young people will not necessarily need separate su</w:t>
      </w:r>
      <w:r>
        <w:rPr>
          <w:color w:val="000000"/>
        </w:rPr>
        <w:t xml:space="preserve">pport.  </w:t>
      </w:r>
    </w:p>
    <w:p w14:paraId="55D8C6F4" w14:textId="77777777" w:rsidR="0059627B" w:rsidRDefault="007B1972">
      <w:pPr>
        <w:spacing w:line="480" w:lineRule="auto"/>
        <w:ind w:firstLine="720"/>
        <w:rPr>
          <w:color w:val="000000"/>
        </w:rPr>
      </w:pPr>
      <w:r>
        <w:rPr>
          <w:color w:val="000000"/>
        </w:rPr>
        <w:t xml:space="preserve">Since October 2020 there has been a further lockdown, and widespread self-isolation and it is important to consider the ongoing implications of this for the mental health and wellbeing of autistic young people and their families.  Future research </w:t>
      </w:r>
      <w:r>
        <w:rPr>
          <w:color w:val="000000"/>
        </w:rPr>
        <w:t xml:space="preserve">should address the period beyond October 2020 and gather data from autistic young people and those with other </w:t>
      </w:r>
      <w:proofErr w:type="spellStart"/>
      <w:r>
        <w:rPr>
          <w:color w:val="000000"/>
        </w:rPr>
        <w:t>SENDs</w:t>
      </w:r>
      <w:proofErr w:type="spellEnd"/>
      <w:r>
        <w:rPr>
          <w:color w:val="000000"/>
        </w:rPr>
        <w:t>, as well as from their parents/carers.  There would also be value in studying teachers’ perspectives of how successfully autistic young peop</w:t>
      </w:r>
      <w:r>
        <w:rPr>
          <w:color w:val="000000"/>
        </w:rPr>
        <w:t xml:space="preserve">le have made the transition back into school.  A qualitative approach can be particularly valuable in adding important details to the </w:t>
      </w:r>
      <w:r>
        <w:rPr>
          <w:color w:val="000000"/>
        </w:rPr>
        <w:lastRenderedPageBreak/>
        <w:t>understanding we gain from quantitative studies of mental health in these young people and therefore mixed methods researc</w:t>
      </w:r>
      <w:r>
        <w:rPr>
          <w:color w:val="000000"/>
        </w:rPr>
        <w:t>h is recommended.  Future studies should also incorporate community involvement from the autistic community into their design, delivery, analysis and dissemination (Fletcher-Watson et al., 2021).  Not doing so in the current study represents a clear limita</w:t>
      </w:r>
      <w:r>
        <w:rPr>
          <w:color w:val="000000"/>
        </w:rPr>
        <w:t>tion of the research.</w:t>
      </w:r>
    </w:p>
    <w:p w14:paraId="78556F41" w14:textId="77777777" w:rsidR="0059627B" w:rsidRDefault="007B1972">
      <w:pPr>
        <w:spacing w:line="480" w:lineRule="auto"/>
        <w:ind w:firstLine="720"/>
        <w:rPr>
          <w:color w:val="000000"/>
        </w:rPr>
        <w:sectPr w:rsidR="0059627B">
          <w:pgSz w:w="11909" w:h="16834"/>
          <w:pgMar w:top="1440" w:right="1440" w:bottom="1440" w:left="1440" w:header="720" w:footer="720" w:gutter="0"/>
          <w:cols w:space="720"/>
        </w:sectPr>
      </w:pPr>
      <w:r>
        <w:rPr>
          <w:color w:val="000000"/>
        </w:rPr>
        <w:t>Finally, it is important to note the degree of diversity in participants’ responses, suggesting that a ‘one size fits all’ approach to supporting autistic young people during the global recovery from COVID-19 is likely to be inef</w:t>
      </w:r>
      <w:r>
        <w:rPr>
          <w:color w:val="000000"/>
        </w:rPr>
        <w:t>fective, and that a highly personalised approach is likely to be necessary.  There are lessons to be drawn from tales of high wellbeing as well as those of high anxiety and distress.  The current findings offer insights to policymakers, school leaders, tea</w:t>
      </w:r>
      <w:r>
        <w:rPr>
          <w:color w:val="000000"/>
        </w:rPr>
        <w:t>chers and health and social care professionals who are working to support autistic young people and their families through the remainder of this global pandemic and beyond.</w:t>
      </w:r>
    </w:p>
    <w:p w14:paraId="009A110B" w14:textId="77777777" w:rsidR="0059627B" w:rsidRDefault="007B1972">
      <w:pPr>
        <w:spacing w:line="480" w:lineRule="auto"/>
        <w:jc w:val="center"/>
        <w:rPr>
          <w:b/>
          <w:color w:val="000000"/>
        </w:rPr>
      </w:pPr>
      <w:r>
        <w:rPr>
          <w:b/>
          <w:color w:val="000000"/>
        </w:rPr>
        <w:lastRenderedPageBreak/>
        <w:t>References</w:t>
      </w:r>
    </w:p>
    <w:p w14:paraId="318C935C" w14:textId="77777777" w:rsidR="0059627B" w:rsidRDefault="007B1972">
      <w:pPr>
        <w:pBdr>
          <w:top w:val="nil"/>
          <w:left w:val="nil"/>
          <w:bottom w:val="nil"/>
          <w:right w:val="nil"/>
          <w:between w:val="nil"/>
        </w:pBdr>
        <w:spacing w:line="360" w:lineRule="auto"/>
        <w:ind w:left="720" w:hanging="720"/>
        <w:rPr>
          <w:color w:val="000000"/>
        </w:rPr>
      </w:pPr>
      <w:r>
        <w:rPr>
          <w:color w:val="000000"/>
        </w:rPr>
        <w:t xml:space="preserve">American Psychiatric Association. (2013). </w:t>
      </w:r>
      <w:r>
        <w:rPr>
          <w:i/>
          <w:color w:val="000000"/>
        </w:rPr>
        <w:t>Diagnostic and statistical man</w:t>
      </w:r>
      <w:r>
        <w:rPr>
          <w:i/>
          <w:color w:val="000000"/>
        </w:rPr>
        <w:t>ual of mental disorders (5th edition)</w:t>
      </w:r>
      <w:r>
        <w:rPr>
          <w:color w:val="000000"/>
        </w:rPr>
        <w:t xml:space="preserve">. American Psychiatric Publishing. </w:t>
      </w:r>
    </w:p>
    <w:p w14:paraId="78FE0B62" w14:textId="77777777" w:rsidR="0059627B" w:rsidRDefault="007B1972">
      <w:pPr>
        <w:pBdr>
          <w:top w:val="nil"/>
          <w:left w:val="nil"/>
          <w:bottom w:val="nil"/>
          <w:right w:val="nil"/>
          <w:between w:val="nil"/>
        </w:pBdr>
        <w:spacing w:line="360" w:lineRule="auto"/>
        <w:ind w:left="720" w:hanging="720"/>
        <w:rPr>
          <w:color w:val="000000"/>
        </w:rPr>
      </w:pPr>
      <w:r>
        <w:rPr>
          <w:color w:val="000000"/>
        </w:rPr>
        <w:t xml:space="preserve">Amorim, R., </w:t>
      </w:r>
      <w:proofErr w:type="spellStart"/>
      <w:r>
        <w:rPr>
          <w:color w:val="000000"/>
        </w:rPr>
        <w:t>Catarino</w:t>
      </w:r>
      <w:proofErr w:type="spellEnd"/>
      <w:r>
        <w:rPr>
          <w:color w:val="000000"/>
        </w:rPr>
        <w:t xml:space="preserve">, S., </w:t>
      </w:r>
      <w:proofErr w:type="spellStart"/>
      <w:r>
        <w:rPr>
          <w:color w:val="000000"/>
        </w:rPr>
        <w:t>Miragaia</w:t>
      </w:r>
      <w:proofErr w:type="spellEnd"/>
      <w:r>
        <w:rPr>
          <w:color w:val="000000"/>
        </w:rPr>
        <w:t xml:space="preserve">, P., </w:t>
      </w:r>
      <w:proofErr w:type="spellStart"/>
      <w:r>
        <w:rPr>
          <w:color w:val="000000"/>
        </w:rPr>
        <w:t>Ferreras</w:t>
      </w:r>
      <w:proofErr w:type="spellEnd"/>
      <w:r>
        <w:rPr>
          <w:color w:val="000000"/>
        </w:rPr>
        <w:t xml:space="preserve">, C., Viana, V., &amp; </w:t>
      </w:r>
      <w:proofErr w:type="spellStart"/>
      <w:r>
        <w:rPr>
          <w:color w:val="000000"/>
        </w:rPr>
        <w:t>Guardiano</w:t>
      </w:r>
      <w:proofErr w:type="spellEnd"/>
      <w:r>
        <w:rPr>
          <w:color w:val="000000"/>
        </w:rPr>
        <w:t xml:space="preserve">, M. (2020). The impact of COVID-19 on children with autism spectrum disorder. </w:t>
      </w:r>
      <w:proofErr w:type="spellStart"/>
      <w:r>
        <w:rPr>
          <w:i/>
          <w:color w:val="000000"/>
        </w:rPr>
        <w:t>Revista</w:t>
      </w:r>
      <w:proofErr w:type="spellEnd"/>
      <w:r>
        <w:rPr>
          <w:i/>
          <w:color w:val="000000"/>
        </w:rPr>
        <w:t xml:space="preserve"> de </w:t>
      </w:r>
      <w:proofErr w:type="spellStart"/>
      <w:r>
        <w:rPr>
          <w:i/>
          <w:color w:val="000000"/>
        </w:rPr>
        <w:t>Neurologia</w:t>
      </w:r>
      <w:proofErr w:type="spellEnd"/>
      <w:r>
        <w:rPr>
          <w:color w:val="000000"/>
        </w:rPr>
        <w:t>,</w:t>
      </w:r>
      <w:r>
        <w:rPr>
          <w:i/>
          <w:color w:val="000000"/>
        </w:rPr>
        <w:t xml:space="preserve"> 71</w:t>
      </w:r>
      <w:r>
        <w:rPr>
          <w:color w:val="000000"/>
        </w:rPr>
        <w:t>(8)</w:t>
      </w:r>
      <w:r>
        <w:rPr>
          <w:color w:val="000000"/>
        </w:rPr>
        <w:t xml:space="preserve">, 285-291. </w:t>
      </w:r>
      <w:hyperlink r:id="rId12">
        <w:r>
          <w:rPr>
            <w:color w:val="000000"/>
            <w:u w:val="single"/>
          </w:rPr>
          <w:t>https://doi.org/10.33588/rn.7108.2020381</w:t>
        </w:r>
      </w:hyperlink>
      <w:r>
        <w:rPr>
          <w:color w:val="000000"/>
        </w:rPr>
        <w:t xml:space="preserve"> (</w:t>
      </w:r>
      <w:proofErr w:type="spellStart"/>
      <w:r>
        <w:rPr>
          <w:color w:val="000000"/>
        </w:rPr>
        <w:t>Impacto</w:t>
      </w:r>
      <w:proofErr w:type="spellEnd"/>
      <w:r>
        <w:rPr>
          <w:color w:val="000000"/>
        </w:rPr>
        <w:t xml:space="preserve"> de la COVID-19 </w:t>
      </w:r>
      <w:proofErr w:type="spellStart"/>
      <w:r>
        <w:rPr>
          <w:color w:val="000000"/>
        </w:rPr>
        <w:t>en</w:t>
      </w:r>
      <w:proofErr w:type="spellEnd"/>
      <w:r>
        <w:rPr>
          <w:color w:val="000000"/>
        </w:rPr>
        <w:t xml:space="preserve"> </w:t>
      </w:r>
      <w:proofErr w:type="spellStart"/>
      <w:r>
        <w:rPr>
          <w:color w:val="000000"/>
        </w:rPr>
        <w:t>niños</w:t>
      </w:r>
      <w:proofErr w:type="spellEnd"/>
      <w:r>
        <w:rPr>
          <w:color w:val="000000"/>
        </w:rPr>
        <w:t xml:space="preserve"> con </w:t>
      </w:r>
      <w:proofErr w:type="spellStart"/>
      <w:r>
        <w:rPr>
          <w:color w:val="000000"/>
        </w:rPr>
        <w:t>trastorno</w:t>
      </w:r>
      <w:proofErr w:type="spellEnd"/>
      <w:r>
        <w:rPr>
          <w:color w:val="000000"/>
        </w:rPr>
        <w:t xml:space="preserve"> del </w:t>
      </w:r>
      <w:proofErr w:type="spellStart"/>
      <w:r>
        <w:rPr>
          <w:color w:val="000000"/>
        </w:rPr>
        <w:t>espectro</w:t>
      </w:r>
      <w:proofErr w:type="spellEnd"/>
      <w:r>
        <w:rPr>
          <w:color w:val="000000"/>
        </w:rPr>
        <w:t xml:space="preserve"> </w:t>
      </w:r>
      <w:proofErr w:type="spellStart"/>
      <w:r>
        <w:rPr>
          <w:color w:val="000000"/>
        </w:rPr>
        <w:t>autista</w:t>
      </w:r>
      <w:proofErr w:type="spellEnd"/>
      <w:r>
        <w:rPr>
          <w:color w:val="000000"/>
        </w:rPr>
        <w:t xml:space="preserve">.) </w:t>
      </w:r>
    </w:p>
    <w:p w14:paraId="4507A793" w14:textId="77777777" w:rsidR="0059627B" w:rsidRDefault="007B1972">
      <w:pPr>
        <w:pBdr>
          <w:top w:val="nil"/>
          <w:left w:val="nil"/>
          <w:bottom w:val="nil"/>
          <w:right w:val="nil"/>
          <w:between w:val="nil"/>
        </w:pBdr>
        <w:spacing w:line="360" w:lineRule="auto"/>
        <w:ind w:left="720" w:hanging="720"/>
        <w:rPr>
          <w:color w:val="000000"/>
        </w:rPr>
      </w:pPr>
      <w:r>
        <w:rPr>
          <w:color w:val="000000"/>
        </w:rPr>
        <w:t>Asbury, K., Fox, L., Deniz, E., Code, A., &amp; Toseeb, U. (2021). How is COV</w:t>
      </w:r>
      <w:r>
        <w:rPr>
          <w:color w:val="000000"/>
        </w:rPr>
        <w:t xml:space="preserve">ID-19 affecting the mental health of children with special educational needs and disabilities and their families? </w:t>
      </w:r>
      <w:r>
        <w:rPr>
          <w:i/>
          <w:color w:val="000000"/>
        </w:rPr>
        <w:t>Journal of Autism and Developmental Disorders</w:t>
      </w:r>
      <w:r>
        <w:rPr>
          <w:color w:val="000000"/>
        </w:rPr>
        <w:t>,</w:t>
      </w:r>
      <w:r>
        <w:rPr>
          <w:i/>
          <w:color w:val="000000"/>
        </w:rPr>
        <w:t xml:space="preserve"> 51</w:t>
      </w:r>
      <w:r>
        <w:rPr>
          <w:color w:val="000000"/>
        </w:rPr>
        <w:t xml:space="preserve">(5), 1772-1780. </w:t>
      </w:r>
      <w:hyperlink r:id="rId13">
        <w:r>
          <w:rPr>
            <w:color w:val="000000"/>
            <w:u w:val="single"/>
          </w:rPr>
          <w:t>https://doi.org</w:t>
        </w:r>
        <w:r>
          <w:rPr>
            <w:color w:val="000000"/>
            <w:u w:val="single"/>
          </w:rPr>
          <w:t>/10.1007/s10803-020-04577-2</w:t>
        </w:r>
      </w:hyperlink>
      <w:r>
        <w:rPr>
          <w:color w:val="000000"/>
        </w:rPr>
        <w:t xml:space="preserve"> </w:t>
      </w:r>
    </w:p>
    <w:p w14:paraId="51B48319" w14:textId="77777777" w:rsidR="0059627B" w:rsidRDefault="007B1972">
      <w:pPr>
        <w:pBdr>
          <w:top w:val="nil"/>
          <w:left w:val="nil"/>
          <w:bottom w:val="nil"/>
          <w:right w:val="nil"/>
          <w:between w:val="nil"/>
        </w:pBdr>
        <w:spacing w:line="360" w:lineRule="auto"/>
        <w:ind w:left="720" w:hanging="720"/>
        <w:rPr>
          <w:color w:val="000000"/>
        </w:rPr>
      </w:pPr>
      <w:r>
        <w:rPr>
          <w:color w:val="000000"/>
        </w:rPr>
        <w:t xml:space="preserve">Banerjee, T., Khan, A., &amp; </w:t>
      </w:r>
      <w:proofErr w:type="spellStart"/>
      <w:r>
        <w:rPr>
          <w:color w:val="000000"/>
        </w:rPr>
        <w:t>Kesavan</w:t>
      </w:r>
      <w:proofErr w:type="spellEnd"/>
      <w:r>
        <w:rPr>
          <w:color w:val="000000"/>
        </w:rPr>
        <w:t xml:space="preserve">, P. (2021). Impact of lockdown and school closure on children in special schools: a single-centre survey. </w:t>
      </w:r>
      <w:proofErr w:type="spellStart"/>
      <w:r>
        <w:rPr>
          <w:i/>
          <w:color w:val="000000"/>
        </w:rPr>
        <w:t>BMJ</w:t>
      </w:r>
      <w:proofErr w:type="spellEnd"/>
      <w:r>
        <w:rPr>
          <w:i/>
          <w:color w:val="000000"/>
        </w:rPr>
        <w:t xml:space="preserve"> Paediatrics Open</w:t>
      </w:r>
      <w:r>
        <w:rPr>
          <w:color w:val="000000"/>
        </w:rPr>
        <w:t>,</w:t>
      </w:r>
      <w:r>
        <w:rPr>
          <w:i/>
          <w:color w:val="000000"/>
        </w:rPr>
        <w:t xml:space="preserve"> 5</w:t>
      </w:r>
      <w:r>
        <w:rPr>
          <w:color w:val="000000"/>
        </w:rPr>
        <w:t xml:space="preserve">(1), e000981. </w:t>
      </w:r>
      <w:hyperlink r:id="rId14">
        <w:r>
          <w:rPr>
            <w:color w:val="000000"/>
            <w:u w:val="single"/>
          </w:rPr>
          <w:t>https://doi.org/10.1136/bmjpo-2020-000981</w:t>
        </w:r>
      </w:hyperlink>
      <w:r>
        <w:rPr>
          <w:color w:val="000000"/>
        </w:rPr>
        <w:t xml:space="preserve"> </w:t>
      </w:r>
    </w:p>
    <w:p w14:paraId="151647FA" w14:textId="77777777" w:rsidR="0059627B" w:rsidRDefault="007B1972">
      <w:pPr>
        <w:pBdr>
          <w:top w:val="nil"/>
          <w:left w:val="nil"/>
          <w:bottom w:val="nil"/>
          <w:right w:val="nil"/>
          <w:between w:val="nil"/>
        </w:pBdr>
        <w:spacing w:line="360" w:lineRule="auto"/>
        <w:ind w:left="720" w:hanging="720"/>
        <w:rPr>
          <w:color w:val="000000"/>
        </w:rPr>
      </w:pPr>
      <w:r>
        <w:rPr>
          <w:color w:val="000000"/>
        </w:rPr>
        <w:t xml:space="preserve">Bengtsson, M. (2016). How to plan and perform a qualitative study using content analysis. </w:t>
      </w:r>
      <w:proofErr w:type="spellStart"/>
      <w:r>
        <w:rPr>
          <w:i/>
          <w:color w:val="000000"/>
        </w:rPr>
        <w:t>NursingPlus</w:t>
      </w:r>
      <w:proofErr w:type="spellEnd"/>
      <w:r>
        <w:rPr>
          <w:i/>
          <w:color w:val="000000"/>
        </w:rPr>
        <w:t xml:space="preserve"> Open</w:t>
      </w:r>
      <w:r>
        <w:rPr>
          <w:color w:val="000000"/>
        </w:rPr>
        <w:t>,</w:t>
      </w:r>
      <w:r>
        <w:rPr>
          <w:i/>
          <w:color w:val="000000"/>
        </w:rPr>
        <w:t xml:space="preserve"> 2</w:t>
      </w:r>
      <w:r>
        <w:rPr>
          <w:color w:val="000000"/>
        </w:rPr>
        <w:t xml:space="preserve">, 8-14. </w:t>
      </w:r>
      <w:hyperlink r:id="rId15">
        <w:r>
          <w:rPr>
            <w:color w:val="000000"/>
            <w:u w:val="single"/>
          </w:rPr>
          <w:t>https:/</w:t>
        </w:r>
        <w:r>
          <w:rPr>
            <w:color w:val="000000"/>
            <w:u w:val="single"/>
          </w:rPr>
          <w:t>/doi.org/https://doi.org/10.1016/j.npls.2016.01.001</w:t>
        </w:r>
      </w:hyperlink>
      <w:r>
        <w:rPr>
          <w:color w:val="000000"/>
        </w:rPr>
        <w:t xml:space="preserve"> </w:t>
      </w:r>
    </w:p>
    <w:p w14:paraId="12D3F8E5" w14:textId="77777777" w:rsidR="0059627B" w:rsidRDefault="007B1972">
      <w:pPr>
        <w:pBdr>
          <w:top w:val="nil"/>
          <w:left w:val="nil"/>
          <w:bottom w:val="nil"/>
          <w:right w:val="nil"/>
          <w:between w:val="nil"/>
        </w:pBdr>
        <w:spacing w:line="360" w:lineRule="auto"/>
        <w:ind w:left="720" w:hanging="720"/>
        <w:rPr>
          <w:color w:val="000000"/>
        </w:rPr>
      </w:pPr>
      <w:proofErr w:type="spellStart"/>
      <w:r>
        <w:rPr>
          <w:color w:val="000000"/>
        </w:rPr>
        <w:t>Bitsika</w:t>
      </w:r>
      <w:proofErr w:type="spellEnd"/>
      <w:r>
        <w:rPr>
          <w:color w:val="000000"/>
        </w:rPr>
        <w:t>, V., &amp; Sharpley, C. F. (2015). Differences in the prevalence, severity and symptom profiles of depression in boys and adolescents with an autism spectrum disorder versus normally developing contr</w:t>
      </w:r>
      <w:r>
        <w:rPr>
          <w:color w:val="000000"/>
        </w:rPr>
        <w:t xml:space="preserve">ols. International Journal of Disability, Development and Education, 62(2), 158-167. </w:t>
      </w:r>
      <w:hyperlink r:id="rId16">
        <w:r>
          <w:rPr>
            <w:color w:val="000000"/>
          </w:rPr>
          <w:t>https://doi.org/10.1080/1034912X.2014.998179</w:t>
        </w:r>
      </w:hyperlink>
    </w:p>
    <w:p w14:paraId="69003012" w14:textId="77777777" w:rsidR="0059627B" w:rsidRDefault="007B1972">
      <w:pPr>
        <w:pBdr>
          <w:top w:val="nil"/>
          <w:left w:val="nil"/>
          <w:bottom w:val="nil"/>
          <w:right w:val="nil"/>
          <w:between w:val="nil"/>
        </w:pBdr>
        <w:spacing w:line="360" w:lineRule="auto"/>
        <w:ind w:left="720" w:hanging="720"/>
        <w:rPr>
          <w:sz w:val="28"/>
          <w:szCs w:val="28"/>
        </w:rPr>
      </w:pPr>
      <w:r>
        <w:rPr>
          <w:color w:val="000000"/>
        </w:rPr>
        <w:t>Fletcher-Watson, S., Brook, K., Hallett, S., Murray, F., &amp; Crompton, C. J. (2021). Inclusive practices for neurodevelopmental research. Current Developmental Disorders Reports, 8(2), 88-97.  https://doi.org/10.1007/s40474-021-00227-z</w:t>
      </w:r>
    </w:p>
    <w:p w14:paraId="47411C4C" w14:textId="77777777" w:rsidR="0059627B" w:rsidRDefault="007B1972">
      <w:pPr>
        <w:pBdr>
          <w:top w:val="nil"/>
          <w:left w:val="nil"/>
          <w:bottom w:val="nil"/>
          <w:right w:val="nil"/>
          <w:between w:val="nil"/>
        </w:pBdr>
        <w:spacing w:line="360" w:lineRule="auto"/>
        <w:ind w:left="720" w:hanging="720"/>
        <w:rPr>
          <w:color w:val="000000"/>
        </w:rPr>
      </w:pPr>
      <w:proofErr w:type="spellStart"/>
      <w:r>
        <w:rPr>
          <w:color w:val="000000"/>
        </w:rPr>
        <w:t>Grossoehme</w:t>
      </w:r>
      <w:proofErr w:type="spellEnd"/>
      <w:r>
        <w:rPr>
          <w:color w:val="000000"/>
        </w:rPr>
        <w:t xml:space="preserve">, D., &amp; </w:t>
      </w:r>
      <w:proofErr w:type="spellStart"/>
      <w:r>
        <w:rPr>
          <w:color w:val="000000"/>
        </w:rPr>
        <w:t>Lips</w:t>
      </w:r>
      <w:r>
        <w:rPr>
          <w:color w:val="000000"/>
        </w:rPr>
        <w:t>tein</w:t>
      </w:r>
      <w:proofErr w:type="spellEnd"/>
      <w:r>
        <w:rPr>
          <w:color w:val="000000"/>
        </w:rPr>
        <w:t xml:space="preserve">, E. (2016). </w:t>
      </w:r>
      <w:proofErr w:type="spellStart"/>
      <w:r>
        <w:rPr>
          <w:color w:val="000000"/>
        </w:rPr>
        <w:t>Analyzing</w:t>
      </w:r>
      <w:proofErr w:type="spellEnd"/>
      <w:r>
        <w:rPr>
          <w:color w:val="000000"/>
        </w:rPr>
        <w:t xml:space="preserve"> longitudinal qualitative data: the application of trajectory and recurrent cross-sectional approaches. </w:t>
      </w:r>
      <w:r>
        <w:rPr>
          <w:i/>
          <w:color w:val="000000"/>
        </w:rPr>
        <w:t>BMC research notes</w:t>
      </w:r>
      <w:r>
        <w:rPr>
          <w:color w:val="000000"/>
        </w:rPr>
        <w:t>,</w:t>
      </w:r>
      <w:r>
        <w:rPr>
          <w:i/>
          <w:color w:val="000000"/>
        </w:rPr>
        <w:t xml:space="preserve"> 9</w:t>
      </w:r>
      <w:r>
        <w:rPr>
          <w:color w:val="000000"/>
        </w:rPr>
        <w:t xml:space="preserve">, 136-136. </w:t>
      </w:r>
      <w:hyperlink r:id="rId17">
        <w:r>
          <w:rPr>
            <w:color w:val="000000"/>
            <w:u w:val="single"/>
          </w:rPr>
          <w:t>https://doi.org/10.1186/s13104-01</w:t>
        </w:r>
        <w:r>
          <w:rPr>
            <w:color w:val="000000"/>
            <w:u w:val="single"/>
          </w:rPr>
          <w:t>6-1954-1</w:t>
        </w:r>
      </w:hyperlink>
      <w:r>
        <w:rPr>
          <w:color w:val="000000"/>
        </w:rPr>
        <w:t xml:space="preserve"> </w:t>
      </w:r>
    </w:p>
    <w:p w14:paraId="27E76FD2" w14:textId="77777777" w:rsidR="0059627B" w:rsidRDefault="007B1972">
      <w:pPr>
        <w:pBdr>
          <w:top w:val="nil"/>
          <w:left w:val="nil"/>
          <w:bottom w:val="nil"/>
          <w:right w:val="nil"/>
          <w:between w:val="nil"/>
        </w:pBdr>
        <w:spacing w:line="360" w:lineRule="auto"/>
        <w:ind w:left="720" w:hanging="720"/>
      </w:pPr>
      <w:r>
        <w:rPr>
          <w:color w:val="000000"/>
        </w:rPr>
        <w:t xml:space="preserve">Halim, A. T., </w:t>
      </w:r>
      <w:proofErr w:type="spellStart"/>
      <w:r>
        <w:rPr>
          <w:color w:val="000000"/>
        </w:rPr>
        <w:t>Richdale</w:t>
      </w:r>
      <w:proofErr w:type="spellEnd"/>
      <w:r>
        <w:rPr>
          <w:color w:val="000000"/>
        </w:rPr>
        <w:t xml:space="preserve">, A. L., &amp; </w:t>
      </w:r>
      <w:proofErr w:type="spellStart"/>
      <w:r>
        <w:rPr>
          <w:color w:val="000000"/>
        </w:rPr>
        <w:t>Uljarević</w:t>
      </w:r>
      <w:proofErr w:type="spellEnd"/>
      <w:r>
        <w:rPr>
          <w:color w:val="000000"/>
        </w:rPr>
        <w:t xml:space="preserve">, M. (2018). Exploring the nature of anxiety in young adults on the autism spectrum: A qualitative study. Research in Autism Spectrum Disorders, 55, 25-37.  </w:t>
      </w:r>
      <w:hyperlink r:id="rId18">
        <w:r>
          <w:rPr>
            <w:color w:val="000000"/>
          </w:rPr>
          <w:t>https://doi.org/10.1016/j.rasd.2018.07.006</w:t>
        </w:r>
      </w:hyperlink>
    </w:p>
    <w:p w14:paraId="74B98774" w14:textId="77777777" w:rsidR="0059627B" w:rsidRDefault="007B1972">
      <w:pPr>
        <w:pBdr>
          <w:top w:val="nil"/>
          <w:left w:val="nil"/>
          <w:bottom w:val="nil"/>
          <w:right w:val="nil"/>
          <w:between w:val="nil"/>
        </w:pBdr>
        <w:spacing w:line="360" w:lineRule="auto"/>
        <w:ind w:left="720" w:hanging="720"/>
        <w:rPr>
          <w:color w:val="000000"/>
        </w:rPr>
      </w:pPr>
      <w:r>
        <w:rPr>
          <w:color w:val="000000"/>
        </w:rPr>
        <w:t xml:space="preserve">Hoffman, C. D., Sweeney, D. P., Hodge, D., Lopez-Wagner, M. C., &amp; Looney, L. (2009). Parenting stress and closeness: Mothers of typically developing children and mothers of children with autism. </w:t>
      </w:r>
      <w:r>
        <w:rPr>
          <w:i/>
          <w:color w:val="000000"/>
        </w:rPr>
        <w:t>Focus on Auti</w:t>
      </w:r>
      <w:r>
        <w:rPr>
          <w:i/>
          <w:color w:val="000000"/>
        </w:rPr>
        <w:t>sm and Other Developmental Disabilities</w:t>
      </w:r>
      <w:r>
        <w:rPr>
          <w:color w:val="000000"/>
        </w:rPr>
        <w:t>,</w:t>
      </w:r>
      <w:r>
        <w:rPr>
          <w:i/>
          <w:color w:val="000000"/>
        </w:rPr>
        <w:t xml:space="preserve"> 24</w:t>
      </w:r>
      <w:r>
        <w:rPr>
          <w:color w:val="000000"/>
        </w:rPr>
        <w:t xml:space="preserve">(3), 178-187. </w:t>
      </w:r>
      <w:hyperlink r:id="rId19">
        <w:r>
          <w:rPr>
            <w:color w:val="000000"/>
            <w:u w:val="single"/>
          </w:rPr>
          <w:t>https://doi.org/10.1177/1088357609338715</w:t>
        </w:r>
      </w:hyperlink>
      <w:r>
        <w:rPr>
          <w:color w:val="000000"/>
        </w:rPr>
        <w:t xml:space="preserve"> </w:t>
      </w:r>
    </w:p>
    <w:p w14:paraId="0C8E67E0" w14:textId="77777777" w:rsidR="0059627B" w:rsidRDefault="007B1972">
      <w:pPr>
        <w:pBdr>
          <w:top w:val="nil"/>
          <w:left w:val="nil"/>
          <w:bottom w:val="nil"/>
          <w:right w:val="nil"/>
          <w:between w:val="nil"/>
        </w:pBdr>
        <w:spacing w:line="360" w:lineRule="auto"/>
        <w:ind w:left="720" w:hanging="720"/>
        <w:rPr>
          <w:color w:val="000000"/>
        </w:rPr>
      </w:pPr>
      <w:r>
        <w:rPr>
          <w:color w:val="000000"/>
        </w:rPr>
        <w:lastRenderedPageBreak/>
        <w:t>Hudson, C. C., Hall, L., &amp; Harkness, K. L. (2019). Prevalence of Depressive Disorders in Individu</w:t>
      </w:r>
      <w:r>
        <w:rPr>
          <w:color w:val="000000"/>
        </w:rPr>
        <w:t xml:space="preserve">als with Autism Spectrum Disorder: a Meta-Analysis. </w:t>
      </w:r>
      <w:r>
        <w:rPr>
          <w:i/>
          <w:color w:val="000000"/>
        </w:rPr>
        <w:t>Journal of Abnormal Child Psychology</w:t>
      </w:r>
      <w:r>
        <w:rPr>
          <w:color w:val="000000"/>
        </w:rPr>
        <w:t>,</w:t>
      </w:r>
      <w:r>
        <w:rPr>
          <w:i/>
          <w:color w:val="000000"/>
        </w:rPr>
        <w:t xml:space="preserve"> 47</w:t>
      </w:r>
      <w:r>
        <w:rPr>
          <w:color w:val="000000"/>
        </w:rPr>
        <w:t xml:space="preserve">(1), 165-175. </w:t>
      </w:r>
      <w:hyperlink r:id="rId20">
        <w:r>
          <w:rPr>
            <w:color w:val="000000"/>
            <w:u w:val="single"/>
          </w:rPr>
          <w:t>https://doi.org/10.1007/s10802-018-0402-1</w:t>
        </w:r>
      </w:hyperlink>
      <w:r>
        <w:rPr>
          <w:color w:val="000000"/>
        </w:rPr>
        <w:t xml:space="preserve"> </w:t>
      </w:r>
    </w:p>
    <w:p w14:paraId="4E33C43B" w14:textId="77777777" w:rsidR="0059627B" w:rsidRDefault="007B1972">
      <w:pPr>
        <w:pBdr>
          <w:top w:val="nil"/>
          <w:left w:val="nil"/>
          <w:bottom w:val="nil"/>
          <w:right w:val="nil"/>
          <w:between w:val="nil"/>
        </w:pBdr>
        <w:spacing w:line="360" w:lineRule="auto"/>
        <w:ind w:left="720" w:hanging="720"/>
      </w:pPr>
      <w:proofErr w:type="spellStart"/>
      <w:r>
        <w:rPr>
          <w:color w:val="000000"/>
        </w:rPr>
        <w:t>Huke</w:t>
      </w:r>
      <w:proofErr w:type="spellEnd"/>
      <w:r>
        <w:rPr>
          <w:color w:val="000000"/>
        </w:rPr>
        <w:t xml:space="preserve">, V., Turk, J., </w:t>
      </w:r>
      <w:proofErr w:type="spellStart"/>
      <w:r>
        <w:rPr>
          <w:color w:val="000000"/>
        </w:rPr>
        <w:t>Saeidi</w:t>
      </w:r>
      <w:proofErr w:type="spellEnd"/>
      <w:r>
        <w:rPr>
          <w:color w:val="000000"/>
        </w:rPr>
        <w:t>, S., Kent, A., &amp; Mo</w:t>
      </w:r>
      <w:r>
        <w:rPr>
          <w:color w:val="000000"/>
        </w:rPr>
        <w:t xml:space="preserve">rgan, J. F. (2013). Autism spectrum disorders in eating disorder populations: a systematic review. European Eating Disorders Review, 21(5), 345-351.  </w:t>
      </w:r>
      <w:hyperlink r:id="rId21">
        <w:r>
          <w:rPr>
            <w:color w:val="000000"/>
          </w:rPr>
          <w:t>https://doi.org/10.1002/erv.2244</w:t>
        </w:r>
      </w:hyperlink>
    </w:p>
    <w:p w14:paraId="32FBECB1" w14:textId="77777777" w:rsidR="0059627B" w:rsidRDefault="007B1972">
      <w:pPr>
        <w:pBdr>
          <w:top w:val="nil"/>
          <w:left w:val="nil"/>
          <w:bottom w:val="nil"/>
          <w:right w:val="nil"/>
          <w:between w:val="nil"/>
        </w:pBdr>
        <w:spacing w:line="360" w:lineRule="auto"/>
        <w:ind w:left="720" w:hanging="720"/>
        <w:rPr>
          <w:color w:val="000000"/>
        </w:rPr>
      </w:pPr>
      <w:r>
        <w:rPr>
          <w:color w:val="000000"/>
        </w:rPr>
        <w:t>Kerns, C. M., Kendall</w:t>
      </w:r>
      <w:r>
        <w:rPr>
          <w:color w:val="000000"/>
        </w:rPr>
        <w:t xml:space="preserve">, P. C., Berry, L., </w:t>
      </w:r>
      <w:proofErr w:type="spellStart"/>
      <w:r>
        <w:rPr>
          <w:color w:val="000000"/>
        </w:rPr>
        <w:t>Souders</w:t>
      </w:r>
      <w:proofErr w:type="spellEnd"/>
      <w:r>
        <w:rPr>
          <w:color w:val="000000"/>
        </w:rPr>
        <w:t xml:space="preserve">, M. C., Franklin, M. E., Schultz, R. T., ... &amp; Herrington, J. (2014). Traditional and atypical presentations of anxiety in youth with autism spectrum disorder. Journal of autism and developmental disorders, 44(11), 2851-2861.  </w:t>
      </w:r>
      <w:hyperlink r:id="rId22">
        <w:r>
          <w:rPr>
            <w:color w:val="000000"/>
          </w:rPr>
          <w:t>https://doi.org/10.1007/s10803-014-2141-7</w:t>
        </w:r>
      </w:hyperlink>
    </w:p>
    <w:p w14:paraId="05B4134D" w14:textId="77777777" w:rsidR="0059627B" w:rsidRDefault="007B1972">
      <w:pPr>
        <w:pBdr>
          <w:top w:val="nil"/>
          <w:left w:val="nil"/>
          <w:bottom w:val="nil"/>
          <w:right w:val="nil"/>
          <w:between w:val="nil"/>
        </w:pBdr>
        <w:spacing w:line="360" w:lineRule="auto"/>
        <w:ind w:left="720" w:hanging="720"/>
      </w:pPr>
      <w:r>
        <w:rPr>
          <w:color w:val="000000"/>
        </w:rPr>
        <w:t xml:space="preserve">Lee, V., </w:t>
      </w:r>
      <w:proofErr w:type="spellStart"/>
      <w:r>
        <w:rPr>
          <w:color w:val="000000"/>
        </w:rPr>
        <w:t>Albaum</w:t>
      </w:r>
      <w:proofErr w:type="spellEnd"/>
      <w:r>
        <w:rPr>
          <w:color w:val="000000"/>
        </w:rPr>
        <w:t xml:space="preserve">, C., </w:t>
      </w:r>
      <w:proofErr w:type="spellStart"/>
      <w:r>
        <w:rPr>
          <w:color w:val="000000"/>
        </w:rPr>
        <w:t>Tablon</w:t>
      </w:r>
      <w:proofErr w:type="spellEnd"/>
      <w:r>
        <w:rPr>
          <w:color w:val="000000"/>
        </w:rPr>
        <w:t xml:space="preserve"> </w:t>
      </w:r>
      <w:proofErr w:type="spellStart"/>
      <w:r>
        <w:rPr>
          <w:color w:val="000000"/>
        </w:rPr>
        <w:t>Modica</w:t>
      </w:r>
      <w:proofErr w:type="spellEnd"/>
      <w:r>
        <w:rPr>
          <w:color w:val="000000"/>
        </w:rPr>
        <w:t xml:space="preserve">, P., Ahmad, F., </w:t>
      </w:r>
      <w:proofErr w:type="spellStart"/>
      <w:r>
        <w:rPr>
          <w:color w:val="000000"/>
        </w:rPr>
        <w:t>Gorter</w:t>
      </w:r>
      <w:proofErr w:type="spellEnd"/>
      <w:r>
        <w:rPr>
          <w:color w:val="000000"/>
        </w:rPr>
        <w:t xml:space="preserve">, J. W., </w:t>
      </w:r>
      <w:proofErr w:type="spellStart"/>
      <w:r>
        <w:rPr>
          <w:color w:val="000000"/>
        </w:rPr>
        <w:t>Khanlou</w:t>
      </w:r>
      <w:proofErr w:type="spellEnd"/>
      <w:r>
        <w:rPr>
          <w:color w:val="000000"/>
        </w:rPr>
        <w:t xml:space="preserve">, N., ... &amp; Weiss, J. A. (2021). The impact of COVID‐19 on the mental health and </w:t>
      </w:r>
      <w:r>
        <w:rPr>
          <w:color w:val="000000"/>
        </w:rPr>
        <w:t xml:space="preserve">wellbeing of caregivers of autistic children and youth: A scoping review. Autism Research.  </w:t>
      </w:r>
      <w:hyperlink r:id="rId23">
        <w:r>
          <w:rPr>
            <w:color w:val="000000"/>
          </w:rPr>
          <w:t>https://doi.org/10.1002/aur.2616</w:t>
        </w:r>
      </w:hyperlink>
    </w:p>
    <w:p w14:paraId="68553202" w14:textId="77777777" w:rsidR="0059627B" w:rsidRDefault="007B1972">
      <w:pPr>
        <w:pBdr>
          <w:top w:val="nil"/>
          <w:left w:val="nil"/>
          <w:bottom w:val="nil"/>
          <w:right w:val="nil"/>
          <w:between w:val="nil"/>
        </w:pBdr>
        <w:spacing w:line="360" w:lineRule="auto"/>
        <w:ind w:left="720" w:hanging="720"/>
        <w:rPr>
          <w:color w:val="000000"/>
        </w:rPr>
      </w:pPr>
      <w:r>
        <w:rPr>
          <w:color w:val="000000"/>
        </w:rPr>
        <w:t xml:space="preserve">Neale, B. (2019). </w:t>
      </w:r>
      <w:r>
        <w:rPr>
          <w:i/>
          <w:color w:val="000000"/>
        </w:rPr>
        <w:t>What is Qualitative Longitudinal Research?</w:t>
      </w:r>
      <w:r>
        <w:rPr>
          <w:color w:val="000000"/>
        </w:rPr>
        <w:t xml:space="preserve"> Bloomsbury Academi</w:t>
      </w:r>
      <w:r>
        <w:rPr>
          <w:color w:val="000000"/>
        </w:rPr>
        <w:t xml:space="preserve">c. </w:t>
      </w:r>
    </w:p>
    <w:p w14:paraId="276C6A0B" w14:textId="77777777" w:rsidR="0059627B" w:rsidRDefault="007B1972">
      <w:pPr>
        <w:pBdr>
          <w:top w:val="nil"/>
          <w:left w:val="nil"/>
          <w:bottom w:val="nil"/>
          <w:right w:val="nil"/>
          <w:between w:val="nil"/>
        </w:pBdr>
        <w:spacing w:line="360" w:lineRule="auto"/>
        <w:ind w:left="720" w:hanging="720"/>
        <w:rPr>
          <w:color w:val="000000"/>
        </w:rPr>
      </w:pPr>
      <w:proofErr w:type="spellStart"/>
      <w:r>
        <w:rPr>
          <w:color w:val="000000"/>
        </w:rPr>
        <w:t>Nonweiler</w:t>
      </w:r>
      <w:proofErr w:type="spellEnd"/>
      <w:r>
        <w:rPr>
          <w:color w:val="000000"/>
        </w:rPr>
        <w:t xml:space="preserve">, J., Rattray, F., </w:t>
      </w:r>
      <w:proofErr w:type="spellStart"/>
      <w:r>
        <w:rPr>
          <w:color w:val="000000"/>
        </w:rPr>
        <w:t>Baulcomb</w:t>
      </w:r>
      <w:proofErr w:type="spellEnd"/>
      <w:r>
        <w:rPr>
          <w:color w:val="000000"/>
        </w:rPr>
        <w:t xml:space="preserve">, J., </w:t>
      </w:r>
      <w:proofErr w:type="spellStart"/>
      <w:r>
        <w:rPr>
          <w:color w:val="000000"/>
        </w:rPr>
        <w:t>Happé</w:t>
      </w:r>
      <w:proofErr w:type="spellEnd"/>
      <w:r>
        <w:rPr>
          <w:color w:val="000000"/>
        </w:rPr>
        <w:t xml:space="preserve">, F., &amp; </w:t>
      </w:r>
      <w:proofErr w:type="spellStart"/>
      <w:r>
        <w:rPr>
          <w:color w:val="000000"/>
        </w:rPr>
        <w:t>Absoud</w:t>
      </w:r>
      <w:proofErr w:type="spellEnd"/>
      <w:r>
        <w:rPr>
          <w:color w:val="000000"/>
        </w:rPr>
        <w:t xml:space="preserve">, M. (2020). Prevalence and Associated Factors of Emotional and Behavioural Difficulties during COVID-19 Pandemic in Children with Neurodevelopmental Disorders. </w:t>
      </w:r>
      <w:r>
        <w:rPr>
          <w:i/>
          <w:color w:val="000000"/>
        </w:rPr>
        <w:t>Children (Basel)</w:t>
      </w:r>
      <w:r>
        <w:rPr>
          <w:color w:val="000000"/>
        </w:rPr>
        <w:t>,</w:t>
      </w:r>
      <w:r>
        <w:rPr>
          <w:i/>
          <w:color w:val="000000"/>
        </w:rPr>
        <w:t xml:space="preserve"> 7</w:t>
      </w:r>
      <w:r>
        <w:rPr>
          <w:color w:val="000000"/>
        </w:rPr>
        <w:t xml:space="preserve">(9). </w:t>
      </w:r>
      <w:hyperlink r:id="rId24">
        <w:r>
          <w:rPr>
            <w:color w:val="000000"/>
            <w:u w:val="single"/>
          </w:rPr>
          <w:t>https://doi.org/10.3390/children7090128</w:t>
        </w:r>
      </w:hyperlink>
      <w:r>
        <w:rPr>
          <w:color w:val="000000"/>
        </w:rPr>
        <w:t xml:space="preserve"> </w:t>
      </w:r>
    </w:p>
    <w:p w14:paraId="052CF061" w14:textId="77777777" w:rsidR="0059627B" w:rsidRDefault="007B1972">
      <w:pPr>
        <w:pBdr>
          <w:top w:val="nil"/>
          <w:left w:val="nil"/>
          <w:bottom w:val="nil"/>
          <w:right w:val="nil"/>
          <w:between w:val="nil"/>
        </w:pBdr>
        <w:spacing w:line="360" w:lineRule="auto"/>
        <w:ind w:left="720" w:hanging="720"/>
        <w:rPr>
          <w:color w:val="000000"/>
        </w:rPr>
      </w:pPr>
      <w:r>
        <w:rPr>
          <w:color w:val="000000"/>
        </w:rPr>
        <w:t xml:space="preserve">O'Sullivan, K., Clark, S., McGrane, A., Rock, N., Burke, L., Boyle, N., </w:t>
      </w:r>
      <w:proofErr w:type="spellStart"/>
      <w:r>
        <w:rPr>
          <w:color w:val="000000"/>
        </w:rPr>
        <w:t>Joksimovic</w:t>
      </w:r>
      <w:proofErr w:type="spellEnd"/>
      <w:r>
        <w:rPr>
          <w:color w:val="000000"/>
        </w:rPr>
        <w:t xml:space="preserve">, N., &amp; Marshall, K. (2021). A Qualitative Study of Child and Adolescent Mental </w:t>
      </w:r>
      <w:r>
        <w:rPr>
          <w:color w:val="000000"/>
        </w:rPr>
        <w:t xml:space="preserve">Health during the COVID-19 Pandemic in Ireland. </w:t>
      </w:r>
      <w:r>
        <w:rPr>
          <w:i/>
          <w:color w:val="000000"/>
        </w:rPr>
        <w:t xml:space="preserve">International Journal of </w:t>
      </w:r>
      <w:proofErr w:type="spellStart"/>
      <w:r>
        <w:rPr>
          <w:i/>
          <w:color w:val="000000"/>
        </w:rPr>
        <w:t>Environtal</w:t>
      </w:r>
      <w:proofErr w:type="spellEnd"/>
      <w:r>
        <w:rPr>
          <w:i/>
          <w:color w:val="000000"/>
        </w:rPr>
        <w:t xml:space="preserve"> Research and Public Health</w:t>
      </w:r>
      <w:r>
        <w:rPr>
          <w:color w:val="000000"/>
        </w:rPr>
        <w:t>,</w:t>
      </w:r>
      <w:r>
        <w:rPr>
          <w:i/>
          <w:color w:val="000000"/>
        </w:rPr>
        <w:t xml:space="preserve"> 18</w:t>
      </w:r>
      <w:r>
        <w:rPr>
          <w:color w:val="000000"/>
        </w:rPr>
        <w:t xml:space="preserve">(3). </w:t>
      </w:r>
      <w:hyperlink r:id="rId25">
        <w:r>
          <w:rPr>
            <w:color w:val="000000"/>
            <w:u w:val="single"/>
          </w:rPr>
          <w:t>https://doi.org/10.3390/ijerph18031062</w:t>
        </w:r>
      </w:hyperlink>
      <w:r>
        <w:rPr>
          <w:color w:val="000000"/>
        </w:rPr>
        <w:t xml:space="preserve"> </w:t>
      </w:r>
    </w:p>
    <w:p w14:paraId="280E7E8C" w14:textId="77777777" w:rsidR="0059627B" w:rsidRDefault="007B1972">
      <w:pPr>
        <w:pBdr>
          <w:top w:val="nil"/>
          <w:left w:val="nil"/>
          <w:bottom w:val="nil"/>
          <w:right w:val="nil"/>
          <w:between w:val="nil"/>
        </w:pBdr>
        <w:spacing w:line="360" w:lineRule="auto"/>
        <w:ind w:left="720" w:hanging="720"/>
        <w:rPr>
          <w:sz w:val="28"/>
          <w:szCs w:val="28"/>
        </w:rPr>
      </w:pPr>
      <w:proofErr w:type="spellStart"/>
      <w:r>
        <w:rPr>
          <w:color w:val="000000"/>
        </w:rPr>
        <w:t>Pellicano</w:t>
      </w:r>
      <w:proofErr w:type="spellEnd"/>
      <w:r>
        <w:rPr>
          <w:color w:val="000000"/>
        </w:rPr>
        <w:t xml:space="preserve">, E., Brett, S., den Houting, </w:t>
      </w:r>
      <w:r>
        <w:rPr>
          <w:color w:val="000000"/>
        </w:rPr>
        <w:t xml:space="preserve">J., Heyworth, M., </w:t>
      </w:r>
      <w:proofErr w:type="spellStart"/>
      <w:r>
        <w:rPr>
          <w:color w:val="000000"/>
        </w:rPr>
        <w:t>Magiati</w:t>
      </w:r>
      <w:proofErr w:type="spellEnd"/>
      <w:r>
        <w:rPr>
          <w:color w:val="000000"/>
        </w:rPr>
        <w:t xml:space="preserve">, I., Steward, R., ... &amp; </w:t>
      </w:r>
      <w:proofErr w:type="spellStart"/>
      <w:r>
        <w:rPr>
          <w:color w:val="000000"/>
        </w:rPr>
        <w:t>Stears</w:t>
      </w:r>
      <w:proofErr w:type="spellEnd"/>
      <w:r>
        <w:rPr>
          <w:color w:val="000000"/>
        </w:rPr>
        <w:t xml:space="preserve">, M. (2021). COVID-19, Social Isolation and the Mental Health of Autistic People and Their Families: A Qualitative Study. Social Isolation and the Mental Health of Autistic People and Their Families: </w:t>
      </w:r>
      <w:r>
        <w:rPr>
          <w:color w:val="000000"/>
        </w:rPr>
        <w:t>A Qualitative Study.  http://dx.doi.org/10.2139/ssrn.3749228</w:t>
      </w:r>
    </w:p>
    <w:p w14:paraId="4F199B5F" w14:textId="77777777" w:rsidR="0059627B" w:rsidRDefault="007B1972">
      <w:pPr>
        <w:pBdr>
          <w:top w:val="nil"/>
          <w:left w:val="nil"/>
          <w:bottom w:val="nil"/>
          <w:right w:val="nil"/>
          <w:between w:val="nil"/>
        </w:pBdr>
        <w:spacing w:line="360" w:lineRule="auto"/>
        <w:ind w:left="720" w:hanging="720"/>
        <w:rPr>
          <w:color w:val="000000"/>
        </w:rPr>
      </w:pPr>
      <w:proofErr w:type="spellStart"/>
      <w:r>
        <w:rPr>
          <w:color w:val="000000"/>
        </w:rPr>
        <w:t>Pisula</w:t>
      </w:r>
      <w:proofErr w:type="spellEnd"/>
      <w:r>
        <w:rPr>
          <w:color w:val="000000"/>
        </w:rPr>
        <w:t xml:space="preserve">, E. (2007). A Comparative Study of Stress Profiles in Mothers of Children with Autism and those of Children with Down's Syndrome. </w:t>
      </w:r>
      <w:r>
        <w:rPr>
          <w:i/>
          <w:color w:val="000000"/>
        </w:rPr>
        <w:t>Journal of Applied Research in Intellectual Disabilities</w:t>
      </w:r>
      <w:r>
        <w:rPr>
          <w:color w:val="000000"/>
        </w:rPr>
        <w:t>,</w:t>
      </w:r>
      <w:r>
        <w:rPr>
          <w:i/>
          <w:color w:val="000000"/>
        </w:rPr>
        <w:t xml:space="preserve"> </w:t>
      </w:r>
      <w:r>
        <w:rPr>
          <w:i/>
          <w:color w:val="000000"/>
        </w:rPr>
        <w:t>20</w:t>
      </w:r>
      <w:r>
        <w:rPr>
          <w:color w:val="000000"/>
        </w:rPr>
        <w:t xml:space="preserve">(3), 274-278. </w:t>
      </w:r>
      <w:hyperlink r:id="rId26">
        <w:r>
          <w:rPr>
            <w:color w:val="000000"/>
            <w:u w:val="single"/>
          </w:rPr>
          <w:t>https://doi.org/https://doi.org/10.1111/j.1468-3148.2006.00342.x</w:t>
        </w:r>
      </w:hyperlink>
      <w:r>
        <w:rPr>
          <w:color w:val="000000"/>
        </w:rPr>
        <w:t xml:space="preserve"> </w:t>
      </w:r>
    </w:p>
    <w:p w14:paraId="246A758A" w14:textId="77777777" w:rsidR="0059627B" w:rsidRDefault="007B1972">
      <w:pPr>
        <w:pBdr>
          <w:top w:val="nil"/>
          <w:left w:val="nil"/>
          <w:bottom w:val="nil"/>
          <w:right w:val="nil"/>
          <w:between w:val="nil"/>
        </w:pBdr>
        <w:spacing w:line="360" w:lineRule="auto"/>
        <w:ind w:left="720" w:hanging="720"/>
        <w:rPr>
          <w:color w:val="000000"/>
        </w:rPr>
      </w:pPr>
      <w:proofErr w:type="spellStart"/>
      <w:r>
        <w:rPr>
          <w:color w:val="000000"/>
        </w:rPr>
        <w:t>Saldaña</w:t>
      </w:r>
      <w:proofErr w:type="spellEnd"/>
      <w:r>
        <w:rPr>
          <w:color w:val="000000"/>
        </w:rPr>
        <w:t xml:space="preserve">, J. (2003). </w:t>
      </w:r>
      <w:r>
        <w:rPr>
          <w:i/>
          <w:color w:val="000000"/>
        </w:rPr>
        <w:t xml:space="preserve">Longitudinal qualitative research: </w:t>
      </w:r>
      <w:proofErr w:type="spellStart"/>
      <w:r>
        <w:rPr>
          <w:i/>
          <w:color w:val="000000"/>
        </w:rPr>
        <w:t>Analyzing</w:t>
      </w:r>
      <w:proofErr w:type="spellEnd"/>
      <w:r>
        <w:rPr>
          <w:i/>
          <w:color w:val="000000"/>
        </w:rPr>
        <w:t xml:space="preserve"> change through time.</w:t>
      </w:r>
      <w:r>
        <w:rPr>
          <w:color w:val="000000"/>
        </w:rPr>
        <w:t xml:space="preserve"> </w:t>
      </w:r>
      <w:proofErr w:type="spellStart"/>
      <w:r>
        <w:rPr>
          <w:color w:val="000000"/>
        </w:rPr>
        <w:t>AltaMira</w:t>
      </w:r>
      <w:proofErr w:type="spellEnd"/>
      <w:r>
        <w:rPr>
          <w:color w:val="000000"/>
        </w:rPr>
        <w:t xml:space="preserve"> Press. </w:t>
      </w:r>
    </w:p>
    <w:p w14:paraId="232BE36F" w14:textId="6497CECA" w:rsidR="0059627B" w:rsidRPr="00976DFD" w:rsidRDefault="007B1972">
      <w:pPr>
        <w:pBdr>
          <w:top w:val="nil"/>
          <w:left w:val="nil"/>
          <w:bottom w:val="nil"/>
          <w:right w:val="nil"/>
          <w:between w:val="nil"/>
        </w:pBdr>
        <w:spacing w:line="360" w:lineRule="auto"/>
        <w:ind w:left="720" w:hanging="720"/>
        <w:rPr>
          <w:color w:val="000000"/>
        </w:rPr>
      </w:pPr>
      <w:r>
        <w:rPr>
          <w:color w:val="000000"/>
        </w:rPr>
        <w:lastRenderedPageBreak/>
        <w:t xml:space="preserve">South, M., &amp; Rodgers, J. (2017). Sensory, emotional and cognitive contributions to anxiety in autism spectrum disorders. Frontiers in human neuroscience, 11: 20. </w:t>
      </w:r>
      <w:hyperlink r:id="rId27">
        <w:r w:rsidRPr="00976DFD">
          <w:rPr>
            <w:color w:val="000000"/>
          </w:rPr>
          <w:t>https://doi.org/10.3389/fnhum.2017.00020</w:t>
        </w:r>
      </w:hyperlink>
    </w:p>
    <w:p w14:paraId="2EE4FF6A" w14:textId="58936CC2" w:rsidR="00976DFD" w:rsidRPr="00976DFD" w:rsidRDefault="00976DFD">
      <w:pPr>
        <w:pBdr>
          <w:top w:val="nil"/>
          <w:left w:val="nil"/>
          <w:bottom w:val="nil"/>
          <w:right w:val="nil"/>
          <w:between w:val="nil"/>
        </w:pBdr>
        <w:spacing w:line="360" w:lineRule="auto"/>
        <w:ind w:left="720" w:hanging="720"/>
        <w:rPr>
          <w:color w:val="000000"/>
        </w:rPr>
      </w:pPr>
      <w:r w:rsidRPr="00976DFD">
        <w:rPr>
          <w:color w:val="000000"/>
        </w:rPr>
        <w:t xml:space="preserve">Toseeb, U., &amp; Asbury, K. (2022). A Longitudinal Study of the Mental Health of Autistic Children and Adolescents and their Parents during COVID-19: Part 1, Quantitative Findings. </w:t>
      </w:r>
      <w:r w:rsidRPr="00976DFD">
        <w:rPr>
          <w:i/>
          <w:iCs/>
          <w:color w:val="000000"/>
        </w:rPr>
        <w:t>Autism</w:t>
      </w:r>
      <w:r w:rsidRPr="00976DFD">
        <w:rPr>
          <w:color w:val="000000"/>
        </w:rPr>
        <w:t xml:space="preserve">. </w:t>
      </w:r>
      <w:hyperlink r:id="rId28" w:history="1">
        <w:r w:rsidRPr="00976DFD">
          <w:rPr>
            <w:color w:val="000000"/>
          </w:rPr>
          <w:t>https://doi.org/10.1177/13623613221082715</w:t>
        </w:r>
      </w:hyperlink>
    </w:p>
    <w:p w14:paraId="65C0EAEB" w14:textId="77777777" w:rsidR="0059627B" w:rsidRDefault="007B1972">
      <w:pPr>
        <w:pBdr>
          <w:top w:val="nil"/>
          <w:left w:val="nil"/>
          <w:bottom w:val="nil"/>
          <w:right w:val="nil"/>
          <w:between w:val="nil"/>
        </w:pBdr>
        <w:spacing w:line="360" w:lineRule="auto"/>
        <w:ind w:left="720" w:hanging="720"/>
        <w:rPr>
          <w:color w:val="222222"/>
          <w:highlight w:val="white"/>
        </w:rPr>
      </w:pPr>
      <w:r>
        <w:rPr>
          <w:color w:val="000000"/>
        </w:rPr>
        <w:t xml:space="preserve">van </w:t>
      </w:r>
      <w:proofErr w:type="spellStart"/>
      <w:r>
        <w:rPr>
          <w:color w:val="000000"/>
        </w:rPr>
        <w:t>Steensel</w:t>
      </w:r>
      <w:proofErr w:type="spellEnd"/>
      <w:r>
        <w:rPr>
          <w:color w:val="000000"/>
        </w:rPr>
        <w:t xml:space="preserve">, F. J., </w:t>
      </w:r>
      <w:proofErr w:type="spellStart"/>
      <w:r>
        <w:rPr>
          <w:color w:val="000000"/>
        </w:rPr>
        <w:t>Bögels</w:t>
      </w:r>
      <w:proofErr w:type="spellEnd"/>
      <w:r>
        <w:rPr>
          <w:color w:val="000000"/>
        </w:rPr>
        <w:t>, S. M., &amp; Dirksen, C. D. (2012). Anxiety and quality of life: Clinically anxious children with and without autism spectrum disorders compa</w:t>
      </w:r>
      <w:r>
        <w:rPr>
          <w:color w:val="000000"/>
        </w:rPr>
        <w:t xml:space="preserve">red. Journal of Clinical Child &amp; Adolescent Psychology, 41(6), 731-738.  </w:t>
      </w:r>
      <w:hyperlink r:id="rId29">
        <w:r>
          <w:rPr>
            <w:color w:val="000000"/>
          </w:rPr>
          <w:t>https://doi.org/10.1080/15374416.2012.698725</w:t>
        </w:r>
      </w:hyperlink>
    </w:p>
    <w:p w14:paraId="35013228" w14:textId="77777777" w:rsidR="0059627B" w:rsidRDefault="007B1972">
      <w:pPr>
        <w:pBdr>
          <w:top w:val="nil"/>
          <w:left w:val="nil"/>
          <w:bottom w:val="nil"/>
          <w:right w:val="nil"/>
          <w:between w:val="nil"/>
        </w:pBdr>
        <w:spacing w:line="360" w:lineRule="auto"/>
        <w:ind w:left="720" w:hanging="720"/>
        <w:rPr>
          <w:color w:val="000000"/>
        </w:rPr>
      </w:pPr>
      <w:r>
        <w:rPr>
          <w:color w:val="000000"/>
        </w:rPr>
        <w:t xml:space="preserve">van </w:t>
      </w:r>
      <w:proofErr w:type="spellStart"/>
      <w:r>
        <w:rPr>
          <w:color w:val="000000"/>
        </w:rPr>
        <w:t>Steensel</w:t>
      </w:r>
      <w:proofErr w:type="spellEnd"/>
      <w:r>
        <w:rPr>
          <w:color w:val="000000"/>
        </w:rPr>
        <w:t xml:space="preserve">, F. J. A., </w:t>
      </w:r>
      <w:proofErr w:type="spellStart"/>
      <w:r>
        <w:rPr>
          <w:color w:val="000000"/>
        </w:rPr>
        <w:t>Bogels</w:t>
      </w:r>
      <w:proofErr w:type="spellEnd"/>
      <w:r>
        <w:rPr>
          <w:color w:val="000000"/>
        </w:rPr>
        <w:t>, S. M., &amp; Perrin, S. (2011). Anxiety disord</w:t>
      </w:r>
      <w:r>
        <w:rPr>
          <w:color w:val="000000"/>
        </w:rPr>
        <w:t xml:space="preserve">ers in children and adolescents with autistic spectrum disorders: A meta-analysis. </w:t>
      </w:r>
      <w:r>
        <w:rPr>
          <w:i/>
          <w:color w:val="000000"/>
        </w:rPr>
        <w:t>Clinical Child and Family Psychology Review</w:t>
      </w:r>
      <w:r>
        <w:rPr>
          <w:color w:val="000000"/>
        </w:rPr>
        <w:t>,</w:t>
      </w:r>
      <w:r>
        <w:rPr>
          <w:i/>
          <w:color w:val="000000"/>
        </w:rPr>
        <w:t xml:space="preserve"> 14</w:t>
      </w:r>
      <w:r>
        <w:rPr>
          <w:color w:val="000000"/>
        </w:rPr>
        <w:t xml:space="preserve">(3), 302-317. </w:t>
      </w:r>
      <w:hyperlink r:id="rId30">
        <w:r>
          <w:rPr>
            <w:color w:val="000000"/>
            <w:u w:val="single"/>
          </w:rPr>
          <w:t>https://doi.org/10.1007/s10567-011-0097-0</w:t>
        </w:r>
      </w:hyperlink>
      <w:r>
        <w:rPr>
          <w:color w:val="000000"/>
        </w:rPr>
        <w:t xml:space="preserve"> </w:t>
      </w:r>
    </w:p>
    <w:p w14:paraId="09EDFAE2" w14:textId="77777777" w:rsidR="0059627B" w:rsidRDefault="007B1972">
      <w:pPr>
        <w:pBdr>
          <w:top w:val="nil"/>
          <w:left w:val="nil"/>
          <w:bottom w:val="nil"/>
          <w:right w:val="nil"/>
          <w:between w:val="nil"/>
        </w:pBdr>
        <w:spacing w:line="360" w:lineRule="auto"/>
        <w:ind w:left="720" w:hanging="720"/>
        <w:sectPr w:rsidR="0059627B">
          <w:pgSz w:w="11909" w:h="16834"/>
          <w:pgMar w:top="1440" w:right="1440" w:bottom="1440" w:left="1440" w:header="720" w:footer="720" w:gutter="0"/>
          <w:cols w:space="720"/>
        </w:sectPr>
      </w:pPr>
      <w:r>
        <w:rPr>
          <w:color w:val="000000"/>
        </w:rPr>
        <w:t>Woo</w:t>
      </w:r>
      <w:r>
        <w:rPr>
          <w:color w:val="000000"/>
        </w:rPr>
        <w:t xml:space="preserve">d, J. J., &amp; </w:t>
      </w:r>
      <w:proofErr w:type="spellStart"/>
      <w:r>
        <w:rPr>
          <w:color w:val="000000"/>
        </w:rPr>
        <w:t>Gadow</w:t>
      </w:r>
      <w:proofErr w:type="spellEnd"/>
      <w:r>
        <w:rPr>
          <w:color w:val="000000"/>
        </w:rPr>
        <w:t xml:space="preserve">, K. D. (2010). Exploring the nature and function of anxiety in youth with autism spectrum disorders. Clinical Psychology: Science and Practice, 17(4), 281.  </w:t>
      </w:r>
      <w:hyperlink r:id="rId31">
        <w:r>
          <w:rPr>
            <w:color w:val="000000"/>
          </w:rPr>
          <w:t>h</w:t>
        </w:r>
        <w:r>
          <w:rPr>
            <w:color w:val="000000"/>
          </w:rPr>
          <w:t>ttps://doi.org/10.1111/j.1468-2850.2010.01220.x</w:t>
        </w:r>
      </w:hyperlink>
    </w:p>
    <w:p w14:paraId="09BE551F" w14:textId="77777777" w:rsidR="0059627B" w:rsidRDefault="007B1972">
      <w:pPr>
        <w:spacing w:line="480" w:lineRule="auto"/>
        <w:rPr>
          <w:b/>
          <w:color w:val="000000"/>
        </w:rPr>
        <w:sectPr w:rsidR="0059627B">
          <w:pgSz w:w="16834" w:h="11909" w:orient="landscape"/>
          <w:pgMar w:top="1440" w:right="1440" w:bottom="1440" w:left="1440" w:header="720" w:footer="720" w:gutter="0"/>
          <w:cols w:space="720"/>
        </w:sectPr>
      </w:pPr>
      <w:r>
        <w:rPr>
          <w:b/>
          <w:noProof/>
          <w:color w:val="000000"/>
        </w:rPr>
        <w:lastRenderedPageBreak/>
        <w:drawing>
          <wp:inline distT="114300" distB="114300" distL="114300" distR="114300" wp14:anchorId="5987A5E8" wp14:editId="43F4A094">
            <wp:extent cx="8863200" cy="4991100"/>
            <wp:effectExtent l="0" t="0" r="0" b="0"/>
            <wp:docPr id="4" name="image1.jp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Diagram&#10;&#10;Description automatically generated"/>
                    <pic:cNvPicPr preferRelativeResize="0"/>
                  </pic:nvPicPr>
                  <pic:blipFill>
                    <a:blip r:embed="rId32"/>
                    <a:srcRect/>
                    <a:stretch>
                      <a:fillRect/>
                    </a:stretch>
                  </pic:blipFill>
                  <pic:spPr>
                    <a:xfrm>
                      <a:off x="0" y="0"/>
                      <a:ext cx="8863200" cy="4991100"/>
                    </a:xfrm>
                    <a:prstGeom prst="rect">
                      <a:avLst/>
                    </a:prstGeom>
                    <a:ln/>
                  </pic:spPr>
                </pic:pic>
              </a:graphicData>
            </a:graphic>
          </wp:inline>
        </w:drawing>
      </w:r>
    </w:p>
    <w:p w14:paraId="65D42F65" w14:textId="77777777" w:rsidR="0059627B" w:rsidRDefault="007B1972">
      <w:pPr>
        <w:spacing w:line="480" w:lineRule="auto"/>
        <w:rPr>
          <w:b/>
          <w:color w:val="000000"/>
        </w:rPr>
      </w:pPr>
      <w:r>
        <w:rPr>
          <w:b/>
          <w:color w:val="000000"/>
        </w:rPr>
        <w:lastRenderedPageBreak/>
        <w:t>Table 1</w:t>
      </w:r>
    </w:p>
    <w:p w14:paraId="182B2B2F" w14:textId="77777777" w:rsidR="0059627B" w:rsidRDefault="007B1972">
      <w:pPr>
        <w:spacing w:line="480" w:lineRule="auto"/>
        <w:rPr>
          <w:i/>
          <w:color w:val="000000"/>
        </w:rPr>
      </w:pPr>
      <w:r>
        <w:rPr>
          <w:i/>
          <w:color w:val="000000"/>
        </w:rPr>
        <w:t xml:space="preserve">Inter-rater reliability at all four timepoints, organised by category </w:t>
      </w:r>
    </w:p>
    <w:tbl>
      <w:tblPr>
        <w:tblStyle w:val="a5"/>
        <w:tblW w:w="6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3"/>
        <w:gridCol w:w="795"/>
        <w:gridCol w:w="795"/>
        <w:gridCol w:w="795"/>
        <w:gridCol w:w="795"/>
      </w:tblGrid>
      <w:tr w:rsidR="0059627B" w14:paraId="5F370585" w14:textId="77777777">
        <w:tc>
          <w:tcPr>
            <w:tcW w:w="3253" w:type="dxa"/>
            <w:tcBorders>
              <w:top w:val="single" w:sz="4" w:space="0" w:color="000000"/>
              <w:bottom w:val="single" w:sz="4" w:space="0" w:color="000000"/>
            </w:tcBorders>
          </w:tcPr>
          <w:p w14:paraId="4B24565B" w14:textId="77777777" w:rsidR="0059627B" w:rsidRDefault="007B1972">
            <w:pPr>
              <w:rPr>
                <w:b/>
                <w:color w:val="000000"/>
              </w:rPr>
            </w:pPr>
            <w:r>
              <w:rPr>
                <w:b/>
                <w:color w:val="000000"/>
              </w:rPr>
              <w:t>Code</w:t>
            </w:r>
          </w:p>
        </w:tc>
        <w:tc>
          <w:tcPr>
            <w:tcW w:w="795" w:type="dxa"/>
            <w:tcBorders>
              <w:top w:val="single" w:sz="4" w:space="0" w:color="000000"/>
              <w:bottom w:val="single" w:sz="4" w:space="0" w:color="000000"/>
            </w:tcBorders>
          </w:tcPr>
          <w:p w14:paraId="4C11C84F" w14:textId="77777777" w:rsidR="0059627B" w:rsidRDefault="007B1972">
            <w:pPr>
              <w:jc w:val="center"/>
              <w:rPr>
                <w:b/>
                <w:color w:val="000000"/>
              </w:rPr>
            </w:pPr>
            <w:r>
              <w:rPr>
                <w:b/>
                <w:color w:val="000000"/>
              </w:rPr>
              <w:t>Time 1</w:t>
            </w:r>
          </w:p>
        </w:tc>
        <w:tc>
          <w:tcPr>
            <w:tcW w:w="795" w:type="dxa"/>
            <w:tcBorders>
              <w:top w:val="single" w:sz="4" w:space="0" w:color="000000"/>
              <w:bottom w:val="single" w:sz="4" w:space="0" w:color="000000"/>
            </w:tcBorders>
          </w:tcPr>
          <w:p w14:paraId="613E6413" w14:textId="77777777" w:rsidR="0059627B" w:rsidRDefault="007B1972">
            <w:pPr>
              <w:jc w:val="center"/>
              <w:rPr>
                <w:b/>
                <w:color w:val="000000"/>
              </w:rPr>
            </w:pPr>
            <w:r>
              <w:rPr>
                <w:b/>
                <w:color w:val="000000"/>
              </w:rPr>
              <w:t>Time 2</w:t>
            </w:r>
          </w:p>
        </w:tc>
        <w:tc>
          <w:tcPr>
            <w:tcW w:w="795" w:type="dxa"/>
            <w:tcBorders>
              <w:top w:val="single" w:sz="4" w:space="0" w:color="000000"/>
              <w:bottom w:val="single" w:sz="4" w:space="0" w:color="000000"/>
            </w:tcBorders>
          </w:tcPr>
          <w:p w14:paraId="319223E4" w14:textId="77777777" w:rsidR="0059627B" w:rsidRDefault="007B1972">
            <w:pPr>
              <w:jc w:val="center"/>
              <w:rPr>
                <w:b/>
                <w:color w:val="000000"/>
              </w:rPr>
            </w:pPr>
            <w:r>
              <w:rPr>
                <w:b/>
                <w:color w:val="000000"/>
              </w:rPr>
              <w:t>Time 3</w:t>
            </w:r>
          </w:p>
        </w:tc>
        <w:tc>
          <w:tcPr>
            <w:tcW w:w="795" w:type="dxa"/>
            <w:tcBorders>
              <w:top w:val="single" w:sz="4" w:space="0" w:color="000000"/>
              <w:bottom w:val="single" w:sz="4" w:space="0" w:color="000000"/>
            </w:tcBorders>
          </w:tcPr>
          <w:p w14:paraId="4E77A663" w14:textId="77777777" w:rsidR="0059627B" w:rsidRDefault="007B1972">
            <w:pPr>
              <w:jc w:val="center"/>
              <w:rPr>
                <w:b/>
                <w:color w:val="000000"/>
              </w:rPr>
            </w:pPr>
            <w:r>
              <w:rPr>
                <w:b/>
                <w:color w:val="000000"/>
              </w:rPr>
              <w:t>Time 4</w:t>
            </w:r>
          </w:p>
        </w:tc>
      </w:tr>
      <w:tr w:rsidR="0059627B" w14:paraId="1E0EEB2A" w14:textId="77777777">
        <w:tc>
          <w:tcPr>
            <w:tcW w:w="3253" w:type="dxa"/>
            <w:tcBorders>
              <w:top w:val="single" w:sz="4" w:space="0" w:color="000000"/>
            </w:tcBorders>
          </w:tcPr>
          <w:p w14:paraId="5CDBAC30" w14:textId="77777777" w:rsidR="0059627B" w:rsidRDefault="007B1972">
            <w:pPr>
              <w:rPr>
                <w:b/>
                <w:color w:val="000000"/>
              </w:rPr>
            </w:pPr>
            <w:r>
              <w:rPr>
                <w:b/>
                <w:color w:val="000000"/>
              </w:rPr>
              <w:t>Worry</w:t>
            </w:r>
          </w:p>
        </w:tc>
        <w:tc>
          <w:tcPr>
            <w:tcW w:w="795" w:type="dxa"/>
            <w:tcBorders>
              <w:top w:val="single" w:sz="4" w:space="0" w:color="000000"/>
            </w:tcBorders>
          </w:tcPr>
          <w:p w14:paraId="7269845A" w14:textId="77777777" w:rsidR="0059627B" w:rsidRDefault="0059627B">
            <w:pPr>
              <w:jc w:val="center"/>
              <w:rPr>
                <w:color w:val="000000"/>
              </w:rPr>
            </w:pPr>
          </w:p>
        </w:tc>
        <w:tc>
          <w:tcPr>
            <w:tcW w:w="795" w:type="dxa"/>
            <w:tcBorders>
              <w:top w:val="single" w:sz="4" w:space="0" w:color="000000"/>
            </w:tcBorders>
          </w:tcPr>
          <w:p w14:paraId="55076582" w14:textId="77777777" w:rsidR="0059627B" w:rsidRDefault="0059627B">
            <w:pPr>
              <w:jc w:val="center"/>
              <w:rPr>
                <w:color w:val="000000"/>
              </w:rPr>
            </w:pPr>
          </w:p>
        </w:tc>
        <w:tc>
          <w:tcPr>
            <w:tcW w:w="795" w:type="dxa"/>
            <w:tcBorders>
              <w:top w:val="single" w:sz="4" w:space="0" w:color="000000"/>
            </w:tcBorders>
          </w:tcPr>
          <w:p w14:paraId="17CE0CF6" w14:textId="77777777" w:rsidR="0059627B" w:rsidRDefault="0059627B">
            <w:pPr>
              <w:jc w:val="center"/>
              <w:rPr>
                <w:color w:val="000000"/>
              </w:rPr>
            </w:pPr>
          </w:p>
        </w:tc>
        <w:tc>
          <w:tcPr>
            <w:tcW w:w="795" w:type="dxa"/>
            <w:tcBorders>
              <w:top w:val="single" w:sz="4" w:space="0" w:color="000000"/>
            </w:tcBorders>
          </w:tcPr>
          <w:p w14:paraId="56D3FFF3" w14:textId="77777777" w:rsidR="0059627B" w:rsidRDefault="0059627B">
            <w:pPr>
              <w:jc w:val="center"/>
              <w:rPr>
                <w:color w:val="000000"/>
              </w:rPr>
            </w:pPr>
          </w:p>
        </w:tc>
      </w:tr>
      <w:tr w:rsidR="0059627B" w14:paraId="28068285" w14:textId="77777777">
        <w:tc>
          <w:tcPr>
            <w:tcW w:w="3253" w:type="dxa"/>
          </w:tcPr>
          <w:p w14:paraId="3D607496" w14:textId="77777777" w:rsidR="0059627B" w:rsidRDefault="007B1972">
            <w:pPr>
              <w:rPr>
                <w:color w:val="000000"/>
              </w:rPr>
            </w:pPr>
            <w:r>
              <w:rPr>
                <w:color w:val="000000"/>
              </w:rPr>
              <w:t>Anxiety (P)</w:t>
            </w:r>
          </w:p>
        </w:tc>
        <w:tc>
          <w:tcPr>
            <w:tcW w:w="795" w:type="dxa"/>
          </w:tcPr>
          <w:p w14:paraId="38657F86" w14:textId="77777777" w:rsidR="0059627B" w:rsidRDefault="007B1972">
            <w:pPr>
              <w:jc w:val="center"/>
              <w:rPr>
                <w:color w:val="000000"/>
              </w:rPr>
            </w:pPr>
            <w:r>
              <w:rPr>
                <w:color w:val="000000"/>
              </w:rPr>
              <w:t>.79</w:t>
            </w:r>
          </w:p>
        </w:tc>
        <w:tc>
          <w:tcPr>
            <w:tcW w:w="795" w:type="dxa"/>
          </w:tcPr>
          <w:p w14:paraId="28DA1A23" w14:textId="77777777" w:rsidR="0059627B" w:rsidRDefault="007B1972">
            <w:pPr>
              <w:jc w:val="center"/>
              <w:rPr>
                <w:color w:val="000000"/>
              </w:rPr>
            </w:pPr>
            <w:r>
              <w:rPr>
                <w:color w:val="000000"/>
              </w:rPr>
              <w:t>.88</w:t>
            </w:r>
          </w:p>
        </w:tc>
        <w:tc>
          <w:tcPr>
            <w:tcW w:w="795" w:type="dxa"/>
          </w:tcPr>
          <w:p w14:paraId="52297E1D" w14:textId="77777777" w:rsidR="0059627B" w:rsidRDefault="007B1972">
            <w:pPr>
              <w:jc w:val="center"/>
              <w:rPr>
                <w:color w:val="000000"/>
              </w:rPr>
            </w:pPr>
            <w:r>
              <w:rPr>
                <w:color w:val="000000"/>
              </w:rPr>
              <w:t>.77</w:t>
            </w:r>
          </w:p>
        </w:tc>
        <w:tc>
          <w:tcPr>
            <w:tcW w:w="795" w:type="dxa"/>
          </w:tcPr>
          <w:p w14:paraId="1CD810BA" w14:textId="77777777" w:rsidR="0059627B" w:rsidRDefault="007B1972">
            <w:pPr>
              <w:jc w:val="center"/>
              <w:rPr>
                <w:color w:val="000000"/>
              </w:rPr>
            </w:pPr>
            <w:r>
              <w:rPr>
                <w:color w:val="000000"/>
              </w:rPr>
              <w:t>.87</w:t>
            </w:r>
          </w:p>
        </w:tc>
      </w:tr>
      <w:tr w:rsidR="0059627B" w14:paraId="3833B54A" w14:textId="77777777">
        <w:tc>
          <w:tcPr>
            <w:tcW w:w="3253" w:type="dxa"/>
          </w:tcPr>
          <w:p w14:paraId="1CC9DEB8" w14:textId="77777777" w:rsidR="0059627B" w:rsidRDefault="007B1972">
            <w:pPr>
              <w:rPr>
                <w:color w:val="000000"/>
              </w:rPr>
            </w:pPr>
            <w:r>
              <w:rPr>
                <w:color w:val="000000"/>
              </w:rPr>
              <w:t>Anxiety (C)</w:t>
            </w:r>
          </w:p>
        </w:tc>
        <w:tc>
          <w:tcPr>
            <w:tcW w:w="795" w:type="dxa"/>
          </w:tcPr>
          <w:p w14:paraId="0771E761" w14:textId="77777777" w:rsidR="0059627B" w:rsidRDefault="007B1972">
            <w:pPr>
              <w:jc w:val="center"/>
              <w:rPr>
                <w:color w:val="000000"/>
              </w:rPr>
            </w:pPr>
            <w:r>
              <w:rPr>
                <w:color w:val="000000"/>
              </w:rPr>
              <w:t>.74</w:t>
            </w:r>
          </w:p>
        </w:tc>
        <w:tc>
          <w:tcPr>
            <w:tcW w:w="795" w:type="dxa"/>
          </w:tcPr>
          <w:p w14:paraId="37C61FFF" w14:textId="77777777" w:rsidR="0059627B" w:rsidRDefault="007B1972">
            <w:pPr>
              <w:jc w:val="center"/>
              <w:rPr>
                <w:color w:val="000000"/>
              </w:rPr>
            </w:pPr>
            <w:r>
              <w:rPr>
                <w:color w:val="000000"/>
              </w:rPr>
              <w:t>.79</w:t>
            </w:r>
          </w:p>
        </w:tc>
        <w:tc>
          <w:tcPr>
            <w:tcW w:w="795" w:type="dxa"/>
          </w:tcPr>
          <w:p w14:paraId="46C65679" w14:textId="77777777" w:rsidR="0059627B" w:rsidRDefault="007B1972">
            <w:pPr>
              <w:jc w:val="center"/>
              <w:rPr>
                <w:color w:val="000000"/>
              </w:rPr>
            </w:pPr>
            <w:r>
              <w:rPr>
                <w:color w:val="000000"/>
              </w:rPr>
              <w:t>.86</w:t>
            </w:r>
          </w:p>
        </w:tc>
        <w:tc>
          <w:tcPr>
            <w:tcW w:w="795" w:type="dxa"/>
          </w:tcPr>
          <w:p w14:paraId="41F03BD2" w14:textId="77777777" w:rsidR="0059627B" w:rsidRDefault="007B1972">
            <w:pPr>
              <w:jc w:val="center"/>
              <w:rPr>
                <w:color w:val="000000"/>
              </w:rPr>
            </w:pPr>
            <w:r>
              <w:rPr>
                <w:color w:val="000000"/>
              </w:rPr>
              <w:t>.78</w:t>
            </w:r>
          </w:p>
        </w:tc>
      </w:tr>
      <w:tr w:rsidR="0059627B" w14:paraId="61221C10" w14:textId="77777777">
        <w:tc>
          <w:tcPr>
            <w:tcW w:w="3253" w:type="dxa"/>
          </w:tcPr>
          <w:p w14:paraId="32BEB518" w14:textId="77777777" w:rsidR="0059627B" w:rsidRDefault="007B1972">
            <w:pPr>
              <w:rPr>
                <w:color w:val="000000"/>
              </w:rPr>
            </w:pPr>
            <w:r>
              <w:rPr>
                <w:color w:val="000000"/>
              </w:rPr>
              <w:t>Fear (P)</w:t>
            </w:r>
          </w:p>
        </w:tc>
        <w:tc>
          <w:tcPr>
            <w:tcW w:w="795" w:type="dxa"/>
          </w:tcPr>
          <w:p w14:paraId="5936320F" w14:textId="77777777" w:rsidR="0059627B" w:rsidRDefault="007B1972">
            <w:pPr>
              <w:jc w:val="center"/>
              <w:rPr>
                <w:color w:val="000000"/>
              </w:rPr>
            </w:pPr>
            <w:r>
              <w:rPr>
                <w:color w:val="000000"/>
              </w:rPr>
              <w:t>.85</w:t>
            </w:r>
          </w:p>
        </w:tc>
        <w:tc>
          <w:tcPr>
            <w:tcW w:w="795" w:type="dxa"/>
          </w:tcPr>
          <w:p w14:paraId="0F2B4936" w14:textId="77777777" w:rsidR="0059627B" w:rsidRDefault="007B1972">
            <w:pPr>
              <w:jc w:val="center"/>
              <w:rPr>
                <w:color w:val="000000"/>
              </w:rPr>
            </w:pPr>
            <w:r>
              <w:rPr>
                <w:color w:val="000000"/>
              </w:rPr>
              <w:t>.79</w:t>
            </w:r>
          </w:p>
        </w:tc>
        <w:tc>
          <w:tcPr>
            <w:tcW w:w="795" w:type="dxa"/>
          </w:tcPr>
          <w:p w14:paraId="0AA45557" w14:textId="77777777" w:rsidR="0059627B" w:rsidRDefault="007B1972">
            <w:pPr>
              <w:jc w:val="center"/>
              <w:rPr>
                <w:color w:val="000000"/>
              </w:rPr>
            </w:pPr>
            <w:r>
              <w:rPr>
                <w:color w:val="000000"/>
              </w:rPr>
              <w:t>1</w:t>
            </w:r>
          </w:p>
        </w:tc>
        <w:tc>
          <w:tcPr>
            <w:tcW w:w="795" w:type="dxa"/>
          </w:tcPr>
          <w:p w14:paraId="5D6AB156" w14:textId="77777777" w:rsidR="0059627B" w:rsidRDefault="007B1972">
            <w:pPr>
              <w:jc w:val="center"/>
              <w:rPr>
                <w:color w:val="000000"/>
              </w:rPr>
            </w:pPr>
            <w:r>
              <w:rPr>
                <w:color w:val="000000"/>
              </w:rPr>
              <w:t>1</w:t>
            </w:r>
          </w:p>
        </w:tc>
      </w:tr>
      <w:tr w:rsidR="0059627B" w14:paraId="30008992" w14:textId="77777777">
        <w:tc>
          <w:tcPr>
            <w:tcW w:w="3253" w:type="dxa"/>
          </w:tcPr>
          <w:p w14:paraId="749B7A42" w14:textId="77777777" w:rsidR="0059627B" w:rsidRDefault="007B1972">
            <w:pPr>
              <w:rPr>
                <w:color w:val="000000"/>
              </w:rPr>
            </w:pPr>
            <w:r>
              <w:rPr>
                <w:color w:val="000000"/>
              </w:rPr>
              <w:t>Fear (C)</w:t>
            </w:r>
          </w:p>
        </w:tc>
        <w:tc>
          <w:tcPr>
            <w:tcW w:w="795" w:type="dxa"/>
          </w:tcPr>
          <w:p w14:paraId="0BAE3E20" w14:textId="77777777" w:rsidR="0059627B" w:rsidRDefault="007B1972">
            <w:pPr>
              <w:jc w:val="center"/>
              <w:rPr>
                <w:color w:val="000000"/>
              </w:rPr>
            </w:pPr>
            <w:r>
              <w:rPr>
                <w:color w:val="000000"/>
              </w:rPr>
              <w:t>.91</w:t>
            </w:r>
          </w:p>
        </w:tc>
        <w:tc>
          <w:tcPr>
            <w:tcW w:w="795" w:type="dxa"/>
          </w:tcPr>
          <w:p w14:paraId="369206C0" w14:textId="77777777" w:rsidR="0059627B" w:rsidRDefault="007B1972">
            <w:pPr>
              <w:jc w:val="center"/>
              <w:rPr>
                <w:color w:val="000000"/>
              </w:rPr>
            </w:pPr>
            <w:r>
              <w:rPr>
                <w:color w:val="000000"/>
              </w:rPr>
              <w:t>.84</w:t>
            </w:r>
          </w:p>
        </w:tc>
        <w:tc>
          <w:tcPr>
            <w:tcW w:w="795" w:type="dxa"/>
          </w:tcPr>
          <w:p w14:paraId="1B19C546" w14:textId="77777777" w:rsidR="0059627B" w:rsidRDefault="007B1972">
            <w:pPr>
              <w:jc w:val="center"/>
              <w:rPr>
                <w:color w:val="000000"/>
              </w:rPr>
            </w:pPr>
            <w:r>
              <w:rPr>
                <w:color w:val="000000"/>
              </w:rPr>
              <w:t>.1</w:t>
            </w:r>
          </w:p>
        </w:tc>
        <w:tc>
          <w:tcPr>
            <w:tcW w:w="795" w:type="dxa"/>
          </w:tcPr>
          <w:p w14:paraId="46B1D9E2" w14:textId="77777777" w:rsidR="0059627B" w:rsidRDefault="007B1972">
            <w:pPr>
              <w:jc w:val="center"/>
              <w:rPr>
                <w:color w:val="000000"/>
              </w:rPr>
            </w:pPr>
            <w:r>
              <w:rPr>
                <w:color w:val="000000"/>
              </w:rPr>
              <w:t>.79</w:t>
            </w:r>
          </w:p>
        </w:tc>
      </w:tr>
      <w:tr w:rsidR="0059627B" w14:paraId="70F3D4D4" w14:textId="77777777">
        <w:tc>
          <w:tcPr>
            <w:tcW w:w="3253" w:type="dxa"/>
          </w:tcPr>
          <w:p w14:paraId="1FAA710B" w14:textId="77777777" w:rsidR="0059627B" w:rsidRDefault="007B1972">
            <w:pPr>
              <w:rPr>
                <w:color w:val="000000"/>
              </w:rPr>
            </w:pPr>
            <w:r>
              <w:rPr>
                <w:color w:val="000000"/>
              </w:rPr>
              <w:t>Concern for child’s future (P)</w:t>
            </w:r>
          </w:p>
        </w:tc>
        <w:tc>
          <w:tcPr>
            <w:tcW w:w="795" w:type="dxa"/>
          </w:tcPr>
          <w:p w14:paraId="68BF8604" w14:textId="77777777" w:rsidR="0059627B" w:rsidRDefault="007B1972">
            <w:pPr>
              <w:jc w:val="center"/>
              <w:rPr>
                <w:color w:val="000000"/>
              </w:rPr>
            </w:pPr>
            <w:r>
              <w:rPr>
                <w:color w:val="000000"/>
              </w:rPr>
              <w:t>.81</w:t>
            </w:r>
          </w:p>
        </w:tc>
        <w:tc>
          <w:tcPr>
            <w:tcW w:w="795" w:type="dxa"/>
          </w:tcPr>
          <w:p w14:paraId="16852B2F" w14:textId="77777777" w:rsidR="0059627B" w:rsidRDefault="007B1972">
            <w:pPr>
              <w:jc w:val="center"/>
              <w:rPr>
                <w:color w:val="000000"/>
              </w:rPr>
            </w:pPr>
            <w:r>
              <w:rPr>
                <w:color w:val="000000"/>
              </w:rPr>
              <w:t>.64</w:t>
            </w:r>
          </w:p>
        </w:tc>
        <w:tc>
          <w:tcPr>
            <w:tcW w:w="795" w:type="dxa"/>
          </w:tcPr>
          <w:p w14:paraId="0DD67ADA" w14:textId="77777777" w:rsidR="0059627B" w:rsidRDefault="007B1972">
            <w:pPr>
              <w:jc w:val="center"/>
              <w:rPr>
                <w:color w:val="000000"/>
              </w:rPr>
            </w:pPr>
            <w:r>
              <w:rPr>
                <w:color w:val="000000"/>
              </w:rPr>
              <w:t>.64</w:t>
            </w:r>
          </w:p>
        </w:tc>
        <w:tc>
          <w:tcPr>
            <w:tcW w:w="795" w:type="dxa"/>
          </w:tcPr>
          <w:p w14:paraId="7833A953" w14:textId="77777777" w:rsidR="0059627B" w:rsidRDefault="007B1972">
            <w:pPr>
              <w:jc w:val="center"/>
              <w:rPr>
                <w:color w:val="000000"/>
              </w:rPr>
            </w:pPr>
            <w:r>
              <w:rPr>
                <w:color w:val="000000"/>
              </w:rPr>
              <w:t>1</w:t>
            </w:r>
          </w:p>
        </w:tc>
      </w:tr>
      <w:tr w:rsidR="0059627B" w14:paraId="32E03834" w14:textId="77777777">
        <w:tc>
          <w:tcPr>
            <w:tcW w:w="3253" w:type="dxa"/>
          </w:tcPr>
          <w:p w14:paraId="5538B6A2" w14:textId="77777777" w:rsidR="0059627B" w:rsidRDefault="007B1972">
            <w:pPr>
              <w:rPr>
                <w:color w:val="000000"/>
              </w:rPr>
            </w:pPr>
            <w:r>
              <w:rPr>
                <w:color w:val="000000"/>
              </w:rPr>
              <w:t>Sleep (C)</w:t>
            </w:r>
          </w:p>
        </w:tc>
        <w:tc>
          <w:tcPr>
            <w:tcW w:w="795" w:type="dxa"/>
          </w:tcPr>
          <w:p w14:paraId="7BC35B29" w14:textId="77777777" w:rsidR="0059627B" w:rsidRDefault="007B1972">
            <w:pPr>
              <w:jc w:val="center"/>
              <w:rPr>
                <w:color w:val="000000"/>
              </w:rPr>
            </w:pPr>
            <w:r>
              <w:rPr>
                <w:color w:val="000000"/>
              </w:rPr>
              <w:t>.66</w:t>
            </w:r>
          </w:p>
        </w:tc>
        <w:tc>
          <w:tcPr>
            <w:tcW w:w="795" w:type="dxa"/>
          </w:tcPr>
          <w:p w14:paraId="108D2CD5" w14:textId="77777777" w:rsidR="0059627B" w:rsidRDefault="007B1972">
            <w:pPr>
              <w:jc w:val="center"/>
              <w:rPr>
                <w:color w:val="000000"/>
              </w:rPr>
            </w:pPr>
            <w:r>
              <w:rPr>
                <w:color w:val="000000"/>
              </w:rPr>
              <w:t>.79</w:t>
            </w:r>
          </w:p>
        </w:tc>
        <w:tc>
          <w:tcPr>
            <w:tcW w:w="795" w:type="dxa"/>
          </w:tcPr>
          <w:p w14:paraId="12FDA174" w14:textId="77777777" w:rsidR="0059627B" w:rsidRDefault="007B1972">
            <w:pPr>
              <w:jc w:val="center"/>
              <w:rPr>
                <w:color w:val="000000"/>
              </w:rPr>
            </w:pPr>
            <w:r>
              <w:rPr>
                <w:color w:val="000000"/>
              </w:rPr>
              <w:t>1</w:t>
            </w:r>
          </w:p>
        </w:tc>
        <w:tc>
          <w:tcPr>
            <w:tcW w:w="795" w:type="dxa"/>
          </w:tcPr>
          <w:p w14:paraId="272789DA" w14:textId="77777777" w:rsidR="0059627B" w:rsidRDefault="007B1972">
            <w:pPr>
              <w:jc w:val="center"/>
              <w:rPr>
                <w:color w:val="000000"/>
              </w:rPr>
            </w:pPr>
            <w:r>
              <w:rPr>
                <w:color w:val="000000"/>
              </w:rPr>
              <w:t>1</w:t>
            </w:r>
          </w:p>
        </w:tc>
      </w:tr>
      <w:tr w:rsidR="0059627B" w14:paraId="1546CE3D" w14:textId="77777777">
        <w:tc>
          <w:tcPr>
            <w:tcW w:w="3253" w:type="dxa"/>
          </w:tcPr>
          <w:p w14:paraId="5ED8EBB8" w14:textId="77777777" w:rsidR="0059627B" w:rsidRDefault="007B1972">
            <w:pPr>
              <w:rPr>
                <w:color w:val="000000"/>
              </w:rPr>
            </w:pPr>
            <w:r>
              <w:rPr>
                <w:color w:val="000000"/>
              </w:rPr>
              <w:t>Won’t go outside (C)</w:t>
            </w:r>
          </w:p>
        </w:tc>
        <w:tc>
          <w:tcPr>
            <w:tcW w:w="795" w:type="dxa"/>
          </w:tcPr>
          <w:p w14:paraId="42D7E0F6" w14:textId="77777777" w:rsidR="0059627B" w:rsidRDefault="007B1972">
            <w:pPr>
              <w:jc w:val="center"/>
              <w:rPr>
                <w:color w:val="000000"/>
              </w:rPr>
            </w:pPr>
            <w:r>
              <w:rPr>
                <w:color w:val="000000"/>
              </w:rPr>
              <w:t>1</w:t>
            </w:r>
          </w:p>
        </w:tc>
        <w:tc>
          <w:tcPr>
            <w:tcW w:w="795" w:type="dxa"/>
          </w:tcPr>
          <w:p w14:paraId="6EDE2584" w14:textId="77777777" w:rsidR="0059627B" w:rsidRDefault="007B1972">
            <w:pPr>
              <w:jc w:val="center"/>
              <w:rPr>
                <w:color w:val="000000"/>
              </w:rPr>
            </w:pPr>
            <w:r>
              <w:rPr>
                <w:color w:val="000000"/>
              </w:rPr>
              <w:t>1</w:t>
            </w:r>
          </w:p>
        </w:tc>
        <w:tc>
          <w:tcPr>
            <w:tcW w:w="795" w:type="dxa"/>
          </w:tcPr>
          <w:p w14:paraId="5B522539" w14:textId="77777777" w:rsidR="0059627B" w:rsidRDefault="007B1972">
            <w:pPr>
              <w:jc w:val="center"/>
              <w:rPr>
                <w:color w:val="000000"/>
              </w:rPr>
            </w:pPr>
            <w:r>
              <w:rPr>
                <w:color w:val="000000"/>
              </w:rPr>
              <w:t>1</w:t>
            </w:r>
          </w:p>
        </w:tc>
        <w:tc>
          <w:tcPr>
            <w:tcW w:w="795" w:type="dxa"/>
          </w:tcPr>
          <w:p w14:paraId="796AE7AD" w14:textId="77777777" w:rsidR="0059627B" w:rsidRDefault="007B1972">
            <w:pPr>
              <w:jc w:val="center"/>
              <w:rPr>
                <w:color w:val="000000"/>
              </w:rPr>
            </w:pPr>
            <w:r>
              <w:rPr>
                <w:color w:val="000000"/>
              </w:rPr>
              <w:t>.79</w:t>
            </w:r>
          </w:p>
        </w:tc>
      </w:tr>
      <w:tr w:rsidR="0059627B" w14:paraId="6E6B5D47" w14:textId="77777777">
        <w:tc>
          <w:tcPr>
            <w:tcW w:w="3253" w:type="dxa"/>
          </w:tcPr>
          <w:p w14:paraId="5862AD56" w14:textId="77777777" w:rsidR="0059627B" w:rsidRDefault="007B1972">
            <w:pPr>
              <w:rPr>
                <w:b/>
                <w:color w:val="000000"/>
              </w:rPr>
            </w:pPr>
            <w:r>
              <w:rPr>
                <w:b/>
                <w:color w:val="000000"/>
              </w:rPr>
              <w:t>Psychological Distress</w:t>
            </w:r>
          </w:p>
        </w:tc>
        <w:tc>
          <w:tcPr>
            <w:tcW w:w="795" w:type="dxa"/>
          </w:tcPr>
          <w:p w14:paraId="5CA09867" w14:textId="77777777" w:rsidR="0059627B" w:rsidRDefault="0059627B">
            <w:pPr>
              <w:jc w:val="center"/>
              <w:rPr>
                <w:color w:val="000000"/>
              </w:rPr>
            </w:pPr>
          </w:p>
        </w:tc>
        <w:tc>
          <w:tcPr>
            <w:tcW w:w="795" w:type="dxa"/>
          </w:tcPr>
          <w:p w14:paraId="1803914B" w14:textId="77777777" w:rsidR="0059627B" w:rsidRDefault="0059627B">
            <w:pPr>
              <w:jc w:val="center"/>
              <w:rPr>
                <w:color w:val="000000"/>
              </w:rPr>
            </w:pPr>
          </w:p>
        </w:tc>
        <w:tc>
          <w:tcPr>
            <w:tcW w:w="795" w:type="dxa"/>
          </w:tcPr>
          <w:p w14:paraId="5BE9B6F9" w14:textId="77777777" w:rsidR="0059627B" w:rsidRDefault="0059627B">
            <w:pPr>
              <w:jc w:val="center"/>
              <w:rPr>
                <w:color w:val="000000"/>
              </w:rPr>
            </w:pPr>
          </w:p>
        </w:tc>
        <w:tc>
          <w:tcPr>
            <w:tcW w:w="795" w:type="dxa"/>
          </w:tcPr>
          <w:p w14:paraId="301D484C" w14:textId="77777777" w:rsidR="0059627B" w:rsidRDefault="0059627B">
            <w:pPr>
              <w:jc w:val="center"/>
              <w:rPr>
                <w:color w:val="000000"/>
              </w:rPr>
            </w:pPr>
          </w:p>
        </w:tc>
      </w:tr>
      <w:tr w:rsidR="0059627B" w14:paraId="2E4A46E2" w14:textId="77777777">
        <w:tc>
          <w:tcPr>
            <w:tcW w:w="3253" w:type="dxa"/>
          </w:tcPr>
          <w:p w14:paraId="27E66C8C" w14:textId="77777777" w:rsidR="0059627B" w:rsidRDefault="007B1972">
            <w:pPr>
              <w:rPr>
                <w:color w:val="000000"/>
              </w:rPr>
            </w:pPr>
            <w:r>
              <w:rPr>
                <w:color w:val="000000"/>
              </w:rPr>
              <w:t>Low mood (P)</w:t>
            </w:r>
          </w:p>
        </w:tc>
        <w:tc>
          <w:tcPr>
            <w:tcW w:w="795" w:type="dxa"/>
          </w:tcPr>
          <w:p w14:paraId="4DDF0529" w14:textId="77777777" w:rsidR="0059627B" w:rsidRDefault="007B1972">
            <w:pPr>
              <w:jc w:val="center"/>
              <w:rPr>
                <w:color w:val="000000"/>
              </w:rPr>
            </w:pPr>
            <w:r>
              <w:rPr>
                <w:color w:val="000000"/>
              </w:rPr>
              <w:t>.90</w:t>
            </w:r>
          </w:p>
        </w:tc>
        <w:tc>
          <w:tcPr>
            <w:tcW w:w="795" w:type="dxa"/>
          </w:tcPr>
          <w:p w14:paraId="7FD5C89D" w14:textId="77777777" w:rsidR="0059627B" w:rsidRDefault="007B1972">
            <w:pPr>
              <w:jc w:val="center"/>
              <w:rPr>
                <w:color w:val="000000"/>
              </w:rPr>
            </w:pPr>
            <w:r>
              <w:rPr>
                <w:color w:val="000000"/>
              </w:rPr>
              <w:t>1</w:t>
            </w:r>
          </w:p>
        </w:tc>
        <w:tc>
          <w:tcPr>
            <w:tcW w:w="795" w:type="dxa"/>
          </w:tcPr>
          <w:p w14:paraId="477E1D41" w14:textId="77777777" w:rsidR="0059627B" w:rsidRDefault="007B1972">
            <w:pPr>
              <w:jc w:val="center"/>
              <w:rPr>
                <w:color w:val="000000"/>
              </w:rPr>
            </w:pPr>
            <w:r>
              <w:rPr>
                <w:color w:val="000000"/>
              </w:rPr>
              <w:t>1</w:t>
            </w:r>
          </w:p>
        </w:tc>
        <w:tc>
          <w:tcPr>
            <w:tcW w:w="795" w:type="dxa"/>
          </w:tcPr>
          <w:p w14:paraId="4C3527F2" w14:textId="77777777" w:rsidR="0059627B" w:rsidRDefault="007B1972">
            <w:pPr>
              <w:jc w:val="center"/>
              <w:rPr>
                <w:color w:val="000000"/>
              </w:rPr>
            </w:pPr>
            <w:r>
              <w:rPr>
                <w:color w:val="000000"/>
              </w:rPr>
              <w:t>.72</w:t>
            </w:r>
          </w:p>
        </w:tc>
      </w:tr>
      <w:tr w:rsidR="0059627B" w14:paraId="1F74EEFA" w14:textId="77777777">
        <w:tc>
          <w:tcPr>
            <w:tcW w:w="3253" w:type="dxa"/>
          </w:tcPr>
          <w:p w14:paraId="728E0904" w14:textId="77777777" w:rsidR="0059627B" w:rsidRDefault="007B1972">
            <w:pPr>
              <w:rPr>
                <w:color w:val="000000"/>
              </w:rPr>
            </w:pPr>
            <w:r>
              <w:rPr>
                <w:color w:val="000000"/>
              </w:rPr>
              <w:t>Low mood (C)</w:t>
            </w:r>
          </w:p>
        </w:tc>
        <w:tc>
          <w:tcPr>
            <w:tcW w:w="795" w:type="dxa"/>
          </w:tcPr>
          <w:p w14:paraId="4DFCD224" w14:textId="77777777" w:rsidR="0059627B" w:rsidRDefault="007B1972">
            <w:pPr>
              <w:jc w:val="center"/>
              <w:rPr>
                <w:color w:val="000000"/>
              </w:rPr>
            </w:pPr>
            <w:r>
              <w:rPr>
                <w:color w:val="000000"/>
              </w:rPr>
              <w:t>1</w:t>
            </w:r>
          </w:p>
        </w:tc>
        <w:tc>
          <w:tcPr>
            <w:tcW w:w="795" w:type="dxa"/>
          </w:tcPr>
          <w:p w14:paraId="77169A4C" w14:textId="77777777" w:rsidR="0059627B" w:rsidRDefault="007B1972">
            <w:pPr>
              <w:jc w:val="center"/>
              <w:rPr>
                <w:color w:val="000000"/>
              </w:rPr>
            </w:pPr>
            <w:r>
              <w:rPr>
                <w:color w:val="000000"/>
              </w:rPr>
              <w:t>.84</w:t>
            </w:r>
          </w:p>
        </w:tc>
        <w:tc>
          <w:tcPr>
            <w:tcW w:w="795" w:type="dxa"/>
          </w:tcPr>
          <w:p w14:paraId="392A530A" w14:textId="77777777" w:rsidR="0059627B" w:rsidRDefault="007B1972">
            <w:pPr>
              <w:jc w:val="center"/>
              <w:rPr>
                <w:color w:val="000000"/>
              </w:rPr>
            </w:pPr>
            <w:r>
              <w:rPr>
                <w:color w:val="000000"/>
              </w:rPr>
              <w:t>1</w:t>
            </w:r>
          </w:p>
        </w:tc>
        <w:tc>
          <w:tcPr>
            <w:tcW w:w="795" w:type="dxa"/>
          </w:tcPr>
          <w:p w14:paraId="27C0832C" w14:textId="77777777" w:rsidR="0059627B" w:rsidRDefault="007B1972">
            <w:pPr>
              <w:jc w:val="center"/>
              <w:rPr>
                <w:color w:val="000000"/>
              </w:rPr>
            </w:pPr>
            <w:r>
              <w:rPr>
                <w:color w:val="000000"/>
              </w:rPr>
              <w:t>.65</w:t>
            </w:r>
          </w:p>
        </w:tc>
      </w:tr>
      <w:tr w:rsidR="0059627B" w14:paraId="30145F91" w14:textId="77777777">
        <w:tc>
          <w:tcPr>
            <w:tcW w:w="3253" w:type="dxa"/>
          </w:tcPr>
          <w:p w14:paraId="6400A4F1" w14:textId="77777777" w:rsidR="0059627B" w:rsidRDefault="007B1972">
            <w:pPr>
              <w:rPr>
                <w:color w:val="000000"/>
              </w:rPr>
            </w:pPr>
            <w:r>
              <w:rPr>
                <w:color w:val="000000"/>
              </w:rPr>
              <w:t>Deteriorating mental health (P)</w:t>
            </w:r>
          </w:p>
        </w:tc>
        <w:tc>
          <w:tcPr>
            <w:tcW w:w="795" w:type="dxa"/>
          </w:tcPr>
          <w:p w14:paraId="07C48D44" w14:textId="77777777" w:rsidR="0059627B" w:rsidRDefault="007B1972">
            <w:pPr>
              <w:jc w:val="center"/>
              <w:rPr>
                <w:color w:val="000000"/>
              </w:rPr>
            </w:pPr>
            <w:r>
              <w:rPr>
                <w:color w:val="000000"/>
              </w:rPr>
              <w:t>.65</w:t>
            </w:r>
          </w:p>
        </w:tc>
        <w:tc>
          <w:tcPr>
            <w:tcW w:w="795" w:type="dxa"/>
          </w:tcPr>
          <w:p w14:paraId="1A6C29C5" w14:textId="77777777" w:rsidR="0059627B" w:rsidRDefault="007B1972">
            <w:pPr>
              <w:jc w:val="center"/>
              <w:rPr>
                <w:color w:val="000000"/>
              </w:rPr>
            </w:pPr>
            <w:r>
              <w:rPr>
                <w:color w:val="000000"/>
              </w:rPr>
              <w:t>1</w:t>
            </w:r>
          </w:p>
        </w:tc>
        <w:tc>
          <w:tcPr>
            <w:tcW w:w="795" w:type="dxa"/>
          </w:tcPr>
          <w:p w14:paraId="428B29A8" w14:textId="77777777" w:rsidR="0059627B" w:rsidRDefault="007B1972">
            <w:pPr>
              <w:jc w:val="center"/>
              <w:rPr>
                <w:color w:val="000000"/>
              </w:rPr>
            </w:pPr>
            <w:r>
              <w:rPr>
                <w:color w:val="000000"/>
              </w:rPr>
              <w:t>1</w:t>
            </w:r>
          </w:p>
        </w:tc>
        <w:tc>
          <w:tcPr>
            <w:tcW w:w="795" w:type="dxa"/>
          </w:tcPr>
          <w:p w14:paraId="6FC9E99F" w14:textId="77777777" w:rsidR="0059627B" w:rsidRDefault="007B1972">
            <w:pPr>
              <w:jc w:val="center"/>
              <w:rPr>
                <w:color w:val="000000"/>
              </w:rPr>
            </w:pPr>
            <w:r>
              <w:rPr>
                <w:color w:val="000000"/>
              </w:rPr>
              <w:t>1</w:t>
            </w:r>
          </w:p>
        </w:tc>
      </w:tr>
      <w:tr w:rsidR="0059627B" w14:paraId="2FF41402" w14:textId="77777777">
        <w:tc>
          <w:tcPr>
            <w:tcW w:w="3253" w:type="dxa"/>
          </w:tcPr>
          <w:p w14:paraId="18A2F93F" w14:textId="77777777" w:rsidR="0059627B" w:rsidRDefault="007B1972">
            <w:pPr>
              <w:rPr>
                <w:color w:val="000000"/>
              </w:rPr>
            </w:pPr>
            <w:r>
              <w:rPr>
                <w:color w:val="000000"/>
              </w:rPr>
              <w:t>Deteriorating Mental health (C)</w:t>
            </w:r>
          </w:p>
        </w:tc>
        <w:tc>
          <w:tcPr>
            <w:tcW w:w="795" w:type="dxa"/>
          </w:tcPr>
          <w:p w14:paraId="3F40A8DF" w14:textId="77777777" w:rsidR="0059627B" w:rsidRDefault="007B1972">
            <w:pPr>
              <w:jc w:val="center"/>
              <w:rPr>
                <w:color w:val="000000"/>
              </w:rPr>
            </w:pPr>
            <w:r>
              <w:rPr>
                <w:color w:val="000000"/>
              </w:rPr>
              <w:t>.92</w:t>
            </w:r>
          </w:p>
        </w:tc>
        <w:tc>
          <w:tcPr>
            <w:tcW w:w="795" w:type="dxa"/>
          </w:tcPr>
          <w:p w14:paraId="2E9B5BB0" w14:textId="77777777" w:rsidR="0059627B" w:rsidRDefault="007B1972">
            <w:pPr>
              <w:jc w:val="center"/>
              <w:rPr>
                <w:color w:val="000000"/>
              </w:rPr>
            </w:pPr>
            <w:r>
              <w:rPr>
                <w:color w:val="000000"/>
              </w:rPr>
              <w:t>1</w:t>
            </w:r>
          </w:p>
        </w:tc>
        <w:tc>
          <w:tcPr>
            <w:tcW w:w="795" w:type="dxa"/>
          </w:tcPr>
          <w:p w14:paraId="19193F43" w14:textId="77777777" w:rsidR="0059627B" w:rsidRDefault="007B1972">
            <w:pPr>
              <w:jc w:val="center"/>
              <w:rPr>
                <w:color w:val="000000"/>
              </w:rPr>
            </w:pPr>
            <w:r>
              <w:rPr>
                <w:color w:val="000000"/>
              </w:rPr>
              <w:t>.77</w:t>
            </w:r>
          </w:p>
        </w:tc>
        <w:tc>
          <w:tcPr>
            <w:tcW w:w="795" w:type="dxa"/>
          </w:tcPr>
          <w:p w14:paraId="789CBC63" w14:textId="77777777" w:rsidR="0059627B" w:rsidRDefault="007B1972">
            <w:pPr>
              <w:jc w:val="center"/>
              <w:rPr>
                <w:color w:val="000000"/>
              </w:rPr>
            </w:pPr>
            <w:r>
              <w:rPr>
                <w:color w:val="000000"/>
              </w:rPr>
              <w:t>1</w:t>
            </w:r>
          </w:p>
        </w:tc>
      </w:tr>
      <w:tr w:rsidR="0059627B" w14:paraId="6D3EF710" w14:textId="77777777">
        <w:tc>
          <w:tcPr>
            <w:tcW w:w="3253" w:type="dxa"/>
          </w:tcPr>
          <w:p w14:paraId="41B055E3" w14:textId="77777777" w:rsidR="0059627B" w:rsidRDefault="007B1972">
            <w:pPr>
              <w:rPr>
                <w:color w:val="000000"/>
              </w:rPr>
            </w:pPr>
            <w:r>
              <w:rPr>
                <w:color w:val="000000"/>
              </w:rPr>
              <w:t>Challenging behaviour (C)</w:t>
            </w:r>
          </w:p>
        </w:tc>
        <w:tc>
          <w:tcPr>
            <w:tcW w:w="795" w:type="dxa"/>
          </w:tcPr>
          <w:p w14:paraId="24DBB20B" w14:textId="77777777" w:rsidR="0059627B" w:rsidRDefault="007B1972">
            <w:pPr>
              <w:jc w:val="center"/>
              <w:rPr>
                <w:color w:val="000000"/>
              </w:rPr>
            </w:pPr>
            <w:r>
              <w:rPr>
                <w:color w:val="000000"/>
              </w:rPr>
              <w:t>.74</w:t>
            </w:r>
          </w:p>
        </w:tc>
        <w:tc>
          <w:tcPr>
            <w:tcW w:w="795" w:type="dxa"/>
          </w:tcPr>
          <w:p w14:paraId="1B4A1BE7" w14:textId="77777777" w:rsidR="0059627B" w:rsidRDefault="007B1972">
            <w:pPr>
              <w:jc w:val="center"/>
              <w:rPr>
                <w:color w:val="000000"/>
              </w:rPr>
            </w:pPr>
            <w:r>
              <w:rPr>
                <w:color w:val="000000"/>
              </w:rPr>
              <w:t>.79</w:t>
            </w:r>
          </w:p>
        </w:tc>
        <w:tc>
          <w:tcPr>
            <w:tcW w:w="795" w:type="dxa"/>
          </w:tcPr>
          <w:p w14:paraId="051D2079" w14:textId="77777777" w:rsidR="0059627B" w:rsidRDefault="007B1972">
            <w:pPr>
              <w:jc w:val="center"/>
              <w:rPr>
                <w:color w:val="000000"/>
              </w:rPr>
            </w:pPr>
            <w:r>
              <w:rPr>
                <w:color w:val="000000"/>
              </w:rPr>
              <w:t>1</w:t>
            </w:r>
          </w:p>
        </w:tc>
        <w:tc>
          <w:tcPr>
            <w:tcW w:w="795" w:type="dxa"/>
          </w:tcPr>
          <w:p w14:paraId="4973743C" w14:textId="77777777" w:rsidR="0059627B" w:rsidRDefault="007B1972">
            <w:pPr>
              <w:jc w:val="center"/>
              <w:rPr>
                <w:color w:val="000000"/>
              </w:rPr>
            </w:pPr>
            <w:r>
              <w:rPr>
                <w:color w:val="000000"/>
              </w:rPr>
              <w:t>.91</w:t>
            </w:r>
          </w:p>
        </w:tc>
      </w:tr>
      <w:tr w:rsidR="0059627B" w14:paraId="55CEF8FB" w14:textId="77777777">
        <w:tc>
          <w:tcPr>
            <w:tcW w:w="3253" w:type="dxa"/>
          </w:tcPr>
          <w:p w14:paraId="239915C7" w14:textId="77777777" w:rsidR="0059627B" w:rsidRDefault="007B1972">
            <w:pPr>
              <w:rPr>
                <w:color w:val="000000"/>
              </w:rPr>
            </w:pPr>
            <w:r>
              <w:rPr>
                <w:color w:val="000000"/>
              </w:rPr>
              <w:t>Negative behaviour change (C)</w:t>
            </w:r>
          </w:p>
        </w:tc>
        <w:tc>
          <w:tcPr>
            <w:tcW w:w="795" w:type="dxa"/>
          </w:tcPr>
          <w:p w14:paraId="42E53B99" w14:textId="77777777" w:rsidR="0059627B" w:rsidRDefault="007B1972">
            <w:pPr>
              <w:jc w:val="center"/>
              <w:rPr>
                <w:color w:val="000000"/>
              </w:rPr>
            </w:pPr>
            <w:r>
              <w:rPr>
                <w:color w:val="000000"/>
              </w:rPr>
              <w:t>.91</w:t>
            </w:r>
          </w:p>
        </w:tc>
        <w:tc>
          <w:tcPr>
            <w:tcW w:w="795" w:type="dxa"/>
          </w:tcPr>
          <w:p w14:paraId="6F2C4148" w14:textId="77777777" w:rsidR="0059627B" w:rsidRDefault="007B1972">
            <w:pPr>
              <w:jc w:val="center"/>
              <w:rPr>
                <w:color w:val="000000"/>
              </w:rPr>
            </w:pPr>
            <w:r>
              <w:rPr>
                <w:color w:val="000000"/>
              </w:rPr>
              <w:t>.76</w:t>
            </w:r>
          </w:p>
        </w:tc>
        <w:tc>
          <w:tcPr>
            <w:tcW w:w="795" w:type="dxa"/>
          </w:tcPr>
          <w:p w14:paraId="0FD16C28" w14:textId="77777777" w:rsidR="0059627B" w:rsidRDefault="007B1972">
            <w:pPr>
              <w:jc w:val="center"/>
              <w:rPr>
                <w:color w:val="000000"/>
              </w:rPr>
            </w:pPr>
            <w:r>
              <w:rPr>
                <w:color w:val="000000"/>
              </w:rPr>
              <w:t>.77</w:t>
            </w:r>
          </w:p>
        </w:tc>
        <w:tc>
          <w:tcPr>
            <w:tcW w:w="795" w:type="dxa"/>
          </w:tcPr>
          <w:p w14:paraId="702EFDE4" w14:textId="77777777" w:rsidR="0059627B" w:rsidRDefault="007B1972">
            <w:pPr>
              <w:jc w:val="center"/>
              <w:rPr>
                <w:color w:val="000000"/>
              </w:rPr>
            </w:pPr>
            <w:r>
              <w:rPr>
                <w:color w:val="000000"/>
              </w:rPr>
              <w:t>1</w:t>
            </w:r>
          </w:p>
        </w:tc>
      </w:tr>
      <w:tr w:rsidR="0059627B" w14:paraId="4AD3762A" w14:textId="77777777">
        <w:tc>
          <w:tcPr>
            <w:tcW w:w="3253" w:type="dxa"/>
          </w:tcPr>
          <w:p w14:paraId="0032976B" w14:textId="77777777" w:rsidR="0059627B" w:rsidRDefault="007B1972">
            <w:pPr>
              <w:rPr>
                <w:b/>
                <w:color w:val="000000"/>
              </w:rPr>
            </w:pPr>
            <w:r>
              <w:rPr>
                <w:b/>
                <w:color w:val="000000"/>
              </w:rPr>
              <w:t>Wellbeing</w:t>
            </w:r>
          </w:p>
        </w:tc>
        <w:tc>
          <w:tcPr>
            <w:tcW w:w="795" w:type="dxa"/>
          </w:tcPr>
          <w:p w14:paraId="2FE79C5E" w14:textId="77777777" w:rsidR="0059627B" w:rsidRDefault="0059627B">
            <w:pPr>
              <w:jc w:val="center"/>
              <w:rPr>
                <w:color w:val="000000"/>
              </w:rPr>
            </w:pPr>
          </w:p>
        </w:tc>
        <w:tc>
          <w:tcPr>
            <w:tcW w:w="795" w:type="dxa"/>
          </w:tcPr>
          <w:p w14:paraId="63669A57" w14:textId="77777777" w:rsidR="0059627B" w:rsidRDefault="0059627B">
            <w:pPr>
              <w:jc w:val="center"/>
              <w:rPr>
                <w:color w:val="000000"/>
              </w:rPr>
            </w:pPr>
          </w:p>
        </w:tc>
        <w:tc>
          <w:tcPr>
            <w:tcW w:w="795" w:type="dxa"/>
          </w:tcPr>
          <w:p w14:paraId="723BDBD0" w14:textId="77777777" w:rsidR="0059627B" w:rsidRDefault="0059627B">
            <w:pPr>
              <w:jc w:val="center"/>
              <w:rPr>
                <w:color w:val="000000"/>
              </w:rPr>
            </w:pPr>
          </w:p>
        </w:tc>
        <w:tc>
          <w:tcPr>
            <w:tcW w:w="795" w:type="dxa"/>
          </w:tcPr>
          <w:p w14:paraId="7D6C9D17" w14:textId="77777777" w:rsidR="0059627B" w:rsidRDefault="0059627B">
            <w:pPr>
              <w:jc w:val="center"/>
              <w:rPr>
                <w:color w:val="000000"/>
              </w:rPr>
            </w:pPr>
          </w:p>
        </w:tc>
      </w:tr>
      <w:tr w:rsidR="0059627B" w14:paraId="1EB98100" w14:textId="77777777">
        <w:tc>
          <w:tcPr>
            <w:tcW w:w="3253" w:type="dxa"/>
          </w:tcPr>
          <w:p w14:paraId="2D68F802" w14:textId="77777777" w:rsidR="0059627B" w:rsidRDefault="007B1972">
            <w:pPr>
              <w:rPr>
                <w:color w:val="000000"/>
              </w:rPr>
            </w:pPr>
            <w:r>
              <w:rPr>
                <w:color w:val="000000"/>
              </w:rPr>
              <w:t>No/low impact (P)</w:t>
            </w:r>
          </w:p>
        </w:tc>
        <w:tc>
          <w:tcPr>
            <w:tcW w:w="795" w:type="dxa"/>
          </w:tcPr>
          <w:p w14:paraId="2EFF3AE5" w14:textId="77777777" w:rsidR="0059627B" w:rsidRDefault="007B1972">
            <w:pPr>
              <w:jc w:val="center"/>
              <w:rPr>
                <w:color w:val="000000"/>
              </w:rPr>
            </w:pPr>
            <w:r>
              <w:rPr>
                <w:color w:val="000000"/>
              </w:rPr>
              <w:t>1</w:t>
            </w:r>
          </w:p>
        </w:tc>
        <w:tc>
          <w:tcPr>
            <w:tcW w:w="795" w:type="dxa"/>
          </w:tcPr>
          <w:p w14:paraId="108338B0" w14:textId="77777777" w:rsidR="0059627B" w:rsidRDefault="007B1972">
            <w:pPr>
              <w:jc w:val="center"/>
              <w:rPr>
                <w:color w:val="000000"/>
              </w:rPr>
            </w:pPr>
            <w:r>
              <w:rPr>
                <w:color w:val="000000"/>
              </w:rPr>
              <w:t>1</w:t>
            </w:r>
          </w:p>
        </w:tc>
        <w:tc>
          <w:tcPr>
            <w:tcW w:w="795" w:type="dxa"/>
          </w:tcPr>
          <w:p w14:paraId="15227515" w14:textId="77777777" w:rsidR="0059627B" w:rsidRDefault="007B1972">
            <w:pPr>
              <w:jc w:val="center"/>
              <w:rPr>
                <w:color w:val="000000"/>
              </w:rPr>
            </w:pPr>
            <w:r>
              <w:rPr>
                <w:color w:val="000000"/>
              </w:rPr>
              <w:t>.83</w:t>
            </w:r>
          </w:p>
        </w:tc>
        <w:tc>
          <w:tcPr>
            <w:tcW w:w="795" w:type="dxa"/>
          </w:tcPr>
          <w:p w14:paraId="65F2627F" w14:textId="77777777" w:rsidR="0059627B" w:rsidRDefault="007B1972">
            <w:pPr>
              <w:jc w:val="center"/>
              <w:rPr>
                <w:color w:val="000000"/>
              </w:rPr>
            </w:pPr>
            <w:r>
              <w:rPr>
                <w:color w:val="000000"/>
              </w:rPr>
              <w:t>1</w:t>
            </w:r>
          </w:p>
        </w:tc>
      </w:tr>
      <w:tr w:rsidR="0059627B" w14:paraId="37FB8E16" w14:textId="77777777">
        <w:tc>
          <w:tcPr>
            <w:tcW w:w="3253" w:type="dxa"/>
          </w:tcPr>
          <w:p w14:paraId="4D968ED4" w14:textId="77777777" w:rsidR="0059627B" w:rsidRDefault="007B1972">
            <w:pPr>
              <w:rPr>
                <w:color w:val="000000"/>
              </w:rPr>
            </w:pPr>
            <w:r>
              <w:rPr>
                <w:color w:val="000000"/>
              </w:rPr>
              <w:t>No/low impact (C)</w:t>
            </w:r>
          </w:p>
        </w:tc>
        <w:tc>
          <w:tcPr>
            <w:tcW w:w="795" w:type="dxa"/>
          </w:tcPr>
          <w:p w14:paraId="23F22CD7" w14:textId="77777777" w:rsidR="0059627B" w:rsidRDefault="007B1972">
            <w:pPr>
              <w:jc w:val="center"/>
              <w:rPr>
                <w:color w:val="000000"/>
              </w:rPr>
            </w:pPr>
            <w:r>
              <w:rPr>
                <w:color w:val="000000"/>
              </w:rPr>
              <w:t>.74</w:t>
            </w:r>
          </w:p>
        </w:tc>
        <w:tc>
          <w:tcPr>
            <w:tcW w:w="795" w:type="dxa"/>
          </w:tcPr>
          <w:p w14:paraId="1CAEF512" w14:textId="77777777" w:rsidR="0059627B" w:rsidRDefault="007B1972">
            <w:pPr>
              <w:jc w:val="center"/>
              <w:rPr>
                <w:color w:val="000000"/>
              </w:rPr>
            </w:pPr>
            <w:r>
              <w:rPr>
                <w:color w:val="000000"/>
              </w:rPr>
              <w:t>.79</w:t>
            </w:r>
          </w:p>
        </w:tc>
        <w:tc>
          <w:tcPr>
            <w:tcW w:w="795" w:type="dxa"/>
          </w:tcPr>
          <w:p w14:paraId="7EFC7985" w14:textId="77777777" w:rsidR="0059627B" w:rsidRDefault="007B1972">
            <w:pPr>
              <w:jc w:val="center"/>
              <w:rPr>
                <w:color w:val="000000"/>
              </w:rPr>
            </w:pPr>
            <w:r>
              <w:rPr>
                <w:color w:val="000000"/>
              </w:rPr>
              <w:t>1</w:t>
            </w:r>
          </w:p>
        </w:tc>
        <w:tc>
          <w:tcPr>
            <w:tcW w:w="795" w:type="dxa"/>
          </w:tcPr>
          <w:p w14:paraId="36CED62F" w14:textId="77777777" w:rsidR="0059627B" w:rsidRDefault="007B1972">
            <w:pPr>
              <w:jc w:val="center"/>
              <w:rPr>
                <w:color w:val="000000"/>
              </w:rPr>
            </w:pPr>
            <w:r>
              <w:rPr>
                <w:color w:val="000000"/>
              </w:rPr>
              <w:t>.79</w:t>
            </w:r>
          </w:p>
        </w:tc>
      </w:tr>
      <w:tr w:rsidR="0059627B" w14:paraId="675A39F0" w14:textId="77777777">
        <w:tc>
          <w:tcPr>
            <w:tcW w:w="3253" w:type="dxa"/>
          </w:tcPr>
          <w:p w14:paraId="4886A0A2" w14:textId="77777777" w:rsidR="0059627B" w:rsidRDefault="007B1972">
            <w:pPr>
              <w:rPr>
                <w:color w:val="000000"/>
              </w:rPr>
            </w:pPr>
            <w:r>
              <w:rPr>
                <w:color w:val="000000"/>
              </w:rPr>
              <w:t>Positive emotions (P)</w:t>
            </w:r>
          </w:p>
        </w:tc>
        <w:tc>
          <w:tcPr>
            <w:tcW w:w="795" w:type="dxa"/>
          </w:tcPr>
          <w:p w14:paraId="6FCD3AFE" w14:textId="77777777" w:rsidR="0059627B" w:rsidRDefault="007B1972">
            <w:pPr>
              <w:jc w:val="center"/>
              <w:rPr>
                <w:color w:val="000000"/>
              </w:rPr>
            </w:pPr>
            <w:r>
              <w:rPr>
                <w:color w:val="000000"/>
              </w:rPr>
              <w:t>1</w:t>
            </w:r>
          </w:p>
        </w:tc>
        <w:tc>
          <w:tcPr>
            <w:tcW w:w="795" w:type="dxa"/>
          </w:tcPr>
          <w:p w14:paraId="2F5D21CE" w14:textId="77777777" w:rsidR="0059627B" w:rsidRDefault="007B1972">
            <w:pPr>
              <w:jc w:val="center"/>
              <w:rPr>
                <w:color w:val="000000"/>
              </w:rPr>
            </w:pPr>
            <w:r>
              <w:rPr>
                <w:color w:val="000000"/>
              </w:rPr>
              <w:t>.88</w:t>
            </w:r>
          </w:p>
        </w:tc>
        <w:tc>
          <w:tcPr>
            <w:tcW w:w="795" w:type="dxa"/>
          </w:tcPr>
          <w:p w14:paraId="22E6954F" w14:textId="77777777" w:rsidR="0059627B" w:rsidRDefault="007B1972">
            <w:pPr>
              <w:jc w:val="center"/>
              <w:rPr>
                <w:color w:val="000000"/>
              </w:rPr>
            </w:pPr>
            <w:r>
              <w:rPr>
                <w:color w:val="000000"/>
              </w:rPr>
              <w:t>.64</w:t>
            </w:r>
          </w:p>
        </w:tc>
        <w:tc>
          <w:tcPr>
            <w:tcW w:w="795" w:type="dxa"/>
          </w:tcPr>
          <w:p w14:paraId="02FAB764" w14:textId="77777777" w:rsidR="0059627B" w:rsidRDefault="007B1972">
            <w:pPr>
              <w:jc w:val="center"/>
              <w:rPr>
                <w:color w:val="000000"/>
              </w:rPr>
            </w:pPr>
            <w:r>
              <w:rPr>
                <w:color w:val="000000"/>
              </w:rPr>
              <w:t>.79</w:t>
            </w:r>
          </w:p>
        </w:tc>
      </w:tr>
      <w:tr w:rsidR="0059627B" w14:paraId="7CB07BD7" w14:textId="77777777">
        <w:tc>
          <w:tcPr>
            <w:tcW w:w="3253" w:type="dxa"/>
          </w:tcPr>
          <w:p w14:paraId="0B6D9864" w14:textId="77777777" w:rsidR="0059627B" w:rsidRDefault="007B1972">
            <w:pPr>
              <w:rPr>
                <w:color w:val="000000"/>
              </w:rPr>
            </w:pPr>
            <w:r>
              <w:rPr>
                <w:color w:val="000000"/>
              </w:rPr>
              <w:t>Positive emotions (C)</w:t>
            </w:r>
          </w:p>
        </w:tc>
        <w:tc>
          <w:tcPr>
            <w:tcW w:w="795" w:type="dxa"/>
          </w:tcPr>
          <w:p w14:paraId="067BE389" w14:textId="77777777" w:rsidR="0059627B" w:rsidRDefault="007B1972">
            <w:pPr>
              <w:jc w:val="center"/>
              <w:rPr>
                <w:color w:val="000000"/>
              </w:rPr>
            </w:pPr>
            <w:r>
              <w:rPr>
                <w:color w:val="000000"/>
              </w:rPr>
              <w:t>.84</w:t>
            </w:r>
          </w:p>
        </w:tc>
        <w:tc>
          <w:tcPr>
            <w:tcW w:w="795" w:type="dxa"/>
          </w:tcPr>
          <w:p w14:paraId="59D4C2E1" w14:textId="77777777" w:rsidR="0059627B" w:rsidRDefault="007B1972">
            <w:pPr>
              <w:jc w:val="center"/>
              <w:rPr>
                <w:color w:val="000000"/>
              </w:rPr>
            </w:pPr>
            <w:r>
              <w:rPr>
                <w:color w:val="000000"/>
              </w:rPr>
              <w:t>.63</w:t>
            </w:r>
          </w:p>
        </w:tc>
        <w:tc>
          <w:tcPr>
            <w:tcW w:w="795" w:type="dxa"/>
          </w:tcPr>
          <w:p w14:paraId="52450FD9" w14:textId="77777777" w:rsidR="0059627B" w:rsidRDefault="007B1972">
            <w:pPr>
              <w:jc w:val="center"/>
              <w:rPr>
                <w:color w:val="000000"/>
              </w:rPr>
            </w:pPr>
            <w:r>
              <w:rPr>
                <w:color w:val="000000"/>
              </w:rPr>
              <w:t>.64</w:t>
            </w:r>
          </w:p>
        </w:tc>
        <w:tc>
          <w:tcPr>
            <w:tcW w:w="795" w:type="dxa"/>
          </w:tcPr>
          <w:p w14:paraId="3E7DD711" w14:textId="77777777" w:rsidR="0059627B" w:rsidRDefault="007B1972">
            <w:pPr>
              <w:jc w:val="center"/>
              <w:rPr>
                <w:color w:val="000000"/>
              </w:rPr>
            </w:pPr>
            <w:r>
              <w:rPr>
                <w:color w:val="000000"/>
              </w:rPr>
              <w:t>1</w:t>
            </w:r>
          </w:p>
        </w:tc>
      </w:tr>
      <w:tr w:rsidR="0059627B" w14:paraId="52FFEE59" w14:textId="77777777">
        <w:tc>
          <w:tcPr>
            <w:tcW w:w="3253" w:type="dxa"/>
          </w:tcPr>
          <w:p w14:paraId="198BF10D" w14:textId="77777777" w:rsidR="0059627B" w:rsidRDefault="007B1972">
            <w:pPr>
              <w:rPr>
                <w:color w:val="000000"/>
              </w:rPr>
            </w:pPr>
            <w:r>
              <w:rPr>
                <w:color w:val="000000"/>
              </w:rPr>
              <w:t>Social media helps (C)</w:t>
            </w:r>
          </w:p>
        </w:tc>
        <w:tc>
          <w:tcPr>
            <w:tcW w:w="795" w:type="dxa"/>
          </w:tcPr>
          <w:p w14:paraId="28AB42A3" w14:textId="77777777" w:rsidR="0059627B" w:rsidRDefault="007B1972">
            <w:pPr>
              <w:jc w:val="center"/>
              <w:rPr>
                <w:color w:val="000000"/>
              </w:rPr>
            </w:pPr>
            <w:r>
              <w:rPr>
                <w:color w:val="000000"/>
              </w:rPr>
              <w:t>1</w:t>
            </w:r>
          </w:p>
        </w:tc>
        <w:tc>
          <w:tcPr>
            <w:tcW w:w="795" w:type="dxa"/>
          </w:tcPr>
          <w:p w14:paraId="4D28228F" w14:textId="77777777" w:rsidR="0059627B" w:rsidRDefault="007B1972">
            <w:pPr>
              <w:jc w:val="center"/>
              <w:rPr>
                <w:color w:val="000000"/>
              </w:rPr>
            </w:pPr>
            <w:r>
              <w:rPr>
                <w:color w:val="000000"/>
              </w:rPr>
              <w:t>1</w:t>
            </w:r>
          </w:p>
        </w:tc>
        <w:tc>
          <w:tcPr>
            <w:tcW w:w="795" w:type="dxa"/>
          </w:tcPr>
          <w:p w14:paraId="17C29C65" w14:textId="77777777" w:rsidR="0059627B" w:rsidRDefault="007B1972">
            <w:pPr>
              <w:jc w:val="center"/>
              <w:rPr>
                <w:color w:val="000000"/>
              </w:rPr>
            </w:pPr>
            <w:r>
              <w:rPr>
                <w:color w:val="000000"/>
              </w:rPr>
              <w:t>1</w:t>
            </w:r>
          </w:p>
        </w:tc>
        <w:tc>
          <w:tcPr>
            <w:tcW w:w="795" w:type="dxa"/>
          </w:tcPr>
          <w:p w14:paraId="1FF69D5E" w14:textId="77777777" w:rsidR="0059627B" w:rsidRDefault="007B1972">
            <w:pPr>
              <w:jc w:val="center"/>
              <w:rPr>
                <w:color w:val="000000"/>
              </w:rPr>
            </w:pPr>
            <w:r>
              <w:rPr>
                <w:color w:val="000000"/>
              </w:rPr>
              <w:t>1</w:t>
            </w:r>
          </w:p>
        </w:tc>
      </w:tr>
      <w:tr w:rsidR="0059627B" w14:paraId="730E5304" w14:textId="77777777">
        <w:tc>
          <w:tcPr>
            <w:tcW w:w="3253" w:type="dxa"/>
          </w:tcPr>
          <w:p w14:paraId="3F67A5F2" w14:textId="77777777" w:rsidR="0059627B" w:rsidRDefault="007B1972">
            <w:pPr>
              <w:rPr>
                <w:color w:val="000000"/>
              </w:rPr>
            </w:pPr>
            <w:r>
              <w:rPr>
                <w:color w:val="000000"/>
              </w:rPr>
              <w:t>Positive behaviour change (C)</w:t>
            </w:r>
          </w:p>
        </w:tc>
        <w:tc>
          <w:tcPr>
            <w:tcW w:w="795" w:type="dxa"/>
          </w:tcPr>
          <w:p w14:paraId="0656180C" w14:textId="77777777" w:rsidR="0059627B" w:rsidRDefault="007B1972">
            <w:pPr>
              <w:jc w:val="center"/>
              <w:rPr>
                <w:color w:val="000000"/>
              </w:rPr>
            </w:pPr>
            <w:r>
              <w:rPr>
                <w:color w:val="000000"/>
              </w:rPr>
              <w:t>.91</w:t>
            </w:r>
          </w:p>
        </w:tc>
        <w:tc>
          <w:tcPr>
            <w:tcW w:w="795" w:type="dxa"/>
          </w:tcPr>
          <w:p w14:paraId="2FE543C0" w14:textId="77777777" w:rsidR="0059627B" w:rsidRDefault="007B1972">
            <w:pPr>
              <w:jc w:val="center"/>
              <w:rPr>
                <w:color w:val="000000"/>
              </w:rPr>
            </w:pPr>
            <w:r>
              <w:rPr>
                <w:color w:val="000000"/>
              </w:rPr>
              <w:t>.76</w:t>
            </w:r>
          </w:p>
        </w:tc>
        <w:tc>
          <w:tcPr>
            <w:tcW w:w="795" w:type="dxa"/>
          </w:tcPr>
          <w:p w14:paraId="0964E9DB" w14:textId="77777777" w:rsidR="0059627B" w:rsidRDefault="007B1972">
            <w:pPr>
              <w:jc w:val="center"/>
              <w:rPr>
                <w:color w:val="000000"/>
              </w:rPr>
            </w:pPr>
            <w:r>
              <w:rPr>
                <w:color w:val="000000"/>
              </w:rPr>
              <w:t>.77</w:t>
            </w:r>
          </w:p>
        </w:tc>
        <w:tc>
          <w:tcPr>
            <w:tcW w:w="795" w:type="dxa"/>
          </w:tcPr>
          <w:p w14:paraId="7F6C2682" w14:textId="77777777" w:rsidR="0059627B" w:rsidRDefault="007B1972">
            <w:pPr>
              <w:jc w:val="center"/>
              <w:rPr>
                <w:color w:val="000000"/>
              </w:rPr>
            </w:pPr>
            <w:r>
              <w:rPr>
                <w:color w:val="000000"/>
              </w:rPr>
              <w:t>1</w:t>
            </w:r>
          </w:p>
        </w:tc>
      </w:tr>
    </w:tbl>
    <w:p w14:paraId="0793C228" w14:textId="77777777" w:rsidR="0059627B" w:rsidRDefault="0059627B">
      <w:pPr>
        <w:spacing w:line="480" w:lineRule="auto"/>
        <w:rPr>
          <w:b/>
          <w:color w:val="000000"/>
        </w:rPr>
        <w:sectPr w:rsidR="0059627B">
          <w:pgSz w:w="16834" w:h="11909" w:orient="landscape"/>
          <w:pgMar w:top="1440" w:right="1440" w:bottom="1440" w:left="1440" w:header="720" w:footer="720" w:gutter="0"/>
          <w:cols w:space="720"/>
        </w:sectPr>
      </w:pPr>
    </w:p>
    <w:p w14:paraId="4A8C3C31" w14:textId="77777777" w:rsidR="0059627B" w:rsidRDefault="007B1972">
      <w:pPr>
        <w:spacing w:line="480" w:lineRule="auto"/>
        <w:rPr>
          <w:b/>
          <w:color w:val="000000"/>
        </w:rPr>
      </w:pPr>
      <w:r>
        <w:rPr>
          <w:b/>
          <w:color w:val="000000"/>
        </w:rPr>
        <w:lastRenderedPageBreak/>
        <w:t>Table 2</w:t>
      </w:r>
    </w:p>
    <w:p w14:paraId="00EDFE78" w14:textId="77777777" w:rsidR="0059627B" w:rsidRDefault="007B1972">
      <w:pPr>
        <w:spacing w:line="480" w:lineRule="auto"/>
        <w:rPr>
          <w:i/>
          <w:color w:val="000000"/>
        </w:rPr>
      </w:pPr>
      <w:r>
        <w:rPr>
          <w:i/>
          <w:color w:val="000000"/>
        </w:rPr>
        <w:t xml:space="preserve">Code frequencies at all four timepoints, organised by category </w:t>
      </w:r>
    </w:p>
    <w:tbl>
      <w:tblPr>
        <w:tblStyle w:val="a6"/>
        <w:tblW w:w="140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4"/>
        <w:gridCol w:w="1113"/>
        <w:gridCol w:w="870"/>
        <w:gridCol w:w="904"/>
        <w:gridCol w:w="870"/>
        <w:gridCol w:w="870"/>
        <w:gridCol w:w="904"/>
        <w:gridCol w:w="870"/>
        <w:gridCol w:w="870"/>
        <w:gridCol w:w="904"/>
        <w:gridCol w:w="870"/>
        <w:gridCol w:w="870"/>
        <w:gridCol w:w="904"/>
      </w:tblGrid>
      <w:tr w:rsidR="0059627B" w14:paraId="59DA3DFB" w14:textId="77777777">
        <w:trPr>
          <w:jc w:val="center"/>
        </w:trPr>
        <w:tc>
          <w:tcPr>
            <w:tcW w:w="3264" w:type="dxa"/>
            <w:vMerge w:val="restart"/>
            <w:tcBorders>
              <w:top w:val="single" w:sz="4" w:space="0" w:color="000000"/>
              <w:left w:val="nil"/>
              <w:bottom w:val="nil"/>
              <w:right w:val="nil"/>
            </w:tcBorders>
            <w:tcMar>
              <w:top w:w="0" w:type="dxa"/>
              <w:left w:w="108" w:type="dxa"/>
              <w:bottom w:w="0" w:type="dxa"/>
              <w:right w:w="108" w:type="dxa"/>
            </w:tcMar>
          </w:tcPr>
          <w:p w14:paraId="4547ECD4" w14:textId="77777777" w:rsidR="0059627B" w:rsidRDefault="007B1972">
            <w:pPr>
              <w:rPr>
                <w:color w:val="000000"/>
              </w:rPr>
            </w:pPr>
            <w:r>
              <w:rPr>
                <w:b/>
                <w:color w:val="000000"/>
              </w:rPr>
              <w:t>Category</w:t>
            </w:r>
            <w:r>
              <w:rPr>
                <w:color w:val="000000"/>
              </w:rPr>
              <w:t xml:space="preserve"> (Code)</w:t>
            </w:r>
          </w:p>
        </w:tc>
        <w:tc>
          <w:tcPr>
            <w:tcW w:w="2887" w:type="dxa"/>
            <w:gridSpan w:val="3"/>
            <w:tcBorders>
              <w:top w:val="single" w:sz="4" w:space="0" w:color="000000"/>
              <w:left w:val="nil"/>
              <w:bottom w:val="nil"/>
              <w:right w:val="nil"/>
            </w:tcBorders>
            <w:tcMar>
              <w:top w:w="0" w:type="dxa"/>
              <w:left w:w="108" w:type="dxa"/>
              <w:bottom w:w="0" w:type="dxa"/>
              <w:right w:w="108" w:type="dxa"/>
            </w:tcMar>
          </w:tcPr>
          <w:p w14:paraId="7355536F" w14:textId="77777777" w:rsidR="0059627B" w:rsidRDefault="007B1972">
            <w:pPr>
              <w:jc w:val="center"/>
              <w:rPr>
                <w:color w:val="000000"/>
              </w:rPr>
            </w:pPr>
            <w:r>
              <w:rPr>
                <w:b/>
                <w:color w:val="000000"/>
              </w:rPr>
              <w:t>Time 1 (n=282)</w:t>
            </w:r>
          </w:p>
        </w:tc>
        <w:tc>
          <w:tcPr>
            <w:tcW w:w="2644" w:type="dxa"/>
            <w:gridSpan w:val="3"/>
            <w:tcBorders>
              <w:top w:val="single" w:sz="4" w:space="0" w:color="000000"/>
              <w:left w:val="nil"/>
              <w:bottom w:val="nil"/>
              <w:right w:val="nil"/>
            </w:tcBorders>
            <w:tcMar>
              <w:top w:w="0" w:type="dxa"/>
              <w:left w:w="108" w:type="dxa"/>
              <w:bottom w:w="0" w:type="dxa"/>
              <w:right w:w="108" w:type="dxa"/>
            </w:tcMar>
          </w:tcPr>
          <w:p w14:paraId="2B6ECD80" w14:textId="77777777" w:rsidR="0059627B" w:rsidRDefault="007B1972">
            <w:pPr>
              <w:jc w:val="center"/>
              <w:rPr>
                <w:color w:val="000000"/>
              </w:rPr>
            </w:pPr>
            <w:r>
              <w:rPr>
                <w:b/>
                <w:color w:val="000000"/>
              </w:rPr>
              <w:t>Time 2 (N=211)</w:t>
            </w:r>
          </w:p>
        </w:tc>
        <w:tc>
          <w:tcPr>
            <w:tcW w:w="2644" w:type="dxa"/>
            <w:gridSpan w:val="3"/>
            <w:tcBorders>
              <w:top w:val="single" w:sz="4" w:space="0" w:color="000000"/>
              <w:left w:val="nil"/>
              <w:bottom w:val="nil"/>
              <w:right w:val="nil"/>
            </w:tcBorders>
            <w:tcMar>
              <w:top w:w="0" w:type="dxa"/>
              <w:left w:w="108" w:type="dxa"/>
              <w:bottom w:w="0" w:type="dxa"/>
              <w:right w:w="108" w:type="dxa"/>
            </w:tcMar>
          </w:tcPr>
          <w:p w14:paraId="54CE6ADC" w14:textId="77777777" w:rsidR="0059627B" w:rsidRDefault="007B1972">
            <w:pPr>
              <w:jc w:val="center"/>
              <w:rPr>
                <w:color w:val="000000"/>
              </w:rPr>
            </w:pPr>
            <w:r>
              <w:rPr>
                <w:b/>
                <w:color w:val="000000"/>
              </w:rPr>
              <w:t>Time 3 (N=104)</w:t>
            </w:r>
          </w:p>
        </w:tc>
        <w:tc>
          <w:tcPr>
            <w:tcW w:w="2644" w:type="dxa"/>
            <w:gridSpan w:val="3"/>
            <w:tcBorders>
              <w:top w:val="single" w:sz="4" w:space="0" w:color="000000"/>
              <w:left w:val="nil"/>
              <w:bottom w:val="nil"/>
              <w:right w:val="nil"/>
            </w:tcBorders>
            <w:tcMar>
              <w:top w:w="0" w:type="dxa"/>
              <w:left w:w="108" w:type="dxa"/>
              <w:bottom w:w="0" w:type="dxa"/>
              <w:right w:w="108" w:type="dxa"/>
            </w:tcMar>
          </w:tcPr>
          <w:p w14:paraId="0DE65F14" w14:textId="77777777" w:rsidR="0059627B" w:rsidRDefault="007B1972">
            <w:pPr>
              <w:jc w:val="center"/>
              <w:rPr>
                <w:color w:val="000000"/>
              </w:rPr>
            </w:pPr>
            <w:r>
              <w:rPr>
                <w:b/>
                <w:color w:val="000000"/>
              </w:rPr>
              <w:t>Time 4 (N=183)</w:t>
            </w:r>
          </w:p>
        </w:tc>
      </w:tr>
      <w:tr w:rsidR="0059627B" w14:paraId="72B460E7" w14:textId="77777777">
        <w:trPr>
          <w:jc w:val="center"/>
        </w:trPr>
        <w:tc>
          <w:tcPr>
            <w:tcW w:w="3264" w:type="dxa"/>
            <w:vMerge/>
            <w:tcBorders>
              <w:top w:val="single" w:sz="4" w:space="0" w:color="000000"/>
              <w:left w:val="nil"/>
              <w:bottom w:val="nil"/>
              <w:right w:val="nil"/>
            </w:tcBorders>
            <w:tcMar>
              <w:top w:w="0" w:type="dxa"/>
              <w:left w:w="108" w:type="dxa"/>
              <w:bottom w:w="0" w:type="dxa"/>
              <w:right w:w="108" w:type="dxa"/>
            </w:tcMar>
          </w:tcPr>
          <w:p w14:paraId="2488BD79" w14:textId="77777777" w:rsidR="0059627B" w:rsidRDefault="0059627B">
            <w:pPr>
              <w:widowControl w:val="0"/>
              <w:pBdr>
                <w:top w:val="nil"/>
                <w:left w:val="nil"/>
                <w:bottom w:val="nil"/>
                <w:right w:val="nil"/>
                <w:between w:val="nil"/>
              </w:pBdr>
              <w:spacing w:line="276" w:lineRule="auto"/>
              <w:rPr>
                <w:color w:val="000000"/>
              </w:rPr>
            </w:pPr>
          </w:p>
        </w:tc>
        <w:tc>
          <w:tcPr>
            <w:tcW w:w="1113" w:type="dxa"/>
            <w:tcBorders>
              <w:top w:val="nil"/>
              <w:left w:val="nil"/>
              <w:bottom w:val="single" w:sz="4" w:space="0" w:color="000000"/>
              <w:right w:val="nil"/>
            </w:tcBorders>
            <w:tcMar>
              <w:top w:w="0" w:type="dxa"/>
              <w:left w:w="108" w:type="dxa"/>
              <w:bottom w:w="0" w:type="dxa"/>
              <w:right w:w="108" w:type="dxa"/>
            </w:tcMar>
          </w:tcPr>
          <w:p w14:paraId="2CD98507" w14:textId="77777777" w:rsidR="0059627B" w:rsidRDefault="007B1972">
            <w:pPr>
              <w:jc w:val="center"/>
              <w:rPr>
                <w:color w:val="000000"/>
              </w:rPr>
            </w:pPr>
            <w:r>
              <w:rPr>
                <w:b/>
                <w:color w:val="000000"/>
              </w:rPr>
              <w:t>All</w:t>
            </w:r>
          </w:p>
        </w:tc>
        <w:tc>
          <w:tcPr>
            <w:tcW w:w="870" w:type="dxa"/>
            <w:tcBorders>
              <w:top w:val="nil"/>
              <w:left w:val="nil"/>
              <w:bottom w:val="single" w:sz="4" w:space="0" w:color="000000"/>
              <w:right w:val="nil"/>
            </w:tcBorders>
            <w:tcMar>
              <w:top w:w="0" w:type="dxa"/>
              <w:left w:w="108" w:type="dxa"/>
              <w:bottom w:w="0" w:type="dxa"/>
              <w:right w:w="108" w:type="dxa"/>
            </w:tcMar>
          </w:tcPr>
          <w:p w14:paraId="2FD12E9E" w14:textId="77777777" w:rsidR="0059627B" w:rsidRDefault="007B1972">
            <w:pPr>
              <w:jc w:val="center"/>
              <w:rPr>
                <w:color w:val="000000"/>
              </w:rPr>
            </w:pPr>
            <w:proofErr w:type="spellStart"/>
            <w:r>
              <w:rPr>
                <w:b/>
                <w:color w:val="000000"/>
              </w:rPr>
              <w:t>ASD</w:t>
            </w:r>
            <w:proofErr w:type="spellEnd"/>
          </w:p>
        </w:tc>
        <w:tc>
          <w:tcPr>
            <w:tcW w:w="904" w:type="dxa"/>
            <w:tcBorders>
              <w:top w:val="nil"/>
              <w:left w:val="nil"/>
              <w:bottom w:val="single" w:sz="4" w:space="0" w:color="000000"/>
              <w:right w:val="nil"/>
            </w:tcBorders>
            <w:tcMar>
              <w:top w:w="0" w:type="dxa"/>
              <w:left w:w="108" w:type="dxa"/>
              <w:bottom w:w="0" w:type="dxa"/>
              <w:right w:w="108" w:type="dxa"/>
            </w:tcMar>
          </w:tcPr>
          <w:p w14:paraId="06F62B69" w14:textId="77777777" w:rsidR="0059627B" w:rsidRDefault="007B1972">
            <w:pPr>
              <w:jc w:val="center"/>
              <w:rPr>
                <w:color w:val="000000"/>
              </w:rPr>
            </w:pPr>
            <w:r>
              <w:rPr>
                <w:b/>
                <w:color w:val="000000"/>
              </w:rPr>
              <w:t>SEND</w:t>
            </w:r>
          </w:p>
        </w:tc>
        <w:tc>
          <w:tcPr>
            <w:tcW w:w="870" w:type="dxa"/>
            <w:tcBorders>
              <w:top w:val="nil"/>
              <w:left w:val="nil"/>
              <w:bottom w:val="single" w:sz="4" w:space="0" w:color="000000"/>
              <w:right w:val="nil"/>
            </w:tcBorders>
            <w:tcMar>
              <w:top w:w="0" w:type="dxa"/>
              <w:left w:w="108" w:type="dxa"/>
              <w:bottom w:w="0" w:type="dxa"/>
              <w:right w:w="108" w:type="dxa"/>
            </w:tcMar>
          </w:tcPr>
          <w:p w14:paraId="2CEBFD9D" w14:textId="77777777" w:rsidR="0059627B" w:rsidRDefault="007B1972">
            <w:pPr>
              <w:jc w:val="center"/>
              <w:rPr>
                <w:color w:val="000000"/>
              </w:rPr>
            </w:pPr>
            <w:r>
              <w:rPr>
                <w:b/>
                <w:color w:val="000000"/>
              </w:rPr>
              <w:t>All</w:t>
            </w:r>
          </w:p>
        </w:tc>
        <w:tc>
          <w:tcPr>
            <w:tcW w:w="870" w:type="dxa"/>
            <w:tcBorders>
              <w:top w:val="nil"/>
              <w:left w:val="nil"/>
              <w:bottom w:val="single" w:sz="4" w:space="0" w:color="000000"/>
              <w:right w:val="nil"/>
            </w:tcBorders>
            <w:tcMar>
              <w:top w:w="0" w:type="dxa"/>
              <w:left w:w="108" w:type="dxa"/>
              <w:bottom w:w="0" w:type="dxa"/>
              <w:right w:w="108" w:type="dxa"/>
            </w:tcMar>
          </w:tcPr>
          <w:p w14:paraId="746D38CA" w14:textId="77777777" w:rsidR="0059627B" w:rsidRDefault="007B1972">
            <w:pPr>
              <w:jc w:val="center"/>
              <w:rPr>
                <w:color w:val="000000"/>
              </w:rPr>
            </w:pPr>
            <w:proofErr w:type="spellStart"/>
            <w:r>
              <w:rPr>
                <w:b/>
                <w:color w:val="000000"/>
              </w:rPr>
              <w:t>ASD</w:t>
            </w:r>
            <w:proofErr w:type="spellEnd"/>
          </w:p>
        </w:tc>
        <w:tc>
          <w:tcPr>
            <w:tcW w:w="904" w:type="dxa"/>
            <w:tcBorders>
              <w:top w:val="nil"/>
              <w:left w:val="nil"/>
              <w:bottom w:val="single" w:sz="4" w:space="0" w:color="000000"/>
              <w:right w:val="nil"/>
            </w:tcBorders>
            <w:tcMar>
              <w:top w:w="0" w:type="dxa"/>
              <w:left w:w="108" w:type="dxa"/>
              <w:bottom w:w="0" w:type="dxa"/>
              <w:right w:w="108" w:type="dxa"/>
            </w:tcMar>
          </w:tcPr>
          <w:p w14:paraId="1D288589" w14:textId="77777777" w:rsidR="0059627B" w:rsidRDefault="007B1972">
            <w:pPr>
              <w:jc w:val="center"/>
              <w:rPr>
                <w:color w:val="000000"/>
              </w:rPr>
            </w:pPr>
            <w:r>
              <w:rPr>
                <w:b/>
                <w:color w:val="000000"/>
              </w:rPr>
              <w:t>SEND</w:t>
            </w:r>
          </w:p>
        </w:tc>
        <w:tc>
          <w:tcPr>
            <w:tcW w:w="870" w:type="dxa"/>
            <w:tcBorders>
              <w:top w:val="nil"/>
              <w:left w:val="nil"/>
              <w:right w:val="nil"/>
            </w:tcBorders>
            <w:tcMar>
              <w:top w:w="0" w:type="dxa"/>
              <w:left w:w="108" w:type="dxa"/>
              <w:bottom w:w="0" w:type="dxa"/>
              <w:right w:w="108" w:type="dxa"/>
            </w:tcMar>
          </w:tcPr>
          <w:p w14:paraId="36979ED4" w14:textId="77777777" w:rsidR="0059627B" w:rsidRDefault="007B1972">
            <w:pPr>
              <w:jc w:val="center"/>
              <w:rPr>
                <w:color w:val="000000"/>
              </w:rPr>
            </w:pPr>
            <w:r>
              <w:rPr>
                <w:b/>
                <w:color w:val="000000"/>
              </w:rPr>
              <w:t>All</w:t>
            </w:r>
          </w:p>
        </w:tc>
        <w:tc>
          <w:tcPr>
            <w:tcW w:w="870" w:type="dxa"/>
            <w:tcBorders>
              <w:top w:val="nil"/>
              <w:left w:val="nil"/>
              <w:right w:val="nil"/>
            </w:tcBorders>
            <w:tcMar>
              <w:top w:w="0" w:type="dxa"/>
              <w:left w:w="108" w:type="dxa"/>
              <w:bottom w:w="0" w:type="dxa"/>
              <w:right w:w="108" w:type="dxa"/>
            </w:tcMar>
          </w:tcPr>
          <w:p w14:paraId="71B4FE7C" w14:textId="77777777" w:rsidR="0059627B" w:rsidRDefault="007B1972">
            <w:pPr>
              <w:jc w:val="center"/>
              <w:rPr>
                <w:color w:val="000000"/>
              </w:rPr>
            </w:pPr>
            <w:proofErr w:type="spellStart"/>
            <w:r>
              <w:rPr>
                <w:b/>
                <w:color w:val="000000"/>
              </w:rPr>
              <w:t>ASD</w:t>
            </w:r>
            <w:proofErr w:type="spellEnd"/>
          </w:p>
        </w:tc>
        <w:tc>
          <w:tcPr>
            <w:tcW w:w="904" w:type="dxa"/>
            <w:tcBorders>
              <w:top w:val="nil"/>
              <w:left w:val="nil"/>
              <w:right w:val="nil"/>
            </w:tcBorders>
            <w:tcMar>
              <w:top w:w="0" w:type="dxa"/>
              <w:left w:w="108" w:type="dxa"/>
              <w:bottom w:w="0" w:type="dxa"/>
              <w:right w:w="108" w:type="dxa"/>
            </w:tcMar>
          </w:tcPr>
          <w:p w14:paraId="4793C239" w14:textId="77777777" w:rsidR="0059627B" w:rsidRDefault="007B1972">
            <w:pPr>
              <w:jc w:val="center"/>
              <w:rPr>
                <w:color w:val="000000"/>
              </w:rPr>
            </w:pPr>
            <w:r>
              <w:rPr>
                <w:b/>
                <w:color w:val="000000"/>
              </w:rPr>
              <w:t>SEND</w:t>
            </w:r>
          </w:p>
        </w:tc>
        <w:tc>
          <w:tcPr>
            <w:tcW w:w="870" w:type="dxa"/>
            <w:tcBorders>
              <w:top w:val="nil"/>
              <w:left w:val="nil"/>
              <w:right w:val="nil"/>
            </w:tcBorders>
            <w:tcMar>
              <w:top w:w="0" w:type="dxa"/>
              <w:left w:w="108" w:type="dxa"/>
              <w:bottom w:w="0" w:type="dxa"/>
              <w:right w:w="108" w:type="dxa"/>
            </w:tcMar>
          </w:tcPr>
          <w:p w14:paraId="0A8EE332" w14:textId="77777777" w:rsidR="0059627B" w:rsidRDefault="007B1972">
            <w:pPr>
              <w:jc w:val="center"/>
              <w:rPr>
                <w:color w:val="000000"/>
              </w:rPr>
            </w:pPr>
            <w:r>
              <w:rPr>
                <w:b/>
                <w:color w:val="000000"/>
              </w:rPr>
              <w:t>All</w:t>
            </w:r>
          </w:p>
        </w:tc>
        <w:tc>
          <w:tcPr>
            <w:tcW w:w="870" w:type="dxa"/>
            <w:tcBorders>
              <w:top w:val="nil"/>
              <w:left w:val="nil"/>
              <w:right w:val="nil"/>
            </w:tcBorders>
            <w:tcMar>
              <w:top w:w="0" w:type="dxa"/>
              <w:left w:w="108" w:type="dxa"/>
              <w:bottom w:w="0" w:type="dxa"/>
              <w:right w:w="108" w:type="dxa"/>
            </w:tcMar>
          </w:tcPr>
          <w:p w14:paraId="26AEAA84" w14:textId="77777777" w:rsidR="0059627B" w:rsidRDefault="007B1972">
            <w:pPr>
              <w:jc w:val="center"/>
              <w:rPr>
                <w:color w:val="000000"/>
              </w:rPr>
            </w:pPr>
            <w:proofErr w:type="spellStart"/>
            <w:r>
              <w:rPr>
                <w:b/>
                <w:color w:val="000000"/>
              </w:rPr>
              <w:t>ASD</w:t>
            </w:r>
            <w:proofErr w:type="spellEnd"/>
          </w:p>
        </w:tc>
        <w:tc>
          <w:tcPr>
            <w:tcW w:w="904" w:type="dxa"/>
            <w:tcBorders>
              <w:top w:val="nil"/>
              <w:left w:val="nil"/>
              <w:right w:val="nil"/>
            </w:tcBorders>
            <w:tcMar>
              <w:top w:w="0" w:type="dxa"/>
              <w:left w:w="108" w:type="dxa"/>
              <w:bottom w:w="0" w:type="dxa"/>
              <w:right w:w="108" w:type="dxa"/>
            </w:tcMar>
          </w:tcPr>
          <w:p w14:paraId="15D04A05" w14:textId="77777777" w:rsidR="0059627B" w:rsidRDefault="007B1972">
            <w:pPr>
              <w:jc w:val="center"/>
              <w:rPr>
                <w:color w:val="000000"/>
              </w:rPr>
            </w:pPr>
            <w:r>
              <w:rPr>
                <w:b/>
                <w:color w:val="000000"/>
              </w:rPr>
              <w:t>SEND</w:t>
            </w:r>
          </w:p>
        </w:tc>
      </w:tr>
      <w:tr w:rsidR="0059627B" w14:paraId="465DED5D" w14:textId="77777777">
        <w:trPr>
          <w:jc w:val="center"/>
        </w:trPr>
        <w:tc>
          <w:tcPr>
            <w:tcW w:w="3264" w:type="dxa"/>
            <w:tcBorders>
              <w:top w:val="single" w:sz="4" w:space="0" w:color="000000"/>
              <w:left w:val="nil"/>
              <w:bottom w:val="nil"/>
              <w:right w:val="nil"/>
            </w:tcBorders>
            <w:tcMar>
              <w:top w:w="0" w:type="dxa"/>
              <w:left w:w="108" w:type="dxa"/>
              <w:bottom w:w="0" w:type="dxa"/>
              <w:right w:w="108" w:type="dxa"/>
            </w:tcMar>
          </w:tcPr>
          <w:p w14:paraId="0CF67BE0" w14:textId="77777777" w:rsidR="0059627B" w:rsidRDefault="007B1972">
            <w:pPr>
              <w:rPr>
                <w:color w:val="000000"/>
              </w:rPr>
            </w:pPr>
            <w:r>
              <w:rPr>
                <w:b/>
                <w:color w:val="000000"/>
              </w:rPr>
              <w:t>Worry</w:t>
            </w:r>
          </w:p>
        </w:tc>
        <w:tc>
          <w:tcPr>
            <w:tcW w:w="10819" w:type="dxa"/>
            <w:gridSpan w:val="12"/>
            <w:tcBorders>
              <w:top w:val="single" w:sz="4" w:space="0" w:color="000000"/>
              <w:left w:val="nil"/>
              <w:bottom w:val="nil"/>
            </w:tcBorders>
            <w:tcMar>
              <w:top w:w="0" w:type="dxa"/>
              <w:left w:w="108" w:type="dxa"/>
              <w:bottom w:w="0" w:type="dxa"/>
              <w:right w:w="108" w:type="dxa"/>
            </w:tcMar>
          </w:tcPr>
          <w:p w14:paraId="66FB00E3" w14:textId="77777777" w:rsidR="0059627B" w:rsidRDefault="0059627B">
            <w:pPr>
              <w:jc w:val="center"/>
              <w:rPr>
                <w:color w:val="000000"/>
              </w:rPr>
            </w:pPr>
          </w:p>
        </w:tc>
      </w:tr>
      <w:tr w:rsidR="0059627B" w14:paraId="18EA991D" w14:textId="77777777">
        <w:trPr>
          <w:jc w:val="center"/>
        </w:trPr>
        <w:tc>
          <w:tcPr>
            <w:tcW w:w="3264" w:type="dxa"/>
            <w:tcBorders>
              <w:top w:val="nil"/>
              <w:left w:val="nil"/>
              <w:bottom w:val="nil"/>
              <w:right w:val="nil"/>
            </w:tcBorders>
            <w:tcMar>
              <w:top w:w="0" w:type="dxa"/>
              <w:left w:w="108" w:type="dxa"/>
              <w:bottom w:w="0" w:type="dxa"/>
              <w:right w:w="108" w:type="dxa"/>
            </w:tcMar>
          </w:tcPr>
          <w:p w14:paraId="1C67EE04" w14:textId="77777777" w:rsidR="0059627B" w:rsidRDefault="007B1972">
            <w:pPr>
              <w:rPr>
                <w:color w:val="000000"/>
              </w:rPr>
            </w:pPr>
            <w:r>
              <w:rPr>
                <w:color w:val="000000"/>
              </w:rPr>
              <w:t>Anxiety (P)</w:t>
            </w:r>
          </w:p>
        </w:tc>
        <w:tc>
          <w:tcPr>
            <w:tcW w:w="1113" w:type="dxa"/>
            <w:tcBorders>
              <w:top w:val="nil"/>
              <w:left w:val="nil"/>
              <w:bottom w:val="nil"/>
              <w:right w:val="nil"/>
            </w:tcBorders>
            <w:tcMar>
              <w:top w:w="0" w:type="dxa"/>
              <w:left w:w="108" w:type="dxa"/>
              <w:bottom w:w="0" w:type="dxa"/>
              <w:right w:w="108" w:type="dxa"/>
            </w:tcMar>
          </w:tcPr>
          <w:p w14:paraId="5A22D223" w14:textId="77777777" w:rsidR="0059627B" w:rsidRDefault="007B1972">
            <w:pPr>
              <w:jc w:val="center"/>
              <w:rPr>
                <w:color w:val="000000"/>
              </w:rPr>
            </w:pPr>
            <w:r>
              <w:rPr>
                <w:color w:val="000000"/>
              </w:rPr>
              <w:t>107 (38%)</w:t>
            </w:r>
          </w:p>
        </w:tc>
        <w:tc>
          <w:tcPr>
            <w:tcW w:w="870" w:type="dxa"/>
            <w:tcBorders>
              <w:top w:val="nil"/>
              <w:left w:val="nil"/>
              <w:bottom w:val="nil"/>
              <w:right w:val="nil"/>
            </w:tcBorders>
            <w:tcMar>
              <w:top w:w="0" w:type="dxa"/>
              <w:left w:w="108" w:type="dxa"/>
              <w:bottom w:w="0" w:type="dxa"/>
              <w:right w:w="108" w:type="dxa"/>
            </w:tcMar>
          </w:tcPr>
          <w:p w14:paraId="04E47BE2" w14:textId="77777777" w:rsidR="0059627B" w:rsidRDefault="007B1972">
            <w:pPr>
              <w:jc w:val="center"/>
              <w:rPr>
                <w:color w:val="000000"/>
              </w:rPr>
            </w:pPr>
            <w:r>
              <w:rPr>
                <w:color w:val="000000"/>
              </w:rPr>
              <w:t>77 (34%)</w:t>
            </w:r>
          </w:p>
        </w:tc>
        <w:tc>
          <w:tcPr>
            <w:tcW w:w="904" w:type="dxa"/>
            <w:tcBorders>
              <w:top w:val="nil"/>
              <w:left w:val="nil"/>
              <w:bottom w:val="nil"/>
              <w:right w:val="nil"/>
            </w:tcBorders>
            <w:tcMar>
              <w:top w:w="0" w:type="dxa"/>
              <w:left w:w="108" w:type="dxa"/>
              <w:bottom w:w="0" w:type="dxa"/>
              <w:right w:w="108" w:type="dxa"/>
            </w:tcMar>
          </w:tcPr>
          <w:p w14:paraId="4C71478C" w14:textId="77777777" w:rsidR="0059627B" w:rsidRDefault="007B1972">
            <w:pPr>
              <w:jc w:val="center"/>
              <w:rPr>
                <w:color w:val="000000"/>
              </w:rPr>
            </w:pPr>
            <w:r>
              <w:rPr>
                <w:color w:val="000000"/>
              </w:rPr>
              <w:t>30 (52%)</w:t>
            </w:r>
          </w:p>
        </w:tc>
        <w:tc>
          <w:tcPr>
            <w:tcW w:w="870" w:type="dxa"/>
            <w:tcBorders>
              <w:top w:val="nil"/>
              <w:left w:val="nil"/>
              <w:bottom w:val="nil"/>
              <w:right w:val="nil"/>
            </w:tcBorders>
            <w:tcMar>
              <w:top w:w="0" w:type="dxa"/>
              <w:left w:w="108" w:type="dxa"/>
              <w:bottom w:w="0" w:type="dxa"/>
              <w:right w:w="108" w:type="dxa"/>
            </w:tcMar>
          </w:tcPr>
          <w:p w14:paraId="30D29369" w14:textId="77777777" w:rsidR="0059627B" w:rsidRDefault="007B1972">
            <w:pPr>
              <w:jc w:val="center"/>
              <w:rPr>
                <w:color w:val="000000"/>
              </w:rPr>
            </w:pPr>
            <w:r>
              <w:rPr>
                <w:color w:val="000000"/>
              </w:rPr>
              <w:t>60 (28%)</w:t>
            </w:r>
          </w:p>
        </w:tc>
        <w:tc>
          <w:tcPr>
            <w:tcW w:w="870" w:type="dxa"/>
            <w:tcBorders>
              <w:top w:val="nil"/>
              <w:left w:val="nil"/>
              <w:bottom w:val="nil"/>
              <w:right w:val="nil"/>
            </w:tcBorders>
            <w:tcMar>
              <w:top w:w="0" w:type="dxa"/>
              <w:left w:w="108" w:type="dxa"/>
              <w:bottom w:w="0" w:type="dxa"/>
              <w:right w:w="108" w:type="dxa"/>
            </w:tcMar>
          </w:tcPr>
          <w:p w14:paraId="196DFCE9" w14:textId="77777777" w:rsidR="0059627B" w:rsidRDefault="007B1972">
            <w:pPr>
              <w:jc w:val="center"/>
              <w:rPr>
                <w:color w:val="000000"/>
              </w:rPr>
            </w:pPr>
            <w:r>
              <w:rPr>
                <w:color w:val="000000"/>
              </w:rPr>
              <w:t>49 (29%)</w:t>
            </w:r>
          </w:p>
        </w:tc>
        <w:tc>
          <w:tcPr>
            <w:tcW w:w="904" w:type="dxa"/>
            <w:tcBorders>
              <w:top w:val="nil"/>
              <w:left w:val="nil"/>
              <w:bottom w:val="nil"/>
              <w:right w:val="nil"/>
            </w:tcBorders>
            <w:tcMar>
              <w:top w:w="0" w:type="dxa"/>
              <w:left w:w="108" w:type="dxa"/>
              <w:bottom w:w="0" w:type="dxa"/>
              <w:right w:w="108" w:type="dxa"/>
            </w:tcMar>
          </w:tcPr>
          <w:p w14:paraId="2B8C415A" w14:textId="77777777" w:rsidR="0059627B" w:rsidRDefault="007B1972">
            <w:pPr>
              <w:jc w:val="center"/>
              <w:rPr>
                <w:color w:val="000000"/>
              </w:rPr>
            </w:pPr>
            <w:r>
              <w:rPr>
                <w:color w:val="000000"/>
              </w:rPr>
              <w:t>11 (28%)</w:t>
            </w:r>
          </w:p>
        </w:tc>
        <w:tc>
          <w:tcPr>
            <w:tcW w:w="870" w:type="dxa"/>
            <w:tcBorders>
              <w:top w:val="nil"/>
              <w:left w:val="nil"/>
              <w:bottom w:val="nil"/>
              <w:right w:val="nil"/>
            </w:tcBorders>
            <w:tcMar>
              <w:top w:w="0" w:type="dxa"/>
              <w:left w:w="108" w:type="dxa"/>
              <w:bottom w:w="0" w:type="dxa"/>
              <w:right w:w="108" w:type="dxa"/>
            </w:tcMar>
          </w:tcPr>
          <w:p w14:paraId="3EB3D0D8" w14:textId="77777777" w:rsidR="0059627B" w:rsidRDefault="007B1972">
            <w:pPr>
              <w:jc w:val="center"/>
              <w:rPr>
                <w:color w:val="000000"/>
              </w:rPr>
            </w:pPr>
            <w:r>
              <w:rPr>
                <w:color w:val="000000"/>
              </w:rPr>
              <w:t>21 (20%)</w:t>
            </w:r>
          </w:p>
        </w:tc>
        <w:tc>
          <w:tcPr>
            <w:tcW w:w="870" w:type="dxa"/>
            <w:tcBorders>
              <w:top w:val="nil"/>
              <w:left w:val="nil"/>
              <w:bottom w:val="nil"/>
              <w:right w:val="nil"/>
            </w:tcBorders>
            <w:tcMar>
              <w:top w:w="0" w:type="dxa"/>
              <w:left w:w="108" w:type="dxa"/>
              <w:bottom w:w="0" w:type="dxa"/>
              <w:right w:w="108" w:type="dxa"/>
            </w:tcMar>
          </w:tcPr>
          <w:p w14:paraId="135FBC53" w14:textId="77777777" w:rsidR="0059627B" w:rsidRDefault="007B1972">
            <w:pPr>
              <w:jc w:val="center"/>
              <w:rPr>
                <w:color w:val="000000"/>
              </w:rPr>
            </w:pPr>
            <w:r>
              <w:rPr>
                <w:color w:val="000000"/>
              </w:rPr>
              <w:t>12 (16%)</w:t>
            </w:r>
          </w:p>
        </w:tc>
        <w:tc>
          <w:tcPr>
            <w:tcW w:w="904" w:type="dxa"/>
            <w:tcBorders>
              <w:top w:val="nil"/>
              <w:left w:val="nil"/>
              <w:bottom w:val="nil"/>
              <w:right w:val="nil"/>
            </w:tcBorders>
            <w:tcMar>
              <w:top w:w="0" w:type="dxa"/>
              <w:left w:w="108" w:type="dxa"/>
              <w:bottom w:w="0" w:type="dxa"/>
              <w:right w:w="108" w:type="dxa"/>
            </w:tcMar>
          </w:tcPr>
          <w:p w14:paraId="5AC86510" w14:textId="77777777" w:rsidR="0059627B" w:rsidRDefault="007B1972">
            <w:pPr>
              <w:jc w:val="center"/>
              <w:rPr>
                <w:color w:val="000000"/>
              </w:rPr>
            </w:pPr>
            <w:r>
              <w:rPr>
                <w:color w:val="000000"/>
              </w:rPr>
              <w:t>9 (29%)</w:t>
            </w:r>
          </w:p>
        </w:tc>
        <w:tc>
          <w:tcPr>
            <w:tcW w:w="870" w:type="dxa"/>
            <w:tcBorders>
              <w:top w:val="nil"/>
              <w:left w:val="nil"/>
              <w:bottom w:val="nil"/>
              <w:right w:val="nil"/>
            </w:tcBorders>
            <w:tcMar>
              <w:top w:w="0" w:type="dxa"/>
              <w:left w:w="108" w:type="dxa"/>
              <w:bottom w:w="0" w:type="dxa"/>
              <w:right w:w="108" w:type="dxa"/>
            </w:tcMar>
          </w:tcPr>
          <w:p w14:paraId="54D9F765" w14:textId="77777777" w:rsidR="0059627B" w:rsidRDefault="007B1972">
            <w:pPr>
              <w:jc w:val="center"/>
              <w:rPr>
                <w:color w:val="000000"/>
              </w:rPr>
            </w:pPr>
            <w:r>
              <w:rPr>
                <w:color w:val="000000"/>
              </w:rPr>
              <w:t>47 (26%)</w:t>
            </w:r>
          </w:p>
        </w:tc>
        <w:tc>
          <w:tcPr>
            <w:tcW w:w="870" w:type="dxa"/>
            <w:tcBorders>
              <w:top w:val="nil"/>
              <w:left w:val="nil"/>
              <w:bottom w:val="nil"/>
              <w:right w:val="nil"/>
            </w:tcBorders>
            <w:tcMar>
              <w:top w:w="0" w:type="dxa"/>
              <w:left w:w="108" w:type="dxa"/>
              <w:bottom w:w="0" w:type="dxa"/>
              <w:right w:w="108" w:type="dxa"/>
            </w:tcMar>
          </w:tcPr>
          <w:p w14:paraId="48F4BCB3" w14:textId="77777777" w:rsidR="0059627B" w:rsidRDefault="007B1972">
            <w:pPr>
              <w:jc w:val="center"/>
              <w:rPr>
                <w:color w:val="000000"/>
              </w:rPr>
            </w:pPr>
            <w:r>
              <w:rPr>
                <w:color w:val="000000"/>
              </w:rPr>
              <w:t>39 (28%)</w:t>
            </w:r>
          </w:p>
        </w:tc>
        <w:tc>
          <w:tcPr>
            <w:tcW w:w="904" w:type="dxa"/>
            <w:tcBorders>
              <w:top w:val="nil"/>
              <w:left w:val="nil"/>
              <w:bottom w:val="nil"/>
              <w:right w:val="nil"/>
            </w:tcBorders>
            <w:tcMar>
              <w:top w:w="0" w:type="dxa"/>
              <w:left w:w="108" w:type="dxa"/>
              <w:bottom w:w="0" w:type="dxa"/>
              <w:right w:w="108" w:type="dxa"/>
            </w:tcMar>
          </w:tcPr>
          <w:p w14:paraId="6FF80527" w14:textId="77777777" w:rsidR="0059627B" w:rsidRDefault="007B1972">
            <w:pPr>
              <w:jc w:val="center"/>
              <w:rPr>
                <w:color w:val="000000"/>
              </w:rPr>
            </w:pPr>
            <w:r>
              <w:rPr>
                <w:color w:val="000000"/>
              </w:rPr>
              <w:t>8 (18%)</w:t>
            </w:r>
          </w:p>
        </w:tc>
      </w:tr>
      <w:tr w:rsidR="0059627B" w14:paraId="320B907F" w14:textId="77777777">
        <w:trPr>
          <w:jc w:val="center"/>
        </w:trPr>
        <w:tc>
          <w:tcPr>
            <w:tcW w:w="3264" w:type="dxa"/>
            <w:tcBorders>
              <w:top w:val="nil"/>
              <w:left w:val="nil"/>
              <w:bottom w:val="nil"/>
              <w:right w:val="nil"/>
            </w:tcBorders>
            <w:tcMar>
              <w:top w:w="0" w:type="dxa"/>
              <w:left w:w="108" w:type="dxa"/>
              <w:bottom w:w="0" w:type="dxa"/>
              <w:right w:w="108" w:type="dxa"/>
            </w:tcMar>
          </w:tcPr>
          <w:p w14:paraId="7B00AF65" w14:textId="77777777" w:rsidR="0059627B" w:rsidRDefault="007B1972">
            <w:pPr>
              <w:rPr>
                <w:color w:val="000000"/>
              </w:rPr>
            </w:pPr>
            <w:r>
              <w:rPr>
                <w:color w:val="000000"/>
              </w:rPr>
              <w:t>Anxiety (C)</w:t>
            </w:r>
          </w:p>
        </w:tc>
        <w:tc>
          <w:tcPr>
            <w:tcW w:w="1113" w:type="dxa"/>
            <w:tcBorders>
              <w:top w:val="nil"/>
              <w:left w:val="nil"/>
              <w:bottom w:val="nil"/>
              <w:right w:val="nil"/>
            </w:tcBorders>
            <w:tcMar>
              <w:top w:w="0" w:type="dxa"/>
              <w:left w:w="108" w:type="dxa"/>
              <w:bottom w:w="0" w:type="dxa"/>
              <w:right w:w="108" w:type="dxa"/>
            </w:tcMar>
          </w:tcPr>
          <w:p w14:paraId="6455A8EE" w14:textId="77777777" w:rsidR="0059627B" w:rsidRDefault="007B1972">
            <w:pPr>
              <w:jc w:val="center"/>
              <w:rPr>
                <w:color w:val="000000"/>
              </w:rPr>
            </w:pPr>
            <w:r>
              <w:rPr>
                <w:color w:val="000000"/>
              </w:rPr>
              <w:t>86 (30%)</w:t>
            </w:r>
          </w:p>
        </w:tc>
        <w:tc>
          <w:tcPr>
            <w:tcW w:w="870" w:type="dxa"/>
            <w:tcBorders>
              <w:top w:val="nil"/>
              <w:left w:val="nil"/>
              <w:bottom w:val="nil"/>
              <w:right w:val="nil"/>
            </w:tcBorders>
            <w:tcMar>
              <w:top w:w="0" w:type="dxa"/>
              <w:left w:w="108" w:type="dxa"/>
              <w:bottom w:w="0" w:type="dxa"/>
              <w:right w:w="108" w:type="dxa"/>
            </w:tcMar>
          </w:tcPr>
          <w:p w14:paraId="453E9A63" w14:textId="77777777" w:rsidR="0059627B" w:rsidRDefault="007B1972">
            <w:pPr>
              <w:jc w:val="center"/>
              <w:rPr>
                <w:color w:val="000000"/>
              </w:rPr>
            </w:pPr>
            <w:r>
              <w:rPr>
                <w:color w:val="000000"/>
              </w:rPr>
              <w:t>75 (33%)</w:t>
            </w:r>
          </w:p>
        </w:tc>
        <w:tc>
          <w:tcPr>
            <w:tcW w:w="904" w:type="dxa"/>
            <w:tcBorders>
              <w:top w:val="nil"/>
              <w:left w:val="nil"/>
              <w:bottom w:val="nil"/>
              <w:right w:val="nil"/>
            </w:tcBorders>
            <w:tcMar>
              <w:top w:w="0" w:type="dxa"/>
              <w:left w:w="108" w:type="dxa"/>
              <w:bottom w:w="0" w:type="dxa"/>
              <w:right w:w="108" w:type="dxa"/>
            </w:tcMar>
          </w:tcPr>
          <w:p w14:paraId="0DB59F56" w14:textId="77777777" w:rsidR="0059627B" w:rsidRDefault="007B1972">
            <w:pPr>
              <w:jc w:val="center"/>
              <w:rPr>
                <w:color w:val="000000"/>
              </w:rPr>
            </w:pPr>
            <w:r>
              <w:rPr>
                <w:color w:val="000000"/>
              </w:rPr>
              <w:t>11 (19%)</w:t>
            </w:r>
          </w:p>
        </w:tc>
        <w:tc>
          <w:tcPr>
            <w:tcW w:w="870" w:type="dxa"/>
            <w:tcBorders>
              <w:top w:val="nil"/>
              <w:left w:val="nil"/>
              <w:bottom w:val="nil"/>
              <w:right w:val="nil"/>
            </w:tcBorders>
            <w:tcMar>
              <w:top w:w="0" w:type="dxa"/>
              <w:left w:w="108" w:type="dxa"/>
              <w:bottom w:w="0" w:type="dxa"/>
              <w:right w:w="108" w:type="dxa"/>
            </w:tcMar>
          </w:tcPr>
          <w:p w14:paraId="0BAE51C7" w14:textId="77777777" w:rsidR="0059627B" w:rsidRDefault="007B1972">
            <w:pPr>
              <w:jc w:val="center"/>
              <w:rPr>
                <w:color w:val="000000"/>
              </w:rPr>
            </w:pPr>
            <w:r>
              <w:rPr>
                <w:color w:val="000000"/>
              </w:rPr>
              <w:t>65 (31%)</w:t>
            </w:r>
          </w:p>
        </w:tc>
        <w:tc>
          <w:tcPr>
            <w:tcW w:w="870" w:type="dxa"/>
            <w:tcBorders>
              <w:top w:val="nil"/>
              <w:left w:val="nil"/>
              <w:bottom w:val="nil"/>
              <w:right w:val="nil"/>
            </w:tcBorders>
            <w:tcMar>
              <w:top w:w="0" w:type="dxa"/>
              <w:left w:w="108" w:type="dxa"/>
              <w:bottom w:w="0" w:type="dxa"/>
              <w:right w:w="108" w:type="dxa"/>
            </w:tcMar>
          </w:tcPr>
          <w:p w14:paraId="3984073A" w14:textId="77777777" w:rsidR="0059627B" w:rsidRDefault="007B1972">
            <w:pPr>
              <w:jc w:val="center"/>
              <w:rPr>
                <w:color w:val="000000"/>
              </w:rPr>
            </w:pPr>
            <w:r>
              <w:rPr>
                <w:color w:val="000000"/>
              </w:rPr>
              <w:t>50 (29%)</w:t>
            </w:r>
          </w:p>
        </w:tc>
        <w:tc>
          <w:tcPr>
            <w:tcW w:w="904" w:type="dxa"/>
            <w:tcBorders>
              <w:top w:val="nil"/>
              <w:left w:val="nil"/>
              <w:bottom w:val="nil"/>
              <w:right w:val="nil"/>
            </w:tcBorders>
            <w:tcMar>
              <w:top w:w="0" w:type="dxa"/>
              <w:left w:w="108" w:type="dxa"/>
              <w:bottom w:w="0" w:type="dxa"/>
              <w:right w:w="108" w:type="dxa"/>
            </w:tcMar>
          </w:tcPr>
          <w:p w14:paraId="1915FDEF" w14:textId="77777777" w:rsidR="0059627B" w:rsidRDefault="007B1972">
            <w:pPr>
              <w:jc w:val="center"/>
              <w:rPr>
                <w:color w:val="000000"/>
              </w:rPr>
            </w:pPr>
            <w:r>
              <w:rPr>
                <w:color w:val="000000"/>
              </w:rPr>
              <w:t>15 (38%)</w:t>
            </w:r>
          </w:p>
        </w:tc>
        <w:tc>
          <w:tcPr>
            <w:tcW w:w="870" w:type="dxa"/>
            <w:tcBorders>
              <w:top w:val="nil"/>
              <w:left w:val="nil"/>
              <w:bottom w:val="nil"/>
              <w:right w:val="nil"/>
            </w:tcBorders>
            <w:tcMar>
              <w:top w:w="0" w:type="dxa"/>
              <w:left w:w="108" w:type="dxa"/>
              <w:bottom w:w="0" w:type="dxa"/>
              <w:right w:w="108" w:type="dxa"/>
            </w:tcMar>
          </w:tcPr>
          <w:p w14:paraId="7BBB86B3" w14:textId="77777777" w:rsidR="0059627B" w:rsidRDefault="007B1972">
            <w:pPr>
              <w:jc w:val="center"/>
              <w:rPr>
                <w:color w:val="000000"/>
              </w:rPr>
            </w:pPr>
            <w:r>
              <w:rPr>
                <w:color w:val="000000"/>
              </w:rPr>
              <w:t>21 (20%)</w:t>
            </w:r>
          </w:p>
        </w:tc>
        <w:tc>
          <w:tcPr>
            <w:tcW w:w="870" w:type="dxa"/>
            <w:tcBorders>
              <w:top w:val="nil"/>
              <w:left w:val="nil"/>
              <w:bottom w:val="nil"/>
              <w:right w:val="nil"/>
            </w:tcBorders>
            <w:tcMar>
              <w:top w:w="0" w:type="dxa"/>
              <w:left w:w="108" w:type="dxa"/>
              <w:bottom w:w="0" w:type="dxa"/>
              <w:right w:w="108" w:type="dxa"/>
            </w:tcMar>
          </w:tcPr>
          <w:p w14:paraId="642B68CD" w14:textId="77777777" w:rsidR="0059627B" w:rsidRDefault="007B1972">
            <w:pPr>
              <w:jc w:val="center"/>
              <w:rPr>
                <w:color w:val="000000"/>
              </w:rPr>
            </w:pPr>
            <w:r>
              <w:rPr>
                <w:color w:val="000000"/>
              </w:rPr>
              <w:t>18 (25%)</w:t>
            </w:r>
          </w:p>
        </w:tc>
        <w:tc>
          <w:tcPr>
            <w:tcW w:w="904" w:type="dxa"/>
            <w:tcBorders>
              <w:top w:val="nil"/>
              <w:left w:val="nil"/>
              <w:bottom w:val="nil"/>
              <w:right w:val="nil"/>
            </w:tcBorders>
            <w:tcMar>
              <w:top w:w="0" w:type="dxa"/>
              <w:left w:w="108" w:type="dxa"/>
              <w:bottom w:w="0" w:type="dxa"/>
              <w:right w:w="108" w:type="dxa"/>
            </w:tcMar>
          </w:tcPr>
          <w:p w14:paraId="70607057" w14:textId="77777777" w:rsidR="0059627B" w:rsidRDefault="007B1972">
            <w:pPr>
              <w:jc w:val="center"/>
              <w:rPr>
                <w:color w:val="000000"/>
              </w:rPr>
            </w:pPr>
            <w:r>
              <w:rPr>
                <w:color w:val="000000"/>
              </w:rPr>
              <w:t>3 (10%)</w:t>
            </w:r>
          </w:p>
        </w:tc>
        <w:tc>
          <w:tcPr>
            <w:tcW w:w="870" w:type="dxa"/>
            <w:tcBorders>
              <w:top w:val="nil"/>
              <w:left w:val="nil"/>
              <w:bottom w:val="nil"/>
              <w:right w:val="nil"/>
            </w:tcBorders>
            <w:tcMar>
              <w:top w:w="0" w:type="dxa"/>
              <w:left w:w="108" w:type="dxa"/>
              <w:bottom w:w="0" w:type="dxa"/>
              <w:right w:w="108" w:type="dxa"/>
            </w:tcMar>
          </w:tcPr>
          <w:p w14:paraId="3EC29AB7" w14:textId="77777777" w:rsidR="0059627B" w:rsidRDefault="007B1972">
            <w:pPr>
              <w:jc w:val="center"/>
              <w:rPr>
                <w:color w:val="000000"/>
              </w:rPr>
            </w:pPr>
            <w:r>
              <w:rPr>
                <w:color w:val="000000"/>
              </w:rPr>
              <w:t>56 (31%)</w:t>
            </w:r>
          </w:p>
        </w:tc>
        <w:tc>
          <w:tcPr>
            <w:tcW w:w="870" w:type="dxa"/>
            <w:tcBorders>
              <w:top w:val="nil"/>
              <w:left w:val="nil"/>
              <w:bottom w:val="nil"/>
              <w:right w:val="nil"/>
            </w:tcBorders>
            <w:tcMar>
              <w:top w:w="0" w:type="dxa"/>
              <w:left w:w="108" w:type="dxa"/>
              <w:bottom w:w="0" w:type="dxa"/>
              <w:right w:w="108" w:type="dxa"/>
            </w:tcMar>
          </w:tcPr>
          <w:p w14:paraId="4AB6218A" w14:textId="77777777" w:rsidR="0059627B" w:rsidRDefault="007B1972">
            <w:pPr>
              <w:jc w:val="center"/>
              <w:rPr>
                <w:color w:val="000000"/>
              </w:rPr>
            </w:pPr>
            <w:r>
              <w:rPr>
                <w:color w:val="000000"/>
              </w:rPr>
              <w:t>41 (30%)</w:t>
            </w:r>
          </w:p>
        </w:tc>
        <w:tc>
          <w:tcPr>
            <w:tcW w:w="904" w:type="dxa"/>
            <w:tcBorders>
              <w:top w:val="nil"/>
              <w:left w:val="nil"/>
              <w:bottom w:val="nil"/>
              <w:right w:val="nil"/>
            </w:tcBorders>
            <w:tcMar>
              <w:top w:w="0" w:type="dxa"/>
              <w:left w:w="108" w:type="dxa"/>
              <w:bottom w:w="0" w:type="dxa"/>
              <w:right w:w="108" w:type="dxa"/>
            </w:tcMar>
          </w:tcPr>
          <w:p w14:paraId="48319AC7" w14:textId="77777777" w:rsidR="0059627B" w:rsidRDefault="007B1972">
            <w:pPr>
              <w:jc w:val="center"/>
              <w:rPr>
                <w:color w:val="000000"/>
              </w:rPr>
            </w:pPr>
            <w:r>
              <w:rPr>
                <w:color w:val="000000"/>
              </w:rPr>
              <w:t>15 (33%)</w:t>
            </w:r>
          </w:p>
        </w:tc>
      </w:tr>
      <w:tr w:rsidR="0059627B" w14:paraId="7AF9B6A4" w14:textId="77777777">
        <w:trPr>
          <w:jc w:val="center"/>
        </w:trPr>
        <w:tc>
          <w:tcPr>
            <w:tcW w:w="3264" w:type="dxa"/>
            <w:tcBorders>
              <w:top w:val="nil"/>
              <w:left w:val="nil"/>
              <w:bottom w:val="nil"/>
              <w:right w:val="nil"/>
            </w:tcBorders>
            <w:tcMar>
              <w:top w:w="0" w:type="dxa"/>
              <w:left w:w="108" w:type="dxa"/>
              <w:bottom w:w="0" w:type="dxa"/>
              <w:right w:w="108" w:type="dxa"/>
            </w:tcMar>
          </w:tcPr>
          <w:p w14:paraId="00B32791" w14:textId="77777777" w:rsidR="0059627B" w:rsidRDefault="007B1972">
            <w:pPr>
              <w:rPr>
                <w:color w:val="000000"/>
              </w:rPr>
            </w:pPr>
            <w:r>
              <w:rPr>
                <w:color w:val="000000"/>
              </w:rPr>
              <w:t>Fear (P)</w:t>
            </w:r>
          </w:p>
        </w:tc>
        <w:tc>
          <w:tcPr>
            <w:tcW w:w="1113" w:type="dxa"/>
            <w:tcBorders>
              <w:top w:val="nil"/>
              <w:left w:val="nil"/>
              <w:bottom w:val="nil"/>
              <w:right w:val="nil"/>
            </w:tcBorders>
            <w:tcMar>
              <w:top w:w="0" w:type="dxa"/>
              <w:left w:w="108" w:type="dxa"/>
              <w:bottom w:w="0" w:type="dxa"/>
              <w:right w:w="108" w:type="dxa"/>
            </w:tcMar>
          </w:tcPr>
          <w:p w14:paraId="74018777" w14:textId="77777777" w:rsidR="0059627B" w:rsidRDefault="007B1972">
            <w:pPr>
              <w:jc w:val="center"/>
              <w:rPr>
                <w:color w:val="000000"/>
              </w:rPr>
            </w:pPr>
            <w:r>
              <w:rPr>
                <w:color w:val="000000"/>
              </w:rPr>
              <w:t xml:space="preserve">25 </w:t>
            </w:r>
          </w:p>
          <w:p w14:paraId="79B6DD5C" w14:textId="77777777" w:rsidR="0059627B" w:rsidRDefault="007B1972">
            <w:pPr>
              <w:jc w:val="center"/>
              <w:rPr>
                <w:color w:val="000000"/>
              </w:rPr>
            </w:pPr>
            <w:r>
              <w:rPr>
                <w:color w:val="000000"/>
              </w:rPr>
              <w:t>(9%)</w:t>
            </w:r>
          </w:p>
        </w:tc>
        <w:tc>
          <w:tcPr>
            <w:tcW w:w="870" w:type="dxa"/>
            <w:tcBorders>
              <w:top w:val="nil"/>
              <w:left w:val="nil"/>
              <w:bottom w:val="nil"/>
              <w:right w:val="nil"/>
            </w:tcBorders>
            <w:tcMar>
              <w:top w:w="0" w:type="dxa"/>
              <w:left w:w="108" w:type="dxa"/>
              <w:bottom w:w="0" w:type="dxa"/>
              <w:right w:w="108" w:type="dxa"/>
            </w:tcMar>
          </w:tcPr>
          <w:p w14:paraId="775704D6" w14:textId="77777777" w:rsidR="0059627B" w:rsidRDefault="007B1972">
            <w:pPr>
              <w:jc w:val="center"/>
              <w:rPr>
                <w:color w:val="000000"/>
              </w:rPr>
            </w:pPr>
            <w:r>
              <w:rPr>
                <w:color w:val="000000"/>
              </w:rPr>
              <w:t>21 (9%)</w:t>
            </w:r>
          </w:p>
        </w:tc>
        <w:tc>
          <w:tcPr>
            <w:tcW w:w="904" w:type="dxa"/>
            <w:tcBorders>
              <w:top w:val="nil"/>
              <w:left w:val="nil"/>
              <w:bottom w:val="nil"/>
              <w:right w:val="nil"/>
            </w:tcBorders>
            <w:tcMar>
              <w:top w:w="0" w:type="dxa"/>
              <w:left w:w="108" w:type="dxa"/>
              <w:bottom w:w="0" w:type="dxa"/>
              <w:right w:w="108" w:type="dxa"/>
            </w:tcMar>
          </w:tcPr>
          <w:p w14:paraId="60616DAB" w14:textId="77777777" w:rsidR="0059627B" w:rsidRDefault="007B1972">
            <w:pPr>
              <w:jc w:val="center"/>
              <w:rPr>
                <w:color w:val="000000"/>
              </w:rPr>
            </w:pPr>
            <w:r>
              <w:rPr>
                <w:color w:val="000000"/>
              </w:rPr>
              <w:t xml:space="preserve">4 </w:t>
            </w:r>
          </w:p>
          <w:p w14:paraId="14B91091" w14:textId="77777777" w:rsidR="0059627B" w:rsidRDefault="007B1972">
            <w:pPr>
              <w:jc w:val="center"/>
              <w:rPr>
                <w:color w:val="000000"/>
              </w:rPr>
            </w:pPr>
            <w:r>
              <w:rPr>
                <w:color w:val="000000"/>
              </w:rPr>
              <w:t>(7%)</w:t>
            </w:r>
          </w:p>
        </w:tc>
        <w:tc>
          <w:tcPr>
            <w:tcW w:w="870" w:type="dxa"/>
            <w:tcBorders>
              <w:top w:val="nil"/>
              <w:left w:val="nil"/>
              <w:bottom w:val="nil"/>
              <w:right w:val="nil"/>
            </w:tcBorders>
            <w:tcMar>
              <w:top w:w="0" w:type="dxa"/>
              <w:left w:w="108" w:type="dxa"/>
              <w:bottom w:w="0" w:type="dxa"/>
              <w:right w:w="108" w:type="dxa"/>
            </w:tcMar>
          </w:tcPr>
          <w:p w14:paraId="1ABD3D2E" w14:textId="77777777" w:rsidR="0059627B" w:rsidRDefault="007B1972">
            <w:pPr>
              <w:jc w:val="center"/>
              <w:rPr>
                <w:color w:val="000000"/>
              </w:rPr>
            </w:pPr>
            <w:r>
              <w:rPr>
                <w:color w:val="000000"/>
              </w:rPr>
              <w:t>6 (3%)</w:t>
            </w:r>
          </w:p>
        </w:tc>
        <w:tc>
          <w:tcPr>
            <w:tcW w:w="870" w:type="dxa"/>
            <w:tcBorders>
              <w:top w:val="nil"/>
              <w:left w:val="nil"/>
              <w:bottom w:val="nil"/>
              <w:right w:val="nil"/>
            </w:tcBorders>
            <w:tcMar>
              <w:top w:w="0" w:type="dxa"/>
              <w:left w:w="108" w:type="dxa"/>
              <w:bottom w:w="0" w:type="dxa"/>
              <w:right w:w="108" w:type="dxa"/>
            </w:tcMar>
          </w:tcPr>
          <w:p w14:paraId="68E0D185" w14:textId="77777777" w:rsidR="0059627B" w:rsidRDefault="007B1972">
            <w:pPr>
              <w:jc w:val="center"/>
              <w:rPr>
                <w:color w:val="000000"/>
              </w:rPr>
            </w:pPr>
            <w:r>
              <w:rPr>
                <w:color w:val="000000"/>
              </w:rPr>
              <w:t>5 (3%)</w:t>
            </w:r>
          </w:p>
        </w:tc>
        <w:tc>
          <w:tcPr>
            <w:tcW w:w="904" w:type="dxa"/>
            <w:tcBorders>
              <w:top w:val="nil"/>
              <w:left w:val="nil"/>
              <w:bottom w:val="nil"/>
              <w:right w:val="nil"/>
            </w:tcBorders>
            <w:tcMar>
              <w:top w:w="0" w:type="dxa"/>
              <w:left w:w="108" w:type="dxa"/>
              <w:bottom w:w="0" w:type="dxa"/>
              <w:right w:w="108" w:type="dxa"/>
            </w:tcMar>
          </w:tcPr>
          <w:p w14:paraId="13D2C3EB" w14:textId="77777777" w:rsidR="0059627B" w:rsidRDefault="007B1972">
            <w:pPr>
              <w:jc w:val="center"/>
              <w:rPr>
                <w:color w:val="000000"/>
              </w:rPr>
            </w:pPr>
            <w:r>
              <w:rPr>
                <w:color w:val="000000"/>
              </w:rPr>
              <w:t xml:space="preserve">1 </w:t>
            </w:r>
          </w:p>
          <w:p w14:paraId="17B2D7BB" w14:textId="77777777" w:rsidR="0059627B" w:rsidRDefault="007B1972">
            <w:pPr>
              <w:jc w:val="center"/>
              <w:rPr>
                <w:color w:val="000000"/>
              </w:rPr>
            </w:pPr>
            <w:r>
              <w:rPr>
                <w:color w:val="000000"/>
              </w:rPr>
              <w:t>(3%)</w:t>
            </w:r>
          </w:p>
        </w:tc>
        <w:tc>
          <w:tcPr>
            <w:tcW w:w="870" w:type="dxa"/>
            <w:tcBorders>
              <w:top w:val="nil"/>
              <w:left w:val="nil"/>
              <w:bottom w:val="nil"/>
              <w:right w:val="nil"/>
            </w:tcBorders>
            <w:tcMar>
              <w:top w:w="0" w:type="dxa"/>
              <w:left w:w="108" w:type="dxa"/>
              <w:bottom w:w="0" w:type="dxa"/>
              <w:right w:w="108" w:type="dxa"/>
            </w:tcMar>
          </w:tcPr>
          <w:p w14:paraId="430ACDBE" w14:textId="77777777" w:rsidR="0059627B" w:rsidRDefault="007B1972">
            <w:pPr>
              <w:jc w:val="center"/>
              <w:rPr>
                <w:color w:val="000000"/>
              </w:rPr>
            </w:pPr>
            <w:r>
              <w:rPr>
                <w:color w:val="000000"/>
              </w:rPr>
              <w:t>2 (2%)</w:t>
            </w:r>
          </w:p>
        </w:tc>
        <w:tc>
          <w:tcPr>
            <w:tcW w:w="870" w:type="dxa"/>
            <w:tcBorders>
              <w:top w:val="nil"/>
              <w:left w:val="nil"/>
              <w:bottom w:val="nil"/>
              <w:right w:val="nil"/>
            </w:tcBorders>
            <w:tcMar>
              <w:top w:w="0" w:type="dxa"/>
              <w:left w:w="108" w:type="dxa"/>
              <w:bottom w:w="0" w:type="dxa"/>
              <w:right w:w="108" w:type="dxa"/>
            </w:tcMar>
          </w:tcPr>
          <w:p w14:paraId="1083BD54" w14:textId="77777777" w:rsidR="0059627B" w:rsidRDefault="007B1972">
            <w:pPr>
              <w:jc w:val="center"/>
              <w:rPr>
                <w:color w:val="000000"/>
              </w:rPr>
            </w:pPr>
            <w:r>
              <w:rPr>
                <w:color w:val="000000"/>
              </w:rPr>
              <w:t>2 (3%)</w:t>
            </w:r>
          </w:p>
        </w:tc>
        <w:tc>
          <w:tcPr>
            <w:tcW w:w="904" w:type="dxa"/>
            <w:tcBorders>
              <w:top w:val="nil"/>
              <w:left w:val="nil"/>
              <w:bottom w:val="nil"/>
              <w:right w:val="nil"/>
            </w:tcBorders>
            <w:tcMar>
              <w:top w:w="0" w:type="dxa"/>
              <w:left w:w="108" w:type="dxa"/>
              <w:bottom w:w="0" w:type="dxa"/>
              <w:right w:w="108" w:type="dxa"/>
            </w:tcMar>
          </w:tcPr>
          <w:p w14:paraId="2903080C" w14:textId="77777777" w:rsidR="0059627B" w:rsidRDefault="007B1972">
            <w:pPr>
              <w:jc w:val="center"/>
              <w:rPr>
                <w:color w:val="000000"/>
              </w:rPr>
            </w:pPr>
            <w:r>
              <w:rPr>
                <w:color w:val="000000"/>
              </w:rPr>
              <w:t>-</w:t>
            </w:r>
          </w:p>
        </w:tc>
        <w:tc>
          <w:tcPr>
            <w:tcW w:w="870" w:type="dxa"/>
            <w:tcBorders>
              <w:top w:val="nil"/>
              <w:left w:val="nil"/>
              <w:bottom w:val="nil"/>
              <w:right w:val="nil"/>
            </w:tcBorders>
            <w:tcMar>
              <w:top w:w="0" w:type="dxa"/>
              <w:left w:w="108" w:type="dxa"/>
              <w:bottom w:w="0" w:type="dxa"/>
              <w:right w:w="108" w:type="dxa"/>
            </w:tcMar>
          </w:tcPr>
          <w:p w14:paraId="7458879A" w14:textId="77777777" w:rsidR="0059627B" w:rsidRDefault="007B1972">
            <w:pPr>
              <w:jc w:val="center"/>
              <w:rPr>
                <w:color w:val="000000"/>
              </w:rPr>
            </w:pPr>
            <w:r>
              <w:rPr>
                <w:color w:val="000000"/>
              </w:rPr>
              <w:t>9 (5%)</w:t>
            </w:r>
          </w:p>
        </w:tc>
        <w:tc>
          <w:tcPr>
            <w:tcW w:w="870" w:type="dxa"/>
            <w:tcBorders>
              <w:top w:val="nil"/>
              <w:left w:val="nil"/>
              <w:bottom w:val="nil"/>
              <w:right w:val="nil"/>
            </w:tcBorders>
            <w:tcMar>
              <w:top w:w="0" w:type="dxa"/>
              <w:left w:w="108" w:type="dxa"/>
              <w:bottom w:w="0" w:type="dxa"/>
              <w:right w:w="108" w:type="dxa"/>
            </w:tcMar>
          </w:tcPr>
          <w:p w14:paraId="03571795" w14:textId="77777777" w:rsidR="0059627B" w:rsidRDefault="007B1972">
            <w:pPr>
              <w:jc w:val="center"/>
              <w:rPr>
                <w:color w:val="000000"/>
              </w:rPr>
            </w:pPr>
            <w:r>
              <w:rPr>
                <w:color w:val="000000"/>
              </w:rPr>
              <w:t>5 (4%)</w:t>
            </w:r>
          </w:p>
        </w:tc>
        <w:tc>
          <w:tcPr>
            <w:tcW w:w="904" w:type="dxa"/>
            <w:tcBorders>
              <w:top w:val="nil"/>
              <w:left w:val="nil"/>
              <w:bottom w:val="nil"/>
              <w:right w:val="nil"/>
            </w:tcBorders>
            <w:tcMar>
              <w:top w:w="0" w:type="dxa"/>
              <w:left w:w="108" w:type="dxa"/>
              <w:bottom w:w="0" w:type="dxa"/>
              <w:right w:w="108" w:type="dxa"/>
            </w:tcMar>
          </w:tcPr>
          <w:p w14:paraId="3F3073B0" w14:textId="77777777" w:rsidR="0059627B" w:rsidRDefault="007B1972">
            <w:pPr>
              <w:jc w:val="center"/>
              <w:rPr>
                <w:color w:val="000000"/>
              </w:rPr>
            </w:pPr>
            <w:r>
              <w:rPr>
                <w:color w:val="000000"/>
              </w:rPr>
              <w:t xml:space="preserve">4 </w:t>
            </w:r>
          </w:p>
          <w:p w14:paraId="40D3087F" w14:textId="77777777" w:rsidR="0059627B" w:rsidRDefault="007B1972">
            <w:pPr>
              <w:jc w:val="center"/>
              <w:rPr>
                <w:color w:val="000000"/>
              </w:rPr>
            </w:pPr>
            <w:r>
              <w:rPr>
                <w:color w:val="000000"/>
              </w:rPr>
              <w:t>(9%)</w:t>
            </w:r>
          </w:p>
        </w:tc>
      </w:tr>
      <w:tr w:rsidR="0059627B" w14:paraId="16C43EC0" w14:textId="77777777">
        <w:trPr>
          <w:jc w:val="center"/>
        </w:trPr>
        <w:tc>
          <w:tcPr>
            <w:tcW w:w="3264" w:type="dxa"/>
            <w:tcBorders>
              <w:top w:val="nil"/>
              <w:left w:val="nil"/>
              <w:bottom w:val="nil"/>
              <w:right w:val="nil"/>
            </w:tcBorders>
            <w:tcMar>
              <w:top w:w="0" w:type="dxa"/>
              <w:left w:w="108" w:type="dxa"/>
              <w:bottom w:w="0" w:type="dxa"/>
              <w:right w:w="108" w:type="dxa"/>
            </w:tcMar>
          </w:tcPr>
          <w:p w14:paraId="58E0AEDB" w14:textId="77777777" w:rsidR="0059627B" w:rsidRDefault="007B1972">
            <w:pPr>
              <w:rPr>
                <w:color w:val="000000"/>
              </w:rPr>
            </w:pPr>
            <w:r>
              <w:rPr>
                <w:color w:val="000000"/>
              </w:rPr>
              <w:t>Fear (C)</w:t>
            </w:r>
          </w:p>
        </w:tc>
        <w:tc>
          <w:tcPr>
            <w:tcW w:w="1113" w:type="dxa"/>
            <w:tcBorders>
              <w:top w:val="nil"/>
              <w:left w:val="nil"/>
              <w:bottom w:val="nil"/>
              <w:right w:val="nil"/>
            </w:tcBorders>
            <w:tcMar>
              <w:top w:w="0" w:type="dxa"/>
              <w:left w:w="108" w:type="dxa"/>
              <w:bottom w:w="0" w:type="dxa"/>
              <w:right w:w="108" w:type="dxa"/>
            </w:tcMar>
          </w:tcPr>
          <w:p w14:paraId="3EA0FC5F" w14:textId="77777777" w:rsidR="0059627B" w:rsidRDefault="007B1972">
            <w:pPr>
              <w:jc w:val="center"/>
              <w:rPr>
                <w:color w:val="000000"/>
              </w:rPr>
            </w:pPr>
            <w:r>
              <w:rPr>
                <w:color w:val="000000"/>
              </w:rPr>
              <w:t>33 (12%)</w:t>
            </w:r>
          </w:p>
        </w:tc>
        <w:tc>
          <w:tcPr>
            <w:tcW w:w="870" w:type="dxa"/>
            <w:tcBorders>
              <w:top w:val="nil"/>
              <w:left w:val="nil"/>
              <w:bottom w:val="nil"/>
              <w:right w:val="nil"/>
            </w:tcBorders>
            <w:tcMar>
              <w:top w:w="0" w:type="dxa"/>
              <w:left w:w="108" w:type="dxa"/>
              <w:bottom w:w="0" w:type="dxa"/>
              <w:right w:w="108" w:type="dxa"/>
            </w:tcMar>
          </w:tcPr>
          <w:p w14:paraId="40FEA92B" w14:textId="77777777" w:rsidR="0059627B" w:rsidRDefault="007B1972">
            <w:pPr>
              <w:jc w:val="center"/>
              <w:rPr>
                <w:color w:val="000000"/>
              </w:rPr>
            </w:pPr>
            <w:r>
              <w:rPr>
                <w:color w:val="000000"/>
              </w:rPr>
              <w:t>28 (13%)</w:t>
            </w:r>
          </w:p>
        </w:tc>
        <w:tc>
          <w:tcPr>
            <w:tcW w:w="904" w:type="dxa"/>
            <w:tcBorders>
              <w:top w:val="nil"/>
              <w:left w:val="nil"/>
              <w:bottom w:val="nil"/>
              <w:right w:val="nil"/>
            </w:tcBorders>
            <w:tcMar>
              <w:top w:w="0" w:type="dxa"/>
              <w:left w:w="108" w:type="dxa"/>
              <w:bottom w:w="0" w:type="dxa"/>
              <w:right w:w="108" w:type="dxa"/>
            </w:tcMar>
          </w:tcPr>
          <w:p w14:paraId="04ACBC9A" w14:textId="77777777" w:rsidR="0059627B" w:rsidRDefault="007B1972">
            <w:pPr>
              <w:jc w:val="center"/>
              <w:rPr>
                <w:color w:val="000000"/>
              </w:rPr>
            </w:pPr>
            <w:r>
              <w:rPr>
                <w:color w:val="000000"/>
              </w:rPr>
              <w:t xml:space="preserve">5 </w:t>
            </w:r>
          </w:p>
          <w:p w14:paraId="71CC1B96" w14:textId="77777777" w:rsidR="0059627B" w:rsidRDefault="007B1972">
            <w:pPr>
              <w:jc w:val="center"/>
              <w:rPr>
                <w:color w:val="000000"/>
              </w:rPr>
            </w:pPr>
            <w:r>
              <w:rPr>
                <w:color w:val="000000"/>
              </w:rPr>
              <w:t>(9%)</w:t>
            </w:r>
          </w:p>
        </w:tc>
        <w:tc>
          <w:tcPr>
            <w:tcW w:w="870" w:type="dxa"/>
            <w:tcBorders>
              <w:top w:val="nil"/>
              <w:left w:val="nil"/>
              <w:bottom w:val="nil"/>
              <w:right w:val="nil"/>
            </w:tcBorders>
            <w:tcMar>
              <w:top w:w="0" w:type="dxa"/>
              <w:left w:w="108" w:type="dxa"/>
              <w:bottom w:w="0" w:type="dxa"/>
              <w:right w:w="108" w:type="dxa"/>
            </w:tcMar>
          </w:tcPr>
          <w:p w14:paraId="3E4B39CF" w14:textId="77777777" w:rsidR="0059627B" w:rsidRDefault="007B1972">
            <w:pPr>
              <w:jc w:val="center"/>
              <w:rPr>
                <w:color w:val="000000"/>
              </w:rPr>
            </w:pPr>
            <w:r>
              <w:rPr>
                <w:color w:val="000000"/>
              </w:rPr>
              <w:t>26 (12%)</w:t>
            </w:r>
          </w:p>
        </w:tc>
        <w:tc>
          <w:tcPr>
            <w:tcW w:w="870" w:type="dxa"/>
            <w:tcBorders>
              <w:top w:val="nil"/>
              <w:left w:val="nil"/>
              <w:bottom w:val="nil"/>
              <w:right w:val="nil"/>
            </w:tcBorders>
            <w:tcMar>
              <w:top w:w="0" w:type="dxa"/>
              <w:left w:w="108" w:type="dxa"/>
              <w:bottom w:w="0" w:type="dxa"/>
              <w:right w:w="108" w:type="dxa"/>
            </w:tcMar>
          </w:tcPr>
          <w:p w14:paraId="66F59ED3" w14:textId="77777777" w:rsidR="0059627B" w:rsidRDefault="007B1972">
            <w:pPr>
              <w:jc w:val="center"/>
              <w:rPr>
                <w:color w:val="000000"/>
              </w:rPr>
            </w:pPr>
            <w:r>
              <w:rPr>
                <w:color w:val="000000"/>
              </w:rPr>
              <w:t>24 (14%)</w:t>
            </w:r>
          </w:p>
        </w:tc>
        <w:tc>
          <w:tcPr>
            <w:tcW w:w="904" w:type="dxa"/>
            <w:tcBorders>
              <w:top w:val="nil"/>
              <w:left w:val="nil"/>
              <w:bottom w:val="nil"/>
              <w:right w:val="nil"/>
            </w:tcBorders>
            <w:tcMar>
              <w:top w:w="0" w:type="dxa"/>
              <w:left w:w="108" w:type="dxa"/>
              <w:bottom w:w="0" w:type="dxa"/>
              <w:right w:w="108" w:type="dxa"/>
            </w:tcMar>
          </w:tcPr>
          <w:p w14:paraId="77DB02AE" w14:textId="77777777" w:rsidR="0059627B" w:rsidRDefault="007B1972">
            <w:pPr>
              <w:jc w:val="center"/>
              <w:rPr>
                <w:color w:val="000000"/>
              </w:rPr>
            </w:pPr>
            <w:r>
              <w:rPr>
                <w:color w:val="000000"/>
              </w:rPr>
              <w:t xml:space="preserve">2 </w:t>
            </w:r>
          </w:p>
          <w:p w14:paraId="2802BAFC" w14:textId="77777777" w:rsidR="0059627B" w:rsidRDefault="007B1972">
            <w:pPr>
              <w:jc w:val="center"/>
              <w:rPr>
                <w:color w:val="000000"/>
              </w:rPr>
            </w:pPr>
            <w:r>
              <w:rPr>
                <w:color w:val="000000"/>
              </w:rPr>
              <w:t>(5%)</w:t>
            </w:r>
          </w:p>
        </w:tc>
        <w:tc>
          <w:tcPr>
            <w:tcW w:w="870" w:type="dxa"/>
            <w:tcBorders>
              <w:top w:val="nil"/>
              <w:left w:val="nil"/>
              <w:bottom w:val="nil"/>
              <w:right w:val="nil"/>
            </w:tcBorders>
            <w:tcMar>
              <w:top w:w="0" w:type="dxa"/>
              <w:left w:w="108" w:type="dxa"/>
              <w:bottom w:w="0" w:type="dxa"/>
              <w:right w:w="108" w:type="dxa"/>
            </w:tcMar>
          </w:tcPr>
          <w:p w14:paraId="0BCC0D12" w14:textId="77777777" w:rsidR="0059627B" w:rsidRDefault="007B1972">
            <w:pPr>
              <w:jc w:val="center"/>
              <w:rPr>
                <w:color w:val="000000"/>
              </w:rPr>
            </w:pPr>
            <w:r>
              <w:rPr>
                <w:color w:val="000000"/>
              </w:rPr>
              <w:t>2 (2%)</w:t>
            </w:r>
          </w:p>
        </w:tc>
        <w:tc>
          <w:tcPr>
            <w:tcW w:w="870" w:type="dxa"/>
            <w:tcBorders>
              <w:top w:val="nil"/>
              <w:left w:val="nil"/>
              <w:bottom w:val="nil"/>
              <w:right w:val="nil"/>
            </w:tcBorders>
            <w:tcMar>
              <w:top w:w="0" w:type="dxa"/>
              <w:left w:w="108" w:type="dxa"/>
              <w:bottom w:w="0" w:type="dxa"/>
              <w:right w:w="108" w:type="dxa"/>
            </w:tcMar>
          </w:tcPr>
          <w:p w14:paraId="2E1E35DF" w14:textId="77777777" w:rsidR="0059627B" w:rsidRDefault="007B1972">
            <w:pPr>
              <w:jc w:val="center"/>
              <w:rPr>
                <w:color w:val="000000"/>
              </w:rPr>
            </w:pPr>
            <w:r>
              <w:rPr>
                <w:color w:val="000000"/>
              </w:rPr>
              <w:t>1 (1%)</w:t>
            </w:r>
          </w:p>
        </w:tc>
        <w:tc>
          <w:tcPr>
            <w:tcW w:w="904" w:type="dxa"/>
            <w:tcBorders>
              <w:top w:val="nil"/>
              <w:left w:val="nil"/>
              <w:bottom w:val="nil"/>
              <w:right w:val="nil"/>
            </w:tcBorders>
            <w:tcMar>
              <w:top w:w="0" w:type="dxa"/>
              <w:left w:w="108" w:type="dxa"/>
              <w:bottom w:w="0" w:type="dxa"/>
              <w:right w:w="108" w:type="dxa"/>
            </w:tcMar>
          </w:tcPr>
          <w:p w14:paraId="580566AE" w14:textId="77777777" w:rsidR="0059627B" w:rsidRDefault="007B1972">
            <w:pPr>
              <w:jc w:val="center"/>
              <w:rPr>
                <w:color w:val="000000"/>
              </w:rPr>
            </w:pPr>
            <w:r>
              <w:rPr>
                <w:color w:val="000000"/>
              </w:rPr>
              <w:t xml:space="preserve">1 </w:t>
            </w:r>
          </w:p>
          <w:p w14:paraId="624103AA" w14:textId="77777777" w:rsidR="0059627B" w:rsidRDefault="007B1972">
            <w:pPr>
              <w:jc w:val="center"/>
              <w:rPr>
                <w:color w:val="000000"/>
              </w:rPr>
            </w:pPr>
            <w:r>
              <w:rPr>
                <w:color w:val="000000"/>
              </w:rPr>
              <w:t>(3%)</w:t>
            </w:r>
          </w:p>
        </w:tc>
        <w:tc>
          <w:tcPr>
            <w:tcW w:w="870" w:type="dxa"/>
            <w:tcBorders>
              <w:top w:val="nil"/>
              <w:left w:val="nil"/>
              <w:bottom w:val="nil"/>
              <w:right w:val="nil"/>
            </w:tcBorders>
            <w:tcMar>
              <w:top w:w="0" w:type="dxa"/>
              <w:left w:w="108" w:type="dxa"/>
              <w:bottom w:w="0" w:type="dxa"/>
              <w:right w:w="108" w:type="dxa"/>
            </w:tcMar>
          </w:tcPr>
          <w:p w14:paraId="73368485" w14:textId="77777777" w:rsidR="0059627B" w:rsidRDefault="007B1972">
            <w:pPr>
              <w:jc w:val="center"/>
              <w:rPr>
                <w:color w:val="000000"/>
              </w:rPr>
            </w:pPr>
            <w:r>
              <w:rPr>
                <w:color w:val="000000"/>
              </w:rPr>
              <w:t>5 (3%)</w:t>
            </w:r>
          </w:p>
        </w:tc>
        <w:tc>
          <w:tcPr>
            <w:tcW w:w="870" w:type="dxa"/>
            <w:tcBorders>
              <w:top w:val="nil"/>
              <w:left w:val="nil"/>
              <w:bottom w:val="nil"/>
              <w:right w:val="nil"/>
            </w:tcBorders>
            <w:tcMar>
              <w:top w:w="0" w:type="dxa"/>
              <w:left w:w="108" w:type="dxa"/>
              <w:bottom w:w="0" w:type="dxa"/>
              <w:right w:w="108" w:type="dxa"/>
            </w:tcMar>
          </w:tcPr>
          <w:p w14:paraId="0D86D483" w14:textId="77777777" w:rsidR="0059627B" w:rsidRDefault="007B1972">
            <w:pPr>
              <w:jc w:val="center"/>
              <w:rPr>
                <w:color w:val="000000"/>
              </w:rPr>
            </w:pPr>
            <w:r>
              <w:rPr>
                <w:color w:val="000000"/>
              </w:rPr>
              <w:t>5 (4%)</w:t>
            </w:r>
          </w:p>
        </w:tc>
        <w:tc>
          <w:tcPr>
            <w:tcW w:w="904" w:type="dxa"/>
            <w:tcBorders>
              <w:top w:val="nil"/>
              <w:left w:val="nil"/>
              <w:bottom w:val="nil"/>
              <w:right w:val="nil"/>
            </w:tcBorders>
            <w:tcMar>
              <w:top w:w="0" w:type="dxa"/>
              <w:left w:w="108" w:type="dxa"/>
              <w:bottom w:w="0" w:type="dxa"/>
              <w:right w:w="108" w:type="dxa"/>
            </w:tcMar>
          </w:tcPr>
          <w:p w14:paraId="0893522D" w14:textId="77777777" w:rsidR="0059627B" w:rsidRDefault="007B1972">
            <w:pPr>
              <w:jc w:val="center"/>
              <w:rPr>
                <w:color w:val="000000"/>
              </w:rPr>
            </w:pPr>
            <w:r>
              <w:rPr>
                <w:color w:val="000000"/>
              </w:rPr>
              <w:t>-</w:t>
            </w:r>
          </w:p>
        </w:tc>
      </w:tr>
      <w:tr w:rsidR="0059627B" w14:paraId="310A8C3F" w14:textId="77777777">
        <w:trPr>
          <w:jc w:val="center"/>
        </w:trPr>
        <w:tc>
          <w:tcPr>
            <w:tcW w:w="3264" w:type="dxa"/>
            <w:tcBorders>
              <w:top w:val="nil"/>
              <w:left w:val="nil"/>
              <w:bottom w:val="nil"/>
              <w:right w:val="nil"/>
            </w:tcBorders>
            <w:tcMar>
              <w:top w:w="0" w:type="dxa"/>
              <w:left w:w="108" w:type="dxa"/>
              <w:bottom w:w="0" w:type="dxa"/>
              <w:right w:w="108" w:type="dxa"/>
            </w:tcMar>
          </w:tcPr>
          <w:p w14:paraId="01A7FA49" w14:textId="77777777" w:rsidR="0059627B" w:rsidRDefault="007B1972">
            <w:pPr>
              <w:rPr>
                <w:color w:val="000000"/>
              </w:rPr>
            </w:pPr>
            <w:r>
              <w:rPr>
                <w:color w:val="000000"/>
              </w:rPr>
              <w:t>Concern for child’s future (P)</w:t>
            </w:r>
          </w:p>
        </w:tc>
        <w:tc>
          <w:tcPr>
            <w:tcW w:w="1113" w:type="dxa"/>
            <w:tcBorders>
              <w:top w:val="nil"/>
              <w:left w:val="nil"/>
              <w:bottom w:val="nil"/>
              <w:right w:val="nil"/>
            </w:tcBorders>
            <w:tcMar>
              <w:top w:w="0" w:type="dxa"/>
              <w:left w:w="108" w:type="dxa"/>
              <w:bottom w:w="0" w:type="dxa"/>
              <w:right w:w="108" w:type="dxa"/>
            </w:tcMar>
          </w:tcPr>
          <w:p w14:paraId="24396E48" w14:textId="77777777" w:rsidR="0059627B" w:rsidRDefault="007B1972">
            <w:pPr>
              <w:jc w:val="center"/>
              <w:rPr>
                <w:color w:val="000000"/>
              </w:rPr>
            </w:pPr>
            <w:r>
              <w:rPr>
                <w:color w:val="000000"/>
              </w:rPr>
              <w:t>31 (11%)</w:t>
            </w:r>
          </w:p>
        </w:tc>
        <w:tc>
          <w:tcPr>
            <w:tcW w:w="870" w:type="dxa"/>
            <w:tcBorders>
              <w:top w:val="nil"/>
              <w:left w:val="nil"/>
              <w:bottom w:val="nil"/>
              <w:right w:val="nil"/>
            </w:tcBorders>
            <w:tcMar>
              <w:top w:w="0" w:type="dxa"/>
              <w:left w:w="108" w:type="dxa"/>
              <w:bottom w:w="0" w:type="dxa"/>
              <w:right w:w="108" w:type="dxa"/>
            </w:tcMar>
          </w:tcPr>
          <w:p w14:paraId="4A4876A1" w14:textId="77777777" w:rsidR="0059627B" w:rsidRDefault="007B1972">
            <w:pPr>
              <w:jc w:val="center"/>
              <w:rPr>
                <w:color w:val="000000"/>
              </w:rPr>
            </w:pPr>
            <w:r>
              <w:rPr>
                <w:color w:val="000000"/>
              </w:rPr>
              <w:t>27 (12%)</w:t>
            </w:r>
          </w:p>
        </w:tc>
        <w:tc>
          <w:tcPr>
            <w:tcW w:w="904" w:type="dxa"/>
            <w:tcBorders>
              <w:top w:val="nil"/>
              <w:left w:val="nil"/>
              <w:bottom w:val="nil"/>
              <w:right w:val="nil"/>
            </w:tcBorders>
            <w:tcMar>
              <w:top w:w="0" w:type="dxa"/>
              <w:left w:w="108" w:type="dxa"/>
              <w:bottom w:w="0" w:type="dxa"/>
              <w:right w:w="108" w:type="dxa"/>
            </w:tcMar>
          </w:tcPr>
          <w:p w14:paraId="58FBE5DA" w14:textId="77777777" w:rsidR="0059627B" w:rsidRDefault="007B1972">
            <w:pPr>
              <w:jc w:val="center"/>
              <w:rPr>
                <w:color w:val="000000"/>
              </w:rPr>
            </w:pPr>
            <w:r>
              <w:rPr>
                <w:color w:val="000000"/>
              </w:rPr>
              <w:t xml:space="preserve">4 </w:t>
            </w:r>
          </w:p>
          <w:p w14:paraId="52ADB8CE" w14:textId="77777777" w:rsidR="0059627B" w:rsidRDefault="007B1972">
            <w:pPr>
              <w:jc w:val="center"/>
              <w:rPr>
                <w:color w:val="000000"/>
              </w:rPr>
            </w:pPr>
            <w:r>
              <w:rPr>
                <w:color w:val="000000"/>
              </w:rPr>
              <w:t>(7%)</w:t>
            </w:r>
          </w:p>
        </w:tc>
        <w:tc>
          <w:tcPr>
            <w:tcW w:w="870" w:type="dxa"/>
            <w:tcBorders>
              <w:top w:val="nil"/>
              <w:left w:val="nil"/>
              <w:bottom w:val="nil"/>
              <w:right w:val="nil"/>
            </w:tcBorders>
            <w:tcMar>
              <w:top w:w="0" w:type="dxa"/>
              <w:left w:w="108" w:type="dxa"/>
              <w:bottom w:w="0" w:type="dxa"/>
              <w:right w:w="108" w:type="dxa"/>
            </w:tcMar>
          </w:tcPr>
          <w:p w14:paraId="6D97A427" w14:textId="77777777" w:rsidR="0059627B" w:rsidRDefault="007B1972">
            <w:pPr>
              <w:jc w:val="center"/>
              <w:rPr>
                <w:color w:val="000000"/>
              </w:rPr>
            </w:pPr>
            <w:r>
              <w:rPr>
                <w:color w:val="000000"/>
              </w:rPr>
              <w:t>10 (5%)</w:t>
            </w:r>
          </w:p>
        </w:tc>
        <w:tc>
          <w:tcPr>
            <w:tcW w:w="870" w:type="dxa"/>
            <w:tcBorders>
              <w:top w:val="nil"/>
              <w:left w:val="nil"/>
              <w:bottom w:val="nil"/>
              <w:right w:val="nil"/>
            </w:tcBorders>
            <w:tcMar>
              <w:top w:w="0" w:type="dxa"/>
              <w:left w:w="108" w:type="dxa"/>
              <w:bottom w:w="0" w:type="dxa"/>
              <w:right w:w="108" w:type="dxa"/>
            </w:tcMar>
          </w:tcPr>
          <w:p w14:paraId="6D816CE4" w14:textId="77777777" w:rsidR="0059627B" w:rsidRDefault="007B1972">
            <w:pPr>
              <w:jc w:val="center"/>
              <w:rPr>
                <w:color w:val="000000"/>
              </w:rPr>
            </w:pPr>
            <w:r>
              <w:rPr>
                <w:color w:val="000000"/>
              </w:rPr>
              <w:t>9 (5%)</w:t>
            </w:r>
          </w:p>
        </w:tc>
        <w:tc>
          <w:tcPr>
            <w:tcW w:w="904" w:type="dxa"/>
            <w:tcBorders>
              <w:top w:val="nil"/>
              <w:left w:val="nil"/>
              <w:bottom w:val="nil"/>
              <w:right w:val="nil"/>
            </w:tcBorders>
            <w:tcMar>
              <w:top w:w="0" w:type="dxa"/>
              <w:left w:w="108" w:type="dxa"/>
              <w:bottom w:w="0" w:type="dxa"/>
              <w:right w:w="108" w:type="dxa"/>
            </w:tcMar>
          </w:tcPr>
          <w:p w14:paraId="193B696E" w14:textId="77777777" w:rsidR="0059627B" w:rsidRDefault="007B1972">
            <w:pPr>
              <w:jc w:val="center"/>
              <w:rPr>
                <w:color w:val="000000"/>
              </w:rPr>
            </w:pPr>
            <w:r>
              <w:rPr>
                <w:color w:val="000000"/>
              </w:rPr>
              <w:t xml:space="preserve">1 </w:t>
            </w:r>
          </w:p>
          <w:p w14:paraId="17486B84" w14:textId="77777777" w:rsidR="0059627B" w:rsidRDefault="007B1972">
            <w:pPr>
              <w:jc w:val="center"/>
              <w:rPr>
                <w:color w:val="000000"/>
              </w:rPr>
            </w:pPr>
            <w:r>
              <w:rPr>
                <w:color w:val="000000"/>
              </w:rPr>
              <w:t>(3%)</w:t>
            </w:r>
          </w:p>
        </w:tc>
        <w:tc>
          <w:tcPr>
            <w:tcW w:w="870" w:type="dxa"/>
            <w:tcBorders>
              <w:top w:val="nil"/>
              <w:left w:val="nil"/>
              <w:bottom w:val="nil"/>
              <w:right w:val="nil"/>
            </w:tcBorders>
            <w:tcMar>
              <w:top w:w="0" w:type="dxa"/>
              <w:left w:w="108" w:type="dxa"/>
              <w:bottom w:w="0" w:type="dxa"/>
              <w:right w:w="108" w:type="dxa"/>
            </w:tcMar>
          </w:tcPr>
          <w:p w14:paraId="50517687" w14:textId="77777777" w:rsidR="0059627B" w:rsidRDefault="007B1972">
            <w:pPr>
              <w:jc w:val="center"/>
              <w:rPr>
                <w:color w:val="000000"/>
              </w:rPr>
            </w:pPr>
            <w:r>
              <w:rPr>
                <w:color w:val="000000"/>
              </w:rPr>
              <w:t>5 (5%)</w:t>
            </w:r>
          </w:p>
        </w:tc>
        <w:tc>
          <w:tcPr>
            <w:tcW w:w="870" w:type="dxa"/>
            <w:tcBorders>
              <w:top w:val="nil"/>
              <w:left w:val="nil"/>
              <w:bottom w:val="nil"/>
              <w:right w:val="nil"/>
            </w:tcBorders>
            <w:tcMar>
              <w:top w:w="0" w:type="dxa"/>
              <w:left w:w="108" w:type="dxa"/>
              <w:bottom w:w="0" w:type="dxa"/>
              <w:right w:w="108" w:type="dxa"/>
            </w:tcMar>
          </w:tcPr>
          <w:p w14:paraId="603CEF22" w14:textId="77777777" w:rsidR="0059627B" w:rsidRDefault="007B1972">
            <w:pPr>
              <w:jc w:val="center"/>
              <w:rPr>
                <w:color w:val="000000"/>
              </w:rPr>
            </w:pPr>
            <w:r>
              <w:rPr>
                <w:color w:val="000000"/>
              </w:rPr>
              <w:t>3 (4%)</w:t>
            </w:r>
          </w:p>
        </w:tc>
        <w:tc>
          <w:tcPr>
            <w:tcW w:w="904" w:type="dxa"/>
            <w:tcBorders>
              <w:top w:val="nil"/>
              <w:left w:val="nil"/>
              <w:bottom w:val="nil"/>
              <w:right w:val="nil"/>
            </w:tcBorders>
            <w:tcMar>
              <w:top w:w="0" w:type="dxa"/>
              <w:left w:w="108" w:type="dxa"/>
              <w:bottom w:w="0" w:type="dxa"/>
              <w:right w:w="108" w:type="dxa"/>
            </w:tcMar>
          </w:tcPr>
          <w:p w14:paraId="1CAEE03E" w14:textId="77777777" w:rsidR="0059627B" w:rsidRDefault="007B1972">
            <w:pPr>
              <w:jc w:val="center"/>
              <w:rPr>
                <w:color w:val="000000"/>
              </w:rPr>
            </w:pPr>
            <w:r>
              <w:rPr>
                <w:color w:val="000000"/>
              </w:rPr>
              <w:t xml:space="preserve">2 </w:t>
            </w:r>
          </w:p>
          <w:p w14:paraId="7BDD6BC8" w14:textId="77777777" w:rsidR="0059627B" w:rsidRDefault="007B1972">
            <w:pPr>
              <w:jc w:val="center"/>
              <w:rPr>
                <w:color w:val="000000"/>
              </w:rPr>
            </w:pPr>
            <w:r>
              <w:rPr>
                <w:color w:val="000000"/>
              </w:rPr>
              <w:t>(6%)</w:t>
            </w:r>
          </w:p>
        </w:tc>
        <w:tc>
          <w:tcPr>
            <w:tcW w:w="870" w:type="dxa"/>
            <w:tcBorders>
              <w:top w:val="nil"/>
              <w:left w:val="nil"/>
              <w:bottom w:val="nil"/>
              <w:right w:val="nil"/>
            </w:tcBorders>
            <w:tcMar>
              <w:top w:w="0" w:type="dxa"/>
              <w:left w:w="108" w:type="dxa"/>
              <w:bottom w:w="0" w:type="dxa"/>
              <w:right w:w="108" w:type="dxa"/>
            </w:tcMar>
          </w:tcPr>
          <w:p w14:paraId="787CDFDF" w14:textId="77777777" w:rsidR="0059627B" w:rsidRDefault="007B1972">
            <w:pPr>
              <w:jc w:val="center"/>
              <w:rPr>
                <w:color w:val="000000"/>
              </w:rPr>
            </w:pPr>
            <w:r>
              <w:rPr>
                <w:color w:val="000000"/>
              </w:rPr>
              <w:t>3 (2%)</w:t>
            </w:r>
          </w:p>
        </w:tc>
        <w:tc>
          <w:tcPr>
            <w:tcW w:w="870" w:type="dxa"/>
            <w:tcBorders>
              <w:top w:val="nil"/>
              <w:left w:val="nil"/>
              <w:bottom w:val="nil"/>
              <w:right w:val="nil"/>
            </w:tcBorders>
            <w:tcMar>
              <w:top w:w="0" w:type="dxa"/>
              <w:left w:w="108" w:type="dxa"/>
              <w:bottom w:w="0" w:type="dxa"/>
              <w:right w:w="108" w:type="dxa"/>
            </w:tcMar>
          </w:tcPr>
          <w:p w14:paraId="69A576E7" w14:textId="77777777" w:rsidR="0059627B" w:rsidRDefault="007B1972">
            <w:pPr>
              <w:jc w:val="center"/>
              <w:rPr>
                <w:color w:val="000000"/>
              </w:rPr>
            </w:pPr>
            <w:r>
              <w:rPr>
                <w:color w:val="000000"/>
              </w:rPr>
              <w:t>3 (2%)</w:t>
            </w:r>
          </w:p>
        </w:tc>
        <w:tc>
          <w:tcPr>
            <w:tcW w:w="904" w:type="dxa"/>
            <w:tcBorders>
              <w:top w:val="nil"/>
              <w:left w:val="nil"/>
              <w:bottom w:val="nil"/>
              <w:right w:val="nil"/>
            </w:tcBorders>
            <w:tcMar>
              <w:top w:w="0" w:type="dxa"/>
              <w:left w:w="108" w:type="dxa"/>
              <w:bottom w:w="0" w:type="dxa"/>
              <w:right w:w="108" w:type="dxa"/>
            </w:tcMar>
          </w:tcPr>
          <w:p w14:paraId="0BCF76BB" w14:textId="77777777" w:rsidR="0059627B" w:rsidRDefault="007B1972">
            <w:pPr>
              <w:jc w:val="center"/>
              <w:rPr>
                <w:color w:val="000000"/>
              </w:rPr>
            </w:pPr>
            <w:r>
              <w:rPr>
                <w:color w:val="000000"/>
              </w:rPr>
              <w:t>-</w:t>
            </w:r>
          </w:p>
        </w:tc>
      </w:tr>
      <w:tr w:rsidR="0059627B" w14:paraId="05677DBD" w14:textId="77777777">
        <w:trPr>
          <w:jc w:val="center"/>
        </w:trPr>
        <w:tc>
          <w:tcPr>
            <w:tcW w:w="3264" w:type="dxa"/>
            <w:tcBorders>
              <w:top w:val="nil"/>
              <w:left w:val="nil"/>
              <w:bottom w:val="nil"/>
              <w:right w:val="nil"/>
            </w:tcBorders>
            <w:tcMar>
              <w:top w:w="0" w:type="dxa"/>
              <w:left w:w="108" w:type="dxa"/>
              <w:bottom w:w="0" w:type="dxa"/>
              <w:right w:w="108" w:type="dxa"/>
            </w:tcMar>
          </w:tcPr>
          <w:p w14:paraId="7CB31C15" w14:textId="77777777" w:rsidR="0059627B" w:rsidRDefault="007B1972">
            <w:pPr>
              <w:rPr>
                <w:color w:val="000000"/>
              </w:rPr>
            </w:pPr>
            <w:r>
              <w:rPr>
                <w:color w:val="000000"/>
              </w:rPr>
              <w:t>Sleep (C)</w:t>
            </w:r>
          </w:p>
        </w:tc>
        <w:tc>
          <w:tcPr>
            <w:tcW w:w="1113" w:type="dxa"/>
            <w:tcBorders>
              <w:top w:val="nil"/>
              <w:left w:val="nil"/>
              <w:bottom w:val="nil"/>
              <w:right w:val="nil"/>
            </w:tcBorders>
            <w:tcMar>
              <w:top w:w="0" w:type="dxa"/>
              <w:left w:w="108" w:type="dxa"/>
              <w:bottom w:w="0" w:type="dxa"/>
              <w:right w:w="108" w:type="dxa"/>
            </w:tcMar>
          </w:tcPr>
          <w:p w14:paraId="7E49519A" w14:textId="77777777" w:rsidR="0059627B" w:rsidRDefault="007B1972">
            <w:pPr>
              <w:jc w:val="center"/>
              <w:rPr>
                <w:color w:val="000000"/>
              </w:rPr>
            </w:pPr>
            <w:r>
              <w:rPr>
                <w:color w:val="000000"/>
              </w:rPr>
              <w:t xml:space="preserve">11 </w:t>
            </w:r>
          </w:p>
          <w:p w14:paraId="5DCC8A70" w14:textId="77777777" w:rsidR="0059627B" w:rsidRDefault="007B1972">
            <w:pPr>
              <w:jc w:val="center"/>
              <w:rPr>
                <w:color w:val="000000"/>
              </w:rPr>
            </w:pPr>
            <w:r>
              <w:rPr>
                <w:color w:val="000000"/>
              </w:rPr>
              <w:t>(4%)</w:t>
            </w:r>
          </w:p>
        </w:tc>
        <w:tc>
          <w:tcPr>
            <w:tcW w:w="870" w:type="dxa"/>
            <w:tcBorders>
              <w:top w:val="nil"/>
              <w:left w:val="nil"/>
              <w:bottom w:val="nil"/>
              <w:right w:val="nil"/>
            </w:tcBorders>
            <w:tcMar>
              <w:top w:w="0" w:type="dxa"/>
              <w:left w:w="108" w:type="dxa"/>
              <w:bottom w:w="0" w:type="dxa"/>
              <w:right w:w="108" w:type="dxa"/>
            </w:tcMar>
          </w:tcPr>
          <w:p w14:paraId="0AE7D085" w14:textId="77777777" w:rsidR="0059627B" w:rsidRDefault="007B1972">
            <w:pPr>
              <w:jc w:val="center"/>
              <w:rPr>
                <w:color w:val="000000"/>
              </w:rPr>
            </w:pPr>
            <w:r>
              <w:rPr>
                <w:color w:val="000000"/>
              </w:rPr>
              <w:t>11 (5%)</w:t>
            </w:r>
          </w:p>
        </w:tc>
        <w:tc>
          <w:tcPr>
            <w:tcW w:w="904" w:type="dxa"/>
            <w:tcBorders>
              <w:top w:val="nil"/>
              <w:left w:val="nil"/>
              <w:bottom w:val="nil"/>
              <w:right w:val="nil"/>
            </w:tcBorders>
            <w:tcMar>
              <w:top w:w="0" w:type="dxa"/>
              <w:left w:w="108" w:type="dxa"/>
              <w:bottom w:w="0" w:type="dxa"/>
              <w:right w:w="108" w:type="dxa"/>
            </w:tcMar>
          </w:tcPr>
          <w:p w14:paraId="7A372C05" w14:textId="77777777" w:rsidR="0059627B" w:rsidRDefault="007B1972">
            <w:pPr>
              <w:jc w:val="center"/>
              <w:rPr>
                <w:color w:val="000000"/>
              </w:rPr>
            </w:pPr>
            <w:r>
              <w:rPr>
                <w:color w:val="000000"/>
              </w:rPr>
              <w:t>-</w:t>
            </w:r>
          </w:p>
        </w:tc>
        <w:tc>
          <w:tcPr>
            <w:tcW w:w="870" w:type="dxa"/>
            <w:tcBorders>
              <w:top w:val="nil"/>
              <w:left w:val="nil"/>
              <w:bottom w:val="nil"/>
              <w:right w:val="nil"/>
            </w:tcBorders>
            <w:tcMar>
              <w:top w:w="0" w:type="dxa"/>
              <w:left w:w="108" w:type="dxa"/>
              <w:bottom w:w="0" w:type="dxa"/>
              <w:right w:w="108" w:type="dxa"/>
            </w:tcMar>
          </w:tcPr>
          <w:p w14:paraId="31A0B461" w14:textId="77777777" w:rsidR="0059627B" w:rsidRDefault="007B1972">
            <w:pPr>
              <w:jc w:val="center"/>
              <w:rPr>
                <w:color w:val="000000"/>
              </w:rPr>
            </w:pPr>
            <w:r>
              <w:rPr>
                <w:color w:val="000000"/>
              </w:rPr>
              <w:t>15 (7%)</w:t>
            </w:r>
          </w:p>
        </w:tc>
        <w:tc>
          <w:tcPr>
            <w:tcW w:w="870" w:type="dxa"/>
            <w:tcBorders>
              <w:top w:val="nil"/>
              <w:left w:val="nil"/>
              <w:bottom w:val="nil"/>
              <w:right w:val="nil"/>
            </w:tcBorders>
            <w:tcMar>
              <w:top w:w="0" w:type="dxa"/>
              <w:left w:w="108" w:type="dxa"/>
              <w:bottom w:w="0" w:type="dxa"/>
              <w:right w:w="108" w:type="dxa"/>
            </w:tcMar>
          </w:tcPr>
          <w:p w14:paraId="7D34AAC0" w14:textId="77777777" w:rsidR="0059627B" w:rsidRDefault="007B1972">
            <w:pPr>
              <w:jc w:val="center"/>
              <w:rPr>
                <w:color w:val="000000"/>
              </w:rPr>
            </w:pPr>
            <w:r>
              <w:rPr>
                <w:color w:val="000000"/>
              </w:rPr>
              <w:t>15 (9%)</w:t>
            </w:r>
          </w:p>
        </w:tc>
        <w:tc>
          <w:tcPr>
            <w:tcW w:w="904" w:type="dxa"/>
            <w:tcBorders>
              <w:top w:val="nil"/>
              <w:left w:val="nil"/>
              <w:bottom w:val="nil"/>
              <w:right w:val="nil"/>
            </w:tcBorders>
            <w:tcMar>
              <w:top w:w="0" w:type="dxa"/>
              <w:left w:w="108" w:type="dxa"/>
              <w:bottom w:w="0" w:type="dxa"/>
              <w:right w:w="108" w:type="dxa"/>
            </w:tcMar>
          </w:tcPr>
          <w:p w14:paraId="68878CD2" w14:textId="77777777" w:rsidR="0059627B" w:rsidRDefault="007B1972">
            <w:pPr>
              <w:jc w:val="center"/>
              <w:rPr>
                <w:color w:val="000000"/>
              </w:rPr>
            </w:pPr>
            <w:r>
              <w:rPr>
                <w:color w:val="000000"/>
              </w:rPr>
              <w:t>-</w:t>
            </w:r>
          </w:p>
        </w:tc>
        <w:tc>
          <w:tcPr>
            <w:tcW w:w="870" w:type="dxa"/>
            <w:tcBorders>
              <w:top w:val="nil"/>
              <w:left w:val="nil"/>
              <w:bottom w:val="nil"/>
              <w:right w:val="nil"/>
            </w:tcBorders>
            <w:tcMar>
              <w:top w:w="0" w:type="dxa"/>
              <w:left w:w="108" w:type="dxa"/>
              <w:bottom w:w="0" w:type="dxa"/>
              <w:right w:w="108" w:type="dxa"/>
            </w:tcMar>
          </w:tcPr>
          <w:p w14:paraId="333244E8" w14:textId="77777777" w:rsidR="0059627B" w:rsidRDefault="007B1972">
            <w:pPr>
              <w:jc w:val="center"/>
              <w:rPr>
                <w:color w:val="000000"/>
              </w:rPr>
            </w:pPr>
            <w:r>
              <w:rPr>
                <w:color w:val="000000"/>
              </w:rPr>
              <w:t>4 (4%)</w:t>
            </w:r>
          </w:p>
        </w:tc>
        <w:tc>
          <w:tcPr>
            <w:tcW w:w="870" w:type="dxa"/>
            <w:tcBorders>
              <w:top w:val="nil"/>
              <w:left w:val="nil"/>
              <w:bottom w:val="nil"/>
              <w:right w:val="nil"/>
            </w:tcBorders>
            <w:tcMar>
              <w:top w:w="0" w:type="dxa"/>
              <w:left w:w="108" w:type="dxa"/>
              <w:bottom w:w="0" w:type="dxa"/>
              <w:right w:w="108" w:type="dxa"/>
            </w:tcMar>
          </w:tcPr>
          <w:p w14:paraId="2A8A5259" w14:textId="77777777" w:rsidR="0059627B" w:rsidRDefault="007B1972">
            <w:pPr>
              <w:jc w:val="center"/>
              <w:rPr>
                <w:color w:val="000000"/>
              </w:rPr>
            </w:pPr>
            <w:r>
              <w:rPr>
                <w:color w:val="000000"/>
              </w:rPr>
              <w:t>4 (5%)</w:t>
            </w:r>
          </w:p>
        </w:tc>
        <w:tc>
          <w:tcPr>
            <w:tcW w:w="904" w:type="dxa"/>
            <w:tcBorders>
              <w:top w:val="nil"/>
              <w:left w:val="nil"/>
              <w:bottom w:val="nil"/>
              <w:right w:val="nil"/>
            </w:tcBorders>
            <w:tcMar>
              <w:top w:w="0" w:type="dxa"/>
              <w:left w:w="108" w:type="dxa"/>
              <w:bottom w:w="0" w:type="dxa"/>
              <w:right w:w="108" w:type="dxa"/>
            </w:tcMar>
          </w:tcPr>
          <w:p w14:paraId="1785E08C" w14:textId="77777777" w:rsidR="0059627B" w:rsidRDefault="007B1972">
            <w:pPr>
              <w:jc w:val="center"/>
              <w:rPr>
                <w:color w:val="000000"/>
              </w:rPr>
            </w:pPr>
            <w:r>
              <w:rPr>
                <w:color w:val="000000"/>
              </w:rPr>
              <w:t>-</w:t>
            </w:r>
          </w:p>
        </w:tc>
        <w:tc>
          <w:tcPr>
            <w:tcW w:w="870" w:type="dxa"/>
            <w:tcBorders>
              <w:top w:val="nil"/>
              <w:left w:val="nil"/>
              <w:bottom w:val="nil"/>
              <w:right w:val="nil"/>
            </w:tcBorders>
            <w:tcMar>
              <w:top w:w="0" w:type="dxa"/>
              <w:left w:w="108" w:type="dxa"/>
              <w:bottom w:w="0" w:type="dxa"/>
              <w:right w:w="108" w:type="dxa"/>
            </w:tcMar>
          </w:tcPr>
          <w:p w14:paraId="060427E4" w14:textId="77777777" w:rsidR="0059627B" w:rsidRDefault="007B1972">
            <w:pPr>
              <w:jc w:val="center"/>
              <w:rPr>
                <w:color w:val="000000"/>
              </w:rPr>
            </w:pPr>
            <w:r>
              <w:rPr>
                <w:color w:val="000000"/>
              </w:rPr>
              <w:t>3 (2%)</w:t>
            </w:r>
          </w:p>
        </w:tc>
        <w:tc>
          <w:tcPr>
            <w:tcW w:w="870" w:type="dxa"/>
            <w:tcBorders>
              <w:top w:val="nil"/>
              <w:left w:val="nil"/>
              <w:bottom w:val="nil"/>
              <w:right w:val="nil"/>
            </w:tcBorders>
            <w:tcMar>
              <w:top w:w="0" w:type="dxa"/>
              <w:left w:w="108" w:type="dxa"/>
              <w:bottom w:w="0" w:type="dxa"/>
              <w:right w:w="108" w:type="dxa"/>
            </w:tcMar>
          </w:tcPr>
          <w:p w14:paraId="687AFED0" w14:textId="77777777" w:rsidR="0059627B" w:rsidRDefault="007B1972">
            <w:pPr>
              <w:jc w:val="center"/>
              <w:rPr>
                <w:color w:val="000000"/>
              </w:rPr>
            </w:pPr>
            <w:r>
              <w:rPr>
                <w:color w:val="000000"/>
              </w:rPr>
              <w:t>2 (1%)</w:t>
            </w:r>
          </w:p>
        </w:tc>
        <w:tc>
          <w:tcPr>
            <w:tcW w:w="904" w:type="dxa"/>
            <w:tcBorders>
              <w:top w:val="nil"/>
              <w:left w:val="nil"/>
              <w:bottom w:val="nil"/>
              <w:right w:val="nil"/>
            </w:tcBorders>
            <w:tcMar>
              <w:top w:w="0" w:type="dxa"/>
              <w:left w:w="108" w:type="dxa"/>
              <w:bottom w:w="0" w:type="dxa"/>
              <w:right w:w="108" w:type="dxa"/>
            </w:tcMar>
          </w:tcPr>
          <w:p w14:paraId="518E591D" w14:textId="77777777" w:rsidR="0059627B" w:rsidRDefault="007B1972">
            <w:pPr>
              <w:jc w:val="center"/>
              <w:rPr>
                <w:color w:val="000000"/>
              </w:rPr>
            </w:pPr>
            <w:r>
              <w:rPr>
                <w:color w:val="000000"/>
              </w:rPr>
              <w:t xml:space="preserve">1 </w:t>
            </w:r>
          </w:p>
          <w:p w14:paraId="5CFD886C" w14:textId="77777777" w:rsidR="0059627B" w:rsidRDefault="007B1972">
            <w:pPr>
              <w:jc w:val="center"/>
              <w:rPr>
                <w:color w:val="000000"/>
              </w:rPr>
            </w:pPr>
            <w:r>
              <w:rPr>
                <w:color w:val="000000"/>
              </w:rPr>
              <w:t>(2%)</w:t>
            </w:r>
          </w:p>
        </w:tc>
      </w:tr>
      <w:tr w:rsidR="0059627B" w14:paraId="0DAF67E9" w14:textId="77777777">
        <w:trPr>
          <w:jc w:val="center"/>
        </w:trPr>
        <w:tc>
          <w:tcPr>
            <w:tcW w:w="3264" w:type="dxa"/>
            <w:tcBorders>
              <w:top w:val="nil"/>
              <w:left w:val="nil"/>
              <w:bottom w:val="nil"/>
              <w:right w:val="nil"/>
            </w:tcBorders>
            <w:tcMar>
              <w:top w:w="0" w:type="dxa"/>
              <w:left w:w="108" w:type="dxa"/>
              <w:bottom w:w="0" w:type="dxa"/>
              <w:right w:w="108" w:type="dxa"/>
            </w:tcMar>
          </w:tcPr>
          <w:p w14:paraId="6E4F81B7" w14:textId="77777777" w:rsidR="0059627B" w:rsidRDefault="007B1972">
            <w:pPr>
              <w:rPr>
                <w:color w:val="000000"/>
              </w:rPr>
            </w:pPr>
            <w:r>
              <w:rPr>
                <w:color w:val="000000"/>
              </w:rPr>
              <w:t>Won’t go outside (C)</w:t>
            </w:r>
          </w:p>
        </w:tc>
        <w:tc>
          <w:tcPr>
            <w:tcW w:w="1113" w:type="dxa"/>
            <w:tcBorders>
              <w:top w:val="nil"/>
              <w:left w:val="nil"/>
              <w:bottom w:val="nil"/>
              <w:right w:val="nil"/>
            </w:tcBorders>
            <w:tcMar>
              <w:top w:w="0" w:type="dxa"/>
              <w:left w:w="108" w:type="dxa"/>
              <w:bottom w:w="0" w:type="dxa"/>
              <w:right w:w="108" w:type="dxa"/>
            </w:tcMar>
          </w:tcPr>
          <w:p w14:paraId="7B304350" w14:textId="77777777" w:rsidR="0059627B" w:rsidRDefault="007B1972">
            <w:pPr>
              <w:jc w:val="center"/>
              <w:rPr>
                <w:color w:val="000000"/>
              </w:rPr>
            </w:pPr>
            <w:r>
              <w:rPr>
                <w:color w:val="000000"/>
              </w:rPr>
              <w:t xml:space="preserve">7 </w:t>
            </w:r>
          </w:p>
          <w:p w14:paraId="05933B64" w14:textId="77777777" w:rsidR="0059627B" w:rsidRDefault="007B1972">
            <w:pPr>
              <w:jc w:val="center"/>
              <w:rPr>
                <w:color w:val="000000"/>
              </w:rPr>
            </w:pPr>
            <w:r>
              <w:rPr>
                <w:color w:val="000000"/>
              </w:rPr>
              <w:t>(2%)</w:t>
            </w:r>
          </w:p>
        </w:tc>
        <w:tc>
          <w:tcPr>
            <w:tcW w:w="870" w:type="dxa"/>
            <w:tcBorders>
              <w:top w:val="nil"/>
              <w:left w:val="nil"/>
              <w:bottom w:val="nil"/>
              <w:right w:val="nil"/>
            </w:tcBorders>
            <w:tcMar>
              <w:top w:w="0" w:type="dxa"/>
              <w:left w:w="108" w:type="dxa"/>
              <w:bottom w:w="0" w:type="dxa"/>
              <w:right w:w="108" w:type="dxa"/>
            </w:tcMar>
          </w:tcPr>
          <w:p w14:paraId="7C5A3162" w14:textId="77777777" w:rsidR="0059627B" w:rsidRDefault="007B1972">
            <w:pPr>
              <w:jc w:val="center"/>
              <w:rPr>
                <w:color w:val="000000"/>
              </w:rPr>
            </w:pPr>
            <w:r>
              <w:rPr>
                <w:color w:val="000000"/>
              </w:rPr>
              <w:t>7 (3%)</w:t>
            </w:r>
          </w:p>
        </w:tc>
        <w:tc>
          <w:tcPr>
            <w:tcW w:w="904" w:type="dxa"/>
            <w:tcBorders>
              <w:top w:val="nil"/>
              <w:left w:val="nil"/>
              <w:bottom w:val="nil"/>
              <w:right w:val="nil"/>
            </w:tcBorders>
            <w:tcMar>
              <w:top w:w="0" w:type="dxa"/>
              <w:left w:w="108" w:type="dxa"/>
              <w:bottom w:w="0" w:type="dxa"/>
              <w:right w:w="108" w:type="dxa"/>
            </w:tcMar>
          </w:tcPr>
          <w:p w14:paraId="2B257670" w14:textId="77777777" w:rsidR="0059627B" w:rsidRDefault="007B1972">
            <w:pPr>
              <w:jc w:val="center"/>
              <w:rPr>
                <w:color w:val="000000"/>
              </w:rPr>
            </w:pPr>
            <w:r>
              <w:rPr>
                <w:color w:val="000000"/>
              </w:rPr>
              <w:t>-</w:t>
            </w:r>
          </w:p>
        </w:tc>
        <w:tc>
          <w:tcPr>
            <w:tcW w:w="870" w:type="dxa"/>
            <w:tcBorders>
              <w:top w:val="nil"/>
              <w:left w:val="nil"/>
              <w:bottom w:val="nil"/>
              <w:right w:val="nil"/>
            </w:tcBorders>
            <w:tcMar>
              <w:top w:w="0" w:type="dxa"/>
              <w:left w:w="108" w:type="dxa"/>
              <w:bottom w:w="0" w:type="dxa"/>
              <w:right w:w="108" w:type="dxa"/>
            </w:tcMar>
          </w:tcPr>
          <w:p w14:paraId="573D67A6" w14:textId="77777777" w:rsidR="0059627B" w:rsidRDefault="007B1972">
            <w:pPr>
              <w:jc w:val="center"/>
              <w:rPr>
                <w:color w:val="000000"/>
              </w:rPr>
            </w:pPr>
            <w:r>
              <w:rPr>
                <w:color w:val="000000"/>
              </w:rPr>
              <w:t>30 (14%)</w:t>
            </w:r>
          </w:p>
        </w:tc>
        <w:tc>
          <w:tcPr>
            <w:tcW w:w="870" w:type="dxa"/>
            <w:tcBorders>
              <w:top w:val="nil"/>
              <w:left w:val="nil"/>
              <w:bottom w:val="nil"/>
              <w:right w:val="nil"/>
            </w:tcBorders>
            <w:tcMar>
              <w:top w:w="0" w:type="dxa"/>
              <w:left w:w="108" w:type="dxa"/>
              <w:bottom w:w="0" w:type="dxa"/>
              <w:right w:w="108" w:type="dxa"/>
            </w:tcMar>
          </w:tcPr>
          <w:p w14:paraId="69BE37A6" w14:textId="77777777" w:rsidR="0059627B" w:rsidRDefault="007B1972">
            <w:pPr>
              <w:jc w:val="center"/>
              <w:rPr>
                <w:color w:val="000000"/>
              </w:rPr>
            </w:pPr>
            <w:r>
              <w:rPr>
                <w:color w:val="000000"/>
              </w:rPr>
              <w:t>28 (16%)</w:t>
            </w:r>
          </w:p>
        </w:tc>
        <w:tc>
          <w:tcPr>
            <w:tcW w:w="904" w:type="dxa"/>
            <w:tcBorders>
              <w:top w:val="nil"/>
              <w:left w:val="nil"/>
              <w:bottom w:val="nil"/>
              <w:right w:val="nil"/>
            </w:tcBorders>
            <w:tcMar>
              <w:top w:w="0" w:type="dxa"/>
              <w:left w:w="108" w:type="dxa"/>
              <w:bottom w:w="0" w:type="dxa"/>
              <w:right w:w="108" w:type="dxa"/>
            </w:tcMar>
          </w:tcPr>
          <w:p w14:paraId="4169CE2C" w14:textId="77777777" w:rsidR="0059627B" w:rsidRDefault="007B1972">
            <w:pPr>
              <w:jc w:val="center"/>
              <w:rPr>
                <w:color w:val="000000"/>
              </w:rPr>
            </w:pPr>
            <w:r>
              <w:rPr>
                <w:color w:val="000000"/>
              </w:rPr>
              <w:t xml:space="preserve">2 </w:t>
            </w:r>
          </w:p>
          <w:p w14:paraId="131732EC" w14:textId="77777777" w:rsidR="0059627B" w:rsidRDefault="007B1972">
            <w:pPr>
              <w:jc w:val="center"/>
              <w:rPr>
                <w:color w:val="000000"/>
              </w:rPr>
            </w:pPr>
            <w:r>
              <w:rPr>
                <w:color w:val="000000"/>
              </w:rPr>
              <w:t>(5%)</w:t>
            </w:r>
          </w:p>
        </w:tc>
        <w:tc>
          <w:tcPr>
            <w:tcW w:w="870" w:type="dxa"/>
            <w:tcBorders>
              <w:top w:val="nil"/>
              <w:left w:val="nil"/>
              <w:bottom w:val="nil"/>
              <w:right w:val="nil"/>
            </w:tcBorders>
            <w:tcMar>
              <w:top w:w="0" w:type="dxa"/>
              <w:left w:w="108" w:type="dxa"/>
              <w:bottom w:w="0" w:type="dxa"/>
              <w:right w:w="108" w:type="dxa"/>
            </w:tcMar>
          </w:tcPr>
          <w:p w14:paraId="7C093F67" w14:textId="77777777" w:rsidR="0059627B" w:rsidRDefault="007B1972">
            <w:pPr>
              <w:jc w:val="center"/>
              <w:rPr>
                <w:color w:val="000000"/>
              </w:rPr>
            </w:pPr>
            <w:r>
              <w:rPr>
                <w:color w:val="000000"/>
              </w:rPr>
              <w:t>6 (6%)</w:t>
            </w:r>
          </w:p>
        </w:tc>
        <w:tc>
          <w:tcPr>
            <w:tcW w:w="870" w:type="dxa"/>
            <w:tcBorders>
              <w:top w:val="nil"/>
              <w:left w:val="nil"/>
              <w:bottom w:val="nil"/>
              <w:right w:val="nil"/>
            </w:tcBorders>
            <w:tcMar>
              <w:top w:w="0" w:type="dxa"/>
              <w:left w:w="108" w:type="dxa"/>
              <w:bottom w:w="0" w:type="dxa"/>
              <w:right w:w="108" w:type="dxa"/>
            </w:tcMar>
          </w:tcPr>
          <w:p w14:paraId="09D2510D" w14:textId="77777777" w:rsidR="0059627B" w:rsidRDefault="007B1972">
            <w:pPr>
              <w:jc w:val="center"/>
              <w:rPr>
                <w:color w:val="000000"/>
              </w:rPr>
            </w:pPr>
            <w:r>
              <w:rPr>
                <w:color w:val="000000"/>
              </w:rPr>
              <w:t>6 (8%)</w:t>
            </w:r>
          </w:p>
        </w:tc>
        <w:tc>
          <w:tcPr>
            <w:tcW w:w="904" w:type="dxa"/>
            <w:tcBorders>
              <w:top w:val="nil"/>
              <w:left w:val="nil"/>
              <w:bottom w:val="nil"/>
              <w:right w:val="nil"/>
            </w:tcBorders>
            <w:tcMar>
              <w:top w:w="0" w:type="dxa"/>
              <w:left w:w="108" w:type="dxa"/>
              <w:bottom w:w="0" w:type="dxa"/>
              <w:right w:w="108" w:type="dxa"/>
            </w:tcMar>
          </w:tcPr>
          <w:p w14:paraId="647C124C" w14:textId="77777777" w:rsidR="0059627B" w:rsidRDefault="007B1972">
            <w:pPr>
              <w:jc w:val="center"/>
              <w:rPr>
                <w:color w:val="000000"/>
              </w:rPr>
            </w:pPr>
            <w:r>
              <w:rPr>
                <w:color w:val="000000"/>
              </w:rPr>
              <w:t>-</w:t>
            </w:r>
          </w:p>
        </w:tc>
        <w:tc>
          <w:tcPr>
            <w:tcW w:w="870" w:type="dxa"/>
            <w:tcBorders>
              <w:top w:val="nil"/>
              <w:left w:val="nil"/>
              <w:bottom w:val="nil"/>
              <w:right w:val="nil"/>
            </w:tcBorders>
            <w:tcMar>
              <w:top w:w="0" w:type="dxa"/>
              <w:left w:w="108" w:type="dxa"/>
              <w:bottom w:w="0" w:type="dxa"/>
              <w:right w:w="108" w:type="dxa"/>
            </w:tcMar>
          </w:tcPr>
          <w:p w14:paraId="06D6DEC1" w14:textId="77777777" w:rsidR="0059627B" w:rsidRDefault="007B1972">
            <w:pPr>
              <w:jc w:val="center"/>
              <w:rPr>
                <w:color w:val="000000"/>
              </w:rPr>
            </w:pPr>
            <w:r>
              <w:rPr>
                <w:color w:val="000000"/>
              </w:rPr>
              <w:t>6 (3%)</w:t>
            </w:r>
          </w:p>
        </w:tc>
        <w:tc>
          <w:tcPr>
            <w:tcW w:w="870" w:type="dxa"/>
            <w:tcBorders>
              <w:top w:val="nil"/>
              <w:left w:val="nil"/>
              <w:bottom w:val="nil"/>
              <w:right w:val="nil"/>
            </w:tcBorders>
            <w:tcMar>
              <w:top w:w="0" w:type="dxa"/>
              <w:left w:w="108" w:type="dxa"/>
              <w:bottom w:w="0" w:type="dxa"/>
              <w:right w:w="108" w:type="dxa"/>
            </w:tcMar>
          </w:tcPr>
          <w:p w14:paraId="7C2C503A" w14:textId="77777777" w:rsidR="0059627B" w:rsidRDefault="007B1972">
            <w:pPr>
              <w:jc w:val="center"/>
              <w:rPr>
                <w:color w:val="000000"/>
              </w:rPr>
            </w:pPr>
            <w:r>
              <w:rPr>
                <w:color w:val="000000"/>
              </w:rPr>
              <w:t>6 (4%)</w:t>
            </w:r>
          </w:p>
        </w:tc>
        <w:tc>
          <w:tcPr>
            <w:tcW w:w="904" w:type="dxa"/>
            <w:tcBorders>
              <w:top w:val="nil"/>
              <w:left w:val="nil"/>
              <w:bottom w:val="nil"/>
              <w:right w:val="nil"/>
            </w:tcBorders>
            <w:tcMar>
              <w:top w:w="0" w:type="dxa"/>
              <w:left w:w="108" w:type="dxa"/>
              <w:bottom w:w="0" w:type="dxa"/>
              <w:right w:w="108" w:type="dxa"/>
            </w:tcMar>
          </w:tcPr>
          <w:p w14:paraId="4B0EB12A" w14:textId="77777777" w:rsidR="0059627B" w:rsidRDefault="007B1972">
            <w:pPr>
              <w:jc w:val="center"/>
              <w:rPr>
                <w:color w:val="000000"/>
              </w:rPr>
            </w:pPr>
            <w:r>
              <w:rPr>
                <w:color w:val="000000"/>
              </w:rPr>
              <w:t>-</w:t>
            </w:r>
          </w:p>
        </w:tc>
      </w:tr>
      <w:tr w:rsidR="0059627B" w14:paraId="21CE6284" w14:textId="77777777">
        <w:trPr>
          <w:jc w:val="center"/>
        </w:trPr>
        <w:tc>
          <w:tcPr>
            <w:tcW w:w="3264" w:type="dxa"/>
            <w:tcBorders>
              <w:top w:val="nil"/>
              <w:left w:val="nil"/>
              <w:bottom w:val="nil"/>
              <w:right w:val="nil"/>
            </w:tcBorders>
            <w:tcMar>
              <w:top w:w="0" w:type="dxa"/>
              <w:left w:w="108" w:type="dxa"/>
              <w:bottom w:w="0" w:type="dxa"/>
              <w:right w:w="108" w:type="dxa"/>
            </w:tcMar>
          </w:tcPr>
          <w:p w14:paraId="1D320C58" w14:textId="77777777" w:rsidR="0059627B" w:rsidRDefault="007B1972">
            <w:pPr>
              <w:rPr>
                <w:color w:val="000000"/>
              </w:rPr>
            </w:pPr>
            <w:r>
              <w:rPr>
                <w:b/>
                <w:color w:val="000000"/>
              </w:rPr>
              <w:t>Psychological distress</w:t>
            </w:r>
          </w:p>
        </w:tc>
        <w:tc>
          <w:tcPr>
            <w:tcW w:w="10819" w:type="dxa"/>
            <w:gridSpan w:val="12"/>
            <w:tcBorders>
              <w:top w:val="nil"/>
              <w:left w:val="nil"/>
              <w:bottom w:val="nil"/>
            </w:tcBorders>
            <w:tcMar>
              <w:top w:w="0" w:type="dxa"/>
              <w:left w:w="108" w:type="dxa"/>
              <w:bottom w:w="0" w:type="dxa"/>
              <w:right w:w="108" w:type="dxa"/>
            </w:tcMar>
          </w:tcPr>
          <w:p w14:paraId="24105660" w14:textId="77777777" w:rsidR="0059627B" w:rsidRDefault="0059627B">
            <w:pPr>
              <w:jc w:val="center"/>
              <w:rPr>
                <w:color w:val="000000"/>
              </w:rPr>
            </w:pPr>
          </w:p>
        </w:tc>
      </w:tr>
      <w:tr w:rsidR="0059627B" w14:paraId="745766BC" w14:textId="77777777">
        <w:trPr>
          <w:jc w:val="center"/>
        </w:trPr>
        <w:tc>
          <w:tcPr>
            <w:tcW w:w="3264" w:type="dxa"/>
            <w:tcBorders>
              <w:top w:val="nil"/>
              <w:left w:val="nil"/>
              <w:bottom w:val="nil"/>
              <w:right w:val="nil"/>
            </w:tcBorders>
            <w:tcMar>
              <w:top w:w="0" w:type="dxa"/>
              <w:left w:w="108" w:type="dxa"/>
              <w:bottom w:w="0" w:type="dxa"/>
              <w:right w:w="108" w:type="dxa"/>
            </w:tcMar>
          </w:tcPr>
          <w:p w14:paraId="05A619EE" w14:textId="77777777" w:rsidR="0059627B" w:rsidRDefault="007B1972">
            <w:pPr>
              <w:rPr>
                <w:color w:val="000000"/>
              </w:rPr>
            </w:pPr>
            <w:r>
              <w:rPr>
                <w:color w:val="000000"/>
              </w:rPr>
              <w:t>Low mood (P)</w:t>
            </w:r>
          </w:p>
        </w:tc>
        <w:tc>
          <w:tcPr>
            <w:tcW w:w="1113" w:type="dxa"/>
            <w:tcBorders>
              <w:top w:val="nil"/>
              <w:left w:val="nil"/>
              <w:bottom w:val="nil"/>
              <w:right w:val="nil"/>
            </w:tcBorders>
            <w:tcMar>
              <w:top w:w="0" w:type="dxa"/>
              <w:left w:w="108" w:type="dxa"/>
              <w:bottom w:w="0" w:type="dxa"/>
              <w:right w:w="108" w:type="dxa"/>
            </w:tcMar>
          </w:tcPr>
          <w:p w14:paraId="503D66DF" w14:textId="77777777" w:rsidR="0059627B" w:rsidRDefault="007B1972">
            <w:pPr>
              <w:jc w:val="center"/>
              <w:rPr>
                <w:color w:val="000000"/>
              </w:rPr>
            </w:pPr>
            <w:r>
              <w:rPr>
                <w:color w:val="000000"/>
              </w:rPr>
              <w:t xml:space="preserve">21 </w:t>
            </w:r>
          </w:p>
          <w:p w14:paraId="5EA067AE" w14:textId="77777777" w:rsidR="0059627B" w:rsidRDefault="007B1972">
            <w:pPr>
              <w:jc w:val="center"/>
              <w:rPr>
                <w:color w:val="000000"/>
              </w:rPr>
            </w:pPr>
            <w:r>
              <w:rPr>
                <w:color w:val="000000"/>
              </w:rPr>
              <w:t>(7%)</w:t>
            </w:r>
          </w:p>
        </w:tc>
        <w:tc>
          <w:tcPr>
            <w:tcW w:w="870" w:type="dxa"/>
            <w:tcBorders>
              <w:top w:val="nil"/>
              <w:left w:val="nil"/>
              <w:bottom w:val="nil"/>
              <w:right w:val="nil"/>
            </w:tcBorders>
            <w:tcMar>
              <w:top w:w="0" w:type="dxa"/>
              <w:left w:w="108" w:type="dxa"/>
              <w:bottom w:w="0" w:type="dxa"/>
              <w:right w:w="108" w:type="dxa"/>
            </w:tcMar>
          </w:tcPr>
          <w:p w14:paraId="4AB662EA" w14:textId="77777777" w:rsidR="0059627B" w:rsidRDefault="007B1972">
            <w:pPr>
              <w:jc w:val="center"/>
              <w:rPr>
                <w:color w:val="000000"/>
              </w:rPr>
            </w:pPr>
            <w:r>
              <w:rPr>
                <w:color w:val="000000"/>
              </w:rPr>
              <w:t>16 (7%)</w:t>
            </w:r>
          </w:p>
        </w:tc>
        <w:tc>
          <w:tcPr>
            <w:tcW w:w="904" w:type="dxa"/>
            <w:tcBorders>
              <w:top w:val="nil"/>
              <w:left w:val="nil"/>
              <w:bottom w:val="nil"/>
              <w:right w:val="nil"/>
            </w:tcBorders>
            <w:tcMar>
              <w:top w:w="0" w:type="dxa"/>
              <w:left w:w="108" w:type="dxa"/>
              <w:bottom w:w="0" w:type="dxa"/>
              <w:right w:w="108" w:type="dxa"/>
            </w:tcMar>
          </w:tcPr>
          <w:p w14:paraId="51FD89A4" w14:textId="77777777" w:rsidR="0059627B" w:rsidRDefault="007B1972">
            <w:pPr>
              <w:jc w:val="center"/>
              <w:rPr>
                <w:color w:val="000000"/>
              </w:rPr>
            </w:pPr>
            <w:r>
              <w:rPr>
                <w:color w:val="000000"/>
              </w:rPr>
              <w:t xml:space="preserve">5 </w:t>
            </w:r>
          </w:p>
          <w:p w14:paraId="0696423B" w14:textId="77777777" w:rsidR="0059627B" w:rsidRDefault="007B1972">
            <w:pPr>
              <w:jc w:val="center"/>
              <w:rPr>
                <w:color w:val="000000"/>
              </w:rPr>
            </w:pPr>
            <w:r>
              <w:rPr>
                <w:color w:val="000000"/>
              </w:rPr>
              <w:t>(9%)</w:t>
            </w:r>
          </w:p>
        </w:tc>
        <w:tc>
          <w:tcPr>
            <w:tcW w:w="870" w:type="dxa"/>
            <w:tcBorders>
              <w:top w:val="nil"/>
              <w:left w:val="nil"/>
              <w:bottom w:val="nil"/>
              <w:right w:val="nil"/>
            </w:tcBorders>
            <w:tcMar>
              <w:top w:w="0" w:type="dxa"/>
              <w:left w:w="108" w:type="dxa"/>
              <w:bottom w:w="0" w:type="dxa"/>
              <w:right w:w="108" w:type="dxa"/>
            </w:tcMar>
          </w:tcPr>
          <w:p w14:paraId="4D778941" w14:textId="77777777" w:rsidR="0059627B" w:rsidRDefault="007B1972">
            <w:pPr>
              <w:jc w:val="center"/>
              <w:rPr>
                <w:color w:val="000000"/>
              </w:rPr>
            </w:pPr>
            <w:r>
              <w:rPr>
                <w:color w:val="000000"/>
              </w:rPr>
              <w:t>18 (9%)</w:t>
            </w:r>
          </w:p>
        </w:tc>
        <w:tc>
          <w:tcPr>
            <w:tcW w:w="870" w:type="dxa"/>
            <w:tcBorders>
              <w:top w:val="nil"/>
              <w:left w:val="nil"/>
              <w:bottom w:val="nil"/>
              <w:right w:val="nil"/>
            </w:tcBorders>
            <w:tcMar>
              <w:top w:w="0" w:type="dxa"/>
              <w:left w:w="108" w:type="dxa"/>
              <w:bottom w:w="0" w:type="dxa"/>
              <w:right w:w="108" w:type="dxa"/>
            </w:tcMar>
          </w:tcPr>
          <w:p w14:paraId="7DD968D0" w14:textId="77777777" w:rsidR="0059627B" w:rsidRDefault="007B1972">
            <w:pPr>
              <w:jc w:val="center"/>
              <w:rPr>
                <w:color w:val="000000"/>
              </w:rPr>
            </w:pPr>
            <w:r>
              <w:rPr>
                <w:color w:val="000000"/>
              </w:rPr>
              <w:t>13 (8%)</w:t>
            </w:r>
          </w:p>
        </w:tc>
        <w:tc>
          <w:tcPr>
            <w:tcW w:w="904" w:type="dxa"/>
            <w:tcBorders>
              <w:top w:val="nil"/>
              <w:left w:val="nil"/>
              <w:bottom w:val="nil"/>
              <w:right w:val="nil"/>
            </w:tcBorders>
            <w:tcMar>
              <w:top w:w="0" w:type="dxa"/>
              <w:left w:w="108" w:type="dxa"/>
              <w:bottom w:w="0" w:type="dxa"/>
              <w:right w:w="108" w:type="dxa"/>
            </w:tcMar>
          </w:tcPr>
          <w:p w14:paraId="1896EA7A" w14:textId="77777777" w:rsidR="0059627B" w:rsidRDefault="007B1972">
            <w:pPr>
              <w:jc w:val="center"/>
              <w:rPr>
                <w:color w:val="000000"/>
              </w:rPr>
            </w:pPr>
            <w:r>
              <w:rPr>
                <w:color w:val="000000"/>
              </w:rPr>
              <w:t>5 (13%)</w:t>
            </w:r>
          </w:p>
        </w:tc>
        <w:tc>
          <w:tcPr>
            <w:tcW w:w="870" w:type="dxa"/>
            <w:tcBorders>
              <w:top w:val="nil"/>
              <w:left w:val="nil"/>
              <w:bottom w:val="nil"/>
              <w:right w:val="nil"/>
            </w:tcBorders>
            <w:tcMar>
              <w:top w:w="0" w:type="dxa"/>
              <w:left w:w="108" w:type="dxa"/>
              <w:bottom w:w="0" w:type="dxa"/>
              <w:right w:w="108" w:type="dxa"/>
            </w:tcMar>
          </w:tcPr>
          <w:p w14:paraId="70AE07FC" w14:textId="77777777" w:rsidR="0059627B" w:rsidRDefault="007B1972">
            <w:pPr>
              <w:jc w:val="center"/>
              <w:rPr>
                <w:color w:val="000000"/>
              </w:rPr>
            </w:pPr>
            <w:r>
              <w:rPr>
                <w:color w:val="000000"/>
              </w:rPr>
              <w:t>8 (8%)</w:t>
            </w:r>
          </w:p>
        </w:tc>
        <w:tc>
          <w:tcPr>
            <w:tcW w:w="870" w:type="dxa"/>
            <w:tcBorders>
              <w:top w:val="nil"/>
              <w:left w:val="nil"/>
              <w:bottom w:val="nil"/>
              <w:right w:val="nil"/>
            </w:tcBorders>
            <w:tcMar>
              <w:top w:w="0" w:type="dxa"/>
              <w:left w:w="108" w:type="dxa"/>
              <w:bottom w:w="0" w:type="dxa"/>
              <w:right w:w="108" w:type="dxa"/>
            </w:tcMar>
          </w:tcPr>
          <w:p w14:paraId="5F753B31" w14:textId="77777777" w:rsidR="0059627B" w:rsidRDefault="007B1972">
            <w:pPr>
              <w:jc w:val="center"/>
              <w:rPr>
                <w:color w:val="000000"/>
              </w:rPr>
            </w:pPr>
            <w:r>
              <w:rPr>
                <w:color w:val="000000"/>
              </w:rPr>
              <w:t>6 (8%)</w:t>
            </w:r>
          </w:p>
        </w:tc>
        <w:tc>
          <w:tcPr>
            <w:tcW w:w="904" w:type="dxa"/>
            <w:tcBorders>
              <w:top w:val="nil"/>
              <w:left w:val="nil"/>
              <w:bottom w:val="nil"/>
              <w:right w:val="nil"/>
            </w:tcBorders>
            <w:tcMar>
              <w:top w:w="0" w:type="dxa"/>
              <w:left w:w="108" w:type="dxa"/>
              <w:bottom w:w="0" w:type="dxa"/>
              <w:right w:w="108" w:type="dxa"/>
            </w:tcMar>
          </w:tcPr>
          <w:p w14:paraId="2F6CAF54" w14:textId="77777777" w:rsidR="0059627B" w:rsidRDefault="007B1972">
            <w:pPr>
              <w:jc w:val="center"/>
              <w:rPr>
                <w:color w:val="000000"/>
              </w:rPr>
            </w:pPr>
            <w:r>
              <w:rPr>
                <w:color w:val="000000"/>
              </w:rPr>
              <w:t xml:space="preserve">2 </w:t>
            </w:r>
          </w:p>
          <w:p w14:paraId="778EEBE6" w14:textId="77777777" w:rsidR="0059627B" w:rsidRDefault="007B1972">
            <w:pPr>
              <w:jc w:val="center"/>
              <w:rPr>
                <w:color w:val="000000"/>
              </w:rPr>
            </w:pPr>
            <w:r>
              <w:rPr>
                <w:color w:val="000000"/>
              </w:rPr>
              <w:t>(6%)</w:t>
            </w:r>
          </w:p>
        </w:tc>
        <w:tc>
          <w:tcPr>
            <w:tcW w:w="870" w:type="dxa"/>
            <w:tcBorders>
              <w:top w:val="nil"/>
              <w:left w:val="nil"/>
              <w:bottom w:val="nil"/>
              <w:right w:val="nil"/>
            </w:tcBorders>
            <w:tcMar>
              <w:top w:w="0" w:type="dxa"/>
              <w:left w:w="108" w:type="dxa"/>
              <w:bottom w:w="0" w:type="dxa"/>
              <w:right w:w="108" w:type="dxa"/>
            </w:tcMar>
          </w:tcPr>
          <w:p w14:paraId="40FCD436" w14:textId="77777777" w:rsidR="0059627B" w:rsidRDefault="007B1972">
            <w:pPr>
              <w:jc w:val="center"/>
              <w:rPr>
                <w:color w:val="000000"/>
              </w:rPr>
            </w:pPr>
            <w:r>
              <w:rPr>
                <w:color w:val="000000"/>
              </w:rPr>
              <w:t>18 (10%)</w:t>
            </w:r>
          </w:p>
        </w:tc>
        <w:tc>
          <w:tcPr>
            <w:tcW w:w="870" w:type="dxa"/>
            <w:tcBorders>
              <w:top w:val="nil"/>
              <w:left w:val="nil"/>
              <w:bottom w:val="nil"/>
              <w:right w:val="nil"/>
            </w:tcBorders>
            <w:tcMar>
              <w:top w:w="0" w:type="dxa"/>
              <w:left w:w="108" w:type="dxa"/>
              <w:bottom w:w="0" w:type="dxa"/>
              <w:right w:w="108" w:type="dxa"/>
            </w:tcMar>
          </w:tcPr>
          <w:p w14:paraId="3E65E69F" w14:textId="77777777" w:rsidR="0059627B" w:rsidRDefault="007B1972">
            <w:pPr>
              <w:jc w:val="center"/>
              <w:rPr>
                <w:color w:val="000000"/>
              </w:rPr>
            </w:pPr>
            <w:r>
              <w:rPr>
                <w:color w:val="000000"/>
              </w:rPr>
              <w:t>16 (12%)</w:t>
            </w:r>
          </w:p>
        </w:tc>
        <w:tc>
          <w:tcPr>
            <w:tcW w:w="904" w:type="dxa"/>
            <w:tcBorders>
              <w:top w:val="nil"/>
              <w:left w:val="nil"/>
              <w:bottom w:val="nil"/>
              <w:right w:val="nil"/>
            </w:tcBorders>
            <w:tcMar>
              <w:top w:w="0" w:type="dxa"/>
              <w:left w:w="108" w:type="dxa"/>
              <w:bottom w:w="0" w:type="dxa"/>
              <w:right w:w="108" w:type="dxa"/>
            </w:tcMar>
          </w:tcPr>
          <w:p w14:paraId="664D34C8" w14:textId="77777777" w:rsidR="0059627B" w:rsidRDefault="007B1972">
            <w:pPr>
              <w:jc w:val="center"/>
              <w:rPr>
                <w:color w:val="000000"/>
              </w:rPr>
            </w:pPr>
            <w:r>
              <w:rPr>
                <w:color w:val="000000"/>
              </w:rPr>
              <w:t xml:space="preserve">2 </w:t>
            </w:r>
          </w:p>
          <w:p w14:paraId="3AEEC063" w14:textId="77777777" w:rsidR="0059627B" w:rsidRDefault="007B1972">
            <w:pPr>
              <w:jc w:val="center"/>
              <w:rPr>
                <w:color w:val="000000"/>
              </w:rPr>
            </w:pPr>
            <w:r>
              <w:rPr>
                <w:color w:val="000000"/>
              </w:rPr>
              <w:t>(4%)</w:t>
            </w:r>
          </w:p>
        </w:tc>
      </w:tr>
      <w:tr w:rsidR="0059627B" w14:paraId="7BB640EC" w14:textId="77777777">
        <w:trPr>
          <w:jc w:val="center"/>
        </w:trPr>
        <w:tc>
          <w:tcPr>
            <w:tcW w:w="3264" w:type="dxa"/>
            <w:tcBorders>
              <w:top w:val="nil"/>
              <w:left w:val="nil"/>
              <w:bottom w:val="nil"/>
              <w:right w:val="nil"/>
            </w:tcBorders>
            <w:tcMar>
              <w:top w:w="0" w:type="dxa"/>
              <w:left w:w="108" w:type="dxa"/>
              <w:bottom w:w="0" w:type="dxa"/>
              <w:right w:w="108" w:type="dxa"/>
            </w:tcMar>
          </w:tcPr>
          <w:p w14:paraId="580D3328" w14:textId="77777777" w:rsidR="0059627B" w:rsidRDefault="007B1972">
            <w:pPr>
              <w:rPr>
                <w:color w:val="000000"/>
              </w:rPr>
            </w:pPr>
            <w:r>
              <w:rPr>
                <w:color w:val="000000"/>
              </w:rPr>
              <w:lastRenderedPageBreak/>
              <w:t>Low mood (C)</w:t>
            </w:r>
          </w:p>
        </w:tc>
        <w:tc>
          <w:tcPr>
            <w:tcW w:w="1113" w:type="dxa"/>
            <w:tcBorders>
              <w:top w:val="nil"/>
              <w:left w:val="nil"/>
              <w:bottom w:val="nil"/>
              <w:right w:val="nil"/>
            </w:tcBorders>
            <w:tcMar>
              <w:top w:w="0" w:type="dxa"/>
              <w:left w:w="108" w:type="dxa"/>
              <w:bottom w:w="0" w:type="dxa"/>
              <w:right w:w="108" w:type="dxa"/>
            </w:tcMar>
          </w:tcPr>
          <w:p w14:paraId="0D705EED" w14:textId="77777777" w:rsidR="0059627B" w:rsidRDefault="007B1972">
            <w:pPr>
              <w:jc w:val="center"/>
              <w:rPr>
                <w:color w:val="000000"/>
              </w:rPr>
            </w:pPr>
            <w:r>
              <w:rPr>
                <w:color w:val="000000"/>
              </w:rPr>
              <w:t xml:space="preserve">22 </w:t>
            </w:r>
          </w:p>
          <w:p w14:paraId="2AF651F6" w14:textId="77777777" w:rsidR="0059627B" w:rsidRDefault="007B1972">
            <w:pPr>
              <w:jc w:val="center"/>
              <w:rPr>
                <w:color w:val="000000"/>
              </w:rPr>
            </w:pPr>
            <w:r>
              <w:rPr>
                <w:color w:val="000000"/>
              </w:rPr>
              <w:t>(8%)</w:t>
            </w:r>
          </w:p>
        </w:tc>
        <w:tc>
          <w:tcPr>
            <w:tcW w:w="870" w:type="dxa"/>
            <w:tcBorders>
              <w:top w:val="nil"/>
              <w:left w:val="nil"/>
              <w:bottom w:val="nil"/>
              <w:right w:val="nil"/>
            </w:tcBorders>
            <w:tcMar>
              <w:top w:w="0" w:type="dxa"/>
              <w:left w:w="108" w:type="dxa"/>
              <w:bottom w:w="0" w:type="dxa"/>
              <w:right w:w="108" w:type="dxa"/>
            </w:tcMar>
          </w:tcPr>
          <w:p w14:paraId="46B3161F" w14:textId="77777777" w:rsidR="0059627B" w:rsidRDefault="007B1972">
            <w:pPr>
              <w:jc w:val="center"/>
              <w:rPr>
                <w:color w:val="000000"/>
              </w:rPr>
            </w:pPr>
            <w:r>
              <w:rPr>
                <w:color w:val="000000"/>
              </w:rPr>
              <w:t>17 (8%)</w:t>
            </w:r>
          </w:p>
        </w:tc>
        <w:tc>
          <w:tcPr>
            <w:tcW w:w="904" w:type="dxa"/>
            <w:tcBorders>
              <w:top w:val="nil"/>
              <w:left w:val="nil"/>
              <w:bottom w:val="nil"/>
              <w:right w:val="nil"/>
            </w:tcBorders>
            <w:tcMar>
              <w:top w:w="0" w:type="dxa"/>
              <w:left w:w="108" w:type="dxa"/>
              <w:bottom w:w="0" w:type="dxa"/>
              <w:right w:w="108" w:type="dxa"/>
            </w:tcMar>
          </w:tcPr>
          <w:p w14:paraId="5F646F3D" w14:textId="77777777" w:rsidR="0059627B" w:rsidRDefault="007B1972">
            <w:pPr>
              <w:jc w:val="center"/>
              <w:rPr>
                <w:color w:val="000000"/>
              </w:rPr>
            </w:pPr>
            <w:r>
              <w:rPr>
                <w:color w:val="000000"/>
              </w:rPr>
              <w:t xml:space="preserve">5 </w:t>
            </w:r>
          </w:p>
          <w:p w14:paraId="2B0C580B" w14:textId="77777777" w:rsidR="0059627B" w:rsidRDefault="007B1972">
            <w:pPr>
              <w:jc w:val="center"/>
              <w:rPr>
                <w:color w:val="000000"/>
              </w:rPr>
            </w:pPr>
            <w:r>
              <w:rPr>
                <w:color w:val="000000"/>
              </w:rPr>
              <w:t>(9%)</w:t>
            </w:r>
          </w:p>
        </w:tc>
        <w:tc>
          <w:tcPr>
            <w:tcW w:w="870" w:type="dxa"/>
            <w:tcBorders>
              <w:top w:val="nil"/>
              <w:left w:val="nil"/>
              <w:bottom w:val="nil"/>
              <w:right w:val="nil"/>
            </w:tcBorders>
            <w:tcMar>
              <w:top w:w="0" w:type="dxa"/>
              <w:left w:w="108" w:type="dxa"/>
              <w:bottom w:w="0" w:type="dxa"/>
              <w:right w:w="108" w:type="dxa"/>
            </w:tcMar>
          </w:tcPr>
          <w:p w14:paraId="139A7285" w14:textId="77777777" w:rsidR="0059627B" w:rsidRDefault="007B1972">
            <w:pPr>
              <w:jc w:val="center"/>
              <w:rPr>
                <w:color w:val="000000"/>
              </w:rPr>
            </w:pPr>
            <w:r>
              <w:rPr>
                <w:color w:val="000000"/>
              </w:rPr>
              <w:t>18 (9%)</w:t>
            </w:r>
          </w:p>
        </w:tc>
        <w:tc>
          <w:tcPr>
            <w:tcW w:w="870" w:type="dxa"/>
            <w:tcBorders>
              <w:top w:val="nil"/>
              <w:left w:val="nil"/>
              <w:bottom w:val="nil"/>
              <w:right w:val="nil"/>
            </w:tcBorders>
            <w:tcMar>
              <w:top w:w="0" w:type="dxa"/>
              <w:left w:w="108" w:type="dxa"/>
              <w:bottom w:w="0" w:type="dxa"/>
              <w:right w:w="108" w:type="dxa"/>
            </w:tcMar>
          </w:tcPr>
          <w:p w14:paraId="27280799" w14:textId="77777777" w:rsidR="0059627B" w:rsidRDefault="007B1972">
            <w:pPr>
              <w:jc w:val="center"/>
              <w:rPr>
                <w:color w:val="000000"/>
              </w:rPr>
            </w:pPr>
            <w:r>
              <w:rPr>
                <w:color w:val="000000"/>
              </w:rPr>
              <w:t>15 (9%)</w:t>
            </w:r>
          </w:p>
        </w:tc>
        <w:tc>
          <w:tcPr>
            <w:tcW w:w="904" w:type="dxa"/>
            <w:tcBorders>
              <w:top w:val="nil"/>
              <w:left w:val="nil"/>
              <w:bottom w:val="nil"/>
              <w:right w:val="nil"/>
            </w:tcBorders>
            <w:tcMar>
              <w:top w:w="0" w:type="dxa"/>
              <w:left w:w="108" w:type="dxa"/>
              <w:bottom w:w="0" w:type="dxa"/>
              <w:right w:w="108" w:type="dxa"/>
            </w:tcMar>
          </w:tcPr>
          <w:p w14:paraId="45B843A9" w14:textId="77777777" w:rsidR="0059627B" w:rsidRDefault="007B1972">
            <w:pPr>
              <w:jc w:val="center"/>
              <w:rPr>
                <w:color w:val="000000"/>
              </w:rPr>
            </w:pPr>
            <w:r>
              <w:rPr>
                <w:color w:val="000000"/>
              </w:rPr>
              <w:t xml:space="preserve">3 </w:t>
            </w:r>
          </w:p>
          <w:p w14:paraId="49088462" w14:textId="77777777" w:rsidR="0059627B" w:rsidRDefault="007B1972">
            <w:pPr>
              <w:jc w:val="center"/>
              <w:rPr>
                <w:color w:val="000000"/>
              </w:rPr>
            </w:pPr>
            <w:r>
              <w:rPr>
                <w:color w:val="000000"/>
              </w:rPr>
              <w:t>(8%)</w:t>
            </w:r>
          </w:p>
        </w:tc>
        <w:tc>
          <w:tcPr>
            <w:tcW w:w="870" w:type="dxa"/>
            <w:tcBorders>
              <w:top w:val="nil"/>
              <w:left w:val="nil"/>
              <w:bottom w:val="nil"/>
              <w:right w:val="nil"/>
            </w:tcBorders>
            <w:tcMar>
              <w:top w:w="0" w:type="dxa"/>
              <w:left w:w="108" w:type="dxa"/>
              <w:bottom w:w="0" w:type="dxa"/>
              <w:right w:w="108" w:type="dxa"/>
            </w:tcMar>
          </w:tcPr>
          <w:p w14:paraId="66CB8335" w14:textId="77777777" w:rsidR="0059627B" w:rsidRDefault="007B1972">
            <w:pPr>
              <w:jc w:val="center"/>
              <w:rPr>
                <w:color w:val="000000"/>
              </w:rPr>
            </w:pPr>
            <w:r>
              <w:rPr>
                <w:color w:val="000000"/>
              </w:rPr>
              <w:t>6 (6%)</w:t>
            </w:r>
          </w:p>
        </w:tc>
        <w:tc>
          <w:tcPr>
            <w:tcW w:w="870" w:type="dxa"/>
            <w:tcBorders>
              <w:top w:val="nil"/>
              <w:left w:val="nil"/>
              <w:bottom w:val="nil"/>
              <w:right w:val="nil"/>
            </w:tcBorders>
            <w:tcMar>
              <w:top w:w="0" w:type="dxa"/>
              <w:left w:w="108" w:type="dxa"/>
              <w:bottom w:w="0" w:type="dxa"/>
              <w:right w:w="108" w:type="dxa"/>
            </w:tcMar>
          </w:tcPr>
          <w:p w14:paraId="28757FC4" w14:textId="77777777" w:rsidR="0059627B" w:rsidRDefault="007B1972">
            <w:pPr>
              <w:jc w:val="center"/>
              <w:rPr>
                <w:color w:val="000000"/>
              </w:rPr>
            </w:pPr>
            <w:r>
              <w:rPr>
                <w:color w:val="000000"/>
              </w:rPr>
              <w:t>3 (10%)</w:t>
            </w:r>
          </w:p>
        </w:tc>
        <w:tc>
          <w:tcPr>
            <w:tcW w:w="904" w:type="dxa"/>
            <w:tcBorders>
              <w:top w:val="nil"/>
              <w:left w:val="nil"/>
              <w:bottom w:val="nil"/>
              <w:right w:val="nil"/>
            </w:tcBorders>
            <w:tcMar>
              <w:top w:w="0" w:type="dxa"/>
              <w:left w:w="108" w:type="dxa"/>
              <w:bottom w:w="0" w:type="dxa"/>
              <w:right w:w="108" w:type="dxa"/>
            </w:tcMar>
          </w:tcPr>
          <w:p w14:paraId="3EB3512E" w14:textId="77777777" w:rsidR="0059627B" w:rsidRDefault="007B1972">
            <w:pPr>
              <w:jc w:val="center"/>
              <w:rPr>
                <w:color w:val="000000"/>
              </w:rPr>
            </w:pPr>
            <w:r>
              <w:rPr>
                <w:color w:val="000000"/>
              </w:rPr>
              <w:t>3 (10%)</w:t>
            </w:r>
          </w:p>
        </w:tc>
        <w:tc>
          <w:tcPr>
            <w:tcW w:w="870" w:type="dxa"/>
            <w:tcBorders>
              <w:top w:val="nil"/>
              <w:left w:val="nil"/>
              <w:bottom w:val="nil"/>
              <w:right w:val="nil"/>
            </w:tcBorders>
            <w:tcMar>
              <w:top w:w="0" w:type="dxa"/>
              <w:left w:w="108" w:type="dxa"/>
              <w:bottom w:w="0" w:type="dxa"/>
              <w:right w:w="108" w:type="dxa"/>
            </w:tcMar>
          </w:tcPr>
          <w:p w14:paraId="003E166D" w14:textId="77777777" w:rsidR="0059627B" w:rsidRDefault="007B1972">
            <w:pPr>
              <w:jc w:val="center"/>
              <w:rPr>
                <w:color w:val="000000"/>
              </w:rPr>
            </w:pPr>
            <w:r>
              <w:rPr>
                <w:color w:val="000000"/>
              </w:rPr>
              <w:t>10 (5%)</w:t>
            </w:r>
          </w:p>
        </w:tc>
        <w:tc>
          <w:tcPr>
            <w:tcW w:w="870" w:type="dxa"/>
            <w:tcBorders>
              <w:top w:val="nil"/>
              <w:left w:val="nil"/>
              <w:bottom w:val="nil"/>
              <w:right w:val="nil"/>
            </w:tcBorders>
            <w:tcMar>
              <w:top w:w="0" w:type="dxa"/>
              <w:left w:w="108" w:type="dxa"/>
              <w:bottom w:w="0" w:type="dxa"/>
              <w:right w:w="108" w:type="dxa"/>
            </w:tcMar>
          </w:tcPr>
          <w:p w14:paraId="68EEF65D" w14:textId="77777777" w:rsidR="0059627B" w:rsidRDefault="007B1972">
            <w:pPr>
              <w:jc w:val="center"/>
              <w:rPr>
                <w:color w:val="000000"/>
              </w:rPr>
            </w:pPr>
            <w:r>
              <w:rPr>
                <w:color w:val="000000"/>
              </w:rPr>
              <w:t>8 (6%)</w:t>
            </w:r>
          </w:p>
        </w:tc>
        <w:tc>
          <w:tcPr>
            <w:tcW w:w="904" w:type="dxa"/>
            <w:tcBorders>
              <w:top w:val="nil"/>
              <w:left w:val="nil"/>
              <w:bottom w:val="nil"/>
              <w:right w:val="nil"/>
            </w:tcBorders>
            <w:tcMar>
              <w:top w:w="0" w:type="dxa"/>
              <w:left w:w="108" w:type="dxa"/>
              <w:bottom w:w="0" w:type="dxa"/>
              <w:right w:w="108" w:type="dxa"/>
            </w:tcMar>
          </w:tcPr>
          <w:p w14:paraId="326E326B" w14:textId="77777777" w:rsidR="0059627B" w:rsidRDefault="007B1972">
            <w:pPr>
              <w:jc w:val="center"/>
              <w:rPr>
                <w:color w:val="000000"/>
              </w:rPr>
            </w:pPr>
            <w:r>
              <w:rPr>
                <w:color w:val="000000"/>
              </w:rPr>
              <w:t xml:space="preserve">2 </w:t>
            </w:r>
          </w:p>
          <w:p w14:paraId="4890F28F" w14:textId="77777777" w:rsidR="0059627B" w:rsidRDefault="007B1972">
            <w:pPr>
              <w:jc w:val="center"/>
              <w:rPr>
                <w:color w:val="000000"/>
              </w:rPr>
            </w:pPr>
            <w:r>
              <w:rPr>
                <w:color w:val="000000"/>
              </w:rPr>
              <w:t>(4%)</w:t>
            </w:r>
          </w:p>
        </w:tc>
      </w:tr>
      <w:tr w:rsidR="0059627B" w14:paraId="6B92902C" w14:textId="77777777">
        <w:trPr>
          <w:jc w:val="center"/>
        </w:trPr>
        <w:tc>
          <w:tcPr>
            <w:tcW w:w="3264" w:type="dxa"/>
            <w:tcBorders>
              <w:top w:val="nil"/>
              <w:left w:val="nil"/>
              <w:bottom w:val="nil"/>
              <w:right w:val="nil"/>
            </w:tcBorders>
            <w:tcMar>
              <w:top w:w="0" w:type="dxa"/>
              <w:left w:w="108" w:type="dxa"/>
              <w:bottom w:w="0" w:type="dxa"/>
              <w:right w:w="108" w:type="dxa"/>
            </w:tcMar>
          </w:tcPr>
          <w:p w14:paraId="19E589EF" w14:textId="77777777" w:rsidR="0059627B" w:rsidRDefault="007B1972">
            <w:pPr>
              <w:rPr>
                <w:color w:val="000000"/>
              </w:rPr>
            </w:pPr>
            <w:r>
              <w:rPr>
                <w:color w:val="000000"/>
              </w:rPr>
              <w:t>Distress (C)</w:t>
            </w:r>
          </w:p>
        </w:tc>
        <w:tc>
          <w:tcPr>
            <w:tcW w:w="1113" w:type="dxa"/>
            <w:tcBorders>
              <w:top w:val="nil"/>
              <w:left w:val="nil"/>
              <w:bottom w:val="nil"/>
              <w:right w:val="nil"/>
            </w:tcBorders>
            <w:tcMar>
              <w:top w:w="0" w:type="dxa"/>
              <w:left w:w="108" w:type="dxa"/>
              <w:bottom w:w="0" w:type="dxa"/>
              <w:right w:w="108" w:type="dxa"/>
            </w:tcMar>
          </w:tcPr>
          <w:p w14:paraId="15E95464" w14:textId="77777777" w:rsidR="0059627B" w:rsidRDefault="007B1972">
            <w:pPr>
              <w:jc w:val="center"/>
              <w:rPr>
                <w:color w:val="000000"/>
              </w:rPr>
            </w:pPr>
            <w:r>
              <w:rPr>
                <w:color w:val="000000"/>
              </w:rPr>
              <w:t xml:space="preserve">21 </w:t>
            </w:r>
          </w:p>
          <w:p w14:paraId="33574D81" w14:textId="77777777" w:rsidR="0059627B" w:rsidRDefault="007B1972">
            <w:pPr>
              <w:jc w:val="center"/>
              <w:rPr>
                <w:color w:val="000000"/>
              </w:rPr>
            </w:pPr>
            <w:r>
              <w:rPr>
                <w:color w:val="000000"/>
              </w:rPr>
              <w:t>(7%)</w:t>
            </w:r>
          </w:p>
        </w:tc>
        <w:tc>
          <w:tcPr>
            <w:tcW w:w="870" w:type="dxa"/>
            <w:tcBorders>
              <w:top w:val="nil"/>
              <w:left w:val="nil"/>
              <w:bottom w:val="nil"/>
              <w:right w:val="nil"/>
            </w:tcBorders>
            <w:tcMar>
              <w:top w:w="0" w:type="dxa"/>
              <w:left w:w="108" w:type="dxa"/>
              <w:bottom w:w="0" w:type="dxa"/>
              <w:right w:w="108" w:type="dxa"/>
            </w:tcMar>
          </w:tcPr>
          <w:p w14:paraId="37452B26" w14:textId="77777777" w:rsidR="0059627B" w:rsidRDefault="007B1972">
            <w:pPr>
              <w:jc w:val="center"/>
              <w:rPr>
                <w:color w:val="000000"/>
              </w:rPr>
            </w:pPr>
            <w:r>
              <w:rPr>
                <w:color w:val="000000"/>
              </w:rPr>
              <w:t>18 (8%)</w:t>
            </w:r>
          </w:p>
        </w:tc>
        <w:tc>
          <w:tcPr>
            <w:tcW w:w="904" w:type="dxa"/>
            <w:tcBorders>
              <w:top w:val="nil"/>
              <w:left w:val="nil"/>
              <w:bottom w:val="nil"/>
              <w:right w:val="nil"/>
            </w:tcBorders>
            <w:tcMar>
              <w:top w:w="0" w:type="dxa"/>
              <w:left w:w="108" w:type="dxa"/>
              <w:bottom w:w="0" w:type="dxa"/>
              <w:right w:w="108" w:type="dxa"/>
            </w:tcMar>
          </w:tcPr>
          <w:p w14:paraId="7395301C" w14:textId="77777777" w:rsidR="0059627B" w:rsidRDefault="007B1972">
            <w:pPr>
              <w:jc w:val="center"/>
              <w:rPr>
                <w:color w:val="000000"/>
              </w:rPr>
            </w:pPr>
            <w:r>
              <w:rPr>
                <w:color w:val="000000"/>
              </w:rPr>
              <w:t xml:space="preserve">3 </w:t>
            </w:r>
          </w:p>
          <w:p w14:paraId="3D63A42C" w14:textId="77777777" w:rsidR="0059627B" w:rsidRDefault="007B1972">
            <w:pPr>
              <w:jc w:val="center"/>
              <w:rPr>
                <w:color w:val="000000"/>
              </w:rPr>
            </w:pPr>
            <w:r>
              <w:rPr>
                <w:color w:val="000000"/>
              </w:rPr>
              <w:t>(5%)</w:t>
            </w:r>
          </w:p>
        </w:tc>
        <w:tc>
          <w:tcPr>
            <w:tcW w:w="870" w:type="dxa"/>
            <w:tcBorders>
              <w:top w:val="nil"/>
              <w:left w:val="nil"/>
              <w:bottom w:val="nil"/>
              <w:right w:val="nil"/>
            </w:tcBorders>
            <w:tcMar>
              <w:top w:w="0" w:type="dxa"/>
              <w:left w:w="108" w:type="dxa"/>
              <w:bottom w:w="0" w:type="dxa"/>
              <w:right w:w="108" w:type="dxa"/>
            </w:tcMar>
          </w:tcPr>
          <w:p w14:paraId="329E0B85" w14:textId="77777777" w:rsidR="0059627B" w:rsidRDefault="007B1972">
            <w:pPr>
              <w:jc w:val="center"/>
              <w:rPr>
                <w:color w:val="000000"/>
              </w:rPr>
            </w:pPr>
            <w:r>
              <w:rPr>
                <w:color w:val="000000"/>
              </w:rPr>
              <w:t>16 (8%)</w:t>
            </w:r>
          </w:p>
        </w:tc>
        <w:tc>
          <w:tcPr>
            <w:tcW w:w="870" w:type="dxa"/>
            <w:tcBorders>
              <w:top w:val="nil"/>
              <w:left w:val="nil"/>
              <w:bottom w:val="nil"/>
              <w:right w:val="nil"/>
            </w:tcBorders>
            <w:tcMar>
              <w:top w:w="0" w:type="dxa"/>
              <w:left w:w="108" w:type="dxa"/>
              <w:bottom w:w="0" w:type="dxa"/>
              <w:right w:w="108" w:type="dxa"/>
            </w:tcMar>
          </w:tcPr>
          <w:p w14:paraId="742CB77E" w14:textId="77777777" w:rsidR="0059627B" w:rsidRDefault="007B1972">
            <w:pPr>
              <w:jc w:val="center"/>
              <w:rPr>
                <w:color w:val="000000"/>
              </w:rPr>
            </w:pPr>
            <w:r>
              <w:rPr>
                <w:color w:val="000000"/>
              </w:rPr>
              <w:t>13 (8%)</w:t>
            </w:r>
          </w:p>
        </w:tc>
        <w:tc>
          <w:tcPr>
            <w:tcW w:w="904" w:type="dxa"/>
            <w:tcBorders>
              <w:top w:val="nil"/>
              <w:left w:val="nil"/>
              <w:bottom w:val="nil"/>
              <w:right w:val="nil"/>
            </w:tcBorders>
            <w:tcMar>
              <w:top w:w="0" w:type="dxa"/>
              <w:left w:w="108" w:type="dxa"/>
              <w:bottom w:w="0" w:type="dxa"/>
              <w:right w:w="108" w:type="dxa"/>
            </w:tcMar>
          </w:tcPr>
          <w:p w14:paraId="7288563B" w14:textId="77777777" w:rsidR="0059627B" w:rsidRDefault="007B1972">
            <w:pPr>
              <w:jc w:val="center"/>
              <w:rPr>
                <w:color w:val="000000"/>
              </w:rPr>
            </w:pPr>
            <w:r>
              <w:rPr>
                <w:color w:val="000000"/>
              </w:rPr>
              <w:t xml:space="preserve">3 </w:t>
            </w:r>
          </w:p>
          <w:p w14:paraId="73610034" w14:textId="77777777" w:rsidR="0059627B" w:rsidRDefault="007B1972">
            <w:pPr>
              <w:jc w:val="center"/>
              <w:rPr>
                <w:color w:val="000000"/>
              </w:rPr>
            </w:pPr>
            <w:r>
              <w:rPr>
                <w:color w:val="000000"/>
              </w:rPr>
              <w:t>(8%)</w:t>
            </w:r>
          </w:p>
        </w:tc>
        <w:tc>
          <w:tcPr>
            <w:tcW w:w="870" w:type="dxa"/>
            <w:tcBorders>
              <w:top w:val="nil"/>
              <w:left w:val="nil"/>
              <w:bottom w:val="nil"/>
              <w:right w:val="nil"/>
            </w:tcBorders>
            <w:tcMar>
              <w:top w:w="0" w:type="dxa"/>
              <w:left w:w="108" w:type="dxa"/>
              <w:bottom w:w="0" w:type="dxa"/>
              <w:right w:w="108" w:type="dxa"/>
            </w:tcMar>
          </w:tcPr>
          <w:p w14:paraId="6B51C4F2" w14:textId="77777777" w:rsidR="0059627B" w:rsidRDefault="007B1972">
            <w:pPr>
              <w:jc w:val="center"/>
              <w:rPr>
                <w:color w:val="000000"/>
              </w:rPr>
            </w:pPr>
            <w:r>
              <w:rPr>
                <w:color w:val="000000"/>
              </w:rPr>
              <w:t>3 (3%)</w:t>
            </w:r>
          </w:p>
        </w:tc>
        <w:tc>
          <w:tcPr>
            <w:tcW w:w="870" w:type="dxa"/>
            <w:tcBorders>
              <w:top w:val="nil"/>
              <w:left w:val="nil"/>
              <w:bottom w:val="nil"/>
              <w:right w:val="nil"/>
            </w:tcBorders>
            <w:tcMar>
              <w:top w:w="0" w:type="dxa"/>
              <w:left w:w="108" w:type="dxa"/>
              <w:bottom w:w="0" w:type="dxa"/>
              <w:right w:w="108" w:type="dxa"/>
            </w:tcMar>
          </w:tcPr>
          <w:p w14:paraId="3AFD7412" w14:textId="77777777" w:rsidR="0059627B" w:rsidRDefault="007B1972">
            <w:pPr>
              <w:jc w:val="center"/>
              <w:rPr>
                <w:color w:val="000000"/>
              </w:rPr>
            </w:pPr>
            <w:r>
              <w:rPr>
                <w:color w:val="000000"/>
              </w:rPr>
              <w:t>2 (3%)</w:t>
            </w:r>
          </w:p>
        </w:tc>
        <w:tc>
          <w:tcPr>
            <w:tcW w:w="904" w:type="dxa"/>
            <w:tcBorders>
              <w:top w:val="nil"/>
              <w:left w:val="nil"/>
              <w:bottom w:val="nil"/>
              <w:right w:val="nil"/>
            </w:tcBorders>
            <w:tcMar>
              <w:top w:w="0" w:type="dxa"/>
              <w:left w:w="108" w:type="dxa"/>
              <w:bottom w:w="0" w:type="dxa"/>
              <w:right w:w="108" w:type="dxa"/>
            </w:tcMar>
          </w:tcPr>
          <w:p w14:paraId="285AAFA1" w14:textId="77777777" w:rsidR="0059627B" w:rsidRDefault="007B1972">
            <w:pPr>
              <w:jc w:val="center"/>
              <w:rPr>
                <w:color w:val="000000"/>
              </w:rPr>
            </w:pPr>
            <w:r>
              <w:rPr>
                <w:color w:val="000000"/>
              </w:rPr>
              <w:t>1 (</w:t>
            </w:r>
          </w:p>
          <w:p w14:paraId="3A108C34" w14:textId="77777777" w:rsidR="0059627B" w:rsidRDefault="007B1972">
            <w:pPr>
              <w:jc w:val="center"/>
              <w:rPr>
                <w:color w:val="000000"/>
              </w:rPr>
            </w:pPr>
            <w:r>
              <w:rPr>
                <w:color w:val="000000"/>
              </w:rPr>
              <w:t>3%)</w:t>
            </w:r>
          </w:p>
        </w:tc>
        <w:tc>
          <w:tcPr>
            <w:tcW w:w="870" w:type="dxa"/>
            <w:tcBorders>
              <w:top w:val="nil"/>
              <w:left w:val="nil"/>
              <w:bottom w:val="nil"/>
              <w:right w:val="nil"/>
            </w:tcBorders>
            <w:tcMar>
              <w:top w:w="0" w:type="dxa"/>
              <w:left w:w="108" w:type="dxa"/>
              <w:bottom w:w="0" w:type="dxa"/>
              <w:right w:w="108" w:type="dxa"/>
            </w:tcMar>
          </w:tcPr>
          <w:p w14:paraId="27DF8321" w14:textId="77777777" w:rsidR="0059627B" w:rsidRDefault="007B1972">
            <w:pPr>
              <w:jc w:val="center"/>
              <w:rPr>
                <w:color w:val="000000"/>
              </w:rPr>
            </w:pPr>
            <w:r>
              <w:rPr>
                <w:color w:val="000000"/>
              </w:rPr>
              <w:t>13 (7%)</w:t>
            </w:r>
          </w:p>
        </w:tc>
        <w:tc>
          <w:tcPr>
            <w:tcW w:w="870" w:type="dxa"/>
            <w:tcBorders>
              <w:top w:val="nil"/>
              <w:left w:val="nil"/>
              <w:bottom w:val="nil"/>
              <w:right w:val="nil"/>
            </w:tcBorders>
            <w:tcMar>
              <w:top w:w="0" w:type="dxa"/>
              <w:left w:w="108" w:type="dxa"/>
              <w:bottom w:w="0" w:type="dxa"/>
              <w:right w:w="108" w:type="dxa"/>
            </w:tcMar>
          </w:tcPr>
          <w:p w14:paraId="44B65378" w14:textId="77777777" w:rsidR="0059627B" w:rsidRDefault="007B1972">
            <w:pPr>
              <w:jc w:val="center"/>
              <w:rPr>
                <w:color w:val="000000"/>
              </w:rPr>
            </w:pPr>
            <w:r>
              <w:rPr>
                <w:color w:val="000000"/>
              </w:rPr>
              <w:t>11 (8%)</w:t>
            </w:r>
          </w:p>
        </w:tc>
        <w:tc>
          <w:tcPr>
            <w:tcW w:w="904" w:type="dxa"/>
            <w:tcBorders>
              <w:top w:val="nil"/>
              <w:left w:val="nil"/>
              <w:bottom w:val="nil"/>
              <w:right w:val="nil"/>
            </w:tcBorders>
            <w:tcMar>
              <w:top w:w="0" w:type="dxa"/>
              <w:left w:w="108" w:type="dxa"/>
              <w:bottom w:w="0" w:type="dxa"/>
              <w:right w:w="108" w:type="dxa"/>
            </w:tcMar>
          </w:tcPr>
          <w:p w14:paraId="21ACEB34" w14:textId="77777777" w:rsidR="0059627B" w:rsidRDefault="007B1972">
            <w:pPr>
              <w:jc w:val="center"/>
              <w:rPr>
                <w:color w:val="000000"/>
              </w:rPr>
            </w:pPr>
            <w:r>
              <w:rPr>
                <w:color w:val="000000"/>
              </w:rPr>
              <w:t xml:space="preserve">2 </w:t>
            </w:r>
          </w:p>
          <w:p w14:paraId="01C7DDBF" w14:textId="77777777" w:rsidR="0059627B" w:rsidRDefault="007B1972">
            <w:pPr>
              <w:jc w:val="center"/>
              <w:rPr>
                <w:color w:val="000000"/>
              </w:rPr>
            </w:pPr>
            <w:r>
              <w:rPr>
                <w:color w:val="000000"/>
              </w:rPr>
              <w:t>(4%)</w:t>
            </w:r>
          </w:p>
        </w:tc>
      </w:tr>
      <w:tr w:rsidR="0059627B" w14:paraId="67762EA9" w14:textId="77777777">
        <w:trPr>
          <w:jc w:val="center"/>
        </w:trPr>
        <w:tc>
          <w:tcPr>
            <w:tcW w:w="3264" w:type="dxa"/>
            <w:tcBorders>
              <w:top w:val="nil"/>
              <w:left w:val="nil"/>
              <w:bottom w:val="nil"/>
              <w:right w:val="nil"/>
            </w:tcBorders>
            <w:tcMar>
              <w:top w:w="0" w:type="dxa"/>
              <w:left w:w="108" w:type="dxa"/>
              <w:bottom w:w="0" w:type="dxa"/>
              <w:right w:w="108" w:type="dxa"/>
            </w:tcMar>
          </w:tcPr>
          <w:p w14:paraId="70B1D322" w14:textId="77777777" w:rsidR="0059627B" w:rsidRDefault="007B1972">
            <w:pPr>
              <w:rPr>
                <w:color w:val="000000"/>
              </w:rPr>
            </w:pPr>
            <w:r>
              <w:rPr>
                <w:color w:val="000000"/>
              </w:rPr>
              <w:t>Deteriorating mental health (P)</w:t>
            </w:r>
          </w:p>
        </w:tc>
        <w:tc>
          <w:tcPr>
            <w:tcW w:w="1113" w:type="dxa"/>
            <w:tcBorders>
              <w:top w:val="nil"/>
              <w:left w:val="nil"/>
              <w:bottom w:val="nil"/>
              <w:right w:val="nil"/>
            </w:tcBorders>
            <w:tcMar>
              <w:top w:w="0" w:type="dxa"/>
              <w:left w:w="108" w:type="dxa"/>
              <w:bottom w:w="0" w:type="dxa"/>
              <w:right w:w="108" w:type="dxa"/>
            </w:tcMar>
          </w:tcPr>
          <w:p w14:paraId="70FDA686" w14:textId="77777777" w:rsidR="0059627B" w:rsidRDefault="007B1972">
            <w:pPr>
              <w:jc w:val="center"/>
              <w:rPr>
                <w:color w:val="000000"/>
              </w:rPr>
            </w:pPr>
            <w:r>
              <w:rPr>
                <w:color w:val="000000"/>
              </w:rPr>
              <w:t xml:space="preserve">16 </w:t>
            </w:r>
          </w:p>
          <w:p w14:paraId="4DEA6787" w14:textId="77777777" w:rsidR="0059627B" w:rsidRDefault="007B1972">
            <w:pPr>
              <w:jc w:val="center"/>
              <w:rPr>
                <w:color w:val="000000"/>
              </w:rPr>
            </w:pPr>
            <w:r>
              <w:rPr>
                <w:color w:val="000000"/>
              </w:rPr>
              <w:t>(6%)</w:t>
            </w:r>
          </w:p>
        </w:tc>
        <w:tc>
          <w:tcPr>
            <w:tcW w:w="870" w:type="dxa"/>
            <w:tcBorders>
              <w:top w:val="nil"/>
              <w:left w:val="nil"/>
              <w:bottom w:val="nil"/>
              <w:right w:val="nil"/>
            </w:tcBorders>
            <w:tcMar>
              <w:top w:w="0" w:type="dxa"/>
              <w:left w:w="108" w:type="dxa"/>
              <w:bottom w:w="0" w:type="dxa"/>
              <w:right w:w="108" w:type="dxa"/>
            </w:tcMar>
          </w:tcPr>
          <w:p w14:paraId="349281D5" w14:textId="77777777" w:rsidR="0059627B" w:rsidRDefault="007B1972">
            <w:pPr>
              <w:jc w:val="center"/>
              <w:rPr>
                <w:color w:val="000000"/>
              </w:rPr>
            </w:pPr>
            <w:r>
              <w:rPr>
                <w:color w:val="000000"/>
              </w:rPr>
              <w:t>15 (7%)</w:t>
            </w:r>
          </w:p>
        </w:tc>
        <w:tc>
          <w:tcPr>
            <w:tcW w:w="904" w:type="dxa"/>
            <w:tcBorders>
              <w:top w:val="nil"/>
              <w:left w:val="nil"/>
              <w:bottom w:val="nil"/>
              <w:right w:val="nil"/>
            </w:tcBorders>
            <w:tcMar>
              <w:top w:w="0" w:type="dxa"/>
              <w:left w:w="108" w:type="dxa"/>
              <w:bottom w:w="0" w:type="dxa"/>
              <w:right w:w="108" w:type="dxa"/>
            </w:tcMar>
          </w:tcPr>
          <w:p w14:paraId="738B8F68" w14:textId="77777777" w:rsidR="0059627B" w:rsidRDefault="007B1972">
            <w:pPr>
              <w:jc w:val="center"/>
              <w:rPr>
                <w:color w:val="000000"/>
              </w:rPr>
            </w:pPr>
            <w:r>
              <w:rPr>
                <w:color w:val="000000"/>
              </w:rPr>
              <w:t xml:space="preserve">1 </w:t>
            </w:r>
          </w:p>
          <w:p w14:paraId="4C09907A" w14:textId="77777777" w:rsidR="0059627B" w:rsidRDefault="007B1972">
            <w:pPr>
              <w:jc w:val="center"/>
              <w:rPr>
                <w:color w:val="000000"/>
              </w:rPr>
            </w:pPr>
            <w:r>
              <w:rPr>
                <w:color w:val="000000"/>
              </w:rPr>
              <w:t>(2%)</w:t>
            </w:r>
          </w:p>
        </w:tc>
        <w:tc>
          <w:tcPr>
            <w:tcW w:w="870" w:type="dxa"/>
            <w:tcBorders>
              <w:top w:val="nil"/>
              <w:left w:val="nil"/>
              <w:bottom w:val="nil"/>
              <w:right w:val="nil"/>
            </w:tcBorders>
            <w:tcMar>
              <w:top w:w="0" w:type="dxa"/>
              <w:left w:w="108" w:type="dxa"/>
              <w:bottom w:w="0" w:type="dxa"/>
              <w:right w:w="108" w:type="dxa"/>
            </w:tcMar>
          </w:tcPr>
          <w:p w14:paraId="25F8705D" w14:textId="77777777" w:rsidR="0059627B" w:rsidRDefault="007B1972">
            <w:pPr>
              <w:jc w:val="center"/>
              <w:rPr>
                <w:color w:val="000000"/>
              </w:rPr>
            </w:pPr>
            <w:r>
              <w:rPr>
                <w:color w:val="000000"/>
              </w:rPr>
              <w:t>14 (8%)</w:t>
            </w:r>
          </w:p>
        </w:tc>
        <w:tc>
          <w:tcPr>
            <w:tcW w:w="870" w:type="dxa"/>
            <w:tcBorders>
              <w:top w:val="nil"/>
              <w:left w:val="nil"/>
              <w:bottom w:val="nil"/>
              <w:right w:val="nil"/>
            </w:tcBorders>
            <w:tcMar>
              <w:top w:w="0" w:type="dxa"/>
              <w:left w:w="108" w:type="dxa"/>
              <w:bottom w:w="0" w:type="dxa"/>
              <w:right w:w="108" w:type="dxa"/>
            </w:tcMar>
          </w:tcPr>
          <w:p w14:paraId="46FB63AC" w14:textId="77777777" w:rsidR="0059627B" w:rsidRDefault="007B1972">
            <w:pPr>
              <w:jc w:val="center"/>
              <w:rPr>
                <w:color w:val="000000"/>
              </w:rPr>
            </w:pPr>
            <w:r>
              <w:rPr>
                <w:color w:val="000000"/>
              </w:rPr>
              <w:t>14 (10%)</w:t>
            </w:r>
          </w:p>
        </w:tc>
        <w:tc>
          <w:tcPr>
            <w:tcW w:w="904" w:type="dxa"/>
            <w:tcBorders>
              <w:top w:val="nil"/>
              <w:left w:val="nil"/>
              <w:bottom w:val="nil"/>
              <w:right w:val="nil"/>
            </w:tcBorders>
            <w:tcMar>
              <w:top w:w="0" w:type="dxa"/>
              <w:left w:w="108" w:type="dxa"/>
              <w:bottom w:w="0" w:type="dxa"/>
              <w:right w:w="108" w:type="dxa"/>
            </w:tcMar>
          </w:tcPr>
          <w:p w14:paraId="352B86B1" w14:textId="77777777" w:rsidR="0059627B" w:rsidRDefault="007B1972">
            <w:pPr>
              <w:jc w:val="center"/>
              <w:rPr>
                <w:color w:val="000000"/>
              </w:rPr>
            </w:pPr>
            <w:r>
              <w:rPr>
                <w:color w:val="000000"/>
              </w:rPr>
              <w:t xml:space="preserve">3 </w:t>
            </w:r>
          </w:p>
          <w:p w14:paraId="61DAF988" w14:textId="77777777" w:rsidR="0059627B" w:rsidRDefault="007B1972">
            <w:pPr>
              <w:jc w:val="center"/>
              <w:rPr>
                <w:color w:val="000000"/>
              </w:rPr>
            </w:pPr>
            <w:r>
              <w:rPr>
                <w:color w:val="000000"/>
              </w:rPr>
              <w:t>(8%)</w:t>
            </w:r>
          </w:p>
        </w:tc>
        <w:tc>
          <w:tcPr>
            <w:tcW w:w="870" w:type="dxa"/>
            <w:tcBorders>
              <w:top w:val="nil"/>
              <w:left w:val="nil"/>
              <w:bottom w:val="nil"/>
              <w:right w:val="nil"/>
            </w:tcBorders>
            <w:tcMar>
              <w:top w:w="0" w:type="dxa"/>
              <w:left w:w="108" w:type="dxa"/>
              <w:bottom w:w="0" w:type="dxa"/>
              <w:right w:w="108" w:type="dxa"/>
            </w:tcMar>
          </w:tcPr>
          <w:p w14:paraId="28A3D051" w14:textId="77777777" w:rsidR="0059627B" w:rsidRDefault="007B1972">
            <w:pPr>
              <w:jc w:val="center"/>
              <w:rPr>
                <w:color w:val="000000"/>
              </w:rPr>
            </w:pPr>
            <w:r>
              <w:rPr>
                <w:color w:val="000000"/>
              </w:rPr>
              <w:t>8 (8%)</w:t>
            </w:r>
          </w:p>
        </w:tc>
        <w:tc>
          <w:tcPr>
            <w:tcW w:w="870" w:type="dxa"/>
            <w:tcBorders>
              <w:top w:val="nil"/>
              <w:left w:val="nil"/>
              <w:bottom w:val="nil"/>
              <w:right w:val="nil"/>
            </w:tcBorders>
            <w:tcMar>
              <w:top w:w="0" w:type="dxa"/>
              <w:left w:w="108" w:type="dxa"/>
              <w:bottom w:w="0" w:type="dxa"/>
              <w:right w:w="108" w:type="dxa"/>
            </w:tcMar>
          </w:tcPr>
          <w:p w14:paraId="2F7B7B35" w14:textId="77777777" w:rsidR="0059627B" w:rsidRDefault="007B1972">
            <w:pPr>
              <w:jc w:val="center"/>
              <w:rPr>
                <w:color w:val="000000"/>
              </w:rPr>
            </w:pPr>
            <w:r>
              <w:rPr>
                <w:color w:val="000000"/>
              </w:rPr>
              <w:t>5 (7%)</w:t>
            </w:r>
          </w:p>
        </w:tc>
        <w:tc>
          <w:tcPr>
            <w:tcW w:w="904" w:type="dxa"/>
            <w:tcBorders>
              <w:top w:val="nil"/>
              <w:left w:val="nil"/>
              <w:bottom w:val="nil"/>
              <w:right w:val="nil"/>
            </w:tcBorders>
            <w:tcMar>
              <w:top w:w="0" w:type="dxa"/>
              <w:left w:w="108" w:type="dxa"/>
              <w:bottom w:w="0" w:type="dxa"/>
              <w:right w:w="108" w:type="dxa"/>
            </w:tcMar>
          </w:tcPr>
          <w:p w14:paraId="2F327A8B" w14:textId="77777777" w:rsidR="0059627B" w:rsidRDefault="007B1972">
            <w:pPr>
              <w:jc w:val="center"/>
              <w:rPr>
                <w:color w:val="000000"/>
              </w:rPr>
            </w:pPr>
            <w:r>
              <w:rPr>
                <w:color w:val="000000"/>
              </w:rPr>
              <w:t>3 (10%)</w:t>
            </w:r>
          </w:p>
        </w:tc>
        <w:tc>
          <w:tcPr>
            <w:tcW w:w="870" w:type="dxa"/>
            <w:tcBorders>
              <w:top w:val="nil"/>
              <w:left w:val="nil"/>
              <w:bottom w:val="nil"/>
              <w:right w:val="nil"/>
            </w:tcBorders>
            <w:tcMar>
              <w:top w:w="0" w:type="dxa"/>
              <w:left w:w="108" w:type="dxa"/>
              <w:bottom w:w="0" w:type="dxa"/>
              <w:right w:w="108" w:type="dxa"/>
            </w:tcMar>
          </w:tcPr>
          <w:p w14:paraId="3E93FB9D" w14:textId="77777777" w:rsidR="0059627B" w:rsidRDefault="007B1972">
            <w:pPr>
              <w:jc w:val="center"/>
              <w:rPr>
                <w:color w:val="000000"/>
              </w:rPr>
            </w:pPr>
            <w:r>
              <w:rPr>
                <w:color w:val="000000"/>
              </w:rPr>
              <w:t>14 (8%)</w:t>
            </w:r>
          </w:p>
        </w:tc>
        <w:tc>
          <w:tcPr>
            <w:tcW w:w="870" w:type="dxa"/>
            <w:tcBorders>
              <w:top w:val="nil"/>
              <w:left w:val="nil"/>
              <w:bottom w:val="nil"/>
              <w:right w:val="nil"/>
            </w:tcBorders>
            <w:tcMar>
              <w:top w:w="0" w:type="dxa"/>
              <w:left w:w="108" w:type="dxa"/>
              <w:bottom w:w="0" w:type="dxa"/>
              <w:right w:w="108" w:type="dxa"/>
            </w:tcMar>
          </w:tcPr>
          <w:p w14:paraId="4E289D10" w14:textId="77777777" w:rsidR="0059627B" w:rsidRDefault="007B1972">
            <w:pPr>
              <w:jc w:val="center"/>
              <w:rPr>
                <w:color w:val="000000"/>
              </w:rPr>
            </w:pPr>
            <w:r>
              <w:rPr>
                <w:color w:val="000000"/>
              </w:rPr>
              <w:t>12 (9%)</w:t>
            </w:r>
          </w:p>
        </w:tc>
        <w:tc>
          <w:tcPr>
            <w:tcW w:w="904" w:type="dxa"/>
            <w:tcBorders>
              <w:top w:val="nil"/>
              <w:left w:val="nil"/>
              <w:bottom w:val="nil"/>
              <w:right w:val="nil"/>
            </w:tcBorders>
            <w:tcMar>
              <w:top w:w="0" w:type="dxa"/>
              <w:left w:w="108" w:type="dxa"/>
              <w:bottom w:w="0" w:type="dxa"/>
              <w:right w:w="108" w:type="dxa"/>
            </w:tcMar>
          </w:tcPr>
          <w:p w14:paraId="071E3F4A" w14:textId="77777777" w:rsidR="0059627B" w:rsidRDefault="007B1972">
            <w:pPr>
              <w:jc w:val="center"/>
              <w:rPr>
                <w:color w:val="000000"/>
              </w:rPr>
            </w:pPr>
            <w:r>
              <w:rPr>
                <w:color w:val="000000"/>
              </w:rPr>
              <w:t xml:space="preserve">2 </w:t>
            </w:r>
          </w:p>
          <w:p w14:paraId="2E6EB082" w14:textId="77777777" w:rsidR="0059627B" w:rsidRDefault="007B1972">
            <w:pPr>
              <w:jc w:val="center"/>
              <w:rPr>
                <w:color w:val="000000"/>
              </w:rPr>
            </w:pPr>
            <w:r>
              <w:rPr>
                <w:color w:val="000000"/>
              </w:rPr>
              <w:t>(4%)</w:t>
            </w:r>
          </w:p>
        </w:tc>
      </w:tr>
      <w:tr w:rsidR="0059627B" w14:paraId="5535FB75" w14:textId="77777777">
        <w:trPr>
          <w:jc w:val="center"/>
        </w:trPr>
        <w:tc>
          <w:tcPr>
            <w:tcW w:w="3264" w:type="dxa"/>
            <w:tcBorders>
              <w:top w:val="nil"/>
              <w:left w:val="nil"/>
              <w:bottom w:val="nil"/>
              <w:right w:val="nil"/>
            </w:tcBorders>
            <w:tcMar>
              <w:top w:w="0" w:type="dxa"/>
              <w:left w:w="108" w:type="dxa"/>
              <w:bottom w:w="0" w:type="dxa"/>
              <w:right w:w="108" w:type="dxa"/>
            </w:tcMar>
          </w:tcPr>
          <w:p w14:paraId="3BE8F584" w14:textId="77777777" w:rsidR="0059627B" w:rsidRDefault="007B1972">
            <w:pPr>
              <w:rPr>
                <w:color w:val="000000"/>
              </w:rPr>
            </w:pPr>
            <w:r>
              <w:rPr>
                <w:color w:val="000000"/>
              </w:rPr>
              <w:t>Deteriorating mental health (C)</w:t>
            </w:r>
          </w:p>
        </w:tc>
        <w:tc>
          <w:tcPr>
            <w:tcW w:w="1113" w:type="dxa"/>
            <w:tcBorders>
              <w:top w:val="nil"/>
              <w:left w:val="nil"/>
              <w:bottom w:val="nil"/>
              <w:right w:val="nil"/>
            </w:tcBorders>
            <w:tcMar>
              <w:top w:w="0" w:type="dxa"/>
              <w:left w:w="108" w:type="dxa"/>
              <w:bottom w:w="0" w:type="dxa"/>
              <w:right w:w="108" w:type="dxa"/>
            </w:tcMar>
          </w:tcPr>
          <w:p w14:paraId="731FA6E9" w14:textId="77777777" w:rsidR="0059627B" w:rsidRDefault="007B1972">
            <w:pPr>
              <w:jc w:val="center"/>
              <w:rPr>
                <w:color w:val="000000"/>
              </w:rPr>
            </w:pPr>
            <w:r>
              <w:rPr>
                <w:color w:val="000000"/>
              </w:rPr>
              <w:t xml:space="preserve">13 </w:t>
            </w:r>
          </w:p>
          <w:p w14:paraId="2053304F" w14:textId="77777777" w:rsidR="0059627B" w:rsidRDefault="007B1972">
            <w:pPr>
              <w:jc w:val="center"/>
              <w:rPr>
                <w:color w:val="000000"/>
              </w:rPr>
            </w:pPr>
            <w:r>
              <w:rPr>
                <w:color w:val="000000"/>
              </w:rPr>
              <w:t>(5%)</w:t>
            </w:r>
          </w:p>
        </w:tc>
        <w:tc>
          <w:tcPr>
            <w:tcW w:w="870" w:type="dxa"/>
            <w:tcBorders>
              <w:top w:val="nil"/>
              <w:left w:val="nil"/>
              <w:bottom w:val="nil"/>
              <w:right w:val="nil"/>
            </w:tcBorders>
            <w:tcMar>
              <w:top w:w="0" w:type="dxa"/>
              <w:left w:w="108" w:type="dxa"/>
              <w:bottom w:w="0" w:type="dxa"/>
              <w:right w:w="108" w:type="dxa"/>
            </w:tcMar>
          </w:tcPr>
          <w:p w14:paraId="3270FD53" w14:textId="77777777" w:rsidR="0059627B" w:rsidRDefault="007B1972">
            <w:pPr>
              <w:jc w:val="center"/>
              <w:rPr>
                <w:color w:val="000000"/>
              </w:rPr>
            </w:pPr>
            <w:r>
              <w:rPr>
                <w:color w:val="000000"/>
              </w:rPr>
              <w:t>12 (5%)</w:t>
            </w:r>
          </w:p>
        </w:tc>
        <w:tc>
          <w:tcPr>
            <w:tcW w:w="904" w:type="dxa"/>
            <w:tcBorders>
              <w:top w:val="nil"/>
              <w:left w:val="nil"/>
              <w:bottom w:val="nil"/>
              <w:right w:val="nil"/>
            </w:tcBorders>
            <w:tcMar>
              <w:top w:w="0" w:type="dxa"/>
              <w:left w:w="108" w:type="dxa"/>
              <w:bottom w:w="0" w:type="dxa"/>
              <w:right w:w="108" w:type="dxa"/>
            </w:tcMar>
          </w:tcPr>
          <w:p w14:paraId="33B31C97" w14:textId="77777777" w:rsidR="0059627B" w:rsidRDefault="007B1972">
            <w:pPr>
              <w:jc w:val="center"/>
              <w:rPr>
                <w:color w:val="000000"/>
              </w:rPr>
            </w:pPr>
            <w:r>
              <w:rPr>
                <w:color w:val="000000"/>
              </w:rPr>
              <w:t xml:space="preserve">1 </w:t>
            </w:r>
          </w:p>
          <w:p w14:paraId="795C929C" w14:textId="77777777" w:rsidR="0059627B" w:rsidRDefault="007B1972">
            <w:pPr>
              <w:jc w:val="center"/>
              <w:rPr>
                <w:color w:val="000000"/>
              </w:rPr>
            </w:pPr>
            <w:r>
              <w:rPr>
                <w:color w:val="000000"/>
              </w:rPr>
              <w:t>(2%)</w:t>
            </w:r>
          </w:p>
        </w:tc>
        <w:tc>
          <w:tcPr>
            <w:tcW w:w="870" w:type="dxa"/>
            <w:tcBorders>
              <w:top w:val="nil"/>
              <w:left w:val="nil"/>
              <w:bottom w:val="nil"/>
              <w:right w:val="nil"/>
            </w:tcBorders>
            <w:tcMar>
              <w:top w:w="0" w:type="dxa"/>
              <w:left w:w="108" w:type="dxa"/>
              <w:bottom w:w="0" w:type="dxa"/>
              <w:right w:w="108" w:type="dxa"/>
            </w:tcMar>
          </w:tcPr>
          <w:p w14:paraId="6F716EFE" w14:textId="77777777" w:rsidR="0059627B" w:rsidRDefault="007B1972">
            <w:pPr>
              <w:jc w:val="center"/>
              <w:rPr>
                <w:color w:val="000000"/>
              </w:rPr>
            </w:pPr>
            <w:r>
              <w:rPr>
                <w:color w:val="000000"/>
              </w:rPr>
              <w:t>20 (9%)</w:t>
            </w:r>
          </w:p>
        </w:tc>
        <w:tc>
          <w:tcPr>
            <w:tcW w:w="870" w:type="dxa"/>
            <w:tcBorders>
              <w:top w:val="nil"/>
              <w:left w:val="nil"/>
              <w:bottom w:val="nil"/>
              <w:right w:val="nil"/>
            </w:tcBorders>
            <w:tcMar>
              <w:top w:w="0" w:type="dxa"/>
              <w:left w:w="108" w:type="dxa"/>
              <w:bottom w:w="0" w:type="dxa"/>
              <w:right w:w="108" w:type="dxa"/>
            </w:tcMar>
          </w:tcPr>
          <w:p w14:paraId="6DBBFE15" w14:textId="77777777" w:rsidR="0059627B" w:rsidRDefault="007B1972">
            <w:pPr>
              <w:jc w:val="center"/>
              <w:rPr>
                <w:color w:val="000000"/>
              </w:rPr>
            </w:pPr>
            <w:r>
              <w:rPr>
                <w:color w:val="000000"/>
              </w:rPr>
              <w:t>18 (11%)</w:t>
            </w:r>
          </w:p>
        </w:tc>
        <w:tc>
          <w:tcPr>
            <w:tcW w:w="904" w:type="dxa"/>
            <w:tcBorders>
              <w:top w:val="nil"/>
              <w:left w:val="nil"/>
              <w:bottom w:val="nil"/>
              <w:right w:val="nil"/>
            </w:tcBorders>
            <w:tcMar>
              <w:top w:w="0" w:type="dxa"/>
              <w:left w:w="108" w:type="dxa"/>
              <w:bottom w:w="0" w:type="dxa"/>
              <w:right w:w="108" w:type="dxa"/>
            </w:tcMar>
          </w:tcPr>
          <w:p w14:paraId="600F568D" w14:textId="77777777" w:rsidR="0059627B" w:rsidRDefault="007B1972">
            <w:pPr>
              <w:jc w:val="center"/>
              <w:rPr>
                <w:color w:val="000000"/>
              </w:rPr>
            </w:pPr>
            <w:r>
              <w:rPr>
                <w:color w:val="000000"/>
              </w:rPr>
              <w:t xml:space="preserve">2 </w:t>
            </w:r>
          </w:p>
          <w:p w14:paraId="477840DB" w14:textId="77777777" w:rsidR="0059627B" w:rsidRDefault="007B1972">
            <w:pPr>
              <w:jc w:val="center"/>
              <w:rPr>
                <w:color w:val="000000"/>
              </w:rPr>
            </w:pPr>
            <w:r>
              <w:rPr>
                <w:color w:val="000000"/>
              </w:rPr>
              <w:t>(5%)</w:t>
            </w:r>
          </w:p>
        </w:tc>
        <w:tc>
          <w:tcPr>
            <w:tcW w:w="870" w:type="dxa"/>
            <w:tcBorders>
              <w:top w:val="nil"/>
              <w:left w:val="nil"/>
              <w:bottom w:val="nil"/>
              <w:right w:val="nil"/>
            </w:tcBorders>
            <w:tcMar>
              <w:top w:w="0" w:type="dxa"/>
              <w:left w:w="108" w:type="dxa"/>
              <w:bottom w:w="0" w:type="dxa"/>
              <w:right w:w="108" w:type="dxa"/>
            </w:tcMar>
          </w:tcPr>
          <w:p w14:paraId="6B5CDF08" w14:textId="77777777" w:rsidR="0059627B" w:rsidRDefault="007B1972">
            <w:pPr>
              <w:jc w:val="center"/>
              <w:rPr>
                <w:color w:val="000000"/>
              </w:rPr>
            </w:pPr>
            <w:r>
              <w:rPr>
                <w:color w:val="000000"/>
              </w:rPr>
              <w:t>8 (8%)</w:t>
            </w:r>
          </w:p>
        </w:tc>
        <w:tc>
          <w:tcPr>
            <w:tcW w:w="870" w:type="dxa"/>
            <w:tcBorders>
              <w:top w:val="nil"/>
              <w:left w:val="nil"/>
              <w:bottom w:val="nil"/>
              <w:right w:val="nil"/>
            </w:tcBorders>
            <w:tcMar>
              <w:top w:w="0" w:type="dxa"/>
              <w:left w:w="108" w:type="dxa"/>
              <w:bottom w:w="0" w:type="dxa"/>
              <w:right w:w="108" w:type="dxa"/>
            </w:tcMar>
          </w:tcPr>
          <w:p w14:paraId="64E52F10" w14:textId="77777777" w:rsidR="0059627B" w:rsidRDefault="007B1972">
            <w:pPr>
              <w:jc w:val="center"/>
              <w:rPr>
                <w:color w:val="000000"/>
              </w:rPr>
            </w:pPr>
            <w:r>
              <w:rPr>
                <w:color w:val="000000"/>
              </w:rPr>
              <w:t>6 (8%)</w:t>
            </w:r>
          </w:p>
        </w:tc>
        <w:tc>
          <w:tcPr>
            <w:tcW w:w="904" w:type="dxa"/>
            <w:tcBorders>
              <w:top w:val="nil"/>
              <w:left w:val="nil"/>
              <w:bottom w:val="nil"/>
              <w:right w:val="nil"/>
            </w:tcBorders>
            <w:tcMar>
              <w:top w:w="0" w:type="dxa"/>
              <w:left w:w="108" w:type="dxa"/>
              <w:bottom w:w="0" w:type="dxa"/>
              <w:right w:w="108" w:type="dxa"/>
            </w:tcMar>
          </w:tcPr>
          <w:p w14:paraId="474B6E13" w14:textId="77777777" w:rsidR="0059627B" w:rsidRDefault="007B1972">
            <w:pPr>
              <w:jc w:val="center"/>
              <w:rPr>
                <w:color w:val="000000"/>
              </w:rPr>
            </w:pPr>
            <w:r>
              <w:rPr>
                <w:color w:val="000000"/>
              </w:rPr>
              <w:t xml:space="preserve">2 </w:t>
            </w:r>
          </w:p>
          <w:p w14:paraId="33CAB302" w14:textId="77777777" w:rsidR="0059627B" w:rsidRDefault="007B1972">
            <w:pPr>
              <w:jc w:val="center"/>
              <w:rPr>
                <w:color w:val="000000"/>
              </w:rPr>
            </w:pPr>
            <w:r>
              <w:rPr>
                <w:color w:val="000000"/>
              </w:rPr>
              <w:t>(6%)</w:t>
            </w:r>
          </w:p>
        </w:tc>
        <w:tc>
          <w:tcPr>
            <w:tcW w:w="870" w:type="dxa"/>
            <w:tcBorders>
              <w:top w:val="nil"/>
              <w:left w:val="nil"/>
              <w:bottom w:val="nil"/>
              <w:right w:val="nil"/>
            </w:tcBorders>
            <w:tcMar>
              <w:top w:w="0" w:type="dxa"/>
              <w:left w:w="108" w:type="dxa"/>
              <w:bottom w:w="0" w:type="dxa"/>
              <w:right w:w="108" w:type="dxa"/>
            </w:tcMar>
          </w:tcPr>
          <w:p w14:paraId="024220FB" w14:textId="77777777" w:rsidR="0059627B" w:rsidRDefault="007B1972">
            <w:pPr>
              <w:jc w:val="center"/>
              <w:rPr>
                <w:color w:val="000000"/>
              </w:rPr>
            </w:pPr>
            <w:r>
              <w:rPr>
                <w:color w:val="000000"/>
              </w:rPr>
              <w:t>17 (9%)</w:t>
            </w:r>
          </w:p>
        </w:tc>
        <w:tc>
          <w:tcPr>
            <w:tcW w:w="870" w:type="dxa"/>
            <w:tcBorders>
              <w:top w:val="nil"/>
              <w:left w:val="nil"/>
              <w:bottom w:val="nil"/>
              <w:right w:val="nil"/>
            </w:tcBorders>
            <w:tcMar>
              <w:top w:w="0" w:type="dxa"/>
              <w:left w:w="108" w:type="dxa"/>
              <w:bottom w:w="0" w:type="dxa"/>
              <w:right w:w="108" w:type="dxa"/>
            </w:tcMar>
          </w:tcPr>
          <w:p w14:paraId="3DF7FB13" w14:textId="77777777" w:rsidR="0059627B" w:rsidRDefault="007B1972">
            <w:pPr>
              <w:jc w:val="center"/>
              <w:rPr>
                <w:color w:val="000000"/>
              </w:rPr>
            </w:pPr>
            <w:r>
              <w:rPr>
                <w:color w:val="000000"/>
              </w:rPr>
              <w:t>14 (10%)</w:t>
            </w:r>
          </w:p>
        </w:tc>
        <w:tc>
          <w:tcPr>
            <w:tcW w:w="904" w:type="dxa"/>
            <w:tcBorders>
              <w:top w:val="nil"/>
              <w:left w:val="nil"/>
              <w:bottom w:val="nil"/>
              <w:right w:val="nil"/>
            </w:tcBorders>
            <w:tcMar>
              <w:top w:w="0" w:type="dxa"/>
              <w:left w:w="108" w:type="dxa"/>
              <w:bottom w:w="0" w:type="dxa"/>
              <w:right w:w="108" w:type="dxa"/>
            </w:tcMar>
          </w:tcPr>
          <w:p w14:paraId="6D67E317" w14:textId="77777777" w:rsidR="0059627B" w:rsidRDefault="007B1972">
            <w:pPr>
              <w:jc w:val="center"/>
              <w:rPr>
                <w:color w:val="000000"/>
              </w:rPr>
            </w:pPr>
            <w:r>
              <w:rPr>
                <w:color w:val="000000"/>
              </w:rPr>
              <w:t xml:space="preserve">3 </w:t>
            </w:r>
          </w:p>
          <w:p w14:paraId="457FDC5F" w14:textId="77777777" w:rsidR="0059627B" w:rsidRDefault="007B1972">
            <w:pPr>
              <w:jc w:val="center"/>
              <w:rPr>
                <w:color w:val="000000"/>
              </w:rPr>
            </w:pPr>
            <w:r>
              <w:rPr>
                <w:color w:val="000000"/>
              </w:rPr>
              <w:t>(7%)</w:t>
            </w:r>
          </w:p>
        </w:tc>
      </w:tr>
      <w:tr w:rsidR="0059627B" w14:paraId="5D453C6D" w14:textId="77777777">
        <w:trPr>
          <w:jc w:val="center"/>
        </w:trPr>
        <w:tc>
          <w:tcPr>
            <w:tcW w:w="3264" w:type="dxa"/>
            <w:tcBorders>
              <w:top w:val="nil"/>
              <w:left w:val="nil"/>
              <w:bottom w:val="nil"/>
              <w:right w:val="nil"/>
            </w:tcBorders>
            <w:tcMar>
              <w:top w:w="0" w:type="dxa"/>
              <w:left w:w="108" w:type="dxa"/>
              <w:bottom w:w="0" w:type="dxa"/>
              <w:right w:w="108" w:type="dxa"/>
            </w:tcMar>
          </w:tcPr>
          <w:p w14:paraId="12FC9445" w14:textId="77777777" w:rsidR="0059627B" w:rsidRDefault="007B1972">
            <w:pPr>
              <w:rPr>
                <w:color w:val="000000"/>
              </w:rPr>
            </w:pPr>
            <w:r>
              <w:rPr>
                <w:color w:val="000000"/>
              </w:rPr>
              <w:t>Challenging behaviour (C)</w:t>
            </w:r>
          </w:p>
        </w:tc>
        <w:tc>
          <w:tcPr>
            <w:tcW w:w="1113" w:type="dxa"/>
            <w:tcBorders>
              <w:top w:val="nil"/>
              <w:left w:val="nil"/>
              <w:bottom w:val="nil"/>
              <w:right w:val="nil"/>
            </w:tcBorders>
            <w:tcMar>
              <w:top w:w="0" w:type="dxa"/>
              <w:left w:w="108" w:type="dxa"/>
              <w:bottom w:w="0" w:type="dxa"/>
              <w:right w:w="108" w:type="dxa"/>
            </w:tcMar>
          </w:tcPr>
          <w:p w14:paraId="7ED0C998" w14:textId="77777777" w:rsidR="0059627B" w:rsidRDefault="007B1972">
            <w:pPr>
              <w:jc w:val="center"/>
              <w:rPr>
                <w:color w:val="000000"/>
              </w:rPr>
            </w:pPr>
            <w:r>
              <w:rPr>
                <w:color w:val="000000"/>
              </w:rPr>
              <w:t>40 (14%)</w:t>
            </w:r>
          </w:p>
        </w:tc>
        <w:tc>
          <w:tcPr>
            <w:tcW w:w="870" w:type="dxa"/>
            <w:tcBorders>
              <w:top w:val="nil"/>
              <w:left w:val="nil"/>
              <w:bottom w:val="nil"/>
              <w:right w:val="nil"/>
            </w:tcBorders>
            <w:tcMar>
              <w:top w:w="0" w:type="dxa"/>
              <w:left w:w="108" w:type="dxa"/>
              <w:bottom w:w="0" w:type="dxa"/>
              <w:right w:w="108" w:type="dxa"/>
            </w:tcMar>
          </w:tcPr>
          <w:p w14:paraId="2AD2C4B4" w14:textId="77777777" w:rsidR="0059627B" w:rsidRDefault="007B1972">
            <w:pPr>
              <w:jc w:val="center"/>
              <w:rPr>
                <w:color w:val="000000"/>
              </w:rPr>
            </w:pPr>
            <w:r>
              <w:rPr>
                <w:color w:val="000000"/>
              </w:rPr>
              <w:t>36 (16%)</w:t>
            </w:r>
          </w:p>
        </w:tc>
        <w:tc>
          <w:tcPr>
            <w:tcW w:w="904" w:type="dxa"/>
            <w:tcBorders>
              <w:top w:val="nil"/>
              <w:left w:val="nil"/>
              <w:bottom w:val="nil"/>
              <w:right w:val="nil"/>
            </w:tcBorders>
            <w:tcMar>
              <w:top w:w="0" w:type="dxa"/>
              <w:left w:w="108" w:type="dxa"/>
              <w:bottom w:w="0" w:type="dxa"/>
              <w:right w:w="108" w:type="dxa"/>
            </w:tcMar>
          </w:tcPr>
          <w:p w14:paraId="72D10A39" w14:textId="77777777" w:rsidR="0059627B" w:rsidRDefault="007B1972">
            <w:pPr>
              <w:jc w:val="center"/>
              <w:rPr>
                <w:color w:val="000000"/>
              </w:rPr>
            </w:pPr>
            <w:r>
              <w:rPr>
                <w:color w:val="000000"/>
              </w:rPr>
              <w:t xml:space="preserve">4 </w:t>
            </w:r>
          </w:p>
          <w:p w14:paraId="58822EEE" w14:textId="77777777" w:rsidR="0059627B" w:rsidRDefault="007B1972">
            <w:pPr>
              <w:jc w:val="center"/>
              <w:rPr>
                <w:color w:val="000000"/>
              </w:rPr>
            </w:pPr>
            <w:r>
              <w:rPr>
                <w:color w:val="000000"/>
              </w:rPr>
              <w:t>(7%)</w:t>
            </w:r>
          </w:p>
        </w:tc>
        <w:tc>
          <w:tcPr>
            <w:tcW w:w="870" w:type="dxa"/>
            <w:tcBorders>
              <w:top w:val="nil"/>
              <w:left w:val="nil"/>
              <w:bottom w:val="nil"/>
              <w:right w:val="nil"/>
            </w:tcBorders>
            <w:tcMar>
              <w:top w:w="0" w:type="dxa"/>
              <w:left w:w="108" w:type="dxa"/>
              <w:bottom w:w="0" w:type="dxa"/>
              <w:right w:w="108" w:type="dxa"/>
            </w:tcMar>
          </w:tcPr>
          <w:p w14:paraId="154F54FA" w14:textId="77777777" w:rsidR="0059627B" w:rsidRDefault="007B1972">
            <w:pPr>
              <w:jc w:val="center"/>
              <w:rPr>
                <w:color w:val="000000"/>
              </w:rPr>
            </w:pPr>
            <w:r>
              <w:rPr>
                <w:color w:val="000000"/>
              </w:rPr>
              <w:t>26 (12%)</w:t>
            </w:r>
          </w:p>
        </w:tc>
        <w:tc>
          <w:tcPr>
            <w:tcW w:w="870" w:type="dxa"/>
            <w:tcBorders>
              <w:top w:val="nil"/>
              <w:left w:val="nil"/>
              <w:bottom w:val="nil"/>
              <w:right w:val="nil"/>
            </w:tcBorders>
            <w:tcMar>
              <w:top w:w="0" w:type="dxa"/>
              <w:left w:w="108" w:type="dxa"/>
              <w:bottom w:w="0" w:type="dxa"/>
              <w:right w:w="108" w:type="dxa"/>
            </w:tcMar>
          </w:tcPr>
          <w:p w14:paraId="1F7BBF9B" w14:textId="77777777" w:rsidR="0059627B" w:rsidRDefault="007B1972">
            <w:pPr>
              <w:jc w:val="center"/>
              <w:rPr>
                <w:color w:val="000000"/>
              </w:rPr>
            </w:pPr>
            <w:r>
              <w:rPr>
                <w:color w:val="000000"/>
              </w:rPr>
              <w:t>23 (13%)</w:t>
            </w:r>
          </w:p>
        </w:tc>
        <w:tc>
          <w:tcPr>
            <w:tcW w:w="904" w:type="dxa"/>
            <w:tcBorders>
              <w:top w:val="nil"/>
              <w:left w:val="nil"/>
              <w:bottom w:val="nil"/>
              <w:right w:val="nil"/>
            </w:tcBorders>
            <w:tcMar>
              <w:top w:w="0" w:type="dxa"/>
              <w:left w:w="108" w:type="dxa"/>
              <w:bottom w:w="0" w:type="dxa"/>
              <w:right w:w="108" w:type="dxa"/>
            </w:tcMar>
          </w:tcPr>
          <w:p w14:paraId="69726D68" w14:textId="77777777" w:rsidR="0059627B" w:rsidRDefault="007B1972">
            <w:pPr>
              <w:jc w:val="center"/>
              <w:rPr>
                <w:color w:val="000000"/>
              </w:rPr>
            </w:pPr>
            <w:r>
              <w:rPr>
                <w:color w:val="000000"/>
              </w:rPr>
              <w:t xml:space="preserve">3 </w:t>
            </w:r>
          </w:p>
          <w:p w14:paraId="65DC0F49" w14:textId="77777777" w:rsidR="0059627B" w:rsidRDefault="007B1972">
            <w:pPr>
              <w:jc w:val="center"/>
              <w:rPr>
                <w:color w:val="000000"/>
              </w:rPr>
            </w:pPr>
            <w:r>
              <w:rPr>
                <w:color w:val="000000"/>
              </w:rPr>
              <w:t>(8%)</w:t>
            </w:r>
          </w:p>
        </w:tc>
        <w:tc>
          <w:tcPr>
            <w:tcW w:w="870" w:type="dxa"/>
            <w:tcBorders>
              <w:top w:val="nil"/>
              <w:left w:val="nil"/>
              <w:bottom w:val="nil"/>
              <w:right w:val="nil"/>
            </w:tcBorders>
            <w:tcMar>
              <w:top w:w="0" w:type="dxa"/>
              <w:left w:w="108" w:type="dxa"/>
              <w:bottom w:w="0" w:type="dxa"/>
              <w:right w:w="108" w:type="dxa"/>
            </w:tcMar>
          </w:tcPr>
          <w:p w14:paraId="464361EC" w14:textId="77777777" w:rsidR="0059627B" w:rsidRDefault="007B1972">
            <w:pPr>
              <w:jc w:val="center"/>
              <w:rPr>
                <w:color w:val="000000"/>
              </w:rPr>
            </w:pPr>
            <w:r>
              <w:rPr>
                <w:color w:val="000000"/>
              </w:rPr>
              <w:t>6 (6%)</w:t>
            </w:r>
          </w:p>
        </w:tc>
        <w:tc>
          <w:tcPr>
            <w:tcW w:w="870" w:type="dxa"/>
            <w:tcBorders>
              <w:top w:val="nil"/>
              <w:left w:val="nil"/>
              <w:bottom w:val="nil"/>
              <w:right w:val="nil"/>
            </w:tcBorders>
            <w:tcMar>
              <w:top w:w="0" w:type="dxa"/>
              <w:left w:w="108" w:type="dxa"/>
              <w:bottom w:w="0" w:type="dxa"/>
              <w:right w:w="108" w:type="dxa"/>
            </w:tcMar>
          </w:tcPr>
          <w:p w14:paraId="221084FC" w14:textId="77777777" w:rsidR="0059627B" w:rsidRDefault="007B1972">
            <w:pPr>
              <w:jc w:val="center"/>
              <w:rPr>
                <w:color w:val="000000"/>
              </w:rPr>
            </w:pPr>
            <w:r>
              <w:rPr>
                <w:color w:val="000000"/>
              </w:rPr>
              <w:t>3 (4%)</w:t>
            </w:r>
          </w:p>
        </w:tc>
        <w:tc>
          <w:tcPr>
            <w:tcW w:w="904" w:type="dxa"/>
            <w:tcBorders>
              <w:top w:val="nil"/>
              <w:left w:val="nil"/>
              <w:bottom w:val="nil"/>
              <w:right w:val="nil"/>
            </w:tcBorders>
            <w:tcMar>
              <w:top w:w="0" w:type="dxa"/>
              <w:left w:w="108" w:type="dxa"/>
              <w:bottom w:w="0" w:type="dxa"/>
              <w:right w:w="108" w:type="dxa"/>
            </w:tcMar>
          </w:tcPr>
          <w:p w14:paraId="6ECA80C0" w14:textId="77777777" w:rsidR="0059627B" w:rsidRDefault="007B1972">
            <w:pPr>
              <w:jc w:val="center"/>
              <w:rPr>
                <w:color w:val="000000"/>
              </w:rPr>
            </w:pPr>
            <w:r>
              <w:rPr>
                <w:color w:val="000000"/>
              </w:rPr>
              <w:t>3 (10%)</w:t>
            </w:r>
          </w:p>
        </w:tc>
        <w:tc>
          <w:tcPr>
            <w:tcW w:w="870" w:type="dxa"/>
            <w:tcBorders>
              <w:top w:val="nil"/>
              <w:left w:val="nil"/>
              <w:bottom w:val="nil"/>
              <w:right w:val="nil"/>
            </w:tcBorders>
            <w:tcMar>
              <w:top w:w="0" w:type="dxa"/>
              <w:left w:w="108" w:type="dxa"/>
              <w:bottom w:w="0" w:type="dxa"/>
              <w:right w:w="108" w:type="dxa"/>
            </w:tcMar>
          </w:tcPr>
          <w:p w14:paraId="69BA3158" w14:textId="77777777" w:rsidR="0059627B" w:rsidRDefault="007B1972">
            <w:pPr>
              <w:jc w:val="center"/>
              <w:rPr>
                <w:color w:val="000000"/>
              </w:rPr>
            </w:pPr>
            <w:r>
              <w:rPr>
                <w:color w:val="000000"/>
              </w:rPr>
              <w:t>4 (2%)</w:t>
            </w:r>
          </w:p>
        </w:tc>
        <w:tc>
          <w:tcPr>
            <w:tcW w:w="870" w:type="dxa"/>
            <w:tcBorders>
              <w:top w:val="nil"/>
              <w:left w:val="nil"/>
              <w:bottom w:val="nil"/>
              <w:right w:val="nil"/>
            </w:tcBorders>
            <w:tcMar>
              <w:top w:w="0" w:type="dxa"/>
              <w:left w:w="108" w:type="dxa"/>
              <w:bottom w:w="0" w:type="dxa"/>
              <w:right w:w="108" w:type="dxa"/>
            </w:tcMar>
          </w:tcPr>
          <w:p w14:paraId="2703F6E1" w14:textId="77777777" w:rsidR="0059627B" w:rsidRDefault="007B1972">
            <w:pPr>
              <w:jc w:val="center"/>
              <w:rPr>
                <w:color w:val="000000"/>
              </w:rPr>
            </w:pPr>
            <w:r>
              <w:rPr>
                <w:color w:val="000000"/>
              </w:rPr>
              <w:t>2 (1%)</w:t>
            </w:r>
          </w:p>
        </w:tc>
        <w:tc>
          <w:tcPr>
            <w:tcW w:w="904" w:type="dxa"/>
            <w:tcBorders>
              <w:top w:val="nil"/>
              <w:left w:val="nil"/>
              <w:bottom w:val="nil"/>
              <w:right w:val="nil"/>
            </w:tcBorders>
            <w:tcMar>
              <w:top w:w="0" w:type="dxa"/>
              <w:left w:w="108" w:type="dxa"/>
              <w:bottom w:w="0" w:type="dxa"/>
              <w:right w:w="108" w:type="dxa"/>
            </w:tcMar>
          </w:tcPr>
          <w:p w14:paraId="5E22DD85" w14:textId="77777777" w:rsidR="0059627B" w:rsidRDefault="007B1972">
            <w:pPr>
              <w:jc w:val="center"/>
              <w:rPr>
                <w:color w:val="000000"/>
              </w:rPr>
            </w:pPr>
            <w:r>
              <w:rPr>
                <w:color w:val="000000"/>
              </w:rPr>
              <w:t xml:space="preserve">2 </w:t>
            </w:r>
          </w:p>
          <w:p w14:paraId="7A99119A" w14:textId="77777777" w:rsidR="0059627B" w:rsidRDefault="007B1972">
            <w:pPr>
              <w:jc w:val="center"/>
              <w:rPr>
                <w:color w:val="000000"/>
              </w:rPr>
            </w:pPr>
            <w:r>
              <w:rPr>
                <w:color w:val="000000"/>
              </w:rPr>
              <w:t>(4%)</w:t>
            </w:r>
          </w:p>
        </w:tc>
      </w:tr>
      <w:tr w:rsidR="0059627B" w14:paraId="68A66552" w14:textId="77777777">
        <w:trPr>
          <w:jc w:val="center"/>
        </w:trPr>
        <w:tc>
          <w:tcPr>
            <w:tcW w:w="3264" w:type="dxa"/>
            <w:tcBorders>
              <w:top w:val="nil"/>
              <w:left w:val="nil"/>
              <w:bottom w:val="nil"/>
              <w:right w:val="nil"/>
            </w:tcBorders>
            <w:tcMar>
              <w:top w:w="0" w:type="dxa"/>
              <w:left w:w="108" w:type="dxa"/>
              <w:bottom w:w="0" w:type="dxa"/>
              <w:right w:w="108" w:type="dxa"/>
            </w:tcMar>
          </w:tcPr>
          <w:p w14:paraId="442C08A0" w14:textId="77777777" w:rsidR="0059627B" w:rsidRDefault="007B1972">
            <w:pPr>
              <w:rPr>
                <w:color w:val="000000"/>
              </w:rPr>
            </w:pPr>
            <w:r>
              <w:rPr>
                <w:color w:val="000000"/>
              </w:rPr>
              <w:t>Negative behaviour change (C)</w:t>
            </w:r>
          </w:p>
        </w:tc>
        <w:tc>
          <w:tcPr>
            <w:tcW w:w="1113" w:type="dxa"/>
            <w:tcBorders>
              <w:top w:val="nil"/>
              <w:left w:val="nil"/>
              <w:bottom w:val="nil"/>
              <w:right w:val="nil"/>
            </w:tcBorders>
            <w:tcMar>
              <w:top w:w="0" w:type="dxa"/>
              <w:left w:w="108" w:type="dxa"/>
              <w:bottom w:w="0" w:type="dxa"/>
              <w:right w:w="108" w:type="dxa"/>
            </w:tcMar>
          </w:tcPr>
          <w:p w14:paraId="6853B299" w14:textId="77777777" w:rsidR="0059627B" w:rsidRDefault="007B1972">
            <w:pPr>
              <w:jc w:val="center"/>
              <w:rPr>
                <w:color w:val="000000"/>
              </w:rPr>
            </w:pPr>
            <w:r>
              <w:rPr>
                <w:color w:val="000000"/>
              </w:rPr>
              <w:t>40 (14%)</w:t>
            </w:r>
          </w:p>
        </w:tc>
        <w:tc>
          <w:tcPr>
            <w:tcW w:w="870" w:type="dxa"/>
            <w:tcBorders>
              <w:top w:val="nil"/>
              <w:left w:val="nil"/>
              <w:bottom w:val="nil"/>
              <w:right w:val="nil"/>
            </w:tcBorders>
            <w:tcMar>
              <w:top w:w="0" w:type="dxa"/>
              <w:left w:w="108" w:type="dxa"/>
              <w:bottom w:w="0" w:type="dxa"/>
              <w:right w:w="108" w:type="dxa"/>
            </w:tcMar>
          </w:tcPr>
          <w:p w14:paraId="6DF77491" w14:textId="77777777" w:rsidR="0059627B" w:rsidRDefault="007B1972">
            <w:pPr>
              <w:jc w:val="center"/>
              <w:rPr>
                <w:color w:val="000000"/>
              </w:rPr>
            </w:pPr>
            <w:r>
              <w:rPr>
                <w:color w:val="000000"/>
              </w:rPr>
              <w:t>36 (16%)</w:t>
            </w:r>
          </w:p>
        </w:tc>
        <w:tc>
          <w:tcPr>
            <w:tcW w:w="904" w:type="dxa"/>
            <w:tcBorders>
              <w:top w:val="nil"/>
              <w:left w:val="nil"/>
              <w:bottom w:val="nil"/>
              <w:right w:val="nil"/>
            </w:tcBorders>
            <w:tcMar>
              <w:top w:w="0" w:type="dxa"/>
              <w:left w:w="108" w:type="dxa"/>
              <w:bottom w:w="0" w:type="dxa"/>
              <w:right w:w="108" w:type="dxa"/>
            </w:tcMar>
          </w:tcPr>
          <w:p w14:paraId="493FC879" w14:textId="77777777" w:rsidR="0059627B" w:rsidRDefault="007B1972">
            <w:pPr>
              <w:jc w:val="center"/>
              <w:rPr>
                <w:color w:val="000000"/>
              </w:rPr>
            </w:pPr>
            <w:r>
              <w:rPr>
                <w:color w:val="000000"/>
              </w:rPr>
              <w:t xml:space="preserve">4 </w:t>
            </w:r>
          </w:p>
          <w:p w14:paraId="2EFAB614" w14:textId="77777777" w:rsidR="0059627B" w:rsidRDefault="007B1972">
            <w:pPr>
              <w:jc w:val="center"/>
              <w:rPr>
                <w:color w:val="000000"/>
              </w:rPr>
            </w:pPr>
            <w:r>
              <w:rPr>
                <w:color w:val="000000"/>
              </w:rPr>
              <w:t>(7%)</w:t>
            </w:r>
          </w:p>
        </w:tc>
        <w:tc>
          <w:tcPr>
            <w:tcW w:w="870" w:type="dxa"/>
            <w:tcBorders>
              <w:top w:val="nil"/>
              <w:left w:val="nil"/>
              <w:bottom w:val="nil"/>
              <w:right w:val="nil"/>
            </w:tcBorders>
            <w:tcMar>
              <w:top w:w="0" w:type="dxa"/>
              <w:left w:w="108" w:type="dxa"/>
              <w:bottom w:w="0" w:type="dxa"/>
              <w:right w:w="108" w:type="dxa"/>
            </w:tcMar>
          </w:tcPr>
          <w:p w14:paraId="6327FB39" w14:textId="77777777" w:rsidR="0059627B" w:rsidRDefault="007B1972">
            <w:pPr>
              <w:jc w:val="center"/>
              <w:rPr>
                <w:color w:val="000000"/>
              </w:rPr>
            </w:pPr>
            <w:r>
              <w:rPr>
                <w:color w:val="000000"/>
              </w:rPr>
              <w:t>30 (14%)</w:t>
            </w:r>
          </w:p>
        </w:tc>
        <w:tc>
          <w:tcPr>
            <w:tcW w:w="870" w:type="dxa"/>
            <w:tcBorders>
              <w:top w:val="nil"/>
              <w:left w:val="nil"/>
              <w:bottom w:val="nil"/>
              <w:right w:val="nil"/>
            </w:tcBorders>
            <w:tcMar>
              <w:top w:w="0" w:type="dxa"/>
              <w:left w:w="108" w:type="dxa"/>
              <w:bottom w:w="0" w:type="dxa"/>
              <w:right w:w="108" w:type="dxa"/>
            </w:tcMar>
          </w:tcPr>
          <w:p w14:paraId="0FDDB15F" w14:textId="77777777" w:rsidR="0059627B" w:rsidRDefault="007B1972">
            <w:pPr>
              <w:jc w:val="center"/>
              <w:rPr>
                <w:color w:val="000000"/>
              </w:rPr>
            </w:pPr>
            <w:r>
              <w:rPr>
                <w:color w:val="000000"/>
              </w:rPr>
              <w:t>26 (15%)</w:t>
            </w:r>
          </w:p>
        </w:tc>
        <w:tc>
          <w:tcPr>
            <w:tcW w:w="904" w:type="dxa"/>
            <w:tcBorders>
              <w:top w:val="nil"/>
              <w:left w:val="nil"/>
              <w:bottom w:val="nil"/>
              <w:right w:val="nil"/>
            </w:tcBorders>
            <w:tcMar>
              <w:top w:w="0" w:type="dxa"/>
              <w:left w:w="108" w:type="dxa"/>
              <w:bottom w:w="0" w:type="dxa"/>
              <w:right w:w="108" w:type="dxa"/>
            </w:tcMar>
          </w:tcPr>
          <w:p w14:paraId="46EA400F" w14:textId="77777777" w:rsidR="0059627B" w:rsidRDefault="007B1972">
            <w:pPr>
              <w:jc w:val="center"/>
              <w:rPr>
                <w:color w:val="000000"/>
              </w:rPr>
            </w:pPr>
            <w:r>
              <w:rPr>
                <w:color w:val="000000"/>
              </w:rPr>
              <w:t>4 (10%)</w:t>
            </w:r>
          </w:p>
        </w:tc>
        <w:tc>
          <w:tcPr>
            <w:tcW w:w="870" w:type="dxa"/>
            <w:tcBorders>
              <w:top w:val="nil"/>
              <w:left w:val="nil"/>
              <w:bottom w:val="nil"/>
              <w:right w:val="nil"/>
            </w:tcBorders>
            <w:tcMar>
              <w:top w:w="0" w:type="dxa"/>
              <w:left w:w="108" w:type="dxa"/>
              <w:bottom w:w="0" w:type="dxa"/>
              <w:right w:w="108" w:type="dxa"/>
            </w:tcMar>
          </w:tcPr>
          <w:p w14:paraId="23A86248" w14:textId="77777777" w:rsidR="0059627B" w:rsidRDefault="007B1972">
            <w:pPr>
              <w:jc w:val="center"/>
              <w:rPr>
                <w:color w:val="000000"/>
              </w:rPr>
            </w:pPr>
            <w:r>
              <w:rPr>
                <w:color w:val="000000"/>
              </w:rPr>
              <w:t>16 (15%)</w:t>
            </w:r>
          </w:p>
        </w:tc>
        <w:tc>
          <w:tcPr>
            <w:tcW w:w="870" w:type="dxa"/>
            <w:tcBorders>
              <w:top w:val="nil"/>
              <w:left w:val="nil"/>
              <w:bottom w:val="nil"/>
              <w:right w:val="nil"/>
            </w:tcBorders>
            <w:tcMar>
              <w:top w:w="0" w:type="dxa"/>
              <w:left w:w="108" w:type="dxa"/>
              <w:bottom w:w="0" w:type="dxa"/>
              <w:right w:w="108" w:type="dxa"/>
            </w:tcMar>
          </w:tcPr>
          <w:p w14:paraId="0DCF2E0A" w14:textId="77777777" w:rsidR="0059627B" w:rsidRDefault="007B1972">
            <w:pPr>
              <w:jc w:val="center"/>
              <w:rPr>
                <w:color w:val="000000"/>
              </w:rPr>
            </w:pPr>
            <w:r>
              <w:rPr>
                <w:color w:val="000000"/>
              </w:rPr>
              <w:t>13 (18%)</w:t>
            </w:r>
          </w:p>
        </w:tc>
        <w:tc>
          <w:tcPr>
            <w:tcW w:w="904" w:type="dxa"/>
            <w:tcBorders>
              <w:top w:val="nil"/>
              <w:left w:val="nil"/>
              <w:bottom w:val="nil"/>
              <w:right w:val="nil"/>
            </w:tcBorders>
            <w:tcMar>
              <w:top w:w="0" w:type="dxa"/>
              <w:left w:w="108" w:type="dxa"/>
              <w:bottom w:w="0" w:type="dxa"/>
              <w:right w:w="108" w:type="dxa"/>
            </w:tcMar>
          </w:tcPr>
          <w:p w14:paraId="6025ECDA" w14:textId="77777777" w:rsidR="0059627B" w:rsidRDefault="007B1972">
            <w:pPr>
              <w:jc w:val="center"/>
              <w:rPr>
                <w:color w:val="000000"/>
              </w:rPr>
            </w:pPr>
            <w:r>
              <w:rPr>
                <w:color w:val="000000"/>
              </w:rPr>
              <w:t>3 (10%)</w:t>
            </w:r>
          </w:p>
        </w:tc>
        <w:tc>
          <w:tcPr>
            <w:tcW w:w="870" w:type="dxa"/>
            <w:tcBorders>
              <w:top w:val="nil"/>
              <w:left w:val="nil"/>
              <w:bottom w:val="nil"/>
              <w:right w:val="nil"/>
            </w:tcBorders>
            <w:tcMar>
              <w:top w:w="0" w:type="dxa"/>
              <w:left w:w="108" w:type="dxa"/>
              <w:bottom w:w="0" w:type="dxa"/>
              <w:right w:w="108" w:type="dxa"/>
            </w:tcMar>
          </w:tcPr>
          <w:p w14:paraId="29FC6261" w14:textId="77777777" w:rsidR="0059627B" w:rsidRDefault="007B1972">
            <w:pPr>
              <w:jc w:val="center"/>
              <w:rPr>
                <w:color w:val="000000"/>
              </w:rPr>
            </w:pPr>
            <w:r>
              <w:rPr>
                <w:color w:val="000000"/>
              </w:rPr>
              <w:t>8 (4%)</w:t>
            </w:r>
          </w:p>
        </w:tc>
        <w:tc>
          <w:tcPr>
            <w:tcW w:w="870" w:type="dxa"/>
            <w:tcBorders>
              <w:top w:val="nil"/>
              <w:left w:val="nil"/>
              <w:bottom w:val="nil"/>
              <w:right w:val="nil"/>
            </w:tcBorders>
            <w:tcMar>
              <w:top w:w="0" w:type="dxa"/>
              <w:left w:w="108" w:type="dxa"/>
              <w:bottom w:w="0" w:type="dxa"/>
              <w:right w:w="108" w:type="dxa"/>
            </w:tcMar>
          </w:tcPr>
          <w:p w14:paraId="5256EE64" w14:textId="77777777" w:rsidR="0059627B" w:rsidRDefault="007B1972">
            <w:pPr>
              <w:jc w:val="center"/>
              <w:rPr>
                <w:color w:val="000000"/>
              </w:rPr>
            </w:pPr>
            <w:r>
              <w:rPr>
                <w:color w:val="000000"/>
              </w:rPr>
              <w:t>7 (5%)</w:t>
            </w:r>
          </w:p>
        </w:tc>
        <w:tc>
          <w:tcPr>
            <w:tcW w:w="904" w:type="dxa"/>
            <w:tcBorders>
              <w:top w:val="nil"/>
              <w:left w:val="nil"/>
              <w:bottom w:val="nil"/>
              <w:right w:val="nil"/>
            </w:tcBorders>
            <w:tcMar>
              <w:top w:w="0" w:type="dxa"/>
              <w:left w:w="108" w:type="dxa"/>
              <w:bottom w:w="0" w:type="dxa"/>
              <w:right w:w="108" w:type="dxa"/>
            </w:tcMar>
          </w:tcPr>
          <w:p w14:paraId="6C045348" w14:textId="77777777" w:rsidR="0059627B" w:rsidRDefault="007B1972">
            <w:pPr>
              <w:jc w:val="center"/>
              <w:rPr>
                <w:color w:val="000000"/>
              </w:rPr>
            </w:pPr>
            <w:r>
              <w:rPr>
                <w:color w:val="000000"/>
              </w:rPr>
              <w:t xml:space="preserve">1 </w:t>
            </w:r>
          </w:p>
          <w:p w14:paraId="7CFBF301" w14:textId="77777777" w:rsidR="0059627B" w:rsidRDefault="007B1972">
            <w:pPr>
              <w:jc w:val="center"/>
              <w:rPr>
                <w:color w:val="000000"/>
              </w:rPr>
            </w:pPr>
            <w:r>
              <w:rPr>
                <w:color w:val="000000"/>
              </w:rPr>
              <w:t>(2%)</w:t>
            </w:r>
          </w:p>
        </w:tc>
      </w:tr>
      <w:tr w:rsidR="0059627B" w14:paraId="63260248" w14:textId="77777777">
        <w:trPr>
          <w:jc w:val="center"/>
        </w:trPr>
        <w:tc>
          <w:tcPr>
            <w:tcW w:w="3264" w:type="dxa"/>
            <w:tcBorders>
              <w:top w:val="nil"/>
              <w:left w:val="nil"/>
              <w:bottom w:val="nil"/>
              <w:right w:val="nil"/>
            </w:tcBorders>
            <w:tcMar>
              <w:top w:w="0" w:type="dxa"/>
              <w:left w:w="108" w:type="dxa"/>
              <w:bottom w:w="0" w:type="dxa"/>
              <w:right w:w="108" w:type="dxa"/>
            </w:tcMar>
          </w:tcPr>
          <w:p w14:paraId="5289F3A6" w14:textId="77777777" w:rsidR="0059627B" w:rsidRDefault="007B1972">
            <w:pPr>
              <w:rPr>
                <w:color w:val="000000"/>
              </w:rPr>
            </w:pPr>
            <w:r>
              <w:rPr>
                <w:b/>
                <w:color w:val="000000"/>
              </w:rPr>
              <w:t>Wellbeing</w:t>
            </w:r>
          </w:p>
        </w:tc>
        <w:tc>
          <w:tcPr>
            <w:tcW w:w="1113" w:type="dxa"/>
            <w:tcBorders>
              <w:top w:val="nil"/>
              <w:left w:val="nil"/>
              <w:bottom w:val="nil"/>
              <w:right w:val="nil"/>
            </w:tcBorders>
            <w:tcMar>
              <w:top w:w="0" w:type="dxa"/>
              <w:left w:w="108" w:type="dxa"/>
              <w:bottom w:w="0" w:type="dxa"/>
              <w:right w:w="108" w:type="dxa"/>
            </w:tcMar>
          </w:tcPr>
          <w:p w14:paraId="1155009F" w14:textId="77777777" w:rsidR="0059627B" w:rsidRDefault="0059627B">
            <w:pPr>
              <w:jc w:val="center"/>
              <w:rPr>
                <w:color w:val="000000"/>
              </w:rPr>
            </w:pPr>
          </w:p>
        </w:tc>
        <w:tc>
          <w:tcPr>
            <w:tcW w:w="870" w:type="dxa"/>
            <w:tcBorders>
              <w:top w:val="nil"/>
              <w:left w:val="nil"/>
              <w:bottom w:val="nil"/>
              <w:right w:val="nil"/>
            </w:tcBorders>
            <w:tcMar>
              <w:top w:w="0" w:type="dxa"/>
              <w:left w:w="108" w:type="dxa"/>
              <w:bottom w:w="0" w:type="dxa"/>
              <w:right w:w="108" w:type="dxa"/>
            </w:tcMar>
          </w:tcPr>
          <w:p w14:paraId="05059B06" w14:textId="77777777" w:rsidR="0059627B" w:rsidRDefault="0059627B">
            <w:pPr>
              <w:jc w:val="center"/>
              <w:rPr>
                <w:color w:val="000000"/>
              </w:rPr>
            </w:pPr>
          </w:p>
        </w:tc>
        <w:tc>
          <w:tcPr>
            <w:tcW w:w="904" w:type="dxa"/>
            <w:tcBorders>
              <w:top w:val="nil"/>
              <w:left w:val="nil"/>
              <w:bottom w:val="nil"/>
              <w:right w:val="nil"/>
            </w:tcBorders>
            <w:tcMar>
              <w:top w:w="0" w:type="dxa"/>
              <w:left w:w="108" w:type="dxa"/>
              <w:bottom w:w="0" w:type="dxa"/>
              <w:right w:w="108" w:type="dxa"/>
            </w:tcMar>
          </w:tcPr>
          <w:p w14:paraId="4318DEB1" w14:textId="77777777" w:rsidR="0059627B" w:rsidRDefault="0059627B">
            <w:pPr>
              <w:jc w:val="center"/>
              <w:rPr>
                <w:color w:val="000000"/>
              </w:rPr>
            </w:pPr>
          </w:p>
        </w:tc>
        <w:tc>
          <w:tcPr>
            <w:tcW w:w="870" w:type="dxa"/>
            <w:tcBorders>
              <w:top w:val="nil"/>
              <w:left w:val="nil"/>
              <w:bottom w:val="nil"/>
              <w:right w:val="nil"/>
            </w:tcBorders>
            <w:tcMar>
              <w:top w:w="0" w:type="dxa"/>
              <w:left w:w="108" w:type="dxa"/>
              <w:bottom w:w="0" w:type="dxa"/>
              <w:right w:w="108" w:type="dxa"/>
            </w:tcMar>
          </w:tcPr>
          <w:p w14:paraId="2C23F7E8" w14:textId="77777777" w:rsidR="0059627B" w:rsidRDefault="0059627B">
            <w:pPr>
              <w:jc w:val="center"/>
              <w:rPr>
                <w:color w:val="000000"/>
              </w:rPr>
            </w:pPr>
          </w:p>
        </w:tc>
        <w:tc>
          <w:tcPr>
            <w:tcW w:w="870" w:type="dxa"/>
            <w:tcBorders>
              <w:top w:val="nil"/>
              <w:left w:val="nil"/>
              <w:bottom w:val="nil"/>
              <w:right w:val="nil"/>
            </w:tcBorders>
            <w:tcMar>
              <w:top w:w="0" w:type="dxa"/>
              <w:left w:w="108" w:type="dxa"/>
              <w:bottom w:w="0" w:type="dxa"/>
              <w:right w:w="108" w:type="dxa"/>
            </w:tcMar>
          </w:tcPr>
          <w:p w14:paraId="7AEA3D52" w14:textId="77777777" w:rsidR="0059627B" w:rsidRDefault="0059627B">
            <w:pPr>
              <w:jc w:val="center"/>
              <w:rPr>
                <w:color w:val="000000"/>
              </w:rPr>
            </w:pPr>
          </w:p>
        </w:tc>
        <w:tc>
          <w:tcPr>
            <w:tcW w:w="904" w:type="dxa"/>
            <w:tcBorders>
              <w:top w:val="nil"/>
              <w:left w:val="nil"/>
              <w:bottom w:val="nil"/>
              <w:right w:val="nil"/>
            </w:tcBorders>
            <w:tcMar>
              <w:top w:w="0" w:type="dxa"/>
              <w:left w:w="108" w:type="dxa"/>
              <w:bottom w:w="0" w:type="dxa"/>
              <w:right w:w="108" w:type="dxa"/>
            </w:tcMar>
          </w:tcPr>
          <w:p w14:paraId="073F5BEB" w14:textId="77777777" w:rsidR="0059627B" w:rsidRDefault="0059627B">
            <w:pPr>
              <w:jc w:val="center"/>
              <w:rPr>
                <w:color w:val="000000"/>
              </w:rPr>
            </w:pPr>
          </w:p>
        </w:tc>
        <w:tc>
          <w:tcPr>
            <w:tcW w:w="870" w:type="dxa"/>
            <w:tcBorders>
              <w:top w:val="nil"/>
              <w:left w:val="nil"/>
              <w:bottom w:val="nil"/>
              <w:right w:val="nil"/>
            </w:tcBorders>
            <w:tcMar>
              <w:top w:w="0" w:type="dxa"/>
              <w:left w:w="108" w:type="dxa"/>
              <w:bottom w:w="0" w:type="dxa"/>
              <w:right w:w="108" w:type="dxa"/>
            </w:tcMar>
          </w:tcPr>
          <w:p w14:paraId="24B5F3DB" w14:textId="77777777" w:rsidR="0059627B" w:rsidRDefault="0059627B">
            <w:pPr>
              <w:jc w:val="center"/>
              <w:rPr>
                <w:color w:val="000000"/>
              </w:rPr>
            </w:pPr>
          </w:p>
        </w:tc>
        <w:tc>
          <w:tcPr>
            <w:tcW w:w="870" w:type="dxa"/>
            <w:tcBorders>
              <w:top w:val="nil"/>
              <w:left w:val="nil"/>
              <w:bottom w:val="nil"/>
              <w:right w:val="nil"/>
            </w:tcBorders>
            <w:tcMar>
              <w:top w:w="0" w:type="dxa"/>
              <w:left w:w="108" w:type="dxa"/>
              <w:bottom w:w="0" w:type="dxa"/>
              <w:right w:w="108" w:type="dxa"/>
            </w:tcMar>
          </w:tcPr>
          <w:p w14:paraId="7358D5D9" w14:textId="77777777" w:rsidR="0059627B" w:rsidRDefault="0059627B">
            <w:pPr>
              <w:jc w:val="center"/>
              <w:rPr>
                <w:color w:val="000000"/>
              </w:rPr>
            </w:pPr>
          </w:p>
        </w:tc>
        <w:tc>
          <w:tcPr>
            <w:tcW w:w="904" w:type="dxa"/>
            <w:tcBorders>
              <w:top w:val="nil"/>
              <w:left w:val="nil"/>
              <w:bottom w:val="nil"/>
              <w:right w:val="nil"/>
            </w:tcBorders>
            <w:tcMar>
              <w:top w:w="0" w:type="dxa"/>
              <w:left w:w="108" w:type="dxa"/>
              <w:bottom w:w="0" w:type="dxa"/>
              <w:right w:w="108" w:type="dxa"/>
            </w:tcMar>
          </w:tcPr>
          <w:p w14:paraId="3210D600" w14:textId="77777777" w:rsidR="0059627B" w:rsidRDefault="0059627B">
            <w:pPr>
              <w:jc w:val="center"/>
              <w:rPr>
                <w:color w:val="000000"/>
              </w:rPr>
            </w:pPr>
          </w:p>
        </w:tc>
        <w:tc>
          <w:tcPr>
            <w:tcW w:w="870" w:type="dxa"/>
            <w:tcBorders>
              <w:top w:val="nil"/>
              <w:left w:val="nil"/>
              <w:bottom w:val="nil"/>
              <w:right w:val="nil"/>
            </w:tcBorders>
            <w:tcMar>
              <w:top w:w="0" w:type="dxa"/>
              <w:left w:w="108" w:type="dxa"/>
              <w:bottom w:w="0" w:type="dxa"/>
              <w:right w:w="108" w:type="dxa"/>
            </w:tcMar>
          </w:tcPr>
          <w:p w14:paraId="4AEE94B1" w14:textId="77777777" w:rsidR="0059627B" w:rsidRDefault="0059627B">
            <w:pPr>
              <w:jc w:val="center"/>
              <w:rPr>
                <w:color w:val="000000"/>
              </w:rPr>
            </w:pPr>
          </w:p>
        </w:tc>
        <w:tc>
          <w:tcPr>
            <w:tcW w:w="870" w:type="dxa"/>
            <w:tcBorders>
              <w:top w:val="nil"/>
              <w:left w:val="nil"/>
              <w:bottom w:val="nil"/>
              <w:right w:val="nil"/>
            </w:tcBorders>
            <w:tcMar>
              <w:top w:w="0" w:type="dxa"/>
              <w:left w:w="108" w:type="dxa"/>
              <w:bottom w:w="0" w:type="dxa"/>
              <w:right w:w="108" w:type="dxa"/>
            </w:tcMar>
          </w:tcPr>
          <w:p w14:paraId="3DCB2A36" w14:textId="77777777" w:rsidR="0059627B" w:rsidRDefault="0059627B">
            <w:pPr>
              <w:jc w:val="center"/>
              <w:rPr>
                <w:color w:val="000000"/>
              </w:rPr>
            </w:pPr>
          </w:p>
        </w:tc>
        <w:tc>
          <w:tcPr>
            <w:tcW w:w="904" w:type="dxa"/>
            <w:tcBorders>
              <w:top w:val="nil"/>
              <w:left w:val="nil"/>
              <w:bottom w:val="nil"/>
              <w:right w:val="nil"/>
            </w:tcBorders>
            <w:tcMar>
              <w:top w:w="0" w:type="dxa"/>
              <w:left w:w="108" w:type="dxa"/>
              <w:bottom w:w="0" w:type="dxa"/>
              <w:right w:w="108" w:type="dxa"/>
            </w:tcMar>
          </w:tcPr>
          <w:p w14:paraId="361F2047" w14:textId="77777777" w:rsidR="0059627B" w:rsidRDefault="0059627B">
            <w:pPr>
              <w:jc w:val="center"/>
              <w:rPr>
                <w:color w:val="000000"/>
              </w:rPr>
            </w:pPr>
          </w:p>
        </w:tc>
      </w:tr>
      <w:tr w:rsidR="0059627B" w14:paraId="24C47B27" w14:textId="77777777">
        <w:trPr>
          <w:jc w:val="center"/>
        </w:trPr>
        <w:tc>
          <w:tcPr>
            <w:tcW w:w="3264" w:type="dxa"/>
            <w:tcBorders>
              <w:top w:val="nil"/>
              <w:left w:val="nil"/>
              <w:bottom w:val="nil"/>
              <w:right w:val="nil"/>
            </w:tcBorders>
            <w:tcMar>
              <w:top w:w="0" w:type="dxa"/>
              <w:left w:w="108" w:type="dxa"/>
              <w:bottom w:w="0" w:type="dxa"/>
              <w:right w:w="108" w:type="dxa"/>
            </w:tcMar>
          </w:tcPr>
          <w:p w14:paraId="443270BA" w14:textId="77777777" w:rsidR="0059627B" w:rsidRDefault="007B1972">
            <w:pPr>
              <w:rPr>
                <w:color w:val="000000"/>
              </w:rPr>
            </w:pPr>
            <w:r>
              <w:rPr>
                <w:color w:val="000000"/>
              </w:rPr>
              <w:t>No/low impact (P)</w:t>
            </w:r>
          </w:p>
        </w:tc>
        <w:tc>
          <w:tcPr>
            <w:tcW w:w="1113" w:type="dxa"/>
            <w:tcBorders>
              <w:top w:val="nil"/>
              <w:left w:val="nil"/>
              <w:bottom w:val="nil"/>
              <w:right w:val="nil"/>
            </w:tcBorders>
            <w:tcMar>
              <w:top w:w="0" w:type="dxa"/>
              <w:left w:w="108" w:type="dxa"/>
              <w:bottom w:w="0" w:type="dxa"/>
              <w:right w:w="108" w:type="dxa"/>
            </w:tcMar>
          </w:tcPr>
          <w:p w14:paraId="5E1B70FA" w14:textId="77777777" w:rsidR="0059627B" w:rsidRDefault="007B1972">
            <w:pPr>
              <w:jc w:val="center"/>
              <w:rPr>
                <w:color w:val="000000"/>
              </w:rPr>
            </w:pPr>
            <w:r>
              <w:rPr>
                <w:color w:val="000000"/>
              </w:rPr>
              <w:t xml:space="preserve">19 </w:t>
            </w:r>
          </w:p>
          <w:p w14:paraId="5DCA05C1" w14:textId="77777777" w:rsidR="0059627B" w:rsidRDefault="007B1972">
            <w:pPr>
              <w:jc w:val="center"/>
              <w:rPr>
                <w:color w:val="000000"/>
              </w:rPr>
            </w:pPr>
            <w:r>
              <w:rPr>
                <w:color w:val="000000"/>
              </w:rPr>
              <w:t>(7%)</w:t>
            </w:r>
          </w:p>
        </w:tc>
        <w:tc>
          <w:tcPr>
            <w:tcW w:w="870" w:type="dxa"/>
            <w:tcBorders>
              <w:top w:val="nil"/>
              <w:left w:val="nil"/>
              <w:bottom w:val="nil"/>
              <w:right w:val="nil"/>
            </w:tcBorders>
            <w:tcMar>
              <w:top w:w="0" w:type="dxa"/>
              <w:left w:w="108" w:type="dxa"/>
              <w:bottom w:w="0" w:type="dxa"/>
              <w:right w:w="108" w:type="dxa"/>
            </w:tcMar>
          </w:tcPr>
          <w:p w14:paraId="2A4B9C46" w14:textId="77777777" w:rsidR="0059627B" w:rsidRDefault="007B1972">
            <w:pPr>
              <w:jc w:val="center"/>
              <w:rPr>
                <w:color w:val="000000"/>
              </w:rPr>
            </w:pPr>
            <w:r>
              <w:rPr>
                <w:color w:val="000000"/>
              </w:rPr>
              <w:t>13 (6%)</w:t>
            </w:r>
          </w:p>
        </w:tc>
        <w:tc>
          <w:tcPr>
            <w:tcW w:w="904" w:type="dxa"/>
            <w:tcBorders>
              <w:top w:val="nil"/>
              <w:left w:val="nil"/>
              <w:bottom w:val="nil"/>
              <w:right w:val="nil"/>
            </w:tcBorders>
            <w:tcMar>
              <w:top w:w="0" w:type="dxa"/>
              <w:left w:w="108" w:type="dxa"/>
              <w:bottom w:w="0" w:type="dxa"/>
              <w:right w:w="108" w:type="dxa"/>
            </w:tcMar>
          </w:tcPr>
          <w:p w14:paraId="31B6F722" w14:textId="77777777" w:rsidR="0059627B" w:rsidRDefault="007B1972">
            <w:pPr>
              <w:jc w:val="center"/>
              <w:rPr>
                <w:color w:val="000000"/>
              </w:rPr>
            </w:pPr>
            <w:r>
              <w:rPr>
                <w:color w:val="000000"/>
              </w:rPr>
              <w:t>6 (10%)</w:t>
            </w:r>
          </w:p>
        </w:tc>
        <w:tc>
          <w:tcPr>
            <w:tcW w:w="870" w:type="dxa"/>
            <w:tcBorders>
              <w:top w:val="nil"/>
              <w:left w:val="nil"/>
              <w:bottom w:val="nil"/>
              <w:right w:val="nil"/>
            </w:tcBorders>
            <w:tcMar>
              <w:top w:w="0" w:type="dxa"/>
              <w:left w:w="108" w:type="dxa"/>
              <w:bottom w:w="0" w:type="dxa"/>
              <w:right w:w="108" w:type="dxa"/>
            </w:tcMar>
          </w:tcPr>
          <w:p w14:paraId="533394B0" w14:textId="77777777" w:rsidR="0059627B" w:rsidRDefault="007B1972">
            <w:pPr>
              <w:jc w:val="center"/>
              <w:rPr>
                <w:color w:val="000000"/>
              </w:rPr>
            </w:pPr>
            <w:r>
              <w:rPr>
                <w:color w:val="000000"/>
              </w:rPr>
              <w:t>11 (5%)</w:t>
            </w:r>
          </w:p>
        </w:tc>
        <w:tc>
          <w:tcPr>
            <w:tcW w:w="870" w:type="dxa"/>
            <w:tcBorders>
              <w:top w:val="nil"/>
              <w:left w:val="nil"/>
              <w:bottom w:val="nil"/>
              <w:right w:val="nil"/>
            </w:tcBorders>
            <w:tcMar>
              <w:top w:w="0" w:type="dxa"/>
              <w:left w:w="108" w:type="dxa"/>
              <w:bottom w:w="0" w:type="dxa"/>
              <w:right w:w="108" w:type="dxa"/>
            </w:tcMar>
          </w:tcPr>
          <w:p w14:paraId="7CDC0CC2" w14:textId="77777777" w:rsidR="0059627B" w:rsidRDefault="007B1972">
            <w:pPr>
              <w:jc w:val="center"/>
              <w:rPr>
                <w:color w:val="000000"/>
              </w:rPr>
            </w:pPr>
            <w:r>
              <w:rPr>
                <w:color w:val="000000"/>
              </w:rPr>
              <w:t>9 (5%)</w:t>
            </w:r>
          </w:p>
        </w:tc>
        <w:tc>
          <w:tcPr>
            <w:tcW w:w="904" w:type="dxa"/>
            <w:tcBorders>
              <w:top w:val="nil"/>
              <w:left w:val="nil"/>
              <w:bottom w:val="nil"/>
              <w:right w:val="nil"/>
            </w:tcBorders>
            <w:tcMar>
              <w:top w:w="0" w:type="dxa"/>
              <w:left w:w="108" w:type="dxa"/>
              <w:bottom w:w="0" w:type="dxa"/>
              <w:right w:w="108" w:type="dxa"/>
            </w:tcMar>
          </w:tcPr>
          <w:p w14:paraId="20E2731A" w14:textId="77777777" w:rsidR="0059627B" w:rsidRDefault="007B1972">
            <w:pPr>
              <w:jc w:val="center"/>
              <w:rPr>
                <w:color w:val="000000"/>
              </w:rPr>
            </w:pPr>
            <w:r>
              <w:rPr>
                <w:color w:val="000000"/>
              </w:rPr>
              <w:t xml:space="preserve">2 </w:t>
            </w:r>
          </w:p>
          <w:p w14:paraId="2A667367" w14:textId="77777777" w:rsidR="0059627B" w:rsidRDefault="007B1972">
            <w:pPr>
              <w:jc w:val="center"/>
              <w:rPr>
                <w:color w:val="000000"/>
              </w:rPr>
            </w:pPr>
            <w:r>
              <w:rPr>
                <w:color w:val="000000"/>
              </w:rPr>
              <w:t>(5%)</w:t>
            </w:r>
          </w:p>
        </w:tc>
        <w:tc>
          <w:tcPr>
            <w:tcW w:w="870" w:type="dxa"/>
            <w:tcBorders>
              <w:top w:val="nil"/>
              <w:left w:val="nil"/>
              <w:bottom w:val="nil"/>
              <w:right w:val="nil"/>
            </w:tcBorders>
            <w:tcMar>
              <w:top w:w="0" w:type="dxa"/>
              <w:left w:w="108" w:type="dxa"/>
              <w:bottom w:w="0" w:type="dxa"/>
              <w:right w:w="108" w:type="dxa"/>
            </w:tcMar>
          </w:tcPr>
          <w:p w14:paraId="376610C8" w14:textId="77777777" w:rsidR="0059627B" w:rsidRDefault="007B1972">
            <w:pPr>
              <w:jc w:val="center"/>
              <w:rPr>
                <w:color w:val="000000"/>
              </w:rPr>
            </w:pPr>
            <w:r>
              <w:rPr>
                <w:color w:val="000000"/>
              </w:rPr>
              <w:t>8 (8%)</w:t>
            </w:r>
          </w:p>
        </w:tc>
        <w:tc>
          <w:tcPr>
            <w:tcW w:w="870" w:type="dxa"/>
            <w:tcBorders>
              <w:top w:val="nil"/>
              <w:left w:val="nil"/>
              <w:bottom w:val="nil"/>
              <w:right w:val="nil"/>
            </w:tcBorders>
            <w:tcMar>
              <w:top w:w="0" w:type="dxa"/>
              <w:left w:w="108" w:type="dxa"/>
              <w:bottom w:w="0" w:type="dxa"/>
              <w:right w:w="108" w:type="dxa"/>
            </w:tcMar>
          </w:tcPr>
          <w:p w14:paraId="619EA4BE" w14:textId="77777777" w:rsidR="0059627B" w:rsidRDefault="007B1972">
            <w:pPr>
              <w:jc w:val="center"/>
              <w:rPr>
                <w:color w:val="000000"/>
              </w:rPr>
            </w:pPr>
            <w:r>
              <w:rPr>
                <w:color w:val="000000"/>
              </w:rPr>
              <w:t>5 (7%)</w:t>
            </w:r>
          </w:p>
        </w:tc>
        <w:tc>
          <w:tcPr>
            <w:tcW w:w="904" w:type="dxa"/>
            <w:tcBorders>
              <w:top w:val="nil"/>
              <w:left w:val="nil"/>
              <w:bottom w:val="nil"/>
              <w:right w:val="nil"/>
            </w:tcBorders>
            <w:tcMar>
              <w:top w:w="0" w:type="dxa"/>
              <w:left w:w="108" w:type="dxa"/>
              <w:bottom w:w="0" w:type="dxa"/>
              <w:right w:w="108" w:type="dxa"/>
            </w:tcMar>
          </w:tcPr>
          <w:p w14:paraId="1E22EFEE" w14:textId="77777777" w:rsidR="0059627B" w:rsidRDefault="007B1972">
            <w:pPr>
              <w:jc w:val="center"/>
              <w:rPr>
                <w:color w:val="000000"/>
              </w:rPr>
            </w:pPr>
            <w:r>
              <w:rPr>
                <w:color w:val="000000"/>
              </w:rPr>
              <w:t>3 (10%)</w:t>
            </w:r>
          </w:p>
        </w:tc>
        <w:tc>
          <w:tcPr>
            <w:tcW w:w="870" w:type="dxa"/>
            <w:tcBorders>
              <w:top w:val="nil"/>
              <w:left w:val="nil"/>
              <w:bottom w:val="nil"/>
              <w:right w:val="nil"/>
            </w:tcBorders>
            <w:tcMar>
              <w:top w:w="0" w:type="dxa"/>
              <w:left w:w="108" w:type="dxa"/>
              <w:bottom w:w="0" w:type="dxa"/>
              <w:right w:w="108" w:type="dxa"/>
            </w:tcMar>
          </w:tcPr>
          <w:p w14:paraId="3D5B4E4F" w14:textId="77777777" w:rsidR="0059627B" w:rsidRDefault="007B1972">
            <w:pPr>
              <w:jc w:val="center"/>
              <w:rPr>
                <w:color w:val="000000"/>
              </w:rPr>
            </w:pPr>
            <w:r>
              <w:rPr>
                <w:color w:val="000000"/>
              </w:rPr>
              <w:t>16 (9%)</w:t>
            </w:r>
          </w:p>
        </w:tc>
        <w:tc>
          <w:tcPr>
            <w:tcW w:w="870" w:type="dxa"/>
            <w:tcBorders>
              <w:top w:val="nil"/>
              <w:left w:val="nil"/>
              <w:bottom w:val="nil"/>
              <w:right w:val="nil"/>
            </w:tcBorders>
            <w:tcMar>
              <w:top w:w="0" w:type="dxa"/>
              <w:left w:w="108" w:type="dxa"/>
              <w:bottom w:w="0" w:type="dxa"/>
              <w:right w:w="108" w:type="dxa"/>
            </w:tcMar>
          </w:tcPr>
          <w:p w14:paraId="72D80629" w14:textId="77777777" w:rsidR="0059627B" w:rsidRDefault="007B1972">
            <w:pPr>
              <w:jc w:val="center"/>
              <w:rPr>
                <w:color w:val="000000"/>
              </w:rPr>
            </w:pPr>
            <w:r>
              <w:rPr>
                <w:color w:val="000000"/>
              </w:rPr>
              <w:t>12 (9%)</w:t>
            </w:r>
          </w:p>
        </w:tc>
        <w:tc>
          <w:tcPr>
            <w:tcW w:w="904" w:type="dxa"/>
            <w:tcBorders>
              <w:top w:val="nil"/>
              <w:left w:val="nil"/>
              <w:bottom w:val="nil"/>
              <w:right w:val="nil"/>
            </w:tcBorders>
            <w:tcMar>
              <w:top w:w="0" w:type="dxa"/>
              <w:left w:w="108" w:type="dxa"/>
              <w:bottom w:w="0" w:type="dxa"/>
              <w:right w:w="108" w:type="dxa"/>
            </w:tcMar>
          </w:tcPr>
          <w:p w14:paraId="64714E73" w14:textId="77777777" w:rsidR="0059627B" w:rsidRDefault="007B1972">
            <w:pPr>
              <w:jc w:val="center"/>
              <w:rPr>
                <w:color w:val="000000"/>
              </w:rPr>
            </w:pPr>
            <w:r>
              <w:rPr>
                <w:color w:val="000000"/>
              </w:rPr>
              <w:t xml:space="preserve">4 </w:t>
            </w:r>
          </w:p>
          <w:p w14:paraId="69DB7FD8" w14:textId="77777777" w:rsidR="0059627B" w:rsidRDefault="007B1972">
            <w:pPr>
              <w:jc w:val="center"/>
              <w:rPr>
                <w:color w:val="000000"/>
              </w:rPr>
            </w:pPr>
            <w:r>
              <w:rPr>
                <w:color w:val="000000"/>
              </w:rPr>
              <w:t>(9%)</w:t>
            </w:r>
          </w:p>
        </w:tc>
      </w:tr>
      <w:tr w:rsidR="0059627B" w14:paraId="567F9524" w14:textId="77777777">
        <w:trPr>
          <w:jc w:val="center"/>
        </w:trPr>
        <w:tc>
          <w:tcPr>
            <w:tcW w:w="3264" w:type="dxa"/>
            <w:tcBorders>
              <w:top w:val="nil"/>
              <w:left w:val="nil"/>
              <w:bottom w:val="nil"/>
              <w:right w:val="nil"/>
            </w:tcBorders>
            <w:tcMar>
              <w:top w:w="0" w:type="dxa"/>
              <w:left w:w="108" w:type="dxa"/>
              <w:bottom w:w="0" w:type="dxa"/>
              <w:right w:w="108" w:type="dxa"/>
            </w:tcMar>
          </w:tcPr>
          <w:p w14:paraId="20B56069" w14:textId="77777777" w:rsidR="0059627B" w:rsidRDefault="007B1972">
            <w:pPr>
              <w:rPr>
                <w:color w:val="000000"/>
              </w:rPr>
            </w:pPr>
            <w:r>
              <w:rPr>
                <w:color w:val="000000"/>
              </w:rPr>
              <w:t>No/low impact (C)</w:t>
            </w:r>
          </w:p>
        </w:tc>
        <w:tc>
          <w:tcPr>
            <w:tcW w:w="1113" w:type="dxa"/>
            <w:tcBorders>
              <w:top w:val="nil"/>
              <w:left w:val="nil"/>
              <w:bottom w:val="nil"/>
              <w:right w:val="nil"/>
            </w:tcBorders>
            <w:tcMar>
              <w:top w:w="0" w:type="dxa"/>
              <w:left w:w="108" w:type="dxa"/>
              <w:bottom w:w="0" w:type="dxa"/>
              <w:right w:w="108" w:type="dxa"/>
            </w:tcMar>
          </w:tcPr>
          <w:p w14:paraId="69405C6E" w14:textId="77777777" w:rsidR="0059627B" w:rsidRDefault="007B1972">
            <w:pPr>
              <w:jc w:val="center"/>
              <w:rPr>
                <w:color w:val="000000"/>
              </w:rPr>
            </w:pPr>
            <w:r>
              <w:rPr>
                <w:color w:val="000000"/>
              </w:rPr>
              <w:t xml:space="preserve">24 </w:t>
            </w:r>
          </w:p>
          <w:p w14:paraId="6526E251" w14:textId="77777777" w:rsidR="0059627B" w:rsidRDefault="007B1972">
            <w:pPr>
              <w:jc w:val="center"/>
              <w:rPr>
                <w:color w:val="000000"/>
              </w:rPr>
            </w:pPr>
            <w:r>
              <w:rPr>
                <w:color w:val="000000"/>
              </w:rPr>
              <w:t>(9%)</w:t>
            </w:r>
          </w:p>
        </w:tc>
        <w:tc>
          <w:tcPr>
            <w:tcW w:w="870" w:type="dxa"/>
            <w:tcBorders>
              <w:top w:val="nil"/>
              <w:left w:val="nil"/>
              <w:bottom w:val="nil"/>
              <w:right w:val="nil"/>
            </w:tcBorders>
            <w:tcMar>
              <w:top w:w="0" w:type="dxa"/>
              <w:left w:w="108" w:type="dxa"/>
              <w:bottom w:w="0" w:type="dxa"/>
              <w:right w:w="108" w:type="dxa"/>
            </w:tcMar>
          </w:tcPr>
          <w:p w14:paraId="1FC52F05" w14:textId="77777777" w:rsidR="0059627B" w:rsidRDefault="007B1972">
            <w:pPr>
              <w:jc w:val="center"/>
              <w:rPr>
                <w:color w:val="000000"/>
              </w:rPr>
            </w:pPr>
            <w:r>
              <w:rPr>
                <w:color w:val="000000"/>
              </w:rPr>
              <w:t>12 (5%)</w:t>
            </w:r>
          </w:p>
        </w:tc>
        <w:tc>
          <w:tcPr>
            <w:tcW w:w="904" w:type="dxa"/>
            <w:tcBorders>
              <w:top w:val="nil"/>
              <w:left w:val="nil"/>
              <w:bottom w:val="nil"/>
              <w:right w:val="nil"/>
            </w:tcBorders>
            <w:tcMar>
              <w:top w:w="0" w:type="dxa"/>
              <w:left w:w="108" w:type="dxa"/>
              <w:bottom w:w="0" w:type="dxa"/>
              <w:right w:w="108" w:type="dxa"/>
            </w:tcMar>
          </w:tcPr>
          <w:p w14:paraId="6AA99460" w14:textId="77777777" w:rsidR="0059627B" w:rsidRDefault="007B1972">
            <w:pPr>
              <w:jc w:val="center"/>
              <w:rPr>
                <w:color w:val="000000"/>
              </w:rPr>
            </w:pPr>
            <w:r>
              <w:rPr>
                <w:color w:val="000000"/>
              </w:rPr>
              <w:t>12 (21%)</w:t>
            </w:r>
          </w:p>
        </w:tc>
        <w:tc>
          <w:tcPr>
            <w:tcW w:w="870" w:type="dxa"/>
            <w:tcBorders>
              <w:top w:val="nil"/>
              <w:left w:val="nil"/>
              <w:bottom w:val="nil"/>
              <w:right w:val="nil"/>
            </w:tcBorders>
            <w:tcMar>
              <w:top w:w="0" w:type="dxa"/>
              <w:left w:w="108" w:type="dxa"/>
              <w:bottom w:w="0" w:type="dxa"/>
              <w:right w:w="108" w:type="dxa"/>
            </w:tcMar>
          </w:tcPr>
          <w:p w14:paraId="06AE249C" w14:textId="77777777" w:rsidR="0059627B" w:rsidRDefault="007B1972">
            <w:pPr>
              <w:jc w:val="center"/>
              <w:rPr>
                <w:color w:val="000000"/>
              </w:rPr>
            </w:pPr>
            <w:r>
              <w:rPr>
                <w:color w:val="000000"/>
              </w:rPr>
              <w:t>9 (4%)</w:t>
            </w:r>
          </w:p>
        </w:tc>
        <w:tc>
          <w:tcPr>
            <w:tcW w:w="870" w:type="dxa"/>
            <w:tcBorders>
              <w:top w:val="nil"/>
              <w:left w:val="nil"/>
              <w:bottom w:val="nil"/>
              <w:right w:val="nil"/>
            </w:tcBorders>
            <w:tcMar>
              <w:top w:w="0" w:type="dxa"/>
              <w:left w:w="108" w:type="dxa"/>
              <w:bottom w:w="0" w:type="dxa"/>
              <w:right w:w="108" w:type="dxa"/>
            </w:tcMar>
          </w:tcPr>
          <w:p w14:paraId="61BF2034" w14:textId="77777777" w:rsidR="0059627B" w:rsidRDefault="007B1972">
            <w:pPr>
              <w:jc w:val="center"/>
              <w:rPr>
                <w:color w:val="000000"/>
              </w:rPr>
            </w:pPr>
            <w:r>
              <w:rPr>
                <w:color w:val="000000"/>
              </w:rPr>
              <w:t>7 (4%)</w:t>
            </w:r>
          </w:p>
        </w:tc>
        <w:tc>
          <w:tcPr>
            <w:tcW w:w="904" w:type="dxa"/>
            <w:tcBorders>
              <w:top w:val="nil"/>
              <w:left w:val="nil"/>
              <w:bottom w:val="nil"/>
              <w:right w:val="nil"/>
            </w:tcBorders>
            <w:tcMar>
              <w:top w:w="0" w:type="dxa"/>
              <w:left w:w="108" w:type="dxa"/>
              <w:bottom w:w="0" w:type="dxa"/>
              <w:right w:w="108" w:type="dxa"/>
            </w:tcMar>
          </w:tcPr>
          <w:p w14:paraId="7C43592F" w14:textId="77777777" w:rsidR="0059627B" w:rsidRDefault="007B1972">
            <w:pPr>
              <w:jc w:val="center"/>
              <w:rPr>
                <w:color w:val="000000"/>
              </w:rPr>
            </w:pPr>
            <w:r>
              <w:rPr>
                <w:color w:val="000000"/>
              </w:rPr>
              <w:t xml:space="preserve">2 </w:t>
            </w:r>
          </w:p>
          <w:p w14:paraId="3EC1484D" w14:textId="77777777" w:rsidR="0059627B" w:rsidRDefault="007B1972">
            <w:pPr>
              <w:jc w:val="center"/>
              <w:rPr>
                <w:color w:val="000000"/>
              </w:rPr>
            </w:pPr>
            <w:r>
              <w:rPr>
                <w:color w:val="000000"/>
              </w:rPr>
              <w:t>(5%)</w:t>
            </w:r>
          </w:p>
        </w:tc>
        <w:tc>
          <w:tcPr>
            <w:tcW w:w="870" w:type="dxa"/>
            <w:tcBorders>
              <w:top w:val="nil"/>
              <w:left w:val="nil"/>
              <w:bottom w:val="nil"/>
              <w:right w:val="nil"/>
            </w:tcBorders>
            <w:tcMar>
              <w:top w:w="0" w:type="dxa"/>
              <w:left w:w="108" w:type="dxa"/>
              <w:bottom w:w="0" w:type="dxa"/>
              <w:right w:w="108" w:type="dxa"/>
            </w:tcMar>
          </w:tcPr>
          <w:p w14:paraId="17FF7EED" w14:textId="77777777" w:rsidR="0059627B" w:rsidRDefault="007B1972">
            <w:pPr>
              <w:jc w:val="center"/>
              <w:rPr>
                <w:color w:val="000000"/>
              </w:rPr>
            </w:pPr>
            <w:r>
              <w:rPr>
                <w:color w:val="000000"/>
              </w:rPr>
              <w:t>4 (4%)</w:t>
            </w:r>
          </w:p>
        </w:tc>
        <w:tc>
          <w:tcPr>
            <w:tcW w:w="870" w:type="dxa"/>
            <w:tcBorders>
              <w:top w:val="nil"/>
              <w:left w:val="nil"/>
              <w:bottom w:val="nil"/>
              <w:right w:val="nil"/>
            </w:tcBorders>
            <w:tcMar>
              <w:top w:w="0" w:type="dxa"/>
              <w:left w:w="108" w:type="dxa"/>
              <w:bottom w:w="0" w:type="dxa"/>
              <w:right w:w="108" w:type="dxa"/>
            </w:tcMar>
          </w:tcPr>
          <w:p w14:paraId="3FB5127B" w14:textId="77777777" w:rsidR="0059627B" w:rsidRDefault="007B1972">
            <w:pPr>
              <w:jc w:val="center"/>
              <w:rPr>
                <w:color w:val="000000"/>
              </w:rPr>
            </w:pPr>
            <w:r>
              <w:rPr>
                <w:color w:val="000000"/>
              </w:rPr>
              <w:t>4 (5%)</w:t>
            </w:r>
          </w:p>
        </w:tc>
        <w:tc>
          <w:tcPr>
            <w:tcW w:w="904" w:type="dxa"/>
            <w:tcBorders>
              <w:top w:val="nil"/>
              <w:left w:val="nil"/>
              <w:bottom w:val="nil"/>
              <w:right w:val="nil"/>
            </w:tcBorders>
            <w:tcMar>
              <w:top w:w="0" w:type="dxa"/>
              <w:left w:w="108" w:type="dxa"/>
              <w:bottom w:w="0" w:type="dxa"/>
              <w:right w:w="108" w:type="dxa"/>
            </w:tcMar>
          </w:tcPr>
          <w:p w14:paraId="2092BDFF" w14:textId="77777777" w:rsidR="0059627B" w:rsidRDefault="007B1972">
            <w:pPr>
              <w:jc w:val="center"/>
              <w:rPr>
                <w:color w:val="000000"/>
              </w:rPr>
            </w:pPr>
            <w:r>
              <w:rPr>
                <w:color w:val="000000"/>
              </w:rPr>
              <w:t>-</w:t>
            </w:r>
          </w:p>
        </w:tc>
        <w:tc>
          <w:tcPr>
            <w:tcW w:w="870" w:type="dxa"/>
            <w:tcBorders>
              <w:top w:val="nil"/>
              <w:left w:val="nil"/>
              <w:bottom w:val="nil"/>
              <w:right w:val="nil"/>
            </w:tcBorders>
            <w:tcMar>
              <w:top w:w="0" w:type="dxa"/>
              <w:left w:w="108" w:type="dxa"/>
              <w:bottom w:w="0" w:type="dxa"/>
              <w:right w:w="108" w:type="dxa"/>
            </w:tcMar>
          </w:tcPr>
          <w:p w14:paraId="388F93CA" w14:textId="77777777" w:rsidR="0059627B" w:rsidRDefault="007B1972">
            <w:pPr>
              <w:jc w:val="center"/>
              <w:rPr>
                <w:color w:val="000000"/>
              </w:rPr>
            </w:pPr>
            <w:r>
              <w:rPr>
                <w:color w:val="000000"/>
              </w:rPr>
              <w:t>22 (12%)</w:t>
            </w:r>
          </w:p>
        </w:tc>
        <w:tc>
          <w:tcPr>
            <w:tcW w:w="870" w:type="dxa"/>
            <w:tcBorders>
              <w:top w:val="nil"/>
              <w:left w:val="nil"/>
              <w:bottom w:val="nil"/>
              <w:right w:val="nil"/>
            </w:tcBorders>
            <w:tcMar>
              <w:top w:w="0" w:type="dxa"/>
              <w:left w:w="108" w:type="dxa"/>
              <w:bottom w:w="0" w:type="dxa"/>
              <w:right w:w="108" w:type="dxa"/>
            </w:tcMar>
          </w:tcPr>
          <w:p w14:paraId="7725700A" w14:textId="77777777" w:rsidR="0059627B" w:rsidRDefault="007B1972">
            <w:pPr>
              <w:jc w:val="center"/>
              <w:rPr>
                <w:color w:val="000000"/>
              </w:rPr>
            </w:pPr>
            <w:r>
              <w:rPr>
                <w:color w:val="000000"/>
              </w:rPr>
              <w:t>15 (11%)</w:t>
            </w:r>
          </w:p>
        </w:tc>
        <w:tc>
          <w:tcPr>
            <w:tcW w:w="904" w:type="dxa"/>
            <w:tcBorders>
              <w:top w:val="nil"/>
              <w:left w:val="nil"/>
              <w:bottom w:val="nil"/>
              <w:right w:val="nil"/>
            </w:tcBorders>
            <w:tcMar>
              <w:top w:w="0" w:type="dxa"/>
              <w:left w:w="108" w:type="dxa"/>
              <w:bottom w:w="0" w:type="dxa"/>
              <w:right w:w="108" w:type="dxa"/>
            </w:tcMar>
          </w:tcPr>
          <w:p w14:paraId="724830A8" w14:textId="77777777" w:rsidR="0059627B" w:rsidRDefault="007B1972">
            <w:pPr>
              <w:jc w:val="center"/>
              <w:rPr>
                <w:color w:val="000000"/>
              </w:rPr>
            </w:pPr>
            <w:r>
              <w:rPr>
                <w:color w:val="000000"/>
              </w:rPr>
              <w:t>7 (16%)</w:t>
            </w:r>
          </w:p>
        </w:tc>
      </w:tr>
      <w:tr w:rsidR="0059627B" w14:paraId="25180CBC" w14:textId="77777777">
        <w:trPr>
          <w:jc w:val="center"/>
        </w:trPr>
        <w:tc>
          <w:tcPr>
            <w:tcW w:w="3264" w:type="dxa"/>
            <w:tcBorders>
              <w:top w:val="nil"/>
              <w:left w:val="nil"/>
              <w:bottom w:val="nil"/>
              <w:right w:val="nil"/>
            </w:tcBorders>
            <w:tcMar>
              <w:top w:w="0" w:type="dxa"/>
              <w:left w:w="108" w:type="dxa"/>
              <w:bottom w:w="0" w:type="dxa"/>
              <w:right w:w="108" w:type="dxa"/>
            </w:tcMar>
          </w:tcPr>
          <w:p w14:paraId="77896682" w14:textId="77777777" w:rsidR="0059627B" w:rsidRDefault="007B1972">
            <w:pPr>
              <w:rPr>
                <w:color w:val="000000"/>
              </w:rPr>
            </w:pPr>
            <w:r>
              <w:rPr>
                <w:color w:val="000000"/>
              </w:rPr>
              <w:t>Positive emotions (P)</w:t>
            </w:r>
          </w:p>
        </w:tc>
        <w:tc>
          <w:tcPr>
            <w:tcW w:w="1113" w:type="dxa"/>
            <w:tcBorders>
              <w:top w:val="nil"/>
              <w:left w:val="nil"/>
              <w:bottom w:val="nil"/>
              <w:right w:val="nil"/>
            </w:tcBorders>
            <w:tcMar>
              <w:top w:w="0" w:type="dxa"/>
              <w:left w:w="108" w:type="dxa"/>
              <w:bottom w:w="0" w:type="dxa"/>
              <w:right w:w="108" w:type="dxa"/>
            </w:tcMar>
          </w:tcPr>
          <w:p w14:paraId="6D2E80A9" w14:textId="77777777" w:rsidR="0059627B" w:rsidRDefault="007B1972">
            <w:pPr>
              <w:jc w:val="center"/>
              <w:rPr>
                <w:color w:val="000000"/>
              </w:rPr>
            </w:pPr>
            <w:r>
              <w:rPr>
                <w:color w:val="000000"/>
              </w:rPr>
              <w:t xml:space="preserve">24 </w:t>
            </w:r>
          </w:p>
          <w:p w14:paraId="2C0AC1EA" w14:textId="77777777" w:rsidR="0059627B" w:rsidRDefault="007B1972">
            <w:pPr>
              <w:jc w:val="center"/>
              <w:rPr>
                <w:color w:val="000000"/>
              </w:rPr>
            </w:pPr>
            <w:r>
              <w:rPr>
                <w:color w:val="000000"/>
              </w:rPr>
              <w:t>(9%)</w:t>
            </w:r>
          </w:p>
        </w:tc>
        <w:tc>
          <w:tcPr>
            <w:tcW w:w="870" w:type="dxa"/>
            <w:tcBorders>
              <w:top w:val="nil"/>
              <w:left w:val="nil"/>
              <w:bottom w:val="nil"/>
              <w:right w:val="nil"/>
            </w:tcBorders>
            <w:tcMar>
              <w:top w:w="0" w:type="dxa"/>
              <w:left w:w="108" w:type="dxa"/>
              <w:bottom w:w="0" w:type="dxa"/>
              <w:right w:w="108" w:type="dxa"/>
            </w:tcMar>
          </w:tcPr>
          <w:p w14:paraId="33BE04DA" w14:textId="77777777" w:rsidR="0059627B" w:rsidRDefault="007B1972">
            <w:pPr>
              <w:jc w:val="center"/>
              <w:rPr>
                <w:color w:val="000000"/>
              </w:rPr>
            </w:pPr>
            <w:r>
              <w:rPr>
                <w:color w:val="000000"/>
              </w:rPr>
              <w:t>19 (8%)</w:t>
            </w:r>
          </w:p>
        </w:tc>
        <w:tc>
          <w:tcPr>
            <w:tcW w:w="904" w:type="dxa"/>
            <w:tcBorders>
              <w:top w:val="nil"/>
              <w:left w:val="nil"/>
              <w:bottom w:val="nil"/>
              <w:right w:val="nil"/>
            </w:tcBorders>
            <w:tcMar>
              <w:top w:w="0" w:type="dxa"/>
              <w:left w:w="108" w:type="dxa"/>
              <w:bottom w:w="0" w:type="dxa"/>
              <w:right w:w="108" w:type="dxa"/>
            </w:tcMar>
          </w:tcPr>
          <w:p w14:paraId="1BCCE6AE" w14:textId="77777777" w:rsidR="0059627B" w:rsidRDefault="007B1972">
            <w:pPr>
              <w:jc w:val="center"/>
              <w:rPr>
                <w:color w:val="000000"/>
              </w:rPr>
            </w:pPr>
            <w:r>
              <w:rPr>
                <w:color w:val="000000"/>
              </w:rPr>
              <w:t xml:space="preserve">5 </w:t>
            </w:r>
          </w:p>
          <w:p w14:paraId="1EBA5FA1" w14:textId="77777777" w:rsidR="0059627B" w:rsidRDefault="007B1972">
            <w:pPr>
              <w:jc w:val="center"/>
              <w:rPr>
                <w:color w:val="000000"/>
              </w:rPr>
            </w:pPr>
            <w:r>
              <w:rPr>
                <w:color w:val="000000"/>
              </w:rPr>
              <w:t>(9%)</w:t>
            </w:r>
          </w:p>
        </w:tc>
        <w:tc>
          <w:tcPr>
            <w:tcW w:w="870" w:type="dxa"/>
            <w:tcBorders>
              <w:top w:val="nil"/>
              <w:left w:val="nil"/>
              <w:bottom w:val="nil"/>
              <w:right w:val="nil"/>
            </w:tcBorders>
            <w:tcMar>
              <w:top w:w="0" w:type="dxa"/>
              <w:left w:w="108" w:type="dxa"/>
              <w:bottom w:w="0" w:type="dxa"/>
              <w:right w:w="108" w:type="dxa"/>
            </w:tcMar>
          </w:tcPr>
          <w:p w14:paraId="6EF362BA" w14:textId="77777777" w:rsidR="0059627B" w:rsidRDefault="007B1972">
            <w:pPr>
              <w:jc w:val="center"/>
              <w:rPr>
                <w:color w:val="000000"/>
              </w:rPr>
            </w:pPr>
            <w:r>
              <w:rPr>
                <w:color w:val="000000"/>
              </w:rPr>
              <w:t>21 (10%)</w:t>
            </w:r>
          </w:p>
        </w:tc>
        <w:tc>
          <w:tcPr>
            <w:tcW w:w="870" w:type="dxa"/>
            <w:tcBorders>
              <w:top w:val="nil"/>
              <w:left w:val="nil"/>
              <w:bottom w:val="nil"/>
              <w:right w:val="nil"/>
            </w:tcBorders>
            <w:tcMar>
              <w:top w:w="0" w:type="dxa"/>
              <w:left w:w="108" w:type="dxa"/>
              <w:bottom w:w="0" w:type="dxa"/>
              <w:right w:w="108" w:type="dxa"/>
            </w:tcMar>
          </w:tcPr>
          <w:p w14:paraId="0A1F5F1A" w14:textId="77777777" w:rsidR="0059627B" w:rsidRDefault="007B1972">
            <w:pPr>
              <w:jc w:val="center"/>
              <w:rPr>
                <w:color w:val="000000"/>
              </w:rPr>
            </w:pPr>
            <w:r>
              <w:rPr>
                <w:color w:val="000000"/>
              </w:rPr>
              <w:t>11 (6%)</w:t>
            </w:r>
          </w:p>
        </w:tc>
        <w:tc>
          <w:tcPr>
            <w:tcW w:w="904" w:type="dxa"/>
            <w:tcBorders>
              <w:top w:val="nil"/>
              <w:left w:val="nil"/>
              <w:bottom w:val="nil"/>
              <w:right w:val="nil"/>
            </w:tcBorders>
            <w:tcMar>
              <w:top w:w="0" w:type="dxa"/>
              <w:left w:w="108" w:type="dxa"/>
              <w:bottom w:w="0" w:type="dxa"/>
              <w:right w:w="108" w:type="dxa"/>
            </w:tcMar>
          </w:tcPr>
          <w:p w14:paraId="709020B7" w14:textId="77777777" w:rsidR="0059627B" w:rsidRDefault="007B1972">
            <w:pPr>
              <w:jc w:val="center"/>
              <w:rPr>
                <w:color w:val="000000"/>
              </w:rPr>
            </w:pPr>
            <w:r>
              <w:rPr>
                <w:color w:val="000000"/>
              </w:rPr>
              <w:t>10 (25%)</w:t>
            </w:r>
          </w:p>
        </w:tc>
        <w:tc>
          <w:tcPr>
            <w:tcW w:w="870" w:type="dxa"/>
            <w:tcBorders>
              <w:top w:val="nil"/>
              <w:left w:val="nil"/>
              <w:bottom w:val="nil"/>
              <w:right w:val="nil"/>
            </w:tcBorders>
            <w:tcMar>
              <w:top w:w="0" w:type="dxa"/>
              <w:left w:w="108" w:type="dxa"/>
              <w:bottom w:w="0" w:type="dxa"/>
              <w:right w:w="108" w:type="dxa"/>
            </w:tcMar>
          </w:tcPr>
          <w:p w14:paraId="6443F621" w14:textId="77777777" w:rsidR="0059627B" w:rsidRDefault="007B1972">
            <w:pPr>
              <w:jc w:val="center"/>
              <w:rPr>
                <w:color w:val="000000"/>
              </w:rPr>
            </w:pPr>
            <w:r>
              <w:rPr>
                <w:color w:val="000000"/>
              </w:rPr>
              <w:t>12 (12%)</w:t>
            </w:r>
          </w:p>
        </w:tc>
        <w:tc>
          <w:tcPr>
            <w:tcW w:w="870" w:type="dxa"/>
            <w:tcBorders>
              <w:top w:val="nil"/>
              <w:left w:val="nil"/>
              <w:bottom w:val="nil"/>
              <w:right w:val="nil"/>
            </w:tcBorders>
            <w:tcMar>
              <w:top w:w="0" w:type="dxa"/>
              <w:left w:w="108" w:type="dxa"/>
              <w:bottom w:w="0" w:type="dxa"/>
              <w:right w:w="108" w:type="dxa"/>
            </w:tcMar>
          </w:tcPr>
          <w:p w14:paraId="1E462E53" w14:textId="77777777" w:rsidR="0059627B" w:rsidRDefault="007B1972">
            <w:pPr>
              <w:jc w:val="center"/>
              <w:rPr>
                <w:color w:val="000000"/>
              </w:rPr>
            </w:pPr>
            <w:r>
              <w:rPr>
                <w:color w:val="000000"/>
              </w:rPr>
              <w:t>8 (11%)</w:t>
            </w:r>
          </w:p>
        </w:tc>
        <w:tc>
          <w:tcPr>
            <w:tcW w:w="904" w:type="dxa"/>
            <w:tcBorders>
              <w:top w:val="nil"/>
              <w:left w:val="nil"/>
              <w:bottom w:val="nil"/>
              <w:right w:val="nil"/>
            </w:tcBorders>
            <w:tcMar>
              <w:top w:w="0" w:type="dxa"/>
              <w:left w:w="108" w:type="dxa"/>
              <w:bottom w:w="0" w:type="dxa"/>
              <w:right w:w="108" w:type="dxa"/>
            </w:tcMar>
          </w:tcPr>
          <w:p w14:paraId="056BF3EF" w14:textId="77777777" w:rsidR="0059627B" w:rsidRDefault="007B1972">
            <w:pPr>
              <w:jc w:val="center"/>
              <w:rPr>
                <w:color w:val="000000"/>
              </w:rPr>
            </w:pPr>
            <w:r>
              <w:rPr>
                <w:color w:val="000000"/>
              </w:rPr>
              <w:t>4 (13%)</w:t>
            </w:r>
          </w:p>
        </w:tc>
        <w:tc>
          <w:tcPr>
            <w:tcW w:w="870" w:type="dxa"/>
            <w:tcBorders>
              <w:top w:val="nil"/>
              <w:left w:val="nil"/>
              <w:bottom w:val="nil"/>
              <w:right w:val="nil"/>
            </w:tcBorders>
            <w:tcMar>
              <w:top w:w="0" w:type="dxa"/>
              <w:left w:w="108" w:type="dxa"/>
              <w:bottom w:w="0" w:type="dxa"/>
              <w:right w:w="108" w:type="dxa"/>
            </w:tcMar>
          </w:tcPr>
          <w:p w14:paraId="1979B9C5" w14:textId="77777777" w:rsidR="0059627B" w:rsidRDefault="007B1972">
            <w:pPr>
              <w:jc w:val="center"/>
              <w:rPr>
                <w:color w:val="000000"/>
              </w:rPr>
            </w:pPr>
            <w:r>
              <w:rPr>
                <w:color w:val="000000"/>
              </w:rPr>
              <w:t>15 (8%)</w:t>
            </w:r>
          </w:p>
        </w:tc>
        <w:tc>
          <w:tcPr>
            <w:tcW w:w="870" w:type="dxa"/>
            <w:tcBorders>
              <w:top w:val="nil"/>
              <w:left w:val="nil"/>
              <w:bottom w:val="nil"/>
              <w:right w:val="nil"/>
            </w:tcBorders>
            <w:tcMar>
              <w:top w:w="0" w:type="dxa"/>
              <w:left w:w="108" w:type="dxa"/>
              <w:bottom w:w="0" w:type="dxa"/>
              <w:right w:w="108" w:type="dxa"/>
            </w:tcMar>
          </w:tcPr>
          <w:p w14:paraId="6DD878E7" w14:textId="77777777" w:rsidR="0059627B" w:rsidRDefault="007B1972">
            <w:pPr>
              <w:jc w:val="center"/>
              <w:rPr>
                <w:color w:val="000000"/>
              </w:rPr>
            </w:pPr>
            <w:r>
              <w:rPr>
                <w:color w:val="000000"/>
              </w:rPr>
              <w:t>10 (7%)</w:t>
            </w:r>
          </w:p>
        </w:tc>
        <w:tc>
          <w:tcPr>
            <w:tcW w:w="904" w:type="dxa"/>
            <w:tcBorders>
              <w:top w:val="nil"/>
              <w:left w:val="nil"/>
              <w:bottom w:val="nil"/>
              <w:right w:val="nil"/>
            </w:tcBorders>
            <w:tcMar>
              <w:top w:w="0" w:type="dxa"/>
              <w:left w:w="108" w:type="dxa"/>
              <w:bottom w:w="0" w:type="dxa"/>
              <w:right w:w="108" w:type="dxa"/>
            </w:tcMar>
          </w:tcPr>
          <w:p w14:paraId="24A33AEB" w14:textId="77777777" w:rsidR="0059627B" w:rsidRDefault="007B1972">
            <w:pPr>
              <w:jc w:val="center"/>
              <w:rPr>
                <w:color w:val="000000"/>
              </w:rPr>
            </w:pPr>
            <w:r>
              <w:rPr>
                <w:color w:val="000000"/>
              </w:rPr>
              <w:t>5 (11%)</w:t>
            </w:r>
          </w:p>
        </w:tc>
      </w:tr>
      <w:tr w:rsidR="0059627B" w14:paraId="75A48AF5" w14:textId="77777777">
        <w:trPr>
          <w:jc w:val="center"/>
        </w:trPr>
        <w:tc>
          <w:tcPr>
            <w:tcW w:w="3264" w:type="dxa"/>
            <w:tcBorders>
              <w:top w:val="nil"/>
              <w:left w:val="nil"/>
              <w:bottom w:val="nil"/>
              <w:right w:val="nil"/>
            </w:tcBorders>
            <w:tcMar>
              <w:top w:w="0" w:type="dxa"/>
              <w:left w:w="108" w:type="dxa"/>
              <w:bottom w:w="0" w:type="dxa"/>
              <w:right w:w="108" w:type="dxa"/>
            </w:tcMar>
          </w:tcPr>
          <w:p w14:paraId="26AD4717" w14:textId="77777777" w:rsidR="0059627B" w:rsidRDefault="007B1972">
            <w:pPr>
              <w:rPr>
                <w:color w:val="000000"/>
              </w:rPr>
            </w:pPr>
            <w:r>
              <w:rPr>
                <w:color w:val="000000"/>
              </w:rPr>
              <w:t>Positive emotions (C)</w:t>
            </w:r>
          </w:p>
        </w:tc>
        <w:tc>
          <w:tcPr>
            <w:tcW w:w="1113" w:type="dxa"/>
            <w:tcBorders>
              <w:top w:val="nil"/>
              <w:left w:val="nil"/>
              <w:bottom w:val="nil"/>
              <w:right w:val="nil"/>
            </w:tcBorders>
            <w:tcMar>
              <w:top w:w="0" w:type="dxa"/>
              <w:left w:w="108" w:type="dxa"/>
              <w:bottom w:w="0" w:type="dxa"/>
              <w:right w:w="108" w:type="dxa"/>
            </w:tcMar>
          </w:tcPr>
          <w:p w14:paraId="608CF912" w14:textId="77777777" w:rsidR="0059627B" w:rsidRDefault="007B1972">
            <w:pPr>
              <w:jc w:val="center"/>
              <w:rPr>
                <w:color w:val="000000"/>
              </w:rPr>
            </w:pPr>
            <w:r>
              <w:rPr>
                <w:color w:val="000000"/>
              </w:rPr>
              <w:t>39 (14%)</w:t>
            </w:r>
          </w:p>
        </w:tc>
        <w:tc>
          <w:tcPr>
            <w:tcW w:w="870" w:type="dxa"/>
            <w:tcBorders>
              <w:top w:val="nil"/>
              <w:left w:val="nil"/>
              <w:bottom w:val="nil"/>
              <w:right w:val="nil"/>
            </w:tcBorders>
            <w:tcMar>
              <w:top w:w="0" w:type="dxa"/>
              <w:left w:w="108" w:type="dxa"/>
              <w:bottom w:w="0" w:type="dxa"/>
              <w:right w:w="108" w:type="dxa"/>
            </w:tcMar>
          </w:tcPr>
          <w:p w14:paraId="1B3C1ED4" w14:textId="77777777" w:rsidR="0059627B" w:rsidRDefault="007B1972">
            <w:pPr>
              <w:jc w:val="center"/>
              <w:rPr>
                <w:color w:val="000000"/>
              </w:rPr>
            </w:pPr>
            <w:r>
              <w:rPr>
                <w:color w:val="000000"/>
              </w:rPr>
              <w:t>29 (13%)</w:t>
            </w:r>
          </w:p>
        </w:tc>
        <w:tc>
          <w:tcPr>
            <w:tcW w:w="904" w:type="dxa"/>
            <w:tcBorders>
              <w:top w:val="nil"/>
              <w:left w:val="nil"/>
              <w:bottom w:val="nil"/>
              <w:right w:val="nil"/>
            </w:tcBorders>
            <w:tcMar>
              <w:top w:w="0" w:type="dxa"/>
              <w:left w:w="108" w:type="dxa"/>
              <w:bottom w:w="0" w:type="dxa"/>
              <w:right w:w="108" w:type="dxa"/>
            </w:tcMar>
          </w:tcPr>
          <w:p w14:paraId="6C776515" w14:textId="77777777" w:rsidR="0059627B" w:rsidRDefault="007B1972">
            <w:pPr>
              <w:jc w:val="center"/>
              <w:rPr>
                <w:color w:val="000000"/>
              </w:rPr>
            </w:pPr>
            <w:r>
              <w:rPr>
                <w:color w:val="000000"/>
              </w:rPr>
              <w:t>10 (17%)</w:t>
            </w:r>
          </w:p>
        </w:tc>
        <w:tc>
          <w:tcPr>
            <w:tcW w:w="870" w:type="dxa"/>
            <w:tcBorders>
              <w:top w:val="nil"/>
              <w:left w:val="nil"/>
              <w:bottom w:val="nil"/>
              <w:right w:val="nil"/>
            </w:tcBorders>
            <w:tcMar>
              <w:top w:w="0" w:type="dxa"/>
              <w:left w:w="108" w:type="dxa"/>
              <w:bottom w:w="0" w:type="dxa"/>
              <w:right w:w="108" w:type="dxa"/>
            </w:tcMar>
          </w:tcPr>
          <w:p w14:paraId="3B6DCE11" w14:textId="77777777" w:rsidR="0059627B" w:rsidRDefault="007B1972">
            <w:pPr>
              <w:jc w:val="center"/>
              <w:rPr>
                <w:color w:val="000000"/>
              </w:rPr>
            </w:pPr>
            <w:r>
              <w:rPr>
                <w:color w:val="000000"/>
              </w:rPr>
              <w:t>49 (23%)</w:t>
            </w:r>
          </w:p>
        </w:tc>
        <w:tc>
          <w:tcPr>
            <w:tcW w:w="870" w:type="dxa"/>
            <w:tcBorders>
              <w:top w:val="nil"/>
              <w:left w:val="nil"/>
              <w:bottom w:val="nil"/>
              <w:right w:val="nil"/>
            </w:tcBorders>
            <w:tcMar>
              <w:top w:w="0" w:type="dxa"/>
              <w:left w:w="108" w:type="dxa"/>
              <w:bottom w:w="0" w:type="dxa"/>
              <w:right w:w="108" w:type="dxa"/>
            </w:tcMar>
          </w:tcPr>
          <w:p w14:paraId="7E872A54" w14:textId="77777777" w:rsidR="0059627B" w:rsidRDefault="007B1972">
            <w:pPr>
              <w:jc w:val="center"/>
              <w:rPr>
                <w:color w:val="000000"/>
              </w:rPr>
            </w:pPr>
            <w:r>
              <w:rPr>
                <w:color w:val="000000"/>
              </w:rPr>
              <w:t>40 (23%)</w:t>
            </w:r>
          </w:p>
        </w:tc>
        <w:tc>
          <w:tcPr>
            <w:tcW w:w="904" w:type="dxa"/>
            <w:tcBorders>
              <w:top w:val="nil"/>
              <w:left w:val="nil"/>
              <w:bottom w:val="nil"/>
              <w:right w:val="nil"/>
            </w:tcBorders>
            <w:tcMar>
              <w:top w:w="0" w:type="dxa"/>
              <w:left w:w="108" w:type="dxa"/>
              <w:bottom w:w="0" w:type="dxa"/>
              <w:right w:w="108" w:type="dxa"/>
            </w:tcMar>
          </w:tcPr>
          <w:p w14:paraId="226FD5A6" w14:textId="77777777" w:rsidR="0059627B" w:rsidRDefault="007B1972">
            <w:pPr>
              <w:jc w:val="center"/>
              <w:rPr>
                <w:color w:val="000000"/>
              </w:rPr>
            </w:pPr>
            <w:r>
              <w:rPr>
                <w:color w:val="000000"/>
              </w:rPr>
              <w:t>9 (23%)</w:t>
            </w:r>
          </w:p>
        </w:tc>
        <w:tc>
          <w:tcPr>
            <w:tcW w:w="870" w:type="dxa"/>
            <w:tcBorders>
              <w:top w:val="nil"/>
              <w:left w:val="nil"/>
              <w:bottom w:val="nil"/>
              <w:right w:val="nil"/>
            </w:tcBorders>
            <w:tcMar>
              <w:top w:w="0" w:type="dxa"/>
              <w:left w:w="108" w:type="dxa"/>
              <w:bottom w:w="0" w:type="dxa"/>
              <w:right w:w="108" w:type="dxa"/>
            </w:tcMar>
          </w:tcPr>
          <w:p w14:paraId="376401F8" w14:textId="77777777" w:rsidR="0059627B" w:rsidRDefault="007B1972">
            <w:pPr>
              <w:jc w:val="center"/>
              <w:rPr>
                <w:color w:val="000000"/>
              </w:rPr>
            </w:pPr>
            <w:r>
              <w:rPr>
                <w:color w:val="000000"/>
              </w:rPr>
              <w:t>22 (21%)</w:t>
            </w:r>
          </w:p>
        </w:tc>
        <w:tc>
          <w:tcPr>
            <w:tcW w:w="870" w:type="dxa"/>
            <w:tcBorders>
              <w:top w:val="nil"/>
              <w:left w:val="nil"/>
              <w:bottom w:val="nil"/>
              <w:right w:val="nil"/>
            </w:tcBorders>
            <w:tcMar>
              <w:top w:w="0" w:type="dxa"/>
              <w:left w:w="108" w:type="dxa"/>
              <w:bottom w:w="0" w:type="dxa"/>
              <w:right w:w="108" w:type="dxa"/>
            </w:tcMar>
          </w:tcPr>
          <w:p w14:paraId="12AC5792" w14:textId="77777777" w:rsidR="0059627B" w:rsidRDefault="007B1972">
            <w:pPr>
              <w:jc w:val="center"/>
              <w:rPr>
                <w:color w:val="000000"/>
              </w:rPr>
            </w:pPr>
            <w:r>
              <w:rPr>
                <w:color w:val="000000"/>
              </w:rPr>
              <w:t>12 (16%)</w:t>
            </w:r>
          </w:p>
        </w:tc>
        <w:tc>
          <w:tcPr>
            <w:tcW w:w="904" w:type="dxa"/>
            <w:tcBorders>
              <w:top w:val="nil"/>
              <w:left w:val="nil"/>
              <w:bottom w:val="nil"/>
              <w:right w:val="nil"/>
            </w:tcBorders>
            <w:tcMar>
              <w:top w:w="0" w:type="dxa"/>
              <w:left w:w="108" w:type="dxa"/>
              <w:bottom w:w="0" w:type="dxa"/>
              <w:right w:w="108" w:type="dxa"/>
            </w:tcMar>
          </w:tcPr>
          <w:p w14:paraId="78A832A9" w14:textId="77777777" w:rsidR="0059627B" w:rsidRDefault="007B1972">
            <w:pPr>
              <w:jc w:val="center"/>
              <w:rPr>
                <w:color w:val="000000"/>
              </w:rPr>
            </w:pPr>
            <w:r>
              <w:rPr>
                <w:color w:val="000000"/>
              </w:rPr>
              <w:t>10 (32%)</w:t>
            </w:r>
          </w:p>
        </w:tc>
        <w:tc>
          <w:tcPr>
            <w:tcW w:w="870" w:type="dxa"/>
            <w:tcBorders>
              <w:top w:val="nil"/>
              <w:left w:val="nil"/>
              <w:bottom w:val="nil"/>
              <w:right w:val="nil"/>
            </w:tcBorders>
            <w:tcMar>
              <w:top w:w="0" w:type="dxa"/>
              <w:left w:w="108" w:type="dxa"/>
              <w:bottom w:w="0" w:type="dxa"/>
              <w:right w:w="108" w:type="dxa"/>
            </w:tcMar>
          </w:tcPr>
          <w:p w14:paraId="67AC6731" w14:textId="77777777" w:rsidR="0059627B" w:rsidRDefault="007B1972">
            <w:pPr>
              <w:jc w:val="center"/>
              <w:rPr>
                <w:color w:val="000000"/>
              </w:rPr>
            </w:pPr>
            <w:r>
              <w:rPr>
                <w:color w:val="000000"/>
              </w:rPr>
              <w:t>23 (13%)</w:t>
            </w:r>
          </w:p>
        </w:tc>
        <w:tc>
          <w:tcPr>
            <w:tcW w:w="870" w:type="dxa"/>
            <w:tcBorders>
              <w:top w:val="nil"/>
              <w:left w:val="nil"/>
              <w:bottom w:val="nil"/>
              <w:right w:val="nil"/>
            </w:tcBorders>
            <w:tcMar>
              <w:top w:w="0" w:type="dxa"/>
              <w:left w:w="108" w:type="dxa"/>
              <w:bottom w:w="0" w:type="dxa"/>
              <w:right w:w="108" w:type="dxa"/>
            </w:tcMar>
          </w:tcPr>
          <w:p w14:paraId="5BFFAEEC" w14:textId="77777777" w:rsidR="0059627B" w:rsidRDefault="007B1972">
            <w:pPr>
              <w:jc w:val="center"/>
              <w:rPr>
                <w:color w:val="000000"/>
              </w:rPr>
            </w:pPr>
            <w:r>
              <w:rPr>
                <w:color w:val="000000"/>
              </w:rPr>
              <w:t>17 (12%)</w:t>
            </w:r>
          </w:p>
        </w:tc>
        <w:tc>
          <w:tcPr>
            <w:tcW w:w="904" w:type="dxa"/>
            <w:tcBorders>
              <w:top w:val="nil"/>
              <w:left w:val="nil"/>
              <w:bottom w:val="nil"/>
              <w:right w:val="nil"/>
            </w:tcBorders>
            <w:tcMar>
              <w:top w:w="0" w:type="dxa"/>
              <w:left w:w="108" w:type="dxa"/>
              <w:bottom w:w="0" w:type="dxa"/>
              <w:right w:w="108" w:type="dxa"/>
            </w:tcMar>
          </w:tcPr>
          <w:p w14:paraId="7AE671B1" w14:textId="77777777" w:rsidR="0059627B" w:rsidRDefault="007B1972">
            <w:pPr>
              <w:jc w:val="center"/>
              <w:rPr>
                <w:color w:val="000000"/>
              </w:rPr>
            </w:pPr>
            <w:r>
              <w:rPr>
                <w:color w:val="000000"/>
              </w:rPr>
              <w:t>6 (13%)</w:t>
            </w:r>
          </w:p>
        </w:tc>
      </w:tr>
      <w:tr w:rsidR="0059627B" w14:paraId="227BC7B2" w14:textId="77777777">
        <w:trPr>
          <w:jc w:val="center"/>
        </w:trPr>
        <w:tc>
          <w:tcPr>
            <w:tcW w:w="3264" w:type="dxa"/>
            <w:tcBorders>
              <w:top w:val="nil"/>
              <w:left w:val="nil"/>
              <w:bottom w:val="nil"/>
              <w:right w:val="nil"/>
            </w:tcBorders>
            <w:tcMar>
              <w:top w:w="0" w:type="dxa"/>
              <w:left w:w="108" w:type="dxa"/>
              <w:bottom w:w="0" w:type="dxa"/>
              <w:right w:w="108" w:type="dxa"/>
            </w:tcMar>
          </w:tcPr>
          <w:p w14:paraId="4473DC5A" w14:textId="77777777" w:rsidR="0059627B" w:rsidRDefault="007B1972">
            <w:pPr>
              <w:rPr>
                <w:color w:val="000000"/>
              </w:rPr>
            </w:pPr>
            <w:r>
              <w:rPr>
                <w:color w:val="000000"/>
              </w:rPr>
              <w:t>Social media helps (C)</w:t>
            </w:r>
          </w:p>
        </w:tc>
        <w:tc>
          <w:tcPr>
            <w:tcW w:w="1113" w:type="dxa"/>
            <w:tcBorders>
              <w:top w:val="nil"/>
              <w:left w:val="nil"/>
              <w:bottom w:val="nil"/>
              <w:right w:val="nil"/>
            </w:tcBorders>
            <w:tcMar>
              <w:top w:w="0" w:type="dxa"/>
              <w:left w:w="108" w:type="dxa"/>
              <w:bottom w:w="0" w:type="dxa"/>
              <w:right w:w="108" w:type="dxa"/>
            </w:tcMar>
          </w:tcPr>
          <w:p w14:paraId="2BD95292" w14:textId="77777777" w:rsidR="0059627B" w:rsidRDefault="007B1972">
            <w:pPr>
              <w:jc w:val="center"/>
              <w:rPr>
                <w:color w:val="000000"/>
              </w:rPr>
            </w:pPr>
            <w:r>
              <w:rPr>
                <w:color w:val="000000"/>
              </w:rPr>
              <w:t xml:space="preserve">1 </w:t>
            </w:r>
          </w:p>
          <w:p w14:paraId="4B4177C4" w14:textId="77777777" w:rsidR="0059627B" w:rsidRDefault="007B1972">
            <w:pPr>
              <w:jc w:val="center"/>
              <w:rPr>
                <w:color w:val="000000"/>
              </w:rPr>
            </w:pPr>
            <w:r>
              <w:rPr>
                <w:color w:val="000000"/>
              </w:rPr>
              <w:t>(0%)</w:t>
            </w:r>
          </w:p>
        </w:tc>
        <w:tc>
          <w:tcPr>
            <w:tcW w:w="870" w:type="dxa"/>
            <w:tcBorders>
              <w:top w:val="nil"/>
              <w:left w:val="nil"/>
              <w:bottom w:val="nil"/>
              <w:right w:val="nil"/>
            </w:tcBorders>
            <w:tcMar>
              <w:top w:w="0" w:type="dxa"/>
              <w:left w:w="108" w:type="dxa"/>
              <w:bottom w:w="0" w:type="dxa"/>
              <w:right w:w="108" w:type="dxa"/>
            </w:tcMar>
          </w:tcPr>
          <w:p w14:paraId="299C740B" w14:textId="77777777" w:rsidR="0059627B" w:rsidRDefault="007B1972">
            <w:pPr>
              <w:jc w:val="center"/>
              <w:rPr>
                <w:color w:val="000000"/>
              </w:rPr>
            </w:pPr>
            <w:r>
              <w:rPr>
                <w:color w:val="000000"/>
              </w:rPr>
              <w:t>1 (0%)</w:t>
            </w:r>
          </w:p>
        </w:tc>
        <w:tc>
          <w:tcPr>
            <w:tcW w:w="904" w:type="dxa"/>
            <w:tcBorders>
              <w:top w:val="nil"/>
              <w:left w:val="nil"/>
              <w:bottom w:val="nil"/>
              <w:right w:val="nil"/>
            </w:tcBorders>
            <w:tcMar>
              <w:top w:w="0" w:type="dxa"/>
              <w:left w:w="108" w:type="dxa"/>
              <w:bottom w:w="0" w:type="dxa"/>
              <w:right w:w="108" w:type="dxa"/>
            </w:tcMar>
          </w:tcPr>
          <w:p w14:paraId="721C9BAA" w14:textId="77777777" w:rsidR="0059627B" w:rsidRDefault="007B1972">
            <w:pPr>
              <w:jc w:val="center"/>
              <w:rPr>
                <w:color w:val="000000"/>
              </w:rPr>
            </w:pPr>
            <w:r>
              <w:rPr>
                <w:color w:val="000000"/>
              </w:rPr>
              <w:t>-</w:t>
            </w:r>
          </w:p>
        </w:tc>
        <w:tc>
          <w:tcPr>
            <w:tcW w:w="870" w:type="dxa"/>
            <w:tcBorders>
              <w:top w:val="nil"/>
              <w:left w:val="nil"/>
              <w:bottom w:val="nil"/>
              <w:right w:val="nil"/>
            </w:tcBorders>
            <w:tcMar>
              <w:top w:w="0" w:type="dxa"/>
              <w:left w:w="108" w:type="dxa"/>
              <w:bottom w:w="0" w:type="dxa"/>
              <w:right w:w="108" w:type="dxa"/>
            </w:tcMar>
          </w:tcPr>
          <w:p w14:paraId="4E8CC883" w14:textId="77777777" w:rsidR="0059627B" w:rsidRDefault="007B1972">
            <w:pPr>
              <w:jc w:val="center"/>
              <w:rPr>
                <w:color w:val="000000"/>
              </w:rPr>
            </w:pPr>
            <w:r>
              <w:rPr>
                <w:color w:val="000000"/>
              </w:rPr>
              <w:t>17 (8%)</w:t>
            </w:r>
          </w:p>
        </w:tc>
        <w:tc>
          <w:tcPr>
            <w:tcW w:w="870" w:type="dxa"/>
            <w:tcBorders>
              <w:top w:val="nil"/>
              <w:left w:val="nil"/>
              <w:bottom w:val="nil"/>
              <w:right w:val="nil"/>
            </w:tcBorders>
            <w:tcMar>
              <w:top w:w="0" w:type="dxa"/>
              <w:left w:w="108" w:type="dxa"/>
              <w:bottom w:w="0" w:type="dxa"/>
              <w:right w:w="108" w:type="dxa"/>
            </w:tcMar>
          </w:tcPr>
          <w:p w14:paraId="09F517E5" w14:textId="77777777" w:rsidR="0059627B" w:rsidRDefault="007B1972">
            <w:pPr>
              <w:jc w:val="center"/>
              <w:rPr>
                <w:color w:val="000000"/>
              </w:rPr>
            </w:pPr>
            <w:r>
              <w:rPr>
                <w:color w:val="000000"/>
              </w:rPr>
              <w:t>13 (8%)</w:t>
            </w:r>
          </w:p>
        </w:tc>
        <w:tc>
          <w:tcPr>
            <w:tcW w:w="904" w:type="dxa"/>
            <w:tcBorders>
              <w:top w:val="nil"/>
              <w:left w:val="nil"/>
              <w:bottom w:val="nil"/>
              <w:right w:val="nil"/>
            </w:tcBorders>
            <w:tcMar>
              <w:top w:w="0" w:type="dxa"/>
              <w:left w:w="108" w:type="dxa"/>
              <w:bottom w:w="0" w:type="dxa"/>
              <w:right w:w="108" w:type="dxa"/>
            </w:tcMar>
          </w:tcPr>
          <w:p w14:paraId="1AA2588D" w14:textId="77777777" w:rsidR="0059627B" w:rsidRDefault="007B1972">
            <w:pPr>
              <w:jc w:val="center"/>
              <w:rPr>
                <w:color w:val="000000"/>
              </w:rPr>
            </w:pPr>
            <w:r>
              <w:rPr>
                <w:color w:val="000000"/>
              </w:rPr>
              <w:t>4 (10%)</w:t>
            </w:r>
          </w:p>
        </w:tc>
        <w:tc>
          <w:tcPr>
            <w:tcW w:w="870" w:type="dxa"/>
            <w:tcBorders>
              <w:top w:val="nil"/>
              <w:left w:val="nil"/>
              <w:bottom w:val="nil"/>
              <w:right w:val="nil"/>
            </w:tcBorders>
            <w:tcMar>
              <w:top w:w="0" w:type="dxa"/>
              <w:left w:w="108" w:type="dxa"/>
              <w:bottom w:w="0" w:type="dxa"/>
              <w:right w:w="108" w:type="dxa"/>
            </w:tcMar>
          </w:tcPr>
          <w:p w14:paraId="612BE114" w14:textId="77777777" w:rsidR="0059627B" w:rsidRDefault="007B1972">
            <w:pPr>
              <w:jc w:val="center"/>
              <w:rPr>
                <w:color w:val="000000"/>
              </w:rPr>
            </w:pPr>
            <w:r>
              <w:rPr>
                <w:color w:val="000000"/>
              </w:rPr>
              <w:t>1 (1%)</w:t>
            </w:r>
          </w:p>
        </w:tc>
        <w:tc>
          <w:tcPr>
            <w:tcW w:w="870" w:type="dxa"/>
            <w:tcBorders>
              <w:top w:val="nil"/>
              <w:left w:val="nil"/>
              <w:bottom w:val="nil"/>
              <w:right w:val="nil"/>
            </w:tcBorders>
            <w:tcMar>
              <w:top w:w="0" w:type="dxa"/>
              <w:left w:w="108" w:type="dxa"/>
              <w:bottom w:w="0" w:type="dxa"/>
              <w:right w:w="108" w:type="dxa"/>
            </w:tcMar>
          </w:tcPr>
          <w:p w14:paraId="6B669D85" w14:textId="77777777" w:rsidR="0059627B" w:rsidRDefault="007B1972">
            <w:pPr>
              <w:jc w:val="center"/>
              <w:rPr>
                <w:color w:val="000000"/>
              </w:rPr>
            </w:pPr>
            <w:r>
              <w:rPr>
                <w:color w:val="000000"/>
              </w:rPr>
              <w:t>-</w:t>
            </w:r>
          </w:p>
        </w:tc>
        <w:tc>
          <w:tcPr>
            <w:tcW w:w="904" w:type="dxa"/>
            <w:tcBorders>
              <w:top w:val="nil"/>
              <w:left w:val="nil"/>
              <w:bottom w:val="nil"/>
              <w:right w:val="nil"/>
            </w:tcBorders>
            <w:tcMar>
              <w:top w:w="0" w:type="dxa"/>
              <w:left w:w="108" w:type="dxa"/>
              <w:bottom w:w="0" w:type="dxa"/>
              <w:right w:w="108" w:type="dxa"/>
            </w:tcMar>
          </w:tcPr>
          <w:p w14:paraId="5AB5EEAD" w14:textId="77777777" w:rsidR="0059627B" w:rsidRDefault="007B1972">
            <w:pPr>
              <w:jc w:val="center"/>
              <w:rPr>
                <w:color w:val="000000"/>
              </w:rPr>
            </w:pPr>
            <w:r>
              <w:rPr>
                <w:color w:val="000000"/>
              </w:rPr>
              <w:t xml:space="preserve">1 </w:t>
            </w:r>
          </w:p>
          <w:p w14:paraId="10924A54" w14:textId="77777777" w:rsidR="0059627B" w:rsidRDefault="007B1972">
            <w:pPr>
              <w:jc w:val="center"/>
              <w:rPr>
                <w:color w:val="000000"/>
              </w:rPr>
            </w:pPr>
            <w:r>
              <w:rPr>
                <w:color w:val="000000"/>
              </w:rPr>
              <w:t>(3%)</w:t>
            </w:r>
          </w:p>
        </w:tc>
        <w:tc>
          <w:tcPr>
            <w:tcW w:w="870" w:type="dxa"/>
            <w:tcBorders>
              <w:top w:val="nil"/>
              <w:left w:val="nil"/>
              <w:bottom w:val="nil"/>
              <w:right w:val="nil"/>
            </w:tcBorders>
            <w:tcMar>
              <w:top w:w="0" w:type="dxa"/>
              <w:left w:w="108" w:type="dxa"/>
              <w:bottom w:w="0" w:type="dxa"/>
              <w:right w:w="108" w:type="dxa"/>
            </w:tcMar>
          </w:tcPr>
          <w:p w14:paraId="573A2612" w14:textId="77777777" w:rsidR="0059627B" w:rsidRDefault="007B1972">
            <w:pPr>
              <w:jc w:val="center"/>
              <w:rPr>
                <w:color w:val="000000"/>
              </w:rPr>
            </w:pPr>
            <w:r>
              <w:rPr>
                <w:color w:val="000000"/>
              </w:rPr>
              <w:t>-</w:t>
            </w:r>
          </w:p>
        </w:tc>
        <w:tc>
          <w:tcPr>
            <w:tcW w:w="870" w:type="dxa"/>
            <w:tcBorders>
              <w:top w:val="nil"/>
              <w:left w:val="nil"/>
              <w:bottom w:val="nil"/>
              <w:right w:val="nil"/>
            </w:tcBorders>
            <w:tcMar>
              <w:top w:w="0" w:type="dxa"/>
              <w:left w:w="108" w:type="dxa"/>
              <w:bottom w:w="0" w:type="dxa"/>
              <w:right w:w="108" w:type="dxa"/>
            </w:tcMar>
          </w:tcPr>
          <w:p w14:paraId="6CD36B29" w14:textId="77777777" w:rsidR="0059627B" w:rsidRDefault="007B1972">
            <w:pPr>
              <w:jc w:val="center"/>
              <w:rPr>
                <w:color w:val="000000"/>
              </w:rPr>
            </w:pPr>
            <w:r>
              <w:rPr>
                <w:color w:val="000000"/>
              </w:rPr>
              <w:t>-</w:t>
            </w:r>
          </w:p>
        </w:tc>
        <w:tc>
          <w:tcPr>
            <w:tcW w:w="904" w:type="dxa"/>
            <w:tcBorders>
              <w:top w:val="nil"/>
              <w:left w:val="nil"/>
              <w:bottom w:val="nil"/>
              <w:right w:val="nil"/>
            </w:tcBorders>
            <w:tcMar>
              <w:top w:w="0" w:type="dxa"/>
              <w:left w:w="108" w:type="dxa"/>
              <w:bottom w:w="0" w:type="dxa"/>
              <w:right w:w="108" w:type="dxa"/>
            </w:tcMar>
          </w:tcPr>
          <w:p w14:paraId="05C2EFF2" w14:textId="77777777" w:rsidR="0059627B" w:rsidRDefault="007B1972">
            <w:pPr>
              <w:jc w:val="center"/>
              <w:rPr>
                <w:color w:val="000000"/>
              </w:rPr>
            </w:pPr>
            <w:r>
              <w:rPr>
                <w:color w:val="000000"/>
              </w:rPr>
              <w:t>-</w:t>
            </w:r>
          </w:p>
        </w:tc>
      </w:tr>
      <w:tr w:rsidR="0059627B" w14:paraId="0734ECC9" w14:textId="77777777">
        <w:trPr>
          <w:jc w:val="center"/>
        </w:trPr>
        <w:tc>
          <w:tcPr>
            <w:tcW w:w="3264" w:type="dxa"/>
            <w:tcBorders>
              <w:top w:val="nil"/>
              <w:left w:val="nil"/>
              <w:bottom w:val="single" w:sz="4" w:space="0" w:color="000000"/>
              <w:right w:val="nil"/>
            </w:tcBorders>
            <w:tcMar>
              <w:top w:w="0" w:type="dxa"/>
              <w:left w:w="108" w:type="dxa"/>
              <w:bottom w:w="0" w:type="dxa"/>
              <w:right w:w="108" w:type="dxa"/>
            </w:tcMar>
          </w:tcPr>
          <w:p w14:paraId="01A8B4A9" w14:textId="77777777" w:rsidR="0059627B" w:rsidRDefault="007B1972">
            <w:pPr>
              <w:rPr>
                <w:color w:val="000000"/>
              </w:rPr>
            </w:pPr>
            <w:r>
              <w:rPr>
                <w:color w:val="000000"/>
              </w:rPr>
              <w:lastRenderedPageBreak/>
              <w:t>Positive behaviour change (C)</w:t>
            </w:r>
          </w:p>
        </w:tc>
        <w:tc>
          <w:tcPr>
            <w:tcW w:w="1113" w:type="dxa"/>
            <w:tcBorders>
              <w:top w:val="nil"/>
              <w:left w:val="nil"/>
              <w:bottom w:val="single" w:sz="4" w:space="0" w:color="000000"/>
              <w:right w:val="nil"/>
            </w:tcBorders>
            <w:tcMar>
              <w:top w:w="0" w:type="dxa"/>
              <w:left w:w="108" w:type="dxa"/>
              <w:bottom w:w="0" w:type="dxa"/>
              <w:right w:w="108" w:type="dxa"/>
            </w:tcMar>
          </w:tcPr>
          <w:p w14:paraId="40276553" w14:textId="77777777" w:rsidR="0059627B" w:rsidRDefault="007B1972">
            <w:pPr>
              <w:jc w:val="center"/>
              <w:rPr>
                <w:color w:val="000000"/>
              </w:rPr>
            </w:pPr>
            <w:r>
              <w:rPr>
                <w:color w:val="000000"/>
              </w:rPr>
              <w:t xml:space="preserve">20 </w:t>
            </w:r>
          </w:p>
          <w:p w14:paraId="42670841" w14:textId="77777777" w:rsidR="0059627B" w:rsidRDefault="007B1972">
            <w:pPr>
              <w:jc w:val="center"/>
              <w:rPr>
                <w:color w:val="000000"/>
              </w:rPr>
            </w:pPr>
            <w:r>
              <w:rPr>
                <w:color w:val="000000"/>
              </w:rPr>
              <w:t>(7%)</w:t>
            </w:r>
          </w:p>
        </w:tc>
        <w:tc>
          <w:tcPr>
            <w:tcW w:w="870" w:type="dxa"/>
            <w:tcBorders>
              <w:top w:val="nil"/>
              <w:left w:val="nil"/>
              <w:bottom w:val="single" w:sz="4" w:space="0" w:color="000000"/>
              <w:right w:val="nil"/>
            </w:tcBorders>
            <w:tcMar>
              <w:top w:w="0" w:type="dxa"/>
              <w:left w:w="108" w:type="dxa"/>
              <w:bottom w:w="0" w:type="dxa"/>
              <w:right w:w="108" w:type="dxa"/>
            </w:tcMar>
          </w:tcPr>
          <w:p w14:paraId="05B48886" w14:textId="77777777" w:rsidR="0059627B" w:rsidRDefault="007B1972">
            <w:pPr>
              <w:jc w:val="center"/>
              <w:rPr>
                <w:color w:val="000000"/>
              </w:rPr>
            </w:pPr>
            <w:r>
              <w:rPr>
                <w:color w:val="000000"/>
              </w:rPr>
              <w:t>17 (8%)</w:t>
            </w:r>
          </w:p>
        </w:tc>
        <w:tc>
          <w:tcPr>
            <w:tcW w:w="904" w:type="dxa"/>
            <w:tcBorders>
              <w:top w:val="nil"/>
              <w:left w:val="nil"/>
              <w:bottom w:val="single" w:sz="4" w:space="0" w:color="000000"/>
              <w:right w:val="nil"/>
            </w:tcBorders>
            <w:tcMar>
              <w:top w:w="0" w:type="dxa"/>
              <w:left w:w="108" w:type="dxa"/>
              <w:bottom w:w="0" w:type="dxa"/>
              <w:right w:w="108" w:type="dxa"/>
            </w:tcMar>
          </w:tcPr>
          <w:p w14:paraId="79E62729" w14:textId="77777777" w:rsidR="0059627B" w:rsidRDefault="007B1972">
            <w:pPr>
              <w:jc w:val="center"/>
              <w:rPr>
                <w:color w:val="000000"/>
              </w:rPr>
            </w:pPr>
            <w:r>
              <w:rPr>
                <w:color w:val="000000"/>
              </w:rPr>
              <w:t xml:space="preserve">3 </w:t>
            </w:r>
          </w:p>
          <w:p w14:paraId="0D794FBA" w14:textId="77777777" w:rsidR="0059627B" w:rsidRDefault="007B1972">
            <w:pPr>
              <w:jc w:val="center"/>
              <w:rPr>
                <w:color w:val="000000"/>
              </w:rPr>
            </w:pPr>
            <w:r>
              <w:rPr>
                <w:color w:val="000000"/>
              </w:rPr>
              <w:t>(5%)</w:t>
            </w:r>
          </w:p>
        </w:tc>
        <w:tc>
          <w:tcPr>
            <w:tcW w:w="870" w:type="dxa"/>
            <w:tcBorders>
              <w:top w:val="nil"/>
              <w:left w:val="nil"/>
              <w:bottom w:val="single" w:sz="4" w:space="0" w:color="000000"/>
              <w:right w:val="nil"/>
            </w:tcBorders>
            <w:tcMar>
              <w:top w:w="0" w:type="dxa"/>
              <w:left w:w="108" w:type="dxa"/>
              <w:bottom w:w="0" w:type="dxa"/>
              <w:right w:w="108" w:type="dxa"/>
            </w:tcMar>
          </w:tcPr>
          <w:p w14:paraId="01F4418E" w14:textId="77777777" w:rsidR="0059627B" w:rsidRDefault="007B1972">
            <w:pPr>
              <w:jc w:val="center"/>
              <w:rPr>
                <w:color w:val="000000"/>
              </w:rPr>
            </w:pPr>
            <w:r>
              <w:rPr>
                <w:color w:val="000000"/>
              </w:rPr>
              <w:t>15 (7%)</w:t>
            </w:r>
          </w:p>
        </w:tc>
        <w:tc>
          <w:tcPr>
            <w:tcW w:w="870" w:type="dxa"/>
            <w:tcBorders>
              <w:top w:val="nil"/>
              <w:left w:val="nil"/>
              <w:bottom w:val="single" w:sz="4" w:space="0" w:color="000000"/>
              <w:right w:val="nil"/>
            </w:tcBorders>
            <w:tcMar>
              <w:top w:w="0" w:type="dxa"/>
              <w:left w:w="108" w:type="dxa"/>
              <w:bottom w:w="0" w:type="dxa"/>
              <w:right w:w="108" w:type="dxa"/>
            </w:tcMar>
          </w:tcPr>
          <w:p w14:paraId="128393CB" w14:textId="77777777" w:rsidR="0059627B" w:rsidRDefault="007B1972">
            <w:pPr>
              <w:jc w:val="center"/>
              <w:rPr>
                <w:color w:val="000000"/>
              </w:rPr>
            </w:pPr>
            <w:r>
              <w:rPr>
                <w:color w:val="000000"/>
              </w:rPr>
              <w:t>13 (8%)</w:t>
            </w:r>
          </w:p>
        </w:tc>
        <w:tc>
          <w:tcPr>
            <w:tcW w:w="904" w:type="dxa"/>
            <w:tcBorders>
              <w:top w:val="nil"/>
              <w:left w:val="nil"/>
              <w:bottom w:val="single" w:sz="4" w:space="0" w:color="000000"/>
              <w:right w:val="nil"/>
            </w:tcBorders>
            <w:tcMar>
              <w:top w:w="0" w:type="dxa"/>
              <w:left w:w="108" w:type="dxa"/>
              <w:bottom w:w="0" w:type="dxa"/>
              <w:right w:w="108" w:type="dxa"/>
            </w:tcMar>
          </w:tcPr>
          <w:p w14:paraId="5CC996DB" w14:textId="77777777" w:rsidR="0059627B" w:rsidRDefault="007B1972">
            <w:pPr>
              <w:jc w:val="center"/>
              <w:rPr>
                <w:color w:val="000000"/>
              </w:rPr>
            </w:pPr>
            <w:r>
              <w:rPr>
                <w:color w:val="000000"/>
              </w:rPr>
              <w:t>2 (5%)</w:t>
            </w:r>
          </w:p>
        </w:tc>
        <w:tc>
          <w:tcPr>
            <w:tcW w:w="870" w:type="dxa"/>
            <w:tcBorders>
              <w:top w:val="nil"/>
              <w:left w:val="nil"/>
              <w:bottom w:val="single" w:sz="4" w:space="0" w:color="000000"/>
              <w:right w:val="nil"/>
            </w:tcBorders>
            <w:tcMar>
              <w:top w:w="0" w:type="dxa"/>
              <w:left w:w="108" w:type="dxa"/>
              <w:bottom w:w="0" w:type="dxa"/>
              <w:right w:w="108" w:type="dxa"/>
            </w:tcMar>
          </w:tcPr>
          <w:p w14:paraId="3CAD44AC" w14:textId="77777777" w:rsidR="0059627B" w:rsidRDefault="007B1972">
            <w:pPr>
              <w:jc w:val="center"/>
              <w:rPr>
                <w:color w:val="000000"/>
              </w:rPr>
            </w:pPr>
            <w:r>
              <w:rPr>
                <w:color w:val="000000"/>
              </w:rPr>
              <w:t>5 (5%)</w:t>
            </w:r>
          </w:p>
        </w:tc>
        <w:tc>
          <w:tcPr>
            <w:tcW w:w="870" w:type="dxa"/>
            <w:tcBorders>
              <w:top w:val="nil"/>
              <w:left w:val="nil"/>
              <w:bottom w:val="single" w:sz="4" w:space="0" w:color="000000"/>
              <w:right w:val="nil"/>
            </w:tcBorders>
            <w:tcMar>
              <w:top w:w="0" w:type="dxa"/>
              <w:left w:w="108" w:type="dxa"/>
              <w:bottom w:w="0" w:type="dxa"/>
              <w:right w:w="108" w:type="dxa"/>
            </w:tcMar>
          </w:tcPr>
          <w:p w14:paraId="5E3050A7" w14:textId="77777777" w:rsidR="0059627B" w:rsidRDefault="007B1972">
            <w:pPr>
              <w:jc w:val="center"/>
              <w:rPr>
                <w:color w:val="000000"/>
              </w:rPr>
            </w:pPr>
            <w:r>
              <w:rPr>
                <w:color w:val="000000"/>
              </w:rPr>
              <w:t>3 (4%)</w:t>
            </w:r>
          </w:p>
        </w:tc>
        <w:tc>
          <w:tcPr>
            <w:tcW w:w="904" w:type="dxa"/>
            <w:tcBorders>
              <w:top w:val="nil"/>
              <w:left w:val="nil"/>
              <w:bottom w:val="single" w:sz="4" w:space="0" w:color="000000"/>
              <w:right w:val="nil"/>
            </w:tcBorders>
            <w:tcMar>
              <w:top w:w="0" w:type="dxa"/>
              <w:left w:w="108" w:type="dxa"/>
              <w:bottom w:w="0" w:type="dxa"/>
              <w:right w:w="108" w:type="dxa"/>
            </w:tcMar>
          </w:tcPr>
          <w:p w14:paraId="7E92EC28" w14:textId="77777777" w:rsidR="0059627B" w:rsidRDefault="007B1972">
            <w:pPr>
              <w:jc w:val="center"/>
              <w:rPr>
                <w:color w:val="000000"/>
              </w:rPr>
            </w:pPr>
            <w:r>
              <w:rPr>
                <w:color w:val="000000"/>
              </w:rPr>
              <w:t xml:space="preserve">2 </w:t>
            </w:r>
          </w:p>
          <w:p w14:paraId="657AC466" w14:textId="77777777" w:rsidR="0059627B" w:rsidRDefault="007B1972">
            <w:pPr>
              <w:jc w:val="center"/>
              <w:rPr>
                <w:color w:val="000000"/>
              </w:rPr>
            </w:pPr>
            <w:r>
              <w:rPr>
                <w:color w:val="000000"/>
              </w:rPr>
              <w:t>(6%)</w:t>
            </w:r>
          </w:p>
        </w:tc>
        <w:tc>
          <w:tcPr>
            <w:tcW w:w="870" w:type="dxa"/>
            <w:tcBorders>
              <w:top w:val="nil"/>
              <w:left w:val="nil"/>
              <w:bottom w:val="single" w:sz="4" w:space="0" w:color="000000"/>
              <w:right w:val="nil"/>
            </w:tcBorders>
            <w:tcMar>
              <w:top w:w="0" w:type="dxa"/>
              <w:left w:w="108" w:type="dxa"/>
              <w:bottom w:w="0" w:type="dxa"/>
              <w:right w:w="108" w:type="dxa"/>
            </w:tcMar>
          </w:tcPr>
          <w:p w14:paraId="31CD5F49" w14:textId="77777777" w:rsidR="0059627B" w:rsidRDefault="007B1972">
            <w:pPr>
              <w:jc w:val="center"/>
              <w:rPr>
                <w:color w:val="000000"/>
              </w:rPr>
            </w:pPr>
            <w:r>
              <w:rPr>
                <w:color w:val="000000"/>
              </w:rPr>
              <w:t>-</w:t>
            </w:r>
          </w:p>
        </w:tc>
        <w:tc>
          <w:tcPr>
            <w:tcW w:w="870" w:type="dxa"/>
            <w:tcBorders>
              <w:top w:val="nil"/>
              <w:left w:val="nil"/>
              <w:bottom w:val="single" w:sz="4" w:space="0" w:color="000000"/>
              <w:right w:val="nil"/>
            </w:tcBorders>
            <w:tcMar>
              <w:top w:w="0" w:type="dxa"/>
              <w:left w:w="108" w:type="dxa"/>
              <w:bottom w:w="0" w:type="dxa"/>
              <w:right w:w="108" w:type="dxa"/>
            </w:tcMar>
          </w:tcPr>
          <w:p w14:paraId="2ECD5261" w14:textId="77777777" w:rsidR="0059627B" w:rsidRDefault="007B1972">
            <w:pPr>
              <w:jc w:val="center"/>
              <w:rPr>
                <w:color w:val="000000"/>
              </w:rPr>
            </w:pPr>
            <w:r>
              <w:rPr>
                <w:color w:val="000000"/>
              </w:rPr>
              <w:t>-</w:t>
            </w:r>
          </w:p>
        </w:tc>
        <w:tc>
          <w:tcPr>
            <w:tcW w:w="904" w:type="dxa"/>
            <w:tcBorders>
              <w:top w:val="nil"/>
              <w:left w:val="nil"/>
              <w:bottom w:val="single" w:sz="4" w:space="0" w:color="000000"/>
              <w:right w:val="nil"/>
            </w:tcBorders>
            <w:tcMar>
              <w:top w:w="0" w:type="dxa"/>
              <w:left w:w="108" w:type="dxa"/>
              <w:bottom w:w="0" w:type="dxa"/>
              <w:right w:w="108" w:type="dxa"/>
            </w:tcMar>
          </w:tcPr>
          <w:p w14:paraId="15DE2B6F" w14:textId="77777777" w:rsidR="0059627B" w:rsidRDefault="007B1972">
            <w:pPr>
              <w:jc w:val="center"/>
              <w:rPr>
                <w:color w:val="000000"/>
              </w:rPr>
            </w:pPr>
            <w:r>
              <w:rPr>
                <w:color w:val="000000"/>
              </w:rPr>
              <w:t>-</w:t>
            </w:r>
          </w:p>
        </w:tc>
      </w:tr>
    </w:tbl>
    <w:p w14:paraId="146C9BFC" w14:textId="77777777" w:rsidR="0059627B" w:rsidRDefault="007B1972">
      <w:pPr>
        <w:spacing w:after="160" w:line="480" w:lineRule="auto"/>
        <w:rPr>
          <w:color w:val="000000"/>
        </w:rPr>
      </w:pPr>
      <w:r>
        <w:rPr>
          <w:b/>
          <w:color w:val="000000"/>
        </w:rPr>
        <w:t xml:space="preserve">Note. </w:t>
      </w:r>
      <w:r>
        <w:rPr>
          <w:color w:val="000000"/>
        </w:rPr>
        <w:t>P = Parent; C = Child. Values are the number of responses for which the code was used.  The % refers to the percentage of times the code was used as a function of how many participants provided a response at the corresponding time point. </w:t>
      </w:r>
    </w:p>
    <w:p w14:paraId="25A8D888" w14:textId="77777777" w:rsidR="0059627B" w:rsidRDefault="0059627B">
      <w:pPr>
        <w:spacing w:before="240" w:after="240" w:line="480" w:lineRule="auto"/>
        <w:rPr>
          <w:b/>
          <w:color w:val="000000"/>
        </w:rPr>
      </w:pPr>
    </w:p>
    <w:sectPr w:rsidR="0059627B">
      <w:pgSz w:w="16834" w:h="11909"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7A63A" w14:textId="77777777" w:rsidR="007B1972" w:rsidRDefault="007B1972">
      <w:r>
        <w:separator/>
      </w:r>
    </w:p>
  </w:endnote>
  <w:endnote w:type="continuationSeparator" w:id="0">
    <w:p w14:paraId="69F1759B" w14:textId="77777777" w:rsidR="007B1972" w:rsidRDefault="007B1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F8CA0" w14:textId="77777777" w:rsidR="007B1972" w:rsidRDefault="007B1972">
      <w:r>
        <w:separator/>
      </w:r>
    </w:p>
  </w:footnote>
  <w:footnote w:type="continuationSeparator" w:id="0">
    <w:p w14:paraId="270D1383" w14:textId="77777777" w:rsidR="007B1972" w:rsidRDefault="007B19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16661" w14:textId="77777777" w:rsidR="0059627B" w:rsidRDefault="007B1972">
    <w:r>
      <w:t>Autism, COVID-19, and Mental Health (Part 2)</w:t>
    </w:r>
  </w:p>
  <w:p w14:paraId="2F517E57" w14:textId="77777777" w:rsidR="0059627B" w:rsidRDefault="007B1972">
    <w:pPr>
      <w:jc w:val="right"/>
    </w:pPr>
    <w:r>
      <w:fldChar w:fldCharType="begin"/>
    </w:r>
    <w:r>
      <w:instrText>PAGE</w:instrText>
    </w:r>
    <w:r>
      <w:fldChar w:fldCharType="separate"/>
    </w:r>
    <w:r w:rsidR="00A734FB">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FF4C05"/>
    <w:multiLevelType w:val="multilevel"/>
    <w:tmpl w:val="2356EA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27B"/>
    <w:rsid w:val="0059627B"/>
    <w:rsid w:val="007B1972"/>
    <w:rsid w:val="00976DFD"/>
    <w:rsid w:val="00A734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8059457"/>
  <w15:docId w15:val="{7193D784-B52C-1B43-9D24-B15777C16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FC3"/>
  </w:style>
  <w:style w:type="paragraph" w:styleId="Heading1">
    <w:name w:val="heading 1"/>
    <w:basedOn w:val="Normal"/>
    <w:next w:val="Normal"/>
    <w:uiPriority w:val="9"/>
    <w:qFormat/>
    <w:pPr>
      <w:keepNext/>
      <w:keepLines/>
      <w:spacing w:before="400" w:after="120" w:line="276" w:lineRule="auto"/>
      <w:outlineLvl w:val="0"/>
    </w:pPr>
    <w:rPr>
      <w:rFonts w:ascii="Arial" w:eastAsia="Arial" w:hAnsi="Arial" w:cs="Arial"/>
      <w:sz w:val="40"/>
      <w:szCs w:val="40"/>
    </w:rPr>
  </w:style>
  <w:style w:type="paragraph" w:styleId="Heading2">
    <w:name w:val="heading 2"/>
    <w:basedOn w:val="Normal"/>
    <w:next w:val="Normal"/>
    <w:uiPriority w:val="9"/>
    <w:semiHidden/>
    <w:unhideWhenUsed/>
    <w:qFormat/>
    <w:pPr>
      <w:keepNext/>
      <w:keepLines/>
      <w:spacing w:before="360" w:after="120" w:line="276" w:lineRule="auto"/>
      <w:outlineLvl w:val="1"/>
    </w:pPr>
    <w:rPr>
      <w:rFonts w:ascii="Arial" w:eastAsia="Arial" w:hAnsi="Arial" w:cs="Arial"/>
      <w:sz w:val="32"/>
      <w:szCs w:val="32"/>
    </w:rPr>
  </w:style>
  <w:style w:type="paragraph" w:styleId="Heading3">
    <w:name w:val="heading 3"/>
    <w:basedOn w:val="Normal"/>
    <w:next w:val="Normal"/>
    <w:uiPriority w:val="9"/>
    <w:semiHidden/>
    <w:unhideWhenUsed/>
    <w:qFormat/>
    <w:pPr>
      <w:keepNext/>
      <w:keepLines/>
      <w:spacing w:before="320" w:after="80" w:line="276" w:lineRule="auto"/>
      <w:outlineLvl w:val="2"/>
    </w:pPr>
    <w:rPr>
      <w:rFonts w:ascii="Arial" w:eastAsia="Arial" w:hAnsi="Arial" w:cs="Arial"/>
      <w:color w:val="434343"/>
      <w:sz w:val="28"/>
      <w:szCs w:val="28"/>
    </w:rPr>
  </w:style>
  <w:style w:type="paragraph" w:styleId="Heading4">
    <w:name w:val="heading 4"/>
    <w:basedOn w:val="Normal"/>
    <w:next w:val="Normal"/>
    <w:uiPriority w:val="9"/>
    <w:semiHidden/>
    <w:unhideWhenUsed/>
    <w:qFormat/>
    <w:pPr>
      <w:keepNext/>
      <w:keepLines/>
      <w:spacing w:before="280" w:after="80" w:line="276" w:lineRule="auto"/>
      <w:outlineLvl w:val="3"/>
    </w:pPr>
    <w:rPr>
      <w:rFonts w:ascii="Arial" w:eastAsia="Arial" w:hAnsi="Arial" w:cs="Arial"/>
      <w:color w:val="666666"/>
    </w:rPr>
  </w:style>
  <w:style w:type="paragraph" w:styleId="Heading5">
    <w:name w:val="heading 5"/>
    <w:basedOn w:val="Normal"/>
    <w:next w:val="Normal"/>
    <w:uiPriority w:val="9"/>
    <w:semiHidden/>
    <w:unhideWhenUsed/>
    <w:qFormat/>
    <w:pPr>
      <w:keepNext/>
      <w:keepLines/>
      <w:spacing w:before="240" w:after="80" w:line="276" w:lineRule="auto"/>
      <w:outlineLvl w:val="4"/>
    </w:pPr>
    <w:rPr>
      <w:rFonts w:ascii="Arial" w:eastAsia="Arial" w:hAnsi="Arial" w:cs="Arial"/>
      <w:color w:val="666666"/>
      <w:sz w:val="22"/>
      <w:szCs w:val="22"/>
    </w:rPr>
  </w:style>
  <w:style w:type="paragraph" w:styleId="Heading6">
    <w:name w:val="heading 6"/>
    <w:basedOn w:val="Normal"/>
    <w:next w:val="Normal"/>
    <w:uiPriority w:val="9"/>
    <w:semiHidden/>
    <w:unhideWhenUsed/>
    <w:qFormat/>
    <w:pPr>
      <w:keepNext/>
      <w:keepLines/>
      <w:spacing w:before="240" w:after="80" w:line="276" w:lineRule="auto"/>
      <w:outlineLvl w:val="5"/>
    </w:pPr>
    <w:rPr>
      <w:rFonts w:ascii="Arial" w:eastAsia="Arial" w:hAnsi="Arial" w:cs="Arial"/>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line="276" w:lineRule="auto"/>
    </w:pPr>
    <w:rPr>
      <w:rFonts w:ascii="Arial" w:eastAsia="Arial" w:hAnsi="Arial" w:cs="Arial"/>
      <w:sz w:val="52"/>
      <w:szCs w:val="52"/>
    </w:rPr>
  </w:style>
  <w:style w:type="paragraph" w:styleId="Subtitle">
    <w:name w:val="Subtitle"/>
    <w:basedOn w:val="Normal"/>
    <w:next w:val="Normal"/>
    <w:uiPriority w:val="11"/>
    <w:qFormat/>
    <w:pPr>
      <w:keepNext/>
      <w:keepLines/>
      <w:spacing w:after="320" w:line="276" w:lineRule="auto"/>
    </w:pPr>
    <w:rPr>
      <w:rFonts w:ascii="Arial" w:eastAsia="Arial" w:hAnsi="Arial" w:cs="Arial"/>
      <w:color w:val="666666"/>
      <w:sz w:val="30"/>
      <w:szCs w:val="30"/>
    </w:rPr>
  </w:style>
  <w:style w:type="paragraph" w:styleId="CommentText">
    <w:name w:val="annotation text"/>
    <w:basedOn w:val="Normal"/>
    <w:link w:val="CommentTextChar"/>
    <w:uiPriority w:val="99"/>
    <w:unhideWhenUsed/>
    <w:rPr>
      <w:rFonts w:ascii="Arial" w:eastAsia="Arial" w:hAnsi="Arial" w:cs="Arial"/>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EndNoteBibliographyTitle">
    <w:name w:val="EndNote Bibliography Title"/>
    <w:basedOn w:val="Normal"/>
    <w:link w:val="EndNoteBibliographyTitleChar"/>
    <w:rsid w:val="002D5888"/>
    <w:pPr>
      <w:spacing w:line="276" w:lineRule="auto"/>
      <w:jc w:val="center"/>
    </w:pPr>
    <w:rPr>
      <w:rFonts w:eastAsia="Arial"/>
      <w:szCs w:val="22"/>
    </w:rPr>
  </w:style>
  <w:style w:type="character" w:customStyle="1" w:styleId="EndNoteBibliographyTitleChar">
    <w:name w:val="EndNote Bibliography Title Char"/>
    <w:basedOn w:val="DefaultParagraphFont"/>
    <w:link w:val="EndNoteBibliographyTitle"/>
    <w:rsid w:val="002D5888"/>
    <w:rPr>
      <w:rFonts w:eastAsia="Arial"/>
      <w:szCs w:val="22"/>
    </w:rPr>
  </w:style>
  <w:style w:type="paragraph" w:customStyle="1" w:styleId="EndNoteBibliography">
    <w:name w:val="EndNote Bibliography"/>
    <w:basedOn w:val="Normal"/>
    <w:link w:val="EndNoteBibliographyChar"/>
    <w:rsid w:val="002D5888"/>
    <w:pPr>
      <w:spacing w:line="360" w:lineRule="auto"/>
    </w:pPr>
    <w:rPr>
      <w:rFonts w:eastAsia="Arial"/>
      <w:szCs w:val="22"/>
    </w:rPr>
  </w:style>
  <w:style w:type="character" w:customStyle="1" w:styleId="EndNoteBibliographyChar">
    <w:name w:val="EndNote Bibliography Char"/>
    <w:basedOn w:val="DefaultParagraphFont"/>
    <w:link w:val="EndNoteBibliography"/>
    <w:rsid w:val="002D5888"/>
    <w:rPr>
      <w:rFonts w:eastAsia="Arial"/>
      <w:szCs w:val="22"/>
    </w:rPr>
  </w:style>
  <w:style w:type="character" w:styleId="Hyperlink">
    <w:name w:val="Hyperlink"/>
    <w:basedOn w:val="DefaultParagraphFont"/>
    <w:uiPriority w:val="99"/>
    <w:unhideWhenUsed/>
    <w:rsid w:val="002D5888"/>
    <w:rPr>
      <w:color w:val="0000FF" w:themeColor="hyperlink"/>
      <w:u w:val="single"/>
    </w:rPr>
  </w:style>
  <w:style w:type="character" w:styleId="UnresolvedMention">
    <w:name w:val="Unresolved Mention"/>
    <w:basedOn w:val="DefaultParagraphFont"/>
    <w:uiPriority w:val="99"/>
    <w:semiHidden/>
    <w:unhideWhenUsed/>
    <w:rsid w:val="002D5888"/>
    <w:rPr>
      <w:color w:val="605E5C"/>
      <w:shd w:val="clear" w:color="auto" w:fill="E1DFDD"/>
    </w:rPr>
  </w:style>
  <w:style w:type="table" w:styleId="TableGrid">
    <w:name w:val="Table Grid"/>
    <w:basedOn w:val="TableNormal"/>
    <w:uiPriority w:val="39"/>
    <w:rsid w:val="005F53B1"/>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4DA2"/>
    <w:pPr>
      <w:spacing w:line="276" w:lineRule="auto"/>
      <w:ind w:left="720"/>
      <w:contextualSpacing/>
    </w:pPr>
    <w:rPr>
      <w:rFonts w:ascii="Arial" w:eastAsia="Arial" w:hAnsi="Arial" w:cs="Arial"/>
      <w:sz w:val="22"/>
      <w:szCs w:val="22"/>
    </w:rPr>
  </w:style>
  <w:style w:type="paragraph" w:styleId="NormalWeb">
    <w:name w:val="Normal (Web)"/>
    <w:basedOn w:val="Normal"/>
    <w:uiPriority w:val="99"/>
    <w:unhideWhenUsed/>
    <w:rsid w:val="004B5FC3"/>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rsid w:val="009D6D10"/>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9D6D10"/>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01654D"/>
    <w:rPr>
      <w:color w:val="800080" w:themeColor="followedHyperlink"/>
      <w:u w:val="single"/>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paragraph" w:styleId="Header">
    <w:name w:val="header"/>
    <w:basedOn w:val="Normal"/>
    <w:link w:val="HeaderChar"/>
    <w:uiPriority w:val="99"/>
    <w:unhideWhenUsed/>
    <w:rsid w:val="00727347"/>
    <w:pPr>
      <w:tabs>
        <w:tab w:val="center" w:pos="4513"/>
        <w:tab w:val="right" w:pos="9026"/>
      </w:tabs>
    </w:pPr>
  </w:style>
  <w:style w:type="character" w:customStyle="1" w:styleId="HeaderChar">
    <w:name w:val="Header Char"/>
    <w:basedOn w:val="DefaultParagraphFont"/>
    <w:link w:val="Header"/>
    <w:uiPriority w:val="99"/>
    <w:rsid w:val="00727347"/>
  </w:style>
  <w:style w:type="paragraph" w:styleId="Footer">
    <w:name w:val="footer"/>
    <w:basedOn w:val="Normal"/>
    <w:link w:val="FooterChar"/>
    <w:uiPriority w:val="99"/>
    <w:unhideWhenUsed/>
    <w:rsid w:val="00727347"/>
    <w:pPr>
      <w:tabs>
        <w:tab w:val="center" w:pos="4513"/>
        <w:tab w:val="right" w:pos="9026"/>
      </w:tabs>
    </w:pPr>
  </w:style>
  <w:style w:type="character" w:customStyle="1" w:styleId="FooterChar">
    <w:name w:val="Footer Char"/>
    <w:basedOn w:val="DefaultParagraphFont"/>
    <w:link w:val="Footer"/>
    <w:uiPriority w:val="99"/>
    <w:rsid w:val="00727347"/>
  </w:style>
  <w:style w:type="character" w:customStyle="1" w:styleId="apple-converted-space">
    <w:name w:val="apple-converted-space"/>
    <w:basedOn w:val="DefaultParagraphFont"/>
    <w:rsid w:val="00192DC4"/>
  </w:style>
  <w:style w:type="table" w:customStyle="1" w:styleId="a1">
    <w:basedOn w:val="TableNormal"/>
    <w:rPr>
      <w:rFonts w:ascii="Cambria" w:eastAsia="Cambria" w:hAnsi="Cambria" w:cs="Cambria"/>
    </w:rPr>
    <w:tblPr>
      <w:tblStyleRowBandSize w:val="1"/>
      <w:tblStyleColBandSize w:val="1"/>
      <w:tblCellMar>
        <w:top w:w="15" w:type="dxa"/>
        <w:left w:w="15" w:type="dxa"/>
        <w:bottom w:w="15" w:type="dxa"/>
        <w:right w:w="15" w:type="dxa"/>
      </w:tblCellMar>
    </w:tblPr>
  </w:style>
  <w:style w:type="table" w:customStyle="1" w:styleId="a2">
    <w:basedOn w:val="TableNormal"/>
    <w:rPr>
      <w:rFonts w:ascii="Cambria" w:eastAsia="Cambria" w:hAnsi="Cambria" w:cs="Cambria"/>
    </w:rPr>
    <w:tblPr>
      <w:tblStyleRowBandSize w:val="1"/>
      <w:tblStyleColBandSize w:val="1"/>
      <w:tblCellMar>
        <w:top w:w="15" w:type="dxa"/>
        <w:left w:w="15" w:type="dxa"/>
        <w:bottom w:w="15" w:type="dxa"/>
        <w:right w:w="15" w:type="dxa"/>
      </w:tblCellMar>
    </w:tblPr>
  </w:style>
  <w:style w:type="paragraph" w:styleId="Revision">
    <w:name w:val="Revision"/>
    <w:hidden/>
    <w:uiPriority w:val="99"/>
    <w:semiHidden/>
    <w:rsid w:val="005D620A"/>
  </w:style>
  <w:style w:type="table" w:customStyle="1" w:styleId="a3">
    <w:basedOn w:val="TableNormal"/>
    <w:rPr>
      <w:rFonts w:ascii="Cambria" w:eastAsia="Cambria" w:hAnsi="Cambria" w:cs="Cambria"/>
    </w:rPr>
    <w:tblPr>
      <w:tblStyleRowBandSize w:val="1"/>
      <w:tblStyleColBandSize w:val="1"/>
      <w:tblCellMar>
        <w:top w:w="15" w:type="dxa"/>
        <w:left w:w="15" w:type="dxa"/>
        <w:bottom w:w="15" w:type="dxa"/>
        <w:right w:w="15" w:type="dxa"/>
      </w:tblCellMar>
    </w:tblPr>
  </w:style>
  <w:style w:type="table" w:customStyle="1" w:styleId="a4">
    <w:basedOn w:val="TableNormal"/>
    <w:rPr>
      <w:rFonts w:ascii="Cambria" w:eastAsia="Cambria" w:hAnsi="Cambria" w:cs="Cambria"/>
    </w:rPr>
    <w:tblPr>
      <w:tblStyleRowBandSize w:val="1"/>
      <w:tblStyleColBandSize w:val="1"/>
      <w:tblCellMar>
        <w:top w:w="15" w:type="dxa"/>
        <w:left w:w="15" w:type="dxa"/>
        <w:bottom w:w="15" w:type="dxa"/>
        <w:right w:w="15" w:type="dxa"/>
      </w:tblCellMar>
    </w:tblPr>
  </w:style>
  <w:style w:type="table" w:customStyle="1" w:styleId="a5">
    <w:basedOn w:val="TableNormal"/>
    <w:rPr>
      <w:rFonts w:ascii="Cambria" w:eastAsia="Cambria" w:hAnsi="Cambria" w:cs="Cambria"/>
    </w:rPr>
    <w:tblPr>
      <w:tblStyleRowBandSize w:val="1"/>
      <w:tblStyleColBandSize w:val="1"/>
      <w:tblCellMar>
        <w:top w:w="15" w:type="dxa"/>
        <w:left w:w="15" w:type="dxa"/>
        <w:bottom w:w="15" w:type="dxa"/>
        <w:right w:w="15" w:type="dxa"/>
      </w:tblCellMar>
    </w:tblPr>
  </w:style>
  <w:style w:type="table" w:customStyle="1" w:styleId="a6">
    <w:basedOn w:val="TableNormal"/>
    <w:rPr>
      <w:rFonts w:ascii="Cambria" w:eastAsia="Cambria" w:hAnsi="Cambria" w:cs="Cambria"/>
    </w:rPr>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doi.org/10.1007/s10803-020-04577-2" TargetMode="External"/><Relationship Id="rId18" Type="http://schemas.openxmlformats.org/officeDocument/2006/relationships/hyperlink" Target="https://doi.org/10.1016/j.rasd.2018.07.006" TargetMode="External"/><Relationship Id="rId26" Type="http://schemas.openxmlformats.org/officeDocument/2006/relationships/hyperlink" Target="https://doi.org/https://doi.org/10.1111/j.1468-3148.2006.00342.x" TargetMode="External"/><Relationship Id="rId3" Type="http://schemas.openxmlformats.org/officeDocument/2006/relationships/styles" Target="styles.xml"/><Relationship Id="rId21" Type="http://schemas.openxmlformats.org/officeDocument/2006/relationships/hyperlink" Target="https://doi.org/10.1002/erv.2244"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33588/rn.7108.2020381" TargetMode="External"/><Relationship Id="rId17" Type="http://schemas.openxmlformats.org/officeDocument/2006/relationships/hyperlink" Target="https://doi.org/10.1186/s13104-016-1954-1" TargetMode="External"/><Relationship Id="rId25" Type="http://schemas.openxmlformats.org/officeDocument/2006/relationships/hyperlink" Target="https://doi.org/10.3390/ijerph18031062"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80/1034912X.2014.998179" TargetMode="External"/><Relationship Id="rId20" Type="http://schemas.openxmlformats.org/officeDocument/2006/relationships/hyperlink" Target="https://doi.org/10.1007/s10802-018-0402-1" TargetMode="External"/><Relationship Id="rId29" Type="http://schemas.openxmlformats.org/officeDocument/2006/relationships/hyperlink" Target="https://doi.org/10.1080/15374416.2012.6987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doi.org/10.3390/children7090128" TargetMode="External"/><Relationship Id="rId32"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hyperlink" Target="https://doi.org/https://doi.org/10.1016/j.npls.2016.01.001" TargetMode="External"/><Relationship Id="rId23" Type="http://schemas.openxmlformats.org/officeDocument/2006/relationships/hyperlink" Target="https://doi.org/10.1002/aur.2616" TargetMode="External"/><Relationship Id="rId28" Type="http://schemas.openxmlformats.org/officeDocument/2006/relationships/hyperlink" Target="https://doi.org/10.1177/13623613221082715" TargetMode="External"/><Relationship Id="rId10" Type="http://schemas.openxmlformats.org/officeDocument/2006/relationships/hyperlink" Target="mailto:umar.toseeb@york.ac.uk" TargetMode="External"/><Relationship Id="rId19" Type="http://schemas.openxmlformats.org/officeDocument/2006/relationships/hyperlink" Target="https://doi.org/10.1177/1088357609338715" TargetMode="External"/><Relationship Id="rId31" Type="http://schemas.openxmlformats.org/officeDocument/2006/relationships/hyperlink" Target="https://psycnet.apa.org/doi/10.1111/j.1468-2850.2010.01220.x" TargetMode="External"/><Relationship Id="rId4" Type="http://schemas.openxmlformats.org/officeDocument/2006/relationships/settings" Target="settings.xml"/><Relationship Id="rId9" Type="http://schemas.openxmlformats.org/officeDocument/2006/relationships/hyperlink" Target="https://orcid.org/0000-0002-7536-2722" TargetMode="External"/><Relationship Id="rId14" Type="http://schemas.openxmlformats.org/officeDocument/2006/relationships/hyperlink" Target="https://doi.org/10.1136/bmjpo-2020-000981" TargetMode="External"/><Relationship Id="rId22" Type="http://schemas.openxmlformats.org/officeDocument/2006/relationships/hyperlink" Target="https://doi.org/10.1007/s10803-014-2141-7" TargetMode="External"/><Relationship Id="rId27" Type="http://schemas.openxmlformats.org/officeDocument/2006/relationships/hyperlink" Target="https://doi.org/10.3389/fnhum.2017.00020" TargetMode="External"/><Relationship Id="rId30" Type="http://schemas.openxmlformats.org/officeDocument/2006/relationships/hyperlink" Target="https://doi.org/10.1007/s10567-011-0097-0" TargetMode="External"/><Relationship Id="rId8" Type="http://schemas.openxmlformats.org/officeDocument/2006/relationships/hyperlink" Target="https://orcid.org/0000-0003-0011-457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yJoxxhnj4MyY0sp1P+RoqemVRg==">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8559</Words>
  <Characters>48790</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Asbury</dc:creator>
  <cp:lastModifiedBy>Umar Toseeb</cp:lastModifiedBy>
  <cp:revision>2</cp:revision>
  <dcterms:created xsi:type="dcterms:W3CDTF">2021-10-01T16:45:00Z</dcterms:created>
  <dcterms:modified xsi:type="dcterms:W3CDTF">2022-02-16T21:36:00Z</dcterms:modified>
</cp:coreProperties>
</file>