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08C5" w14:textId="00603D3A" w:rsidR="00AF4C00" w:rsidRPr="00143701" w:rsidRDefault="00143701" w:rsidP="00AF4C00">
      <w:pPr>
        <w:pStyle w:val="Heading1"/>
        <w:spacing w:before="0"/>
        <w:rPr>
          <w:rFonts w:cstheme="majorHAnsi"/>
          <w:color w:val="505050"/>
          <w:sz w:val="28"/>
          <w:szCs w:val="28"/>
        </w:rPr>
      </w:pPr>
      <w:r w:rsidRPr="00143701">
        <w:rPr>
          <w:rStyle w:val="title-text"/>
          <w:rFonts w:cstheme="majorHAnsi"/>
          <w:b/>
          <w:bCs/>
          <w:color w:val="505050"/>
          <w:sz w:val="28"/>
          <w:szCs w:val="28"/>
        </w:rPr>
        <w:t xml:space="preserve">Cognitive and Behavioural Neuroscience Webinar on </w:t>
      </w:r>
      <w:r w:rsidR="00AF4C00" w:rsidRPr="00143701">
        <w:rPr>
          <w:rStyle w:val="title-text"/>
          <w:rFonts w:cstheme="majorHAnsi"/>
          <w:b/>
          <w:bCs/>
          <w:color w:val="505050"/>
          <w:sz w:val="28"/>
          <w:szCs w:val="28"/>
        </w:rPr>
        <w:t>Routine participation in sports and fitness activities among out-patients with psychotic disorders: A multi-site cross-sectional survey in England</w:t>
      </w:r>
      <w:r w:rsidRPr="00143701">
        <w:rPr>
          <w:rStyle w:val="title-text"/>
          <w:rFonts w:cstheme="majorHAnsi"/>
          <w:b/>
          <w:bCs/>
          <w:color w:val="505050"/>
          <w:sz w:val="28"/>
          <w:szCs w:val="28"/>
        </w:rPr>
        <w:t>.</w:t>
      </w:r>
    </w:p>
    <w:p w14:paraId="1AC8EB8F" w14:textId="33C97884" w:rsidR="00AF4C00" w:rsidRPr="00143701" w:rsidRDefault="00AF4C00">
      <w:pPr>
        <w:rPr>
          <w:rFonts w:asciiTheme="majorHAnsi" w:hAnsiTheme="majorHAnsi" w:cstheme="majorHAnsi"/>
          <w:sz w:val="24"/>
          <w:szCs w:val="24"/>
        </w:rPr>
      </w:pPr>
    </w:p>
    <w:bookmarkStart w:id="0" w:name="bau1"/>
    <w:p w14:paraId="7F15B096"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0C7DBB"/>
          <w:sz w:val="24"/>
          <w:szCs w:val="24"/>
          <w:lang w:eastAsia="en-GB"/>
        </w:rPr>
        <w:fldChar w:fldCharType="begin"/>
      </w:r>
      <w:r w:rsidRPr="00143701">
        <w:rPr>
          <w:rFonts w:asciiTheme="majorHAnsi" w:eastAsia="Times New Roman" w:hAnsiTheme="majorHAnsi" w:cstheme="majorHAnsi"/>
          <w:color w:val="0C7DBB"/>
          <w:sz w:val="24"/>
          <w:szCs w:val="24"/>
          <w:lang w:eastAsia="en-GB"/>
        </w:rPr>
        <w:instrText xml:space="preserve"> HYPERLINK "https://www.sciencedirect.com/science/article/pii/S1755296621000223?via%3Dihub" \l "!" </w:instrText>
      </w:r>
      <w:r w:rsidRPr="00143701">
        <w:rPr>
          <w:rFonts w:asciiTheme="majorHAnsi" w:eastAsia="Times New Roman" w:hAnsiTheme="majorHAnsi" w:cstheme="majorHAnsi"/>
          <w:color w:val="0C7DBB"/>
          <w:sz w:val="24"/>
          <w:szCs w:val="24"/>
          <w:lang w:eastAsia="en-GB"/>
        </w:rPr>
        <w:fldChar w:fldCharType="separate"/>
      </w:r>
      <w:r w:rsidRPr="00143701">
        <w:rPr>
          <w:rFonts w:asciiTheme="majorHAnsi" w:eastAsia="Times New Roman" w:hAnsiTheme="majorHAnsi" w:cstheme="majorHAnsi"/>
          <w:color w:val="0C7DBB"/>
          <w:sz w:val="24"/>
          <w:szCs w:val="24"/>
          <w:lang w:eastAsia="en-GB"/>
        </w:rPr>
        <w:t>Jade Donaghy</w:t>
      </w:r>
      <w:r w:rsidRPr="00143701">
        <w:rPr>
          <w:rFonts w:asciiTheme="majorHAnsi" w:eastAsia="Times New Roman" w:hAnsiTheme="majorHAnsi" w:cstheme="majorHAnsi"/>
          <w:color w:val="0C7DBB"/>
          <w:sz w:val="24"/>
          <w:szCs w:val="24"/>
          <w:vertAlign w:val="superscript"/>
          <w:lang w:eastAsia="en-GB"/>
        </w:rPr>
        <w:t>ab1</w:t>
      </w:r>
      <w:r w:rsidRPr="00143701">
        <w:rPr>
          <w:rFonts w:asciiTheme="majorHAnsi" w:eastAsia="Times New Roman" w:hAnsiTheme="majorHAnsi" w:cstheme="majorHAnsi"/>
          <w:sz w:val="24"/>
          <w:szCs w:val="24"/>
          <w:lang w:eastAsia="en-GB"/>
        </w:rPr>
        <w:fldChar w:fldCharType="end"/>
      </w:r>
      <w:bookmarkStart w:id="1" w:name="bau2"/>
      <w:bookmarkEnd w:id="0"/>
    </w:p>
    <w:p w14:paraId="7E245975"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hyperlink r:id="rId5" w:anchor="!" w:history="1">
        <w:r w:rsidRPr="00143701">
          <w:rPr>
            <w:rFonts w:asciiTheme="majorHAnsi" w:eastAsia="Times New Roman" w:hAnsiTheme="majorHAnsi" w:cstheme="majorHAnsi"/>
            <w:color w:val="0C7DBB"/>
            <w:sz w:val="24"/>
            <w:szCs w:val="24"/>
            <w:lang w:eastAsia="en-GB"/>
          </w:rPr>
          <w:t>Kurt Buhagiar</w:t>
        </w:r>
        <w:r w:rsidRPr="00143701">
          <w:rPr>
            <w:rFonts w:asciiTheme="majorHAnsi" w:eastAsia="Times New Roman" w:hAnsiTheme="majorHAnsi" w:cstheme="majorHAnsi"/>
            <w:color w:val="0C7DBB"/>
            <w:sz w:val="24"/>
            <w:szCs w:val="24"/>
            <w:vertAlign w:val="superscript"/>
            <w:lang w:eastAsia="en-GB"/>
          </w:rPr>
          <w:t>ab1</w:t>
        </w:r>
      </w:hyperlink>
      <w:bookmarkStart w:id="2" w:name="bau3"/>
      <w:bookmarkEnd w:id="1"/>
    </w:p>
    <w:p w14:paraId="5388DE28"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hyperlink r:id="rId6" w:anchor="!" w:history="1">
        <w:r w:rsidRPr="00143701">
          <w:rPr>
            <w:rFonts w:asciiTheme="majorHAnsi" w:eastAsia="Times New Roman" w:hAnsiTheme="majorHAnsi" w:cstheme="majorHAnsi"/>
            <w:color w:val="0C7DBB"/>
            <w:sz w:val="24"/>
            <w:szCs w:val="24"/>
            <w:lang w:eastAsia="en-GB"/>
          </w:rPr>
          <w:t xml:space="preserve">Penny </w:t>
        </w:r>
        <w:proofErr w:type="spellStart"/>
        <w:r w:rsidRPr="00143701">
          <w:rPr>
            <w:rFonts w:asciiTheme="majorHAnsi" w:eastAsia="Times New Roman" w:hAnsiTheme="majorHAnsi" w:cstheme="majorHAnsi"/>
            <w:color w:val="0C7DBB"/>
            <w:sz w:val="24"/>
            <w:szCs w:val="24"/>
            <w:lang w:eastAsia="en-GB"/>
          </w:rPr>
          <w:t>Xanthopoulou</w:t>
        </w:r>
        <w:r w:rsidRPr="00143701">
          <w:rPr>
            <w:rFonts w:asciiTheme="majorHAnsi" w:eastAsia="Times New Roman" w:hAnsiTheme="majorHAnsi" w:cstheme="majorHAnsi"/>
            <w:color w:val="0C7DBB"/>
            <w:sz w:val="24"/>
            <w:szCs w:val="24"/>
            <w:vertAlign w:val="superscript"/>
            <w:lang w:eastAsia="en-GB"/>
          </w:rPr>
          <w:t>c</w:t>
        </w:r>
        <w:proofErr w:type="spellEnd"/>
      </w:hyperlink>
      <w:bookmarkStart w:id="3" w:name="bau4"/>
      <w:bookmarkEnd w:id="2"/>
    </w:p>
    <w:p w14:paraId="44BF79BA"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hyperlink r:id="rId7" w:anchor="!" w:history="1">
        <w:r w:rsidRPr="00143701">
          <w:rPr>
            <w:rFonts w:asciiTheme="majorHAnsi" w:eastAsia="Times New Roman" w:hAnsiTheme="majorHAnsi" w:cstheme="majorHAnsi"/>
            <w:color w:val="0C7DBB"/>
            <w:sz w:val="24"/>
            <w:szCs w:val="24"/>
            <w:lang w:eastAsia="en-GB"/>
          </w:rPr>
          <w:t xml:space="preserve">Kayonda </w:t>
        </w:r>
        <w:proofErr w:type="spellStart"/>
        <w:r w:rsidRPr="00143701">
          <w:rPr>
            <w:rFonts w:asciiTheme="majorHAnsi" w:eastAsia="Times New Roman" w:hAnsiTheme="majorHAnsi" w:cstheme="majorHAnsi"/>
            <w:color w:val="0C7DBB"/>
            <w:sz w:val="24"/>
            <w:szCs w:val="24"/>
            <w:lang w:eastAsia="en-GB"/>
          </w:rPr>
          <w:t>Ngamaba</w:t>
        </w:r>
        <w:r w:rsidRPr="00143701">
          <w:rPr>
            <w:rFonts w:asciiTheme="majorHAnsi" w:eastAsia="Times New Roman" w:hAnsiTheme="majorHAnsi" w:cstheme="majorHAnsi"/>
            <w:color w:val="0C7DBB"/>
            <w:sz w:val="24"/>
            <w:szCs w:val="24"/>
            <w:vertAlign w:val="superscript"/>
            <w:lang w:eastAsia="en-GB"/>
          </w:rPr>
          <w:t>d</w:t>
        </w:r>
        <w:proofErr w:type="spellEnd"/>
      </w:hyperlink>
      <w:bookmarkStart w:id="4" w:name="bau5"/>
      <w:bookmarkEnd w:id="3"/>
    </w:p>
    <w:p w14:paraId="00AD9C35"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hyperlink r:id="rId8" w:anchor="!" w:history="1">
        <w:r w:rsidRPr="00143701">
          <w:rPr>
            <w:rFonts w:asciiTheme="majorHAnsi" w:eastAsia="Times New Roman" w:hAnsiTheme="majorHAnsi" w:cstheme="majorHAnsi"/>
            <w:color w:val="0C7DBB"/>
            <w:sz w:val="24"/>
            <w:szCs w:val="24"/>
            <w:lang w:eastAsia="en-GB"/>
          </w:rPr>
          <w:t xml:space="preserve">Stefan </w:t>
        </w:r>
        <w:proofErr w:type="spellStart"/>
        <w:r w:rsidRPr="00143701">
          <w:rPr>
            <w:rFonts w:asciiTheme="majorHAnsi" w:eastAsia="Times New Roman" w:hAnsiTheme="majorHAnsi" w:cstheme="majorHAnsi"/>
            <w:color w:val="0C7DBB"/>
            <w:sz w:val="24"/>
            <w:szCs w:val="24"/>
            <w:lang w:eastAsia="en-GB"/>
          </w:rPr>
          <w:t>Priebe</w:t>
        </w:r>
        <w:r w:rsidRPr="00143701">
          <w:rPr>
            <w:rFonts w:asciiTheme="majorHAnsi" w:eastAsia="Times New Roman" w:hAnsiTheme="majorHAnsi" w:cstheme="majorHAnsi"/>
            <w:color w:val="0C7DBB"/>
            <w:sz w:val="24"/>
            <w:szCs w:val="24"/>
            <w:vertAlign w:val="superscript"/>
            <w:lang w:eastAsia="en-GB"/>
          </w:rPr>
          <w:t>a</w:t>
        </w:r>
        <w:proofErr w:type="spellEnd"/>
      </w:hyperlink>
      <w:bookmarkStart w:id="5" w:name="bau6"/>
      <w:bookmarkEnd w:id="4"/>
    </w:p>
    <w:p w14:paraId="1F4E433F" w14:textId="77777777" w:rsidR="007913AA" w:rsidRPr="00143701" w:rsidRDefault="007913AA" w:rsidP="007913AA">
      <w:pPr>
        <w:pStyle w:val="ListParagraph"/>
        <w:numPr>
          <w:ilvl w:val="0"/>
          <w:numId w:val="1"/>
        </w:numPr>
        <w:spacing w:before="330" w:after="0" w:line="240" w:lineRule="auto"/>
        <w:textAlignment w:val="top"/>
        <w:rPr>
          <w:rFonts w:asciiTheme="majorHAnsi" w:eastAsia="Times New Roman" w:hAnsiTheme="majorHAnsi" w:cstheme="majorHAnsi"/>
          <w:color w:val="737373"/>
          <w:sz w:val="24"/>
          <w:szCs w:val="24"/>
          <w:lang w:eastAsia="en-GB"/>
        </w:rPr>
      </w:pPr>
      <w:hyperlink r:id="rId9" w:anchor="!" w:history="1">
        <w:r w:rsidRPr="00143701">
          <w:rPr>
            <w:rFonts w:asciiTheme="majorHAnsi" w:eastAsia="Times New Roman" w:hAnsiTheme="majorHAnsi" w:cstheme="majorHAnsi"/>
            <w:color w:val="0C7DBB"/>
            <w:sz w:val="24"/>
            <w:szCs w:val="24"/>
            <w:lang w:eastAsia="en-GB"/>
          </w:rPr>
          <w:t xml:space="preserve">Domenico </w:t>
        </w:r>
        <w:proofErr w:type="spellStart"/>
        <w:r w:rsidRPr="00143701">
          <w:rPr>
            <w:rFonts w:asciiTheme="majorHAnsi" w:eastAsia="Times New Roman" w:hAnsiTheme="majorHAnsi" w:cstheme="majorHAnsi"/>
            <w:color w:val="0C7DBB"/>
            <w:sz w:val="24"/>
            <w:szCs w:val="24"/>
            <w:lang w:eastAsia="en-GB"/>
          </w:rPr>
          <w:t>Giacco</w:t>
        </w:r>
        <w:r w:rsidRPr="00143701">
          <w:rPr>
            <w:rFonts w:asciiTheme="majorHAnsi" w:eastAsia="Times New Roman" w:hAnsiTheme="majorHAnsi" w:cstheme="majorHAnsi"/>
            <w:color w:val="0C7DBB"/>
            <w:sz w:val="24"/>
            <w:szCs w:val="24"/>
            <w:vertAlign w:val="superscript"/>
            <w:lang w:eastAsia="en-GB"/>
          </w:rPr>
          <w:t>ae</w:t>
        </w:r>
        <w:proofErr w:type="spellEnd"/>
      </w:hyperlink>
      <w:bookmarkEnd w:id="5"/>
    </w:p>
    <w:p w14:paraId="18767EE3" w14:textId="77777777" w:rsidR="007913AA" w:rsidRPr="00143701" w:rsidRDefault="007913AA" w:rsidP="007913AA">
      <w:pPr>
        <w:pStyle w:val="ListParagraph"/>
        <w:numPr>
          <w:ilvl w:val="0"/>
          <w:numId w:val="1"/>
        </w:numPr>
        <w:spacing w:after="0" w:line="240" w:lineRule="auto"/>
        <w:jc w:val="right"/>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vertAlign w:val="superscript"/>
          <w:lang w:eastAsia="en-GB"/>
        </w:rPr>
        <w:t>a</w:t>
      </w:r>
    </w:p>
    <w:p w14:paraId="14EE95E2" w14:textId="77777777" w:rsidR="007913AA" w:rsidRPr="00143701" w:rsidRDefault="007913AA" w:rsidP="007913AA">
      <w:pPr>
        <w:pStyle w:val="ListParagraph"/>
        <w:numPr>
          <w:ilvl w:val="0"/>
          <w:numId w:val="1"/>
        </w:numPr>
        <w:spacing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lang w:eastAsia="en-GB"/>
        </w:rPr>
        <w:t>Unit for Social &amp; Community Psychiatry, Queen Mary University of London, UK</w:t>
      </w:r>
    </w:p>
    <w:p w14:paraId="1FF8BEE8" w14:textId="77777777" w:rsidR="007913AA" w:rsidRPr="00143701" w:rsidRDefault="007913AA" w:rsidP="007913AA">
      <w:pPr>
        <w:pStyle w:val="ListParagraph"/>
        <w:numPr>
          <w:ilvl w:val="0"/>
          <w:numId w:val="1"/>
        </w:numPr>
        <w:spacing w:after="0" w:line="240" w:lineRule="auto"/>
        <w:jc w:val="right"/>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vertAlign w:val="superscript"/>
          <w:lang w:eastAsia="en-GB"/>
        </w:rPr>
        <w:t>b</w:t>
      </w:r>
    </w:p>
    <w:p w14:paraId="24C0842A" w14:textId="77777777" w:rsidR="007913AA" w:rsidRPr="00143701" w:rsidRDefault="007913AA" w:rsidP="007913AA">
      <w:pPr>
        <w:pStyle w:val="ListParagraph"/>
        <w:numPr>
          <w:ilvl w:val="0"/>
          <w:numId w:val="1"/>
        </w:numPr>
        <w:spacing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lang w:eastAsia="en-GB"/>
        </w:rPr>
        <w:t>Department of Research, Innovation and Medical Education, East London NHS Foundation Trust, London UK</w:t>
      </w:r>
    </w:p>
    <w:p w14:paraId="089B1218" w14:textId="77777777" w:rsidR="007913AA" w:rsidRPr="00143701" w:rsidRDefault="007913AA" w:rsidP="007913AA">
      <w:pPr>
        <w:pStyle w:val="ListParagraph"/>
        <w:numPr>
          <w:ilvl w:val="0"/>
          <w:numId w:val="1"/>
        </w:numPr>
        <w:spacing w:after="0" w:line="240" w:lineRule="auto"/>
        <w:jc w:val="right"/>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vertAlign w:val="superscript"/>
          <w:lang w:eastAsia="en-GB"/>
        </w:rPr>
        <w:t>c</w:t>
      </w:r>
    </w:p>
    <w:p w14:paraId="4011E1D9" w14:textId="77777777" w:rsidR="007913AA" w:rsidRPr="00143701" w:rsidRDefault="007913AA" w:rsidP="007913AA">
      <w:pPr>
        <w:pStyle w:val="ListParagraph"/>
        <w:numPr>
          <w:ilvl w:val="0"/>
          <w:numId w:val="1"/>
        </w:numPr>
        <w:spacing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lang w:eastAsia="en-GB"/>
        </w:rPr>
        <w:t>Mental Health Research Group, University of Exeter, Exeter, UK</w:t>
      </w:r>
    </w:p>
    <w:p w14:paraId="091209BB" w14:textId="77777777" w:rsidR="007913AA" w:rsidRPr="00143701" w:rsidRDefault="007913AA" w:rsidP="007913AA">
      <w:pPr>
        <w:pStyle w:val="ListParagraph"/>
        <w:numPr>
          <w:ilvl w:val="0"/>
          <w:numId w:val="1"/>
        </w:numPr>
        <w:spacing w:after="0" w:line="240" w:lineRule="auto"/>
        <w:jc w:val="right"/>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vertAlign w:val="superscript"/>
          <w:lang w:eastAsia="en-GB"/>
        </w:rPr>
        <w:t>d</w:t>
      </w:r>
    </w:p>
    <w:p w14:paraId="140BF618" w14:textId="77777777" w:rsidR="007913AA" w:rsidRPr="00143701" w:rsidRDefault="007913AA" w:rsidP="007913AA">
      <w:pPr>
        <w:pStyle w:val="ListParagraph"/>
        <w:numPr>
          <w:ilvl w:val="0"/>
          <w:numId w:val="1"/>
        </w:numPr>
        <w:spacing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lang w:eastAsia="en-GB"/>
        </w:rPr>
        <w:t>Department of Social Policy and Social Work, University of York, York, UK</w:t>
      </w:r>
    </w:p>
    <w:p w14:paraId="29ECC22C" w14:textId="77777777" w:rsidR="007913AA" w:rsidRPr="00143701" w:rsidRDefault="007913AA" w:rsidP="007913AA">
      <w:pPr>
        <w:pStyle w:val="ListParagraph"/>
        <w:numPr>
          <w:ilvl w:val="0"/>
          <w:numId w:val="1"/>
        </w:numPr>
        <w:spacing w:after="0" w:line="240" w:lineRule="auto"/>
        <w:jc w:val="right"/>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vertAlign w:val="superscript"/>
          <w:lang w:eastAsia="en-GB"/>
        </w:rPr>
        <w:t>e</w:t>
      </w:r>
    </w:p>
    <w:p w14:paraId="7AE1E873" w14:textId="77777777" w:rsidR="007913AA" w:rsidRPr="00143701" w:rsidRDefault="007913AA" w:rsidP="007913AA">
      <w:pPr>
        <w:pStyle w:val="ListParagraph"/>
        <w:numPr>
          <w:ilvl w:val="0"/>
          <w:numId w:val="1"/>
        </w:numPr>
        <w:spacing w:after="0" w:line="240" w:lineRule="auto"/>
        <w:textAlignment w:val="top"/>
        <w:rPr>
          <w:rFonts w:asciiTheme="majorHAnsi" w:eastAsia="Times New Roman" w:hAnsiTheme="majorHAnsi" w:cstheme="majorHAnsi"/>
          <w:color w:val="737373"/>
          <w:sz w:val="24"/>
          <w:szCs w:val="24"/>
          <w:lang w:eastAsia="en-GB"/>
        </w:rPr>
      </w:pPr>
      <w:r w:rsidRPr="00143701">
        <w:rPr>
          <w:rFonts w:asciiTheme="majorHAnsi" w:eastAsia="Times New Roman" w:hAnsiTheme="majorHAnsi" w:cstheme="majorHAnsi"/>
          <w:color w:val="737373"/>
          <w:sz w:val="24"/>
          <w:szCs w:val="24"/>
          <w:lang w:eastAsia="en-GB"/>
        </w:rPr>
        <w:t>Warwick Medical School, University of Warwick, Coventry, UK</w:t>
      </w:r>
    </w:p>
    <w:p w14:paraId="479F7525" w14:textId="77777777" w:rsidR="007913AA" w:rsidRPr="00143701" w:rsidRDefault="007913AA" w:rsidP="007913AA">
      <w:pPr>
        <w:rPr>
          <w:rFonts w:asciiTheme="majorHAnsi" w:hAnsiTheme="majorHAnsi" w:cstheme="majorHAnsi"/>
          <w:sz w:val="24"/>
          <w:szCs w:val="24"/>
        </w:rPr>
      </w:pPr>
    </w:p>
    <w:p w14:paraId="5321311A" w14:textId="77777777" w:rsidR="00AF4C00" w:rsidRPr="00143701" w:rsidRDefault="00AF4C00">
      <w:pPr>
        <w:rPr>
          <w:rFonts w:asciiTheme="majorHAnsi" w:hAnsiTheme="majorHAnsi" w:cstheme="majorHAnsi"/>
          <w:sz w:val="24"/>
          <w:szCs w:val="24"/>
        </w:rPr>
      </w:pPr>
    </w:p>
    <w:p w14:paraId="22B40DA9" w14:textId="316E1B9B" w:rsidR="00AF4C00" w:rsidRPr="00143701" w:rsidRDefault="00AF4C00" w:rsidP="00AF4C00">
      <w:pPr>
        <w:spacing w:after="120" w:line="240" w:lineRule="auto"/>
        <w:outlineLvl w:val="1"/>
        <w:rPr>
          <w:rFonts w:asciiTheme="majorHAnsi" w:eastAsia="Times New Roman" w:hAnsiTheme="majorHAnsi" w:cstheme="majorHAnsi"/>
          <w:color w:val="505050"/>
          <w:sz w:val="24"/>
          <w:szCs w:val="24"/>
          <w:lang w:eastAsia="en-GB"/>
        </w:rPr>
      </w:pPr>
      <w:r w:rsidRPr="00143701">
        <w:rPr>
          <w:rFonts w:asciiTheme="majorHAnsi" w:eastAsia="Times New Roman" w:hAnsiTheme="majorHAnsi" w:cstheme="majorHAnsi"/>
          <w:color w:val="505050"/>
          <w:sz w:val="24"/>
          <w:szCs w:val="24"/>
          <w:lang w:eastAsia="en-GB"/>
        </w:rPr>
        <w:t>Highlights</w:t>
      </w:r>
    </w:p>
    <w:p w14:paraId="707CD479" w14:textId="77777777" w:rsidR="00AF4C00" w:rsidRPr="00143701" w:rsidRDefault="00AF4C00" w:rsidP="00AF4C00">
      <w:pPr>
        <w:pStyle w:val="ListParagraph"/>
        <w:numPr>
          <w:ilvl w:val="1"/>
          <w:numId w:val="1"/>
        </w:numPr>
        <w:spacing w:after="240" w:line="240" w:lineRule="auto"/>
        <w:rPr>
          <w:rFonts w:asciiTheme="majorHAnsi" w:eastAsia="Times New Roman" w:hAnsiTheme="majorHAnsi" w:cstheme="majorHAnsi"/>
          <w:color w:val="2E2E2E"/>
          <w:sz w:val="24"/>
          <w:szCs w:val="24"/>
          <w:lang w:eastAsia="en-GB"/>
        </w:rPr>
      </w:pPr>
      <w:r w:rsidRPr="00143701">
        <w:rPr>
          <w:rFonts w:asciiTheme="majorHAnsi" w:eastAsia="Times New Roman" w:hAnsiTheme="majorHAnsi" w:cstheme="majorHAnsi"/>
          <w:color w:val="2E2E2E"/>
          <w:sz w:val="24"/>
          <w:szCs w:val="24"/>
          <w:lang w:eastAsia="en-GB"/>
        </w:rPr>
        <w:t>Walking or hiking was the most popular sports/fitness activity.</w:t>
      </w:r>
    </w:p>
    <w:p w14:paraId="397395F9" w14:textId="77777777" w:rsidR="00AF4C00" w:rsidRPr="00143701" w:rsidRDefault="00AF4C00" w:rsidP="00AF4C00">
      <w:pPr>
        <w:pStyle w:val="ListParagraph"/>
        <w:numPr>
          <w:ilvl w:val="1"/>
          <w:numId w:val="1"/>
        </w:numPr>
        <w:spacing w:after="240" w:line="240" w:lineRule="auto"/>
        <w:rPr>
          <w:rFonts w:asciiTheme="majorHAnsi" w:eastAsia="Times New Roman" w:hAnsiTheme="majorHAnsi" w:cstheme="majorHAnsi"/>
          <w:color w:val="2E2E2E"/>
          <w:sz w:val="24"/>
          <w:szCs w:val="24"/>
          <w:lang w:eastAsia="en-GB"/>
        </w:rPr>
      </w:pPr>
      <w:r w:rsidRPr="00143701">
        <w:rPr>
          <w:rFonts w:asciiTheme="majorHAnsi" w:eastAsia="Times New Roman" w:hAnsiTheme="majorHAnsi" w:cstheme="majorHAnsi"/>
          <w:color w:val="2E2E2E"/>
          <w:sz w:val="24"/>
          <w:szCs w:val="24"/>
          <w:lang w:eastAsia="en-GB"/>
        </w:rPr>
        <w:t>A sub-group of individuals participate less frequently in sports/fitness activities.</w:t>
      </w:r>
    </w:p>
    <w:p w14:paraId="07D050FF" w14:textId="06CB26BF" w:rsidR="00AF4C00" w:rsidRPr="00143701" w:rsidRDefault="00AF4C00" w:rsidP="00285FE5">
      <w:pPr>
        <w:pStyle w:val="ListParagraph"/>
        <w:numPr>
          <w:ilvl w:val="1"/>
          <w:numId w:val="1"/>
        </w:numPr>
        <w:spacing w:after="240" w:line="240" w:lineRule="auto"/>
        <w:ind w:right="30"/>
        <w:rPr>
          <w:rFonts w:asciiTheme="majorHAnsi" w:eastAsia="Times New Roman" w:hAnsiTheme="majorHAnsi" w:cstheme="majorHAnsi"/>
          <w:color w:val="2E2E2E"/>
          <w:sz w:val="24"/>
          <w:szCs w:val="24"/>
          <w:lang w:eastAsia="en-GB"/>
        </w:rPr>
      </w:pPr>
      <w:r w:rsidRPr="00143701">
        <w:rPr>
          <w:rFonts w:asciiTheme="majorHAnsi" w:eastAsia="Times New Roman" w:hAnsiTheme="majorHAnsi" w:cstheme="majorHAnsi"/>
          <w:color w:val="2E2E2E"/>
          <w:sz w:val="24"/>
          <w:szCs w:val="24"/>
          <w:lang w:eastAsia="en-GB"/>
        </w:rPr>
        <w:t>One-fifth met the WHO recommendation for moderate weekly physical activity.</w:t>
      </w:r>
    </w:p>
    <w:p w14:paraId="27F98712" w14:textId="0FC55557" w:rsidR="00AF4C00" w:rsidRDefault="00AF4C00" w:rsidP="00E03D15">
      <w:pPr>
        <w:pStyle w:val="ListParagraph"/>
        <w:numPr>
          <w:ilvl w:val="1"/>
          <w:numId w:val="1"/>
        </w:numPr>
        <w:spacing w:after="240" w:line="240" w:lineRule="auto"/>
        <w:ind w:right="30"/>
        <w:rPr>
          <w:rFonts w:asciiTheme="majorHAnsi" w:eastAsia="Times New Roman" w:hAnsiTheme="majorHAnsi" w:cstheme="majorHAnsi"/>
          <w:color w:val="2E2E2E"/>
          <w:sz w:val="24"/>
          <w:szCs w:val="24"/>
          <w:lang w:eastAsia="en-GB"/>
        </w:rPr>
      </w:pPr>
      <w:r w:rsidRPr="00143701">
        <w:rPr>
          <w:rFonts w:asciiTheme="majorHAnsi" w:eastAsia="Times New Roman" w:hAnsiTheme="majorHAnsi" w:cstheme="majorHAnsi"/>
          <w:color w:val="2E2E2E"/>
          <w:sz w:val="24"/>
          <w:szCs w:val="24"/>
          <w:lang w:eastAsia="en-GB"/>
        </w:rPr>
        <w:t>People with psychotic disorders tend to engage in solitary sports/fitness activities.</w:t>
      </w:r>
    </w:p>
    <w:p w14:paraId="60738184" w14:textId="77777777" w:rsidR="00AE4747" w:rsidRPr="00143701" w:rsidRDefault="00AE4747" w:rsidP="00AE4747">
      <w:pPr>
        <w:pStyle w:val="Heading3"/>
        <w:spacing w:before="360" w:after="120"/>
        <w:rPr>
          <w:rFonts w:cstheme="majorHAnsi"/>
          <w:color w:val="505050"/>
        </w:rPr>
      </w:pPr>
      <w:bookmarkStart w:id="6" w:name="_Hlk88468615"/>
      <w:r w:rsidRPr="00143701">
        <w:rPr>
          <w:rFonts w:cstheme="majorHAnsi"/>
          <w:b/>
          <w:bCs/>
          <w:color w:val="505050"/>
        </w:rPr>
        <w:t>Background</w:t>
      </w:r>
    </w:p>
    <w:p w14:paraId="3193099C" w14:textId="68348910" w:rsidR="00DC2771" w:rsidRPr="00143701" w:rsidRDefault="00DC2771" w:rsidP="00AE4747">
      <w:pPr>
        <w:pStyle w:val="NormalWeb"/>
        <w:spacing w:before="0" w:beforeAutospacing="0" w:after="0" w:afterAutospacing="0"/>
        <w:rPr>
          <w:rFonts w:asciiTheme="majorHAnsi" w:hAnsiTheme="majorHAnsi" w:cstheme="majorHAnsi"/>
        </w:rPr>
      </w:pPr>
      <w:r w:rsidRPr="00143701">
        <w:rPr>
          <w:rFonts w:asciiTheme="majorHAnsi" w:hAnsiTheme="majorHAnsi" w:cstheme="majorHAnsi"/>
        </w:rPr>
        <w:t xml:space="preserve">People with mental health problems are more likely to have smaller social networks and </w:t>
      </w:r>
      <w:r w:rsidR="0028367D" w:rsidRPr="00143701">
        <w:rPr>
          <w:rFonts w:asciiTheme="majorHAnsi" w:hAnsiTheme="majorHAnsi" w:cstheme="majorHAnsi"/>
        </w:rPr>
        <w:t xml:space="preserve">less fitness activities </w:t>
      </w:r>
      <w:r w:rsidRPr="00143701">
        <w:rPr>
          <w:rFonts w:asciiTheme="majorHAnsi" w:hAnsiTheme="majorHAnsi" w:cstheme="majorHAnsi"/>
        </w:rPr>
        <w:t xml:space="preserve">compared to the general population. </w:t>
      </w:r>
    </w:p>
    <w:p w14:paraId="1E4D6B92" w14:textId="03E91C4C" w:rsidR="00DC2771" w:rsidRPr="00143701" w:rsidRDefault="00DC2771" w:rsidP="00AE4747">
      <w:pPr>
        <w:pStyle w:val="NormalWeb"/>
        <w:spacing w:before="0" w:beforeAutospacing="0" w:after="0" w:afterAutospacing="0"/>
        <w:rPr>
          <w:rFonts w:asciiTheme="majorHAnsi" w:hAnsiTheme="majorHAnsi" w:cstheme="majorHAnsi"/>
        </w:rPr>
      </w:pPr>
      <w:r w:rsidRPr="00143701">
        <w:rPr>
          <w:rFonts w:asciiTheme="majorHAnsi" w:hAnsiTheme="majorHAnsi" w:cstheme="majorHAnsi"/>
        </w:rPr>
        <w:t xml:space="preserve">Positive social connections </w:t>
      </w:r>
      <w:r w:rsidR="0028367D" w:rsidRPr="00143701">
        <w:rPr>
          <w:rFonts w:asciiTheme="majorHAnsi" w:hAnsiTheme="majorHAnsi" w:cstheme="majorHAnsi"/>
        </w:rPr>
        <w:t xml:space="preserve">and fitness activities </w:t>
      </w:r>
      <w:r w:rsidRPr="00143701">
        <w:rPr>
          <w:rFonts w:asciiTheme="majorHAnsi" w:hAnsiTheme="majorHAnsi" w:cstheme="majorHAnsi"/>
        </w:rPr>
        <w:t xml:space="preserve">are important for our physical and mental wellbeing. They can provide </w:t>
      </w:r>
      <w:r w:rsidR="0028367D" w:rsidRPr="00143701">
        <w:rPr>
          <w:rFonts w:asciiTheme="majorHAnsi" w:hAnsiTheme="majorHAnsi" w:cstheme="majorHAnsi"/>
        </w:rPr>
        <w:t xml:space="preserve">physical fitness, </w:t>
      </w:r>
      <w:r w:rsidRPr="00143701">
        <w:rPr>
          <w:rFonts w:asciiTheme="majorHAnsi" w:hAnsiTheme="majorHAnsi" w:cstheme="majorHAnsi"/>
        </w:rPr>
        <w:t xml:space="preserve">emotional support, practical assistance, </w:t>
      </w:r>
      <w:r w:rsidR="001D2995" w:rsidRPr="00143701">
        <w:rPr>
          <w:rFonts w:asciiTheme="majorHAnsi" w:hAnsiTheme="majorHAnsi" w:cstheme="majorHAnsi"/>
        </w:rPr>
        <w:t>information,</w:t>
      </w:r>
      <w:r w:rsidRPr="00143701">
        <w:rPr>
          <w:rFonts w:asciiTheme="majorHAnsi" w:hAnsiTheme="majorHAnsi" w:cstheme="majorHAnsi"/>
        </w:rPr>
        <w:t xml:space="preserve"> and a sense of belonging.</w:t>
      </w:r>
    </w:p>
    <w:p w14:paraId="06A44095" w14:textId="77777777" w:rsidR="0028367D" w:rsidRPr="00143701" w:rsidRDefault="0028367D" w:rsidP="00AE4747">
      <w:pPr>
        <w:pStyle w:val="NormalWeb"/>
        <w:spacing w:before="0" w:beforeAutospacing="0" w:after="0" w:afterAutospacing="0"/>
        <w:rPr>
          <w:rFonts w:asciiTheme="majorHAnsi" w:hAnsiTheme="majorHAnsi" w:cstheme="majorHAnsi"/>
        </w:rPr>
      </w:pPr>
    </w:p>
    <w:p w14:paraId="6E2B646A" w14:textId="60D3A2A4" w:rsidR="00DC2771" w:rsidRPr="00143701" w:rsidRDefault="00143701" w:rsidP="00AE4747">
      <w:pPr>
        <w:pStyle w:val="NormalWeb"/>
        <w:spacing w:before="0" w:beforeAutospacing="0" w:after="0" w:afterAutospacing="0"/>
        <w:rPr>
          <w:rStyle w:val="title-text"/>
          <w:rFonts w:asciiTheme="majorHAnsi" w:hAnsiTheme="majorHAnsi" w:cstheme="majorHAnsi"/>
          <w:b/>
          <w:bCs/>
          <w:color w:val="505050"/>
        </w:rPr>
      </w:pPr>
      <w:r>
        <w:rPr>
          <w:rStyle w:val="title-text"/>
          <w:rFonts w:asciiTheme="majorHAnsi" w:hAnsiTheme="majorHAnsi" w:cstheme="majorHAnsi"/>
          <w:b/>
          <w:bCs/>
          <w:color w:val="505050"/>
        </w:rPr>
        <w:t>S</w:t>
      </w:r>
      <w:r w:rsidR="00DC2771" w:rsidRPr="00143701">
        <w:rPr>
          <w:rStyle w:val="title-text"/>
          <w:rFonts w:asciiTheme="majorHAnsi" w:hAnsiTheme="majorHAnsi" w:cstheme="majorHAnsi"/>
          <w:b/>
          <w:bCs/>
          <w:color w:val="505050"/>
        </w:rPr>
        <w:t xml:space="preserve">ports and fitness activities </w:t>
      </w:r>
      <w:r w:rsidR="0028367D" w:rsidRPr="00143701">
        <w:rPr>
          <w:rStyle w:val="title-text"/>
          <w:rFonts w:asciiTheme="majorHAnsi" w:hAnsiTheme="majorHAnsi" w:cstheme="majorHAnsi"/>
          <w:b/>
          <w:bCs/>
          <w:color w:val="505050"/>
        </w:rPr>
        <w:t>among psychotic patients</w:t>
      </w:r>
    </w:p>
    <w:p w14:paraId="645194A7" w14:textId="77777777" w:rsidR="0028367D" w:rsidRPr="00143701" w:rsidRDefault="0028367D" w:rsidP="00AE4747">
      <w:pPr>
        <w:pStyle w:val="NormalWeb"/>
        <w:spacing w:before="0" w:beforeAutospacing="0" w:after="0" w:afterAutospacing="0"/>
        <w:rPr>
          <w:rFonts w:asciiTheme="majorHAnsi" w:hAnsiTheme="majorHAnsi" w:cstheme="majorHAnsi"/>
        </w:rPr>
      </w:pPr>
    </w:p>
    <w:p w14:paraId="01C45D48" w14:textId="653B45E1" w:rsidR="0028367D" w:rsidRPr="00143701" w:rsidRDefault="00AE4747"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color w:val="2E2E2E"/>
        </w:rPr>
        <w:lastRenderedPageBreak/>
        <w:t>Sedentary lifestyle is a significant contributor to poor outcomes in people with </w:t>
      </w:r>
      <w:hyperlink r:id="rId10" w:tooltip="Learn more about psychotic disorders from ScienceDirect's AI-generated Topic Pages" w:history="1">
        <w:r w:rsidRPr="00143701">
          <w:rPr>
            <w:rStyle w:val="Hyperlink"/>
            <w:rFonts w:asciiTheme="majorHAnsi" w:eastAsiaTheme="majorEastAsia" w:hAnsiTheme="majorHAnsi" w:cstheme="majorHAnsi"/>
            <w:color w:val="2E2E2E"/>
          </w:rPr>
          <w:t>psychotic disorders</w:t>
        </w:r>
      </w:hyperlink>
      <w:r w:rsidRPr="00143701">
        <w:rPr>
          <w:rFonts w:asciiTheme="majorHAnsi" w:hAnsiTheme="majorHAnsi" w:cstheme="majorHAnsi"/>
          <w:color w:val="2E2E2E"/>
        </w:rPr>
        <w:t xml:space="preserve">. However, little is known about the extent of routine participation in specific sports and fitness activities among those who do take part. </w:t>
      </w:r>
    </w:p>
    <w:p w14:paraId="2DF4C7D2" w14:textId="19A1519D" w:rsidR="0028367D" w:rsidRPr="00143701" w:rsidRDefault="0028367D"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color w:val="2E2E2E"/>
        </w:rPr>
        <w:t xml:space="preserve">Aim </w:t>
      </w:r>
    </w:p>
    <w:p w14:paraId="4A3C7FB1" w14:textId="28C0A69B" w:rsidR="00AE4747" w:rsidRPr="00143701" w:rsidRDefault="00AE4747"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color w:val="2E2E2E"/>
        </w:rPr>
        <w:t>We investigated the frequency, intensity, time and type of sports and fitness activities (“fitness”) completed by people with psychotic disorders in their daily life and explored correlates associated with fitness participation.</w:t>
      </w:r>
    </w:p>
    <w:p w14:paraId="26254804" w14:textId="223F8DD1" w:rsidR="00AE4747" w:rsidRPr="00143701" w:rsidRDefault="00AE4747">
      <w:pPr>
        <w:rPr>
          <w:rFonts w:asciiTheme="majorHAnsi" w:hAnsiTheme="majorHAnsi" w:cstheme="majorHAnsi"/>
          <w:sz w:val="24"/>
          <w:szCs w:val="24"/>
        </w:rPr>
      </w:pPr>
    </w:p>
    <w:p w14:paraId="51009FD9" w14:textId="53F04391" w:rsidR="00272604" w:rsidRPr="00143701" w:rsidRDefault="00272604" w:rsidP="001E313F">
      <w:pPr>
        <w:pStyle w:val="Heading3"/>
        <w:spacing w:before="360" w:after="120"/>
        <w:rPr>
          <w:rFonts w:cstheme="majorHAnsi"/>
          <w:b/>
          <w:bCs/>
          <w:color w:val="505050"/>
        </w:rPr>
      </w:pPr>
      <w:r w:rsidRPr="00143701">
        <w:rPr>
          <w:rFonts w:cstheme="majorHAnsi"/>
          <w:b/>
          <w:bCs/>
          <w:color w:val="505050"/>
        </w:rPr>
        <w:t>Mental health support in the UK</w:t>
      </w:r>
    </w:p>
    <w:p w14:paraId="61E5F48B" w14:textId="77777777"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GP general practitioner. 1</w:t>
      </w:r>
      <w:r w:rsidRPr="00143701">
        <w:rPr>
          <w:rFonts w:asciiTheme="majorHAnsi" w:eastAsia="Times New Roman" w:hAnsiTheme="majorHAnsi" w:cstheme="majorHAnsi"/>
          <w:color w:val="000000" w:themeColor="text1"/>
          <w:sz w:val="24"/>
          <w:szCs w:val="24"/>
          <w:vertAlign w:val="superscript"/>
          <w:lang w:val="en" w:eastAsia="en-GB"/>
        </w:rPr>
        <w:t>st</w:t>
      </w:r>
      <w:r w:rsidRPr="00143701">
        <w:rPr>
          <w:rFonts w:asciiTheme="majorHAnsi" w:eastAsia="Times New Roman" w:hAnsiTheme="majorHAnsi" w:cstheme="majorHAnsi"/>
          <w:color w:val="000000" w:themeColor="text1"/>
          <w:sz w:val="24"/>
          <w:szCs w:val="24"/>
          <w:lang w:val="en" w:eastAsia="en-GB"/>
        </w:rPr>
        <w:t xml:space="preserve"> contact. But if your mental health problems are severe; </w:t>
      </w:r>
    </w:p>
    <w:p w14:paraId="4DE35302" w14:textId="49F75F7A"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community mental health teams (CMHTs).  Outpatients, Support people with mental health problems living in the community.</w:t>
      </w:r>
      <w:r w:rsidR="001E313F" w:rsidRPr="00143701">
        <w:rPr>
          <w:rFonts w:asciiTheme="majorHAnsi" w:eastAsia="Times New Roman" w:hAnsiTheme="majorHAnsi" w:cstheme="majorHAnsi"/>
          <w:color w:val="000000" w:themeColor="text1"/>
          <w:sz w:val="24"/>
          <w:szCs w:val="24"/>
          <w:lang w:val="en" w:eastAsia="en-GB"/>
        </w:rPr>
        <w:t xml:space="preserve"> </w:t>
      </w:r>
    </w:p>
    <w:p w14:paraId="24F45DC1" w14:textId="2A3262EA"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social (or community) care. support you need to carry out day-to-day tasks which you're finding difficult (transport, appointment…)</w:t>
      </w:r>
    </w:p>
    <w:p w14:paraId="4DBD696A" w14:textId="052CC4B4"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 xml:space="preserve">residential care. If you aren't able to cope on your own at home. Hostels, Residential care home, Supported housing schemes, Rehab (therapeutic com). </w:t>
      </w:r>
    </w:p>
    <w:p w14:paraId="7681D91A" w14:textId="36DC6098"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 xml:space="preserve">crisis intervention. access to a crisis resolution and home treatment team. </w:t>
      </w:r>
    </w:p>
    <w:p w14:paraId="6E72B33A" w14:textId="2677B201" w:rsidR="00272604" w:rsidRPr="00143701" w:rsidRDefault="00272604" w:rsidP="00272604">
      <w:pPr>
        <w:numPr>
          <w:ilvl w:val="0"/>
          <w:numId w:val="2"/>
        </w:numPr>
        <w:spacing w:after="0" w:line="240" w:lineRule="auto"/>
        <w:ind w:left="75"/>
        <w:rPr>
          <w:rFonts w:asciiTheme="majorHAnsi" w:eastAsia="Times New Roman" w:hAnsiTheme="majorHAnsi" w:cstheme="majorHAnsi"/>
          <w:color w:val="000000" w:themeColor="text1"/>
          <w:sz w:val="24"/>
          <w:szCs w:val="24"/>
          <w:lang w:val="en" w:eastAsia="en-GB"/>
        </w:rPr>
      </w:pPr>
      <w:r w:rsidRPr="00143701">
        <w:rPr>
          <w:rFonts w:asciiTheme="majorHAnsi" w:eastAsia="Times New Roman" w:hAnsiTheme="majorHAnsi" w:cstheme="majorHAnsi"/>
          <w:color w:val="000000" w:themeColor="text1"/>
          <w:sz w:val="24"/>
          <w:szCs w:val="24"/>
          <w:lang w:val="en" w:eastAsia="en-GB"/>
        </w:rPr>
        <w:t xml:space="preserve">hospital treatment. Inpatient services support people with severe mental health problems, or people who are experiencing a crisis. Voluntary or sectioned admissions. </w:t>
      </w:r>
    </w:p>
    <w:p w14:paraId="0AF36A2A" w14:textId="77777777" w:rsidR="001E313F" w:rsidRPr="00143701" w:rsidRDefault="001E313F" w:rsidP="001E313F">
      <w:pPr>
        <w:pStyle w:val="Heading3"/>
        <w:spacing w:before="360" w:after="120"/>
        <w:rPr>
          <w:rFonts w:cstheme="majorHAnsi"/>
          <w:b/>
          <w:bCs/>
          <w:color w:val="505050"/>
        </w:rPr>
      </w:pPr>
      <w:bookmarkStart w:id="7" w:name="_Hlk88468651"/>
      <w:bookmarkEnd w:id="6"/>
      <w:r w:rsidRPr="00143701">
        <w:rPr>
          <w:rFonts w:cstheme="majorHAnsi"/>
          <w:b/>
          <w:bCs/>
          <w:color w:val="505050"/>
        </w:rPr>
        <w:t>Methods</w:t>
      </w:r>
    </w:p>
    <w:p w14:paraId="3EF22407" w14:textId="3A37174B" w:rsidR="001E313F" w:rsidRPr="00143701" w:rsidRDefault="00AE4747"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color w:val="2E2E2E"/>
        </w:rPr>
        <w:t>We conducted a cross-sectional survey among out-patients with psychotic disorders (</w:t>
      </w:r>
      <w:r w:rsidRPr="00143701">
        <w:rPr>
          <w:rStyle w:val="Emphasis"/>
          <w:rFonts w:asciiTheme="majorHAnsi" w:eastAsiaTheme="majorEastAsia" w:hAnsiTheme="majorHAnsi" w:cstheme="majorHAnsi"/>
          <w:color w:val="2E2E2E"/>
        </w:rPr>
        <w:t>n</w:t>
      </w:r>
      <w:r w:rsidRPr="00143701">
        <w:rPr>
          <w:rFonts w:asciiTheme="majorHAnsi" w:hAnsiTheme="majorHAnsi" w:cstheme="majorHAnsi"/>
          <w:color w:val="2E2E2E"/>
        </w:rPr>
        <w:t xml:space="preserve"> = 529) recruited from six different NHS sites in England. </w:t>
      </w:r>
    </w:p>
    <w:bookmarkEnd w:id="7"/>
    <w:p w14:paraId="6E8566B2" w14:textId="0EC1A6CA" w:rsidR="003C0253" w:rsidRPr="00143701" w:rsidRDefault="003C0253" w:rsidP="00AE4747">
      <w:pPr>
        <w:pStyle w:val="NormalWeb"/>
        <w:spacing w:before="0" w:beforeAutospacing="0" w:after="0" w:afterAutospacing="0"/>
        <w:rPr>
          <w:rFonts w:asciiTheme="majorHAnsi" w:hAnsiTheme="majorHAnsi" w:cstheme="majorHAnsi"/>
          <w:color w:val="2E2E2E"/>
        </w:rPr>
      </w:pPr>
    </w:p>
    <w:p w14:paraId="36284B0E" w14:textId="0C14690F" w:rsidR="003C0253" w:rsidRPr="00143701" w:rsidRDefault="003C0253"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noProof/>
          <w:color w:val="2E2E2E"/>
        </w:rPr>
        <w:lastRenderedPageBreak/>
        <w:drawing>
          <wp:inline distT="0" distB="0" distL="0" distR="0" wp14:anchorId="10324670" wp14:editId="2354EA09">
            <wp:extent cx="5372100" cy="492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4924425"/>
                    </a:xfrm>
                    <a:prstGeom prst="rect">
                      <a:avLst/>
                    </a:prstGeom>
                    <a:noFill/>
                    <a:ln>
                      <a:noFill/>
                    </a:ln>
                  </pic:spPr>
                </pic:pic>
              </a:graphicData>
            </a:graphic>
          </wp:inline>
        </w:drawing>
      </w:r>
    </w:p>
    <w:p w14:paraId="060F1A7A" w14:textId="77777777" w:rsidR="003C0253" w:rsidRPr="00143701" w:rsidRDefault="003C0253" w:rsidP="00AE4747">
      <w:pPr>
        <w:pStyle w:val="NormalWeb"/>
        <w:spacing w:before="0" w:beforeAutospacing="0" w:after="0" w:afterAutospacing="0"/>
        <w:rPr>
          <w:rFonts w:asciiTheme="majorHAnsi" w:hAnsiTheme="majorHAnsi" w:cstheme="majorHAnsi"/>
          <w:color w:val="2E2E2E"/>
        </w:rPr>
      </w:pPr>
    </w:p>
    <w:p w14:paraId="0B3ADC12" w14:textId="6C195D40" w:rsidR="001E313F" w:rsidRPr="00143701" w:rsidRDefault="001E313F" w:rsidP="00AE4747">
      <w:pPr>
        <w:pStyle w:val="NormalWeb"/>
        <w:spacing w:before="0" w:beforeAutospacing="0" w:after="0" w:afterAutospacing="0"/>
        <w:rPr>
          <w:rFonts w:asciiTheme="majorHAnsi" w:hAnsiTheme="majorHAnsi" w:cstheme="majorHAnsi"/>
          <w:color w:val="2E2E2E"/>
        </w:rPr>
      </w:pP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16"/>
        <w:gridCol w:w="2906"/>
      </w:tblGrid>
      <w:tr w:rsidR="00FD2CBA" w:rsidRPr="00143701" w14:paraId="004B3E2B" w14:textId="77777777" w:rsidTr="006D4B35">
        <w:trPr>
          <w:trHeight w:val="94"/>
        </w:trPr>
        <w:tc>
          <w:tcPr>
            <w:tcW w:w="8522" w:type="dxa"/>
            <w:gridSpan w:val="2"/>
            <w:tcBorders>
              <w:top w:val="single" w:sz="4" w:space="0" w:color="auto"/>
              <w:bottom w:val="single" w:sz="4" w:space="0" w:color="auto"/>
            </w:tcBorders>
          </w:tcPr>
          <w:p w14:paraId="2E8004F7" w14:textId="77777777" w:rsidR="00FD2CBA" w:rsidRPr="00143701" w:rsidRDefault="00FD2CBA" w:rsidP="006D4B35">
            <w:pPr>
              <w:autoSpaceDE w:val="0"/>
              <w:autoSpaceDN w:val="0"/>
              <w:adjustRightInd w:val="0"/>
              <w:spacing w:line="276" w:lineRule="auto"/>
              <w:jc w:val="both"/>
              <w:rPr>
                <w:rFonts w:asciiTheme="majorHAnsi" w:hAnsiTheme="majorHAnsi" w:cstheme="majorHAnsi"/>
                <w:b/>
                <w:sz w:val="24"/>
                <w:szCs w:val="24"/>
              </w:rPr>
            </w:pPr>
            <w:r w:rsidRPr="00143701">
              <w:rPr>
                <w:rFonts w:asciiTheme="majorHAnsi" w:hAnsiTheme="majorHAnsi" w:cstheme="majorHAnsi"/>
                <w:b/>
                <w:sz w:val="24"/>
                <w:szCs w:val="24"/>
              </w:rPr>
              <w:t>Variable</w:t>
            </w:r>
            <w:r w:rsidRPr="00143701">
              <w:rPr>
                <w:rFonts w:asciiTheme="majorHAnsi" w:hAnsiTheme="majorHAnsi" w:cstheme="majorHAnsi"/>
                <w:b/>
                <w:sz w:val="24"/>
                <w:szCs w:val="24"/>
                <w:vertAlign w:val="superscript"/>
              </w:rPr>
              <w:t>*</w:t>
            </w:r>
          </w:p>
        </w:tc>
      </w:tr>
      <w:tr w:rsidR="00FD2CBA" w:rsidRPr="00143701" w14:paraId="20D6EB46" w14:textId="77777777" w:rsidTr="006D4B35">
        <w:trPr>
          <w:trHeight w:val="94"/>
        </w:trPr>
        <w:tc>
          <w:tcPr>
            <w:tcW w:w="5616" w:type="dxa"/>
            <w:tcBorders>
              <w:top w:val="single" w:sz="4" w:space="0" w:color="auto"/>
            </w:tcBorders>
          </w:tcPr>
          <w:p w14:paraId="619CA13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Age, years</w:t>
            </w:r>
          </w:p>
          <w:p w14:paraId="50E140D3" w14:textId="77777777" w:rsidR="00FD2CBA" w:rsidRPr="00143701" w:rsidRDefault="00FD2CBA" w:rsidP="006D4B35">
            <w:pPr>
              <w:autoSpaceDE w:val="0"/>
              <w:autoSpaceDN w:val="0"/>
              <w:adjustRightInd w:val="0"/>
              <w:spacing w:line="259" w:lineRule="auto"/>
              <w:ind w:left="316"/>
              <w:jc w:val="both"/>
              <w:rPr>
                <w:rFonts w:asciiTheme="majorHAnsi" w:hAnsiTheme="majorHAnsi" w:cstheme="majorHAnsi"/>
                <w:sz w:val="24"/>
                <w:szCs w:val="24"/>
              </w:rPr>
            </w:pPr>
            <w:r w:rsidRPr="00143701">
              <w:rPr>
                <w:rFonts w:asciiTheme="majorHAnsi" w:hAnsiTheme="majorHAnsi" w:cstheme="majorHAnsi"/>
                <w:sz w:val="24"/>
                <w:szCs w:val="24"/>
              </w:rPr>
              <w:t>mean (SD)</w:t>
            </w:r>
          </w:p>
          <w:p w14:paraId="6C80CD52" w14:textId="77777777" w:rsidR="00FD2CBA" w:rsidRPr="00143701" w:rsidRDefault="00FD2CBA" w:rsidP="006D4B35">
            <w:pPr>
              <w:autoSpaceDE w:val="0"/>
              <w:autoSpaceDN w:val="0"/>
              <w:adjustRightInd w:val="0"/>
              <w:spacing w:line="259" w:lineRule="auto"/>
              <w:ind w:left="318"/>
              <w:jc w:val="both"/>
              <w:rPr>
                <w:rFonts w:asciiTheme="majorHAnsi" w:hAnsiTheme="majorHAnsi" w:cstheme="majorHAnsi"/>
                <w:sz w:val="24"/>
                <w:szCs w:val="24"/>
              </w:rPr>
            </w:pPr>
            <w:r w:rsidRPr="00143701">
              <w:rPr>
                <w:rFonts w:asciiTheme="majorHAnsi" w:hAnsiTheme="majorHAnsi" w:cstheme="majorHAnsi"/>
                <w:sz w:val="24"/>
                <w:szCs w:val="24"/>
              </w:rPr>
              <w:t>median (IQR)</w:t>
            </w:r>
          </w:p>
          <w:p w14:paraId="2451A77F" w14:textId="77777777" w:rsidR="00FD2CBA" w:rsidRPr="00143701" w:rsidRDefault="00FD2CBA" w:rsidP="006D4B35">
            <w:pPr>
              <w:autoSpaceDE w:val="0"/>
              <w:autoSpaceDN w:val="0"/>
              <w:adjustRightInd w:val="0"/>
              <w:spacing w:line="259" w:lineRule="auto"/>
              <w:ind w:left="318"/>
              <w:jc w:val="both"/>
              <w:rPr>
                <w:rFonts w:asciiTheme="majorHAnsi" w:hAnsiTheme="majorHAnsi" w:cstheme="majorHAnsi"/>
                <w:sz w:val="24"/>
                <w:szCs w:val="24"/>
              </w:rPr>
            </w:pPr>
            <w:r w:rsidRPr="00143701">
              <w:rPr>
                <w:rFonts w:asciiTheme="majorHAnsi" w:hAnsiTheme="majorHAnsi" w:cstheme="majorHAnsi"/>
                <w:sz w:val="24"/>
                <w:szCs w:val="24"/>
              </w:rPr>
              <w:t>range</w:t>
            </w:r>
          </w:p>
        </w:tc>
        <w:tc>
          <w:tcPr>
            <w:tcW w:w="2906" w:type="dxa"/>
            <w:tcBorders>
              <w:top w:val="single" w:sz="4" w:space="0" w:color="auto"/>
            </w:tcBorders>
          </w:tcPr>
          <w:p w14:paraId="6B936B68"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118C5E6F"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43.5 (10.9)</w:t>
            </w:r>
          </w:p>
          <w:p w14:paraId="510F804C"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44 (36-52)</w:t>
            </w:r>
          </w:p>
          <w:p w14:paraId="5AB9B16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20-69</w:t>
            </w:r>
          </w:p>
        </w:tc>
      </w:tr>
      <w:tr w:rsidR="00FD2CBA" w:rsidRPr="00143701" w14:paraId="71E9CC40" w14:textId="77777777" w:rsidTr="006D4B35">
        <w:trPr>
          <w:trHeight w:val="94"/>
        </w:trPr>
        <w:tc>
          <w:tcPr>
            <w:tcW w:w="5616" w:type="dxa"/>
          </w:tcPr>
          <w:p w14:paraId="700C9AC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Sex, female, N (%)</w:t>
            </w:r>
          </w:p>
        </w:tc>
        <w:tc>
          <w:tcPr>
            <w:tcW w:w="2906" w:type="dxa"/>
          </w:tcPr>
          <w:p w14:paraId="2E9A563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183 (34.7)</w:t>
            </w:r>
          </w:p>
        </w:tc>
      </w:tr>
      <w:tr w:rsidR="00FD2CBA" w:rsidRPr="00143701" w14:paraId="3A7D6CB4" w14:textId="77777777" w:rsidTr="006D4B35">
        <w:trPr>
          <w:trHeight w:val="94"/>
        </w:trPr>
        <w:tc>
          <w:tcPr>
            <w:tcW w:w="5616" w:type="dxa"/>
          </w:tcPr>
          <w:p w14:paraId="314D9868"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Ethnic group, N (%)</w:t>
            </w:r>
          </w:p>
          <w:p w14:paraId="08DC89A7"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White </w:t>
            </w:r>
          </w:p>
          <w:p w14:paraId="0F99842B"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Black </w:t>
            </w:r>
          </w:p>
          <w:p w14:paraId="0F701774"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Asian</w:t>
            </w:r>
          </w:p>
          <w:p w14:paraId="5A406899" w14:textId="77777777" w:rsidR="00FD2CBA" w:rsidRPr="00143701" w:rsidRDefault="00FD2CBA" w:rsidP="006D4B35">
            <w:pPr>
              <w:autoSpaceDE w:val="0"/>
              <w:autoSpaceDN w:val="0"/>
              <w:adjustRightInd w:val="0"/>
              <w:spacing w:line="259" w:lineRule="auto"/>
              <w:ind w:left="357"/>
              <w:jc w:val="both"/>
              <w:rPr>
                <w:rFonts w:asciiTheme="majorHAnsi" w:hAnsiTheme="majorHAnsi" w:cstheme="majorHAnsi"/>
                <w:sz w:val="24"/>
                <w:szCs w:val="24"/>
              </w:rPr>
            </w:pPr>
            <w:r w:rsidRPr="00143701">
              <w:rPr>
                <w:rFonts w:asciiTheme="majorHAnsi" w:hAnsiTheme="majorHAnsi" w:cstheme="majorHAnsi"/>
                <w:sz w:val="24"/>
                <w:szCs w:val="24"/>
              </w:rPr>
              <w:t>Mixed</w:t>
            </w:r>
          </w:p>
          <w:p w14:paraId="73F99CE8"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Other</w:t>
            </w:r>
          </w:p>
        </w:tc>
        <w:tc>
          <w:tcPr>
            <w:tcW w:w="2906" w:type="dxa"/>
          </w:tcPr>
          <w:p w14:paraId="4A055CA1"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4ABF592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356 (68.0)</w:t>
            </w:r>
          </w:p>
          <w:p w14:paraId="29CB8CF3"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76 (14.5)</w:t>
            </w:r>
          </w:p>
          <w:p w14:paraId="00EB1C13"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67 (12.8)</w:t>
            </w:r>
          </w:p>
          <w:p w14:paraId="56A0B78E"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10 (1.9)</w:t>
            </w:r>
          </w:p>
          <w:p w14:paraId="6EAE9455"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16 ((3.1)</w:t>
            </w:r>
          </w:p>
        </w:tc>
      </w:tr>
      <w:tr w:rsidR="00FD2CBA" w:rsidRPr="00143701" w14:paraId="131AAB6E" w14:textId="77777777" w:rsidTr="006D4B35">
        <w:trPr>
          <w:trHeight w:val="94"/>
        </w:trPr>
        <w:tc>
          <w:tcPr>
            <w:tcW w:w="5616" w:type="dxa"/>
          </w:tcPr>
          <w:p w14:paraId="78BFF78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Relationship status, N (%)</w:t>
            </w:r>
          </w:p>
          <w:p w14:paraId="7788C4F8" w14:textId="77777777" w:rsidR="00FD2CBA" w:rsidRPr="00143701" w:rsidRDefault="00FD2CBA" w:rsidP="006D4B35">
            <w:pPr>
              <w:autoSpaceDE w:val="0"/>
              <w:autoSpaceDN w:val="0"/>
              <w:adjustRightInd w:val="0"/>
              <w:spacing w:line="259" w:lineRule="auto"/>
              <w:ind w:left="316"/>
              <w:jc w:val="both"/>
              <w:rPr>
                <w:rFonts w:asciiTheme="majorHAnsi" w:hAnsiTheme="majorHAnsi" w:cstheme="majorHAnsi"/>
                <w:sz w:val="24"/>
                <w:szCs w:val="24"/>
              </w:rPr>
            </w:pPr>
            <w:r w:rsidRPr="00143701">
              <w:rPr>
                <w:rFonts w:asciiTheme="majorHAnsi" w:hAnsiTheme="majorHAnsi" w:cstheme="majorHAnsi"/>
                <w:sz w:val="24"/>
                <w:szCs w:val="24"/>
              </w:rPr>
              <w:t>Single</w:t>
            </w:r>
          </w:p>
          <w:p w14:paraId="54F95BE6" w14:textId="77777777" w:rsidR="00FD2CBA" w:rsidRPr="00143701" w:rsidRDefault="00FD2CBA" w:rsidP="006D4B35">
            <w:pPr>
              <w:autoSpaceDE w:val="0"/>
              <w:autoSpaceDN w:val="0"/>
              <w:adjustRightInd w:val="0"/>
              <w:spacing w:line="259" w:lineRule="auto"/>
              <w:ind w:left="316"/>
              <w:jc w:val="both"/>
              <w:rPr>
                <w:rFonts w:asciiTheme="majorHAnsi" w:hAnsiTheme="majorHAnsi" w:cstheme="majorHAnsi"/>
                <w:sz w:val="24"/>
                <w:szCs w:val="24"/>
              </w:rPr>
            </w:pPr>
            <w:r w:rsidRPr="00143701">
              <w:rPr>
                <w:rFonts w:asciiTheme="majorHAnsi" w:hAnsiTheme="majorHAnsi" w:cstheme="majorHAnsi"/>
                <w:sz w:val="24"/>
                <w:szCs w:val="24"/>
              </w:rPr>
              <w:t>Married, co-habiting or civil partnership</w:t>
            </w:r>
          </w:p>
          <w:p w14:paraId="7D475F7E" w14:textId="77777777" w:rsidR="00FD2CBA" w:rsidRPr="00143701" w:rsidRDefault="00FD2CBA" w:rsidP="006D4B35">
            <w:pPr>
              <w:autoSpaceDE w:val="0"/>
              <w:autoSpaceDN w:val="0"/>
              <w:adjustRightInd w:val="0"/>
              <w:spacing w:line="259" w:lineRule="auto"/>
              <w:ind w:left="316"/>
              <w:jc w:val="both"/>
              <w:rPr>
                <w:rFonts w:asciiTheme="majorHAnsi" w:hAnsiTheme="majorHAnsi" w:cstheme="majorHAnsi"/>
                <w:sz w:val="24"/>
                <w:szCs w:val="24"/>
              </w:rPr>
            </w:pPr>
            <w:r w:rsidRPr="00143701">
              <w:rPr>
                <w:rFonts w:asciiTheme="majorHAnsi" w:hAnsiTheme="majorHAnsi" w:cstheme="majorHAnsi"/>
                <w:sz w:val="24"/>
                <w:szCs w:val="24"/>
              </w:rPr>
              <w:t>Divorced or separated</w:t>
            </w:r>
          </w:p>
          <w:p w14:paraId="362755EB" w14:textId="77777777" w:rsidR="00FD2CBA" w:rsidRPr="00143701" w:rsidRDefault="00FD2CBA" w:rsidP="006D4B35">
            <w:pPr>
              <w:autoSpaceDE w:val="0"/>
              <w:autoSpaceDN w:val="0"/>
              <w:adjustRightInd w:val="0"/>
              <w:spacing w:line="259" w:lineRule="auto"/>
              <w:ind w:left="318"/>
              <w:jc w:val="both"/>
              <w:rPr>
                <w:rFonts w:asciiTheme="majorHAnsi" w:hAnsiTheme="majorHAnsi" w:cstheme="majorHAnsi"/>
                <w:sz w:val="24"/>
                <w:szCs w:val="24"/>
              </w:rPr>
            </w:pPr>
            <w:r w:rsidRPr="00143701">
              <w:rPr>
                <w:rFonts w:asciiTheme="majorHAnsi" w:hAnsiTheme="majorHAnsi" w:cstheme="majorHAnsi"/>
                <w:sz w:val="24"/>
                <w:szCs w:val="24"/>
              </w:rPr>
              <w:t>Widowed</w:t>
            </w:r>
          </w:p>
        </w:tc>
        <w:tc>
          <w:tcPr>
            <w:tcW w:w="2906" w:type="dxa"/>
          </w:tcPr>
          <w:p w14:paraId="1E17D6A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139202E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398 (75.7)</w:t>
            </w:r>
          </w:p>
          <w:p w14:paraId="63855F8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78 (14.8)</w:t>
            </w:r>
          </w:p>
          <w:p w14:paraId="0EADDC0A"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43 (8.2)</w:t>
            </w:r>
          </w:p>
          <w:p w14:paraId="3EDF2EFE"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7 (1.3)</w:t>
            </w:r>
          </w:p>
        </w:tc>
      </w:tr>
      <w:tr w:rsidR="00FD2CBA" w:rsidRPr="00143701" w14:paraId="79ACEC3A" w14:textId="77777777" w:rsidTr="006D4B35">
        <w:trPr>
          <w:trHeight w:val="94"/>
        </w:trPr>
        <w:tc>
          <w:tcPr>
            <w:tcW w:w="5616" w:type="dxa"/>
          </w:tcPr>
          <w:p w14:paraId="012F56AF"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lastRenderedPageBreak/>
              <w:t>Living situation, N (%)</w:t>
            </w:r>
          </w:p>
          <w:p w14:paraId="101D2223"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Living alone</w:t>
            </w:r>
          </w:p>
          <w:p w14:paraId="48B352C9"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Living with family</w:t>
            </w:r>
          </w:p>
          <w:p w14:paraId="227BC598"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Living with friends </w:t>
            </w:r>
          </w:p>
          <w:p w14:paraId="01582ED7" w14:textId="77777777" w:rsidR="00FD2CBA" w:rsidRPr="00143701" w:rsidRDefault="00FD2CBA" w:rsidP="006D4B35">
            <w:pPr>
              <w:autoSpaceDE w:val="0"/>
              <w:autoSpaceDN w:val="0"/>
              <w:adjustRightInd w:val="0"/>
              <w:spacing w:line="259" w:lineRule="auto"/>
              <w:ind w:left="357"/>
              <w:jc w:val="both"/>
              <w:rPr>
                <w:rFonts w:asciiTheme="majorHAnsi" w:hAnsiTheme="majorHAnsi" w:cstheme="majorHAnsi"/>
                <w:sz w:val="24"/>
                <w:szCs w:val="24"/>
              </w:rPr>
            </w:pPr>
            <w:r w:rsidRPr="00143701">
              <w:rPr>
                <w:rFonts w:asciiTheme="majorHAnsi" w:hAnsiTheme="majorHAnsi" w:cstheme="majorHAnsi"/>
                <w:sz w:val="24"/>
                <w:szCs w:val="24"/>
              </w:rPr>
              <w:t>Shared accommodation</w:t>
            </w:r>
          </w:p>
        </w:tc>
        <w:tc>
          <w:tcPr>
            <w:tcW w:w="2906" w:type="dxa"/>
          </w:tcPr>
          <w:p w14:paraId="2F09A0AF"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1F66245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245 (46.6)</w:t>
            </w:r>
          </w:p>
          <w:p w14:paraId="2C8D80A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184 (35.0)</w:t>
            </w:r>
          </w:p>
          <w:p w14:paraId="4B8E453A"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8 (1.5)</w:t>
            </w:r>
          </w:p>
          <w:p w14:paraId="2C02922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89 (16.9)</w:t>
            </w:r>
          </w:p>
        </w:tc>
      </w:tr>
      <w:tr w:rsidR="00FD2CBA" w:rsidRPr="00143701" w14:paraId="3F70500D" w14:textId="77777777" w:rsidTr="006D4B35">
        <w:trPr>
          <w:trHeight w:val="94"/>
        </w:trPr>
        <w:tc>
          <w:tcPr>
            <w:tcW w:w="5616" w:type="dxa"/>
          </w:tcPr>
          <w:p w14:paraId="79EF710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Accommodation, N (%)</w:t>
            </w:r>
          </w:p>
          <w:p w14:paraId="71CFA1B5" w14:textId="77777777" w:rsidR="00FD2CBA" w:rsidRPr="00143701" w:rsidRDefault="00FD2CBA" w:rsidP="006D4B35">
            <w:pPr>
              <w:autoSpaceDE w:val="0"/>
              <w:autoSpaceDN w:val="0"/>
              <w:adjustRightInd w:val="0"/>
              <w:ind w:left="357"/>
              <w:rPr>
                <w:rFonts w:asciiTheme="majorHAnsi" w:hAnsiTheme="majorHAnsi" w:cstheme="majorHAnsi"/>
                <w:sz w:val="24"/>
                <w:szCs w:val="24"/>
              </w:rPr>
            </w:pPr>
            <w:r w:rsidRPr="00143701">
              <w:rPr>
                <w:rFonts w:asciiTheme="majorHAnsi" w:hAnsiTheme="majorHAnsi" w:cstheme="majorHAnsi"/>
                <w:sz w:val="24"/>
                <w:szCs w:val="24"/>
              </w:rPr>
              <w:t xml:space="preserve">Independent or unsupervised accommodation        </w:t>
            </w:r>
          </w:p>
          <w:p w14:paraId="457B9550"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Supported accommodation</w:t>
            </w:r>
          </w:p>
          <w:p w14:paraId="311C01F1"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Homeless</w:t>
            </w:r>
          </w:p>
          <w:p w14:paraId="1A835943"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Other</w:t>
            </w:r>
          </w:p>
        </w:tc>
        <w:tc>
          <w:tcPr>
            <w:tcW w:w="2906" w:type="dxa"/>
          </w:tcPr>
          <w:p w14:paraId="3C042998"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06BC8649"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389 (73.8)</w:t>
            </w:r>
          </w:p>
          <w:p w14:paraId="09785EB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113 (21.4)</w:t>
            </w:r>
          </w:p>
          <w:p w14:paraId="69D71F5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6 (1.1)</w:t>
            </w:r>
          </w:p>
          <w:p w14:paraId="7CD9827F"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19 (3.6)</w:t>
            </w:r>
          </w:p>
        </w:tc>
      </w:tr>
      <w:tr w:rsidR="00FD2CBA" w:rsidRPr="00143701" w14:paraId="1F7A67C6" w14:textId="77777777" w:rsidTr="006D4B35">
        <w:trPr>
          <w:trHeight w:val="94"/>
        </w:trPr>
        <w:tc>
          <w:tcPr>
            <w:tcW w:w="5616" w:type="dxa"/>
          </w:tcPr>
          <w:p w14:paraId="52BBDDC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Highest level of education, N (%)</w:t>
            </w:r>
          </w:p>
          <w:p w14:paraId="0C374FEB"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Tertiary or further education</w:t>
            </w:r>
          </w:p>
          <w:p w14:paraId="4101A830"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Secondary education</w:t>
            </w:r>
          </w:p>
          <w:p w14:paraId="779E0DA7"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Primary education or less</w:t>
            </w:r>
          </w:p>
        </w:tc>
        <w:tc>
          <w:tcPr>
            <w:tcW w:w="2906" w:type="dxa"/>
          </w:tcPr>
          <w:p w14:paraId="057EC62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6B8514E5"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231 (44.8)</w:t>
            </w:r>
          </w:p>
          <w:p w14:paraId="6B7F74A6"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222 (43.0)</w:t>
            </w:r>
          </w:p>
          <w:p w14:paraId="13AAEE08"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39 (7.6)</w:t>
            </w:r>
          </w:p>
        </w:tc>
      </w:tr>
      <w:tr w:rsidR="00FD2CBA" w:rsidRPr="00143701" w14:paraId="028F212B" w14:textId="77777777" w:rsidTr="006D4B35">
        <w:trPr>
          <w:trHeight w:val="94"/>
        </w:trPr>
        <w:tc>
          <w:tcPr>
            <w:tcW w:w="5616" w:type="dxa"/>
          </w:tcPr>
          <w:p w14:paraId="35EBD99E"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Employment status, N (%)</w:t>
            </w:r>
          </w:p>
          <w:p w14:paraId="34084F33"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Unemployed </w:t>
            </w:r>
          </w:p>
          <w:p w14:paraId="3DD33856"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Voluntary work</w:t>
            </w:r>
          </w:p>
          <w:p w14:paraId="6B2508CA"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Student</w:t>
            </w:r>
          </w:p>
          <w:p w14:paraId="06CF2D84"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Employed part-time or full-time</w:t>
            </w:r>
          </w:p>
          <w:p w14:paraId="5511C571"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Homemaker</w:t>
            </w:r>
          </w:p>
          <w:p w14:paraId="25D06B80"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Retired</w:t>
            </w:r>
          </w:p>
          <w:p w14:paraId="47B8D31C"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Other</w:t>
            </w:r>
          </w:p>
        </w:tc>
        <w:tc>
          <w:tcPr>
            <w:tcW w:w="2906" w:type="dxa"/>
          </w:tcPr>
          <w:p w14:paraId="1887A933"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2772BCB5"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373 (71.1)</w:t>
            </w:r>
          </w:p>
          <w:p w14:paraId="77BE218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58 (11.1)</w:t>
            </w:r>
          </w:p>
          <w:p w14:paraId="541A0818"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19 (3.6)</w:t>
            </w:r>
          </w:p>
          <w:p w14:paraId="05B573E3"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49 (9.3)</w:t>
            </w:r>
          </w:p>
          <w:p w14:paraId="1D2B85E9"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5 (1.0)</w:t>
            </w:r>
          </w:p>
          <w:p w14:paraId="29BD093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9 (1.7)</w:t>
            </w:r>
          </w:p>
          <w:p w14:paraId="54169CE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10 (1.9)</w:t>
            </w:r>
          </w:p>
        </w:tc>
      </w:tr>
      <w:tr w:rsidR="00FD2CBA" w:rsidRPr="00143701" w14:paraId="11F52327" w14:textId="77777777" w:rsidTr="006D4B35">
        <w:trPr>
          <w:trHeight w:val="300"/>
        </w:trPr>
        <w:tc>
          <w:tcPr>
            <w:tcW w:w="5616" w:type="dxa"/>
          </w:tcPr>
          <w:p w14:paraId="47F825C5"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Born in the UK, N (%)</w:t>
            </w:r>
          </w:p>
        </w:tc>
        <w:tc>
          <w:tcPr>
            <w:tcW w:w="2906" w:type="dxa"/>
          </w:tcPr>
          <w:p w14:paraId="15CDC46C"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427 (80.7%)</w:t>
            </w:r>
          </w:p>
        </w:tc>
      </w:tr>
      <w:tr w:rsidR="00FD2CBA" w:rsidRPr="00143701" w14:paraId="5840EF0E" w14:textId="77777777" w:rsidTr="006D4B35">
        <w:trPr>
          <w:trHeight w:val="2349"/>
        </w:trPr>
        <w:tc>
          <w:tcPr>
            <w:tcW w:w="5616" w:type="dxa"/>
          </w:tcPr>
          <w:p w14:paraId="04524053"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Place of current residence, N (%)</w:t>
            </w:r>
          </w:p>
          <w:p w14:paraId="627A699F"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Bedfordshire</w:t>
            </w:r>
          </w:p>
          <w:p w14:paraId="0D32DED1"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Cornwall</w:t>
            </w:r>
          </w:p>
          <w:p w14:paraId="739ABA89"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Devon</w:t>
            </w:r>
          </w:p>
          <w:p w14:paraId="11F305F8"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Co. Durham</w:t>
            </w:r>
          </w:p>
          <w:p w14:paraId="3338B9A9"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London</w:t>
            </w:r>
          </w:p>
          <w:p w14:paraId="22375593"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Oxfordshire</w:t>
            </w:r>
          </w:p>
          <w:p w14:paraId="3FDA9F53" w14:textId="77777777" w:rsidR="00FD2CBA" w:rsidRPr="00143701" w:rsidRDefault="00FD2CBA" w:rsidP="006D4B35">
            <w:pPr>
              <w:autoSpaceDE w:val="0"/>
              <w:autoSpaceDN w:val="0"/>
              <w:adjustRightInd w:val="0"/>
              <w:spacing w:line="259" w:lineRule="auto"/>
              <w:ind w:left="459"/>
              <w:jc w:val="both"/>
              <w:rPr>
                <w:rFonts w:asciiTheme="majorHAnsi" w:hAnsiTheme="majorHAnsi" w:cstheme="majorHAnsi"/>
                <w:sz w:val="24"/>
                <w:szCs w:val="24"/>
              </w:rPr>
            </w:pPr>
            <w:r w:rsidRPr="00143701">
              <w:rPr>
                <w:rFonts w:asciiTheme="majorHAnsi" w:hAnsiTheme="majorHAnsi" w:cstheme="majorHAnsi"/>
                <w:sz w:val="24"/>
                <w:szCs w:val="24"/>
              </w:rPr>
              <w:t>Somerset</w:t>
            </w:r>
          </w:p>
        </w:tc>
        <w:tc>
          <w:tcPr>
            <w:tcW w:w="2906" w:type="dxa"/>
          </w:tcPr>
          <w:p w14:paraId="411F1276"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60141481"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42 (7.9)</w:t>
            </w:r>
          </w:p>
          <w:p w14:paraId="7D63785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50 (9.5)</w:t>
            </w:r>
          </w:p>
          <w:p w14:paraId="6C0BCB5C"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50 (9.5)</w:t>
            </w:r>
          </w:p>
          <w:p w14:paraId="1B85861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94 (17.8)</w:t>
            </w:r>
          </w:p>
          <w:p w14:paraId="6C757844"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166 (31.9)</w:t>
            </w:r>
          </w:p>
          <w:p w14:paraId="7193C216"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78 (14.7)</w:t>
            </w:r>
          </w:p>
          <w:p w14:paraId="4C89A9B9"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49 (9.2)</w:t>
            </w:r>
          </w:p>
        </w:tc>
      </w:tr>
      <w:tr w:rsidR="00FD2CBA" w:rsidRPr="00143701" w14:paraId="4759DB81" w14:textId="77777777" w:rsidTr="006D4B35">
        <w:trPr>
          <w:trHeight w:val="292"/>
        </w:trPr>
        <w:tc>
          <w:tcPr>
            <w:tcW w:w="5616" w:type="dxa"/>
          </w:tcPr>
          <w:p w14:paraId="4E1FC58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Receiving state benefits, N (%)</w:t>
            </w:r>
          </w:p>
        </w:tc>
        <w:tc>
          <w:tcPr>
            <w:tcW w:w="2906" w:type="dxa"/>
          </w:tcPr>
          <w:p w14:paraId="33EA876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471 (89.4)</w:t>
            </w:r>
          </w:p>
        </w:tc>
      </w:tr>
      <w:tr w:rsidR="00FD2CBA" w:rsidRPr="00143701" w14:paraId="31EE8BF0" w14:textId="77777777" w:rsidTr="006D4B35">
        <w:trPr>
          <w:trHeight w:val="2120"/>
        </w:trPr>
        <w:tc>
          <w:tcPr>
            <w:tcW w:w="5616" w:type="dxa"/>
          </w:tcPr>
          <w:p w14:paraId="5D46B037"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Diagnosis, N (%)</w:t>
            </w:r>
          </w:p>
          <w:p w14:paraId="7BE30B56"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Schizophrenia </w:t>
            </w:r>
          </w:p>
          <w:p w14:paraId="5036EEE2"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Schizotypal disorder </w:t>
            </w:r>
          </w:p>
          <w:p w14:paraId="66772BB1"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Delusional disorder </w:t>
            </w:r>
          </w:p>
          <w:p w14:paraId="04D40C1B"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Brief Psychotic Disorder </w:t>
            </w:r>
          </w:p>
          <w:p w14:paraId="55E12360"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Schizoaffective disorder </w:t>
            </w:r>
          </w:p>
          <w:p w14:paraId="3917033A" w14:textId="77777777" w:rsidR="00FD2CBA" w:rsidRPr="00143701" w:rsidRDefault="00FD2CBA" w:rsidP="006D4B35">
            <w:pPr>
              <w:autoSpaceDE w:val="0"/>
              <w:autoSpaceDN w:val="0"/>
              <w:adjustRightInd w:val="0"/>
              <w:spacing w:line="259" w:lineRule="auto"/>
              <w:ind w:left="360"/>
              <w:jc w:val="both"/>
              <w:rPr>
                <w:rFonts w:asciiTheme="majorHAnsi" w:hAnsiTheme="majorHAnsi" w:cstheme="majorHAnsi"/>
                <w:sz w:val="24"/>
                <w:szCs w:val="24"/>
              </w:rPr>
            </w:pPr>
            <w:r w:rsidRPr="00143701">
              <w:rPr>
                <w:rFonts w:asciiTheme="majorHAnsi" w:hAnsiTheme="majorHAnsi" w:cstheme="majorHAnsi"/>
                <w:sz w:val="24"/>
                <w:szCs w:val="24"/>
              </w:rPr>
              <w:t xml:space="preserve">Psychosis NOS </w:t>
            </w:r>
          </w:p>
        </w:tc>
        <w:tc>
          <w:tcPr>
            <w:tcW w:w="2906" w:type="dxa"/>
          </w:tcPr>
          <w:p w14:paraId="42E38A62"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2E40A1E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363 (71.6)</w:t>
            </w:r>
          </w:p>
          <w:p w14:paraId="0090D027"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 (0.6)</w:t>
            </w:r>
          </w:p>
          <w:p w14:paraId="4E8E0D7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11 (2.2)</w:t>
            </w:r>
          </w:p>
          <w:p w14:paraId="3AA8130F"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14 (2.8)</w:t>
            </w:r>
          </w:p>
          <w:p w14:paraId="5CEFF08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83 (16.4)</w:t>
            </w:r>
          </w:p>
          <w:p w14:paraId="7BEC43B6"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33 (6.5)</w:t>
            </w:r>
          </w:p>
        </w:tc>
      </w:tr>
      <w:tr w:rsidR="00FD2CBA" w:rsidRPr="00143701" w14:paraId="2E72190D" w14:textId="77777777" w:rsidTr="006D4B35">
        <w:trPr>
          <w:trHeight w:val="292"/>
        </w:trPr>
        <w:tc>
          <w:tcPr>
            <w:tcW w:w="5616" w:type="dxa"/>
          </w:tcPr>
          <w:p w14:paraId="277B428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Co-morbid psychiatric diagnosis, N (%)</w:t>
            </w:r>
          </w:p>
        </w:tc>
        <w:tc>
          <w:tcPr>
            <w:tcW w:w="2906" w:type="dxa"/>
          </w:tcPr>
          <w:p w14:paraId="3EB4857E"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134 (25.3)</w:t>
            </w:r>
          </w:p>
        </w:tc>
      </w:tr>
      <w:tr w:rsidR="00FD2CBA" w:rsidRPr="00143701" w14:paraId="5C45B93C" w14:textId="77777777" w:rsidTr="006D4B35">
        <w:trPr>
          <w:trHeight w:val="1211"/>
        </w:trPr>
        <w:tc>
          <w:tcPr>
            <w:tcW w:w="5616" w:type="dxa"/>
            <w:tcBorders>
              <w:bottom w:val="single" w:sz="4" w:space="0" w:color="auto"/>
            </w:tcBorders>
          </w:tcPr>
          <w:p w14:paraId="6A37DF3D"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lastRenderedPageBreak/>
              <w:t xml:space="preserve">Years since first contact with mental health services, </w:t>
            </w:r>
          </w:p>
          <w:p w14:paraId="7C7C06FD" w14:textId="77777777" w:rsidR="00FD2CBA" w:rsidRPr="00143701" w:rsidRDefault="00FD2CBA" w:rsidP="006D4B35">
            <w:pPr>
              <w:autoSpaceDE w:val="0"/>
              <w:autoSpaceDN w:val="0"/>
              <w:adjustRightInd w:val="0"/>
              <w:spacing w:line="259" w:lineRule="auto"/>
              <w:ind w:left="357"/>
              <w:jc w:val="both"/>
              <w:rPr>
                <w:rFonts w:asciiTheme="majorHAnsi" w:hAnsiTheme="majorHAnsi" w:cstheme="majorHAnsi"/>
                <w:sz w:val="24"/>
                <w:szCs w:val="24"/>
              </w:rPr>
            </w:pPr>
            <w:r w:rsidRPr="00143701">
              <w:rPr>
                <w:rFonts w:asciiTheme="majorHAnsi" w:hAnsiTheme="majorHAnsi" w:cstheme="majorHAnsi"/>
                <w:sz w:val="24"/>
                <w:szCs w:val="24"/>
              </w:rPr>
              <w:t>mean (SD)</w:t>
            </w:r>
          </w:p>
          <w:p w14:paraId="3D252454" w14:textId="77777777" w:rsidR="00FD2CBA" w:rsidRPr="00143701" w:rsidRDefault="00FD2CBA" w:rsidP="006D4B35">
            <w:pPr>
              <w:autoSpaceDE w:val="0"/>
              <w:autoSpaceDN w:val="0"/>
              <w:adjustRightInd w:val="0"/>
              <w:spacing w:line="259" w:lineRule="auto"/>
              <w:ind w:left="357"/>
              <w:jc w:val="both"/>
              <w:rPr>
                <w:rFonts w:asciiTheme="majorHAnsi" w:hAnsiTheme="majorHAnsi" w:cstheme="majorHAnsi"/>
                <w:sz w:val="24"/>
                <w:szCs w:val="24"/>
              </w:rPr>
            </w:pPr>
            <w:r w:rsidRPr="00143701">
              <w:rPr>
                <w:rFonts w:asciiTheme="majorHAnsi" w:hAnsiTheme="majorHAnsi" w:cstheme="majorHAnsi"/>
                <w:sz w:val="24"/>
                <w:szCs w:val="24"/>
              </w:rPr>
              <w:t>median (IQR)</w:t>
            </w:r>
          </w:p>
          <w:p w14:paraId="54EF6D47" w14:textId="77777777" w:rsidR="00FD2CBA" w:rsidRPr="00143701" w:rsidRDefault="00FD2CBA" w:rsidP="006D4B35">
            <w:pPr>
              <w:autoSpaceDE w:val="0"/>
              <w:autoSpaceDN w:val="0"/>
              <w:adjustRightInd w:val="0"/>
              <w:spacing w:line="259" w:lineRule="auto"/>
              <w:ind w:left="357"/>
              <w:jc w:val="both"/>
              <w:rPr>
                <w:rFonts w:asciiTheme="majorHAnsi" w:hAnsiTheme="majorHAnsi" w:cstheme="majorHAnsi"/>
                <w:sz w:val="24"/>
                <w:szCs w:val="24"/>
              </w:rPr>
            </w:pPr>
            <w:r w:rsidRPr="00143701">
              <w:rPr>
                <w:rFonts w:asciiTheme="majorHAnsi" w:hAnsiTheme="majorHAnsi" w:cstheme="majorHAnsi"/>
                <w:sz w:val="24"/>
                <w:szCs w:val="24"/>
              </w:rPr>
              <w:t xml:space="preserve">range </w:t>
            </w:r>
          </w:p>
        </w:tc>
        <w:tc>
          <w:tcPr>
            <w:tcW w:w="2906" w:type="dxa"/>
            <w:tcBorders>
              <w:bottom w:val="single" w:sz="4" w:space="0" w:color="auto"/>
            </w:tcBorders>
          </w:tcPr>
          <w:p w14:paraId="00401091"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p>
          <w:p w14:paraId="34C84100"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17.6 (10.7)</w:t>
            </w:r>
          </w:p>
          <w:p w14:paraId="01726AEE"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17</w:t>
            </w:r>
          </w:p>
          <w:p w14:paraId="1D7CEABB"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1-55</w:t>
            </w:r>
          </w:p>
        </w:tc>
      </w:tr>
      <w:tr w:rsidR="00FD2CBA" w:rsidRPr="00143701" w14:paraId="4113C4EC" w14:textId="77777777" w:rsidTr="006D4B35">
        <w:trPr>
          <w:trHeight w:val="292"/>
        </w:trPr>
        <w:tc>
          <w:tcPr>
            <w:tcW w:w="5616" w:type="dxa"/>
            <w:tcBorders>
              <w:top w:val="single" w:sz="4" w:space="0" w:color="auto"/>
              <w:bottom w:val="single" w:sz="4" w:space="0" w:color="auto"/>
            </w:tcBorders>
          </w:tcPr>
          <w:p w14:paraId="79E02C11"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MANSA score, mean (SD)</w:t>
            </w:r>
          </w:p>
        </w:tc>
        <w:tc>
          <w:tcPr>
            <w:tcW w:w="2906" w:type="dxa"/>
            <w:tcBorders>
              <w:top w:val="single" w:sz="4" w:space="0" w:color="auto"/>
              <w:bottom w:val="single" w:sz="4" w:space="0" w:color="auto"/>
            </w:tcBorders>
          </w:tcPr>
          <w:p w14:paraId="280774AC" w14:textId="77777777" w:rsidR="00FD2CBA" w:rsidRPr="00143701" w:rsidRDefault="00FD2CBA" w:rsidP="006D4B35">
            <w:pPr>
              <w:autoSpaceDE w:val="0"/>
              <w:autoSpaceDN w:val="0"/>
              <w:adjustRightInd w:val="0"/>
              <w:spacing w:line="259" w:lineRule="auto"/>
              <w:jc w:val="both"/>
              <w:rPr>
                <w:rFonts w:asciiTheme="majorHAnsi" w:hAnsiTheme="majorHAnsi" w:cstheme="majorHAnsi"/>
                <w:sz w:val="24"/>
                <w:szCs w:val="24"/>
              </w:rPr>
            </w:pPr>
            <w:r w:rsidRPr="00143701">
              <w:rPr>
                <w:rFonts w:asciiTheme="majorHAnsi" w:hAnsiTheme="majorHAnsi" w:cstheme="majorHAnsi"/>
                <w:sz w:val="24"/>
                <w:szCs w:val="24"/>
              </w:rPr>
              <w:t>4.5 (0.9)</w:t>
            </w:r>
          </w:p>
        </w:tc>
      </w:tr>
      <w:tr w:rsidR="00FD2CBA" w:rsidRPr="00143701" w14:paraId="5BBC6AD8" w14:textId="77777777" w:rsidTr="006D4B35">
        <w:trPr>
          <w:trHeight w:val="236"/>
        </w:trPr>
        <w:tc>
          <w:tcPr>
            <w:tcW w:w="5616" w:type="dxa"/>
            <w:tcBorders>
              <w:top w:val="single" w:sz="4" w:space="0" w:color="auto"/>
              <w:left w:val="nil"/>
              <w:bottom w:val="nil"/>
              <w:right w:val="nil"/>
            </w:tcBorders>
          </w:tcPr>
          <w:p w14:paraId="2E7674CA" w14:textId="77777777" w:rsidR="00FD2CBA" w:rsidRPr="00143701" w:rsidRDefault="00FD2CBA" w:rsidP="006D4B35">
            <w:pPr>
              <w:autoSpaceDE w:val="0"/>
              <w:autoSpaceDN w:val="0"/>
              <w:adjustRightInd w:val="0"/>
              <w:ind w:left="340"/>
              <w:rPr>
                <w:rFonts w:asciiTheme="majorHAnsi" w:hAnsiTheme="majorHAnsi" w:cstheme="majorHAnsi"/>
                <w:sz w:val="24"/>
                <w:szCs w:val="24"/>
              </w:rPr>
            </w:pPr>
            <w:r w:rsidRPr="00143701">
              <w:rPr>
                <w:rFonts w:asciiTheme="majorHAnsi" w:hAnsiTheme="majorHAnsi" w:cstheme="majorHAnsi"/>
                <w:sz w:val="24"/>
                <w:szCs w:val="24"/>
              </w:rPr>
              <w:t>Number of social contacts, Mean (SD)</w:t>
            </w:r>
          </w:p>
        </w:tc>
        <w:tc>
          <w:tcPr>
            <w:tcW w:w="2906" w:type="dxa"/>
            <w:tcBorders>
              <w:top w:val="single" w:sz="4" w:space="0" w:color="auto"/>
              <w:left w:val="nil"/>
              <w:bottom w:val="nil"/>
              <w:right w:val="nil"/>
            </w:tcBorders>
          </w:tcPr>
          <w:p w14:paraId="116B482C" w14:textId="77777777" w:rsidR="00FD2CBA" w:rsidRPr="00143701" w:rsidRDefault="00FD2CBA" w:rsidP="006D4B35">
            <w:pPr>
              <w:rPr>
                <w:rFonts w:asciiTheme="majorHAnsi" w:hAnsiTheme="majorHAnsi" w:cstheme="majorHAnsi"/>
                <w:sz w:val="24"/>
                <w:szCs w:val="24"/>
              </w:rPr>
            </w:pPr>
            <w:r w:rsidRPr="00143701">
              <w:rPr>
                <w:rFonts w:asciiTheme="majorHAnsi" w:hAnsiTheme="majorHAnsi" w:cstheme="majorHAnsi"/>
                <w:sz w:val="24"/>
                <w:szCs w:val="24"/>
              </w:rPr>
              <w:t>2.9 (2.6)</w:t>
            </w:r>
          </w:p>
        </w:tc>
      </w:tr>
      <w:tr w:rsidR="00FD2CBA" w:rsidRPr="00143701" w14:paraId="1209A597" w14:textId="77777777" w:rsidTr="006D4B35">
        <w:trPr>
          <w:trHeight w:val="236"/>
        </w:trPr>
        <w:tc>
          <w:tcPr>
            <w:tcW w:w="5616" w:type="dxa"/>
            <w:tcBorders>
              <w:top w:val="nil"/>
              <w:left w:val="nil"/>
              <w:bottom w:val="nil"/>
              <w:right w:val="nil"/>
            </w:tcBorders>
          </w:tcPr>
          <w:p w14:paraId="665BB669" w14:textId="77777777" w:rsidR="00FD2CBA" w:rsidRPr="00143701" w:rsidRDefault="00FD2CBA" w:rsidP="006D4B35">
            <w:pPr>
              <w:autoSpaceDE w:val="0"/>
              <w:autoSpaceDN w:val="0"/>
              <w:adjustRightInd w:val="0"/>
              <w:ind w:left="340"/>
              <w:rPr>
                <w:rFonts w:asciiTheme="majorHAnsi" w:hAnsiTheme="majorHAnsi" w:cstheme="majorHAnsi"/>
                <w:sz w:val="24"/>
                <w:szCs w:val="24"/>
              </w:rPr>
            </w:pPr>
            <w:r w:rsidRPr="00143701">
              <w:rPr>
                <w:rFonts w:asciiTheme="majorHAnsi" w:hAnsiTheme="majorHAnsi" w:cstheme="majorHAnsi"/>
                <w:sz w:val="24"/>
                <w:szCs w:val="24"/>
              </w:rPr>
              <w:t>Median (IQR)</w:t>
            </w:r>
          </w:p>
        </w:tc>
        <w:tc>
          <w:tcPr>
            <w:tcW w:w="2906" w:type="dxa"/>
            <w:tcBorders>
              <w:top w:val="nil"/>
              <w:left w:val="nil"/>
              <w:bottom w:val="nil"/>
              <w:right w:val="nil"/>
            </w:tcBorders>
          </w:tcPr>
          <w:p w14:paraId="6771C118" w14:textId="77777777" w:rsidR="00FD2CBA" w:rsidRPr="00143701" w:rsidRDefault="00FD2CBA" w:rsidP="006D4B35">
            <w:pPr>
              <w:rPr>
                <w:rFonts w:asciiTheme="majorHAnsi" w:hAnsiTheme="majorHAnsi" w:cstheme="majorHAnsi"/>
                <w:sz w:val="24"/>
                <w:szCs w:val="24"/>
              </w:rPr>
            </w:pPr>
            <w:r w:rsidRPr="00143701">
              <w:rPr>
                <w:rFonts w:asciiTheme="majorHAnsi" w:hAnsiTheme="majorHAnsi" w:cstheme="majorHAnsi"/>
                <w:sz w:val="24"/>
                <w:szCs w:val="24"/>
              </w:rPr>
              <w:t>2</w:t>
            </w:r>
          </w:p>
        </w:tc>
      </w:tr>
      <w:tr w:rsidR="00FD2CBA" w:rsidRPr="00143701" w14:paraId="7905DD01" w14:textId="77777777" w:rsidTr="006D4B35">
        <w:trPr>
          <w:trHeight w:val="236"/>
        </w:trPr>
        <w:tc>
          <w:tcPr>
            <w:tcW w:w="5616" w:type="dxa"/>
            <w:tcBorders>
              <w:top w:val="nil"/>
              <w:left w:val="nil"/>
              <w:bottom w:val="single" w:sz="4" w:space="0" w:color="auto"/>
              <w:right w:val="nil"/>
            </w:tcBorders>
          </w:tcPr>
          <w:p w14:paraId="17224C9A" w14:textId="77777777" w:rsidR="00FD2CBA" w:rsidRPr="00143701" w:rsidRDefault="00FD2CBA" w:rsidP="006D4B35">
            <w:pPr>
              <w:autoSpaceDE w:val="0"/>
              <w:autoSpaceDN w:val="0"/>
              <w:adjustRightInd w:val="0"/>
              <w:ind w:left="340"/>
              <w:rPr>
                <w:rFonts w:asciiTheme="majorHAnsi" w:hAnsiTheme="majorHAnsi" w:cstheme="majorHAnsi"/>
                <w:sz w:val="24"/>
                <w:szCs w:val="24"/>
              </w:rPr>
            </w:pPr>
          </w:p>
        </w:tc>
        <w:tc>
          <w:tcPr>
            <w:tcW w:w="2906" w:type="dxa"/>
            <w:tcBorders>
              <w:top w:val="nil"/>
              <w:left w:val="nil"/>
              <w:bottom w:val="single" w:sz="4" w:space="0" w:color="auto"/>
              <w:right w:val="nil"/>
            </w:tcBorders>
          </w:tcPr>
          <w:p w14:paraId="19E17302" w14:textId="77777777" w:rsidR="00FD2CBA" w:rsidRPr="00143701" w:rsidRDefault="00FD2CBA" w:rsidP="006D4B35">
            <w:pPr>
              <w:rPr>
                <w:rFonts w:asciiTheme="majorHAnsi" w:hAnsiTheme="majorHAnsi" w:cstheme="majorHAnsi"/>
                <w:sz w:val="24"/>
                <w:szCs w:val="24"/>
              </w:rPr>
            </w:pPr>
          </w:p>
        </w:tc>
      </w:tr>
      <w:tr w:rsidR="00FD2CBA" w:rsidRPr="00143701" w14:paraId="1688CA92" w14:textId="77777777" w:rsidTr="006D4B35">
        <w:trPr>
          <w:trHeight w:val="55"/>
        </w:trPr>
        <w:tc>
          <w:tcPr>
            <w:tcW w:w="8522" w:type="dxa"/>
            <w:gridSpan w:val="2"/>
            <w:tcBorders>
              <w:top w:val="single" w:sz="4" w:space="0" w:color="auto"/>
            </w:tcBorders>
          </w:tcPr>
          <w:p w14:paraId="70FC61ED" w14:textId="77777777" w:rsidR="00FD2CBA" w:rsidRPr="00143701" w:rsidRDefault="00FD2CBA" w:rsidP="006D4B35">
            <w:pPr>
              <w:autoSpaceDE w:val="0"/>
              <w:autoSpaceDN w:val="0"/>
              <w:adjustRightInd w:val="0"/>
              <w:spacing w:line="276" w:lineRule="auto"/>
              <w:ind w:firstLine="0"/>
              <w:rPr>
                <w:rFonts w:asciiTheme="majorHAnsi" w:hAnsiTheme="majorHAnsi" w:cstheme="majorHAnsi"/>
                <w:sz w:val="24"/>
                <w:szCs w:val="24"/>
              </w:rPr>
            </w:pPr>
            <w:r w:rsidRPr="00143701">
              <w:rPr>
                <w:rFonts w:asciiTheme="majorHAnsi" w:hAnsiTheme="majorHAnsi" w:cstheme="majorHAnsi"/>
                <w:sz w:val="24"/>
                <w:szCs w:val="24"/>
                <w:vertAlign w:val="superscript"/>
              </w:rPr>
              <w:t>*</w:t>
            </w:r>
            <w:r w:rsidRPr="00143701">
              <w:rPr>
                <w:rFonts w:asciiTheme="majorHAnsi" w:hAnsiTheme="majorHAnsi" w:cstheme="majorHAnsi"/>
                <w:sz w:val="24"/>
                <w:szCs w:val="24"/>
              </w:rPr>
              <w:t>Counts may not add up to total due to missing data</w:t>
            </w:r>
          </w:p>
          <w:p w14:paraId="1D45B6F6" w14:textId="77777777" w:rsidR="00FD2CBA" w:rsidRPr="00143701" w:rsidRDefault="00FD2CBA" w:rsidP="006D4B35">
            <w:pPr>
              <w:autoSpaceDE w:val="0"/>
              <w:autoSpaceDN w:val="0"/>
              <w:adjustRightInd w:val="0"/>
              <w:spacing w:line="259" w:lineRule="auto"/>
              <w:ind w:firstLine="0"/>
              <w:rPr>
                <w:rFonts w:asciiTheme="majorHAnsi" w:hAnsiTheme="majorHAnsi" w:cstheme="majorHAnsi"/>
                <w:sz w:val="24"/>
                <w:szCs w:val="24"/>
              </w:rPr>
            </w:pPr>
            <w:r w:rsidRPr="00143701">
              <w:rPr>
                <w:rFonts w:asciiTheme="majorHAnsi" w:hAnsiTheme="majorHAnsi" w:cstheme="majorHAnsi"/>
                <w:i/>
                <w:sz w:val="24"/>
                <w:szCs w:val="24"/>
              </w:rPr>
              <w:t>IQR</w:t>
            </w:r>
            <w:r w:rsidRPr="00143701">
              <w:rPr>
                <w:rFonts w:asciiTheme="majorHAnsi" w:hAnsiTheme="majorHAnsi" w:cstheme="majorHAnsi"/>
                <w:sz w:val="24"/>
                <w:szCs w:val="24"/>
              </w:rPr>
              <w:t xml:space="preserve">: Interquartile range; </w:t>
            </w:r>
            <w:r w:rsidRPr="00143701">
              <w:rPr>
                <w:rFonts w:asciiTheme="majorHAnsi" w:hAnsiTheme="majorHAnsi" w:cstheme="majorHAnsi"/>
                <w:i/>
                <w:sz w:val="24"/>
                <w:szCs w:val="24"/>
              </w:rPr>
              <w:t>MANSA</w:t>
            </w:r>
            <w:r w:rsidRPr="00143701">
              <w:rPr>
                <w:rFonts w:asciiTheme="majorHAnsi" w:hAnsiTheme="majorHAnsi" w:cstheme="majorHAnsi"/>
                <w:sz w:val="24"/>
                <w:szCs w:val="24"/>
              </w:rPr>
              <w:t xml:space="preserve">: Manchester Short Assessment of Quality of Life; </w:t>
            </w:r>
            <w:r w:rsidRPr="00143701">
              <w:rPr>
                <w:rFonts w:asciiTheme="majorHAnsi" w:hAnsiTheme="majorHAnsi" w:cstheme="majorHAnsi"/>
                <w:i/>
                <w:sz w:val="24"/>
                <w:szCs w:val="24"/>
              </w:rPr>
              <w:t>SD</w:t>
            </w:r>
            <w:r w:rsidRPr="00143701">
              <w:rPr>
                <w:rFonts w:asciiTheme="majorHAnsi" w:hAnsiTheme="majorHAnsi" w:cstheme="majorHAnsi"/>
                <w:sz w:val="24"/>
                <w:szCs w:val="24"/>
              </w:rPr>
              <w:t>: standard deviation</w:t>
            </w:r>
          </w:p>
        </w:tc>
      </w:tr>
    </w:tbl>
    <w:p w14:paraId="241B61BA" w14:textId="4980F19D" w:rsidR="001E313F" w:rsidRPr="00143701" w:rsidRDefault="001E313F" w:rsidP="00AE4747">
      <w:pPr>
        <w:pStyle w:val="NormalWeb"/>
        <w:spacing w:before="0" w:beforeAutospacing="0" w:after="0" w:afterAutospacing="0"/>
        <w:rPr>
          <w:rFonts w:asciiTheme="majorHAnsi" w:hAnsiTheme="majorHAnsi" w:cstheme="majorHAnsi"/>
          <w:color w:val="2E2E2E"/>
        </w:rPr>
      </w:pPr>
    </w:p>
    <w:p w14:paraId="72C1F417" w14:textId="77777777" w:rsidR="001E313F" w:rsidRPr="00143701" w:rsidRDefault="001E313F" w:rsidP="00AE4747">
      <w:pPr>
        <w:pStyle w:val="NormalWeb"/>
        <w:spacing w:before="0" w:beforeAutospacing="0" w:after="0" w:afterAutospacing="0"/>
        <w:rPr>
          <w:rFonts w:asciiTheme="majorHAnsi" w:hAnsiTheme="majorHAnsi" w:cstheme="majorHAnsi"/>
          <w:color w:val="2E2E2E"/>
        </w:rPr>
      </w:pPr>
    </w:p>
    <w:p w14:paraId="2FA01A11" w14:textId="6A5CF549" w:rsidR="00AE4747" w:rsidRPr="00143701" w:rsidRDefault="00AE4747" w:rsidP="00AE4747">
      <w:pPr>
        <w:pStyle w:val="NormalWeb"/>
        <w:spacing w:before="0" w:beforeAutospacing="0" w:after="0" w:afterAutospacing="0"/>
        <w:rPr>
          <w:rFonts w:asciiTheme="majorHAnsi" w:hAnsiTheme="majorHAnsi" w:cstheme="majorHAnsi"/>
          <w:color w:val="2E2E2E"/>
        </w:rPr>
      </w:pPr>
      <w:bookmarkStart w:id="8" w:name="_Hlk88468704"/>
      <w:r w:rsidRPr="00143701">
        <w:rPr>
          <w:rFonts w:asciiTheme="majorHAnsi" w:hAnsiTheme="majorHAnsi" w:cstheme="majorHAnsi"/>
          <w:color w:val="2E2E2E"/>
        </w:rPr>
        <w:t>Subjective participation in fitness activities during the previous week was assessed by an adaptation of the UK Time Use Survey. The main outcome was whether participants met the minimum World Health Organization recommendations for moderate intensity physical activity (≥150 min/week) through fitness. </w:t>
      </w:r>
      <w:hyperlink r:id="rId12" w:tooltip="Learn more about Poisson regression from ScienceDirect's AI-generated Topic Pages" w:history="1">
        <w:r w:rsidRPr="00143701">
          <w:rPr>
            <w:rStyle w:val="Hyperlink"/>
            <w:rFonts w:asciiTheme="majorHAnsi" w:hAnsiTheme="majorHAnsi" w:cstheme="majorHAnsi"/>
            <w:color w:val="2E2E2E"/>
          </w:rPr>
          <w:t>Poisson regression</w:t>
        </w:r>
      </w:hyperlink>
      <w:r w:rsidRPr="00143701">
        <w:rPr>
          <w:rFonts w:asciiTheme="majorHAnsi" w:hAnsiTheme="majorHAnsi" w:cstheme="majorHAnsi"/>
          <w:color w:val="2E2E2E"/>
        </w:rPr>
        <w:t> models with robust error variance were used to examine associations of this outcome with participant variables.</w:t>
      </w:r>
    </w:p>
    <w:p w14:paraId="7B305BEC" w14:textId="18F76E1B" w:rsidR="00AE4747" w:rsidRPr="00143701" w:rsidRDefault="00AE4747">
      <w:pPr>
        <w:rPr>
          <w:rFonts w:asciiTheme="majorHAnsi" w:hAnsiTheme="majorHAnsi" w:cstheme="majorHAnsi"/>
          <w:sz w:val="24"/>
          <w:szCs w:val="24"/>
        </w:rPr>
      </w:pPr>
    </w:p>
    <w:p w14:paraId="00A1FCFC" w14:textId="77777777" w:rsidR="00AE4747" w:rsidRPr="00143701" w:rsidRDefault="00AE4747" w:rsidP="00AE4747">
      <w:pPr>
        <w:pStyle w:val="Heading3"/>
        <w:spacing w:before="360" w:after="120"/>
        <w:rPr>
          <w:rFonts w:cstheme="majorHAnsi"/>
          <w:color w:val="505050"/>
        </w:rPr>
      </w:pPr>
      <w:r w:rsidRPr="00143701">
        <w:rPr>
          <w:rFonts w:cstheme="majorHAnsi"/>
          <w:b/>
          <w:bCs/>
          <w:color w:val="505050"/>
        </w:rPr>
        <w:t>Results</w:t>
      </w:r>
    </w:p>
    <w:p w14:paraId="6172FA7B" w14:textId="77777777" w:rsidR="00AE4747" w:rsidRPr="00143701" w:rsidRDefault="00AE4747" w:rsidP="00AE4747">
      <w:pPr>
        <w:pStyle w:val="NormalWeb"/>
        <w:spacing w:before="0" w:beforeAutospacing="0" w:after="0" w:afterAutospacing="0"/>
        <w:rPr>
          <w:rFonts w:asciiTheme="majorHAnsi" w:hAnsiTheme="majorHAnsi" w:cstheme="majorHAnsi"/>
          <w:color w:val="2E2E2E"/>
        </w:rPr>
      </w:pPr>
      <w:r w:rsidRPr="00143701">
        <w:rPr>
          <w:rFonts w:asciiTheme="majorHAnsi" w:hAnsiTheme="majorHAnsi" w:cstheme="majorHAnsi"/>
          <w:color w:val="2E2E2E"/>
        </w:rPr>
        <w:t>In total, 267 (52.2%) participants reported taking part in routine fitness activities in the previous week, many of whom did so alone (</w:t>
      </w:r>
      <w:r w:rsidRPr="00143701">
        <w:rPr>
          <w:rStyle w:val="Emphasis"/>
          <w:rFonts w:asciiTheme="majorHAnsi" w:eastAsiaTheme="majorEastAsia" w:hAnsiTheme="majorHAnsi" w:cstheme="majorHAnsi"/>
          <w:color w:val="2E2E2E"/>
        </w:rPr>
        <w:t>n</w:t>
      </w:r>
      <w:r w:rsidRPr="00143701">
        <w:rPr>
          <w:rFonts w:asciiTheme="majorHAnsi" w:hAnsiTheme="majorHAnsi" w:cstheme="majorHAnsi"/>
          <w:color w:val="2E2E2E"/>
        </w:rPr>
        <w:t> = 163, 59.1%). Only 21.5% (</w:t>
      </w:r>
      <w:r w:rsidRPr="00143701">
        <w:rPr>
          <w:rStyle w:val="Emphasis"/>
          <w:rFonts w:asciiTheme="majorHAnsi" w:eastAsiaTheme="majorEastAsia" w:hAnsiTheme="majorHAnsi" w:cstheme="majorHAnsi"/>
          <w:color w:val="2E2E2E"/>
        </w:rPr>
        <w:t>n</w:t>
      </w:r>
      <w:r w:rsidRPr="00143701">
        <w:rPr>
          <w:rFonts w:asciiTheme="majorHAnsi" w:hAnsiTheme="majorHAnsi" w:cstheme="majorHAnsi"/>
          <w:color w:val="2E2E2E"/>
        </w:rPr>
        <w:t> = 114) completed ≥150 min of fitness activities in the previous week. The likelihood of attaining these recommendations was lower among participants who were female, older in age, in a relationship, unemployed and with fewer social contacts.</w:t>
      </w:r>
    </w:p>
    <w:bookmarkEnd w:id="8"/>
    <w:p w14:paraId="6747AF96" w14:textId="420B24D2" w:rsidR="00AE4747" w:rsidRPr="00143701" w:rsidRDefault="00AE4747">
      <w:pPr>
        <w:rPr>
          <w:rFonts w:asciiTheme="majorHAnsi" w:hAnsiTheme="majorHAnsi" w:cstheme="majorHAnsi"/>
          <w:sz w:val="24"/>
          <w:szCs w:val="24"/>
        </w:rPr>
      </w:pPr>
    </w:p>
    <w:p w14:paraId="3489A9E6" w14:textId="77777777" w:rsidR="006C10FC" w:rsidRPr="00143701" w:rsidRDefault="006C10FC" w:rsidP="006C10FC">
      <w:pPr>
        <w:rPr>
          <w:rFonts w:asciiTheme="majorHAnsi" w:hAnsiTheme="majorHAnsi" w:cstheme="majorHAnsi"/>
          <w:sz w:val="24"/>
          <w:szCs w:val="24"/>
        </w:rPr>
      </w:pPr>
    </w:p>
    <w:p w14:paraId="2047A3BD" w14:textId="77777777" w:rsidR="006C10FC" w:rsidRPr="00143701" w:rsidRDefault="006C10FC" w:rsidP="006C10FC">
      <w:pPr>
        <w:rPr>
          <w:rFonts w:asciiTheme="majorHAnsi" w:hAnsiTheme="majorHAnsi" w:cstheme="majorHAnsi"/>
          <w:b/>
          <w:sz w:val="24"/>
          <w:szCs w:val="24"/>
        </w:rPr>
      </w:pPr>
      <w:r w:rsidRPr="00143701">
        <w:rPr>
          <w:rFonts w:asciiTheme="majorHAnsi" w:hAnsiTheme="majorHAnsi" w:cstheme="majorHAnsi"/>
          <w:b/>
          <w:sz w:val="24"/>
          <w:szCs w:val="24"/>
        </w:rPr>
        <w:t>Table 2. Summary of sports and fitness participation in the previous week (n=529)</w:t>
      </w:r>
    </w:p>
    <w:tbl>
      <w:tblPr>
        <w:tblStyle w:val="TableGrid5"/>
        <w:tblpPr w:leftFromText="180" w:rightFromText="180" w:vertAnchor="page" w:horzAnchor="margin" w:tblpY="2180"/>
        <w:tblW w:w="860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56"/>
        <w:gridCol w:w="3344"/>
      </w:tblGrid>
      <w:tr w:rsidR="006C10FC" w:rsidRPr="00143701" w14:paraId="7DE9517A" w14:textId="77777777" w:rsidTr="006D4B35">
        <w:trPr>
          <w:trHeight w:val="981"/>
        </w:trPr>
        <w:tc>
          <w:tcPr>
            <w:tcW w:w="5256" w:type="dxa"/>
          </w:tcPr>
          <w:p w14:paraId="77615290"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lastRenderedPageBreak/>
              <w:t xml:space="preserve">Number of sports and fitness activities </w:t>
            </w:r>
            <w:proofErr w:type="spellStart"/>
            <w:r w:rsidRPr="00143701">
              <w:rPr>
                <w:rFonts w:asciiTheme="majorHAnsi" w:eastAsia="Calibri" w:hAnsiTheme="majorHAnsi" w:cstheme="majorHAnsi"/>
                <w:sz w:val="24"/>
                <w:szCs w:val="24"/>
              </w:rPr>
              <w:t>practised</w:t>
            </w:r>
            <w:r w:rsidRPr="00143701">
              <w:rPr>
                <w:rFonts w:asciiTheme="majorHAnsi" w:eastAsia="Calibri" w:hAnsiTheme="majorHAnsi" w:cstheme="majorHAnsi"/>
                <w:sz w:val="24"/>
                <w:szCs w:val="24"/>
                <w:vertAlign w:val="superscript"/>
              </w:rPr>
              <w:t>a</w:t>
            </w:r>
            <w:proofErr w:type="spellEnd"/>
            <w:r w:rsidRPr="00143701">
              <w:rPr>
                <w:rFonts w:asciiTheme="majorHAnsi" w:eastAsia="Calibri" w:hAnsiTheme="majorHAnsi" w:cstheme="majorHAnsi"/>
                <w:sz w:val="24"/>
                <w:szCs w:val="24"/>
              </w:rPr>
              <w:t xml:space="preserve">, </w:t>
            </w:r>
            <w:r w:rsidRPr="00143701">
              <w:rPr>
                <w:rFonts w:asciiTheme="majorHAnsi" w:eastAsia="Calibri" w:hAnsiTheme="majorHAnsi" w:cstheme="majorHAnsi"/>
                <w:i/>
                <w:sz w:val="24"/>
                <w:szCs w:val="24"/>
              </w:rPr>
              <w:t>n</w:t>
            </w:r>
            <w:r w:rsidRPr="00143701">
              <w:rPr>
                <w:rFonts w:asciiTheme="majorHAnsi" w:eastAsia="Calibri" w:hAnsiTheme="majorHAnsi" w:cstheme="majorHAnsi"/>
                <w:sz w:val="24"/>
                <w:szCs w:val="24"/>
              </w:rPr>
              <w:t xml:space="preserve"> (%)</w:t>
            </w:r>
          </w:p>
          <w:p w14:paraId="6BA95466"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None</w:t>
            </w:r>
          </w:p>
          <w:p w14:paraId="5A17B115"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1</w:t>
            </w:r>
          </w:p>
          <w:p w14:paraId="59F15F59"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2</w:t>
            </w:r>
          </w:p>
          <w:p w14:paraId="1BE3C8AE"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3</w:t>
            </w:r>
          </w:p>
          <w:p w14:paraId="0C966B8B"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4</w:t>
            </w:r>
          </w:p>
          <w:p w14:paraId="01A86D0C" w14:textId="77777777" w:rsidR="006C10FC" w:rsidRPr="00143701" w:rsidRDefault="006C10FC" w:rsidP="006D4B35">
            <w:pPr>
              <w:spacing w:after="60"/>
              <w:ind w:left="318"/>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5</w:t>
            </w:r>
          </w:p>
        </w:tc>
        <w:tc>
          <w:tcPr>
            <w:tcW w:w="3344" w:type="dxa"/>
          </w:tcPr>
          <w:p w14:paraId="356C05A8" w14:textId="77777777" w:rsidR="006C10FC" w:rsidRPr="00143701" w:rsidRDefault="006C10FC" w:rsidP="006D4B35">
            <w:pPr>
              <w:rPr>
                <w:rFonts w:asciiTheme="majorHAnsi" w:eastAsia="Calibri" w:hAnsiTheme="majorHAnsi" w:cstheme="majorHAnsi"/>
                <w:sz w:val="24"/>
                <w:szCs w:val="24"/>
              </w:rPr>
            </w:pPr>
          </w:p>
          <w:p w14:paraId="0C21BC87"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253 (47.8)</w:t>
            </w:r>
          </w:p>
          <w:p w14:paraId="054A325B"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187 (35.4)</w:t>
            </w:r>
          </w:p>
          <w:p w14:paraId="0A7A8017"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55 (10.4)</w:t>
            </w:r>
          </w:p>
          <w:p w14:paraId="18909A38"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26 (4.9)</w:t>
            </w:r>
          </w:p>
          <w:p w14:paraId="7E792218"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7 (1.3)</w:t>
            </w:r>
          </w:p>
          <w:p w14:paraId="081DE510"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 (0.2)</w:t>
            </w:r>
          </w:p>
        </w:tc>
      </w:tr>
      <w:tr w:rsidR="006C10FC" w:rsidRPr="00143701" w14:paraId="56550999" w14:textId="77777777" w:rsidTr="006D4B35">
        <w:trPr>
          <w:trHeight w:val="1386"/>
        </w:trPr>
        <w:tc>
          <w:tcPr>
            <w:tcW w:w="5256" w:type="dxa"/>
          </w:tcPr>
          <w:p w14:paraId="7AE7BE23"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Type of sports and fitness </w:t>
            </w:r>
            <w:proofErr w:type="spellStart"/>
            <w:r w:rsidRPr="00143701">
              <w:rPr>
                <w:rFonts w:asciiTheme="majorHAnsi" w:eastAsia="Calibri" w:hAnsiTheme="majorHAnsi" w:cstheme="majorHAnsi"/>
                <w:sz w:val="24"/>
                <w:szCs w:val="24"/>
              </w:rPr>
              <w:t>activity</w:t>
            </w:r>
            <w:r w:rsidRPr="00143701">
              <w:rPr>
                <w:rFonts w:asciiTheme="majorHAnsi" w:eastAsia="Calibri" w:hAnsiTheme="majorHAnsi" w:cstheme="majorHAnsi"/>
                <w:sz w:val="24"/>
                <w:szCs w:val="24"/>
                <w:vertAlign w:val="superscript"/>
              </w:rPr>
              <w:t>b</w:t>
            </w:r>
            <w:proofErr w:type="spellEnd"/>
            <w:r w:rsidRPr="00143701">
              <w:rPr>
                <w:rFonts w:asciiTheme="majorHAnsi" w:eastAsia="Calibri" w:hAnsiTheme="majorHAnsi" w:cstheme="majorHAnsi"/>
                <w:sz w:val="24"/>
                <w:szCs w:val="24"/>
                <w:vertAlign w:val="superscript"/>
              </w:rPr>
              <w:t>, c</w:t>
            </w:r>
            <w:r w:rsidRPr="00143701">
              <w:rPr>
                <w:rFonts w:asciiTheme="majorHAnsi" w:eastAsia="Calibri" w:hAnsiTheme="majorHAnsi" w:cstheme="majorHAnsi"/>
                <w:sz w:val="24"/>
                <w:szCs w:val="24"/>
              </w:rPr>
              <w:t xml:space="preserve">, </w:t>
            </w:r>
            <w:r w:rsidRPr="00143701">
              <w:rPr>
                <w:rFonts w:asciiTheme="majorHAnsi" w:eastAsia="Calibri" w:hAnsiTheme="majorHAnsi" w:cstheme="majorHAnsi"/>
                <w:i/>
                <w:sz w:val="24"/>
                <w:szCs w:val="24"/>
              </w:rPr>
              <w:t>n</w:t>
            </w:r>
            <w:r w:rsidRPr="00143701">
              <w:rPr>
                <w:rFonts w:asciiTheme="majorHAnsi" w:eastAsia="Calibri" w:hAnsiTheme="majorHAnsi" w:cstheme="majorHAnsi"/>
                <w:sz w:val="24"/>
                <w:szCs w:val="24"/>
              </w:rPr>
              <w:t xml:space="preserve"> (%)                                    </w:t>
            </w:r>
          </w:p>
          <w:p w14:paraId="277638A1" w14:textId="77777777" w:rsidR="006C10FC" w:rsidRPr="00143701" w:rsidRDefault="006C10FC" w:rsidP="006D4B35">
            <w:pPr>
              <w:ind w:left="316"/>
              <w:jc w:val="both"/>
              <w:rPr>
                <w:rFonts w:asciiTheme="majorHAnsi" w:eastAsia="Calibri" w:hAnsiTheme="majorHAnsi" w:cstheme="majorHAnsi"/>
                <w:sz w:val="24"/>
                <w:szCs w:val="24"/>
              </w:rPr>
            </w:pPr>
            <w:bookmarkStart w:id="9" w:name="_Hlk84802228"/>
            <w:r w:rsidRPr="00143701">
              <w:rPr>
                <w:rFonts w:asciiTheme="majorHAnsi" w:eastAsia="Calibri" w:hAnsiTheme="majorHAnsi" w:cstheme="majorHAnsi"/>
                <w:sz w:val="24"/>
                <w:szCs w:val="24"/>
              </w:rPr>
              <w:t xml:space="preserve">Cycling                                                             </w:t>
            </w:r>
          </w:p>
          <w:p w14:paraId="7D675253" w14:textId="77777777" w:rsidR="006C10FC" w:rsidRPr="00143701" w:rsidRDefault="006C10FC" w:rsidP="006D4B35">
            <w:pPr>
              <w:ind w:left="316"/>
              <w:rPr>
                <w:rFonts w:asciiTheme="majorHAnsi" w:eastAsia="Times New Roman" w:hAnsiTheme="majorHAnsi" w:cstheme="majorHAnsi"/>
                <w:sz w:val="24"/>
                <w:szCs w:val="24"/>
              </w:rPr>
            </w:pPr>
            <w:r w:rsidRPr="00143701">
              <w:rPr>
                <w:rFonts w:asciiTheme="majorHAnsi" w:eastAsia="Times New Roman" w:hAnsiTheme="majorHAnsi" w:cstheme="majorHAnsi"/>
                <w:sz w:val="24"/>
                <w:szCs w:val="24"/>
              </w:rPr>
              <w:t xml:space="preserve">Walking or hiking for 30 minutes or more (recreationally) </w:t>
            </w:r>
          </w:p>
          <w:p w14:paraId="7FCE322F" w14:textId="77777777" w:rsidR="006C10FC" w:rsidRPr="00143701" w:rsidRDefault="006C10FC" w:rsidP="006D4B35">
            <w:pPr>
              <w:ind w:left="316"/>
              <w:jc w:val="both"/>
              <w:rPr>
                <w:rFonts w:asciiTheme="majorHAnsi" w:eastAsia="Times New Roman" w:hAnsiTheme="majorHAnsi" w:cstheme="majorHAnsi"/>
                <w:sz w:val="24"/>
                <w:szCs w:val="24"/>
              </w:rPr>
            </w:pPr>
            <w:r w:rsidRPr="00143701">
              <w:rPr>
                <w:rFonts w:asciiTheme="majorHAnsi" w:eastAsia="Times New Roman" w:hAnsiTheme="majorHAnsi" w:cstheme="majorHAnsi"/>
                <w:sz w:val="24"/>
                <w:szCs w:val="24"/>
              </w:rPr>
              <w:t xml:space="preserve">Exercise classes (e.g. aerobics, martial arts)                                           </w:t>
            </w:r>
          </w:p>
          <w:p w14:paraId="246834FB"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Gym or weight training                                                               </w:t>
            </w:r>
          </w:p>
          <w:p w14:paraId="4CC5370E"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Pub games (e.g. snooker, pool, darts)</w:t>
            </w:r>
          </w:p>
          <w:p w14:paraId="44DE04EE"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Racquet sports (e.g. tennis, badminton, squash)</w:t>
            </w:r>
          </w:p>
          <w:p w14:paraId="146FE712"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Jogging, cross country, road running                                         </w:t>
            </w:r>
          </w:p>
          <w:p w14:paraId="24005164"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Swimming                                                         </w:t>
            </w:r>
          </w:p>
          <w:p w14:paraId="3B3F377B"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Team sports (e.g. rugby, football, cricket, hockey, netball)</w:t>
            </w:r>
            <w:bookmarkEnd w:id="9"/>
          </w:p>
        </w:tc>
        <w:tc>
          <w:tcPr>
            <w:tcW w:w="3344" w:type="dxa"/>
          </w:tcPr>
          <w:p w14:paraId="03402E79" w14:textId="77777777" w:rsidR="006C10FC" w:rsidRPr="00143701" w:rsidRDefault="006C10FC" w:rsidP="006D4B35">
            <w:pPr>
              <w:rPr>
                <w:rFonts w:asciiTheme="majorHAnsi" w:eastAsia="Calibri" w:hAnsiTheme="majorHAnsi" w:cstheme="majorHAnsi"/>
                <w:sz w:val="24"/>
                <w:szCs w:val="24"/>
              </w:rPr>
            </w:pPr>
          </w:p>
          <w:p w14:paraId="504381B1"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29 (10.5)</w:t>
            </w:r>
          </w:p>
          <w:p w14:paraId="48D343D0"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181 (65.6)</w:t>
            </w:r>
          </w:p>
          <w:p w14:paraId="6BDD4B3E" w14:textId="77777777" w:rsidR="006C10FC" w:rsidRPr="00143701" w:rsidRDefault="006C10FC" w:rsidP="006D4B35">
            <w:pPr>
              <w:rPr>
                <w:rFonts w:asciiTheme="majorHAnsi" w:eastAsia="Calibri" w:hAnsiTheme="majorHAnsi" w:cstheme="majorHAnsi"/>
                <w:sz w:val="24"/>
                <w:szCs w:val="24"/>
              </w:rPr>
            </w:pPr>
          </w:p>
          <w:p w14:paraId="239C6AB5"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26 (9.4)</w:t>
            </w:r>
          </w:p>
          <w:p w14:paraId="42B66BDC"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59 (21.4)</w:t>
            </w:r>
          </w:p>
          <w:p w14:paraId="6B54A30C"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34 (12.3)</w:t>
            </w:r>
          </w:p>
          <w:p w14:paraId="28FFF22E"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14 (5.1)</w:t>
            </w:r>
          </w:p>
          <w:p w14:paraId="7DFA9B0F"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20 (7.3)</w:t>
            </w:r>
          </w:p>
          <w:p w14:paraId="121B922D"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26 (9.4)</w:t>
            </w:r>
          </w:p>
          <w:p w14:paraId="46C38869" w14:textId="77777777" w:rsidR="006C10FC" w:rsidRPr="00143701" w:rsidRDefault="006C10FC" w:rsidP="006D4B35">
            <w:pPr>
              <w:spacing w:after="60"/>
              <w:rPr>
                <w:rFonts w:asciiTheme="majorHAnsi" w:eastAsia="Calibri" w:hAnsiTheme="majorHAnsi" w:cstheme="majorHAnsi"/>
                <w:sz w:val="24"/>
                <w:szCs w:val="24"/>
              </w:rPr>
            </w:pPr>
            <w:r w:rsidRPr="00143701">
              <w:rPr>
                <w:rFonts w:asciiTheme="majorHAnsi" w:eastAsia="Calibri" w:hAnsiTheme="majorHAnsi" w:cstheme="majorHAnsi"/>
                <w:sz w:val="24"/>
                <w:szCs w:val="24"/>
              </w:rPr>
              <w:t>18 (6.5)</w:t>
            </w:r>
          </w:p>
        </w:tc>
      </w:tr>
      <w:tr w:rsidR="006C10FC" w:rsidRPr="00143701" w14:paraId="0557A65C" w14:textId="77777777" w:rsidTr="006D4B35">
        <w:tblPrEx>
          <w:tblLook w:val="0000" w:firstRow="0" w:lastRow="0" w:firstColumn="0" w:lastColumn="0" w:noHBand="0" w:noVBand="0"/>
        </w:tblPrEx>
        <w:trPr>
          <w:trHeight w:val="356"/>
        </w:trPr>
        <w:tc>
          <w:tcPr>
            <w:tcW w:w="5256" w:type="dxa"/>
          </w:tcPr>
          <w:p w14:paraId="175E0A2D" w14:textId="77777777" w:rsidR="006C10FC" w:rsidRPr="00143701" w:rsidRDefault="006C10FC" w:rsidP="006D4B35">
            <w:pPr>
              <w:jc w:val="both"/>
              <w:rPr>
                <w:rFonts w:asciiTheme="majorHAnsi" w:eastAsia="Calibri" w:hAnsiTheme="majorHAnsi" w:cstheme="majorHAnsi"/>
                <w:i/>
                <w:sz w:val="24"/>
                <w:szCs w:val="24"/>
              </w:rPr>
            </w:pPr>
            <w:r w:rsidRPr="00143701">
              <w:rPr>
                <w:rFonts w:asciiTheme="majorHAnsi" w:eastAsia="Calibri" w:hAnsiTheme="majorHAnsi" w:cstheme="majorHAnsi"/>
                <w:sz w:val="24"/>
                <w:szCs w:val="24"/>
              </w:rPr>
              <w:t xml:space="preserve">Total weekly duration of 150, </w:t>
            </w:r>
            <w:r w:rsidRPr="00143701">
              <w:rPr>
                <w:rFonts w:asciiTheme="majorHAnsi" w:eastAsia="Calibri" w:hAnsiTheme="majorHAnsi" w:cstheme="majorHAnsi"/>
                <w:i/>
                <w:sz w:val="24"/>
                <w:szCs w:val="24"/>
              </w:rPr>
              <w:t>minutes</w:t>
            </w:r>
          </w:p>
          <w:p w14:paraId="0DB920CA" w14:textId="77777777" w:rsidR="006C10FC" w:rsidRPr="00143701" w:rsidRDefault="006C10FC" w:rsidP="006D4B35">
            <w:pPr>
              <w:ind w:left="340"/>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Yes</w:t>
            </w:r>
          </w:p>
          <w:p w14:paraId="122BA0F4" w14:textId="77777777" w:rsidR="006C10FC" w:rsidRPr="00143701" w:rsidRDefault="006C10FC" w:rsidP="006D4B35">
            <w:pPr>
              <w:ind w:left="340"/>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No</w:t>
            </w:r>
          </w:p>
          <w:p w14:paraId="2ECA73A1" w14:textId="77777777" w:rsidR="006C10FC" w:rsidRPr="00143701" w:rsidRDefault="006C10FC" w:rsidP="006D4B35">
            <w:pPr>
              <w:ind w:left="340"/>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Declined to answer</w:t>
            </w:r>
          </w:p>
        </w:tc>
        <w:tc>
          <w:tcPr>
            <w:tcW w:w="3344" w:type="dxa"/>
          </w:tcPr>
          <w:p w14:paraId="27C2A9CD" w14:textId="77777777" w:rsidR="006C10FC" w:rsidRPr="00143701" w:rsidRDefault="006C10FC" w:rsidP="006D4B35">
            <w:pPr>
              <w:rPr>
                <w:rFonts w:asciiTheme="majorHAnsi" w:eastAsia="Calibri" w:hAnsiTheme="majorHAnsi" w:cstheme="majorHAnsi"/>
                <w:sz w:val="24"/>
                <w:szCs w:val="24"/>
              </w:rPr>
            </w:pPr>
          </w:p>
          <w:p w14:paraId="71F8EDCB"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114 (21.5%)</w:t>
            </w:r>
          </w:p>
          <w:p w14:paraId="75C77A28"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414 (78.0%)</w:t>
            </w:r>
          </w:p>
          <w:p w14:paraId="00A642A7"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 (0.5%)</w:t>
            </w:r>
          </w:p>
        </w:tc>
      </w:tr>
      <w:tr w:rsidR="006C10FC" w:rsidRPr="00143701" w14:paraId="2C435CE5" w14:textId="77777777" w:rsidTr="006D4B35">
        <w:tblPrEx>
          <w:tblLook w:val="0000" w:firstRow="0" w:lastRow="0" w:firstColumn="0" w:lastColumn="0" w:noHBand="0" w:noVBand="0"/>
        </w:tblPrEx>
        <w:trPr>
          <w:trHeight w:val="210"/>
        </w:trPr>
        <w:tc>
          <w:tcPr>
            <w:tcW w:w="5256" w:type="dxa"/>
            <w:tcBorders>
              <w:bottom w:val="single" w:sz="4" w:space="0" w:color="auto"/>
            </w:tcBorders>
          </w:tcPr>
          <w:p w14:paraId="0E95D8EA"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Total frequency of sports and fitness </w:t>
            </w:r>
            <w:proofErr w:type="spellStart"/>
            <w:r w:rsidRPr="00143701">
              <w:rPr>
                <w:rFonts w:asciiTheme="majorHAnsi" w:eastAsia="Calibri" w:hAnsiTheme="majorHAnsi" w:cstheme="majorHAnsi"/>
                <w:sz w:val="24"/>
                <w:szCs w:val="24"/>
              </w:rPr>
              <w:t>participation</w:t>
            </w:r>
            <w:r w:rsidRPr="00143701">
              <w:rPr>
                <w:rFonts w:asciiTheme="majorHAnsi" w:eastAsia="Calibri" w:hAnsiTheme="majorHAnsi" w:cstheme="majorHAnsi"/>
                <w:sz w:val="24"/>
                <w:szCs w:val="24"/>
                <w:vertAlign w:val="superscript"/>
              </w:rPr>
              <w:t>cd</w:t>
            </w:r>
            <w:proofErr w:type="spellEnd"/>
          </w:p>
          <w:p w14:paraId="25AF3E8B"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      Mean (SD)</w:t>
            </w:r>
          </w:p>
          <w:p w14:paraId="4EFF112D"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Median </w:t>
            </w:r>
          </w:p>
          <w:p w14:paraId="2A42BD9F"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Range</w:t>
            </w:r>
          </w:p>
        </w:tc>
        <w:tc>
          <w:tcPr>
            <w:tcW w:w="3344" w:type="dxa"/>
            <w:tcBorders>
              <w:bottom w:val="single" w:sz="4" w:space="0" w:color="auto"/>
            </w:tcBorders>
          </w:tcPr>
          <w:p w14:paraId="5D71412B" w14:textId="77777777" w:rsidR="006C10FC" w:rsidRPr="00143701" w:rsidRDefault="006C10FC" w:rsidP="006D4B35">
            <w:pPr>
              <w:rPr>
                <w:rFonts w:asciiTheme="majorHAnsi" w:eastAsia="Calibri" w:hAnsiTheme="majorHAnsi" w:cstheme="majorHAnsi"/>
                <w:sz w:val="24"/>
                <w:szCs w:val="24"/>
              </w:rPr>
            </w:pPr>
          </w:p>
          <w:p w14:paraId="5CDE089A"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2.4 (3.6)</w:t>
            </w:r>
          </w:p>
          <w:p w14:paraId="4CFCF10F"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1.0</w:t>
            </w:r>
          </w:p>
          <w:p w14:paraId="1EB8A29E"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1-22</w:t>
            </w:r>
          </w:p>
        </w:tc>
      </w:tr>
      <w:tr w:rsidR="006C10FC" w:rsidRPr="00143701" w14:paraId="5F0E5FF8" w14:textId="77777777" w:rsidTr="006D4B35">
        <w:tblPrEx>
          <w:tblLook w:val="0000" w:firstRow="0" w:lastRow="0" w:firstColumn="0" w:lastColumn="0" w:noHBand="0" w:noVBand="0"/>
        </w:tblPrEx>
        <w:trPr>
          <w:trHeight w:val="210"/>
        </w:trPr>
        <w:tc>
          <w:tcPr>
            <w:tcW w:w="5256" w:type="dxa"/>
            <w:tcBorders>
              <w:bottom w:val="single" w:sz="4" w:space="0" w:color="auto"/>
            </w:tcBorders>
          </w:tcPr>
          <w:p w14:paraId="2F4F7A56"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Number of social contacts</w:t>
            </w:r>
          </w:p>
          <w:p w14:paraId="1714F11D"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      Mean (SD)</w:t>
            </w:r>
          </w:p>
          <w:p w14:paraId="19729E09"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      Median</w:t>
            </w:r>
          </w:p>
          <w:p w14:paraId="5D257118"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      Range</w:t>
            </w:r>
          </w:p>
        </w:tc>
        <w:tc>
          <w:tcPr>
            <w:tcW w:w="3344" w:type="dxa"/>
            <w:tcBorders>
              <w:bottom w:val="single" w:sz="4" w:space="0" w:color="auto"/>
            </w:tcBorders>
          </w:tcPr>
          <w:p w14:paraId="00709DE8" w14:textId="77777777" w:rsidR="006C10FC" w:rsidRPr="00143701" w:rsidRDefault="006C10FC" w:rsidP="006D4B35">
            <w:pPr>
              <w:rPr>
                <w:rFonts w:asciiTheme="majorHAnsi" w:eastAsia="Calibri" w:hAnsiTheme="majorHAnsi" w:cstheme="majorHAnsi"/>
                <w:sz w:val="24"/>
                <w:szCs w:val="24"/>
              </w:rPr>
            </w:pPr>
          </w:p>
          <w:p w14:paraId="7B668E3E"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2.9 (2.6)</w:t>
            </w:r>
          </w:p>
          <w:p w14:paraId="286BCCDF"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2</w:t>
            </w:r>
          </w:p>
          <w:p w14:paraId="4A9F5F0D"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1-15</w:t>
            </w:r>
          </w:p>
        </w:tc>
      </w:tr>
      <w:tr w:rsidR="006C10FC" w:rsidRPr="00143701" w14:paraId="53F9E0F3" w14:textId="77777777" w:rsidTr="006D4B35">
        <w:tblPrEx>
          <w:tblLook w:val="0000" w:firstRow="0" w:lastRow="0" w:firstColumn="0" w:lastColumn="0" w:noHBand="0" w:noVBand="0"/>
        </w:tblPrEx>
        <w:trPr>
          <w:trHeight w:val="444"/>
        </w:trPr>
        <w:tc>
          <w:tcPr>
            <w:tcW w:w="5256" w:type="dxa"/>
            <w:tcBorders>
              <w:bottom w:val="single" w:sz="4" w:space="0" w:color="auto"/>
            </w:tcBorders>
          </w:tcPr>
          <w:p w14:paraId="45849CA9" w14:textId="77777777" w:rsidR="006C10FC" w:rsidRPr="00143701" w:rsidRDefault="006C10FC" w:rsidP="006D4B35">
            <w:pPr>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Participated </w:t>
            </w:r>
            <w:proofErr w:type="spellStart"/>
            <w:r w:rsidRPr="00143701">
              <w:rPr>
                <w:rFonts w:asciiTheme="majorHAnsi" w:eastAsia="Calibri" w:hAnsiTheme="majorHAnsi" w:cstheme="majorHAnsi"/>
                <w:sz w:val="24"/>
                <w:szCs w:val="24"/>
              </w:rPr>
              <w:t>with</w:t>
            </w:r>
            <w:r w:rsidRPr="00143701">
              <w:rPr>
                <w:rFonts w:asciiTheme="majorHAnsi" w:eastAsia="Calibri" w:hAnsiTheme="majorHAnsi" w:cstheme="majorHAnsi"/>
                <w:sz w:val="24"/>
                <w:szCs w:val="24"/>
                <w:vertAlign w:val="superscript"/>
              </w:rPr>
              <w:t>c</w:t>
            </w:r>
            <w:proofErr w:type="spellEnd"/>
            <w:r w:rsidRPr="00143701">
              <w:rPr>
                <w:rFonts w:asciiTheme="majorHAnsi" w:eastAsia="Calibri" w:hAnsiTheme="majorHAnsi" w:cstheme="majorHAnsi"/>
                <w:sz w:val="24"/>
                <w:szCs w:val="24"/>
              </w:rPr>
              <w:t xml:space="preserve">, </w:t>
            </w:r>
            <w:r w:rsidRPr="00143701">
              <w:rPr>
                <w:rFonts w:asciiTheme="majorHAnsi" w:eastAsia="Calibri" w:hAnsiTheme="majorHAnsi" w:cstheme="majorHAnsi"/>
                <w:i/>
                <w:sz w:val="24"/>
                <w:szCs w:val="24"/>
              </w:rPr>
              <w:t>n</w:t>
            </w:r>
            <w:r w:rsidRPr="00143701">
              <w:rPr>
                <w:rFonts w:asciiTheme="majorHAnsi" w:eastAsia="Calibri" w:hAnsiTheme="majorHAnsi" w:cstheme="majorHAnsi"/>
                <w:sz w:val="24"/>
                <w:szCs w:val="24"/>
              </w:rPr>
              <w:t xml:space="preserve"> (%)                                                             </w:t>
            </w:r>
          </w:p>
          <w:p w14:paraId="0B7AEAFF"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Friend(s)                                               </w:t>
            </w:r>
          </w:p>
          <w:p w14:paraId="0595E5D3"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Family                                                       </w:t>
            </w:r>
            <w:r w:rsidRPr="00143701">
              <w:rPr>
                <w:rFonts w:asciiTheme="majorHAnsi" w:eastAsia="Calibri" w:hAnsiTheme="majorHAnsi" w:cstheme="majorHAnsi"/>
                <w:sz w:val="24"/>
                <w:szCs w:val="24"/>
              </w:rPr>
              <w:tab/>
            </w:r>
          </w:p>
          <w:p w14:paraId="629E7112"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 xml:space="preserve">Carer(s)                                                 </w:t>
            </w:r>
          </w:p>
          <w:p w14:paraId="736499D3"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Patients</w:t>
            </w:r>
          </w:p>
          <w:p w14:paraId="756E2F22"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No one else</w:t>
            </w:r>
          </w:p>
          <w:p w14:paraId="1F131261" w14:textId="77777777" w:rsidR="006C10FC" w:rsidRPr="00143701" w:rsidRDefault="006C10FC" w:rsidP="006D4B35">
            <w:pPr>
              <w:ind w:left="316"/>
              <w:jc w:val="both"/>
              <w:rPr>
                <w:rFonts w:asciiTheme="majorHAnsi" w:eastAsia="Calibri" w:hAnsiTheme="majorHAnsi" w:cstheme="majorHAnsi"/>
                <w:sz w:val="24"/>
                <w:szCs w:val="24"/>
              </w:rPr>
            </w:pPr>
            <w:r w:rsidRPr="00143701">
              <w:rPr>
                <w:rFonts w:asciiTheme="majorHAnsi" w:eastAsia="Calibri" w:hAnsiTheme="majorHAnsi" w:cstheme="majorHAnsi"/>
                <w:sz w:val="24"/>
                <w:szCs w:val="24"/>
              </w:rPr>
              <w:t>Other</w:t>
            </w:r>
          </w:p>
        </w:tc>
        <w:tc>
          <w:tcPr>
            <w:tcW w:w="3344" w:type="dxa"/>
            <w:tcBorders>
              <w:bottom w:val="single" w:sz="4" w:space="0" w:color="auto"/>
            </w:tcBorders>
          </w:tcPr>
          <w:p w14:paraId="39B4E3C9" w14:textId="77777777" w:rsidR="006C10FC" w:rsidRPr="00143701" w:rsidRDefault="006C10FC" w:rsidP="006D4B35">
            <w:pPr>
              <w:rPr>
                <w:rFonts w:asciiTheme="majorHAnsi" w:eastAsia="Calibri" w:hAnsiTheme="majorHAnsi" w:cstheme="majorHAnsi"/>
                <w:sz w:val="24"/>
                <w:szCs w:val="24"/>
              </w:rPr>
            </w:pPr>
          </w:p>
          <w:p w14:paraId="6B9379F9"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45 (16.3)</w:t>
            </w:r>
          </w:p>
          <w:p w14:paraId="13BB2B23"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31 (11.2)</w:t>
            </w:r>
          </w:p>
          <w:p w14:paraId="0E72A3ED"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15 (5.4)</w:t>
            </w:r>
          </w:p>
          <w:p w14:paraId="5F077624"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18 (6.5)</w:t>
            </w:r>
          </w:p>
          <w:p w14:paraId="3C4C2203" w14:textId="77777777" w:rsidR="006C10FC" w:rsidRPr="00143701" w:rsidRDefault="006C10FC" w:rsidP="006D4B35">
            <w:pPr>
              <w:rPr>
                <w:rFonts w:asciiTheme="majorHAnsi" w:eastAsia="Calibri" w:hAnsiTheme="majorHAnsi" w:cstheme="majorHAnsi"/>
                <w:sz w:val="24"/>
                <w:szCs w:val="24"/>
              </w:rPr>
            </w:pPr>
            <w:r w:rsidRPr="00143701">
              <w:rPr>
                <w:rFonts w:asciiTheme="majorHAnsi" w:eastAsia="Calibri" w:hAnsiTheme="majorHAnsi" w:cstheme="majorHAnsi"/>
                <w:sz w:val="24"/>
                <w:szCs w:val="24"/>
              </w:rPr>
              <w:t>163 (59.1)</w:t>
            </w:r>
          </w:p>
          <w:p w14:paraId="4FC1AC40" w14:textId="77777777" w:rsidR="006C10FC" w:rsidRPr="00143701" w:rsidRDefault="006C10FC" w:rsidP="006D4B35">
            <w:pPr>
              <w:spacing w:after="60"/>
              <w:rPr>
                <w:rFonts w:asciiTheme="majorHAnsi" w:eastAsia="Calibri" w:hAnsiTheme="majorHAnsi" w:cstheme="majorHAnsi"/>
                <w:sz w:val="24"/>
                <w:szCs w:val="24"/>
              </w:rPr>
            </w:pPr>
            <w:r w:rsidRPr="00143701">
              <w:rPr>
                <w:rFonts w:asciiTheme="majorHAnsi" w:eastAsia="Calibri" w:hAnsiTheme="majorHAnsi" w:cstheme="majorHAnsi"/>
                <w:sz w:val="24"/>
                <w:szCs w:val="24"/>
              </w:rPr>
              <w:t>4 (1.5)</w:t>
            </w:r>
          </w:p>
        </w:tc>
      </w:tr>
    </w:tbl>
    <w:p w14:paraId="3437B1FB" w14:textId="77777777" w:rsidR="006C10FC" w:rsidRPr="00143701" w:rsidRDefault="006C10FC" w:rsidP="006C10FC">
      <w:pPr>
        <w:rPr>
          <w:rFonts w:asciiTheme="majorHAnsi" w:hAnsiTheme="majorHAnsi" w:cstheme="majorHAnsi"/>
          <w:b/>
          <w:sz w:val="24"/>
          <w:szCs w:val="24"/>
        </w:rPr>
      </w:pPr>
    </w:p>
    <w:p w14:paraId="57B3ACA5" w14:textId="77777777" w:rsidR="006C10FC" w:rsidRPr="00143701" w:rsidRDefault="006C10FC" w:rsidP="006C10FC">
      <w:pPr>
        <w:rPr>
          <w:rFonts w:asciiTheme="majorHAnsi" w:hAnsiTheme="majorHAnsi" w:cstheme="majorHAnsi"/>
          <w:sz w:val="24"/>
          <w:szCs w:val="24"/>
          <w:vertAlign w:val="superscript"/>
        </w:rPr>
      </w:pPr>
    </w:p>
    <w:p w14:paraId="22F31434" w14:textId="77777777" w:rsidR="006C10FC" w:rsidRPr="00143701" w:rsidRDefault="006C10FC" w:rsidP="006C10FC">
      <w:pPr>
        <w:rPr>
          <w:rFonts w:asciiTheme="majorHAnsi" w:hAnsiTheme="majorHAnsi" w:cstheme="majorHAnsi"/>
          <w:sz w:val="24"/>
          <w:szCs w:val="24"/>
          <w:vertAlign w:val="superscript"/>
        </w:rPr>
      </w:pPr>
    </w:p>
    <w:p w14:paraId="625AD5B2" w14:textId="77777777" w:rsidR="006C10FC" w:rsidRPr="00143701" w:rsidRDefault="006C10FC" w:rsidP="006C10FC">
      <w:pPr>
        <w:rPr>
          <w:rFonts w:asciiTheme="majorHAnsi" w:hAnsiTheme="majorHAnsi" w:cstheme="majorHAnsi"/>
          <w:sz w:val="24"/>
          <w:szCs w:val="24"/>
          <w:vertAlign w:val="superscript"/>
        </w:rPr>
      </w:pPr>
    </w:p>
    <w:p w14:paraId="51C50074" w14:textId="77777777" w:rsidR="006C10FC" w:rsidRPr="00143701" w:rsidRDefault="006C10FC" w:rsidP="006C10FC">
      <w:pPr>
        <w:rPr>
          <w:rFonts w:asciiTheme="majorHAnsi" w:hAnsiTheme="majorHAnsi" w:cstheme="majorHAnsi"/>
          <w:sz w:val="24"/>
          <w:szCs w:val="24"/>
          <w:vertAlign w:val="superscript"/>
        </w:rPr>
      </w:pPr>
    </w:p>
    <w:p w14:paraId="0DAF4679" w14:textId="77777777" w:rsidR="006C10FC" w:rsidRPr="00143701" w:rsidRDefault="006C10FC" w:rsidP="006C10FC">
      <w:pPr>
        <w:rPr>
          <w:rFonts w:asciiTheme="majorHAnsi" w:hAnsiTheme="majorHAnsi" w:cstheme="majorHAnsi"/>
          <w:sz w:val="24"/>
          <w:szCs w:val="24"/>
          <w:vertAlign w:val="superscript"/>
        </w:rPr>
      </w:pPr>
    </w:p>
    <w:p w14:paraId="182F4BC1" w14:textId="77777777" w:rsidR="006C10FC" w:rsidRPr="00143701" w:rsidRDefault="006C10FC" w:rsidP="006C10FC">
      <w:pPr>
        <w:rPr>
          <w:rFonts w:asciiTheme="majorHAnsi" w:hAnsiTheme="majorHAnsi" w:cstheme="majorHAnsi"/>
          <w:sz w:val="24"/>
          <w:szCs w:val="24"/>
          <w:vertAlign w:val="superscript"/>
        </w:rPr>
      </w:pPr>
    </w:p>
    <w:p w14:paraId="6979DCA4" w14:textId="77777777" w:rsidR="006C10FC" w:rsidRPr="00143701" w:rsidRDefault="006C10FC" w:rsidP="006C10FC">
      <w:pPr>
        <w:rPr>
          <w:rFonts w:asciiTheme="majorHAnsi" w:hAnsiTheme="majorHAnsi" w:cstheme="majorHAnsi"/>
          <w:sz w:val="24"/>
          <w:szCs w:val="24"/>
          <w:vertAlign w:val="superscript"/>
        </w:rPr>
      </w:pPr>
    </w:p>
    <w:p w14:paraId="03125BE5" w14:textId="77777777" w:rsidR="006C10FC" w:rsidRPr="00143701" w:rsidRDefault="006C10FC" w:rsidP="006C10FC">
      <w:pPr>
        <w:rPr>
          <w:rFonts w:asciiTheme="majorHAnsi" w:hAnsiTheme="majorHAnsi" w:cstheme="majorHAnsi"/>
          <w:sz w:val="24"/>
          <w:szCs w:val="24"/>
          <w:vertAlign w:val="superscript"/>
        </w:rPr>
      </w:pPr>
    </w:p>
    <w:p w14:paraId="409067DA" w14:textId="77777777" w:rsidR="006C10FC" w:rsidRPr="00143701" w:rsidRDefault="006C10FC">
      <w:pPr>
        <w:rPr>
          <w:rFonts w:asciiTheme="majorHAnsi" w:hAnsiTheme="majorHAnsi" w:cstheme="majorHAnsi"/>
          <w:sz w:val="24"/>
          <w:szCs w:val="24"/>
        </w:rPr>
      </w:pPr>
    </w:p>
    <w:p w14:paraId="24A10C23" w14:textId="77777777" w:rsidR="00AE4747" w:rsidRPr="00143701" w:rsidRDefault="00AE4747" w:rsidP="00AE4747">
      <w:pPr>
        <w:pStyle w:val="Heading3"/>
        <w:spacing w:before="360" w:after="120"/>
        <w:rPr>
          <w:rFonts w:cstheme="majorHAnsi"/>
          <w:color w:val="505050"/>
        </w:rPr>
      </w:pPr>
      <w:bookmarkStart w:id="10" w:name="_Hlk88468731"/>
      <w:r w:rsidRPr="00143701">
        <w:rPr>
          <w:rFonts w:cstheme="majorHAnsi"/>
          <w:b/>
          <w:bCs/>
          <w:color w:val="505050"/>
        </w:rPr>
        <w:t>Conclusion</w:t>
      </w:r>
    </w:p>
    <w:p w14:paraId="515B5D07" w14:textId="77777777" w:rsidR="00AE4747" w:rsidRPr="00143701" w:rsidRDefault="00AE4747" w:rsidP="00AE4747">
      <w:pPr>
        <w:pStyle w:val="NormalWeb"/>
        <w:spacing w:before="0" w:beforeAutospacing="0" w:after="240" w:afterAutospacing="0"/>
        <w:rPr>
          <w:rFonts w:asciiTheme="majorHAnsi" w:hAnsiTheme="majorHAnsi" w:cstheme="majorHAnsi"/>
          <w:color w:val="2E2E2E"/>
        </w:rPr>
      </w:pPr>
      <w:r w:rsidRPr="00143701">
        <w:rPr>
          <w:rFonts w:asciiTheme="majorHAnsi" w:hAnsiTheme="majorHAnsi" w:cstheme="majorHAnsi"/>
          <w:color w:val="2E2E2E"/>
        </w:rPr>
        <w:t>Mental health services promoting physical activity interventions among people with psychotic disorders may need to modify their approaches based on previous patient preference and increase their focus on sub-groups of patients who are less likely to routinely engage in fitness activities.</w:t>
      </w:r>
    </w:p>
    <w:bookmarkEnd w:id="10"/>
    <w:p w14:paraId="238459AF" w14:textId="77777777" w:rsidR="00AE4747" w:rsidRPr="00143701" w:rsidRDefault="00AE4747">
      <w:pPr>
        <w:rPr>
          <w:rFonts w:asciiTheme="majorHAnsi" w:hAnsiTheme="majorHAnsi" w:cstheme="majorHAnsi"/>
          <w:sz w:val="24"/>
          <w:szCs w:val="24"/>
        </w:rPr>
      </w:pPr>
    </w:p>
    <w:sectPr w:rsidR="00AE4747" w:rsidRPr="00143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609"/>
    <w:multiLevelType w:val="multilevel"/>
    <w:tmpl w:val="D7F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8499E"/>
    <w:multiLevelType w:val="hybridMultilevel"/>
    <w:tmpl w:val="DC0C6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00"/>
    <w:rsid w:val="00143701"/>
    <w:rsid w:val="001D2995"/>
    <w:rsid w:val="001E313F"/>
    <w:rsid w:val="00272604"/>
    <w:rsid w:val="0028367D"/>
    <w:rsid w:val="003C0253"/>
    <w:rsid w:val="003D7395"/>
    <w:rsid w:val="005D45D1"/>
    <w:rsid w:val="006C10FC"/>
    <w:rsid w:val="007913AA"/>
    <w:rsid w:val="00A9610F"/>
    <w:rsid w:val="00AE4747"/>
    <w:rsid w:val="00AF4C00"/>
    <w:rsid w:val="00B33296"/>
    <w:rsid w:val="00C35CCD"/>
    <w:rsid w:val="00D30E92"/>
    <w:rsid w:val="00DC2771"/>
    <w:rsid w:val="00EF50CE"/>
    <w:rsid w:val="00FC78D1"/>
    <w:rsid w:val="00FD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FA35"/>
  <w15:chartTrackingRefBased/>
  <w15:docId w15:val="{93935FAD-BE95-4C68-AE17-9BB7E12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C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4C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E47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C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F4C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4C00"/>
    <w:pPr>
      <w:ind w:left="720"/>
      <w:contextualSpacing/>
    </w:pPr>
  </w:style>
  <w:style w:type="character" w:customStyle="1" w:styleId="Heading1Char">
    <w:name w:val="Heading 1 Char"/>
    <w:basedOn w:val="DefaultParagraphFont"/>
    <w:link w:val="Heading1"/>
    <w:uiPriority w:val="9"/>
    <w:rsid w:val="00AF4C00"/>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AF4C00"/>
  </w:style>
  <w:style w:type="character" w:customStyle="1" w:styleId="sr-only">
    <w:name w:val="sr-only"/>
    <w:basedOn w:val="DefaultParagraphFont"/>
    <w:rsid w:val="00AF4C00"/>
  </w:style>
  <w:style w:type="character" w:customStyle="1" w:styleId="text">
    <w:name w:val="text"/>
    <w:basedOn w:val="DefaultParagraphFont"/>
    <w:rsid w:val="00AF4C00"/>
  </w:style>
  <w:style w:type="character" w:customStyle="1" w:styleId="author-ref">
    <w:name w:val="author-ref"/>
    <w:basedOn w:val="DefaultParagraphFont"/>
    <w:rsid w:val="00AF4C00"/>
  </w:style>
  <w:style w:type="character" w:customStyle="1" w:styleId="Heading3Char">
    <w:name w:val="Heading 3 Char"/>
    <w:basedOn w:val="DefaultParagraphFont"/>
    <w:link w:val="Heading3"/>
    <w:uiPriority w:val="9"/>
    <w:semiHidden/>
    <w:rsid w:val="00AE474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E4747"/>
    <w:rPr>
      <w:color w:val="0000FF"/>
      <w:u w:val="single"/>
    </w:rPr>
  </w:style>
  <w:style w:type="character" w:styleId="Emphasis">
    <w:name w:val="Emphasis"/>
    <w:basedOn w:val="DefaultParagraphFont"/>
    <w:uiPriority w:val="20"/>
    <w:qFormat/>
    <w:rsid w:val="00AE4747"/>
    <w:rPr>
      <w:i/>
      <w:iCs/>
    </w:rPr>
  </w:style>
  <w:style w:type="table" w:customStyle="1" w:styleId="TableGrid2">
    <w:name w:val="Table Grid2"/>
    <w:basedOn w:val="TableNormal"/>
    <w:next w:val="TableGrid"/>
    <w:uiPriority w:val="59"/>
    <w:rsid w:val="00FD2CBA"/>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C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2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984">
      <w:bodyDiv w:val="1"/>
      <w:marLeft w:val="0"/>
      <w:marRight w:val="0"/>
      <w:marTop w:val="0"/>
      <w:marBottom w:val="0"/>
      <w:divBdr>
        <w:top w:val="none" w:sz="0" w:space="0" w:color="auto"/>
        <w:left w:val="none" w:sz="0" w:space="0" w:color="auto"/>
        <w:bottom w:val="none" w:sz="0" w:space="0" w:color="auto"/>
        <w:right w:val="none" w:sz="0" w:space="0" w:color="auto"/>
      </w:divBdr>
    </w:div>
    <w:div w:id="313918132">
      <w:bodyDiv w:val="1"/>
      <w:marLeft w:val="0"/>
      <w:marRight w:val="0"/>
      <w:marTop w:val="0"/>
      <w:marBottom w:val="0"/>
      <w:divBdr>
        <w:top w:val="none" w:sz="0" w:space="0" w:color="auto"/>
        <w:left w:val="none" w:sz="0" w:space="0" w:color="auto"/>
        <w:bottom w:val="none" w:sz="0" w:space="0" w:color="auto"/>
        <w:right w:val="none" w:sz="0" w:space="0" w:color="auto"/>
      </w:divBdr>
    </w:div>
    <w:div w:id="760295654">
      <w:bodyDiv w:val="1"/>
      <w:marLeft w:val="0"/>
      <w:marRight w:val="0"/>
      <w:marTop w:val="0"/>
      <w:marBottom w:val="0"/>
      <w:divBdr>
        <w:top w:val="none" w:sz="0" w:space="0" w:color="auto"/>
        <w:left w:val="none" w:sz="0" w:space="0" w:color="auto"/>
        <w:bottom w:val="none" w:sz="0" w:space="0" w:color="auto"/>
        <w:right w:val="none" w:sz="0" w:space="0" w:color="auto"/>
      </w:divBdr>
    </w:div>
    <w:div w:id="1018657199">
      <w:bodyDiv w:val="1"/>
      <w:marLeft w:val="0"/>
      <w:marRight w:val="0"/>
      <w:marTop w:val="0"/>
      <w:marBottom w:val="0"/>
      <w:divBdr>
        <w:top w:val="none" w:sz="0" w:space="0" w:color="auto"/>
        <w:left w:val="none" w:sz="0" w:space="0" w:color="auto"/>
        <w:bottom w:val="none" w:sz="0" w:space="0" w:color="auto"/>
        <w:right w:val="none" w:sz="0" w:space="0" w:color="auto"/>
      </w:divBdr>
    </w:div>
    <w:div w:id="1153447993">
      <w:bodyDiv w:val="1"/>
      <w:marLeft w:val="0"/>
      <w:marRight w:val="0"/>
      <w:marTop w:val="0"/>
      <w:marBottom w:val="0"/>
      <w:divBdr>
        <w:top w:val="none" w:sz="0" w:space="0" w:color="auto"/>
        <w:left w:val="none" w:sz="0" w:space="0" w:color="auto"/>
        <w:bottom w:val="none" w:sz="0" w:space="0" w:color="auto"/>
        <w:right w:val="none" w:sz="0" w:space="0" w:color="auto"/>
      </w:divBdr>
      <w:divsChild>
        <w:div w:id="1911109070">
          <w:marLeft w:val="0"/>
          <w:marRight w:val="0"/>
          <w:marTop w:val="0"/>
          <w:marBottom w:val="0"/>
          <w:divBdr>
            <w:top w:val="none" w:sz="0" w:space="0" w:color="auto"/>
            <w:left w:val="none" w:sz="0" w:space="0" w:color="auto"/>
            <w:bottom w:val="none" w:sz="0" w:space="0" w:color="auto"/>
            <w:right w:val="none" w:sz="0" w:space="0" w:color="auto"/>
          </w:divBdr>
        </w:div>
      </w:divsChild>
    </w:div>
    <w:div w:id="1161197502">
      <w:bodyDiv w:val="1"/>
      <w:marLeft w:val="0"/>
      <w:marRight w:val="0"/>
      <w:marTop w:val="0"/>
      <w:marBottom w:val="0"/>
      <w:divBdr>
        <w:top w:val="none" w:sz="0" w:space="0" w:color="auto"/>
        <w:left w:val="none" w:sz="0" w:space="0" w:color="auto"/>
        <w:bottom w:val="none" w:sz="0" w:space="0" w:color="auto"/>
        <w:right w:val="none" w:sz="0" w:space="0" w:color="auto"/>
      </w:divBdr>
    </w:div>
    <w:div w:id="21092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755296621000223?via%3Dih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1755296621000223?via%3Dihub" TargetMode="External"/><Relationship Id="rId12" Type="http://schemas.openxmlformats.org/officeDocument/2006/relationships/hyperlink" Target="https://www.sciencedirect.com/topics/psychology/poisson-reg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1755296621000223?via%3Dihub" TargetMode="External"/><Relationship Id="rId11" Type="http://schemas.openxmlformats.org/officeDocument/2006/relationships/image" Target="media/image1.png"/><Relationship Id="rId5" Type="http://schemas.openxmlformats.org/officeDocument/2006/relationships/hyperlink" Target="https://www.sciencedirect.com/science/article/pii/S1755296621000223?via%3Dihub" TargetMode="External"/><Relationship Id="rId10" Type="http://schemas.openxmlformats.org/officeDocument/2006/relationships/hyperlink" Target="https://www.sciencedirect.com/topics/psychology/psychotic-disorder" TargetMode="External"/><Relationship Id="rId4" Type="http://schemas.openxmlformats.org/officeDocument/2006/relationships/webSettings" Target="webSettings.xml"/><Relationship Id="rId9" Type="http://schemas.openxmlformats.org/officeDocument/2006/relationships/hyperlink" Target="https://www.sciencedirect.com/science/article/pii/S1755296621000223?via%3Di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kayonda Ngamaba</dc:creator>
  <cp:keywords/>
  <dc:description/>
  <cp:lastModifiedBy>Kayonda Ngamaba</cp:lastModifiedBy>
  <cp:revision>4</cp:revision>
  <dcterms:created xsi:type="dcterms:W3CDTF">2022-01-04T13:13:00Z</dcterms:created>
  <dcterms:modified xsi:type="dcterms:W3CDTF">2022-01-04T13:15:00Z</dcterms:modified>
</cp:coreProperties>
</file>