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6EBA0" w14:textId="77777777" w:rsidR="00FC0164" w:rsidRDefault="00FC0164" w:rsidP="00FC0164">
      <w:pPr>
        <w:spacing w:line="480" w:lineRule="auto"/>
        <w:jc w:val="center"/>
      </w:pPr>
      <w:bookmarkStart w:id="0" w:name="_Toc39473182"/>
      <w:bookmarkStart w:id="1" w:name="_Toc39659494"/>
    </w:p>
    <w:p w14:paraId="09DA0D81" w14:textId="77777777" w:rsidR="00FC0164" w:rsidRDefault="00FC0164" w:rsidP="00FC0164">
      <w:pPr>
        <w:spacing w:line="480" w:lineRule="auto"/>
        <w:jc w:val="center"/>
      </w:pPr>
    </w:p>
    <w:p w14:paraId="0D44C012" w14:textId="77777777" w:rsidR="00FC0164" w:rsidRDefault="00FC0164" w:rsidP="00FC0164">
      <w:pPr>
        <w:spacing w:line="480" w:lineRule="auto"/>
        <w:jc w:val="center"/>
      </w:pPr>
      <w:r>
        <w:t>Brief Report</w:t>
      </w:r>
    </w:p>
    <w:p w14:paraId="21891A7A" w14:textId="77777777" w:rsidR="00FC0164" w:rsidRDefault="00FC0164" w:rsidP="00FC0164">
      <w:pPr>
        <w:spacing w:line="480" w:lineRule="auto"/>
        <w:jc w:val="center"/>
      </w:pPr>
      <w:r>
        <w:t xml:space="preserve">The Personal Experiences Checklist Short Form (PECK-SF): </w:t>
      </w:r>
    </w:p>
    <w:p w14:paraId="23C98D0B" w14:textId="77777777" w:rsidR="00FC0164" w:rsidRDefault="00FC0164" w:rsidP="00FC0164">
      <w:pPr>
        <w:spacing w:line="480" w:lineRule="auto"/>
        <w:jc w:val="center"/>
      </w:pPr>
      <w:r>
        <w:t>Tests of invariance across gender and over time.</w:t>
      </w:r>
    </w:p>
    <w:p w14:paraId="0634A6DB" w14:textId="77777777" w:rsidR="00FC0164" w:rsidRDefault="00FC0164" w:rsidP="00FC0164">
      <w:pPr>
        <w:jc w:val="center"/>
        <w:rPr>
          <w:color w:val="000000" w:themeColor="text1"/>
        </w:rPr>
      </w:pPr>
    </w:p>
    <w:p w14:paraId="2CF1DA74" w14:textId="77777777" w:rsidR="00FC0164" w:rsidRPr="00A956DB" w:rsidRDefault="00FC0164" w:rsidP="00FC0164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Dr </w:t>
      </w:r>
      <w:r w:rsidRPr="0057502B">
        <w:rPr>
          <w:color w:val="000000" w:themeColor="text1"/>
        </w:rPr>
        <w:t>Nathalie Noret</w:t>
      </w:r>
      <w:r w:rsidRPr="002670ED">
        <w:rPr>
          <w:color w:val="000000" w:themeColor="text1"/>
          <w:vertAlign w:val="superscript"/>
        </w:rPr>
        <w:t>1</w:t>
      </w:r>
      <w:r w:rsidRPr="0057502B">
        <w:rPr>
          <w:color w:val="000000" w:themeColor="text1"/>
        </w:rPr>
        <w:t>*</w:t>
      </w:r>
      <w:r>
        <w:rPr>
          <w:color w:val="000000" w:themeColor="text1"/>
        </w:rPr>
        <w:t xml:space="preserve"> Professor</w:t>
      </w:r>
      <w:r w:rsidRPr="0057502B">
        <w:rPr>
          <w:color w:val="000000" w:themeColor="text1"/>
        </w:rPr>
        <w:t xml:space="preserve"> Simon C. Hunter</w:t>
      </w:r>
      <w:r w:rsidRPr="002670ED">
        <w:rPr>
          <w:color w:val="000000" w:themeColor="text1"/>
          <w:vertAlign w:val="superscript"/>
        </w:rPr>
        <w:t>2</w:t>
      </w:r>
      <w:r>
        <w:rPr>
          <w:color w:val="000000" w:themeColor="text1"/>
          <w:vertAlign w:val="superscript"/>
        </w:rPr>
        <w:t xml:space="preserve">,3 </w:t>
      </w:r>
      <w:r>
        <w:rPr>
          <w:color w:val="000000" w:themeColor="text1"/>
        </w:rPr>
        <w:t>&amp; Dr Susan Rasmussen</w:t>
      </w:r>
      <w:r w:rsidRPr="008340F4">
        <w:rPr>
          <w:color w:val="000000" w:themeColor="text1"/>
          <w:vertAlign w:val="superscript"/>
        </w:rPr>
        <w:t>4</w:t>
      </w:r>
    </w:p>
    <w:p w14:paraId="55566523" w14:textId="77777777" w:rsidR="00FC0164" w:rsidRDefault="00FC0164" w:rsidP="00FC0164">
      <w:pPr>
        <w:jc w:val="center"/>
        <w:rPr>
          <w:color w:val="000000" w:themeColor="text1"/>
        </w:rPr>
      </w:pPr>
    </w:p>
    <w:p w14:paraId="6E72D71D" w14:textId="77777777" w:rsidR="00FC0164" w:rsidRDefault="00FC0164" w:rsidP="00FC0164">
      <w:pPr>
        <w:jc w:val="center"/>
        <w:rPr>
          <w:color w:val="000000" w:themeColor="text1"/>
        </w:rPr>
      </w:pPr>
    </w:p>
    <w:p w14:paraId="46B366DA" w14:textId="77777777" w:rsidR="00FC0164" w:rsidRDefault="00FC0164" w:rsidP="00FC0164">
      <w:pPr>
        <w:jc w:val="center"/>
        <w:rPr>
          <w:color w:val="000000" w:themeColor="text1"/>
        </w:rPr>
      </w:pPr>
    </w:p>
    <w:p w14:paraId="6B7D81A6" w14:textId="77777777" w:rsidR="00FC0164" w:rsidRDefault="00FC0164" w:rsidP="00FC0164">
      <w:pPr>
        <w:rPr>
          <w:color w:val="000000" w:themeColor="text1"/>
        </w:rPr>
      </w:pPr>
    </w:p>
    <w:p w14:paraId="48E3AFF2" w14:textId="77777777" w:rsidR="00FC0164" w:rsidRDefault="00FC0164" w:rsidP="00FC0164">
      <w:pPr>
        <w:jc w:val="center"/>
        <w:rPr>
          <w:color w:val="000000" w:themeColor="text1"/>
        </w:rPr>
      </w:pPr>
    </w:p>
    <w:p w14:paraId="61E1AD74" w14:textId="77777777" w:rsidR="00FC0164" w:rsidRPr="006837BA" w:rsidRDefault="00FC0164" w:rsidP="00FC0164">
      <w:pPr>
        <w:spacing w:line="480" w:lineRule="auto"/>
        <w:rPr>
          <w:b/>
          <w:bCs/>
          <w:color w:val="000000" w:themeColor="text1"/>
        </w:rPr>
      </w:pPr>
      <w:r w:rsidRPr="006837BA">
        <w:rPr>
          <w:b/>
          <w:bCs/>
          <w:color w:val="000000" w:themeColor="text1"/>
        </w:rPr>
        <w:t>Authors note</w:t>
      </w:r>
    </w:p>
    <w:p w14:paraId="29C8337A" w14:textId="77777777" w:rsidR="00FC0164" w:rsidRDefault="00FC0164" w:rsidP="00FC016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Supplementary materials, including a copy of analysis scripts and data files can be found at: </w:t>
      </w:r>
      <w:hyperlink r:id="rId10" w:history="1">
        <w:r w:rsidRPr="005808E5">
          <w:rPr>
            <w:rStyle w:val="Hyperlink"/>
            <w:rFonts w:eastAsia="MS Gothic"/>
          </w:rPr>
          <w:t>https://doi.org/10.17605/OSF.IO/Q7C98</w:t>
        </w:r>
      </w:hyperlink>
      <w:r>
        <w:rPr>
          <w:color w:val="000000" w:themeColor="text1"/>
        </w:rPr>
        <w:t xml:space="preserve"> . </w:t>
      </w:r>
      <w:r w:rsidRPr="006837BA">
        <w:rPr>
          <w:color w:val="000000" w:themeColor="text1"/>
        </w:rPr>
        <w:t>Data used</w:t>
      </w:r>
      <w:r>
        <w:rPr>
          <w:color w:val="000000" w:themeColor="text1"/>
        </w:rPr>
        <w:t xml:space="preserve"> </w:t>
      </w:r>
      <w:r w:rsidRPr="006837BA">
        <w:rPr>
          <w:color w:val="000000" w:themeColor="text1"/>
        </w:rPr>
        <w:t xml:space="preserve">in this research study were not collected as part of </w:t>
      </w:r>
      <w:r>
        <w:rPr>
          <w:color w:val="000000" w:themeColor="text1"/>
        </w:rPr>
        <w:t>any</w:t>
      </w:r>
      <w:r w:rsidRPr="006837BA">
        <w:rPr>
          <w:color w:val="000000" w:themeColor="text1"/>
        </w:rPr>
        <w:t xml:space="preserve"> funded project.</w:t>
      </w:r>
      <w:r>
        <w:rPr>
          <w:color w:val="000000" w:themeColor="text1"/>
        </w:rPr>
        <w:t xml:space="preserve"> </w:t>
      </w:r>
      <w:r w:rsidRPr="00D41A6C">
        <w:rPr>
          <w:color w:val="000000" w:themeColor="text1"/>
        </w:rPr>
        <w:t xml:space="preserve">This study was not pre-registered. However, all data have been made openly available at the Open Science Framework and can be accessed at </w:t>
      </w:r>
      <w:hyperlink r:id="rId11" w:history="1">
        <w:r w:rsidRPr="002A4AEA">
          <w:rPr>
            <w:rStyle w:val="Hyperlink"/>
            <w:rFonts w:eastAsia="MS Gothic"/>
          </w:rPr>
          <w:t>https://osf.io/q7c98/</w:t>
        </w:r>
      </w:hyperlink>
      <w:r w:rsidRPr="00A33D2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6725B6">
        <w:rPr>
          <w:color w:val="000000" w:themeColor="text1"/>
        </w:rPr>
        <w:t>NN, SH, SR contributed to the conceptualisation of the study. NN gathered, curated and analysed the data. NN wrote the original draft. SH and SR provided supervision and reviewed and edited the manuscript.</w:t>
      </w:r>
    </w:p>
    <w:p w14:paraId="006B9E39" w14:textId="77777777" w:rsidR="00FC0164" w:rsidRDefault="00FC0164" w:rsidP="00FC0164">
      <w:pPr>
        <w:rPr>
          <w:color w:val="000000" w:themeColor="text1"/>
        </w:rPr>
      </w:pPr>
    </w:p>
    <w:p w14:paraId="3BA1AE73" w14:textId="77777777" w:rsidR="00FC0164" w:rsidRDefault="00FC0164" w:rsidP="00FC0164">
      <w:pPr>
        <w:rPr>
          <w:color w:val="000000" w:themeColor="text1"/>
        </w:rPr>
      </w:pPr>
    </w:p>
    <w:p w14:paraId="44AE3F08" w14:textId="77777777" w:rsidR="00FC0164" w:rsidRDefault="00FC0164" w:rsidP="00FC0164">
      <w:pPr>
        <w:rPr>
          <w:color w:val="000000" w:themeColor="text1"/>
        </w:rPr>
      </w:pPr>
    </w:p>
    <w:p w14:paraId="6BB4DF42" w14:textId="77777777" w:rsidR="00FC0164" w:rsidRPr="0057502B" w:rsidRDefault="00FC0164" w:rsidP="00FC0164">
      <w:pPr>
        <w:rPr>
          <w:color w:val="000000" w:themeColor="text1"/>
        </w:rPr>
      </w:pPr>
      <w:r w:rsidRPr="0057502B">
        <w:rPr>
          <w:color w:val="000000" w:themeColor="text1"/>
        </w:rPr>
        <w:t xml:space="preserve">*Corresponding author </w:t>
      </w:r>
    </w:p>
    <w:p w14:paraId="14E5E083" w14:textId="77777777" w:rsidR="00FC0164" w:rsidRDefault="00FC0164" w:rsidP="00FC0164">
      <w:pPr>
        <w:spacing w:line="480" w:lineRule="auto"/>
        <w:rPr>
          <w:color w:val="000000" w:themeColor="text1"/>
        </w:rPr>
      </w:pPr>
    </w:p>
    <w:p w14:paraId="51E2CD0B" w14:textId="77777777" w:rsidR="00FC0164" w:rsidRDefault="00FC0164" w:rsidP="00FC0164">
      <w:pPr>
        <w:spacing w:line="480" w:lineRule="auto"/>
        <w:rPr>
          <w:color w:val="000000" w:themeColor="text1"/>
        </w:rPr>
      </w:pPr>
      <w:r w:rsidRPr="002670ED"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Department of Education, University of York, </w:t>
      </w:r>
      <w:r w:rsidRPr="00E719A3">
        <w:rPr>
          <w:color w:val="000000" w:themeColor="text1"/>
        </w:rPr>
        <w:t>York YO10 5DD</w:t>
      </w:r>
      <w:r>
        <w:rPr>
          <w:color w:val="000000" w:themeColor="text1"/>
        </w:rPr>
        <w:t xml:space="preserve"> UK </w:t>
      </w:r>
    </w:p>
    <w:p w14:paraId="04E0F578" w14:textId="77777777" w:rsidR="00FC0164" w:rsidRDefault="00FC0164" w:rsidP="00FC0164">
      <w:pPr>
        <w:spacing w:line="480" w:lineRule="auto"/>
        <w:rPr>
          <w:color w:val="000000" w:themeColor="text1"/>
        </w:rPr>
      </w:pPr>
      <w:r w:rsidRPr="002670ED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Department of Psychology, </w:t>
      </w:r>
      <w:r w:rsidRPr="00D66CF4">
        <w:rPr>
          <w:color w:val="000000" w:themeColor="text1"/>
        </w:rPr>
        <w:t>Glasgow Caledonian University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Cowcaddens Road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Glasgow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G4 0BA</w:t>
      </w:r>
      <w:r>
        <w:rPr>
          <w:color w:val="000000" w:themeColor="text1"/>
        </w:rPr>
        <w:t xml:space="preserve"> UK</w:t>
      </w:r>
    </w:p>
    <w:p w14:paraId="4535A13C" w14:textId="77777777" w:rsidR="00FC0164" w:rsidRDefault="00FC0164" w:rsidP="00FC0164">
      <w:pPr>
        <w:spacing w:line="480" w:lineRule="auto"/>
      </w:pPr>
      <w:r>
        <w:rPr>
          <w:vertAlign w:val="superscript"/>
        </w:rPr>
        <w:t>3</w:t>
      </w:r>
      <w:r w:rsidRPr="00941F9F">
        <w:t>Graduate School of Education, The University of Western Australia, WA, Australia</w:t>
      </w:r>
    </w:p>
    <w:p w14:paraId="35774DD2" w14:textId="77777777" w:rsidR="00FC0164" w:rsidRDefault="00FC0164" w:rsidP="00FC0164">
      <w:pPr>
        <w:spacing w:line="480" w:lineRule="auto"/>
      </w:pPr>
      <w:r>
        <w:rPr>
          <w:color w:val="000000" w:themeColor="text1"/>
          <w:vertAlign w:val="superscript"/>
        </w:rPr>
        <w:t>4</w:t>
      </w:r>
      <w:r w:rsidRPr="00D66CF4">
        <w:rPr>
          <w:color w:val="000000" w:themeColor="text1"/>
        </w:rPr>
        <w:t>School of Psychological Sciences and Health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University of Strathclyde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Graham Hills Building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40 George Street</w:t>
      </w:r>
      <w:r>
        <w:rPr>
          <w:color w:val="000000" w:themeColor="text1"/>
        </w:rPr>
        <w:t xml:space="preserve">, </w:t>
      </w:r>
      <w:r w:rsidRPr="00D66CF4">
        <w:rPr>
          <w:color w:val="000000" w:themeColor="text1"/>
        </w:rPr>
        <w:t>Glasgow</w:t>
      </w:r>
      <w:r>
        <w:rPr>
          <w:color w:val="000000" w:themeColor="text1"/>
        </w:rPr>
        <w:t>,</w:t>
      </w:r>
      <w:r w:rsidRPr="00D66CF4">
        <w:rPr>
          <w:color w:val="000000" w:themeColor="text1"/>
        </w:rPr>
        <w:t xml:space="preserve"> G1 1QE</w:t>
      </w:r>
    </w:p>
    <w:p w14:paraId="005F5191" w14:textId="626C3FB7" w:rsidR="009839E8" w:rsidRPr="00F86AC6" w:rsidRDefault="009839E8" w:rsidP="005B0F19">
      <w:pPr>
        <w:spacing w:line="480" w:lineRule="auto"/>
        <w:rPr>
          <w:b/>
          <w:bCs/>
          <w:color w:val="000000" w:themeColor="text1"/>
        </w:rPr>
      </w:pPr>
      <w:r w:rsidRPr="00F86AC6">
        <w:rPr>
          <w:b/>
          <w:bCs/>
          <w:color w:val="000000" w:themeColor="text1"/>
        </w:rPr>
        <w:lastRenderedPageBreak/>
        <w:t>Abstract</w:t>
      </w:r>
    </w:p>
    <w:p w14:paraId="7378063A" w14:textId="0765C80B" w:rsidR="00C17FB8" w:rsidRDefault="00383F75" w:rsidP="005B0F19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ab/>
      </w:r>
      <w:bookmarkStart w:id="2" w:name="_GoBack"/>
      <w:r w:rsidRPr="00AE25AF">
        <w:rPr>
          <w:color w:val="000000" w:themeColor="text1"/>
        </w:rPr>
        <w:t>Peer-victimi</w:t>
      </w:r>
      <w:r w:rsidR="00213C41">
        <w:rPr>
          <w:color w:val="000000" w:themeColor="text1"/>
        </w:rPr>
        <w:t>z</w:t>
      </w:r>
      <w:r w:rsidRPr="00AE25AF">
        <w:rPr>
          <w:color w:val="000000" w:themeColor="text1"/>
        </w:rPr>
        <w:t xml:space="preserve">ation is a frequent experience for many children and adolescents. Accurate measurement of </w:t>
      </w:r>
      <w:r w:rsidR="00213C41">
        <w:rPr>
          <w:color w:val="000000" w:themeColor="text1"/>
        </w:rPr>
        <w:t>peer-victimization</w:t>
      </w:r>
      <w:r w:rsidRPr="00AE25AF">
        <w:rPr>
          <w:color w:val="000000" w:themeColor="text1"/>
        </w:rPr>
        <w:t xml:space="preserve"> is essential for better understanding such experiences and informing intervention work. While many </w:t>
      </w:r>
      <w:r w:rsidR="00213C41">
        <w:rPr>
          <w:color w:val="000000" w:themeColor="text1"/>
        </w:rPr>
        <w:t>peer-victimization</w:t>
      </w:r>
      <w:r w:rsidRPr="00AE25AF">
        <w:rPr>
          <w:color w:val="000000" w:themeColor="text1"/>
        </w:rPr>
        <w:t xml:space="preserve"> and bully scales exist, </w:t>
      </w:r>
      <w:r w:rsidR="00A83950">
        <w:rPr>
          <w:color w:val="000000" w:themeColor="text1"/>
        </w:rPr>
        <w:t>they often</w:t>
      </w:r>
      <w:r w:rsidR="00A83950" w:rsidRPr="00AE25AF">
        <w:rPr>
          <w:color w:val="000000" w:themeColor="text1"/>
        </w:rPr>
        <w:t xml:space="preserve"> </w:t>
      </w:r>
      <w:r w:rsidRPr="00AE25AF">
        <w:rPr>
          <w:color w:val="000000" w:themeColor="text1"/>
        </w:rPr>
        <w:t xml:space="preserve">lack important psychometric information. The short form of the Personal Experiences Checklist </w:t>
      </w:r>
      <w:r w:rsidR="00FD57FE">
        <w:rPr>
          <w:color w:val="000000" w:themeColor="text1"/>
        </w:rPr>
        <w:t>(</w:t>
      </w:r>
      <w:r w:rsidR="00FD57FE" w:rsidRPr="00AE25AF">
        <w:rPr>
          <w:color w:val="000000" w:themeColor="text1"/>
        </w:rPr>
        <w:t>PECK-SF</w:t>
      </w:r>
      <w:r w:rsidR="00FD57FE">
        <w:rPr>
          <w:color w:val="000000" w:themeColor="text1"/>
        </w:rPr>
        <w:t xml:space="preserve">) </w:t>
      </w:r>
      <w:r w:rsidRPr="00AE25AF">
        <w:rPr>
          <w:color w:val="000000" w:themeColor="text1"/>
        </w:rPr>
        <w:t>provides a brief</w:t>
      </w:r>
      <w:r w:rsidR="00A70B2C">
        <w:rPr>
          <w:color w:val="000000" w:themeColor="text1"/>
        </w:rPr>
        <w:t xml:space="preserve"> </w:t>
      </w:r>
      <w:r w:rsidRPr="00AE25AF">
        <w:rPr>
          <w:color w:val="000000" w:themeColor="text1"/>
        </w:rPr>
        <w:t xml:space="preserve">measure of </w:t>
      </w:r>
      <w:r w:rsidR="00213C41">
        <w:rPr>
          <w:color w:val="000000" w:themeColor="text1"/>
        </w:rPr>
        <w:t>peer-victimization</w:t>
      </w:r>
      <w:r w:rsidRPr="00AE25AF">
        <w:rPr>
          <w:color w:val="000000" w:themeColor="text1"/>
        </w:rPr>
        <w:t xml:space="preserve">. </w:t>
      </w:r>
      <w:r w:rsidR="00FE7857">
        <w:rPr>
          <w:color w:val="000000" w:themeColor="text1"/>
        </w:rPr>
        <w:t>Existing</w:t>
      </w:r>
      <w:r w:rsidR="00FE7857" w:rsidRPr="00AE25AF">
        <w:rPr>
          <w:color w:val="000000" w:themeColor="text1"/>
        </w:rPr>
        <w:t xml:space="preserve"> </w:t>
      </w:r>
      <w:r w:rsidRPr="00AE25AF">
        <w:rPr>
          <w:color w:val="000000" w:themeColor="text1"/>
        </w:rPr>
        <w:t xml:space="preserve">psychometric data supports the use of the scale </w:t>
      </w:r>
      <w:r w:rsidR="00A179FD">
        <w:rPr>
          <w:color w:val="000000" w:themeColor="text1"/>
        </w:rPr>
        <w:t>as a measure o</w:t>
      </w:r>
      <w:r w:rsidRPr="00AE25AF">
        <w:rPr>
          <w:color w:val="000000" w:themeColor="text1"/>
        </w:rPr>
        <w:t xml:space="preserve">f </w:t>
      </w:r>
      <w:r w:rsidR="00213C41">
        <w:rPr>
          <w:color w:val="000000" w:themeColor="text1"/>
        </w:rPr>
        <w:t>peer-victimization</w:t>
      </w:r>
      <w:r w:rsidR="00A80295">
        <w:rPr>
          <w:color w:val="000000" w:themeColor="text1"/>
        </w:rPr>
        <w:t>. However,</w:t>
      </w:r>
      <w:r w:rsidRPr="00AE25AF">
        <w:rPr>
          <w:color w:val="000000" w:themeColor="text1"/>
        </w:rPr>
        <w:t xml:space="preserve"> </w:t>
      </w:r>
      <w:r w:rsidR="00FE7857">
        <w:rPr>
          <w:color w:val="000000" w:themeColor="text1"/>
        </w:rPr>
        <w:t xml:space="preserve">there are no reports of </w:t>
      </w:r>
      <w:r w:rsidRPr="00AE25AF">
        <w:rPr>
          <w:color w:val="000000" w:themeColor="text1"/>
        </w:rPr>
        <w:t>invariance testing</w:t>
      </w:r>
      <w:r w:rsidR="00B76B98">
        <w:rPr>
          <w:color w:val="000000" w:themeColor="text1"/>
        </w:rPr>
        <w:t>,</w:t>
      </w:r>
      <w:r w:rsidR="00FE7857">
        <w:rPr>
          <w:color w:val="000000" w:themeColor="text1"/>
        </w:rPr>
        <w:t xml:space="preserve"> </w:t>
      </w:r>
      <w:r w:rsidR="00B76B98">
        <w:rPr>
          <w:color w:val="000000" w:themeColor="text1"/>
        </w:rPr>
        <w:t>limiting</w:t>
      </w:r>
      <w:r w:rsidR="00FE7857">
        <w:rPr>
          <w:color w:val="000000" w:themeColor="text1"/>
        </w:rPr>
        <w:t xml:space="preserve"> our ability to confidently use </w:t>
      </w:r>
      <w:r w:rsidR="00B24B75">
        <w:rPr>
          <w:color w:val="000000" w:themeColor="text1"/>
        </w:rPr>
        <w:t xml:space="preserve">the scale </w:t>
      </w:r>
      <w:r w:rsidR="00FE7857">
        <w:rPr>
          <w:color w:val="000000" w:themeColor="text1"/>
        </w:rPr>
        <w:t>to compare scores across boys and girls and for use in longitudinal research studies</w:t>
      </w:r>
      <w:r w:rsidRPr="00AE25AF">
        <w:rPr>
          <w:color w:val="000000" w:themeColor="text1"/>
        </w:rPr>
        <w:t xml:space="preserve">. </w:t>
      </w:r>
      <w:r w:rsidR="00AE25AF" w:rsidRPr="00AE25AF">
        <w:rPr>
          <w:color w:val="000000" w:themeColor="text1"/>
        </w:rPr>
        <w:t xml:space="preserve">Therefore, the aim of this study is to test the PECK-SF for invariance </w:t>
      </w:r>
      <w:r w:rsidR="00A83950" w:rsidRPr="00AE25AF">
        <w:rPr>
          <w:color w:val="000000" w:themeColor="text1"/>
        </w:rPr>
        <w:t xml:space="preserve">across gender and </w:t>
      </w:r>
      <w:r w:rsidR="00AE25AF" w:rsidRPr="00AE25AF">
        <w:rPr>
          <w:color w:val="000000" w:themeColor="text1"/>
        </w:rPr>
        <w:t xml:space="preserve">over time. </w:t>
      </w:r>
      <w:r w:rsidR="00A83950">
        <w:rPr>
          <w:color w:val="000000" w:themeColor="text1"/>
        </w:rPr>
        <w:t>D</w:t>
      </w:r>
      <w:r w:rsidR="00AE25AF" w:rsidRPr="00AE25AF">
        <w:rPr>
          <w:color w:val="000000" w:themeColor="text1"/>
        </w:rPr>
        <w:t xml:space="preserve">ata </w:t>
      </w:r>
      <w:r w:rsidR="00A83950">
        <w:rPr>
          <w:color w:val="000000" w:themeColor="text1"/>
        </w:rPr>
        <w:t xml:space="preserve">were </w:t>
      </w:r>
      <w:r w:rsidR="00AE25AF" w:rsidRPr="00AE25AF">
        <w:rPr>
          <w:color w:val="000000" w:themeColor="text1"/>
        </w:rPr>
        <w:t>collected as part of a longitudinal study of 11- to 14-year-old</w:t>
      </w:r>
      <w:r w:rsidR="00FE7857">
        <w:rPr>
          <w:color w:val="000000" w:themeColor="text1"/>
        </w:rPr>
        <w:t>s</w:t>
      </w:r>
      <w:r w:rsidRPr="00AE25AF">
        <w:rPr>
          <w:color w:val="000000" w:themeColor="text1"/>
        </w:rPr>
        <w:t xml:space="preserve"> </w:t>
      </w:r>
      <w:r w:rsidR="00AE25AF" w:rsidRPr="00AE25AF">
        <w:rPr>
          <w:color w:val="000000" w:themeColor="text1"/>
        </w:rPr>
        <w:t xml:space="preserve">who </w:t>
      </w:r>
      <w:r w:rsidRPr="00AE25AF">
        <w:rPr>
          <w:color w:val="000000" w:themeColor="text1"/>
        </w:rPr>
        <w:t xml:space="preserve">provided data at </w:t>
      </w:r>
      <w:r w:rsidR="00A80295">
        <w:rPr>
          <w:color w:val="000000" w:themeColor="text1"/>
        </w:rPr>
        <w:t>two-time</w:t>
      </w:r>
      <w:r w:rsidR="00AE25AF" w:rsidRPr="00AE25AF">
        <w:rPr>
          <w:color w:val="000000" w:themeColor="text1"/>
        </w:rPr>
        <w:t xml:space="preserve"> points </w:t>
      </w:r>
      <w:r w:rsidR="005D24B7">
        <w:rPr>
          <w:color w:val="000000" w:themeColor="text1"/>
        </w:rPr>
        <w:t>two</w:t>
      </w:r>
      <w:r w:rsidR="005D24B7" w:rsidRPr="00AE25AF">
        <w:rPr>
          <w:color w:val="000000" w:themeColor="text1"/>
        </w:rPr>
        <w:t xml:space="preserve"> </w:t>
      </w:r>
      <w:r w:rsidR="00AE25AF" w:rsidRPr="00AE25AF">
        <w:rPr>
          <w:color w:val="000000" w:themeColor="text1"/>
        </w:rPr>
        <w:t>months apart</w:t>
      </w:r>
      <w:r w:rsidR="005D24B7">
        <w:rPr>
          <w:color w:val="000000" w:themeColor="text1"/>
        </w:rPr>
        <w:t xml:space="preserve"> (</w:t>
      </w:r>
      <w:r w:rsidR="005D24B7" w:rsidRPr="001F27AD">
        <w:t>N</w:t>
      </w:r>
      <w:r w:rsidR="00C80C3B" w:rsidRPr="008340F4">
        <w:rPr>
          <w:vertAlign w:val="subscript"/>
        </w:rPr>
        <w:t>Time 1</w:t>
      </w:r>
      <w:r w:rsidR="00C80C3B">
        <w:rPr>
          <w:vertAlign w:val="subscript"/>
        </w:rPr>
        <w:t xml:space="preserve"> </w:t>
      </w:r>
      <w:r w:rsidR="005D24B7" w:rsidRPr="001F27AD">
        <w:t>=744 N</w:t>
      </w:r>
      <w:r w:rsidR="00C80C3B" w:rsidRPr="00C80C3B">
        <w:rPr>
          <w:vertAlign w:val="subscript"/>
        </w:rPr>
        <w:t xml:space="preserve"> </w:t>
      </w:r>
      <w:r w:rsidR="00C80C3B" w:rsidRPr="006B6978">
        <w:rPr>
          <w:vertAlign w:val="subscript"/>
        </w:rPr>
        <w:t xml:space="preserve">Time </w:t>
      </w:r>
      <w:r w:rsidR="00C80C3B">
        <w:rPr>
          <w:vertAlign w:val="subscript"/>
        </w:rPr>
        <w:t xml:space="preserve">2 </w:t>
      </w:r>
      <w:r w:rsidR="005D24B7" w:rsidRPr="001F27AD">
        <w:t>=</w:t>
      </w:r>
      <w:r w:rsidR="00C80C3B">
        <w:t xml:space="preserve"> </w:t>
      </w:r>
      <w:r w:rsidR="005D24B7" w:rsidRPr="001F27AD">
        <w:t>333</w:t>
      </w:r>
      <w:r w:rsidR="005D24B7">
        <w:t>)</w:t>
      </w:r>
      <w:r w:rsidR="00AE25AF" w:rsidRPr="00AE25AF">
        <w:rPr>
          <w:color w:val="000000" w:themeColor="text1"/>
        </w:rPr>
        <w:t xml:space="preserve">. </w:t>
      </w:r>
      <w:r w:rsidRPr="00AE25AF">
        <w:rPr>
          <w:color w:val="000000" w:themeColor="text1"/>
        </w:rPr>
        <w:t>Confirmatory factor analysis support</w:t>
      </w:r>
      <w:r w:rsidR="00FE7857">
        <w:rPr>
          <w:color w:val="000000" w:themeColor="text1"/>
        </w:rPr>
        <w:t>ed</w:t>
      </w:r>
      <w:r w:rsidRPr="00AE25AF">
        <w:rPr>
          <w:color w:val="000000" w:themeColor="text1"/>
        </w:rPr>
        <w:t xml:space="preserve"> the </w:t>
      </w:r>
      <w:r w:rsidR="00A80295">
        <w:rPr>
          <w:color w:val="000000" w:themeColor="text1"/>
        </w:rPr>
        <w:t>one-factor</w:t>
      </w:r>
      <w:r w:rsidRPr="00AE25AF">
        <w:rPr>
          <w:color w:val="000000" w:themeColor="text1"/>
        </w:rPr>
        <w:t xml:space="preserve"> structure of the PECK-SF. </w:t>
      </w:r>
      <w:r w:rsidR="00FE7857">
        <w:rPr>
          <w:color w:val="000000" w:themeColor="text1"/>
        </w:rPr>
        <w:t>I</w:t>
      </w:r>
      <w:r w:rsidR="00AE25AF" w:rsidRPr="00AE25AF">
        <w:rPr>
          <w:color w:val="000000" w:themeColor="text1"/>
        </w:rPr>
        <w:t xml:space="preserve">nvariance testing demonstrated strict invariance over time and across gender. </w:t>
      </w:r>
      <w:r w:rsidR="00A83950">
        <w:rPr>
          <w:color w:val="000000" w:themeColor="text1"/>
        </w:rPr>
        <w:t>T</w:t>
      </w:r>
      <w:r w:rsidRPr="00AE25AF">
        <w:rPr>
          <w:color w:val="000000" w:themeColor="text1"/>
        </w:rPr>
        <w:t xml:space="preserve">he use of the PECK-SF </w:t>
      </w:r>
      <w:r w:rsidR="00A83950">
        <w:rPr>
          <w:color w:val="000000" w:themeColor="text1"/>
        </w:rPr>
        <w:t>is recommended when</w:t>
      </w:r>
      <w:r w:rsidR="00A83950" w:rsidRPr="00AE25AF">
        <w:rPr>
          <w:color w:val="000000" w:themeColor="text1"/>
        </w:rPr>
        <w:t xml:space="preserve"> </w:t>
      </w:r>
      <w:r w:rsidR="00A83950">
        <w:rPr>
          <w:color w:val="000000" w:themeColor="text1"/>
        </w:rPr>
        <w:t>examining</w:t>
      </w:r>
      <w:r w:rsidR="00A83950" w:rsidRPr="00AE25AF">
        <w:rPr>
          <w:color w:val="000000" w:themeColor="text1"/>
        </w:rPr>
        <w:t xml:space="preserve"> gender differences</w:t>
      </w:r>
      <w:r w:rsidR="00A83950">
        <w:rPr>
          <w:color w:val="000000" w:themeColor="text1"/>
        </w:rPr>
        <w:t>, or conducting</w:t>
      </w:r>
      <w:r w:rsidR="00A83950" w:rsidRPr="00AE25AF">
        <w:rPr>
          <w:color w:val="000000" w:themeColor="text1"/>
        </w:rPr>
        <w:t xml:space="preserve"> </w:t>
      </w:r>
      <w:r w:rsidRPr="00AE25AF">
        <w:rPr>
          <w:color w:val="000000" w:themeColor="text1"/>
        </w:rPr>
        <w:t>longitudinal studies</w:t>
      </w:r>
      <w:r w:rsidR="00A83950">
        <w:rPr>
          <w:color w:val="000000" w:themeColor="text1"/>
        </w:rPr>
        <w:t xml:space="preserve">, </w:t>
      </w:r>
      <w:r w:rsidRPr="00AE25AF">
        <w:rPr>
          <w:color w:val="000000" w:themeColor="text1"/>
        </w:rPr>
        <w:t xml:space="preserve">in </w:t>
      </w:r>
      <w:r w:rsidR="00213C41">
        <w:rPr>
          <w:color w:val="000000" w:themeColor="text1"/>
        </w:rPr>
        <w:t>peer-victimization</w:t>
      </w:r>
      <w:r w:rsidRPr="00AE25AF">
        <w:rPr>
          <w:color w:val="000000" w:themeColor="text1"/>
        </w:rPr>
        <w:t xml:space="preserve">. </w:t>
      </w:r>
      <w:bookmarkEnd w:id="2"/>
    </w:p>
    <w:p w14:paraId="58E0763D" w14:textId="3624F900" w:rsidR="004D1F39" w:rsidRDefault="004D1F39" w:rsidP="005B0F19">
      <w:pPr>
        <w:spacing w:line="480" w:lineRule="auto"/>
        <w:rPr>
          <w:color w:val="000000" w:themeColor="text1"/>
        </w:rPr>
      </w:pPr>
    </w:p>
    <w:p w14:paraId="437142A0" w14:textId="0DCF4073" w:rsidR="004D1F39" w:rsidRPr="00CE27EB" w:rsidRDefault="004D1F39" w:rsidP="005B0F19">
      <w:pPr>
        <w:spacing w:line="480" w:lineRule="auto"/>
        <w:rPr>
          <w:b/>
          <w:bCs/>
          <w:color w:val="000000" w:themeColor="text1"/>
        </w:rPr>
      </w:pPr>
      <w:r w:rsidRPr="00CE27EB">
        <w:rPr>
          <w:b/>
          <w:bCs/>
          <w:color w:val="000000" w:themeColor="text1"/>
        </w:rPr>
        <w:t xml:space="preserve">Public significance statement </w:t>
      </w:r>
    </w:p>
    <w:p w14:paraId="62E83BD7" w14:textId="3D3F3A7D" w:rsidR="004D1F39" w:rsidRDefault="004D1F39" w:rsidP="00CE27EB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The results of this study highlight th</w:t>
      </w:r>
      <w:r w:rsidR="00CE27EB">
        <w:rPr>
          <w:color w:val="000000" w:themeColor="text1"/>
        </w:rPr>
        <w:t>at the PECK-SF provides a short measure of experiences of peer-victimi</w:t>
      </w:r>
      <w:r w:rsidR="00041C90">
        <w:rPr>
          <w:color w:val="000000" w:themeColor="text1"/>
        </w:rPr>
        <w:t>z</w:t>
      </w:r>
      <w:r w:rsidR="00CE27EB">
        <w:rPr>
          <w:color w:val="000000" w:themeColor="text1"/>
        </w:rPr>
        <w:t xml:space="preserve">ation appropriate for testing gender differences and changes over time. </w:t>
      </w:r>
      <w:r>
        <w:rPr>
          <w:color w:val="000000" w:themeColor="text1"/>
        </w:rPr>
        <w:t xml:space="preserve"> </w:t>
      </w:r>
    </w:p>
    <w:p w14:paraId="3DB3AFA4" w14:textId="31660570" w:rsidR="00BA2F40" w:rsidRDefault="00BA2F40" w:rsidP="00BA2F40">
      <w:pPr>
        <w:spacing w:line="480" w:lineRule="auto"/>
        <w:rPr>
          <w:color w:val="000000" w:themeColor="text1"/>
        </w:rPr>
      </w:pPr>
    </w:p>
    <w:p w14:paraId="31EB71E1" w14:textId="71D7C48A" w:rsidR="00BA2F40" w:rsidRPr="00BA2F40" w:rsidRDefault="00BA2F40" w:rsidP="00BA2F40">
      <w:pPr>
        <w:spacing w:line="480" w:lineRule="auto"/>
        <w:rPr>
          <w:b/>
          <w:bCs/>
          <w:color w:val="000000" w:themeColor="text1"/>
        </w:rPr>
      </w:pPr>
      <w:r w:rsidRPr="00BA2F40">
        <w:rPr>
          <w:b/>
          <w:bCs/>
          <w:color w:val="000000" w:themeColor="text1"/>
        </w:rPr>
        <w:t>Keywords</w:t>
      </w:r>
    </w:p>
    <w:p w14:paraId="7D9BD631" w14:textId="4B3A4A93" w:rsidR="00BA2F40" w:rsidRPr="00BA2F40" w:rsidRDefault="00BA2F40" w:rsidP="00BA2F40">
      <w:pPr>
        <w:spacing w:line="480" w:lineRule="auto"/>
        <w:rPr>
          <w:color w:val="000000" w:themeColor="text1"/>
        </w:rPr>
      </w:pPr>
      <w:r w:rsidRPr="00BA2F40">
        <w:rPr>
          <w:color w:val="000000" w:themeColor="text1"/>
        </w:rPr>
        <w:t xml:space="preserve">Bullying, </w:t>
      </w:r>
      <w:r>
        <w:rPr>
          <w:color w:val="000000" w:themeColor="text1"/>
        </w:rPr>
        <w:t>P</w:t>
      </w:r>
      <w:r w:rsidRPr="00BA2F40">
        <w:rPr>
          <w:color w:val="000000" w:themeColor="text1"/>
        </w:rPr>
        <w:t>eer-</w:t>
      </w:r>
      <w:r>
        <w:rPr>
          <w:color w:val="000000" w:themeColor="text1"/>
        </w:rPr>
        <w:t>V</w:t>
      </w:r>
      <w:r w:rsidRPr="00BA2F40">
        <w:rPr>
          <w:color w:val="000000" w:themeColor="text1"/>
        </w:rPr>
        <w:t>ictimisation, Confirmatory Factor Analysis (CFA), Measurement Invariance</w:t>
      </w:r>
    </w:p>
    <w:p w14:paraId="0F9D2C13" w14:textId="77777777" w:rsidR="00BA2F40" w:rsidRPr="00383F75" w:rsidRDefault="00BA2F40" w:rsidP="00BA2F40">
      <w:pPr>
        <w:spacing w:line="480" w:lineRule="auto"/>
        <w:rPr>
          <w:color w:val="FF0000"/>
        </w:rPr>
      </w:pPr>
    </w:p>
    <w:p w14:paraId="2B9D7811" w14:textId="77777777" w:rsidR="009839E8" w:rsidRDefault="009839E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1B22785" w14:textId="3C02DF37" w:rsidR="0009221C" w:rsidRPr="00E07189" w:rsidRDefault="00712163" w:rsidP="00E07189">
      <w:pPr>
        <w:spacing w:line="480" w:lineRule="auto"/>
        <w:ind w:firstLine="720"/>
        <w:rPr>
          <w:color w:val="000000" w:themeColor="text1"/>
        </w:rPr>
      </w:pPr>
      <w:r w:rsidRPr="00E07189">
        <w:rPr>
          <w:color w:val="000000" w:themeColor="text1"/>
        </w:rPr>
        <w:lastRenderedPageBreak/>
        <w:t xml:space="preserve">Despite the </w:t>
      </w:r>
      <w:r w:rsidR="00FE7857">
        <w:rPr>
          <w:color w:val="000000" w:themeColor="text1"/>
        </w:rPr>
        <w:t>proliferation</w:t>
      </w:r>
      <w:r w:rsidRPr="00E07189">
        <w:rPr>
          <w:color w:val="000000" w:themeColor="text1"/>
        </w:rPr>
        <w:t xml:space="preserve"> of anti-bullying programmes</w:t>
      </w:r>
      <w:r w:rsidR="00FE7857">
        <w:rPr>
          <w:color w:val="000000" w:themeColor="text1"/>
        </w:rPr>
        <w:t xml:space="preserve"> (Gaffney et al., 2021)</w:t>
      </w:r>
      <w:r w:rsidRPr="00E07189">
        <w:rPr>
          <w:color w:val="000000" w:themeColor="text1"/>
        </w:rPr>
        <w:t xml:space="preserve">, </w:t>
      </w:r>
      <w:r w:rsidR="00213C41">
        <w:rPr>
          <w:color w:val="000000" w:themeColor="text1"/>
        </w:rPr>
        <w:t>peer-victimization</w:t>
      </w:r>
      <w:r w:rsidRPr="00E07189">
        <w:rPr>
          <w:color w:val="000000" w:themeColor="text1"/>
        </w:rPr>
        <w:t xml:space="preserve"> continues to be a frequent experience for many children and adolescents. </w:t>
      </w:r>
      <w:r w:rsidR="00E07189" w:rsidRPr="00E07189">
        <w:rPr>
          <w:color w:val="000000" w:themeColor="text1"/>
        </w:rPr>
        <w:t xml:space="preserve">Experiencing </w:t>
      </w:r>
      <w:r w:rsidR="00213C41">
        <w:rPr>
          <w:color w:val="000000" w:themeColor="text1"/>
        </w:rPr>
        <w:t>peer-victimization</w:t>
      </w:r>
      <w:r w:rsidR="00E07189" w:rsidRPr="00E07189">
        <w:rPr>
          <w:color w:val="000000" w:themeColor="text1"/>
        </w:rPr>
        <w:t xml:space="preserve"> in childhood and adolescence is related to a range of negative outcomes, including poor mental health, poorer academic achievement, and anti-social behavior (</w:t>
      </w:r>
      <w:r w:rsidR="003141F4" w:rsidRPr="00331642">
        <w:t xml:space="preserve">Gardella </w:t>
      </w:r>
      <w:r w:rsidR="003141F4">
        <w:t xml:space="preserve">et al., </w:t>
      </w:r>
      <w:r w:rsidR="003141F4" w:rsidRPr="00331642">
        <w:t>2017</w:t>
      </w:r>
      <w:r w:rsidR="003141F4">
        <w:t xml:space="preserve">; </w:t>
      </w:r>
      <w:r w:rsidR="003141F4" w:rsidRPr="00331642">
        <w:t>Reijntjes</w:t>
      </w:r>
      <w:r w:rsidR="003141F4">
        <w:t xml:space="preserve"> et al., </w:t>
      </w:r>
      <w:r w:rsidR="003141F4" w:rsidRPr="00331642">
        <w:t>2010</w:t>
      </w:r>
      <w:r w:rsidR="003141F4">
        <w:t xml:space="preserve">; </w:t>
      </w:r>
      <w:r w:rsidR="003141F4" w:rsidRPr="00331642">
        <w:t>Valdebenito</w:t>
      </w:r>
      <w:r w:rsidR="003141F4">
        <w:t xml:space="preserve"> et al., </w:t>
      </w:r>
      <w:r w:rsidR="003141F4" w:rsidRPr="00331642">
        <w:t>2017</w:t>
      </w:r>
      <w:r w:rsidR="00E07189" w:rsidRPr="00E07189">
        <w:rPr>
          <w:color w:val="000000" w:themeColor="text1"/>
        </w:rPr>
        <w:t xml:space="preserve">). </w:t>
      </w:r>
      <w:r w:rsidR="006559AD" w:rsidRPr="00E07189">
        <w:rPr>
          <w:color w:val="000000" w:themeColor="text1"/>
        </w:rPr>
        <w:t xml:space="preserve">Given the impact and prevalence of </w:t>
      </w:r>
      <w:r w:rsidR="00213C41">
        <w:rPr>
          <w:color w:val="000000" w:themeColor="text1"/>
        </w:rPr>
        <w:t>peer-victimization</w:t>
      </w:r>
      <w:r w:rsidR="006559AD" w:rsidRPr="00E07189">
        <w:rPr>
          <w:color w:val="000000" w:themeColor="text1"/>
        </w:rPr>
        <w:t xml:space="preserve">, </w:t>
      </w:r>
      <w:r w:rsidR="001C336D">
        <w:rPr>
          <w:color w:val="000000" w:themeColor="text1"/>
        </w:rPr>
        <w:t xml:space="preserve">it is critical that </w:t>
      </w:r>
      <w:r w:rsidR="00A80295">
        <w:rPr>
          <w:color w:val="000000" w:themeColor="text1"/>
        </w:rPr>
        <w:t>well-validated</w:t>
      </w:r>
      <w:r w:rsidR="006559AD" w:rsidRPr="00E07189">
        <w:rPr>
          <w:color w:val="000000" w:themeColor="text1"/>
        </w:rPr>
        <w:t xml:space="preserve"> and reliable measurement scales are </w:t>
      </w:r>
      <w:r w:rsidR="001C336D">
        <w:rPr>
          <w:color w:val="000000" w:themeColor="text1"/>
        </w:rPr>
        <w:t>available</w:t>
      </w:r>
      <w:r w:rsidR="001C336D" w:rsidRPr="00E07189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 xml:space="preserve">to </w:t>
      </w:r>
      <w:r w:rsidR="0009221C" w:rsidRPr="00E07189">
        <w:rPr>
          <w:color w:val="000000" w:themeColor="text1"/>
        </w:rPr>
        <w:t>investiga</w:t>
      </w:r>
      <w:r w:rsidR="00E07189" w:rsidRPr="00E07189">
        <w:rPr>
          <w:color w:val="000000" w:themeColor="text1"/>
        </w:rPr>
        <w:t>te</w:t>
      </w:r>
      <w:r w:rsidR="006559AD" w:rsidRPr="00E07189">
        <w:rPr>
          <w:color w:val="000000" w:themeColor="text1"/>
        </w:rPr>
        <w:t xml:space="preserve"> experiences of </w:t>
      </w:r>
      <w:r w:rsidR="00213C41">
        <w:rPr>
          <w:color w:val="000000" w:themeColor="text1"/>
        </w:rPr>
        <w:t>peer-victimization</w:t>
      </w:r>
      <w:r w:rsidR="00AE25AF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>and evaluat</w:t>
      </w:r>
      <w:r w:rsidR="00E07189" w:rsidRPr="00E07189">
        <w:rPr>
          <w:color w:val="000000" w:themeColor="text1"/>
        </w:rPr>
        <w:t>e</w:t>
      </w:r>
      <w:r w:rsidR="006559AD" w:rsidRPr="00E07189">
        <w:rPr>
          <w:color w:val="000000" w:themeColor="text1"/>
        </w:rPr>
        <w:t xml:space="preserve"> anti-bullying interventions. While many bullying and </w:t>
      </w:r>
      <w:r w:rsidR="00213C41">
        <w:rPr>
          <w:color w:val="000000" w:themeColor="text1"/>
        </w:rPr>
        <w:t>peer-victimization</w:t>
      </w:r>
      <w:r w:rsidR="006559AD" w:rsidRPr="00E07189">
        <w:rPr>
          <w:color w:val="000000" w:themeColor="text1"/>
        </w:rPr>
        <w:t xml:space="preserve"> scales have been developed, </w:t>
      </w:r>
      <w:r w:rsidR="00A83950">
        <w:rPr>
          <w:color w:val="000000" w:themeColor="text1"/>
        </w:rPr>
        <w:t>they often</w:t>
      </w:r>
      <w:r w:rsidR="00A83950" w:rsidRPr="00E07189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 xml:space="preserve">lack </w:t>
      </w:r>
      <w:r w:rsidR="00A83950">
        <w:rPr>
          <w:color w:val="000000" w:themeColor="text1"/>
        </w:rPr>
        <w:t>clear</w:t>
      </w:r>
      <w:r w:rsidR="00A83950" w:rsidRPr="00E07189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 xml:space="preserve">psychometric </w:t>
      </w:r>
      <w:r w:rsidR="00A83950">
        <w:rPr>
          <w:color w:val="000000" w:themeColor="text1"/>
        </w:rPr>
        <w:t>data</w:t>
      </w:r>
      <w:r w:rsidR="00A83950" w:rsidRPr="00E07189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>and</w:t>
      </w:r>
      <w:r w:rsidR="00A80295">
        <w:rPr>
          <w:color w:val="000000" w:themeColor="text1"/>
        </w:rPr>
        <w:t>,</w:t>
      </w:r>
      <w:r w:rsidR="006559AD" w:rsidRPr="00E07189">
        <w:rPr>
          <w:color w:val="000000" w:themeColor="text1"/>
        </w:rPr>
        <w:t xml:space="preserve"> </w:t>
      </w:r>
      <w:r w:rsidR="00061008" w:rsidRPr="00E07189">
        <w:rPr>
          <w:color w:val="000000" w:themeColor="text1"/>
        </w:rPr>
        <w:t>therefore</w:t>
      </w:r>
      <w:r w:rsidR="00A80295">
        <w:rPr>
          <w:color w:val="000000" w:themeColor="text1"/>
        </w:rPr>
        <w:t>,</w:t>
      </w:r>
      <w:r w:rsidR="00061008" w:rsidRPr="00E07189">
        <w:rPr>
          <w:color w:val="000000" w:themeColor="text1"/>
        </w:rPr>
        <w:t xml:space="preserve"> </w:t>
      </w:r>
      <w:r w:rsidR="006559AD" w:rsidRPr="00E07189">
        <w:rPr>
          <w:color w:val="000000" w:themeColor="text1"/>
        </w:rPr>
        <w:t xml:space="preserve">can be described as being in the early stages of development (Volk et al., 2017). The short form of the </w:t>
      </w:r>
      <w:r w:rsidR="001C336D">
        <w:rPr>
          <w:color w:val="000000" w:themeColor="text1"/>
        </w:rPr>
        <w:t>P</w:t>
      </w:r>
      <w:r w:rsidR="006559AD" w:rsidRPr="00E07189">
        <w:rPr>
          <w:color w:val="000000" w:themeColor="text1"/>
        </w:rPr>
        <w:t xml:space="preserve">ersonal </w:t>
      </w:r>
      <w:r w:rsidR="001C336D">
        <w:rPr>
          <w:color w:val="000000" w:themeColor="text1"/>
        </w:rPr>
        <w:t>E</w:t>
      </w:r>
      <w:r w:rsidR="006559AD" w:rsidRPr="00E07189">
        <w:rPr>
          <w:color w:val="000000" w:themeColor="text1"/>
        </w:rPr>
        <w:t xml:space="preserve">xperiences </w:t>
      </w:r>
      <w:r w:rsidR="001C336D">
        <w:rPr>
          <w:color w:val="000000" w:themeColor="text1"/>
        </w:rPr>
        <w:t>C</w:t>
      </w:r>
      <w:r w:rsidR="006559AD" w:rsidRPr="00E07189">
        <w:rPr>
          <w:color w:val="000000" w:themeColor="text1"/>
        </w:rPr>
        <w:t>hecklist</w:t>
      </w:r>
      <w:r w:rsidR="00AE25AF">
        <w:rPr>
          <w:color w:val="000000" w:themeColor="text1"/>
        </w:rPr>
        <w:t xml:space="preserve"> </w:t>
      </w:r>
      <w:r w:rsidR="00AE25AF" w:rsidRPr="00E07189">
        <w:rPr>
          <w:color w:val="000000" w:themeColor="text1"/>
        </w:rPr>
        <w:t xml:space="preserve">(PECK-SF) </w:t>
      </w:r>
      <w:r w:rsidR="006559AD" w:rsidRPr="00E07189">
        <w:rPr>
          <w:color w:val="000000" w:themeColor="text1"/>
        </w:rPr>
        <w:t>(</w:t>
      </w:r>
      <w:r w:rsidR="00E07189" w:rsidRPr="00E07189">
        <w:rPr>
          <w:color w:val="000000" w:themeColor="text1"/>
        </w:rPr>
        <w:t>Prinz et al., 2019</w:t>
      </w:r>
      <w:r w:rsidR="006559AD" w:rsidRPr="00E07189">
        <w:rPr>
          <w:color w:val="000000" w:themeColor="text1"/>
        </w:rPr>
        <w:t xml:space="preserve">) provides a general, brief </w:t>
      </w:r>
      <w:r w:rsidR="00F61195">
        <w:rPr>
          <w:color w:val="000000" w:themeColor="text1"/>
        </w:rPr>
        <w:t xml:space="preserve">14-item </w:t>
      </w:r>
      <w:r w:rsidR="006559AD" w:rsidRPr="00E07189">
        <w:rPr>
          <w:color w:val="000000" w:themeColor="text1"/>
        </w:rPr>
        <w:t xml:space="preserve">measure of </w:t>
      </w:r>
      <w:r w:rsidR="00213C41">
        <w:rPr>
          <w:color w:val="000000" w:themeColor="text1"/>
        </w:rPr>
        <w:t>peer-victimization</w:t>
      </w:r>
      <w:r w:rsidR="006559AD" w:rsidRPr="00E07189">
        <w:rPr>
          <w:color w:val="000000" w:themeColor="text1"/>
        </w:rPr>
        <w:t xml:space="preserve"> experiences</w:t>
      </w:r>
      <w:r w:rsidR="00681809">
        <w:rPr>
          <w:color w:val="000000" w:themeColor="text1"/>
        </w:rPr>
        <w:t>.</w:t>
      </w:r>
      <w:r w:rsidR="005D24B7">
        <w:rPr>
          <w:color w:val="000000" w:themeColor="text1"/>
        </w:rPr>
        <w:t xml:space="preserve"> While early evidence suggests the PECK-SF is a valid and reliable measure, further evidence as to the psychometric properties </w:t>
      </w:r>
      <w:r w:rsidR="00FD57FE">
        <w:rPr>
          <w:color w:val="000000" w:themeColor="text1"/>
        </w:rPr>
        <w:t>and</w:t>
      </w:r>
      <w:r w:rsidR="00A83950">
        <w:rPr>
          <w:color w:val="000000" w:themeColor="text1"/>
        </w:rPr>
        <w:t>, particularly,</w:t>
      </w:r>
      <w:r w:rsidR="005D24B7">
        <w:rPr>
          <w:color w:val="000000" w:themeColor="text1"/>
        </w:rPr>
        <w:t xml:space="preserve"> invariance of the scale is needed.</w:t>
      </w:r>
      <w:r w:rsidR="00A22B84">
        <w:rPr>
          <w:color w:val="000000" w:themeColor="text1"/>
        </w:rPr>
        <w:t xml:space="preserve"> </w:t>
      </w:r>
      <w:r w:rsidR="00E07189" w:rsidRPr="00E07189">
        <w:rPr>
          <w:color w:val="000000" w:themeColor="text1"/>
        </w:rPr>
        <w:t>Therefore, t</w:t>
      </w:r>
      <w:r w:rsidR="00C24699" w:rsidRPr="00E07189">
        <w:rPr>
          <w:color w:val="000000" w:themeColor="text1"/>
        </w:rPr>
        <w:t xml:space="preserve">he aim of </w:t>
      </w:r>
      <w:r w:rsidR="00E07189" w:rsidRPr="00E07189">
        <w:rPr>
          <w:color w:val="000000" w:themeColor="text1"/>
        </w:rPr>
        <w:t>this</w:t>
      </w:r>
      <w:r w:rsidR="00C24699" w:rsidRPr="00E07189">
        <w:rPr>
          <w:color w:val="000000" w:themeColor="text1"/>
        </w:rPr>
        <w:t xml:space="preserve"> study is to </w:t>
      </w:r>
      <w:r w:rsidR="001C336D">
        <w:rPr>
          <w:color w:val="000000" w:themeColor="text1"/>
        </w:rPr>
        <w:t xml:space="preserve">estimate </w:t>
      </w:r>
      <w:r w:rsidR="00B76B98">
        <w:rPr>
          <w:color w:val="000000" w:themeColor="text1"/>
        </w:rPr>
        <w:t xml:space="preserve">the </w:t>
      </w:r>
      <w:r w:rsidR="001C336D">
        <w:rPr>
          <w:color w:val="000000" w:themeColor="text1"/>
        </w:rPr>
        <w:t xml:space="preserve">measurement invariance </w:t>
      </w:r>
      <w:r w:rsidR="00C24699" w:rsidRPr="00E07189">
        <w:rPr>
          <w:color w:val="000000" w:themeColor="text1"/>
        </w:rPr>
        <w:t xml:space="preserve">of the </w:t>
      </w:r>
      <w:r w:rsidR="00E07189" w:rsidRPr="00E07189">
        <w:rPr>
          <w:color w:val="000000" w:themeColor="text1"/>
        </w:rPr>
        <w:t>PECK-SF</w:t>
      </w:r>
      <w:r w:rsidR="00C24699" w:rsidRPr="00E07189">
        <w:rPr>
          <w:color w:val="000000" w:themeColor="text1"/>
        </w:rPr>
        <w:t xml:space="preserve"> </w:t>
      </w:r>
      <w:r w:rsidR="00A83950" w:rsidRPr="00E07189">
        <w:rPr>
          <w:color w:val="000000" w:themeColor="text1"/>
        </w:rPr>
        <w:t xml:space="preserve">across gender and </w:t>
      </w:r>
      <w:r w:rsidR="00C24699" w:rsidRPr="00E07189">
        <w:rPr>
          <w:color w:val="000000" w:themeColor="text1"/>
        </w:rPr>
        <w:t xml:space="preserve">over time. </w:t>
      </w:r>
    </w:p>
    <w:p w14:paraId="0FAEFAE1" w14:textId="168D7A2E" w:rsidR="00C24699" w:rsidRPr="00C24699" w:rsidRDefault="00C24699" w:rsidP="00A51AFF">
      <w:pPr>
        <w:spacing w:line="480" w:lineRule="auto"/>
        <w:rPr>
          <w:b/>
          <w:bCs/>
          <w:color w:val="000000" w:themeColor="text1"/>
        </w:rPr>
      </w:pPr>
      <w:r w:rsidRPr="00C24699">
        <w:rPr>
          <w:b/>
          <w:bCs/>
          <w:color w:val="000000" w:themeColor="text1"/>
        </w:rPr>
        <w:t>Peer-Victimisation</w:t>
      </w:r>
    </w:p>
    <w:p w14:paraId="5007D064" w14:textId="24ED0327" w:rsidR="0092308D" w:rsidRDefault="00C24699" w:rsidP="00A51AFF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Peer-victimisation </w:t>
      </w:r>
      <w:r w:rsidR="00F82150">
        <w:rPr>
          <w:color w:val="000000" w:themeColor="text1"/>
        </w:rPr>
        <w:t xml:space="preserve">is defined as frequently experienced aggressive </w:t>
      </w:r>
      <w:r w:rsidR="00A80295">
        <w:rPr>
          <w:color w:val="000000" w:themeColor="text1"/>
        </w:rPr>
        <w:t>behavior</w:t>
      </w:r>
      <w:r w:rsidR="00F82150">
        <w:rPr>
          <w:color w:val="000000" w:themeColor="text1"/>
        </w:rPr>
        <w:t xml:space="preserve"> within the peer group (</w:t>
      </w:r>
      <w:r w:rsidR="00A179FD" w:rsidRPr="00712FE2">
        <w:rPr>
          <w:color w:val="000000"/>
        </w:rPr>
        <w:t>Hunter</w:t>
      </w:r>
      <w:r w:rsidR="00A179FD">
        <w:rPr>
          <w:color w:val="000000"/>
        </w:rPr>
        <w:t xml:space="preserve"> et al., </w:t>
      </w:r>
      <w:r w:rsidR="00A179FD" w:rsidRPr="00712FE2">
        <w:rPr>
          <w:color w:val="000000"/>
        </w:rPr>
        <w:t>2007</w:t>
      </w:r>
      <w:r w:rsidR="00F82150">
        <w:rPr>
          <w:color w:val="000000" w:themeColor="text1"/>
        </w:rPr>
        <w:t xml:space="preserve">). </w:t>
      </w:r>
      <w:r w:rsidR="00532EC6">
        <w:rPr>
          <w:color w:val="000000" w:themeColor="text1"/>
        </w:rPr>
        <w:t>Peer-victimisation includes a range of aggressive behaviors</w:t>
      </w:r>
      <w:r w:rsidR="00A80295">
        <w:rPr>
          <w:color w:val="000000" w:themeColor="text1"/>
        </w:rPr>
        <w:t>,</w:t>
      </w:r>
      <w:r w:rsidR="00532EC6">
        <w:rPr>
          <w:color w:val="000000" w:themeColor="text1"/>
        </w:rPr>
        <w:t xml:space="preserve"> including direct verbal and physical acts such as name-calling and being hit or kicked, indirect acts such as being ignored or having rumours spread, and </w:t>
      </w:r>
      <w:r w:rsidR="00213C41">
        <w:rPr>
          <w:color w:val="000000" w:themeColor="text1"/>
        </w:rPr>
        <w:t>cyber-victimization</w:t>
      </w:r>
      <w:r w:rsidR="00532EC6">
        <w:rPr>
          <w:color w:val="000000" w:themeColor="text1"/>
        </w:rPr>
        <w:t xml:space="preserve"> such as being humiliated or embarrassed on social media and being sent nasty or threatening text messages. Approximately 25% of adolescents frequently experience such behaviors (</w:t>
      </w:r>
      <w:r w:rsidR="00A179FD" w:rsidRPr="00331642">
        <w:rPr>
          <w:color w:val="000000"/>
          <w:shd w:val="clear" w:color="auto" w:fill="FFFFFF"/>
        </w:rPr>
        <w:t>Juvonen &amp; Graham, 2014</w:t>
      </w:r>
      <w:r w:rsidR="00532EC6">
        <w:rPr>
          <w:color w:val="000000" w:themeColor="text1"/>
        </w:rPr>
        <w:t>)</w:t>
      </w:r>
      <w:r w:rsidR="00A80295">
        <w:rPr>
          <w:color w:val="000000" w:themeColor="text1"/>
        </w:rPr>
        <w:t>,</w:t>
      </w:r>
      <w:r w:rsidR="00532EC6">
        <w:rPr>
          <w:color w:val="000000" w:themeColor="text1"/>
        </w:rPr>
        <w:t xml:space="preserve"> and direct and indirect behaviors are more frequently experienced than cyber-aggression (</w:t>
      </w:r>
      <w:r w:rsidR="00A179FD" w:rsidRPr="00331642">
        <w:rPr>
          <w:rFonts w:eastAsia="MS Mincho"/>
        </w:rPr>
        <w:t>Modecki</w:t>
      </w:r>
      <w:r w:rsidR="00A179FD">
        <w:rPr>
          <w:rFonts w:eastAsia="MS Mincho"/>
        </w:rPr>
        <w:t xml:space="preserve"> et al., 2014</w:t>
      </w:r>
      <w:r w:rsidR="00532EC6">
        <w:rPr>
          <w:color w:val="000000" w:themeColor="text1"/>
        </w:rPr>
        <w:t>).</w:t>
      </w:r>
      <w:r w:rsidR="00A179FD" w:rsidRPr="00A179FD">
        <w:rPr>
          <w:color w:val="000000" w:themeColor="text1"/>
        </w:rPr>
        <w:t xml:space="preserve"> </w:t>
      </w:r>
      <w:r w:rsidR="00A179FD">
        <w:rPr>
          <w:color w:val="000000" w:themeColor="text1"/>
        </w:rPr>
        <w:t xml:space="preserve">Bullying is a specific form of </w:t>
      </w:r>
      <w:r w:rsidR="00213C41">
        <w:rPr>
          <w:color w:val="000000" w:themeColor="text1"/>
        </w:rPr>
        <w:t>peer-victimization</w:t>
      </w:r>
      <w:r w:rsidR="00A179FD">
        <w:rPr>
          <w:color w:val="000000" w:themeColor="text1"/>
        </w:rPr>
        <w:t xml:space="preserve">, which includes the additional characteristics of an imbalance of power between the </w:t>
      </w:r>
      <w:r w:rsidR="00A179FD">
        <w:rPr>
          <w:color w:val="000000" w:themeColor="text1"/>
        </w:rPr>
        <w:lastRenderedPageBreak/>
        <w:t>perpetrator and the target</w:t>
      </w:r>
      <w:r w:rsidR="00FD57FE">
        <w:rPr>
          <w:color w:val="000000" w:themeColor="text1"/>
        </w:rPr>
        <w:t>,</w:t>
      </w:r>
      <w:r w:rsidR="00A179FD">
        <w:rPr>
          <w:color w:val="000000" w:themeColor="text1"/>
        </w:rPr>
        <w:t xml:space="preserve"> and an intent to cause harm</w:t>
      </w:r>
      <w:r w:rsidR="00A62E1E">
        <w:rPr>
          <w:color w:val="000000" w:themeColor="text1"/>
        </w:rPr>
        <w:t xml:space="preserve"> </w:t>
      </w:r>
      <w:r w:rsidR="00A62E1E" w:rsidRPr="007765D8">
        <w:rPr>
          <w:color w:val="000000" w:themeColor="text1"/>
        </w:rPr>
        <w:t>(Olweus, 1993)</w:t>
      </w:r>
      <w:r w:rsidR="00A179FD">
        <w:rPr>
          <w:color w:val="000000" w:themeColor="text1"/>
        </w:rPr>
        <w:t>.</w:t>
      </w:r>
      <w:r w:rsidR="00A62E1E">
        <w:rPr>
          <w:color w:val="000000" w:themeColor="text1"/>
        </w:rPr>
        <w:t xml:space="preserve"> The definition of peer-</w:t>
      </w:r>
      <w:r w:rsidR="00D50892">
        <w:rPr>
          <w:color w:val="000000" w:themeColor="text1"/>
        </w:rPr>
        <w:t>victimization,</w:t>
      </w:r>
      <w:r w:rsidR="00A62E1E">
        <w:rPr>
          <w:color w:val="000000" w:themeColor="text1"/>
        </w:rPr>
        <w:t xml:space="preserve"> however, omits any reference to power imbalance or intentionality and instead is defined as frequently experienced aggressive behaviour that occurs within the peer-group (</w:t>
      </w:r>
      <w:r w:rsidR="00A62E1E" w:rsidRPr="007765D8">
        <w:rPr>
          <w:color w:val="000000" w:themeColor="text1"/>
        </w:rPr>
        <w:t>Hunter, Boyle, &amp; Warden, 2007</w:t>
      </w:r>
      <w:r w:rsidR="002C5DED">
        <w:rPr>
          <w:color w:val="000000" w:themeColor="text1"/>
        </w:rPr>
        <w:t>;</w:t>
      </w:r>
      <w:r w:rsidR="002C5DED" w:rsidRPr="002C5DED">
        <w:rPr>
          <w:color w:val="000000" w:themeColor="text1"/>
        </w:rPr>
        <w:t xml:space="preserve"> </w:t>
      </w:r>
      <w:r w:rsidR="002C5DED" w:rsidRPr="009A73BE">
        <w:rPr>
          <w:color w:val="000000" w:themeColor="text1"/>
        </w:rPr>
        <w:t>Söderberg &amp; Björkqvist, 2020</w:t>
      </w:r>
      <w:r w:rsidR="00A62E1E">
        <w:rPr>
          <w:color w:val="000000" w:themeColor="text1"/>
          <w:shd w:val="clear" w:color="auto" w:fill="FFFFFF"/>
        </w:rPr>
        <w:t xml:space="preserve">). </w:t>
      </w:r>
      <w:r w:rsidR="003F7225">
        <w:rPr>
          <w:color w:val="000000" w:themeColor="text1"/>
        </w:rPr>
        <w:t xml:space="preserve">The distinction between </w:t>
      </w:r>
      <w:r w:rsidR="00571BDE">
        <w:rPr>
          <w:color w:val="000000" w:themeColor="text1"/>
        </w:rPr>
        <w:t xml:space="preserve">peer-victimization and bullying </w:t>
      </w:r>
      <w:r w:rsidR="003F7225">
        <w:rPr>
          <w:color w:val="000000" w:themeColor="text1"/>
        </w:rPr>
        <w:t xml:space="preserve">is often confused in the literature as the terms are frequently used interchangeably </w:t>
      </w:r>
      <w:r w:rsidR="003F7225">
        <w:rPr>
          <w:color w:val="000000" w:themeColor="text1"/>
          <w:shd w:val="clear" w:color="auto" w:fill="FFFFFF"/>
        </w:rPr>
        <w:t>(Hunter et al., 2007)</w:t>
      </w:r>
      <w:r w:rsidR="003F7225">
        <w:rPr>
          <w:color w:val="000000" w:themeColor="text1"/>
        </w:rPr>
        <w:t xml:space="preserve">. This definitional confusion has implications for the way </w:t>
      </w:r>
      <w:r w:rsidR="00213C41">
        <w:rPr>
          <w:color w:val="000000" w:themeColor="text1"/>
        </w:rPr>
        <w:t>peer-victimization</w:t>
      </w:r>
      <w:r w:rsidR="003F7225">
        <w:rPr>
          <w:color w:val="000000" w:themeColor="text1"/>
        </w:rPr>
        <w:t xml:space="preserve"> and bullying are measured.</w:t>
      </w:r>
    </w:p>
    <w:p w14:paraId="02A6DB7D" w14:textId="7B407AFA" w:rsidR="00532EC6" w:rsidRDefault="001F3CEC" w:rsidP="00E33BAC">
      <w:pPr>
        <w:spacing w:line="480" w:lineRule="auto"/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Assessment of </w:t>
      </w:r>
      <w:r w:rsidR="00213C41">
        <w:rPr>
          <w:color w:val="000000" w:themeColor="text1"/>
        </w:rPr>
        <w:t>peer-victimization</w:t>
      </w:r>
      <w:r w:rsidR="00532EC6">
        <w:rPr>
          <w:color w:val="000000" w:themeColor="text1"/>
        </w:rPr>
        <w:t xml:space="preserve"> </w:t>
      </w:r>
      <w:r w:rsidR="003F7225">
        <w:rPr>
          <w:color w:val="000000" w:themeColor="text1"/>
        </w:rPr>
        <w:t xml:space="preserve">and bullying </w:t>
      </w:r>
      <w:r w:rsidR="001A06A2">
        <w:rPr>
          <w:color w:val="000000" w:themeColor="text1"/>
        </w:rPr>
        <w:t xml:space="preserve">using questionnaires </w:t>
      </w:r>
      <w:r w:rsidR="00532EC6">
        <w:rPr>
          <w:color w:val="000000" w:themeColor="text1"/>
        </w:rPr>
        <w:t xml:space="preserve">raises </w:t>
      </w:r>
      <w:r>
        <w:rPr>
          <w:color w:val="000000" w:themeColor="text1"/>
        </w:rPr>
        <w:t xml:space="preserve">two key </w:t>
      </w:r>
      <w:r w:rsidR="00532EC6">
        <w:rPr>
          <w:color w:val="000000" w:themeColor="text1"/>
        </w:rPr>
        <w:t>methodological issues</w:t>
      </w:r>
      <w:r w:rsidR="001C336D">
        <w:rPr>
          <w:color w:val="000000" w:themeColor="text1"/>
        </w:rPr>
        <w:t xml:space="preserve"> (Hunter et al., 2021)</w:t>
      </w:r>
      <w:r w:rsidR="00532EC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First, </w:t>
      </w:r>
      <w:r>
        <w:t>is the decision concerning</w:t>
      </w:r>
      <w:r w:rsidR="00F522A9" w:rsidRPr="00331642">
        <w:t xml:space="preserve"> whether a </w:t>
      </w:r>
      <w:r w:rsidRPr="00331642">
        <w:t xml:space="preserve">definitional </w:t>
      </w:r>
      <w:r w:rsidR="00F522A9" w:rsidRPr="00331642">
        <w:t xml:space="preserve">or </w:t>
      </w:r>
      <w:r>
        <w:t xml:space="preserve">a </w:t>
      </w:r>
      <w:r w:rsidRPr="00331642">
        <w:t xml:space="preserve">behavioral </w:t>
      </w:r>
      <w:r w:rsidR="00F522A9" w:rsidRPr="00331642">
        <w:t xml:space="preserve">approach should be taken </w:t>
      </w:r>
      <w:r w:rsidR="00186C05" w:rsidRPr="00331642">
        <w:t>(Vessey</w:t>
      </w:r>
      <w:r w:rsidR="00186C05">
        <w:t xml:space="preserve"> et al.,</w:t>
      </w:r>
      <w:r w:rsidR="00186C05" w:rsidRPr="00331642">
        <w:t xml:space="preserve"> 2014</w:t>
      </w:r>
      <w:r w:rsidR="00186C05">
        <w:t xml:space="preserve">; </w:t>
      </w:r>
      <w:r w:rsidR="00186C05" w:rsidRPr="00763349">
        <w:rPr>
          <w:color w:val="000000" w:themeColor="text1"/>
        </w:rPr>
        <w:t>Volk et al., 2017</w:t>
      </w:r>
      <w:r w:rsidR="00186C05" w:rsidRPr="00331642">
        <w:t>)</w:t>
      </w:r>
      <w:r w:rsidR="00F522A9" w:rsidRPr="00331642">
        <w:t>.</w:t>
      </w:r>
      <w:r w:rsidR="00186C05" w:rsidRPr="00186C05">
        <w:rPr>
          <w:color w:val="000000" w:themeColor="text1"/>
          <w:shd w:val="clear" w:color="auto" w:fill="FFFFFF"/>
        </w:rPr>
        <w:t xml:space="preserve"> </w:t>
      </w:r>
      <w:r>
        <w:t>The former</w:t>
      </w:r>
      <w:r w:rsidR="00E33BAC" w:rsidRPr="00331642">
        <w:t xml:space="preserve"> present</w:t>
      </w:r>
      <w:r w:rsidR="00A83950">
        <w:t>s</w:t>
      </w:r>
      <w:r w:rsidR="00E33BAC" w:rsidRPr="00331642">
        <w:t xml:space="preserve"> participants with a definition of bullying</w:t>
      </w:r>
      <w:r>
        <w:t xml:space="preserve"> </w:t>
      </w:r>
      <w:r w:rsidR="00A83950">
        <w:t xml:space="preserve">explaining </w:t>
      </w:r>
      <w:r w:rsidR="00E33BAC" w:rsidRPr="00331642">
        <w:t xml:space="preserve">the </w:t>
      </w:r>
      <w:r>
        <w:t>critical</w:t>
      </w:r>
      <w:r w:rsidR="00E33BAC">
        <w:t xml:space="preserve"> characteristics of bullying</w:t>
      </w:r>
      <w:r w:rsidRPr="001F3CEC">
        <w:t xml:space="preserve"> </w:t>
      </w:r>
      <w:r w:rsidR="00E33BAC" w:rsidRPr="00331642">
        <w:t xml:space="preserve">before asking </w:t>
      </w:r>
      <w:r w:rsidR="00A83950">
        <w:t>respondents</w:t>
      </w:r>
      <w:r w:rsidR="00A83950" w:rsidRPr="00331642">
        <w:t xml:space="preserve"> </w:t>
      </w:r>
      <w:r w:rsidR="00E33BAC" w:rsidRPr="00331642">
        <w:t xml:space="preserve">how often they have experienced bullying </w:t>
      </w:r>
      <w:r>
        <w:t xml:space="preserve">behaviors within </w:t>
      </w:r>
      <w:r w:rsidR="00E33BAC" w:rsidRPr="00331642">
        <w:t>a given time frame</w:t>
      </w:r>
      <w:r>
        <w:t xml:space="preserve"> (e.g., The Olweus Bully/Victim Questionnaire: Olweus, 1993)</w:t>
      </w:r>
      <w:r w:rsidR="00E33BAC" w:rsidRPr="00331642">
        <w:t xml:space="preserve">. </w:t>
      </w:r>
      <w:r w:rsidR="003F49EC">
        <w:t xml:space="preserve">In contrast, and </w:t>
      </w:r>
      <w:r w:rsidR="003F49EC">
        <w:rPr>
          <w:color w:val="000000" w:themeColor="text1"/>
          <w:shd w:val="clear" w:color="auto" w:fill="FFFFFF"/>
        </w:rPr>
        <w:t>d</w:t>
      </w:r>
      <w:r w:rsidR="00E33BAC" w:rsidRPr="00763349">
        <w:rPr>
          <w:color w:val="000000" w:themeColor="text1"/>
          <w:shd w:val="clear" w:color="auto" w:fill="FFFFFF"/>
        </w:rPr>
        <w:t xml:space="preserve">ue to the potential for subjective interpretation when </w:t>
      </w:r>
      <w:r w:rsidR="00842908">
        <w:rPr>
          <w:color w:val="000000" w:themeColor="text1"/>
          <w:shd w:val="clear" w:color="auto" w:fill="FFFFFF"/>
        </w:rPr>
        <w:t>reading definitions of bullying</w:t>
      </w:r>
      <w:r w:rsidR="00E33BAC" w:rsidRPr="00763349">
        <w:rPr>
          <w:color w:val="000000" w:themeColor="text1"/>
          <w:shd w:val="clear" w:color="auto" w:fill="FFFFFF"/>
        </w:rPr>
        <w:t>, behavio</w:t>
      </w:r>
      <w:r w:rsidR="00213C41">
        <w:rPr>
          <w:color w:val="000000" w:themeColor="text1"/>
          <w:shd w:val="clear" w:color="auto" w:fill="FFFFFF"/>
        </w:rPr>
        <w:t>r</w:t>
      </w:r>
      <w:r w:rsidR="00E33BAC" w:rsidRPr="00763349">
        <w:rPr>
          <w:color w:val="000000" w:themeColor="text1"/>
          <w:shd w:val="clear" w:color="auto" w:fill="FFFFFF"/>
        </w:rPr>
        <w:t xml:space="preserve">al measures of bullying and </w:t>
      </w:r>
      <w:r w:rsidR="00213C41">
        <w:rPr>
          <w:color w:val="000000" w:themeColor="text1"/>
          <w:shd w:val="clear" w:color="auto" w:fill="FFFFFF"/>
        </w:rPr>
        <w:t>peer-victimization</w:t>
      </w:r>
      <w:r w:rsidR="00E33BAC" w:rsidRPr="00763349">
        <w:rPr>
          <w:color w:val="000000" w:themeColor="text1"/>
          <w:shd w:val="clear" w:color="auto" w:fill="FFFFFF"/>
        </w:rPr>
        <w:t xml:space="preserve"> typically omit any definition</w:t>
      </w:r>
      <w:r w:rsidR="003F49EC">
        <w:rPr>
          <w:color w:val="000000" w:themeColor="text1"/>
          <w:shd w:val="clear" w:color="auto" w:fill="FFFFFF"/>
        </w:rPr>
        <w:t xml:space="preserve"> (e.g., the </w:t>
      </w:r>
      <w:r w:rsidR="003F49EC" w:rsidRPr="00842908">
        <w:rPr>
          <w:color w:val="000000" w:themeColor="text1"/>
          <w:shd w:val="clear" w:color="auto" w:fill="FFFFFF"/>
        </w:rPr>
        <w:t>PECK</w:t>
      </w:r>
      <w:r w:rsidR="003F49EC">
        <w:rPr>
          <w:color w:val="000000" w:themeColor="text1"/>
          <w:shd w:val="clear" w:color="auto" w:fill="FFFFFF"/>
        </w:rPr>
        <w:t>-</w:t>
      </w:r>
      <w:r w:rsidR="003F49EC" w:rsidRPr="00842908">
        <w:rPr>
          <w:color w:val="000000" w:themeColor="text1"/>
          <w:shd w:val="clear" w:color="auto" w:fill="FFFFFF"/>
        </w:rPr>
        <w:t xml:space="preserve">SF, </w:t>
      </w:r>
      <w:r w:rsidR="003F49EC" w:rsidRPr="00A51AFF">
        <w:t>Prinz et al., 2019</w:t>
      </w:r>
      <w:r w:rsidR="003F49EC">
        <w:rPr>
          <w:color w:val="000000" w:themeColor="text1"/>
          <w:shd w:val="clear" w:color="auto" w:fill="FFFFFF"/>
        </w:rPr>
        <w:t>)</w:t>
      </w:r>
      <w:r w:rsidR="00A80295">
        <w:rPr>
          <w:color w:val="000000" w:themeColor="text1"/>
          <w:shd w:val="clear" w:color="auto" w:fill="FFFFFF"/>
        </w:rPr>
        <w:t>. I</w:t>
      </w:r>
      <w:r w:rsidR="00E33BAC" w:rsidRPr="00763349">
        <w:rPr>
          <w:color w:val="000000" w:themeColor="text1"/>
          <w:shd w:val="clear" w:color="auto" w:fill="FFFFFF"/>
        </w:rPr>
        <w:t>nstead</w:t>
      </w:r>
      <w:r w:rsidR="00A80295">
        <w:rPr>
          <w:color w:val="000000" w:themeColor="text1"/>
          <w:shd w:val="clear" w:color="auto" w:fill="FFFFFF"/>
        </w:rPr>
        <w:t>,</w:t>
      </w:r>
      <w:r w:rsidR="00E33BAC" w:rsidRPr="00763349">
        <w:rPr>
          <w:color w:val="000000" w:themeColor="text1"/>
          <w:shd w:val="clear" w:color="auto" w:fill="FFFFFF"/>
        </w:rPr>
        <w:t xml:space="preserve"> </w:t>
      </w:r>
      <w:r w:rsidR="00213C41">
        <w:rPr>
          <w:color w:val="000000" w:themeColor="text1"/>
          <w:shd w:val="clear" w:color="auto" w:fill="FFFFFF"/>
        </w:rPr>
        <w:t>behavior</w:t>
      </w:r>
      <w:r w:rsidR="003F49EC">
        <w:rPr>
          <w:color w:val="000000" w:themeColor="text1"/>
          <w:shd w:val="clear" w:color="auto" w:fill="FFFFFF"/>
        </w:rPr>
        <w:t xml:space="preserve">al </w:t>
      </w:r>
      <w:r w:rsidR="00A80295">
        <w:rPr>
          <w:color w:val="000000" w:themeColor="text1"/>
          <w:shd w:val="clear" w:color="auto" w:fill="FFFFFF"/>
        </w:rPr>
        <w:t xml:space="preserve">measures </w:t>
      </w:r>
      <w:r w:rsidR="00E33BAC" w:rsidRPr="00763349">
        <w:rPr>
          <w:color w:val="000000" w:themeColor="text1"/>
          <w:shd w:val="clear" w:color="auto" w:fill="FFFFFF"/>
        </w:rPr>
        <w:t xml:space="preserve">present </w:t>
      </w:r>
      <w:r w:rsidR="00E33BAC">
        <w:rPr>
          <w:color w:val="000000" w:themeColor="text1"/>
          <w:shd w:val="clear" w:color="auto" w:fill="FFFFFF"/>
        </w:rPr>
        <w:t xml:space="preserve">participants with </w:t>
      </w:r>
      <w:r w:rsidR="00E33BAC" w:rsidRPr="00763349">
        <w:rPr>
          <w:color w:val="000000" w:themeColor="text1"/>
          <w:shd w:val="clear" w:color="auto" w:fill="FFFFFF"/>
        </w:rPr>
        <w:t xml:space="preserve">a list of aggressive behaviors and ask </w:t>
      </w:r>
      <w:r w:rsidR="003F49EC">
        <w:rPr>
          <w:color w:val="000000" w:themeColor="text1"/>
          <w:shd w:val="clear" w:color="auto" w:fill="FFFFFF"/>
        </w:rPr>
        <w:t>them</w:t>
      </w:r>
      <w:r w:rsidR="003F49EC" w:rsidRPr="00763349">
        <w:rPr>
          <w:color w:val="000000" w:themeColor="text1"/>
          <w:shd w:val="clear" w:color="auto" w:fill="FFFFFF"/>
        </w:rPr>
        <w:t xml:space="preserve"> </w:t>
      </w:r>
      <w:r w:rsidR="00E33BAC" w:rsidRPr="00763349">
        <w:rPr>
          <w:color w:val="000000" w:themeColor="text1"/>
          <w:shd w:val="clear" w:color="auto" w:fill="FFFFFF"/>
        </w:rPr>
        <w:t xml:space="preserve">to rate how often they </w:t>
      </w:r>
      <w:r w:rsidR="00E33BAC">
        <w:rPr>
          <w:color w:val="000000" w:themeColor="text1"/>
          <w:shd w:val="clear" w:color="auto" w:fill="FFFFFF"/>
        </w:rPr>
        <w:t>have</w:t>
      </w:r>
      <w:r w:rsidR="00E33BAC" w:rsidRPr="00763349">
        <w:rPr>
          <w:color w:val="000000" w:themeColor="text1"/>
          <w:shd w:val="clear" w:color="auto" w:fill="FFFFFF"/>
        </w:rPr>
        <w:t xml:space="preserve"> experienced each type of behavior.</w:t>
      </w:r>
      <w:r w:rsidR="00C96F4A" w:rsidRPr="00C96F4A">
        <w:rPr>
          <w:color w:val="000000" w:themeColor="text1"/>
        </w:rPr>
        <w:t xml:space="preserve"> </w:t>
      </w:r>
      <w:r w:rsidR="00C96F4A">
        <w:rPr>
          <w:color w:val="000000" w:themeColor="text1"/>
        </w:rPr>
        <w:t xml:space="preserve">This </w:t>
      </w:r>
      <w:r w:rsidR="00213C41">
        <w:rPr>
          <w:color w:val="000000" w:themeColor="text1"/>
        </w:rPr>
        <w:t>conceptualizes</w:t>
      </w:r>
      <w:r w:rsidR="00C96F4A" w:rsidRPr="007C6A39">
        <w:rPr>
          <w:i/>
          <w:iCs/>
          <w:color w:val="000000" w:themeColor="text1"/>
        </w:rPr>
        <w:t xml:space="preserve"> </w:t>
      </w:r>
      <w:r w:rsidR="00C96F4A" w:rsidRPr="007C6A39">
        <w:rPr>
          <w:color w:val="000000" w:themeColor="text1"/>
        </w:rPr>
        <w:t xml:space="preserve">experiences of </w:t>
      </w:r>
      <w:r w:rsidR="00C96F4A" w:rsidRPr="00763349">
        <w:rPr>
          <w:color w:val="000000" w:themeColor="text1"/>
          <w:shd w:val="clear" w:color="auto" w:fill="FFFFFF"/>
        </w:rPr>
        <w:t xml:space="preserve">bullying and </w:t>
      </w:r>
      <w:r w:rsidR="00213C41">
        <w:rPr>
          <w:color w:val="000000" w:themeColor="text1"/>
          <w:shd w:val="clear" w:color="auto" w:fill="FFFFFF"/>
        </w:rPr>
        <w:t>peer-victimization</w:t>
      </w:r>
      <w:r w:rsidR="00C96F4A" w:rsidRPr="00763349">
        <w:rPr>
          <w:color w:val="000000" w:themeColor="text1"/>
          <w:shd w:val="clear" w:color="auto" w:fill="FFFFFF"/>
        </w:rPr>
        <w:t xml:space="preserve"> </w:t>
      </w:r>
      <w:r w:rsidR="00C96F4A">
        <w:rPr>
          <w:color w:val="000000" w:themeColor="text1"/>
        </w:rPr>
        <w:t xml:space="preserve">as </w:t>
      </w:r>
      <w:r w:rsidR="00C96F4A" w:rsidRPr="007C6A39">
        <w:rPr>
          <w:color w:val="000000" w:themeColor="text1"/>
        </w:rPr>
        <w:t>a continuum (Hunt et al., 2012).</w:t>
      </w:r>
      <w:r w:rsidR="00E86B48">
        <w:rPr>
          <w:color w:val="000000" w:themeColor="text1"/>
        </w:rPr>
        <w:t xml:space="preserve"> </w:t>
      </w:r>
    </w:p>
    <w:p w14:paraId="777929CE" w14:textId="648922D8" w:rsidR="00A51AFF" w:rsidRPr="00A51AFF" w:rsidRDefault="00A51AFF" w:rsidP="00A51AFF">
      <w:pPr>
        <w:pStyle w:val="Heading3"/>
        <w:rPr>
          <w:szCs w:val="24"/>
        </w:rPr>
      </w:pPr>
      <w:r w:rsidRPr="00A51AFF">
        <w:rPr>
          <w:szCs w:val="24"/>
        </w:rPr>
        <w:t xml:space="preserve">The Personal Experiences Checklist </w:t>
      </w:r>
    </w:p>
    <w:p w14:paraId="294E8956" w14:textId="5284C40B" w:rsidR="0092308D" w:rsidRPr="00A51AFF" w:rsidRDefault="0092308D" w:rsidP="009839E8">
      <w:pPr>
        <w:spacing w:line="480" w:lineRule="auto"/>
        <w:ind w:firstLine="720"/>
      </w:pPr>
      <w:r>
        <w:t xml:space="preserve">The Personal Experiences Checklist </w:t>
      </w:r>
      <w:r w:rsidR="007C0435">
        <w:t xml:space="preserve">(PECK) </w:t>
      </w:r>
      <w:r>
        <w:t>(</w:t>
      </w:r>
      <w:r w:rsidRPr="0092308D">
        <w:t>Hunt</w:t>
      </w:r>
      <w:r w:rsidR="0013491B">
        <w:t xml:space="preserve"> et al.</w:t>
      </w:r>
      <w:r w:rsidRPr="0092308D">
        <w:t>, 2012)</w:t>
      </w:r>
      <w:r w:rsidR="00A51AFF" w:rsidRPr="00A51AFF">
        <w:t xml:space="preserve"> is a well-validated </w:t>
      </w:r>
      <w:r>
        <w:t xml:space="preserve">32-item </w:t>
      </w:r>
      <w:r w:rsidR="00A51AFF" w:rsidRPr="00A51AFF">
        <w:t xml:space="preserve">measure of </w:t>
      </w:r>
      <w:r w:rsidR="00842908">
        <w:t xml:space="preserve">the frequency of </w:t>
      </w:r>
      <w:r w:rsidR="00213C41">
        <w:t>peer-victimization</w:t>
      </w:r>
      <w:r w:rsidR="00842908">
        <w:t xml:space="preserve"> experiences</w:t>
      </w:r>
      <w:r>
        <w:t>. Items were developed</w:t>
      </w:r>
      <w:r w:rsidR="00A51AFF" w:rsidRPr="00A51AFF">
        <w:t xml:space="preserve"> based on a literature search on bullying, discussion with experts in the field, and responses to open questions from previous survey work (Hunt et al., 2012). </w:t>
      </w:r>
      <w:r w:rsidRPr="00A51AFF">
        <w:t xml:space="preserve">The scale captures </w:t>
      </w:r>
      <w:r>
        <w:t xml:space="preserve">four forms of </w:t>
      </w:r>
      <w:r w:rsidR="00213C41">
        <w:t>peer-victimization</w:t>
      </w:r>
      <w:r w:rsidR="00842908">
        <w:t xml:space="preserve">: </w:t>
      </w:r>
      <w:r w:rsidRPr="00A51AFF">
        <w:t xml:space="preserve">verbal-relational, physical, and cyberbullying </w:t>
      </w:r>
      <w:r w:rsidR="00213C41">
        <w:t>behavior</w:t>
      </w:r>
      <w:r w:rsidRPr="00A51AFF">
        <w:t xml:space="preserve">s, alongside </w:t>
      </w:r>
      <w:r w:rsidR="00213C41">
        <w:lastRenderedPageBreak/>
        <w:t>behavior</w:t>
      </w:r>
      <w:r w:rsidRPr="00A51AFF">
        <w:t xml:space="preserve">s perpetrated because of culture. Participants are asked how often they have experienced each of the </w:t>
      </w:r>
      <w:r w:rsidR="00213C41">
        <w:t>behavior</w:t>
      </w:r>
      <w:r w:rsidRPr="00A51AFF">
        <w:t xml:space="preserve">s in the </w:t>
      </w:r>
      <w:r w:rsidR="00842908">
        <w:t>previous</w:t>
      </w:r>
      <w:r w:rsidRPr="00A51AFF">
        <w:t xml:space="preserve"> month, </w:t>
      </w:r>
      <w:r w:rsidR="00842908">
        <w:t>and</w:t>
      </w:r>
      <w:r w:rsidRPr="00A51AFF">
        <w:t xml:space="preserve"> responses are rated on a five-point </w:t>
      </w:r>
      <w:r w:rsidR="0049630A">
        <w:t>Likert</w:t>
      </w:r>
      <w:r w:rsidRPr="00A51AFF">
        <w:t xml:space="preserve"> scale, ranging from “never” to “most days”</w:t>
      </w:r>
      <w:r>
        <w:t xml:space="preserve">. </w:t>
      </w:r>
      <w:r w:rsidRPr="00A51AFF">
        <w:t xml:space="preserve">Hunt et al. (2012) report that the internal consistency of </w:t>
      </w:r>
      <w:r w:rsidR="00FB74F8">
        <w:t>all four sub-</w:t>
      </w:r>
      <w:r w:rsidRPr="00A51AFF">
        <w:t>scales was excellent (</w:t>
      </w:r>
      <w:r w:rsidRPr="00A51AFF">
        <w:sym w:font="Symbol" w:char="F061"/>
      </w:r>
      <w:r w:rsidRPr="00A51AFF">
        <w:t xml:space="preserve">=.91 for verbal-relational bullying, </w:t>
      </w:r>
      <w:r w:rsidRPr="00A51AFF">
        <w:sym w:font="Symbol" w:char="F061"/>
      </w:r>
      <w:r w:rsidRPr="00A51AFF">
        <w:t xml:space="preserve">=.90 for cyberbullying, </w:t>
      </w:r>
      <w:r w:rsidRPr="00A51AFF">
        <w:sym w:font="Symbol" w:char="F061"/>
      </w:r>
      <w:r w:rsidRPr="00A51AFF">
        <w:t xml:space="preserve">=.91 for </w:t>
      </w:r>
      <w:r w:rsidRPr="00A51AFF">
        <w:rPr>
          <w:color w:val="000000" w:themeColor="text1"/>
        </w:rPr>
        <w:t xml:space="preserve">physical bullying, and </w:t>
      </w:r>
      <w:r w:rsidRPr="00A51AFF">
        <w:rPr>
          <w:color w:val="000000" w:themeColor="text1"/>
        </w:rPr>
        <w:sym w:font="Symbol" w:char="F061"/>
      </w:r>
      <w:r w:rsidRPr="00A51AFF">
        <w:rPr>
          <w:color w:val="000000" w:themeColor="text1"/>
        </w:rPr>
        <w:t>=.78 for bullying based on culture). The four-factor structure was supported in both exploratory and confirmatory factor analys</w:t>
      </w:r>
      <w:r w:rsidR="00FB74F8">
        <w:rPr>
          <w:color w:val="000000" w:themeColor="text1"/>
        </w:rPr>
        <w:t>e</w:t>
      </w:r>
      <w:r w:rsidRPr="00A51AFF">
        <w:rPr>
          <w:color w:val="000000" w:themeColor="text1"/>
        </w:rPr>
        <w:t>s</w:t>
      </w:r>
      <w:r w:rsidR="0049630A">
        <w:rPr>
          <w:color w:val="000000" w:themeColor="text1"/>
        </w:rPr>
        <w:t>,</w:t>
      </w:r>
      <w:r w:rsidR="00FB74F8">
        <w:rPr>
          <w:color w:val="000000" w:themeColor="text1"/>
        </w:rPr>
        <w:t xml:space="preserve"> and t</w:t>
      </w:r>
      <w:r w:rsidRPr="00A51AFF">
        <w:rPr>
          <w:color w:val="000000" w:themeColor="text1"/>
        </w:rPr>
        <w:t>est-retest reliability after two weeks was acceptable (</w:t>
      </w:r>
      <w:r w:rsidRPr="00A51AFF">
        <w:rPr>
          <w:i/>
          <w:color w:val="000000" w:themeColor="text1"/>
        </w:rPr>
        <w:t>r</w:t>
      </w:r>
      <w:r w:rsidRPr="00A51AFF">
        <w:rPr>
          <w:color w:val="000000" w:themeColor="text1"/>
        </w:rPr>
        <w:t xml:space="preserve"> = .75 for relational-verbal bullying, </w:t>
      </w:r>
      <w:r w:rsidRPr="00A51AFF">
        <w:rPr>
          <w:i/>
          <w:color w:val="000000" w:themeColor="text1"/>
        </w:rPr>
        <w:t>r</w:t>
      </w:r>
      <w:r w:rsidRPr="00A51AFF">
        <w:rPr>
          <w:color w:val="000000" w:themeColor="text1"/>
        </w:rPr>
        <w:t xml:space="preserve"> </w:t>
      </w:r>
      <w:r w:rsidRPr="00A51AFF">
        <w:t xml:space="preserve">=.86 for cyberbullying, </w:t>
      </w:r>
      <w:r w:rsidRPr="00A51AFF">
        <w:rPr>
          <w:i/>
        </w:rPr>
        <w:t>r</w:t>
      </w:r>
      <w:r w:rsidRPr="00A51AFF">
        <w:t xml:space="preserve"> = .61 for physical bullying, </w:t>
      </w:r>
      <w:r w:rsidRPr="00A51AFF">
        <w:rPr>
          <w:i/>
        </w:rPr>
        <w:t>r</w:t>
      </w:r>
      <w:r w:rsidRPr="00A51AFF">
        <w:t xml:space="preserve"> = .77 for bullying based on culture, and </w:t>
      </w:r>
      <w:r w:rsidRPr="00A51AFF">
        <w:rPr>
          <w:i/>
        </w:rPr>
        <w:t>r</w:t>
      </w:r>
      <w:r w:rsidRPr="00A51AFF">
        <w:t xml:space="preserve"> = .79 for the total PECK scale). Therefore, findings from the initial validation of the PECK suggest it is a </w:t>
      </w:r>
      <w:r w:rsidR="005B0F19">
        <w:t>psychometrically sound</w:t>
      </w:r>
      <w:r w:rsidRPr="00A51AFF">
        <w:t xml:space="preserve"> measure of </w:t>
      </w:r>
      <w:r w:rsidR="00213C41">
        <w:t>peer-victimization</w:t>
      </w:r>
      <w:r w:rsidRPr="00A51AFF">
        <w:t xml:space="preserve"> (Hunt et al., 2012).</w:t>
      </w:r>
    </w:p>
    <w:p w14:paraId="67731139" w14:textId="056CDCD5" w:rsidR="006559AD" w:rsidRPr="000177FB" w:rsidRDefault="00A51AFF" w:rsidP="000177FB">
      <w:pPr>
        <w:spacing w:line="480" w:lineRule="auto"/>
        <w:ind w:firstLine="720"/>
        <w:rPr>
          <w:color w:val="000000" w:themeColor="text1"/>
        </w:rPr>
      </w:pPr>
      <w:r w:rsidRPr="00A51AFF">
        <w:t xml:space="preserve">The short version of the </w:t>
      </w:r>
      <w:r w:rsidR="009839E8">
        <w:t>P</w:t>
      </w:r>
      <w:r w:rsidRPr="00A51AFF">
        <w:t xml:space="preserve">ersonal </w:t>
      </w:r>
      <w:r w:rsidR="009839E8">
        <w:t>E</w:t>
      </w:r>
      <w:r w:rsidRPr="00A51AFF">
        <w:t xml:space="preserve">xperiences </w:t>
      </w:r>
      <w:r w:rsidR="009839E8">
        <w:t>C</w:t>
      </w:r>
      <w:r w:rsidRPr="00A51AFF">
        <w:t xml:space="preserve">hecklist (PECK-SF) was developed </w:t>
      </w:r>
      <w:r w:rsidR="00442831">
        <w:t xml:space="preserve">in 2019 </w:t>
      </w:r>
      <w:r w:rsidRPr="00A51AFF">
        <w:t xml:space="preserve">to </w:t>
      </w:r>
      <w:r w:rsidR="00FD57FE">
        <w:t xml:space="preserve">provide </w:t>
      </w:r>
      <w:r w:rsidR="00C96F4A">
        <w:t>a more rapid</w:t>
      </w:r>
      <w:r w:rsidRPr="00A51AFF">
        <w:t xml:space="preserve"> assessment </w:t>
      </w:r>
      <w:r w:rsidR="00C96F4A">
        <w:t xml:space="preserve">tool </w:t>
      </w:r>
      <w:r w:rsidRPr="00A51AFF">
        <w:t xml:space="preserve">with strong psychometric properties (Prinz et al., 2019). The PECK-SF was developed and </w:t>
      </w:r>
      <w:r w:rsidRPr="00A51AFF">
        <w:rPr>
          <w:color w:val="000000" w:themeColor="text1"/>
        </w:rPr>
        <w:t xml:space="preserve">validated </w:t>
      </w:r>
      <w:r w:rsidR="007C0435">
        <w:rPr>
          <w:color w:val="000000" w:themeColor="text1"/>
        </w:rPr>
        <w:t>with</w:t>
      </w:r>
      <w:r w:rsidRPr="00A51AFF">
        <w:rPr>
          <w:color w:val="000000" w:themeColor="text1"/>
        </w:rPr>
        <w:t xml:space="preserve"> </w:t>
      </w:r>
      <w:r w:rsidR="00C96F4A">
        <w:rPr>
          <w:color w:val="000000" w:themeColor="text1"/>
        </w:rPr>
        <w:t xml:space="preserve">a </w:t>
      </w:r>
      <w:r w:rsidRPr="00A51AFF">
        <w:rPr>
          <w:color w:val="000000" w:themeColor="text1"/>
        </w:rPr>
        <w:t xml:space="preserve">pooled sample of </w:t>
      </w:r>
      <w:r w:rsidR="00C96F4A">
        <w:rPr>
          <w:color w:val="000000" w:themeColor="text1"/>
        </w:rPr>
        <w:t>over 1</w:t>
      </w:r>
      <w:r w:rsidR="00FD57FE">
        <w:rPr>
          <w:color w:val="000000" w:themeColor="text1"/>
        </w:rPr>
        <w:t>,</w:t>
      </w:r>
      <w:r w:rsidR="00C96F4A">
        <w:rPr>
          <w:color w:val="000000" w:themeColor="text1"/>
        </w:rPr>
        <w:t xml:space="preserve">000 </w:t>
      </w:r>
      <w:r w:rsidRPr="00A51AFF">
        <w:rPr>
          <w:color w:val="000000" w:themeColor="text1"/>
        </w:rPr>
        <w:t xml:space="preserve">children and adolescents </w:t>
      </w:r>
      <w:r w:rsidR="00C96F4A">
        <w:rPr>
          <w:color w:val="000000" w:themeColor="text1"/>
        </w:rPr>
        <w:t xml:space="preserve">drawn </w:t>
      </w:r>
      <w:r w:rsidRPr="00A51AFF">
        <w:rPr>
          <w:color w:val="000000" w:themeColor="text1"/>
        </w:rPr>
        <w:t xml:space="preserve">from two </w:t>
      </w:r>
      <w:r w:rsidR="00C96F4A">
        <w:rPr>
          <w:color w:val="000000" w:themeColor="text1"/>
        </w:rPr>
        <w:t xml:space="preserve">separate </w:t>
      </w:r>
      <w:r w:rsidRPr="00A51AFF">
        <w:rPr>
          <w:color w:val="000000" w:themeColor="text1"/>
        </w:rPr>
        <w:t>studies</w:t>
      </w:r>
      <w:r w:rsidR="00C96F4A">
        <w:rPr>
          <w:color w:val="000000" w:themeColor="text1"/>
        </w:rPr>
        <w:t>.</w:t>
      </w:r>
      <w:r w:rsidRPr="00A51AFF">
        <w:rPr>
          <w:color w:val="000000" w:themeColor="text1"/>
        </w:rPr>
        <w:t xml:space="preserve"> The final 14 items were identified based on the content of the </w:t>
      </w:r>
      <w:r w:rsidR="00FB74F8">
        <w:rPr>
          <w:color w:val="000000" w:themeColor="text1"/>
        </w:rPr>
        <w:t>items</w:t>
      </w:r>
      <w:r w:rsidRPr="00A51AFF">
        <w:rPr>
          <w:color w:val="000000" w:themeColor="text1"/>
        </w:rPr>
        <w:t xml:space="preserve"> and the size of the discrimination parameters calculated through the CFA. The initial analysis identified problematic item thresholds (distance between points on the ordinal response scale)</w:t>
      </w:r>
      <w:r w:rsidR="0013491B">
        <w:rPr>
          <w:color w:val="000000" w:themeColor="text1"/>
        </w:rPr>
        <w:t xml:space="preserve"> </w:t>
      </w:r>
      <w:r w:rsidR="00FB74F8">
        <w:rPr>
          <w:color w:val="000000" w:themeColor="text1"/>
        </w:rPr>
        <w:t>between</w:t>
      </w:r>
      <w:r w:rsidRPr="00A51AFF">
        <w:rPr>
          <w:color w:val="000000" w:themeColor="text1"/>
        </w:rPr>
        <w:t xml:space="preserve"> the ‘most days’ and ‘everyday’ categories. Therefore, these final points on the </w:t>
      </w:r>
      <w:r w:rsidR="000177FB">
        <w:rPr>
          <w:color w:val="000000" w:themeColor="text1"/>
        </w:rPr>
        <w:t>Likert</w:t>
      </w:r>
      <w:r w:rsidRPr="00A51AFF">
        <w:rPr>
          <w:color w:val="000000" w:themeColor="text1"/>
        </w:rPr>
        <w:t xml:space="preserve"> scale were combined into a single category (most days / every day), changing the scale from a five-point to a four-point </w:t>
      </w:r>
      <w:r w:rsidR="000177FB">
        <w:rPr>
          <w:color w:val="000000" w:themeColor="text1"/>
        </w:rPr>
        <w:t>Likert</w:t>
      </w:r>
      <w:r w:rsidRPr="00A51AFF">
        <w:rPr>
          <w:color w:val="000000" w:themeColor="text1"/>
        </w:rPr>
        <w:t xml:space="preserve"> scale. The </w:t>
      </w:r>
      <w:r w:rsidR="00C96F4A">
        <w:rPr>
          <w:color w:val="000000" w:themeColor="text1"/>
        </w:rPr>
        <w:t>subsequent</w:t>
      </w:r>
      <w:r w:rsidR="00C96F4A" w:rsidRPr="00A51AFF">
        <w:rPr>
          <w:color w:val="000000" w:themeColor="text1"/>
        </w:rPr>
        <w:t xml:space="preserve"> </w:t>
      </w:r>
      <w:r w:rsidRPr="00A51AFF">
        <w:rPr>
          <w:color w:val="000000" w:themeColor="text1"/>
        </w:rPr>
        <w:t>analyses were calculated on the recoded data (Prinz et al</w:t>
      </w:r>
      <w:r w:rsidRPr="007E77CF">
        <w:rPr>
          <w:color w:val="000000" w:themeColor="text1"/>
        </w:rPr>
        <w:t>., 2019).</w:t>
      </w:r>
      <w:r w:rsidR="000177FB" w:rsidRPr="007E77CF">
        <w:rPr>
          <w:color w:val="000000" w:themeColor="text1"/>
        </w:rPr>
        <w:t xml:space="preserve"> </w:t>
      </w:r>
      <w:r w:rsidRPr="007E77CF">
        <w:t xml:space="preserve">Regarding the </w:t>
      </w:r>
      <w:r w:rsidR="005B0F19">
        <w:t>structure of the scale</w:t>
      </w:r>
      <w:r w:rsidRPr="007E77CF">
        <w:t xml:space="preserve">, </w:t>
      </w:r>
      <w:r w:rsidR="000177FB" w:rsidRPr="007E77CF">
        <w:t xml:space="preserve">the </w:t>
      </w:r>
      <w:r w:rsidRPr="007E77CF">
        <w:t xml:space="preserve">results of the confirmatory factor analysis (CFA) supported the </w:t>
      </w:r>
      <w:r w:rsidR="008519D9" w:rsidRPr="007E77CF">
        <w:t>four</w:t>
      </w:r>
      <w:r w:rsidR="00FB74F8" w:rsidRPr="007E77CF">
        <w:t>-</w:t>
      </w:r>
      <w:r w:rsidRPr="007E77CF">
        <w:t>factor structure of the PECK</w:t>
      </w:r>
      <w:r w:rsidR="00A22B84" w:rsidRPr="007E77CF">
        <w:t>-SF</w:t>
      </w:r>
      <w:r w:rsidR="00B76B98">
        <w:t>. However,</w:t>
      </w:r>
      <w:r w:rsidR="00A22B84" w:rsidRPr="007E77CF">
        <w:t xml:space="preserve"> the reliability of these subscales was poor</w:t>
      </w:r>
      <w:r w:rsidRPr="007E77CF">
        <w:t xml:space="preserve">. </w:t>
      </w:r>
      <w:r w:rsidR="007E77CF" w:rsidRPr="007E77CF">
        <w:t xml:space="preserve">However, the </w:t>
      </w:r>
      <w:r w:rsidR="00B76B98">
        <w:t>one-factor</w:t>
      </w:r>
      <w:r w:rsidR="007E77CF" w:rsidRPr="007E77CF">
        <w:t xml:space="preserve"> structure of the scale was support</w:t>
      </w:r>
      <w:r w:rsidR="00B76B98">
        <w:t>ed</w:t>
      </w:r>
      <w:r w:rsidR="007E77CF" w:rsidRPr="007E77CF">
        <w:t xml:space="preserve"> by CFA</w:t>
      </w:r>
      <w:r w:rsidR="00B76B98">
        <w:t>,</w:t>
      </w:r>
      <w:r w:rsidR="007E77CF" w:rsidRPr="007E77CF">
        <w:t xml:space="preserve"> and the</w:t>
      </w:r>
      <w:r w:rsidR="00A22B84" w:rsidRPr="007E77CF">
        <w:t xml:space="preserve"> </w:t>
      </w:r>
      <w:r w:rsidRPr="007E77CF">
        <w:t>reliability of th</w:t>
      </w:r>
      <w:r w:rsidR="007E77CF" w:rsidRPr="007E77CF">
        <w:t>is</w:t>
      </w:r>
      <w:r w:rsidRPr="007E77CF">
        <w:t xml:space="preserve"> total PECK-SF scale was good (α=.84)</w:t>
      </w:r>
      <w:r w:rsidR="000177FB" w:rsidRPr="007E77CF">
        <w:t xml:space="preserve">. </w:t>
      </w:r>
      <w:r w:rsidR="00C96F4A" w:rsidRPr="007E77CF">
        <w:t xml:space="preserve">These </w:t>
      </w:r>
      <w:r w:rsidR="007E77CF" w:rsidRPr="007E77CF">
        <w:t xml:space="preserve">findings support </w:t>
      </w:r>
      <w:r w:rsidR="00B76B98">
        <w:lastRenderedPageBreak/>
        <w:t>using</w:t>
      </w:r>
      <w:r w:rsidR="007E77CF" w:rsidRPr="007E77CF">
        <w:t xml:space="preserve"> the</w:t>
      </w:r>
      <w:r w:rsidRPr="007E77CF">
        <w:t xml:space="preserve"> PECK-SF </w:t>
      </w:r>
      <w:r w:rsidR="007E77CF" w:rsidRPr="007E77CF">
        <w:t xml:space="preserve">as </w:t>
      </w:r>
      <w:r w:rsidR="000B7C5B" w:rsidRPr="007E77CF">
        <w:t xml:space="preserve">a unidimensional measure with </w:t>
      </w:r>
      <w:r w:rsidRPr="007E77CF">
        <w:t xml:space="preserve">a single, total score </w:t>
      </w:r>
      <w:r w:rsidR="00606040" w:rsidRPr="007E77CF">
        <w:t>(Prinz et al., 2019)</w:t>
      </w:r>
      <w:r w:rsidRPr="007E77CF">
        <w:t>.</w:t>
      </w:r>
      <w:r w:rsidRPr="00A51AFF">
        <w:t xml:space="preserve"> </w:t>
      </w:r>
    </w:p>
    <w:p w14:paraId="6E852FF9" w14:textId="13507AA0" w:rsidR="0092308D" w:rsidRDefault="0092308D" w:rsidP="0092308D">
      <w:pPr>
        <w:spacing w:line="480" w:lineRule="auto"/>
        <w:rPr>
          <w:b/>
          <w:bCs/>
          <w:color w:val="000000" w:themeColor="text1"/>
        </w:rPr>
      </w:pPr>
      <w:r w:rsidRPr="0092308D">
        <w:rPr>
          <w:b/>
          <w:bCs/>
          <w:color w:val="000000" w:themeColor="text1"/>
        </w:rPr>
        <w:t xml:space="preserve">The current study </w:t>
      </w:r>
    </w:p>
    <w:p w14:paraId="4F238684" w14:textId="21D507DF" w:rsidR="00D54ACC" w:rsidRDefault="0013491B" w:rsidP="00D54ACC">
      <w:pPr>
        <w:spacing w:line="480" w:lineRule="auto"/>
        <w:ind w:firstLine="720"/>
        <w:rPr>
          <w:color w:val="000000" w:themeColor="text1"/>
        </w:rPr>
      </w:pPr>
      <w:r w:rsidRPr="002B4AB6">
        <w:rPr>
          <w:color w:val="000000" w:themeColor="text1"/>
        </w:rPr>
        <w:t>M</w:t>
      </w:r>
      <w:r w:rsidRPr="00D50892">
        <w:rPr>
          <w:color w:val="000000" w:themeColor="text1"/>
        </w:rPr>
        <w:t xml:space="preserve">easures </w:t>
      </w:r>
      <w:r>
        <w:rPr>
          <w:color w:val="000000" w:themeColor="text1"/>
        </w:rPr>
        <w:t xml:space="preserve">of </w:t>
      </w:r>
      <w:r w:rsidR="00213C41">
        <w:rPr>
          <w:color w:val="000000" w:themeColor="text1"/>
        </w:rPr>
        <w:t>peer-victimization</w:t>
      </w:r>
      <w:r>
        <w:rPr>
          <w:color w:val="000000" w:themeColor="text1"/>
        </w:rPr>
        <w:t xml:space="preserve"> are argued to be in the early stages of development due to the limited available evidence of the</w:t>
      </w:r>
      <w:r w:rsidR="005B0F19">
        <w:rPr>
          <w:color w:val="000000" w:themeColor="text1"/>
        </w:rPr>
        <w:t xml:space="preserve"> psychometric properties</w:t>
      </w:r>
      <w:r>
        <w:rPr>
          <w:color w:val="000000" w:themeColor="text1"/>
        </w:rPr>
        <w:t xml:space="preserve"> of such scales </w:t>
      </w:r>
      <w:r w:rsidRPr="00D70A23">
        <w:rPr>
          <w:color w:val="000000" w:themeColor="text1"/>
          <w:shd w:val="clear" w:color="auto" w:fill="FFFFFF"/>
        </w:rPr>
        <w:t>(</w:t>
      </w:r>
      <w:r w:rsidR="006A114D">
        <w:rPr>
          <w:color w:val="000000" w:themeColor="text1"/>
          <w:shd w:val="clear" w:color="auto" w:fill="FFFFFF"/>
        </w:rPr>
        <w:t>Vessey et al.</w:t>
      </w:r>
      <w:r w:rsidR="00B76B98">
        <w:rPr>
          <w:color w:val="000000" w:themeColor="text1"/>
          <w:shd w:val="clear" w:color="auto" w:fill="FFFFFF"/>
        </w:rPr>
        <w:t>,</w:t>
      </w:r>
      <w:r w:rsidR="006A114D">
        <w:rPr>
          <w:color w:val="000000" w:themeColor="text1"/>
          <w:shd w:val="clear" w:color="auto" w:fill="FFFFFF"/>
        </w:rPr>
        <w:t xml:space="preserve"> 2014; </w:t>
      </w:r>
      <w:r w:rsidRPr="00D70A23">
        <w:rPr>
          <w:color w:val="000000" w:themeColor="text1"/>
          <w:shd w:val="clear" w:color="auto" w:fill="FFFFFF"/>
        </w:rPr>
        <w:t>Volk et al., 2017).</w:t>
      </w:r>
      <w:r>
        <w:rPr>
          <w:color w:val="000000" w:themeColor="text1"/>
          <w:shd w:val="clear" w:color="auto" w:fill="FFFFFF"/>
        </w:rPr>
        <w:t xml:space="preserve"> </w:t>
      </w:r>
      <w:r w:rsidR="005D24B7" w:rsidRPr="00D70A23">
        <w:rPr>
          <w:color w:val="000000" w:themeColor="text1"/>
          <w:shd w:val="clear" w:color="auto" w:fill="FFFFFF"/>
        </w:rPr>
        <w:t xml:space="preserve">Without </w:t>
      </w:r>
      <w:r w:rsidR="005D24B7">
        <w:rPr>
          <w:color w:val="000000" w:themeColor="text1"/>
          <w:shd w:val="clear" w:color="auto" w:fill="FFFFFF"/>
        </w:rPr>
        <w:t>psychometrically strong</w:t>
      </w:r>
      <w:r w:rsidR="005D24B7" w:rsidRPr="00D70A23">
        <w:rPr>
          <w:color w:val="000000" w:themeColor="text1"/>
          <w:shd w:val="clear" w:color="auto" w:fill="FFFFFF"/>
        </w:rPr>
        <w:t xml:space="preserve"> measures</w:t>
      </w:r>
      <w:r w:rsidR="005D24B7">
        <w:rPr>
          <w:color w:val="000000" w:themeColor="text1"/>
          <w:shd w:val="clear" w:color="auto" w:fill="FFFFFF"/>
        </w:rPr>
        <w:t>,</w:t>
      </w:r>
      <w:r w:rsidR="005D24B7" w:rsidRPr="00D70A23">
        <w:rPr>
          <w:color w:val="000000" w:themeColor="text1"/>
          <w:shd w:val="clear" w:color="auto" w:fill="FFFFFF"/>
        </w:rPr>
        <w:t xml:space="preserve"> it is difficult to </w:t>
      </w:r>
      <w:r w:rsidR="00C92745">
        <w:rPr>
          <w:color w:val="000000" w:themeColor="text1"/>
          <w:shd w:val="clear" w:color="auto" w:fill="FFFFFF"/>
        </w:rPr>
        <w:t xml:space="preserve">confidently </w:t>
      </w:r>
      <w:r w:rsidR="005D24B7" w:rsidRPr="00D70A23">
        <w:rPr>
          <w:color w:val="000000" w:themeColor="text1"/>
          <w:shd w:val="clear" w:color="auto" w:fill="FFFFFF"/>
        </w:rPr>
        <w:t>identify and compare prevalence rates and</w:t>
      </w:r>
      <w:r w:rsidR="005D24B7">
        <w:rPr>
          <w:color w:val="000000" w:themeColor="text1"/>
          <w:shd w:val="clear" w:color="auto" w:fill="FFFFFF"/>
        </w:rPr>
        <w:t xml:space="preserve"> effectively</w:t>
      </w:r>
      <w:r w:rsidR="005D24B7" w:rsidRPr="00D70A23">
        <w:rPr>
          <w:color w:val="000000" w:themeColor="text1"/>
          <w:shd w:val="clear" w:color="auto" w:fill="FFFFFF"/>
        </w:rPr>
        <w:t xml:space="preserve"> evaluate anti-bullying interventions (Volk et al., 2017).</w:t>
      </w:r>
      <w:r w:rsidR="006A114D" w:rsidRPr="006A114D">
        <w:rPr>
          <w:color w:val="000000" w:themeColor="text1"/>
          <w:shd w:val="clear" w:color="auto" w:fill="FFFFFF"/>
        </w:rPr>
        <w:t xml:space="preserve"> </w:t>
      </w:r>
      <w:r w:rsidR="006A114D">
        <w:rPr>
          <w:color w:val="000000" w:themeColor="text1"/>
          <w:shd w:val="clear" w:color="auto" w:fill="FFFFFF"/>
        </w:rPr>
        <w:t xml:space="preserve">Invariance (equivalence) testing allows identification of whether the psychometric properties of a scale are similar across </w:t>
      </w:r>
      <w:r w:rsidR="006A114D" w:rsidRPr="005426F6">
        <w:rPr>
          <w:color w:val="000000" w:themeColor="text1"/>
          <w:shd w:val="clear" w:color="auto" w:fill="FFFFFF"/>
        </w:rPr>
        <w:t xml:space="preserve">conditions (e.g., over time, across gender) </w:t>
      </w:r>
      <w:r w:rsidR="006A114D" w:rsidRPr="005426F6">
        <w:rPr>
          <w:color w:val="000000" w:themeColor="text1"/>
        </w:rPr>
        <w:t xml:space="preserve">(Putnick &amp; Bornstein, 2016). </w:t>
      </w:r>
      <w:r w:rsidR="006A114D">
        <w:rPr>
          <w:color w:val="000000" w:themeColor="text1"/>
        </w:rPr>
        <w:t>This</w:t>
      </w:r>
      <w:r w:rsidR="00B76B98">
        <w:rPr>
          <w:color w:val="000000" w:themeColor="text1"/>
        </w:rPr>
        <w:t>,</w:t>
      </w:r>
      <w:r w:rsidR="006A114D" w:rsidRPr="005426F6">
        <w:rPr>
          <w:color w:val="000000" w:themeColor="text1"/>
        </w:rPr>
        <w:t xml:space="preserve"> </w:t>
      </w:r>
      <w:r w:rsidR="006A114D">
        <w:rPr>
          <w:color w:val="000000" w:themeColor="text1"/>
        </w:rPr>
        <w:t>in turn</w:t>
      </w:r>
      <w:r w:rsidR="00B76B98">
        <w:rPr>
          <w:color w:val="000000" w:themeColor="text1"/>
        </w:rPr>
        <w:t>,</w:t>
      </w:r>
      <w:r w:rsidR="006A114D">
        <w:rPr>
          <w:color w:val="000000" w:themeColor="text1"/>
        </w:rPr>
        <w:t xml:space="preserve"> implies that</w:t>
      </w:r>
      <w:r w:rsidR="006A114D" w:rsidRPr="005426F6">
        <w:rPr>
          <w:color w:val="000000" w:themeColor="text1"/>
        </w:rPr>
        <w:t xml:space="preserve"> </w:t>
      </w:r>
      <w:r w:rsidR="006A114D">
        <w:rPr>
          <w:color w:val="000000" w:themeColor="text1"/>
        </w:rPr>
        <w:t>a measurement assesses</w:t>
      </w:r>
      <w:r w:rsidR="006A114D" w:rsidRPr="005426F6">
        <w:rPr>
          <w:color w:val="000000" w:themeColor="text1"/>
        </w:rPr>
        <w:t xml:space="preserve"> the </w:t>
      </w:r>
      <w:r w:rsidR="006A114D" w:rsidRPr="005426F6">
        <w:rPr>
          <w:color w:val="000000" w:themeColor="text1"/>
          <w:shd w:val="clear" w:color="auto" w:fill="FFFFFF"/>
        </w:rPr>
        <w:t>same thing</w:t>
      </w:r>
      <w:r w:rsidR="006A114D">
        <w:rPr>
          <w:color w:val="000000" w:themeColor="text1"/>
          <w:shd w:val="clear" w:color="auto" w:fill="FFFFFF"/>
        </w:rPr>
        <w:t>,</w:t>
      </w:r>
      <w:r w:rsidR="006A114D" w:rsidRPr="005426F6">
        <w:rPr>
          <w:color w:val="000000" w:themeColor="text1"/>
          <w:shd w:val="clear" w:color="auto" w:fill="FFFFFF"/>
        </w:rPr>
        <w:t xml:space="preserve"> in the same way</w:t>
      </w:r>
      <w:r w:rsidR="006A114D">
        <w:rPr>
          <w:color w:val="000000" w:themeColor="text1"/>
          <w:shd w:val="clear" w:color="auto" w:fill="FFFFFF"/>
        </w:rPr>
        <w:t>,</w:t>
      </w:r>
      <w:r w:rsidR="006A114D" w:rsidRPr="005426F6">
        <w:rPr>
          <w:color w:val="000000" w:themeColor="text1"/>
          <w:shd w:val="clear" w:color="auto" w:fill="FFFFFF"/>
        </w:rPr>
        <w:t xml:space="preserve"> across conditions</w:t>
      </w:r>
      <w:r w:rsidR="006A114D">
        <w:rPr>
          <w:color w:val="000000" w:themeColor="text1"/>
          <w:shd w:val="clear" w:color="auto" w:fill="FFFFFF"/>
        </w:rPr>
        <w:t xml:space="preserve"> or groups </w:t>
      </w:r>
      <w:r w:rsidR="006A114D" w:rsidRPr="00D70A23">
        <w:rPr>
          <w:color w:val="000000" w:themeColor="text1"/>
        </w:rPr>
        <w:t>(Putnick &amp; Bornstein, 2016)</w:t>
      </w:r>
      <w:r w:rsidR="006A114D">
        <w:rPr>
          <w:color w:val="000000" w:themeColor="text1"/>
          <w:shd w:val="clear" w:color="auto" w:fill="FFFFFF"/>
        </w:rPr>
        <w:t xml:space="preserve"> and that variation in scores reflects genuine differences across conditions and is not reflective of any psychometric artefacts of the scale</w:t>
      </w:r>
      <w:r w:rsidR="006A114D" w:rsidRPr="00D70A23">
        <w:rPr>
          <w:color w:val="000000" w:themeColor="text1"/>
        </w:rPr>
        <w:t xml:space="preserve"> (Cheung &amp; Rensvold, 2002)</w:t>
      </w:r>
      <w:r w:rsidR="006A114D">
        <w:rPr>
          <w:color w:val="000000" w:themeColor="text1"/>
        </w:rPr>
        <w:t xml:space="preserve">. However, the invariance of bullying or </w:t>
      </w:r>
      <w:r w:rsidR="00213C41">
        <w:rPr>
          <w:color w:val="000000" w:themeColor="text1"/>
        </w:rPr>
        <w:t>peer-victimization</w:t>
      </w:r>
      <w:r w:rsidR="006A114D">
        <w:rPr>
          <w:color w:val="000000" w:themeColor="text1"/>
        </w:rPr>
        <w:t xml:space="preserve"> measures across conditions is not frequently reported (</w:t>
      </w:r>
      <w:r w:rsidR="006A114D">
        <w:rPr>
          <w:color w:val="000000" w:themeColor="text1"/>
          <w:shd w:val="clear" w:color="auto" w:fill="FFFFFF"/>
        </w:rPr>
        <w:t xml:space="preserve">Vessey et al., 2014). </w:t>
      </w:r>
    </w:p>
    <w:p w14:paraId="633F1B5A" w14:textId="75A0D895" w:rsidR="00885AA8" w:rsidRDefault="00D54ACC" w:rsidP="00885AA8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Much research on </w:t>
      </w:r>
      <w:r w:rsidR="00571BDE">
        <w:rPr>
          <w:color w:val="000000" w:themeColor="text1"/>
        </w:rPr>
        <w:t xml:space="preserve">peer-victimization and bullying </w:t>
      </w:r>
      <w:r>
        <w:rPr>
          <w:color w:val="000000" w:themeColor="text1"/>
        </w:rPr>
        <w:t xml:space="preserve">focuses on understanding experiences </w:t>
      </w:r>
      <w:r w:rsidR="00FD57FE">
        <w:rPr>
          <w:color w:val="000000" w:themeColor="text1"/>
        </w:rPr>
        <w:t xml:space="preserve">of </w:t>
      </w:r>
      <w:r w:rsidR="00B24B75">
        <w:rPr>
          <w:color w:val="000000" w:themeColor="text1"/>
        </w:rPr>
        <w:t xml:space="preserve">these </w:t>
      </w:r>
      <w:r w:rsidR="00213C41">
        <w:rPr>
          <w:color w:val="000000" w:themeColor="text1"/>
        </w:rPr>
        <w:t>behavior</w:t>
      </w:r>
      <w:r w:rsidR="00B24B75">
        <w:rPr>
          <w:color w:val="000000" w:themeColor="text1"/>
        </w:rPr>
        <w:t>s</w:t>
      </w:r>
      <w:r>
        <w:rPr>
          <w:color w:val="000000" w:themeColor="text1"/>
        </w:rPr>
        <w:t xml:space="preserve"> across different conditions</w:t>
      </w:r>
      <w:r w:rsidR="00C92745">
        <w:rPr>
          <w:color w:val="000000" w:themeColor="text1"/>
        </w:rPr>
        <w:t xml:space="preserve"> or groups</w:t>
      </w:r>
      <w:r>
        <w:rPr>
          <w:color w:val="000000" w:themeColor="text1"/>
        </w:rPr>
        <w:t xml:space="preserve">, for example, across gender and over time. </w:t>
      </w:r>
      <w:r w:rsidR="00511A16">
        <w:rPr>
          <w:color w:val="000000" w:themeColor="text1"/>
        </w:rPr>
        <w:t xml:space="preserve">Gender differences are </w:t>
      </w:r>
      <w:r>
        <w:rPr>
          <w:color w:val="000000" w:themeColor="text1"/>
        </w:rPr>
        <w:t>often</w:t>
      </w:r>
      <w:r w:rsidR="00511A16">
        <w:rPr>
          <w:color w:val="000000" w:themeColor="text1"/>
        </w:rPr>
        <w:t xml:space="preserve"> reported in experiences of bullying (</w:t>
      </w:r>
      <w:r>
        <w:rPr>
          <w:color w:val="000000" w:themeColor="text1"/>
        </w:rPr>
        <w:t>e.g., Kennedy, 2019</w:t>
      </w:r>
      <w:r w:rsidR="00511A16">
        <w:rPr>
          <w:color w:val="000000" w:themeColor="text1"/>
        </w:rPr>
        <w:t>)</w:t>
      </w:r>
      <w:r w:rsidR="00B24B75">
        <w:rPr>
          <w:color w:val="000000" w:themeColor="text1"/>
        </w:rPr>
        <w:t xml:space="preserve">, </w:t>
      </w:r>
      <w:r w:rsidR="003F54CF">
        <w:rPr>
          <w:color w:val="000000" w:themeColor="text1"/>
        </w:rPr>
        <w:t>reflect</w:t>
      </w:r>
      <w:r w:rsidR="00B24B75">
        <w:rPr>
          <w:color w:val="000000" w:themeColor="text1"/>
        </w:rPr>
        <w:t>ing possible</w:t>
      </w:r>
      <w:r w:rsidR="003F54C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differences in </w:t>
      </w:r>
      <w:r w:rsidR="00213C41">
        <w:rPr>
          <w:color w:val="000000" w:themeColor="text1"/>
        </w:rPr>
        <w:t>socialization</w:t>
      </w:r>
      <w:r w:rsidR="003F54C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experiences </w:t>
      </w:r>
      <w:r w:rsidR="003F54CF">
        <w:rPr>
          <w:color w:val="000000" w:themeColor="text1"/>
        </w:rPr>
        <w:t xml:space="preserve">and </w:t>
      </w:r>
      <w:r>
        <w:rPr>
          <w:color w:val="000000" w:themeColor="text1"/>
        </w:rPr>
        <w:t xml:space="preserve">different </w:t>
      </w:r>
      <w:r w:rsidR="003F54CF">
        <w:rPr>
          <w:color w:val="000000" w:themeColor="text1"/>
        </w:rPr>
        <w:t>group norm</w:t>
      </w:r>
      <w:r>
        <w:rPr>
          <w:color w:val="000000" w:themeColor="text1"/>
        </w:rPr>
        <w:t xml:space="preserve">s regarding </w:t>
      </w:r>
      <w:r w:rsidR="00213C41">
        <w:rPr>
          <w:color w:val="000000" w:themeColor="text1"/>
        </w:rPr>
        <w:t>behavior</w:t>
      </w:r>
      <w:r>
        <w:rPr>
          <w:color w:val="000000" w:themeColor="text1"/>
        </w:rPr>
        <w:t xml:space="preserve"> </w:t>
      </w:r>
      <w:r w:rsidR="003F54CF">
        <w:rPr>
          <w:color w:val="000000" w:themeColor="text1"/>
        </w:rPr>
        <w:t>(</w:t>
      </w:r>
      <w:r>
        <w:rPr>
          <w:color w:val="000000" w:themeColor="text1"/>
        </w:rPr>
        <w:t>Smith et al., 2019</w:t>
      </w:r>
      <w:r w:rsidR="003F54CF">
        <w:rPr>
          <w:color w:val="000000" w:themeColor="text1"/>
        </w:rPr>
        <w:t>).</w:t>
      </w:r>
      <w:r w:rsidR="00B24B75">
        <w:rPr>
          <w:color w:val="000000" w:themeColor="text1"/>
        </w:rPr>
        <w:t xml:space="preserve"> Furthermore, longitudinal investigations </w:t>
      </w:r>
      <w:r w:rsidR="00FD1B0F">
        <w:rPr>
          <w:color w:val="000000" w:themeColor="text1"/>
        </w:rPr>
        <w:t xml:space="preserve">are an increasingly important focus of research on </w:t>
      </w:r>
      <w:r w:rsidR="00213C41">
        <w:rPr>
          <w:color w:val="000000" w:themeColor="text1"/>
        </w:rPr>
        <w:t>peer-victimization</w:t>
      </w:r>
      <w:r w:rsidR="00FD1B0F">
        <w:rPr>
          <w:color w:val="000000" w:themeColor="text1"/>
        </w:rPr>
        <w:t xml:space="preserve">. Such studies typically examine the prevalence and impact of </w:t>
      </w:r>
      <w:r w:rsidR="00213C41">
        <w:rPr>
          <w:color w:val="000000" w:themeColor="text1"/>
        </w:rPr>
        <w:t>peer-victimization</w:t>
      </w:r>
      <w:r w:rsidR="00FD1B0F">
        <w:rPr>
          <w:color w:val="000000" w:themeColor="text1"/>
        </w:rPr>
        <w:t xml:space="preserve"> over time (</w:t>
      </w:r>
      <w:r w:rsidR="00885AA8">
        <w:rPr>
          <w:color w:val="000000" w:themeColor="text1"/>
        </w:rPr>
        <w:t>e.g., Zych et al., 2020</w:t>
      </w:r>
      <w:r w:rsidR="00FD1B0F">
        <w:rPr>
          <w:color w:val="000000" w:themeColor="text1"/>
        </w:rPr>
        <w:t>)</w:t>
      </w:r>
      <w:r w:rsidR="007C4ACF">
        <w:rPr>
          <w:color w:val="000000" w:themeColor="text1"/>
        </w:rPr>
        <w:t xml:space="preserve"> or seek to evaluate</w:t>
      </w:r>
      <w:r w:rsidR="00FD1B0F">
        <w:rPr>
          <w:color w:val="000000" w:themeColor="text1"/>
        </w:rPr>
        <w:t xml:space="preserve"> anti-bullying programmes (</w:t>
      </w:r>
      <w:r w:rsidR="00885AA8">
        <w:rPr>
          <w:color w:val="000000" w:themeColor="text1"/>
        </w:rPr>
        <w:t>e.g., Olweus et al., 2019</w:t>
      </w:r>
      <w:r w:rsidR="00FD1B0F">
        <w:rPr>
          <w:color w:val="000000" w:themeColor="text1"/>
        </w:rPr>
        <w:t xml:space="preserve">). </w:t>
      </w:r>
      <w:r w:rsidR="00885AA8">
        <w:rPr>
          <w:color w:val="000000" w:themeColor="text1"/>
        </w:rPr>
        <w:t xml:space="preserve">Ensuring </w:t>
      </w:r>
      <w:r w:rsidR="00213C41">
        <w:rPr>
          <w:color w:val="000000" w:themeColor="text1"/>
        </w:rPr>
        <w:t>peer-victimization</w:t>
      </w:r>
      <w:r w:rsidR="00885AA8">
        <w:rPr>
          <w:color w:val="000000" w:themeColor="text1"/>
        </w:rPr>
        <w:t xml:space="preserve"> scales are invariant across conditions, such as across gender and over time, ensures that any reported differences do not simply reflect artefacts of the scales. </w:t>
      </w:r>
    </w:p>
    <w:p w14:paraId="1CE24EB9" w14:textId="106ADBF5" w:rsidR="00A51AFF" w:rsidRPr="00FD1B0F" w:rsidRDefault="00FA0AF2" w:rsidP="00885AA8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When choosing a measure of </w:t>
      </w:r>
      <w:r w:rsidR="00571BDE">
        <w:rPr>
          <w:color w:val="000000" w:themeColor="text1"/>
        </w:rPr>
        <w:t>peer-victimization or bullying</w:t>
      </w:r>
      <w:r w:rsidR="00B77AAB">
        <w:rPr>
          <w:color w:val="000000" w:themeColor="text1"/>
        </w:rPr>
        <w:t xml:space="preserve">, </w:t>
      </w:r>
      <w:r>
        <w:rPr>
          <w:color w:val="000000" w:themeColor="text1"/>
        </w:rPr>
        <w:t>research</w:t>
      </w:r>
      <w:r w:rsidR="00B77AAB">
        <w:rPr>
          <w:color w:val="000000" w:themeColor="text1"/>
        </w:rPr>
        <w:t>ers</w:t>
      </w:r>
      <w:r>
        <w:rPr>
          <w:color w:val="000000" w:themeColor="text1"/>
        </w:rPr>
        <w:t xml:space="preserve"> </w:t>
      </w:r>
      <w:r w:rsidR="00B77AAB">
        <w:rPr>
          <w:color w:val="000000" w:themeColor="text1"/>
        </w:rPr>
        <w:t>and</w:t>
      </w:r>
      <w:r>
        <w:rPr>
          <w:color w:val="000000" w:themeColor="text1"/>
        </w:rPr>
        <w:t xml:space="preserve"> clinic</w:t>
      </w:r>
      <w:r w:rsidR="00B77AAB">
        <w:rPr>
          <w:color w:val="000000" w:themeColor="text1"/>
        </w:rPr>
        <w:t>ians</w:t>
      </w:r>
      <w:r>
        <w:rPr>
          <w:color w:val="000000" w:themeColor="text1"/>
        </w:rPr>
        <w:t xml:space="preserve"> </w:t>
      </w:r>
      <w:r w:rsidR="00B77AAB">
        <w:rPr>
          <w:color w:val="000000" w:themeColor="text1"/>
        </w:rPr>
        <w:t xml:space="preserve">should </w:t>
      </w:r>
      <w:r w:rsidR="00BA6A0A">
        <w:rPr>
          <w:color w:val="000000" w:themeColor="text1"/>
        </w:rPr>
        <w:t xml:space="preserve">consider the psychometric properties of the scale and </w:t>
      </w:r>
      <w:r w:rsidR="00B77AAB">
        <w:rPr>
          <w:color w:val="000000" w:themeColor="text1"/>
        </w:rPr>
        <w:t xml:space="preserve">ensure that the behavior </w:t>
      </w:r>
      <w:r w:rsidR="001B07F5">
        <w:rPr>
          <w:color w:val="000000" w:themeColor="text1"/>
        </w:rPr>
        <w:t xml:space="preserve">being </w:t>
      </w:r>
      <w:r w:rsidR="00B77AAB">
        <w:rPr>
          <w:color w:val="000000" w:themeColor="text1"/>
        </w:rPr>
        <w:t>measured</w:t>
      </w:r>
      <w:r w:rsidR="001B07F5">
        <w:rPr>
          <w:color w:val="000000" w:themeColor="text1"/>
        </w:rPr>
        <w:t xml:space="preserve"> (bullying or peer-victimisation)</w:t>
      </w:r>
      <w:r w:rsidR="00B77AAB">
        <w:rPr>
          <w:color w:val="000000" w:themeColor="text1"/>
        </w:rPr>
        <w:t xml:space="preserve"> is appropriate for its intended purpose. </w:t>
      </w:r>
      <w:r w:rsidR="002B4AB6" w:rsidRPr="00D50892">
        <w:rPr>
          <w:color w:val="222222"/>
          <w:shd w:val="clear" w:color="auto" w:fill="FFFFFF"/>
        </w:rPr>
        <w:t xml:space="preserve">Despite the development of many measures of </w:t>
      </w:r>
      <w:r w:rsidR="00571BDE">
        <w:rPr>
          <w:color w:val="000000" w:themeColor="text1"/>
        </w:rPr>
        <w:t>peer-victimization and bullying</w:t>
      </w:r>
      <w:r w:rsidR="002B4AB6" w:rsidRPr="00D50892">
        <w:rPr>
          <w:color w:val="222222"/>
          <w:shd w:val="clear" w:color="auto" w:fill="FFFFFF"/>
        </w:rPr>
        <w:t>, m</w:t>
      </w:r>
      <w:r w:rsidR="002B4AB6">
        <w:rPr>
          <w:color w:val="222222"/>
          <w:shd w:val="clear" w:color="auto" w:fill="FFFFFF"/>
        </w:rPr>
        <w:t>any lack strong evidence on the psychometric properties of the scale</w:t>
      </w:r>
      <w:r w:rsidR="00BA6A0A">
        <w:rPr>
          <w:color w:val="222222"/>
          <w:shd w:val="clear" w:color="auto" w:fill="FFFFFF"/>
        </w:rPr>
        <w:t>, and many fail to make the relationship between their definition and their measure explicit</w:t>
      </w:r>
      <w:r w:rsidR="002B4AB6">
        <w:rPr>
          <w:color w:val="222222"/>
          <w:shd w:val="clear" w:color="auto" w:fill="FFFFFF"/>
        </w:rPr>
        <w:t xml:space="preserve"> (</w:t>
      </w:r>
      <w:r w:rsidR="002B4AB6">
        <w:rPr>
          <w:color w:val="000000" w:themeColor="text1"/>
          <w:shd w:val="clear" w:color="auto" w:fill="FFFFFF"/>
        </w:rPr>
        <w:t>Vessey et al., 2014</w:t>
      </w:r>
      <w:r w:rsidR="00BA6A0A">
        <w:rPr>
          <w:color w:val="000000" w:themeColor="text1"/>
          <w:shd w:val="clear" w:color="auto" w:fill="FFFFFF"/>
        </w:rPr>
        <w:t xml:space="preserve">). </w:t>
      </w:r>
      <w:r w:rsidR="00BA3C20">
        <w:rPr>
          <w:color w:val="000000" w:themeColor="text1"/>
        </w:rPr>
        <w:t xml:space="preserve">Developed in 2019 </w:t>
      </w:r>
      <w:r w:rsidR="00BA3C20" w:rsidRPr="00FE38AC">
        <w:rPr>
          <w:color w:val="000000" w:themeColor="text1"/>
        </w:rPr>
        <w:t>(Prinz et al., 2019)</w:t>
      </w:r>
      <w:r w:rsidR="00BA3C20">
        <w:rPr>
          <w:color w:val="000000" w:themeColor="text1"/>
        </w:rPr>
        <w:t>, t</w:t>
      </w:r>
      <w:r w:rsidR="00FD1B0F" w:rsidRPr="00FE38AC">
        <w:rPr>
          <w:color w:val="000000" w:themeColor="text1"/>
        </w:rPr>
        <w:t>he PECK-SF is a relatively new</w:t>
      </w:r>
      <w:r w:rsidR="00460256">
        <w:rPr>
          <w:color w:val="000000" w:themeColor="text1"/>
        </w:rPr>
        <w:t xml:space="preserve"> scale designed to provide a quick and short measure</w:t>
      </w:r>
      <w:r w:rsidR="00FD1B0F" w:rsidRPr="00FE38AC">
        <w:rPr>
          <w:color w:val="000000" w:themeColor="text1"/>
        </w:rPr>
        <w:t xml:space="preserve"> of </w:t>
      </w:r>
      <w:r w:rsidR="00D50892">
        <w:rPr>
          <w:color w:val="000000" w:themeColor="text1"/>
        </w:rPr>
        <w:t>the frequency of</w:t>
      </w:r>
      <w:r w:rsidR="00FD1B0F" w:rsidRPr="00FE38AC">
        <w:rPr>
          <w:color w:val="000000" w:themeColor="text1"/>
        </w:rPr>
        <w:t xml:space="preserve"> </w:t>
      </w:r>
      <w:r w:rsidR="00213C41">
        <w:rPr>
          <w:color w:val="000000" w:themeColor="text1"/>
        </w:rPr>
        <w:t>peer-victimization</w:t>
      </w:r>
      <w:r w:rsidR="00FD1B0F" w:rsidRPr="00FE38AC">
        <w:rPr>
          <w:color w:val="000000" w:themeColor="text1"/>
        </w:rPr>
        <w:t xml:space="preserve"> experiences. Initial psychometric data supports the use of the PECK-SF in providing a single score of </w:t>
      </w:r>
      <w:r w:rsidR="00213C41">
        <w:rPr>
          <w:color w:val="000000" w:themeColor="text1"/>
        </w:rPr>
        <w:t>peer-victimization</w:t>
      </w:r>
      <w:r w:rsidR="00FD1B0F" w:rsidRPr="00FE38AC">
        <w:rPr>
          <w:color w:val="000000" w:themeColor="text1"/>
        </w:rPr>
        <w:t xml:space="preserve"> experiences (Prinz et al., 2019). However, invariance testing of the measure across different conditions is currently lacking.</w:t>
      </w:r>
      <w:r w:rsidR="00FD1B0F">
        <w:rPr>
          <w:color w:val="000000" w:themeColor="text1"/>
        </w:rPr>
        <w:t xml:space="preserve"> </w:t>
      </w:r>
      <w:r w:rsidR="00606040" w:rsidRPr="00FE38AC">
        <w:rPr>
          <w:color w:val="000000" w:themeColor="text1"/>
        </w:rPr>
        <w:t xml:space="preserve">Therefore, the aim of the current study is to </w:t>
      </w:r>
      <w:r w:rsidR="00FE38AC" w:rsidRPr="00FE38AC">
        <w:rPr>
          <w:color w:val="000000" w:themeColor="text1"/>
        </w:rPr>
        <w:t>a</w:t>
      </w:r>
      <w:r w:rsidR="00606040" w:rsidRPr="00FE38AC">
        <w:rPr>
          <w:color w:val="000000" w:themeColor="text1"/>
        </w:rPr>
        <w:t>ssess the extent to which the PECK-SF is invarian</w:t>
      </w:r>
      <w:r w:rsidR="00FE38AC" w:rsidRPr="00FE38AC">
        <w:rPr>
          <w:color w:val="000000" w:themeColor="text1"/>
        </w:rPr>
        <w:t>t</w:t>
      </w:r>
      <w:r w:rsidR="00606040" w:rsidRPr="00FE38AC">
        <w:rPr>
          <w:color w:val="000000" w:themeColor="text1"/>
        </w:rPr>
        <w:t xml:space="preserve"> across gender and time. </w:t>
      </w:r>
    </w:p>
    <w:bookmarkEnd w:id="0"/>
    <w:bookmarkEnd w:id="1"/>
    <w:p w14:paraId="5E158856" w14:textId="42943A8C" w:rsidR="00A51AFF" w:rsidRDefault="00A51AFF" w:rsidP="00A51AFF">
      <w:pPr>
        <w:spacing w:line="480" w:lineRule="auto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Method</w:t>
      </w:r>
    </w:p>
    <w:p w14:paraId="260AEE4A" w14:textId="30C6C7F5" w:rsidR="00A51AFF" w:rsidRDefault="00C24699" w:rsidP="00DB5AAD">
      <w:pPr>
        <w:spacing w:line="480" w:lineRule="auto"/>
        <w:ind w:firstLine="720"/>
      </w:pPr>
      <w:r w:rsidRPr="001F27AD">
        <w:t>Data for the study were collected as part of a t</w:t>
      </w:r>
      <w:r w:rsidR="005D24B7">
        <w:t>wo</w:t>
      </w:r>
      <w:r w:rsidRPr="001F27AD">
        <w:t xml:space="preserve">-month longitudinal investigation into the association between </w:t>
      </w:r>
      <w:r w:rsidR="00213C41">
        <w:t>peer-victimization</w:t>
      </w:r>
      <w:r w:rsidRPr="001F27AD">
        <w:t xml:space="preserve"> and depressive symptomology</w:t>
      </w:r>
      <w:r w:rsidR="007C4ACF">
        <w:t xml:space="preserve"> (</w:t>
      </w:r>
      <w:r w:rsidR="007829D9">
        <w:rPr>
          <w:color w:val="000000" w:themeColor="text1"/>
        </w:rPr>
        <w:t>reference withheld for review</w:t>
      </w:r>
      <w:r w:rsidR="007C4ACF">
        <w:t>)</w:t>
      </w:r>
      <w:r w:rsidRPr="001F27AD">
        <w:t xml:space="preserve">. </w:t>
      </w:r>
      <w:r w:rsidR="000177FB">
        <w:t>This</w:t>
      </w:r>
      <w:r w:rsidRPr="001F27AD">
        <w:t xml:space="preserve"> </w:t>
      </w:r>
      <w:r w:rsidR="007C4ACF">
        <w:t xml:space="preserve">report </w:t>
      </w:r>
      <w:r w:rsidR="000177FB">
        <w:t>includes</w:t>
      </w:r>
      <w:r w:rsidRPr="001F27AD">
        <w:t xml:space="preserve"> data from </w:t>
      </w:r>
      <w:r w:rsidR="00DB5AAD" w:rsidRPr="001F27AD">
        <w:t xml:space="preserve">participants who completed the survey </w:t>
      </w:r>
      <w:r w:rsidR="00A51AFF" w:rsidRPr="001F27AD">
        <w:t xml:space="preserve">at time 1 (N=744) and two months later at time </w:t>
      </w:r>
      <w:r w:rsidR="00383F75">
        <w:t>2</w:t>
      </w:r>
      <w:r w:rsidR="00A51AFF" w:rsidRPr="001F27AD">
        <w:t xml:space="preserve"> (N=333</w:t>
      </w:r>
      <w:r w:rsidR="001F27AD">
        <w:t xml:space="preserve">). </w:t>
      </w:r>
      <w:r w:rsidR="00DB5AAD" w:rsidRPr="001F27AD">
        <w:t>Participants were between 11 and 14 years old (Mean age at time 1 = 12.72; SD = 0.</w:t>
      </w:r>
      <w:r w:rsidR="00DB5AAD" w:rsidRPr="001F27AD">
        <w:rPr>
          <w:color w:val="000000" w:themeColor="text1"/>
        </w:rPr>
        <w:t xml:space="preserve">84) and </w:t>
      </w:r>
      <w:r w:rsidR="00A51AFF" w:rsidRPr="001F27AD">
        <w:t xml:space="preserve">were </w:t>
      </w:r>
      <w:r w:rsidR="00DB5AAD" w:rsidRPr="001F27AD">
        <w:t>recruited</w:t>
      </w:r>
      <w:r w:rsidR="00A51AFF" w:rsidRPr="001F27AD">
        <w:t xml:space="preserve"> from four secondary schools</w:t>
      </w:r>
      <w:r w:rsidR="00DB5AAD" w:rsidRPr="001F27AD">
        <w:t xml:space="preserve"> (High Schools)</w:t>
      </w:r>
      <w:r w:rsidR="00A51AFF" w:rsidRPr="001F27AD">
        <w:t xml:space="preserve"> in England and Scotland. At time 1, 342 (46%) were male, 366 (49.2%) were female, 28 (3.8%) reported that they preferred not to say, and 8 (1.1%) did not answer the question.</w:t>
      </w:r>
    </w:p>
    <w:p w14:paraId="75DD04B1" w14:textId="5DDA2F3A" w:rsidR="009C2C4D" w:rsidRDefault="00DB5AAD" w:rsidP="006A026A">
      <w:pPr>
        <w:spacing w:line="480" w:lineRule="auto"/>
        <w:ind w:firstLine="720"/>
      </w:pPr>
      <w:r>
        <w:t xml:space="preserve">The </w:t>
      </w:r>
      <w:r w:rsidR="006A026A">
        <w:t>PECK-SF</w:t>
      </w:r>
      <w:r>
        <w:t xml:space="preserve"> </w:t>
      </w:r>
      <w:r w:rsidR="006A026A">
        <w:t>was administered at</w:t>
      </w:r>
      <w:r w:rsidR="009C2C4D">
        <w:t xml:space="preserve"> the start of the project and again </w:t>
      </w:r>
      <w:r w:rsidR="005D24B7">
        <w:t xml:space="preserve">two </w:t>
      </w:r>
      <w:r w:rsidR="009C2C4D">
        <w:t xml:space="preserve">months later to measure experiences of </w:t>
      </w:r>
      <w:r w:rsidR="00213C41">
        <w:t>peer-victimization</w:t>
      </w:r>
      <w:r w:rsidR="009C2C4D" w:rsidRPr="0057502B">
        <w:rPr>
          <w:color w:val="000000" w:themeColor="text1"/>
        </w:rPr>
        <w:t xml:space="preserve">. The </w:t>
      </w:r>
      <w:r w:rsidR="009C2C4D">
        <w:rPr>
          <w:color w:val="000000" w:themeColor="text1"/>
        </w:rPr>
        <w:t>PECK-SF</w:t>
      </w:r>
      <w:r w:rsidR="009C2C4D" w:rsidRPr="0057502B">
        <w:rPr>
          <w:color w:val="000000" w:themeColor="text1"/>
        </w:rPr>
        <w:t xml:space="preserve"> includes 14 items</w:t>
      </w:r>
      <w:r w:rsidR="003518E9">
        <w:rPr>
          <w:color w:val="000000" w:themeColor="text1"/>
        </w:rPr>
        <w:t xml:space="preserve"> (e.g., “Other kids sa</w:t>
      </w:r>
      <w:r w:rsidR="00A932E5">
        <w:rPr>
          <w:color w:val="000000" w:themeColor="text1"/>
        </w:rPr>
        <w:t>y mean things behind my back</w:t>
      </w:r>
      <w:r w:rsidR="003518E9">
        <w:rPr>
          <w:color w:val="000000" w:themeColor="text1"/>
        </w:rPr>
        <w:t>”</w:t>
      </w:r>
      <w:r w:rsidR="00A932E5">
        <w:rPr>
          <w:color w:val="000000" w:themeColor="text1"/>
        </w:rPr>
        <w:t>)</w:t>
      </w:r>
      <w:r w:rsidR="00B76B98">
        <w:rPr>
          <w:color w:val="000000" w:themeColor="text1"/>
        </w:rPr>
        <w:t>,</w:t>
      </w:r>
      <w:r w:rsidR="009C2C4D" w:rsidRPr="0057502B">
        <w:rPr>
          <w:color w:val="000000" w:themeColor="text1"/>
        </w:rPr>
        <w:t xml:space="preserve"> </w:t>
      </w:r>
      <w:r w:rsidR="003518E9">
        <w:rPr>
          <w:color w:val="000000" w:themeColor="text1"/>
        </w:rPr>
        <w:t>and p</w:t>
      </w:r>
      <w:r w:rsidR="009C2C4D" w:rsidRPr="0057502B">
        <w:rPr>
          <w:color w:val="000000" w:themeColor="text1"/>
        </w:rPr>
        <w:t>articipants were instruct</w:t>
      </w:r>
      <w:r w:rsidR="009C2C4D">
        <w:rPr>
          <w:color w:val="000000" w:themeColor="text1"/>
        </w:rPr>
        <w:t>ed</w:t>
      </w:r>
      <w:r w:rsidR="000177FB">
        <w:rPr>
          <w:color w:val="000000" w:themeColor="text1"/>
        </w:rPr>
        <w:t>:</w:t>
      </w:r>
      <w:r w:rsidR="009C2C4D" w:rsidRPr="0057502B">
        <w:rPr>
          <w:color w:val="000000" w:themeColor="text1"/>
        </w:rPr>
        <w:t xml:space="preserve"> “</w:t>
      </w:r>
      <w:r w:rsidR="009C2C4D" w:rsidRPr="00257292">
        <w:rPr>
          <w:color w:val="000000" w:themeColor="text1"/>
        </w:rPr>
        <w:t>Thinking about the last month or so at school, how often do the following things happen to you?</w:t>
      </w:r>
      <w:r w:rsidR="009C2C4D" w:rsidRPr="00A932E5">
        <w:rPr>
          <w:color w:val="000000" w:themeColor="text1"/>
        </w:rPr>
        <w:t>”</w:t>
      </w:r>
      <w:r w:rsidR="009C2C4D" w:rsidRPr="0057502B">
        <w:rPr>
          <w:color w:val="000000" w:themeColor="text1"/>
        </w:rPr>
        <w:t xml:space="preserve"> and were </w:t>
      </w:r>
      <w:r w:rsidR="009C2C4D" w:rsidRPr="0057502B">
        <w:rPr>
          <w:color w:val="000000" w:themeColor="text1"/>
        </w:rPr>
        <w:lastRenderedPageBreak/>
        <w:t xml:space="preserve">then asked to rate each of the 14 items on a five-point frequency </w:t>
      </w:r>
      <w:r w:rsidR="000177FB">
        <w:rPr>
          <w:color w:val="000000" w:themeColor="text1"/>
        </w:rPr>
        <w:t>Likert</w:t>
      </w:r>
      <w:r w:rsidR="009C2C4D" w:rsidRPr="0057502B">
        <w:rPr>
          <w:color w:val="000000" w:themeColor="text1"/>
        </w:rPr>
        <w:t xml:space="preserve"> scale ranging from 0 = “never” to 4 = “</w:t>
      </w:r>
      <w:r w:rsidR="000177FB">
        <w:rPr>
          <w:color w:val="000000" w:themeColor="text1"/>
        </w:rPr>
        <w:t>every day</w:t>
      </w:r>
      <w:r w:rsidR="009C2C4D" w:rsidRPr="0057502B">
        <w:rPr>
          <w:color w:val="000000" w:themeColor="text1"/>
        </w:rPr>
        <w:t>”.</w:t>
      </w:r>
    </w:p>
    <w:p w14:paraId="2F73F701" w14:textId="218A899C" w:rsidR="00D41A6C" w:rsidRDefault="006A026A" w:rsidP="003424A1">
      <w:pPr>
        <w:spacing w:line="480" w:lineRule="auto"/>
        <w:ind w:firstLine="720"/>
        <w:rPr>
          <w:color w:val="FF0000"/>
          <w:highlight w:val="yellow"/>
        </w:rPr>
      </w:pPr>
      <w:r>
        <w:t xml:space="preserve">Ethical approval for the study was granted by the university research </w:t>
      </w:r>
      <w:r w:rsidR="000177FB">
        <w:t xml:space="preserve">ethics </w:t>
      </w:r>
      <w:r>
        <w:t>committee</w:t>
      </w:r>
      <w:r w:rsidR="00A932E5">
        <w:t xml:space="preserve"> of the third author</w:t>
      </w:r>
      <w:r>
        <w:t xml:space="preserve">. Schools were contacted with an invitation to participate in the study. Once approval had been granted, parental consent was obtained. The survey was conducted </w:t>
      </w:r>
      <w:r w:rsidR="000177FB">
        <w:t>during</w:t>
      </w:r>
      <w:r>
        <w:t xml:space="preserve"> class time in the presence of a researcher</w:t>
      </w:r>
      <w:r w:rsidR="000177FB">
        <w:t>. Participants</w:t>
      </w:r>
      <w:r>
        <w:t xml:space="preserve"> were provided </w:t>
      </w:r>
      <w:r w:rsidR="000177FB">
        <w:t xml:space="preserve">with </w:t>
      </w:r>
      <w:r>
        <w:t xml:space="preserve">the opportunity to consent to participate and reminded that they could </w:t>
      </w:r>
      <w:r w:rsidR="00A932E5">
        <w:t>withdraw</w:t>
      </w:r>
      <w:r>
        <w:t xml:space="preserve"> at any time. Participants at two schools</w:t>
      </w:r>
      <w:r w:rsidR="00C558F0">
        <w:t xml:space="preserve"> (N = 133)</w:t>
      </w:r>
      <w:r>
        <w:t xml:space="preserve"> completed the survey online </w:t>
      </w:r>
      <w:r w:rsidR="00A932E5">
        <w:t xml:space="preserve">using </w:t>
      </w:r>
      <w:r>
        <w:t>the Qualtrics</w:t>
      </w:r>
      <w:r w:rsidR="00A932E5">
        <w:t>.com</w:t>
      </w:r>
      <w:r>
        <w:t xml:space="preserve"> survey tool, participants at the other two schools </w:t>
      </w:r>
      <w:r w:rsidR="00C558F0">
        <w:t>(N = 928)</w:t>
      </w:r>
      <w:r w:rsidR="00E91EA8">
        <w:t xml:space="preserve"> </w:t>
      </w:r>
      <w:r>
        <w:t>completed a paper version of the survey. At the end of the survey</w:t>
      </w:r>
      <w:r w:rsidR="000177FB">
        <w:t>,</w:t>
      </w:r>
      <w:r>
        <w:t xml:space="preserve"> participants were provided with a debrief sheet with support and guidance information. </w:t>
      </w:r>
      <w:r w:rsidR="00057496" w:rsidRPr="00D41A6C">
        <w:rPr>
          <w:color w:val="000000" w:themeColor="text1"/>
        </w:rPr>
        <w:t>This study was not pre-registered. However, all data have been made openly available at the Open Science Framework and can be accessed at</w:t>
      </w:r>
      <w:r w:rsidR="007829D9">
        <w:rPr>
          <w:color w:val="000000" w:themeColor="text1"/>
        </w:rPr>
        <w:t xml:space="preserve"> (reference withheld for review).</w:t>
      </w:r>
    </w:p>
    <w:p w14:paraId="37450C91" w14:textId="5345950D" w:rsidR="00DB5AAD" w:rsidRDefault="00DB5AAD" w:rsidP="00DB5AAD">
      <w:pPr>
        <w:spacing w:line="480" w:lineRule="auto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Data analysis </w:t>
      </w:r>
    </w:p>
    <w:p w14:paraId="0936D30B" w14:textId="17458B46" w:rsidR="007D3399" w:rsidRPr="00571BDE" w:rsidRDefault="00DB5AAD" w:rsidP="00731136">
      <w:pPr>
        <w:spacing w:line="480" w:lineRule="auto"/>
        <w:ind w:firstLine="720"/>
        <w:rPr>
          <w:color w:val="000000" w:themeColor="text1"/>
        </w:rPr>
      </w:pPr>
      <w:r>
        <w:rPr>
          <w:bCs/>
          <w:iCs/>
          <w:color w:val="000000" w:themeColor="text1"/>
        </w:rPr>
        <w:t>Invariance testing was conducted using Mplus</w:t>
      </w:r>
      <w:r w:rsidR="00FB74F8">
        <w:rPr>
          <w:bCs/>
          <w:iCs/>
          <w:color w:val="000000" w:themeColor="text1"/>
        </w:rPr>
        <w:t xml:space="preserve"> (Version 8.4)</w:t>
      </w:r>
      <w:r>
        <w:rPr>
          <w:bCs/>
          <w:iCs/>
          <w:color w:val="000000" w:themeColor="text1"/>
        </w:rPr>
        <w:t xml:space="preserve"> (Muthen &amp; Muthen,1998)</w:t>
      </w:r>
      <w:r w:rsidR="00923E62">
        <w:rPr>
          <w:bCs/>
          <w:iCs/>
          <w:color w:val="000000" w:themeColor="text1"/>
        </w:rPr>
        <w:t xml:space="preserve">. </w:t>
      </w:r>
      <w:r w:rsidR="0082715A">
        <w:rPr>
          <w:bCs/>
          <w:iCs/>
          <w:color w:val="000000" w:themeColor="text1"/>
        </w:rPr>
        <w:t xml:space="preserve">At time 1, item level missing data varied between </w:t>
      </w:r>
      <w:r w:rsidR="00E2665F">
        <w:rPr>
          <w:bCs/>
          <w:iCs/>
          <w:color w:val="000000" w:themeColor="text1"/>
        </w:rPr>
        <w:t xml:space="preserve">1.7% (N=13) and 2.4% (N=17) of cases being missing. </w:t>
      </w:r>
      <w:r w:rsidR="00E2665F">
        <w:rPr>
          <w:color w:val="000000" w:themeColor="text1"/>
        </w:rPr>
        <w:t>Therefore, m</w:t>
      </w:r>
      <w:r w:rsidR="00923E62" w:rsidRPr="00A51AFF">
        <w:rPr>
          <w:color w:val="000000" w:themeColor="text1"/>
        </w:rPr>
        <w:t>issing data were treated using Full Information Likelihood Testing (FIML).</w:t>
      </w:r>
      <w:r w:rsidR="00923E62" w:rsidRPr="006A026A">
        <w:t xml:space="preserve"> </w:t>
      </w:r>
      <w:r w:rsidR="00451766" w:rsidRPr="00606040">
        <w:rPr>
          <w:color w:val="000000" w:themeColor="text1"/>
        </w:rPr>
        <w:t xml:space="preserve">The invariance </w:t>
      </w:r>
      <w:r w:rsidR="00451766">
        <w:rPr>
          <w:color w:val="000000" w:themeColor="text1"/>
        </w:rPr>
        <w:t>testing was conducted</w:t>
      </w:r>
      <w:r w:rsidR="00451766" w:rsidRPr="00606040">
        <w:rPr>
          <w:color w:val="000000" w:themeColor="text1"/>
        </w:rPr>
        <w:t xml:space="preserve"> across gender (</w:t>
      </w:r>
      <w:r w:rsidR="00451766">
        <w:rPr>
          <w:color w:val="000000" w:themeColor="text1"/>
        </w:rPr>
        <w:t xml:space="preserve">for those identifying as </w:t>
      </w:r>
      <w:r w:rsidR="00451766" w:rsidRPr="00606040">
        <w:rPr>
          <w:color w:val="000000" w:themeColor="text1"/>
        </w:rPr>
        <w:t xml:space="preserve">male </w:t>
      </w:r>
      <w:r w:rsidR="00451766">
        <w:rPr>
          <w:color w:val="000000" w:themeColor="text1"/>
        </w:rPr>
        <w:t>or</w:t>
      </w:r>
      <w:r w:rsidR="00451766" w:rsidRPr="00606040">
        <w:rPr>
          <w:color w:val="000000" w:themeColor="text1"/>
        </w:rPr>
        <w:t xml:space="preserve"> female) and </w:t>
      </w:r>
      <w:r w:rsidR="00451766">
        <w:rPr>
          <w:color w:val="000000" w:themeColor="text1"/>
        </w:rPr>
        <w:t xml:space="preserve">across </w:t>
      </w:r>
      <w:r w:rsidR="00451766" w:rsidRPr="00606040">
        <w:rPr>
          <w:color w:val="000000" w:themeColor="text1"/>
        </w:rPr>
        <w:t xml:space="preserve">time (time 1 and time 2). </w:t>
      </w:r>
      <w:r w:rsidR="007D3399">
        <w:rPr>
          <w:color w:val="000000" w:themeColor="text1"/>
        </w:rPr>
        <w:t xml:space="preserve">Items on the PECK-SF are responded to on a five-item ordered categorical scale from 0 to 4. </w:t>
      </w:r>
      <w:r w:rsidR="006C5ADA">
        <w:rPr>
          <w:color w:val="000000" w:themeColor="text1"/>
        </w:rPr>
        <w:t>Data are argued to be non-normal if skewness values exceed 2 and Kurtosis values exceed 7 (Curran et al, 1996). I</w:t>
      </w:r>
      <w:r w:rsidR="007D3399">
        <w:rPr>
          <w:color w:val="000000" w:themeColor="text1"/>
        </w:rPr>
        <w:t>n the current study, at time 1</w:t>
      </w:r>
      <w:r w:rsidR="006C5ADA">
        <w:rPr>
          <w:color w:val="000000" w:themeColor="text1"/>
        </w:rPr>
        <w:t xml:space="preserve">, </w:t>
      </w:r>
      <w:r w:rsidR="00731136">
        <w:rPr>
          <w:color w:val="000000" w:themeColor="text1"/>
        </w:rPr>
        <w:t xml:space="preserve">nine items had a skewness value that exceed 2 (ranging from 2.15 to 6.17) and six items had kurtosis values exceeding 7 (ranging from 7.62 to 41.62). Therefore, </w:t>
      </w:r>
      <w:r w:rsidR="00731136">
        <w:t>a</w:t>
      </w:r>
      <w:r w:rsidR="00923E62" w:rsidRPr="00A51AFF">
        <w:t xml:space="preserve">ll paths were estimated using the weighted least square mean and variance </w:t>
      </w:r>
      <w:r w:rsidR="00923E62" w:rsidRPr="00A51AFF">
        <w:lastRenderedPageBreak/>
        <w:t>adjusted (WLSMV) estimator</w:t>
      </w:r>
      <w:r w:rsidR="00EE571D">
        <w:t>, which is the more appropriate estimator when analysing ordered categorical</w:t>
      </w:r>
      <w:r w:rsidR="00527FC4">
        <w:t xml:space="preserve"> and non-normally distributed</w:t>
      </w:r>
      <w:r w:rsidR="00EE571D">
        <w:t xml:space="preserve"> data (Sass et al., 2014)</w:t>
      </w:r>
      <w:r w:rsidR="00923E62" w:rsidRPr="00A51AFF">
        <w:t>.</w:t>
      </w:r>
      <w:r w:rsidR="00923E62">
        <w:rPr>
          <w:b/>
          <w:iCs/>
          <w:color w:val="000000" w:themeColor="text1"/>
        </w:rPr>
        <w:t xml:space="preserve"> </w:t>
      </w:r>
    </w:p>
    <w:p w14:paraId="6040E7DD" w14:textId="1637E7F3" w:rsidR="00A031FC" w:rsidRDefault="00923E62" w:rsidP="00D55673">
      <w:pPr>
        <w:spacing w:line="480" w:lineRule="auto"/>
        <w:ind w:firstLine="720"/>
      </w:pPr>
      <w:r>
        <w:rPr>
          <w:bCs/>
          <w:iCs/>
          <w:color w:val="000000" w:themeColor="text1"/>
        </w:rPr>
        <w:t xml:space="preserve">Invariance testing </w:t>
      </w:r>
      <w:r w:rsidR="009232C8">
        <w:rPr>
          <w:bCs/>
          <w:iCs/>
          <w:color w:val="000000" w:themeColor="text1"/>
        </w:rPr>
        <w:t xml:space="preserve">was conducted in a CFA framework and </w:t>
      </w:r>
      <w:r w:rsidR="00DB5AAD">
        <w:rPr>
          <w:bCs/>
          <w:iCs/>
          <w:color w:val="000000" w:themeColor="text1"/>
        </w:rPr>
        <w:t xml:space="preserve">followed </w:t>
      </w:r>
      <w:r w:rsidR="007E2B5D">
        <w:rPr>
          <w:bCs/>
          <w:iCs/>
          <w:color w:val="000000" w:themeColor="text1"/>
        </w:rPr>
        <w:t xml:space="preserve">a </w:t>
      </w:r>
      <w:r w:rsidR="009232C8">
        <w:rPr>
          <w:bCs/>
          <w:iCs/>
          <w:color w:val="000000" w:themeColor="text1"/>
        </w:rPr>
        <w:t>four</w:t>
      </w:r>
      <w:r w:rsidR="007E2B5D">
        <w:rPr>
          <w:bCs/>
          <w:iCs/>
          <w:color w:val="000000" w:themeColor="text1"/>
        </w:rPr>
        <w:t>-step process</w:t>
      </w:r>
      <w:r w:rsidR="00DB5AAD">
        <w:rPr>
          <w:bCs/>
          <w:iCs/>
          <w:color w:val="000000" w:themeColor="text1"/>
        </w:rPr>
        <w:t xml:space="preserve"> outlined by </w:t>
      </w:r>
      <w:r w:rsidR="00DB5AAD" w:rsidRPr="00A51AFF">
        <w:rPr>
          <w:color w:val="000000" w:themeColor="text1"/>
        </w:rPr>
        <w:t xml:space="preserve">Bowen </w:t>
      </w:r>
      <w:r w:rsidR="002644B0">
        <w:rPr>
          <w:color w:val="000000" w:themeColor="text1"/>
        </w:rPr>
        <w:t>and</w:t>
      </w:r>
      <w:r w:rsidR="00DB5AAD" w:rsidRPr="00A51AFF">
        <w:rPr>
          <w:color w:val="000000" w:themeColor="text1"/>
        </w:rPr>
        <w:t xml:space="preserve"> Masa</w:t>
      </w:r>
      <w:r w:rsidR="007E2B5D">
        <w:rPr>
          <w:color w:val="000000" w:themeColor="text1"/>
        </w:rPr>
        <w:t xml:space="preserve"> </w:t>
      </w:r>
      <w:r w:rsidR="00DB5AAD" w:rsidRPr="00A51AFF">
        <w:rPr>
          <w:color w:val="000000" w:themeColor="text1"/>
        </w:rPr>
        <w:t>(2015)</w:t>
      </w:r>
      <w:r w:rsidR="00DB5AAD">
        <w:rPr>
          <w:color w:val="000000" w:themeColor="text1"/>
        </w:rPr>
        <w:t xml:space="preserve">. </w:t>
      </w:r>
      <w:r w:rsidR="00415FBD">
        <w:rPr>
          <w:color w:val="000000" w:themeColor="text1"/>
        </w:rPr>
        <w:t>While this four-step process was initially developed for analysis using Maximum Likelihood (ML) estimation, evidence supports its use with the WLSMV estimator (</w:t>
      </w:r>
      <w:r w:rsidR="00415FBD" w:rsidRPr="00415FBD">
        <w:rPr>
          <w:color w:val="000000" w:themeColor="text1"/>
        </w:rPr>
        <w:t>Coertjens</w:t>
      </w:r>
      <w:r w:rsidR="00415FBD">
        <w:rPr>
          <w:color w:val="000000" w:themeColor="text1"/>
        </w:rPr>
        <w:t xml:space="preserve"> et al., 2012). </w:t>
      </w:r>
      <w:r w:rsidR="00387F95" w:rsidRPr="00A51AFF">
        <w:t xml:space="preserve">Invariance </w:t>
      </w:r>
      <w:r w:rsidR="00B17017">
        <w:t>was</w:t>
      </w:r>
      <w:r w:rsidR="00387F95" w:rsidRPr="00A51AFF">
        <w:t xml:space="preserve"> determined by </w:t>
      </w:r>
      <w:r w:rsidR="00213C41">
        <w:t>analyzing</w:t>
      </w:r>
      <w:r w:rsidR="00387F95" w:rsidRPr="00A51AFF">
        <w:t xml:space="preserve"> changes in fit indices at each step. </w:t>
      </w:r>
      <w:r w:rsidR="002644B0">
        <w:t>T</w:t>
      </w:r>
      <w:r w:rsidR="002644B0" w:rsidRPr="00A51AFF">
        <w:t>o support invariance</w:t>
      </w:r>
      <w:r w:rsidR="002644B0">
        <w:t>,</w:t>
      </w:r>
      <w:r w:rsidR="002644B0" w:rsidRPr="00A51AFF">
        <w:t xml:space="preserve"> </w:t>
      </w:r>
      <w:r w:rsidR="002644B0">
        <w:t>t</w:t>
      </w:r>
      <w:r w:rsidR="007E2B5D" w:rsidRPr="00A51AFF">
        <w:t xml:space="preserve">he </w:t>
      </w:r>
      <w:r w:rsidR="00014D2A">
        <w:t>difference</w:t>
      </w:r>
      <w:r w:rsidR="007E2B5D" w:rsidRPr="00A51AFF">
        <w:t xml:space="preserve"> in the comparative fit index (CFI) at each step should be less than 0.01</w:t>
      </w:r>
      <w:r w:rsidR="00B76B98">
        <w:t>,</w:t>
      </w:r>
      <w:r w:rsidR="007E2B5D" w:rsidRPr="00A51AFF">
        <w:t xml:space="preserve"> and the change in the root mean square error of approximation </w:t>
      </w:r>
      <w:r w:rsidR="007E2B5D">
        <w:t>(</w:t>
      </w:r>
      <w:r w:rsidR="007E2B5D" w:rsidRPr="00A51AFF">
        <w:t>RMSEA</w:t>
      </w:r>
      <w:r w:rsidR="007E2B5D">
        <w:t>)</w:t>
      </w:r>
      <w:r w:rsidR="007E2B5D" w:rsidRPr="00A51AFF">
        <w:t xml:space="preserve"> should be below 0.015 (</w:t>
      </w:r>
      <w:r w:rsidR="009232C8">
        <w:t>Cheung &amp; Rensvold, 2002</w:t>
      </w:r>
      <w:r w:rsidR="007E2B5D" w:rsidRPr="00A51AFF">
        <w:t xml:space="preserve">). </w:t>
      </w:r>
      <w:r w:rsidR="003C3714">
        <w:t>T</w:t>
      </w:r>
      <w:r w:rsidR="007E2B5D" w:rsidRPr="00A51AFF">
        <w:t>he RMSEA point estimate of the preceding model should be included in the 90% confidence intervals of the new model.</w:t>
      </w:r>
      <w:r w:rsidR="007E2B5D">
        <w:t xml:space="preserve"> As </w:t>
      </w:r>
      <w:r w:rsidR="00387F95" w:rsidRPr="00A51AFF">
        <w:t>chi-square tests are sensitive to sample size</w:t>
      </w:r>
      <w:r w:rsidR="00014D2A">
        <w:t>,</w:t>
      </w:r>
      <w:r w:rsidR="00387F95" w:rsidRPr="00A51AFF">
        <w:t xml:space="preserve"> </w:t>
      </w:r>
      <w:r w:rsidR="007E2B5D">
        <w:t>they will not be reported</w:t>
      </w:r>
      <w:r w:rsidR="00387F95" w:rsidRPr="00A51AFF">
        <w:t xml:space="preserve"> (</w:t>
      </w:r>
      <w:r w:rsidR="00142323">
        <w:t>Cheung &amp; Rensvold, 2002</w:t>
      </w:r>
      <w:r w:rsidR="00387F95" w:rsidRPr="00A51AFF">
        <w:t>).</w:t>
      </w:r>
      <w:r w:rsidR="00431A46">
        <w:t xml:space="preserve"> </w:t>
      </w:r>
    </w:p>
    <w:p w14:paraId="2502CCD9" w14:textId="0E768FF1" w:rsidR="006A026A" w:rsidRPr="00C9579B" w:rsidRDefault="00D671F6" w:rsidP="00D55673">
      <w:pPr>
        <w:spacing w:line="480" w:lineRule="auto"/>
        <w:ind w:firstLine="720"/>
        <w:sectPr w:rsidR="006A026A" w:rsidRPr="00C9579B" w:rsidSect="00B21343"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t>T</w:t>
      </w:r>
      <w:r w:rsidR="00431A46">
        <w:t xml:space="preserve">he reliability of the </w:t>
      </w:r>
      <w:r>
        <w:t xml:space="preserve">PECK-SF </w:t>
      </w:r>
      <w:r w:rsidR="00DF7284">
        <w:t>was</w:t>
      </w:r>
      <w:r w:rsidR="00431A46">
        <w:t xml:space="preserve"> also assessed across these conditions using McDonald’s Omega.</w:t>
      </w:r>
      <w:r w:rsidR="00DA1FE0">
        <w:t xml:space="preserve"> </w:t>
      </w:r>
      <w:r w:rsidR="003C3FCB">
        <w:t xml:space="preserve">In comparison to </w:t>
      </w:r>
      <w:r>
        <w:t>Cronbach’s</w:t>
      </w:r>
      <w:r w:rsidR="003C3FCB">
        <w:t xml:space="preserve"> alpha</w:t>
      </w:r>
      <w:r w:rsidR="00A031FC">
        <w:t xml:space="preserve"> which can under-estimate reliability, </w:t>
      </w:r>
      <w:r w:rsidR="003C3FCB">
        <w:t xml:space="preserve">McDonalds’s Omega </w:t>
      </w:r>
      <w:r w:rsidR="00A031FC">
        <w:t>does not assume tau-equivalence (equal factor loadings) or uncorrelated error variances (Hayes &amp; Coutts, 2020; Trizano-Hermosilla &amp; Alvarado, 2016). As such, McDonalds’s Omega is seen as a more robust indicator of reliability (</w:t>
      </w:r>
      <w:r w:rsidR="00AA0BDE">
        <w:t>Trizano-Hermosilla &amp; Alvarado, 2016</w:t>
      </w:r>
      <w:r w:rsidR="00A031FC">
        <w:t xml:space="preserve">). </w:t>
      </w:r>
      <w:r w:rsidR="00DF7284">
        <w:t>McDonalds’s Omega is recommended as a measure of reliability for peer-victimisation data, due to the often skewed nature of data on the frequency of peer-victimisation experiences (Hunter et al., 2021).</w:t>
      </w:r>
      <w:r w:rsidR="00770F5D">
        <w:t xml:space="preserve"> In the current study, McDonalds’s Omega was calculated to test the reliability of the PECK-SF for male and female participants, and across the two time points using </w:t>
      </w:r>
      <w:r w:rsidR="00770F5D">
        <w:rPr>
          <w:bCs/>
          <w:iCs/>
          <w:color w:val="000000" w:themeColor="text1"/>
        </w:rPr>
        <w:t xml:space="preserve">Mplus (Version 8.4) (Muthen &amp; Muthen,1998), following the guidance provided by </w:t>
      </w:r>
      <w:r w:rsidR="00770F5D">
        <w:t xml:space="preserve">Hayes and Coutts (2020). </w:t>
      </w:r>
      <w:r w:rsidR="00770F5D">
        <w:rPr>
          <w:bCs/>
          <w:iCs/>
          <w:color w:val="000000" w:themeColor="text1"/>
        </w:rPr>
        <w:t xml:space="preserve"> </w:t>
      </w:r>
    </w:p>
    <w:p w14:paraId="5A711B3C" w14:textId="1EC6339F" w:rsidR="002E3ACA" w:rsidRPr="00606040" w:rsidRDefault="002E3ACA" w:rsidP="007E77CF">
      <w:pPr>
        <w:spacing w:line="480" w:lineRule="auto"/>
        <w:rPr>
          <w:b/>
          <w:bCs/>
          <w:color w:val="000000" w:themeColor="text1"/>
        </w:rPr>
      </w:pPr>
      <w:r w:rsidRPr="00606040">
        <w:rPr>
          <w:b/>
          <w:bCs/>
          <w:color w:val="000000" w:themeColor="text1"/>
        </w:rPr>
        <w:lastRenderedPageBreak/>
        <w:t xml:space="preserve">Results </w:t>
      </w:r>
    </w:p>
    <w:p w14:paraId="31B7A45F" w14:textId="3A103BAE" w:rsidR="002264AE" w:rsidRDefault="00C81220" w:rsidP="0004358E">
      <w:pPr>
        <w:spacing w:line="480" w:lineRule="auto"/>
        <w:ind w:firstLine="720"/>
        <w:rPr>
          <w:color w:val="FF0000"/>
        </w:rPr>
      </w:pPr>
      <w:r w:rsidRPr="00C81220">
        <w:rPr>
          <w:color w:val="000000" w:themeColor="text1"/>
        </w:rPr>
        <w:t xml:space="preserve">Confirmatory factor analysis </w:t>
      </w:r>
      <w:r w:rsidR="002644B0">
        <w:rPr>
          <w:color w:val="000000" w:themeColor="text1"/>
        </w:rPr>
        <w:t>indicated that</w:t>
      </w:r>
      <w:r w:rsidRPr="00C81220">
        <w:rPr>
          <w:color w:val="000000" w:themeColor="text1"/>
        </w:rPr>
        <w:t xml:space="preserve"> the model was an acceptable fit to the data </w:t>
      </w:r>
      <w:r w:rsidRPr="00C81220">
        <w:rPr>
          <w:i/>
          <w:color w:val="000000" w:themeColor="text1"/>
        </w:rPr>
        <w:t>χ</w:t>
      </w:r>
      <w:r w:rsidRPr="00C81220">
        <w:rPr>
          <w:i/>
          <w:color w:val="000000" w:themeColor="text1"/>
          <w:vertAlign w:val="superscript"/>
        </w:rPr>
        <w:t>2</w:t>
      </w:r>
      <w:r w:rsidRPr="00C81220">
        <w:rPr>
          <w:color w:val="000000" w:themeColor="text1"/>
        </w:rPr>
        <w:t xml:space="preserve"> (df = 77) = 515.57, </w:t>
      </w:r>
      <w:r w:rsidRPr="00C81220">
        <w:rPr>
          <w:i/>
          <w:color w:val="000000" w:themeColor="text1"/>
        </w:rPr>
        <w:t>p</w:t>
      </w:r>
      <w:r w:rsidRPr="00C81220">
        <w:rPr>
          <w:color w:val="000000" w:themeColor="text1"/>
        </w:rPr>
        <w:t xml:space="preserve"> &lt; .001; CFI = .941; RMSEA = .088 (90% Confidence Interval = .081, .095).</w:t>
      </w:r>
      <w:r w:rsidR="00F043E9" w:rsidRPr="00C81220">
        <w:rPr>
          <w:color w:val="000000" w:themeColor="text1"/>
        </w:rPr>
        <w:t xml:space="preserve"> </w:t>
      </w:r>
      <w:r w:rsidRPr="00C81220">
        <w:rPr>
          <w:color w:val="000000" w:themeColor="text1"/>
        </w:rPr>
        <w:t>However</w:t>
      </w:r>
      <w:r w:rsidR="00B17017">
        <w:rPr>
          <w:color w:val="000000" w:themeColor="text1"/>
        </w:rPr>
        <w:t>,</w:t>
      </w:r>
      <w:r w:rsidRPr="00C81220">
        <w:rPr>
          <w:color w:val="000000" w:themeColor="text1"/>
        </w:rPr>
        <w:t xml:space="preserve"> </w:t>
      </w:r>
      <w:r w:rsidR="00F043E9" w:rsidRPr="00C81220">
        <w:rPr>
          <w:color w:val="000000" w:themeColor="text1"/>
        </w:rPr>
        <w:t xml:space="preserve">invariance testing for </w:t>
      </w:r>
      <w:r w:rsidRPr="00C81220">
        <w:rPr>
          <w:color w:val="000000" w:themeColor="text1"/>
        </w:rPr>
        <w:t xml:space="preserve">this model </w:t>
      </w:r>
      <w:r w:rsidR="00F043E9" w:rsidRPr="00C81220">
        <w:rPr>
          <w:color w:val="000000" w:themeColor="text1"/>
        </w:rPr>
        <w:t>could not be calculated due to problems with the thresholds for items 6, 8, and 9</w:t>
      </w:r>
      <w:r w:rsidR="00AA4DC0">
        <w:rPr>
          <w:color w:val="000000" w:themeColor="text1"/>
        </w:rPr>
        <w:t xml:space="preserve">, as </w:t>
      </w:r>
      <w:r w:rsidR="00F043E9" w:rsidRPr="00C81220">
        <w:rPr>
          <w:color w:val="000000" w:themeColor="text1"/>
        </w:rPr>
        <w:t xml:space="preserve">there was a low frequency of responses for the final points of the </w:t>
      </w:r>
      <w:r w:rsidR="00014D2A">
        <w:rPr>
          <w:color w:val="000000" w:themeColor="text1"/>
        </w:rPr>
        <w:t>Likert</w:t>
      </w:r>
      <w:r w:rsidR="00F043E9" w:rsidRPr="00C81220">
        <w:rPr>
          <w:color w:val="000000" w:themeColor="text1"/>
        </w:rPr>
        <w:t xml:space="preserve"> scale (</w:t>
      </w:r>
      <w:r w:rsidR="009232C8">
        <w:rPr>
          <w:color w:val="000000" w:themeColor="text1"/>
        </w:rPr>
        <w:t>“</w:t>
      </w:r>
      <w:r w:rsidR="00F043E9" w:rsidRPr="00C81220">
        <w:rPr>
          <w:color w:val="000000" w:themeColor="text1"/>
        </w:rPr>
        <w:t>Most days</w:t>
      </w:r>
      <w:r w:rsidR="009232C8">
        <w:rPr>
          <w:color w:val="000000" w:themeColor="text1"/>
        </w:rPr>
        <w:t>”</w:t>
      </w:r>
      <w:r w:rsidR="00F043E9" w:rsidRPr="00C81220">
        <w:rPr>
          <w:color w:val="000000" w:themeColor="text1"/>
        </w:rPr>
        <w:t xml:space="preserve"> [4] and </w:t>
      </w:r>
      <w:r w:rsidR="009232C8">
        <w:rPr>
          <w:color w:val="000000" w:themeColor="text1"/>
        </w:rPr>
        <w:t>“</w:t>
      </w:r>
      <w:r w:rsidR="00014D2A">
        <w:rPr>
          <w:color w:val="000000" w:themeColor="text1"/>
        </w:rPr>
        <w:t>Everyday</w:t>
      </w:r>
      <w:r w:rsidR="009232C8">
        <w:rPr>
          <w:color w:val="000000" w:themeColor="text1"/>
        </w:rPr>
        <w:t>”</w:t>
      </w:r>
      <w:r w:rsidR="00F043E9" w:rsidRPr="00C81220">
        <w:rPr>
          <w:color w:val="000000" w:themeColor="text1"/>
        </w:rPr>
        <w:t xml:space="preserve"> [5]). Therefore, </w:t>
      </w:r>
      <w:r w:rsidR="00B17017">
        <w:rPr>
          <w:color w:val="000000" w:themeColor="text1"/>
        </w:rPr>
        <w:t xml:space="preserve">and </w:t>
      </w:r>
      <w:r w:rsidR="00F043E9" w:rsidRPr="00C81220">
        <w:rPr>
          <w:color w:val="000000" w:themeColor="text1"/>
        </w:rPr>
        <w:t xml:space="preserve">consistent with the approach taken by Prinz et al. (2019), the final points on the </w:t>
      </w:r>
      <w:r w:rsidR="00014D2A">
        <w:rPr>
          <w:color w:val="000000" w:themeColor="text1"/>
        </w:rPr>
        <w:t>Likert</w:t>
      </w:r>
      <w:r w:rsidR="00F043E9" w:rsidRPr="00C81220">
        <w:rPr>
          <w:color w:val="000000" w:themeColor="text1"/>
        </w:rPr>
        <w:t xml:space="preserve"> scale were combined to create a four-point </w:t>
      </w:r>
      <w:r w:rsidR="00014D2A">
        <w:rPr>
          <w:color w:val="000000" w:themeColor="text1"/>
        </w:rPr>
        <w:t>Likert</w:t>
      </w:r>
      <w:r w:rsidR="00F043E9" w:rsidRPr="00C81220">
        <w:rPr>
          <w:color w:val="000000" w:themeColor="text1"/>
        </w:rPr>
        <w:t xml:space="preserve"> scale ranging from never (0) to most days/ everyday (4).</w:t>
      </w:r>
      <w:r w:rsidRPr="00C81220">
        <w:rPr>
          <w:color w:val="000000" w:themeColor="text1"/>
        </w:rPr>
        <w:t xml:space="preserve"> </w:t>
      </w:r>
      <w:r w:rsidR="002644B0">
        <w:rPr>
          <w:color w:val="000000" w:themeColor="text1"/>
        </w:rPr>
        <w:t xml:space="preserve">Fit assessed using the revised scale points </w:t>
      </w:r>
      <w:r w:rsidR="009C2C4D" w:rsidRPr="00C81220">
        <w:rPr>
          <w:color w:val="000000" w:themeColor="text1"/>
        </w:rPr>
        <w:t xml:space="preserve">was </w:t>
      </w:r>
      <w:r w:rsidR="002644B0">
        <w:rPr>
          <w:color w:val="000000" w:themeColor="text1"/>
        </w:rPr>
        <w:t xml:space="preserve">still </w:t>
      </w:r>
      <w:r w:rsidR="009C2C4D" w:rsidRPr="00C81220">
        <w:rPr>
          <w:color w:val="000000" w:themeColor="text1"/>
        </w:rPr>
        <w:t xml:space="preserve">an acceptable fit to the data: </w:t>
      </w:r>
      <w:r w:rsidR="009C2C4D" w:rsidRPr="00C81220">
        <w:rPr>
          <w:i/>
          <w:color w:val="000000" w:themeColor="text1"/>
        </w:rPr>
        <w:t>χ</w:t>
      </w:r>
      <w:r w:rsidR="009C2C4D" w:rsidRPr="00C81220">
        <w:rPr>
          <w:i/>
          <w:color w:val="000000" w:themeColor="text1"/>
          <w:vertAlign w:val="superscript"/>
        </w:rPr>
        <w:t>2</w:t>
      </w:r>
      <w:r w:rsidR="009C2C4D" w:rsidRPr="00C81220">
        <w:rPr>
          <w:color w:val="000000" w:themeColor="text1"/>
        </w:rPr>
        <w:t xml:space="preserve"> (df = </w:t>
      </w:r>
      <w:r w:rsidRPr="00C81220">
        <w:rPr>
          <w:color w:val="000000" w:themeColor="text1"/>
        </w:rPr>
        <w:t>77</w:t>
      </w:r>
      <w:r w:rsidR="009C2C4D" w:rsidRPr="00C81220">
        <w:rPr>
          <w:color w:val="000000" w:themeColor="text1"/>
        </w:rPr>
        <w:t xml:space="preserve">) = </w:t>
      </w:r>
      <w:r w:rsidRPr="00C81220">
        <w:rPr>
          <w:color w:val="000000" w:themeColor="text1"/>
        </w:rPr>
        <w:t>487.17</w:t>
      </w:r>
      <w:r w:rsidR="009C2C4D" w:rsidRPr="00C81220">
        <w:rPr>
          <w:color w:val="000000" w:themeColor="text1"/>
        </w:rPr>
        <w:t xml:space="preserve">, </w:t>
      </w:r>
      <w:r w:rsidR="009C2C4D" w:rsidRPr="00C81220">
        <w:rPr>
          <w:i/>
          <w:color w:val="000000" w:themeColor="text1"/>
        </w:rPr>
        <w:t>p</w:t>
      </w:r>
      <w:r w:rsidR="009C2C4D" w:rsidRPr="00C81220">
        <w:rPr>
          <w:color w:val="000000" w:themeColor="text1"/>
        </w:rPr>
        <w:t xml:space="preserve"> &lt; .001; CFI = .934; RMSEA = .085 (90% Confidence Interval = .078, .093). </w:t>
      </w:r>
      <w:r w:rsidR="009C2C4D" w:rsidRPr="009232C8">
        <w:rPr>
          <w:color w:val="000000" w:themeColor="text1"/>
        </w:rPr>
        <w:t xml:space="preserve">The </w:t>
      </w:r>
      <w:r w:rsidR="00213C41">
        <w:rPr>
          <w:color w:val="000000" w:themeColor="text1"/>
        </w:rPr>
        <w:t>standardized</w:t>
      </w:r>
      <w:r w:rsidR="009C2C4D" w:rsidRPr="009232C8">
        <w:rPr>
          <w:color w:val="000000" w:themeColor="text1"/>
        </w:rPr>
        <w:t xml:space="preserve"> factor loadings</w:t>
      </w:r>
      <w:r w:rsidR="00AA4DC0">
        <w:rPr>
          <w:color w:val="000000" w:themeColor="text1"/>
        </w:rPr>
        <w:t>, item means</w:t>
      </w:r>
      <w:r w:rsidR="00E2665F">
        <w:rPr>
          <w:color w:val="000000" w:themeColor="text1"/>
        </w:rPr>
        <w:t>, standard deviations</w:t>
      </w:r>
      <w:r w:rsidR="00AA4DC0">
        <w:rPr>
          <w:color w:val="000000" w:themeColor="text1"/>
        </w:rPr>
        <w:t xml:space="preserve">, </w:t>
      </w:r>
      <w:r w:rsidR="009320C6">
        <w:rPr>
          <w:color w:val="000000" w:themeColor="text1"/>
        </w:rPr>
        <w:t xml:space="preserve">and </w:t>
      </w:r>
      <w:r w:rsidR="00AA4DC0">
        <w:rPr>
          <w:color w:val="000000" w:themeColor="text1"/>
        </w:rPr>
        <w:t>item correlations</w:t>
      </w:r>
      <w:r w:rsidR="009C2C4D" w:rsidRPr="009232C8">
        <w:rPr>
          <w:color w:val="000000" w:themeColor="text1"/>
        </w:rPr>
        <w:t xml:space="preserve"> are reported in Table 1</w:t>
      </w:r>
      <w:r w:rsidR="00BB6F27">
        <w:rPr>
          <w:color w:val="000000" w:themeColor="text1"/>
        </w:rPr>
        <w:t>.</w:t>
      </w:r>
      <w:r w:rsidR="00BC69A2">
        <w:rPr>
          <w:color w:val="FF0000"/>
        </w:rPr>
        <w:t xml:space="preserve"> </w:t>
      </w:r>
    </w:p>
    <w:p w14:paraId="04DF7CAB" w14:textId="7F2C9954" w:rsidR="000F7F4B" w:rsidRPr="00B21343" w:rsidRDefault="000F7F4B" w:rsidP="000F7F4B">
      <w:pPr>
        <w:spacing w:line="480" w:lineRule="auto"/>
        <w:ind w:firstLine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1 HERE</w:t>
      </w:r>
    </w:p>
    <w:p w14:paraId="02299079" w14:textId="1BCE565C" w:rsidR="001417E8" w:rsidRDefault="0004358E" w:rsidP="00906CDF">
      <w:pPr>
        <w:spacing w:line="480" w:lineRule="auto"/>
        <w:ind w:firstLine="720"/>
        <w:rPr>
          <w:color w:val="000000" w:themeColor="text1"/>
        </w:rPr>
      </w:pPr>
      <w:r w:rsidRPr="00C81220">
        <w:rPr>
          <w:color w:val="000000" w:themeColor="text1"/>
        </w:rPr>
        <w:t xml:space="preserve">MacDonald’s Omega indicated good internal reliability for the </w:t>
      </w:r>
      <w:r w:rsidR="0006125F">
        <w:rPr>
          <w:color w:val="000000" w:themeColor="text1"/>
        </w:rPr>
        <w:t>PECK-SF</w:t>
      </w:r>
      <w:r w:rsidRPr="00C81220">
        <w:rPr>
          <w:color w:val="000000" w:themeColor="text1"/>
        </w:rPr>
        <w:t xml:space="preserve"> </w:t>
      </w:r>
      <w:r>
        <w:rPr>
          <w:color w:val="000000" w:themeColor="text1"/>
        </w:rPr>
        <w:t>at time 1</w:t>
      </w:r>
      <w:r w:rsidR="00A179FD">
        <w:rPr>
          <w:color w:val="000000" w:themeColor="text1"/>
        </w:rPr>
        <w:t xml:space="preserve"> </w:t>
      </w:r>
      <w:r w:rsidRPr="00C81220">
        <w:rPr>
          <w:color w:val="000000" w:themeColor="text1"/>
        </w:rPr>
        <w:t>(</w:t>
      </w:r>
      <w:r w:rsidRPr="00C81220">
        <w:rPr>
          <w:rFonts w:ascii="Cambria Math" w:hAnsi="Cambria Math" w:cs="Cambria Math"/>
          <w:color w:val="000000" w:themeColor="text1"/>
        </w:rPr>
        <w:t xml:space="preserve">𝜔 </w:t>
      </w:r>
      <w:r w:rsidRPr="00C81220">
        <w:rPr>
          <w:color w:val="000000" w:themeColor="text1"/>
        </w:rPr>
        <w:t>= .</w:t>
      </w:r>
      <w:r w:rsidR="004E3D45">
        <w:rPr>
          <w:color w:val="000000" w:themeColor="text1"/>
        </w:rPr>
        <w:t>89</w:t>
      </w:r>
      <w:r w:rsidRPr="00C81220">
        <w:rPr>
          <w:color w:val="000000" w:themeColor="text1"/>
        </w:rPr>
        <w:t>)</w:t>
      </w:r>
      <w:r w:rsidR="004E3D45">
        <w:rPr>
          <w:color w:val="000000" w:themeColor="text1"/>
        </w:rPr>
        <w:t xml:space="preserve"> and at time 2 (</w:t>
      </w:r>
      <w:r w:rsidR="004E3D45" w:rsidRPr="00C81220">
        <w:rPr>
          <w:rFonts w:ascii="Cambria Math" w:hAnsi="Cambria Math" w:cs="Cambria Math"/>
          <w:color w:val="000000" w:themeColor="text1"/>
        </w:rPr>
        <w:t xml:space="preserve">𝜔 </w:t>
      </w:r>
      <w:r w:rsidR="004E3D45" w:rsidRPr="00C81220">
        <w:rPr>
          <w:color w:val="000000" w:themeColor="text1"/>
        </w:rPr>
        <w:t>= .</w:t>
      </w:r>
      <w:r w:rsidR="004E3D45">
        <w:rPr>
          <w:color w:val="000000" w:themeColor="text1"/>
        </w:rPr>
        <w:t>93)</w:t>
      </w:r>
      <w:r w:rsidR="00D41A6C">
        <w:rPr>
          <w:color w:val="000000" w:themeColor="text1"/>
        </w:rPr>
        <w:t xml:space="preserve">, and at time 1 for both </w:t>
      </w:r>
      <w:r w:rsidR="004D7D56">
        <w:rPr>
          <w:color w:val="000000" w:themeColor="text1"/>
        </w:rPr>
        <w:t>male</w:t>
      </w:r>
      <w:r w:rsidR="00D41A6C">
        <w:rPr>
          <w:color w:val="000000" w:themeColor="text1"/>
        </w:rPr>
        <w:t xml:space="preserve"> </w:t>
      </w:r>
      <w:r w:rsidR="00D41A6C" w:rsidRPr="00C81220">
        <w:rPr>
          <w:color w:val="000000" w:themeColor="text1"/>
        </w:rPr>
        <w:t>(</w:t>
      </w:r>
      <w:r w:rsidR="00D41A6C" w:rsidRPr="00C81220">
        <w:rPr>
          <w:rFonts w:ascii="Cambria Math" w:hAnsi="Cambria Math" w:cs="Cambria Math"/>
          <w:color w:val="000000" w:themeColor="text1"/>
        </w:rPr>
        <w:t xml:space="preserve">𝜔 </w:t>
      </w:r>
      <w:r w:rsidR="00D41A6C" w:rsidRPr="00C81220">
        <w:rPr>
          <w:color w:val="000000" w:themeColor="text1"/>
        </w:rPr>
        <w:t>= .</w:t>
      </w:r>
      <w:r w:rsidR="00D41A6C">
        <w:rPr>
          <w:color w:val="000000" w:themeColor="text1"/>
        </w:rPr>
        <w:t>89</w:t>
      </w:r>
      <w:r w:rsidR="00D41A6C" w:rsidRPr="00C81220">
        <w:rPr>
          <w:color w:val="000000" w:themeColor="text1"/>
        </w:rPr>
        <w:t>)</w:t>
      </w:r>
      <w:r w:rsidR="00D41A6C">
        <w:rPr>
          <w:color w:val="000000" w:themeColor="text1"/>
        </w:rPr>
        <w:t xml:space="preserve"> and </w:t>
      </w:r>
      <w:r w:rsidR="004D7D56">
        <w:rPr>
          <w:color w:val="000000" w:themeColor="text1"/>
        </w:rPr>
        <w:t>female</w:t>
      </w:r>
      <w:r w:rsidR="00D41A6C">
        <w:rPr>
          <w:color w:val="000000" w:themeColor="text1"/>
        </w:rPr>
        <w:t xml:space="preserve"> </w:t>
      </w:r>
      <w:r w:rsidR="00D41A6C" w:rsidRPr="00C81220">
        <w:rPr>
          <w:color w:val="000000" w:themeColor="text1"/>
        </w:rPr>
        <w:t>(</w:t>
      </w:r>
      <w:r w:rsidR="00D41A6C" w:rsidRPr="00C81220">
        <w:rPr>
          <w:rFonts w:ascii="Cambria Math" w:hAnsi="Cambria Math" w:cs="Cambria Math"/>
          <w:color w:val="000000" w:themeColor="text1"/>
        </w:rPr>
        <w:t xml:space="preserve">𝜔 </w:t>
      </w:r>
      <w:r w:rsidR="00D41A6C" w:rsidRPr="00C81220">
        <w:rPr>
          <w:color w:val="000000" w:themeColor="text1"/>
        </w:rPr>
        <w:t>= .</w:t>
      </w:r>
      <w:r w:rsidR="00D41A6C">
        <w:rPr>
          <w:color w:val="000000" w:themeColor="text1"/>
        </w:rPr>
        <w:t>86</w:t>
      </w:r>
      <w:r w:rsidR="00D41A6C" w:rsidRPr="00C81220">
        <w:rPr>
          <w:color w:val="000000" w:themeColor="text1"/>
        </w:rPr>
        <w:t>)</w:t>
      </w:r>
      <w:r w:rsidR="007E77CF">
        <w:rPr>
          <w:color w:val="000000" w:themeColor="text1"/>
        </w:rPr>
        <w:t xml:space="preserve"> participants</w:t>
      </w:r>
      <w:r w:rsidR="004E3D45">
        <w:rPr>
          <w:color w:val="000000" w:themeColor="text1"/>
        </w:rPr>
        <w:t xml:space="preserve">. </w:t>
      </w:r>
    </w:p>
    <w:p w14:paraId="5E23A5C9" w14:textId="0FA32E08" w:rsidR="00556BE2" w:rsidRDefault="00387F95" w:rsidP="00C9579B">
      <w:pPr>
        <w:spacing w:line="480" w:lineRule="auto"/>
        <w:rPr>
          <w:b/>
          <w:bCs/>
          <w:color w:val="000000" w:themeColor="text1"/>
        </w:rPr>
      </w:pPr>
      <w:r w:rsidRPr="0004358E">
        <w:rPr>
          <w:b/>
          <w:bCs/>
          <w:color w:val="000000" w:themeColor="text1"/>
        </w:rPr>
        <w:t xml:space="preserve">Invariance testing </w:t>
      </w:r>
    </w:p>
    <w:p w14:paraId="60571CFF" w14:textId="369BFC64" w:rsidR="001C1F51" w:rsidRDefault="00606040" w:rsidP="00582492">
      <w:pPr>
        <w:spacing w:line="480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606040">
        <w:rPr>
          <w:color w:val="000000" w:themeColor="text1"/>
        </w:rPr>
        <w:t xml:space="preserve"> </w:t>
      </w:r>
      <w:r w:rsidR="00451766">
        <w:rPr>
          <w:color w:val="000000" w:themeColor="text1"/>
        </w:rPr>
        <w:t xml:space="preserve">Regarding invariance across time, the first configural (unconstrained model) </w:t>
      </w:r>
      <w:r w:rsidR="003619DA">
        <w:rPr>
          <w:color w:val="000000" w:themeColor="text1"/>
        </w:rPr>
        <w:t xml:space="preserve">was calculated to test whether the model was a good fit and factor loadings were similar across both time conditions. This model </w:t>
      </w:r>
      <w:r w:rsidR="00451766">
        <w:rPr>
          <w:color w:val="000000" w:themeColor="text1"/>
        </w:rPr>
        <w:t xml:space="preserve">was </w:t>
      </w:r>
      <w:r w:rsidR="00451766" w:rsidRPr="00C81220">
        <w:rPr>
          <w:color w:val="000000" w:themeColor="text1"/>
        </w:rPr>
        <w:t xml:space="preserve">an acceptable fit to the data: </w:t>
      </w:r>
      <w:r w:rsidR="00451766" w:rsidRPr="00C81220">
        <w:rPr>
          <w:i/>
          <w:color w:val="000000" w:themeColor="text1"/>
        </w:rPr>
        <w:t>χ</w:t>
      </w:r>
      <w:r w:rsidR="00451766" w:rsidRPr="00C81220">
        <w:rPr>
          <w:i/>
          <w:color w:val="000000" w:themeColor="text1"/>
          <w:vertAlign w:val="superscript"/>
        </w:rPr>
        <w:t>2</w:t>
      </w:r>
      <w:r w:rsidR="00451766" w:rsidRPr="00C81220">
        <w:rPr>
          <w:color w:val="000000" w:themeColor="text1"/>
        </w:rPr>
        <w:t xml:space="preserve"> (df = </w:t>
      </w:r>
      <w:r w:rsidR="00451766">
        <w:rPr>
          <w:color w:val="000000" w:themeColor="text1"/>
        </w:rPr>
        <w:t>3</w:t>
      </w:r>
      <w:r w:rsidR="00451766" w:rsidRPr="00C81220">
        <w:rPr>
          <w:color w:val="000000" w:themeColor="text1"/>
        </w:rPr>
        <w:t>7</w:t>
      </w:r>
      <w:r w:rsidR="00451766">
        <w:rPr>
          <w:color w:val="000000" w:themeColor="text1"/>
        </w:rPr>
        <w:t>8</w:t>
      </w:r>
      <w:r w:rsidR="00451766" w:rsidRPr="00C81220">
        <w:rPr>
          <w:color w:val="000000" w:themeColor="text1"/>
        </w:rPr>
        <w:t xml:space="preserve">) = </w:t>
      </w:r>
      <w:r w:rsidR="00451766">
        <w:rPr>
          <w:color w:val="000000" w:themeColor="text1"/>
        </w:rPr>
        <w:t>16,162.68</w:t>
      </w:r>
      <w:r w:rsidR="00451766" w:rsidRPr="00C81220">
        <w:rPr>
          <w:color w:val="000000" w:themeColor="text1"/>
        </w:rPr>
        <w:t xml:space="preserve">, </w:t>
      </w:r>
      <w:r w:rsidR="00451766" w:rsidRPr="00C81220">
        <w:rPr>
          <w:i/>
          <w:color w:val="000000" w:themeColor="text1"/>
        </w:rPr>
        <w:t>p</w:t>
      </w:r>
      <w:r w:rsidR="00451766" w:rsidRPr="00C81220">
        <w:rPr>
          <w:color w:val="000000" w:themeColor="text1"/>
        </w:rPr>
        <w:t xml:space="preserve"> &lt; .001; CFI = .9</w:t>
      </w:r>
      <w:r w:rsidR="00451766">
        <w:rPr>
          <w:color w:val="000000" w:themeColor="text1"/>
        </w:rPr>
        <w:t>65</w:t>
      </w:r>
      <w:r w:rsidR="00451766" w:rsidRPr="00C81220">
        <w:rPr>
          <w:color w:val="000000" w:themeColor="text1"/>
        </w:rPr>
        <w:t>; RMSEA = .0</w:t>
      </w:r>
      <w:r w:rsidR="00451766">
        <w:rPr>
          <w:color w:val="000000" w:themeColor="text1"/>
        </w:rPr>
        <w:t>41</w:t>
      </w:r>
      <w:r w:rsidR="00451766" w:rsidRPr="00C81220">
        <w:rPr>
          <w:color w:val="000000" w:themeColor="text1"/>
        </w:rPr>
        <w:t xml:space="preserve"> (90% Confidence Interval = .0</w:t>
      </w:r>
      <w:r w:rsidR="00451766">
        <w:rPr>
          <w:color w:val="000000" w:themeColor="text1"/>
        </w:rPr>
        <w:t>37</w:t>
      </w:r>
      <w:r w:rsidR="00451766" w:rsidRPr="00C81220">
        <w:rPr>
          <w:color w:val="000000" w:themeColor="text1"/>
        </w:rPr>
        <w:t>, .0</w:t>
      </w:r>
      <w:r w:rsidR="00451766">
        <w:rPr>
          <w:color w:val="000000" w:themeColor="text1"/>
        </w:rPr>
        <w:t>44</w:t>
      </w:r>
      <w:r w:rsidR="00451766" w:rsidRPr="00C81220">
        <w:rPr>
          <w:color w:val="000000" w:themeColor="text1"/>
        </w:rPr>
        <w:t>).</w:t>
      </w:r>
      <w:r w:rsidR="001C1F51">
        <w:rPr>
          <w:color w:val="000000" w:themeColor="text1"/>
        </w:rPr>
        <w:t xml:space="preserve"> The next model </w:t>
      </w:r>
      <w:r w:rsidR="001C1F51" w:rsidRPr="00A51AFF">
        <w:rPr>
          <w:color w:val="000000" w:themeColor="text1"/>
        </w:rPr>
        <w:t xml:space="preserve">assessed for weak (metric) invariance to test whether the factor loadings are statistically equivalent </w:t>
      </w:r>
      <w:r w:rsidR="001C1F51">
        <w:rPr>
          <w:color w:val="000000" w:themeColor="text1"/>
        </w:rPr>
        <w:t xml:space="preserve">across conditions. </w:t>
      </w:r>
      <w:r w:rsidR="001F538B">
        <w:rPr>
          <w:color w:val="000000" w:themeColor="text1"/>
        </w:rPr>
        <w:t>If the results support weak invariance, we can infer that the factor has the same meaning across conditions (</w:t>
      </w:r>
      <w:r w:rsidR="00675868">
        <w:rPr>
          <w:color w:val="000000" w:themeColor="text1"/>
        </w:rPr>
        <w:t>Bowen &amp; Masa, 2015</w:t>
      </w:r>
      <w:r w:rsidR="002C5DED">
        <w:rPr>
          <w:color w:val="000000" w:themeColor="text1"/>
        </w:rPr>
        <w:t xml:space="preserve">; </w:t>
      </w:r>
      <w:r w:rsidR="002C5DED" w:rsidRPr="009A73BE">
        <w:rPr>
          <w:color w:val="000000" w:themeColor="text1"/>
        </w:rPr>
        <w:t>Steinmetz, 2013</w:t>
      </w:r>
      <w:r w:rsidR="001F538B">
        <w:rPr>
          <w:color w:val="000000" w:themeColor="text1"/>
        </w:rPr>
        <w:t>), in this case over time, and for both males and female participants.</w:t>
      </w:r>
      <w:r w:rsidR="00796480">
        <w:rPr>
          <w:color w:val="000000" w:themeColor="text1"/>
        </w:rPr>
        <w:t xml:space="preserve"> </w:t>
      </w:r>
      <w:r w:rsidR="00B76B98">
        <w:rPr>
          <w:color w:val="000000" w:themeColor="text1"/>
        </w:rPr>
        <w:t xml:space="preserve">The final model </w:t>
      </w:r>
      <w:r w:rsidR="001C1F51">
        <w:rPr>
          <w:color w:val="000000" w:themeColor="text1"/>
        </w:rPr>
        <w:lastRenderedPageBreak/>
        <w:t>assessed if</w:t>
      </w:r>
      <w:r w:rsidR="001C1F51" w:rsidRPr="00A51AFF">
        <w:rPr>
          <w:color w:val="000000" w:themeColor="text1"/>
        </w:rPr>
        <w:t xml:space="preserve"> strong (scalar) invariance </w:t>
      </w:r>
      <w:r w:rsidR="001C1F51">
        <w:rPr>
          <w:color w:val="000000" w:themeColor="text1"/>
        </w:rPr>
        <w:t xml:space="preserve">was supported </w:t>
      </w:r>
      <w:r w:rsidR="001C1F51" w:rsidRPr="00A51AFF">
        <w:rPr>
          <w:color w:val="000000" w:themeColor="text1"/>
        </w:rPr>
        <w:t>and</w:t>
      </w:r>
      <w:r w:rsidR="001C1F51">
        <w:rPr>
          <w:color w:val="000000" w:themeColor="text1"/>
        </w:rPr>
        <w:t xml:space="preserve"> involved</w:t>
      </w:r>
      <w:r w:rsidR="001C1F51" w:rsidRPr="00A51AFF">
        <w:rPr>
          <w:color w:val="000000" w:themeColor="text1"/>
        </w:rPr>
        <w:t xml:space="preserve"> test</w:t>
      </w:r>
      <w:r w:rsidR="001C1F51">
        <w:rPr>
          <w:color w:val="000000" w:themeColor="text1"/>
        </w:rPr>
        <w:t>ing</w:t>
      </w:r>
      <w:r w:rsidR="001C1F51" w:rsidRPr="00A51AFF">
        <w:rPr>
          <w:color w:val="000000" w:themeColor="text1"/>
        </w:rPr>
        <w:t xml:space="preserve"> whether the thresholds are equivalent.</w:t>
      </w:r>
      <w:r w:rsidR="00F9648F">
        <w:rPr>
          <w:color w:val="000000" w:themeColor="text1"/>
        </w:rPr>
        <w:t xml:space="preserve"> If strong invariance is found, </w:t>
      </w:r>
      <w:r w:rsidR="00F9648F" w:rsidRPr="00F9648F">
        <w:rPr>
          <w:color w:val="000000" w:themeColor="text1"/>
        </w:rPr>
        <w:t>factor means, variances, and covariances</w:t>
      </w:r>
      <w:r w:rsidR="00F9648F">
        <w:rPr>
          <w:color w:val="000000" w:themeColor="text1"/>
        </w:rPr>
        <w:t xml:space="preserve"> can be compared </w:t>
      </w:r>
      <w:r w:rsidR="00F700F9">
        <w:rPr>
          <w:color w:val="000000" w:themeColor="text1"/>
        </w:rPr>
        <w:t xml:space="preserve">as we can infer that our observed scores provide an accurate reflection of our construct </w:t>
      </w:r>
      <w:r w:rsidR="002753E1">
        <w:rPr>
          <w:color w:val="000000" w:themeColor="text1"/>
        </w:rPr>
        <w:t>(</w:t>
      </w:r>
      <w:r w:rsidR="002C5DED" w:rsidRPr="002C5DED">
        <w:rPr>
          <w:color w:val="000000" w:themeColor="text1"/>
        </w:rPr>
        <w:t>Millsap,1998</w:t>
      </w:r>
      <w:r w:rsidR="002753E1">
        <w:rPr>
          <w:color w:val="000000" w:themeColor="text1"/>
        </w:rPr>
        <w:t xml:space="preserve">). </w:t>
      </w:r>
      <w:r w:rsidR="00F700F9">
        <w:rPr>
          <w:color w:val="000000" w:themeColor="text1"/>
        </w:rPr>
        <w:t xml:space="preserve">Regarding invariance of the PECK over time, </w:t>
      </w:r>
      <w:r w:rsidR="00F700F9">
        <w:t>c</w:t>
      </w:r>
      <w:r w:rsidR="001C1F51">
        <w:t xml:space="preserve">hanges in RMSEA and CFI across these three models were within acceptable limits, </w:t>
      </w:r>
      <w:r w:rsidR="001A0DAB">
        <w:t>supporting</w:t>
      </w:r>
      <w:r w:rsidR="001C1F51">
        <w:t xml:space="preserve"> strong invariance of the scale over time</w:t>
      </w:r>
      <w:r w:rsidR="001A0DAB">
        <w:t xml:space="preserve"> (see</w:t>
      </w:r>
      <w:r w:rsidR="001C1F51">
        <w:t xml:space="preserve"> Table 2</w:t>
      </w:r>
      <w:r w:rsidR="00A33D29">
        <w:t>)</w:t>
      </w:r>
      <w:r w:rsidR="001C1F51">
        <w:t xml:space="preserve">. </w:t>
      </w:r>
      <w:r w:rsidR="006E1E6C">
        <w:rPr>
          <w:color w:val="000000" w:themeColor="text1"/>
        </w:rPr>
        <w:t xml:space="preserve">Regarding invariance across gender, </w:t>
      </w:r>
      <w:r w:rsidR="006E1E6C" w:rsidRPr="00BB0871">
        <w:rPr>
          <w:color w:val="000000" w:themeColor="text1"/>
        </w:rPr>
        <w:t xml:space="preserve">the initial configural model could not be calculated </w:t>
      </w:r>
      <w:r w:rsidR="00BB0871" w:rsidRPr="00BB0871">
        <w:rPr>
          <w:color w:val="000000" w:themeColor="text1"/>
        </w:rPr>
        <w:t xml:space="preserve">as no </w:t>
      </w:r>
      <w:r w:rsidR="006E1E6C" w:rsidRPr="00BB0871">
        <w:rPr>
          <w:color w:val="000000" w:themeColor="text1"/>
        </w:rPr>
        <w:t xml:space="preserve">female participants reported frequent experiences of item 8 </w:t>
      </w:r>
      <w:r w:rsidR="00BB0871" w:rsidRPr="00BB0871">
        <w:rPr>
          <w:color w:val="000000" w:themeColor="text1"/>
        </w:rPr>
        <w:t>(</w:t>
      </w:r>
      <w:r w:rsidR="006E1E6C" w:rsidRPr="00BB0871">
        <w:rPr>
          <w:i/>
          <w:iCs/>
          <w:color w:val="000000" w:themeColor="text1"/>
        </w:rPr>
        <w:t>Other kids tell people to hit me</w:t>
      </w:r>
      <w:r w:rsidR="00BB0871" w:rsidRPr="00BB0871">
        <w:rPr>
          <w:color w:val="000000" w:themeColor="text1"/>
        </w:rPr>
        <w:t>).  Therefore,</w:t>
      </w:r>
      <w:r w:rsidR="006E1E6C" w:rsidRPr="00BB0871">
        <w:rPr>
          <w:color w:val="000000" w:themeColor="text1"/>
        </w:rPr>
        <w:t xml:space="preserve"> this item was excluded from the model. </w:t>
      </w:r>
      <w:r w:rsidR="00BB0871">
        <w:rPr>
          <w:color w:val="000000" w:themeColor="text1"/>
        </w:rPr>
        <w:t xml:space="preserve">Once this item was removed, the </w:t>
      </w:r>
      <w:r w:rsidR="001C1F51">
        <w:rPr>
          <w:color w:val="000000" w:themeColor="text1"/>
        </w:rPr>
        <w:t xml:space="preserve">configural model was an acceptable </w:t>
      </w:r>
      <w:r w:rsidR="00BB0871">
        <w:rPr>
          <w:color w:val="000000" w:themeColor="text1"/>
        </w:rPr>
        <w:t>fit to the data</w:t>
      </w:r>
      <w:r w:rsidR="001C1F51">
        <w:rPr>
          <w:color w:val="000000" w:themeColor="text1"/>
        </w:rPr>
        <w:t xml:space="preserve">; </w:t>
      </w:r>
      <w:r w:rsidR="001C1F51" w:rsidRPr="00C81220">
        <w:rPr>
          <w:i/>
          <w:color w:val="000000" w:themeColor="text1"/>
        </w:rPr>
        <w:t>χ</w:t>
      </w:r>
      <w:r w:rsidR="001C1F51" w:rsidRPr="00C81220">
        <w:rPr>
          <w:i/>
          <w:color w:val="000000" w:themeColor="text1"/>
          <w:vertAlign w:val="superscript"/>
        </w:rPr>
        <w:t>2</w:t>
      </w:r>
      <w:r w:rsidR="001C1F51" w:rsidRPr="00C81220">
        <w:rPr>
          <w:color w:val="000000" w:themeColor="text1"/>
        </w:rPr>
        <w:t xml:space="preserve"> (df = </w:t>
      </w:r>
      <w:r w:rsidR="001C1F51">
        <w:rPr>
          <w:color w:val="000000" w:themeColor="text1"/>
        </w:rPr>
        <w:t>156</w:t>
      </w:r>
      <w:r w:rsidR="001C1F51" w:rsidRPr="00C81220">
        <w:rPr>
          <w:color w:val="000000" w:themeColor="text1"/>
        </w:rPr>
        <w:t xml:space="preserve">) = </w:t>
      </w:r>
      <w:r w:rsidR="001C1F51">
        <w:rPr>
          <w:color w:val="000000" w:themeColor="text1"/>
        </w:rPr>
        <w:t>5,787.75</w:t>
      </w:r>
      <w:r w:rsidR="001C1F51" w:rsidRPr="00C81220">
        <w:rPr>
          <w:color w:val="000000" w:themeColor="text1"/>
        </w:rPr>
        <w:t xml:space="preserve">, </w:t>
      </w:r>
      <w:r w:rsidR="001C1F51" w:rsidRPr="00C81220">
        <w:rPr>
          <w:i/>
          <w:color w:val="000000" w:themeColor="text1"/>
        </w:rPr>
        <w:t>p</w:t>
      </w:r>
      <w:r w:rsidR="001C1F51" w:rsidRPr="00C81220">
        <w:rPr>
          <w:color w:val="000000" w:themeColor="text1"/>
        </w:rPr>
        <w:t xml:space="preserve"> &lt; .001; CFI = .</w:t>
      </w:r>
      <w:r w:rsidR="001C1F51">
        <w:rPr>
          <w:color w:val="000000" w:themeColor="text1"/>
        </w:rPr>
        <w:t>947</w:t>
      </w:r>
      <w:r w:rsidR="001C1F51" w:rsidRPr="00C81220">
        <w:rPr>
          <w:color w:val="000000" w:themeColor="text1"/>
        </w:rPr>
        <w:t>; RMSEA = .0</w:t>
      </w:r>
      <w:r w:rsidR="001C1F51">
        <w:rPr>
          <w:color w:val="000000" w:themeColor="text1"/>
        </w:rPr>
        <w:t>81</w:t>
      </w:r>
      <w:r w:rsidR="001C1F51" w:rsidRPr="00C81220">
        <w:rPr>
          <w:color w:val="000000" w:themeColor="text1"/>
        </w:rPr>
        <w:t xml:space="preserve"> (90% Confidence Interval = .0</w:t>
      </w:r>
      <w:r w:rsidR="001C1F51">
        <w:rPr>
          <w:color w:val="000000" w:themeColor="text1"/>
        </w:rPr>
        <w:t>72</w:t>
      </w:r>
      <w:r w:rsidR="001C1F51" w:rsidRPr="00C81220">
        <w:rPr>
          <w:color w:val="000000" w:themeColor="text1"/>
        </w:rPr>
        <w:t>, .0</w:t>
      </w:r>
      <w:r w:rsidR="001C1F51">
        <w:rPr>
          <w:color w:val="000000" w:themeColor="text1"/>
        </w:rPr>
        <w:t>89</w:t>
      </w:r>
      <w:r w:rsidR="001C1F51" w:rsidRPr="00C81220">
        <w:rPr>
          <w:color w:val="000000" w:themeColor="text1"/>
        </w:rPr>
        <w:t>)</w:t>
      </w:r>
      <w:r w:rsidR="001C1F51">
        <w:rPr>
          <w:color w:val="000000" w:themeColor="text1"/>
        </w:rPr>
        <w:t>. The results of the invariance tests are shown in Table 2</w:t>
      </w:r>
      <w:r w:rsidR="001A0DAB">
        <w:rPr>
          <w:color w:val="000000" w:themeColor="text1"/>
        </w:rPr>
        <w:t>. The</w:t>
      </w:r>
      <w:r w:rsidR="001C1F51">
        <w:rPr>
          <w:color w:val="000000" w:themeColor="text1"/>
        </w:rPr>
        <w:t xml:space="preserve"> changes in the fit indices </w:t>
      </w:r>
      <w:r w:rsidR="003619DA">
        <w:rPr>
          <w:color w:val="000000" w:themeColor="text1"/>
        </w:rPr>
        <w:t xml:space="preserve">were within acceptable limits </w:t>
      </w:r>
      <w:r w:rsidR="001C1F51">
        <w:rPr>
          <w:color w:val="000000" w:themeColor="text1"/>
        </w:rPr>
        <w:t xml:space="preserve">across the three models </w:t>
      </w:r>
      <w:r w:rsidR="003619DA">
        <w:rPr>
          <w:color w:val="000000" w:themeColor="text1"/>
        </w:rPr>
        <w:t xml:space="preserve">and </w:t>
      </w:r>
      <w:r w:rsidR="001C1F51">
        <w:rPr>
          <w:color w:val="000000" w:themeColor="text1"/>
        </w:rPr>
        <w:t xml:space="preserve">support strong invariance of the scale </w:t>
      </w:r>
      <w:r w:rsidR="002034B4">
        <w:rPr>
          <w:color w:val="000000" w:themeColor="text1"/>
        </w:rPr>
        <w:t>across gender</w:t>
      </w:r>
      <w:r w:rsidR="001C1F51">
        <w:rPr>
          <w:color w:val="000000" w:themeColor="text1"/>
        </w:rPr>
        <w:t>.</w:t>
      </w:r>
    </w:p>
    <w:p w14:paraId="11B245D2" w14:textId="0F9821D7" w:rsidR="00B21343" w:rsidRDefault="000F7F4B" w:rsidP="009320C6">
      <w:pPr>
        <w:spacing w:line="48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2 HERE</w:t>
      </w:r>
    </w:p>
    <w:p w14:paraId="3B451A16" w14:textId="2ECDD45D" w:rsidR="00B46C5F" w:rsidRPr="0004358E" w:rsidRDefault="00A51AFF" w:rsidP="006A026A">
      <w:pPr>
        <w:spacing w:line="480" w:lineRule="auto"/>
        <w:rPr>
          <w:b/>
          <w:bCs/>
        </w:rPr>
      </w:pPr>
      <w:r w:rsidRPr="0004358E">
        <w:rPr>
          <w:b/>
          <w:bCs/>
        </w:rPr>
        <w:t>Discussion</w:t>
      </w:r>
    </w:p>
    <w:p w14:paraId="46B74756" w14:textId="2336C045" w:rsidR="003C5D51" w:rsidRPr="003C5D51" w:rsidRDefault="00D153D8" w:rsidP="006A026A">
      <w:pPr>
        <w:spacing w:line="480" w:lineRule="auto"/>
      </w:pPr>
      <w:r>
        <w:tab/>
      </w:r>
      <w:r w:rsidR="00734117">
        <w:t>This</w:t>
      </w:r>
      <w:r w:rsidR="001A06A2">
        <w:t xml:space="preserve"> study </w:t>
      </w:r>
      <w:r w:rsidR="00734117">
        <w:t xml:space="preserve">is the first </w:t>
      </w:r>
      <w:r w:rsidR="001A06A2">
        <w:t xml:space="preserve">to test </w:t>
      </w:r>
      <w:r w:rsidR="00734117">
        <w:t xml:space="preserve">measurement invariance of </w:t>
      </w:r>
      <w:r w:rsidR="001A06A2">
        <w:t xml:space="preserve">the PECK-SF </w:t>
      </w:r>
      <w:r w:rsidR="00734117">
        <w:t>(</w:t>
      </w:r>
      <w:r w:rsidR="001A0DAB">
        <w:t>Prinz et al., 2020</w:t>
      </w:r>
      <w:r w:rsidR="00734117">
        <w:t xml:space="preserve">) </w:t>
      </w:r>
      <w:r w:rsidR="001A06A2">
        <w:t xml:space="preserve">across </w:t>
      </w:r>
      <w:r w:rsidR="00734117">
        <w:t xml:space="preserve">both </w:t>
      </w:r>
      <w:r w:rsidR="00A33D29">
        <w:t xml:space="preserve">gender and </w:t>
      </w:r>
      <w:r w:rsidR="001A06A2">
        <w:t xml:space="preserve">time. Confirmatory Factor Analysis supported the </w:t>
      </w:r>
      <w:r w:rsidR="00014D2A">
        <w:t>one-factor</w:t>
      </w:r>
      <w:r w:rsidR="001A06A2">
        <w:t xml:space="preserve"> structure of the PECK-SF</w:t>
      </w:r>
      <w:r w:rsidR="003C5D51">
        <w:t xml:space="preserve"> reported by Prinz et al. (2020) and supports the use of the PECK-SF</w:t>
      </w:r>
      <w:r w:rsidR="001A06A2">
        <w:t xml:space="preserve"> </w:t>
      </w:r>
      <w:r w:rsidR="003C5D51">
        <w:t>as a</w:t>
      </w:r>
      <w:r w:rsidR="001A06A2">
        <w:t xml:space="preserve"> </w:t>
      </w:r>
      <w:r w:rsidR="00734117">
        <w:t xml:space="preserve">brief, unidimensional </w:t>
      </w:r>
      <w:r w:rsidR="001A06A2">
        <w:t xml:space="preserve">measure of the frequency of </w:t>
      </w:r>
      <w:r w:rsidR="00213C41">
        <w:t>peer-victimization</w:t>
      </w:r>
      <w:r w:rsidR="001A06A2">
        <w:t xml:space="preserve"> experiences. </w:t>
      </w:r>
      <w:r w:rsidR="00734117">
        <w:t>T</w:t>
      </w:r>
      <w:r w:rsidR="00601F08">
        <w:t>he</w:t>
      </w:r>
      <w:r w:rsidR="00734117">
        <w:t xml:space="preserve"> internal</w:t>
      </w:r>
      <w:r w:rsidR="00601F08">
        <w:t xml:space="preserve"> reliability of the scale was good at both time points</w:t>
      </w:r>
      <w:r w:rsidR="001A0DAB">
        <w:t>,</w:t>
      </w:r>
      <w:r w:rsidR="000F5A96">
        <w:t xml:space="preserve"> and </w:t>
      </w:r>
      <w:r w:rsidR="00601F08">
        <w:rPr>
          <w:color w:val="000000" w:themeColor="text1"/>
          <w:shd w:val="clear" w:color="auto" w:fill="FFFFFF"/>
        </w:rPr>
        <w:t xml:space="preserve">strong invariance </w:t>
      </w:r>
      <w:r w:rsidR="000F5A96">
        <w:rPr>
          <w:color w:val="000000" w:themeColor="text1"/>
          <w:shd w:val="clear" w:color="auto" w:fill="FFFFFF"/>
        </w:rPr>
        <w:t xml:space="preserve">across both </w:t>
      </w:r>
      <w:r w:rsidR="00A33D29">
        <w:t xml:space="preserve">gender and </w:t>
      </w:r>
      <w:r w:rsidR="00601F08">
        <w:rPr>
          <w:color w:val="000000" w:themeColor="text1"/>
          <w:shd w:val="clear" w:color="auto" w:fill="FFFFFF"/>
        </w:rPr>
        <w:t xml:space="preserve">time </w:t>
      </w:r>
      <w:r w:rsidR="000F5A96">
        <w:rPr>
          <w:color w:val="000000" w:themeColor="text1"/>
          <w:shd w:val="clear" w:color="auto" w:fill="FFFFFF"/>
        </w:rPr>
        <w:t>was evidenced. These data</w:t>
      </w:r>
      <w:r w:rsidR="006F18FD">
        <w:rPr>
          <w:color w:val="000000" w:themeColor="text1"/>
          <w:shd w:val="clear" w:color="auto" w:fill="FFFFFF"/>
        </w:rPr>
        <w:t xml:space="preserve"> suggest the PECK-SF provides an accurate reflection of peer-victimisation experiences and </w:t>
      </w:r>
      <w:r w:rsidR="00601F08">
        <w:rPr>
          <w:color w:val="000000" w:themeColor="text1"/>
          <w:shd w:val="clear" w:color="auto" w:fill="FFFFFF"/>
        </w:rPr>
        <w:t xml:space="preserve">support </w:t>
      </w:r>
      <w:r w:rsidR="006F18FD">
        <w:rPr>
          <w:color w:val="000000" w:themeColor="text1"/>
          <w:shd w:val="clear" w:color="auto" w:fill="FFFFFF"/>
        </w:rPr>
        <w:t>the use of the</w:t>
      </w:r>
      <w:r w:rsidR="00601F08">
        <w:rPr>
          <w:color w:val="000000" w:themeColor="text1"/>
          <w:shd w:val="clear" w:color="auto" w:fill="FFFFFF"/>
        </w:rPr>
        <w:t xml:space="preserve"> PECK-SF </w:t>
      </w:r>
      <w:r w:rsidR="00952F6A">
        <w:rPr>
          <w:color w:val="000000" w:themeColor="text1"/>
          <w:shd w:val="clear" w:color="auto" w:fill="FFFFFF"/>
        </w:rPr>
        <w:t>when testing for gender differences, or conducting</w:t>
      </w:r>
      <w:r w:rsidR="00601F08">
        <w:rPr>
          <w:color w:val="000000" w:themeColor="text1"/>
          <w:shd w:val="clear" w:color="auto" w:fill="FFFFFF"/>
        </w:rPr>
        <w:t xml:space="preserve"> longitudinal studies</w:t>
      </w:r>
      <w:r w:rsidR="00952F6A">
        <w:rPr>
          <w:color w:val="000000" w:themeColor="text1"/>
          <w:shd w:val="clear" w:color="auto" w:fill="FFFFFF"/>
        </w:rPr>
        <w:t>,</w:t>
      </w:r>
      <w:r w:rsidR="00601F08">
        <w:rPr>
          <w:color w:val="000000" w:themeColor="text1"/>
          <w:shd w:val="clear" w:color="auto" w:fill="FFFFFF"/>
        </w:rPr>
        <w:t xml:space="preserve"> in </w:t>
      </w:r>
      <w:r w:rsidR="00213C41">
        <w:rPr>
          <w:color w:val="000000" w:themeColor="text1"/>
          <w:shd w:val="clear" w:color="auto" w:fill="FFFFFF"/>
        </w:rPr>
        <w:t>peer-victimization</w:t>
      </w:r>
      <w:r w:rsidR="00601F08">
        <w:rPr>
          <w:color w:val="000000" w:themeColor="text1"/>
          <w:shd w:val="clear" w:color="auto" w:fill="FFFFFF"/>
        </w:rPr>
        <w:t xml:space="preserve"> experiences</w:t>
      </w:r>
      <w:r w:rsidR="006329AE">
        <w:rPr>
          <w:color w:val="000000" w:themeColor="text1"/>
          <w:shd w:val="clear" w:color="auto" w:fill="FFFFFF"/>
        </w:rPr>
        <w:t xml:space="preserve"> in early adolescence</w:t>
      </w:r>
      <w:r w:rsidR="00601F08">
        <w:rPr>
          <w:color w:val="000000" w:themeColor="text1"/>
          <w:shd w:val="clear" w:color="auto" w:fill="FFFFFF"/>
        </w:rPr>
        <w:t xml:space="preserve">. </w:t>
      </w:r>
    </w:p>
    <w:p w14:paraId="13BB37A5" w14:textId="745817FA" w:rsidR="003619DA" w:rsidRDefault="00CD0A64" w:rsidP="00257292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lastRenderedPageBreak/>
        <w:t>It is notable that, in our study,</w:t>
      </w:r>
      <w:r w:rsidR="00930314">
        <w:rPr>
          <w:color w:val="000000" w:themeColor="text1"/>
          <w:shd w:val="clear" w:color="auto" w:fill="FFFFFF"/>
        </w:rPr>
        <w:t xml:space="preserve"> the PECK-SF had to be modified </w:t>
      </w:r>
      <w:r w:rsidR="001A0DAB">
        <w:rPr>
          <w:color w:val="000000" w:themeColor="text1"/>
          <w:shd w:val="clear" w:color="auto" w:fill="FFFFFF"/>
        </w:rPr>
        <w:t>to</w:t>
      </w:r>
      <w:r>
        <w:rPr>
          <w:color w:val="000000" w:themeColor="text1"/>
          <w:shd w:val="clear" w:color="auto" w:fill="FFFFFF"/>
        </w:rPr>
        <w:t xml:space="preserve"> produce model estimates</w:t>
      </w:r>
      <w:r w:rsidR="00930314">
        <w:rPr>
          <w:color w:val="000000" w:themeColor="text1"/>
          <w:shd w:val="clear" w:color="auto" w:fill="FFFFFF"/>
        </w:rPr>
        <w:t xml:space="preserve">. </w:t>
      </w:r>
      <w:r>
        <w:rPr>
          <w:color w:val="000000" w:themeColor="text1"/>
          <w:shd w:val="clear" w:color="auto" w:fill="FFFFFF"/>
        </w:rPr>
        <w:t xml:space="preserve">Specifically, </w:t>
      </w:r>
      <w:r>
        <w:t>i</w:t>
      </w:r>
      <w:r w:rsidR="00C171B8">
        <w:t xml:space="preserve">nitial invariance testing could not be conducted due to the low </w:t>
      </w:r>
      <w:r>
        <w:t xml:space="preserve">number of responses affirming </w:t>
      </w:r>
      <w:r w:rsidR="00C171B8">
        <w:t xml:space="preserve">more frequent </w:t>
      </w:r>
      <w:r w:rsidR="00C171B8" w:rsidRPr="00C81220">
        <w:rPr>
          <w:color w:val="000000" w:themeColor="text1"/>
        </w:rPr>
        <w:t>(</w:t>
      </w:r>
      <w:r w:rsidR="00A7684C">
        <w:rPr>
          <w:color w:val="000000" w:themeColor="text1"/>
        </w:rPr>
        <w:t>“</w:t>
      </w:r>
      <w:r w:rsidR="00C171B8" w:rsidRPr="00C81220">
        <w:rPr>
          <w:color w:val="000000" w:themeColor="text1"/>
        </w:rPr>
        <w:t>Most days</w:t>
      </w:r>
      <w:r w:rsidR="00A7684C">
        <w:rPr>
          <w:color w:val="000000" w:themeColor="text1"/>
        </w:rPr>
        <w:t>”</w:t>
      </w:r>
      <w:r w:rsidR="00C171B8" w:rsidRPr="00C81220">
        <w:rPr>
          <w:color w:val="000000" w:themeColor="text1"/>
        </w:rPr>
        <w:t xml:space="preserve"> and </w:t>
      </w:r>
      <w:r w:rsidR="00A7684C">
        <w:rPr>
          <w:color w:val="000000" w:themeColor="text1"/>
        </w:rPr>
        <w:t>“</w:t>
      </w:r>
      <w:r w:rsidR="00C171B8" w:rsidRPr="00C81220">
        <w:rPr>
          <w:color w:val="000000" w:themeColor="text1"/>
        </w:rPr>
        <w:t>Everyday</w:t>
      </w:r>
      <w:r w:rsidR="00A7684C">
        <w:rPr>
          <w:color w:val="000000" w:themeColor="text1"/>
        </w:rPr>
        <w:t>”</w:t>
      </w:r>
      <w:r w:rsidR="00C171B8" w:rsidRPr="00C81220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213C41">
        <w:t>victimization</w:t>
      </w:r>
      <w:r>
        <w:t xml:space="preserve"> experiences</w:t>
      </w:r>
      <w:r w:rsidR="00930314">
        <w:rPr>
          <w:color w:val="000000" w:themeColor="text1"/>
        </w:rPr>
        <w:t xml:space="preserve">. Prinz et al. (2019) reported </w:t>
      </w:r>
      <w:r w:rsidR="0042351B">
        <w:rPr>
          <w:color w:val="000000" w:themeColor="text1"/>
        </w:rPr>
        <w:t>the same</w:t>
      </w:r>
      <w:r w:rsidR="00930314">
        <w:rPr>
          <w:color w:val="000000" w:themeColor="text1"/>
        </w:rPr>
        <w:t xml:space="preserve"> issue and their </w:t>
      </w:r>
      <w:r>
        <w:rPr>
          <w:color w:val="000000" w:themeColor="text1"/>
        </w:rPr>
        <w:t>solution,</w:t>
      </w:r>
      <w:r w:rsidR="00930314">
        <w:rPr>
          <w:color w:val="000000" w:themeColor="text1"/>
        </w:rPr>
        <w:t xml:space="preserve"> collapsing these categories into a single category</w:t>
      </w:r>
      <w:r>
        <w:rPr>
          <w:color w:val="000000" w:themeColor="text1"/>
        </w:rPr>
        <w:t>, was also effective in the current report</w:t>
      </w:r>
      <w:r w:rsidR="000C4DB9">
        <w:rPr>
          <w:color w:val="000000" w:themeColor="text1"/>
        </w:rPr>
        <w:t xml:space="preserve">. The need to collapse the most frequent points on the scale is not unique to the PECK-SF, and has been reported with other measures (e.g., Due et al., 2005). Evidence suggests that those who experience very frequent </w:t>
      </w:r>
      <w:r w:rsidR="00213C41">
        <w:rPr>
          <w:color w:val="000000" w:themeColor="text1"/>
        </w:rPr>
        <w:t>peer-victimization</w:t>
      </w:r>
      <w:r w:rsidR="000C4DB9">
        <w:rPr>
          <w:color w:val="000000" w:themeColor="text1"/>
        </w:rPr>
        <w:t xml:space="preserve"> report poorer wellbeing and different coping strategies to those who report less frequent experiences (Smith et al., 2001; </w:t>
      </w:r>
      <w:r w:rsidR="000C4DB9" w:rsidRPr="000C4DB9">
        <w:rPr>
          <w:color w:val="000000" w:themeColor="text1"/>
        </w:rPr>
        <w:t xml:space="preserve">Solberg </w:t>
      </w:r>
      <w:r w:rsidR="000C4DB9">
        <w:rPr>
          <w:color w:val="000000" w:themeColor="text1"/>
        </w:rPr>
        <w:t>&amp;</w:t>
      </w:r>
      <w:r w:rsidR="000C4DB9" w:rsidRPr="000C4DB9">
        <w:rPr>
          <w:color w:val="000000" w:themeColor="text1"/>
        </w:rPr>
        <w:t xml:space="preserve"> Olweus</w:t>
      </w:r>
      <w:r w:rsidR="000C4DB9">
        <w:rPr>
          <w:color w:val="000000" w:themeColor="text1"/>
        </w:rPr>
        <w:t xml:space="preserve">, </w:t>
      </w:r>
      <w:r w:rsidR="000C4DB9" w:rsidRPr="000C4DB9">
        <w:rPr>
          <w:color w:val="000000" w:themeColor="text1"/>
        </w:rPr>
        <w:t>2003</w:t>
      </w:r>
      <w:r w:rsidR="000C4DB9">
        <w:rPr>
          <w:color w:val="000000" w:themeColor="text1"/>
        </w:rPr>
        <w:t xml:space="preserve">). </w:t>
      </w:r>
      <w:r w:rsidR="003619DA">
        <w:rPr>
          <w:color w:val="000000" w:themeColor="text1"/>
        </w:rPr>
        <w:t xml:space="preserve">Future research may benefit from further examination of the </w:t>
      </w:r>
      <w:r w:rsidR="000C4DB9">
        <w:rPr>
          <w:color w:val="000000" w:themeColor="text1"/>
        </w:rPr>
        <w:t>measurement of</w:t>
      </w:r>
      <w:r w:rsidR="003619DA">
        <w:rPr>
          <w:color w:val="000000" w:themeColor="text1"/>
        </w:rPr>
        <w:t xml:space="preserve"> very frequent</w:t>
      </w:r>
      <w:r w:rsidR="00FD57FE">
        <w:rPr>
          <w:color w:val="000000" w:themeColor="text1"/>
        </w:rPr>
        <w:t xml:space="preserve"> (chronic)</w:t>
      </w:r>
      <w:r w:rsidR="003619DA">
        <w:rPr>
          <w:color w:val="000000" w:themeColor="text1"/>
        </w:rPr>
        <w:t xml:space="preserve"> experiences of </w:t>
      </w:r>
      <w:r w:rsidR="00213C41">
        <w:rPr>
          <w:color w:val="000000" w:themeColor="text1"/>
        </w:rPr>
        <w:t>peer-victimization</w:t>
      </w:r>
      <w:r w:rsidR="003619DA">
        <w:rPr>
          <w:color w:val="000000" w:themeColor="text1"/>
        </w:rPr>
        <w:t xml:space="preserve">. </w:t>
      </w:r>
    </w:p>
    <w:p w14:paraId="05402EB4" w14:textId="7D2A060F" w:rsidR="006F18FD" w:rsidRDefault="000C4DB9" w:rsidP="005B6928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700535">
        <w:rPr>
          <w:color w:val="000000" w:themeColor="text1"/>
        </w:rPr>
        <w:t>I</w:t>
      </w:r>
      <w:r w:rsidR="00CD0A64">
        <w:rPr>
          <w:color w:val="000000" w:themeColor="text1"/>
        </w:rPr>
        <w:t xml:space="preserve">t was </w:t>
      </w:r>
      <w:r w:rsidR="00700535">
        <w:rPr>
          <w:color w:val="000000" w:themeColor="text1"/>
        </w:rPr>
        <w:t>also</w:t>
      </w:r>
      <w:r w:rsidR="00CD0A64">
        <w:rPr>
          <w:color w:val="000000" w:themeColor="text1"/>
        </w:rPr>
        <w:t xml:space="preserve"> the case that n</w:t>
      </w:r>
      <w:r w:rsidR="00930314">
        <w:rPr>
          <w:color w:val="000000" w:themeColor="text1"/>
        </w:rPr>
        <w:t xml:space="preserve">o females in our sample reported frequent experiences </w:t>
      </w:r>
      <w:r w:rsidR="00700535">
        <w:rPr>
          <w:color w:val="000000" w:themeColor="text1"/>
        </w:rPr>
        <w:t>(either “</w:t>
      </w:r>
      <w:r w:rsidR="00700535" w:rsidRPr="00C81220">
        <w:rPr>
          <w:color w:val="000000" w:themeColor="text1"/>
        </w:rPr>
        <w:t>Most days</w:t>
      </w:r>
      <w:r w:rsidR="00700535">
        <w:rPr>
          <w:color w:val="000000" w:themeColor="text1"/>
        </w:rPr>
        <w:t>”</w:t>
      </w:r>
      <w:r w:rsidR="00700535" w:rsidRPr="00C81220">
        <w:rPr>
          <w:color w:val="000000" w:themeColor="text1"/>
        </w:rPr>
        <w:t xml:space="preserve"> </w:t>
      </w:r>
      <w:r w:rsidR="00700535">
        <w:rPr>
          <w:color w:val="000000" w:themeColor="text1"/>
        </w:rPr>
        <w:t>or</w:t>
      </w:r>
      <w:r w:rsidR="00700535" w:rsidRPr="00C81220">
        <w:rPr>
          <w:color w:val="000000" w:themeColor="text1"/>
        </w:rPr>
        <w:t xml:space="preserve"> </w:t>
      </w:r>
      <w:r w:rsidR="00700535">
        <w:rPr>
          <w:color w:val="000000" w:themeColor="text1"/>
        </w:rPr>
        <w:t>“</w:t>
      </w:r>
      <w:r w:rsidR="00700535" w:rsidRPr="00C81220">
        <w:rPr>
          <w:color w:val="000000" w:themeColor="text1"/>
        </w:rPr>
        <w:t>Everyday</w:t>
      </w:r>
      <w:r w:rsidR="00700535">
        <w:rPr>
          <w:color w:val="000000" w:themeColor="text1"/>
        </w:rPr>
        <w:t xml:space="preserve">”) in response to the item </w:t>
      </w:r>
      <w:r w:rsidR="00CD0A64">
        <w:rPr>
          <w:color w:val="000000" w:themeColor="text1"/>
        </w:rPr>
        <w:t>“</w:t>
      </w:r>
      <w:r w:rsidR="00930314" w:rsidRPr="00906CDF">
        <w:rPr>
          <w:i/>
          <w:color w:val="000000" w:themeColor="text1"/>
        </w:rPr>
        <w:t>Other kids tell people to hit me</w:t>
      </w:r>
      <w:r w:rsidR="00700535">
        <w:rPr>
          <w:iCs/>
          <w:color w:val="000000" w:themeColor="text1"/>
        </w:rPr>
        <w:t>”</w:t>
      </w:r>
      <w:r w:rsidR="006F18FD">
        <w:rPr>
          <w:iCs/>
          <w:color w:val="000000" w:themeColor="text1"/>
        </w:rPr>
        <w:t>.</w:t>
      </w:r>
      <w:r w:rsidR="00700535">
        <w:rPr>
          <w:iCs/>
          <w:color w:val="000000" w:themeColor="text1"/>
        </w:rPr>
        <w:t xml:space="preserve"> </w:t>
      </w:r>
      <w:r w:rsidR="00700535">
        <w:rPr>
          <w:color w:val="000000" w:themeColor="text1"/>
        </w:rPr>
        <w:t>T</w:t>
      </w:r>
      <w:r w:rsidR="00930314">
        <w:rPr>
          <w:color w:val="000000" w:themeColor="text1"/>
        </w:rPr>
        <w:t xml:space="preserve">his </w:t>
      </w:r>
      <w:r w:rsidR="00C34898">
        <w:rPr>
          <w:color w:val="000000" w:themeColor="text1"/>
        </w:rPr>
        <w:t xml:space="preserve">led to the omission of the </w:t>
      </w:r>
      <w:r w:rsidR="00930314">
        <w:rPr>
          <w:color w:val="000000" w:themeColor="text1"/>
        </w:rPr>
        <w:t>item from the invariance testing</w:t>
      </w:r>
      <w:r w:rsidR="00CD0A64">
        <w:rPr>
          <w:color w:val="000000" w:themeColor="text1"/>
        </w:rPr>
        <w:t xml:space="preserve"> </w:t>
      </w:r>
      <w:r w:rsidR="00700535">
        <w:rPr>
          <w:color w:val="000000" w:themeColor="text1"/>
        </w:rPr>
        <w:t>relating to</w:t>
      </w:r>
      <w:r w:rsidR="00CD0A64">
        <w:rPr>
          <w:color w:val="000000" w:themeColor="text1"/>
        </w:rPr>
        <w:t xml:space="preserve"> gender</w:t>
      </w:r>
      <w:r w:rsidR="00930314">
        <w:rPr>
          <w:color w:val="000000" w:themeColor="text1"/>
        </w:rPr>
        <w:t xml:space="preserve">. </w:t>
      </w:r>
      <w:r w:rsidR="00C967AD">
        <w:rPr>
          <w:color w:val="000000" w:themeColor="text1"/>
        </w:rPr>
        <w:t>S</w:t>
      </w:r>
      <w:r w:rsidR="00930314">
        <w:rPr>
          <w:color w:val="000000" w:themeColor="text1"/>
        </w:rPr>
        <w:t>trong invariance across female and male participants was supported</w:t>
      </w:r>
      <w:r w:rsidR="00C967AD">
        <w:rPr>
          <w:color w:val="000000" w:themeColor="text1"/>
        </w:rPr>
        <w:t>. One possible implication of this is that the item should be excluded from future use of the PECK-SF. However, we would caution against such a recommendation based on only our study.</w:t>
      </w:r>
      <w:r w:rsidR="00333458">
        <w:rPr>
          <w:color w:val="000000" w:themeColor="text1"/>
        </w:rPr>
        <w:t xml:space="preserve"> </w:t>
      </w:r>
      <w:r w:rsidR="00C967AD">
        <w:rPr>
          <w:color w:val="000000" w:themeColor="text1"/>
        </w:rPr>
        <w:t xml:space="preserve">Rather, our findings should serve to </w:t>
      </w:r>
      <w:r w:rsidR="00213C41">
        <w:rPr>
          <w:color w:val="000000" w:themeColor="text1"/>
        </w:rPr>
        <w:t>emphasize</w:t>
      </w:r>
      <w:r w:rsidR="00C967AD">
        <w:rPr>
          <w:color w:val="000000" w:themeColor="text1"/>
        </w:rPr>
        <w:t xml:space="preserve"> that a larger sample than that recruited here may be required </w:t>
      </w:r>
      <w:r w:rsidR="001A0DAB">
        <w:rPr>
          <w:color w:val="000000" w:themeColor="text1"/>
        </w:rPr>
        <w:t>to</w:t>
      </w:r>
      <w:r w:rsidR="00C967AD">
        <w:rPr>
          <w:color w:val="000000" w:themeColor="text1"/>
        </w:rPr>
        <w:t xml:space="preserve"> exhaustively investigate the invariance of the PECK-SF in relation to gender</w:t>
      </w:r>
      <w:r w:rsidR="00333458">
        <w:rPr>
          <w:color w:val="000000" w:themeColor="text1"/>
        </w:rPr>
        <w:t>.</w:t>
      </w:r>
    </w:p>
    <w:p w14:paraId="3C478056" w14:textId="66DE0AF2" w:rsidR="005B6928" w:rsidRDefault="00014D2A" w:rsidP="009A3905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W</w:t>
      </w:r>
      <w:r w:rsidR="00B903D7">
        <w:rPr>
          <w:color w:val="000000" w:themeColor="text1"/>
        </w:rPr>
        <w:t xml:space="preserve">hile strong invariance over time was supported in the current study, the time frame was relatively short (two months). As </w:t>
      </w:r>
      <w:r w:rsidR="00213C41">
        <w:rPr>
          <w:color w:val="000000" w:themeColor="text1"/>
        </w:rPr>
        <w:t>peer-victimization</w:t>
      </w:r>
      <w:r w:rsidR="00B903D7">
        <w:rPr>
          <w:color w:val="000000" w:themeColor="text1"/>
        </w:rPr>
        <w:t xml:space="preserve"> can be a chronic and frequent experience for many adolescents, invariance testing over a longer period of time would be beneficial. </w:t>
      </w:r>
      <w:r w:rsidR="00141A3D">
        <w:rPr>
          <w:color w:val="000000" w:themeColor="text1"/>
        </w:rPr>
        <w:t>The PECK-SF</w:t>
      </w:r>
      <w:r>
        <w:rPr>
          <w:color w:val="000000" w:themeColor="text1"/>
        </w:rPr>
        <w:t>,</w:t>
      </w:r>
      <w:r w:rsidR="00141A3D">
        <w:rPr>
          <w:color w:val="000000" w:themeColor="text1"/>
        </w:rPr>
        <w:t xml:space="preserve"> however</w:t>
      </w:r>
      <w:r>
        <w:rPr>
          <w:color w:val="000000" w:themeColor="text1"/>
        </w:rPr>
        <w:t>,</w:t>
      </w:r>
      <w:r w:rsidR="00141A3D">
        <w:rPr>
          <w:color w:val="000000" w:themeColor="text1"/>
        </w:rPr>
        <w:t xml:space="preserve"> is a relatively new scale, and further replication of the psychometric testing is required to lend further support to our findings.</w:t>
      </w:r>
      <w:r w:rsidR="009A3905" w:rsidRPr="009A3905">
        <w:rPr>
          <w:color w:val="000000" w:themeColor="text1"/>
        </w:rPr>
        <w:t xml:space="preserve"> </w:t>
      </w:r>
      <w:r w:rsidR="009A3905">
        <w:rPr>
          <w:color w:val="000000" w:themeColor="text1"/>
        </w:rPr>
        <w:t xml:space="preserve">Given the importance of the development and evaluation of anti-bullying interventions, assessing the scale for </w:t>
      </w:r>
      <w:r w:rsidR="009A3905">
        <w:rPr>
          <w:color w:val="000000" w:themeColor="text1"/>
        </w:rPr>
        <w:lastRenderedPageBreak/>
        <w:t xml:space="preserve">invariance before and after an intervention </w:t>
      </w:r>
      <w:r w:rsidR="00952F6A">
        <w:rPr>
          <w:color w:val="000000" w:themeColor="text1"/>
        </w:rPr>
        <w:t xml:space="preserve">may also be important since scores </w:t>
      </w:r>
      <w:r w:rsidR="009A3905">
        <w:rPr>
          <w:color w:val="000000" w:themeColor="text1"/>
        </w:rPr>
        <w:t xml:space="preserve">changes </w:t>
      </w:r>
      <w:r w:rsidR="00952F6A">
        <w:rPr>
          <w:color w:val="000000" w:themeColor="text1"/>
        </w:rPr>
        <w:t xml:space="preserve">following an intervention may reflect changes in how participants respond to the scale (e.g. if the intervention leads them to re-evaluate when constitutes aggression) rather than </w:t>
      </w:r>
      <w:r w:rsidR="009A3905">
        <w:rPr>
          <w:color w:val="000000" w:themeColor="text1"/>
        </w:rPr>
        <w:t xml:space="preserve">changes in experiences. </w:t>
      </w:r>
      <w:r w:rsidR="00952F6A">
        <w:rPr>
          <w:color w:val="000000" w:themeColor="text1"/>
        </w:rPr>
        <w:t>However, t</w:t>
      </w:r>
      <w:r w:rsidR="009A3905">
        <w:rPr>
          <w:color w:val="000000" w:themeColor="text1"/>
        </w:rPr>
        <w:t xml:space="preserve">he PECK-SF </w:t>
      </w:r>
      <w:r w:rsidR="00952F6A">
        <w:rPr>
          <w:color w:val="000000" w:themeColor="text1"/>
        </w:rPr>
        <w:t>i</w:t>
      </w:r>
      <w:r w:rsidR="009A3905">
        <w:rPr>
          <w:color w:val="000000" w:themeColor="text1"/>
        </w:rPr>
        <w:t xml:space="preserve">s a </w:t>
      </w:r>
      <w:r w:rsidR="00213C41">
        <w:rPr>
          <w:color w:val="000000" w:themeColor="text1"/>
        </w:rPr>
        <w:t>behavior</w:t>
      </w:r>
      <w:r w:rsidR="009A3905">
        <w:rPr>
          <w:color w:val="000000" w:themeColor="text1"/>
        </w:rPr>
        <w:t xml:space="preserve">al measure </w:t>
      </w:r>
      <w:r w:rsidR="00213C41">
        <w:rPr>
          <w:color w:val="000000" w:themeColor="text1"/>
        </w:rPr>
        <w:t>that</w:t>
      </w:r>
      <w:r w:rsidR="00952F6A">
        <w:rPr>
          <w:color w:val="000000" w:themeColor="text1"/>
        </w:rPr>
        <w:t xml:space="preserve"> </w:t>
      </w:r>
      <w:r w:rsidR="009A3905">
        <w:rPr>
          <w:color w:val="000000" w:themeColor="text1"/>
        </w:rPr>
        <w:t xml:space="preserve">requires participants to simply report the frequency of experiencing each </w:t>
      </w:r>
      <w:r w:rsidR="00213C41">
        <w:rPr>
          <w:color w:val="000000" w:themeColor="text1"/>
        </w:rPr>
        <w:t>behavior</w:t>
      </w:r>
      <w:r w:rsidR="009A3905">
        <w:rPr>
          <w:color w:val="000000" w:themeColor="text1"/>
        </w:rPr>
        <w:t xml:space="preserve">. As such, it may be less susceptible to any changes in participants understanding of the </w:t>
      </w:r>
      <w:r w:rsidR="00213C41">
        <w:rPr>
          <w:color w:val="000000" w:themeColor="text1"/>
        </w:rPr>
        <w:t>behavior</w:t>
      </w:r>
      <w:r w:rsidR="00FD57FE">
        <w:rPr>
          <w:color w:val="000000" w:themeColor="text1"/>
        </w:rPr>
        <w:t xml:space="preserve"> due to an intervention</w:t>
      </w:r>
      <w:r w:rsidR="009A3905">
        <w:rPr>
          <w:color w:val="000000" w:themeColor="text1"/>
        </w:rPr>
        <w:t xml:space="preserve">. </w:t>
      </w:r>
      <w:r w:rsidR="00952F6A">
        <w:rPr>
          <w:color w:val="000000" w:themeColor="text1"/>
        </w:rPr>
        <w:t>However, future t</w:t>
      </w:r>
      <w:r w:rsidR="009A3905">
        <w:rPr>
          <w:color w:val="000000" w:themeColor="text1"/>
        </w:rPr>
        <w:t xml:space="preserve">esting the PECK-SF before and after interventions, </w:t>
      </w:r>
      <w:r w:rsidR="00FD57FE">
        <w:rPr>
          <w:color w:val="000000" w:themeColor="text1"/>
        </w:rPr>
        <w:t xml:space="preserve">across </w:t>
      </w:r>
      <w:r w:rsidR="00057496">
        <w:rPr>
          <w:color w:val="000000" w:themeColor="text1"/>
        </w:rPr>
        <w:t>age groups</w:t>
      </w:r>
      <w:r w:rsidR="00952F6A">
        <w:rPr>
          <w:color w:val="000000" w:themeColor="text1"/>
        </w:rPr>
        <w:t>,</w:t>
      </w:r>
      <w:r w:rsidR="00057496">
        <w:rPr>
          <w:color w:val="000000" w:themeColor="text1"/>
        </w:rPr>
        <w:t xml:space="preserve"> and cross-culturally</w:t>
      </w:r>
      <w:r w:rsidR="00952F6A">
        <w:rPr>
          <w:color w:val="000000" w:themeColor="text1"/>
        </w:rPr>
        <w:t xml:space="preserve"> are all </w:t>
      </w:r>
      <w:r w:rsidR="00057496">
        <w:rPr>
          <w:color w:val="000000" w:themeColor="text1"/>
        </w:rPr>
        <w:t>valuable next step</w:t>
      </w:r>
      <w:r w:rsidR="00952F6A">
        <w:rPr>
          <w:color w:val="000000" w:themeColor="text1"/>
        </w:rPr>
        <w:t>s</w:t>
      </w:r>
      <w:r w:rsidR="00057496">
        <w:rPr>
          <w:color w:val="000000" w:themeColor="text1"/>
        </w:rPr>
        <w:t xml:space="preserve"> in the development of the scale</w:t>
      </w:r>
      <w:r w:rsidR="00952F6A">
        <w:rPr>
          <w:color w:val="000000" w:themeColor="text1"/>
        </w:rPr>
        <w:t xml:space="preserve"> and for its application across as broad a research landscape as possible</w:t>
      </w:r>
      <w:r w:rsidR="00057496">
        <w:rPr>
          <w:color w:val="000000" w:themeColor="text1"/>
        </w:rPr>
        <w:t xml:space="preserve">. </w:t>
      </w:r>
    </w:p>
    <w:p w14:paraId="2CE2AFC6" w14:textId="325C89C7" w:rsidR="00E719A3" w:rsidRDefault="00A7684C" w:rsidP="00257292">
      <w:pPr>
        <w:spacing w:line="480" w:lineRule="auto"/>
        <w:rPr>
          <w:color w:val="000000" w:themeColor="text1"/>
        </w:rPr>
      </w:pPr>
      <w:r>
        <w:tab/>
        <w:t>The PECK-SF provides a short measure o</w:t>
      </w:r>
      <w:r w:rsidR="00906CDF">
        <w:t>f</w:t>
      </w:r>
      <w:r>
        <w:t xml:space="preserve"> the frequency of </w:t>
      </w:r>
      <w:r w:rsidR="00213C41">
        <w:t>peer-victimization</w:t>
      </w:r>
      <w:r w:rsidR="00352BAF">
        <w:t xml:space="preserve">, capturing different domains </w:t>
      </w:r>
      <w:r w:rsidR="00D50892">
        <w:t>of victimization</w:t>
      </w:r>
      <w:r w:rsidR="00352BAF">
        <w:t xml:space="preserve"> (</w:t>
      </w:r>
      <w:r w:rsidR="00352BAF" w:rsidRPr="00352BAF">
        <w:t>physical, cultural, relational-verbal</w:t>
      </w:r>
      <w:r w:rsidR="00352BAF">
        <w:t>, and cyber)</w:t>
      </w:r>
      <w:r>
        <w:t>.</w:t>
      </w:r>
      <w:r w:rsidR="00E719A3">
        <w:t xml:space="preserve"> </w:t>
      </w:r>
      <w:r w:rsidR="00E719A3" w:rsidRPr="00AE25AF">
        <w:rPr>
          <w:color w:val="000000" w:themeColor="text1"/>
        </w:rPr>
        <w:t>Confirmatory factor analysis support</w:t>
      </w:r>
      <w:r w:rsidR="00E719A3">
        <w:rPr>
          <w:color w:val="000000" w:themeColor="text1"/>
        </w:rPr>
        <w:t>ed</w:t>
      </w:r>
      <w:r w:rsidR="00E719A3" w:rsidRPr="00AE25AF">
        <w:rPr>
          <w:color w:val="000000" w:themeColor="text1"/>
        </w:rPr>
        <w:t xml:space="preserve"> the </w:t>
      </w:r>
      <w:r w:rsidR="00E719A3">
        <w:rPr>
          <w:color w:val="000000" w:themeColor="text1"/>
        </w:rPr>
        <w:t>one-factor</w:t>
      </w:r>
      <w:r w:rsidR="00E719A3" w:rsidRPr="00AE25AF">
        <w:rPr>
          <w:color w:val="000000" w:themeColor="text1"/>
        </w:rPr>
        <w:t xml:space="preserve"> structure of the PECK-SF</w:t>
      </w:r>
      <w:r w:rsidR="001A0DAB">
        <w:rPr>
          <w:color w:val="000000" w:themeColor="text1"/>
        </w:rPr>
        <w:t>,</w:t>
      </w:r>
      <w:r w:rsidR="00E719A3">
        <w:rPr>
          <w:color w:val="000000" w:themeColor="text1"/>
        </w:rPr>
        <w:t xml:space="preserve"> and the scale was found to be </w:t>
      </w:r>
      <w:r w:rsidR="001A0DAB">
        <w:rPr>
          <w:color w:val="000000" w:themeColor="text1"/>
        </w:rPr>
        <w:t>reliable</w:t>
      </w:r>
      <w:r w:rsidR="00E719A3">
        <w:rPr>
          <w:color w:val="000000" w:themeColor="text1"/>
        </w:rPr>
        <w:t xml:space="preserve"> </w:t>
      </w:r>
      <w:r w:rsidR="00952F6A">
        <w:rPr>
          <w:color w:val="000000" w:themeColor="text1"/>
        </w:rPr>
        <w:t xml:space="preserve">for male and female participants and </w:t>
      </w:r>
      <w:r w:rsidR="00E719A3">
        <w:rPr>
          <w:color w:val="000000" w:themeColor="text1"/>
        </w:rPr>
        <w:t xml:space="preserve">at </w:t>
      </w:r>
      <w:r w:rsidR="001A0DAB">
        <w:rPr>
          <w:color w:val="000000" w:themeColor="text1"/>
        </w:rPr>
        <w:t>two-time</w:t>
      </w:r>
      <w:r w:rsidR="00E719A3">
        <w:rPr>
          <w:color w:val="000000" w:themeColor="text1"/>
        </w:rPr>
        <w:t xml:space="preserve"> points. </w:t>
      </w:r>
      <w:r w:rsidR="00FA0AF2">
        <w:rPr>
          <w:color w:val="000000" w:themeColor="text1"/>
        </w:rPr>
        <w:t xml:space="preserve">Strong invariance was also supported, suggesting that the PECK-SF provides an accurate reflection of peer-victimisation and enabling researchers and clinicians to compare scores on the PECK-SF across time, and across gender. </w:t>
      </w:r>
      <w:r w:rsidR="00E719A3">
        <w:rPr>
          <w:color w:val="000000" w:themeColor="text1"/>
        </w:rPr>
        <w:t xml:space="preserve">Therefore, </w:t>
      </w:r>
      <w:r w:rsidR="00E719A3">
        <w:t xml:space="preserve">as a short measure, the PECK-SF can provide a quick, </w:t>
      </w:r>
      <w:r w:rsidR="005B0F19">
        <w:t>psychometrically sound</w:t>
      </w:r>
      <w:r w:rsidR="00213C41">
        <w:t xml:space="preserve"> </w:t>
      </w:r>
      <w:r w:rsidR="00E719A3">
        <w:t xml:space="preserve">measure of </w:t>
      </w:r>
      <w:r w:rsidR="00D023C1">
        <w:t xml:space="preserve">the frequency of </w:t>
      </w:r>
      <w:r w:rsidR="00213C41">
        <w:t>peer-victimization</w:t>
      </w:r>
      <w:r w:rsidR="00E719A3">
        <w:t xml:space="preserve"> experiences.  </w:t>
      </w:r>
    </w:p>
    <w:p w14:paraId="0F521D5F" w14:textId="77777777" w:rsidR="001B2B8D" w:rsidRDefault="001B2B8D">
      <w:pPr>
        <w:rPr>
          <w:b/>
          <w:bCs/>
        </w:rPr>
      </w:pPr>
      <w:r>
        <w:rPr>
          <w:b/>
          <w:bCs/>
        </w:rPr>
        <w:br w:type="page"/>
      </w:r>
    </w:p>
    <w:p w14:paraId="4782ECFB" w14:textId="62AC8408" w:rsidR="00A51AFF" w:rsidRDefault="00A51AFF">
      <w:pPr>
        <w:rPr>
          <w:b/>
          <w:bCs/>
        </w:rPr>
      </w:pPr>
      <w:r w:rsidRPr="00F16BFA">
        <w:rPr>
          <w:b/>
          <w:bCs/>
        </w:rPr>
        <w:lastRenderedPageBreak/>
        <w:t>References</w:t>
      </w:r>
    </w:p>
    <w:p w14:paraId="2FAFD217" w14:textId="071B984C" w:rsidR="00FE38AC" w:rsidRDefault="00FE38AC">
      <w:pPr>
        <w:rPr>
          <w:b/>
          <w:bCs/>
        </w:rPr>
      </w:pPr>
    </w:p>
    <w:p w14:paraId="0217EF16" w14:textId="43AEB960" w:rsidR="00606040" w:rsidRDefault="00FE38AC" w:rsidP="00FE38AC">
      <w:pPr>
        <w:pStyle w:val="NoSpacing"/>
        <w:spacing w:line="480" w:lineRule="auto"/>
        <w:ind w:left="567" w:hanging="567"/>
      </w:pPr>
      <w:r w:rsidRPr="00331642">
        <w:t>Bowen, N. K., &amp; Masa, R. D. (2015). Conducting measurement invariance tests with ordinal data: A guide for social work researchers. </w:t>
      </w:r>
      <w:r w:rsidRPr="002967CE">
        <w:rPr>
          <w:i/>
          <w:iCs/>
        </w:rPr>
        <w:t>Journal of the Society for Social Work and Research, 6</w:t>
      </w:r>
      <w:r w:rsidRPr="00331642">
        <w:t>(2), 229-249.</w:t>
      </w:r>
      <w:r>
        <w:t xml:space="preserve"> </w:t>
      </w:r>
      <w:r w:rsidR="005B0F19" w:rsidRPr="005B0F19">
        <w:t>https://doi.org/10.1086/681607</w:t>
      </w:r>
    </w:p>
    <w:p w14:paraId="6BCF5D8F" w14:textId="2D93D243" w:rsidR="00FE38AC" w:rsidRDefault="00FE38AC" w:rsidP="00FE38AC">
      <w:pPr>
        <w:pStyle w:val="NoSpacing"/>
        <w:spacing w:line="480" w:lineRule="auto"/>
        <w:ind w:left="567" w:hanging="567"/>
      </w:pPr>
      <w:r w:rsidRPr="00331642">
        <w:t xml:space="preserve">Cheung, G. W., &amp; Rensvold, R. B. (2002). Evaluating goodness-of-fit indexes for testing measurement invariance. </w:t>
      </w:r>
      <w:r w:rsidRPr="00EB1873">
        <w:rPr>
          <w:i/>
          <w:iCs/>
        </w:rPr>
        <w:t>Structural Equation Modeling, 9</w:t>
      </w:r>
      <w:r w:rsidRPr="00331642">
        <w:t>(2), 233-255.</w:t>
      </w:r>
      <w:r>
        <w:t xml:space="preserve"> </w:t>
      </w:r>
      <w:r w:rsidR="00460256" w:rsidRPr="00460256">
        <w:t>https://doi.org/10.1207/S15328007SEM0902_5</w:t>
      </w:r>
    </w:p>
    <w:p w14:paraId="2393D591" w14:textId="62739D69" w:rsidR="00415FBD" w:rsidRDefault="00415FBD" w:rsidP="00FE38AC">
      <w:pPr>
        <w:pStyle w:val="NoSpacing"/>
        <w:spacing w:line="480" w:lineRule="auto"/>
        <w:ind w:left="567" w:hanging="567"/>
      </w:pPr>
      <w:r w:rsidRPr="00415FBD">
        <w:t xml:space="preserve">Coertjens, L., Donche, V., De Maeyer, S., Vanthournout, G., &amp; Van Petegem, P. (2012). Longitudinal measurement invariance of Likert-type learning strategy scales: are we using the same ruler at each wave? </w:t>
      </w:r>
      <w:r w:rsidRPr="001B07F5">
        <w:rPr>
          <w:i/>
          <w:iCs/>
        </w:rPr>
        <w:t>Journal of Psychoeducational Assessment</w:t>
      </w:r>
      <w:r w:rsidRPr="00415FBD">
        <w:t>, 30(6), 577-587.</w:t>
      </w:r>
      <w:r>
        <w:t xml:space="preserve"> </w:t>
      </w:r>
      <w:hyperlink r:id="rId15" w:history="1">
        <w:r w:rsidR="00736701" w:rsidRPr="00520223">
          <w:rPr>
            <w:rStyle w:val="Hyperlink"/>
          </w:rPr>
          <w:t>https://doi.org/10.1177/0734282912438844</w:t>
        </w:r>
      </w:hyperlink>
    </w:p>
    <w:p w14:paraId="2B4C476C" w14:textId="3C1F2D67" w:rsidR="00736701" w:rsidRDefault="00736701" w:rsidP="00FE38AC">
      <w:pPr>
        <w:pStyle w:val="NoSpacing"/>
        <w:spacing w:line="480" w:lineRule="auto"/>
        <w:ind w:left="567" w:hanging="567"/>
      </w:pPr>
      <w:r w:rsidRPr="00736701">
        <w:t xml:space="preserve">Curran, P. J., West, S. G., &amp; Finch, J. F. (1996). The robustness of test statistics to nonnormality and specification error in confirmatory factor analysis. </w:t>
      </w:r>
      <w:r w:rsidRPr="00736701">
        <w:rPr>
          <w:i/>
          <w:iCs/>
        </w:rPr>
        <w:t>Psychological methods, 1</w:t>
      </w:r>
      <w:r w:rsidRPr="00736701">
        <w:t>(1), 16</w:t>
      </w:r>
      <w:r>
        <w:t>-29</w:t>
      </w:r>
      <w:r w:rsidRPr="00736701">
        <w:t>.</w:t>
      </w:r>
    </w:p>
    <w:p w14:paraId="025DD64C" w14:textId="0BCFB5E4" w:rsidR="000C4DB9" w:rsidRDefault="000C4DB9" w:rsidP="00FE38AC">
      <w:pPr>
        <w:pStyle w:val="NoSpacing"/>
        <w:spacing w:line="480" w:lineRule="auto"/>
        <w:ind w:left="567" w:hanging="567"/>
      </w:pPr>
      <w:r w:rsidRPr="000C4DB9">
        <w:t xml:space="preserve">Due, P., Holstein, B. E., Lynch, J., Diderichsen, F., Gabhain, S. N., Scheidt, P., Currie, C., et al. (2005). Bullying and symptoms among school-aged children: International comparative cross sectional study in 28 countries. </w:t>
      </w:r>
      <w:r w:rsidRPr="000C4DB9">
        <w:rPr>
          <w:i/>
          <w:iCs/>
        </w:rPr>
        <w:t>European Journal of Public Health, 15</w:t>
      </w:r>
      <w:r w:rsidRPr="000C4DB9">
        <w:t>(2), 128-132.</w:t>
      </w:r>
      <w:r>
        <w:t xml:space="preserve"> </w:t>
      </w:r>
      <w:r w:rsidR="005B0F19" w:rsidRPr="005B0F19">
        <w:t>https://doi.org/10.1093/eurpub/cki105</w:t>
      </w:r>
    </w:p>
    <w:p w14:paraId="6765307C" w14:textId="17C4D17F" w:rsidR="00FB74F8" w:rsidRDefault="00FB74F8" w:rsidP="00FB74F8">
      <w:pPr>
        <w:pStyle w:val="NoSpacing"/>
        <w:spacing w:line="480" w:lineRule="auto"/>
        <w:ind w:left="567" w:hanging="567"/>
      </w:pPr>
      <w:r w:rsidRPr="00433F52">
        <w:t xml:space="preserve">Evans, C. B., Smokowski, P. R., &amp; Cotter, K. L. (2014). Cumulative bullying </w:t>
      </w:r>
      <w:r w:rsidR="00213C41">
        <w:t>victimisation</w:t>
      </w:r>
      <w:r w:rsidRPr="00433F52">
        <w:t xml:space="preserve">: An investigation of the dose–response relationship between </w:t>
      </w:r>
      <w:r w:rsidR="00213C41">
        <w:t>victimisation</w:t>
      </w:r>
      <w:r w:rsidRPr="00433F52">
        <w:t xml:space="preserve"> and the associated mental health outcomes, social supports, and school experiences of rural adolescents. </w:t>
      </w:r>
      <w:r w:rsidRPr="00433F52">
        <w:rPr>
          <w:i/>
          <w:iCs/>
        </w:rPr>
        <w:t>Children and Youth Services Review</w:t>
      </w:r>
      <w:r w:rsidRPr="00433F52">
        <w:t>, </w:t>
      </w:r>
      <w:r w:rsidRPr="00433F52">
        <w:rPr>
          <w:i/>
          <w:iCs/>
        </w:rPr>
        <w:t>44</w:t>
      </w:r>
      <w:r w:rsidRPr="00433F52">
        <w:t>, 256-264.</w:t>
      </w:r>
      <w:r>
        <w:t xml:space="preserve"> </w:t>
      </w:r>
      <w:r w:rsidR="005B0F19" w:rsidRPr="005B0F19">
        <w:t>https://doi.org/10.1016/j.childyouth.2014.06.021</w:t>
      </w:r>
    </w:p>
    <w:p w14:paraId="20B77909" w14:textId="28143665" w:rsidR="00B04BE0" w:rsidRDefault="00B04BE0" w:rsidP="00FB74F8">
      <w:pPr>
        <w:pStyle w:val="NoSpacing"/>
        <w:spacing w:line="480" w:lineRule="auto"/>
        <w:ind w:left="567" w:hanging="567"/>
      </w:pPr>
      <w:r w:rsidRPr="00B04BE0">
        <w:lastRenderedPageBreak/>
        <w:t xml:space="preserve">Gaffney, H., Ttofi, M. M., &amp; Farrington, D. P. (2021). What works in anti-bullying programs? Analysis of effective intervention components. </w:t>
      </w:r>
      <w:r w:rsidRPr="00B04BE0">
        <w:rPr>
          <w:i/>
          <w:iCs/>
        </w:rPr>
        <w:t>Journal of School Psychology, 85</w:t>
      </w:r>
      <w:r w:rsidRPr="00B04BE0">
        <w:t>, 37-56.</w:t>
      </w:r>
      <w:r w:rsidR="005B0F19">
        <w:t xml:space="preserve"> </w:t>
      </w:r>
      <w:r w:rsidR="005B0F19" w:rsidRPr="005B0F19">
        <w:t>https://doi.org/10.1016/j.jsp.2020.12.002</w:t>
      </w:r>
      <w:r w:rsidR="005B0F19">
        <w:t xml:space="preserve"> </w:t>
      </w:r>
    </w:p>
    <w:p w14:paraId="1F714348" w14:textId="6442152B" w:rsidR="003141F4" w:rsidRDefault="003141F4" w:rsidP="003141F4">
      <w:pPr>
        <w:pStyle w:val="NoSpacing"/>
        <w:spacing w:line="480" w:lineRule="auto"/>
        <w:ind w:left="567" w:hanging="567"/>
      </w:pPr>
      <w:r w:rsidRPr="00800AC2">
        <w:t xml:space="preserve">Gardella, J. H., Fisher, B. W., &amp; Teurbe-Tolon, A. R. (2017). </w:t>
      </w:r>
      <w:r w:rsidRPr="00331642">
        <w:t xml:space="preserve">A systematic review and meta-analysis of </w:t>
      </w:r>
      <w:r w:rsidR="00213C41">
        <w:t>cyber-victimisation</w:t>
      </w:r>
      <w:r w:rsidRPr="00331642">
        <w:t xml:space="preserve"> and educational outcomes for adolescents. </w:t>
      </w:r>
      <w:r w:rsidRPr="00EB1873">
        <w:rPr>
          <w:i/>
          <w:iCs/>
        </w:rPr>
        <w:t>Review of Educational Research, 87</w:t>
      </w:r>
      <w:r w:rsidRPr="00331642">
        <w:t>(2), 283-308.</w:t>
      </w:r>
      <w:r>
        <w:t xml:space="preserve"> </w:t>
      </w:r>
      <w:r w:rsidR="00460256" w:rsidRPr="00460256">
        <w:t>https://doi.org/10.3102/0034654316689136</w:t>
      </w:r>
    </w:p>
    <w:p w14:paraId="22D89397" w14:textId="708F7317" w:rsidR="00770F5D" w:rsidRDefault="00770F5D" w:rsidP="00770F5D">
      <w:pPr>
        <w:pStyle w:val="NoSpacing"/>
        <w:spacing w:line="480" w:lineRule="auto"/>
        <w:ind w:left="567" w:hanging="567"/>
      </w:pPr>
      <w:r>
        <w:t xml:space="preserve">Hayes, A. F., &amp; Coutts, J. J. (2020). Use omega rather than Cronbach’s alpha for estimating reliability. But…. </w:t>
      </w:r>
      <w:r w:rsidRPr="001B07F5">
        <w:rPr>
          <w:i/>
          <w:iCs/>
        </w:rPr>
        <w:t>Communication Methods and Measures, 14</w:t>
      </w:r>
      <w:r>
        <w:t>(1), 1-24.</w:t>
      </w:r>
      <w:r w:rsidRPr="00770F5D">
        <w:t xml:space="preserve"> </w:t>
      </w:r>
      <w:hyperlink r:id="rId16" w:history="1">
        <w:r w:rsidRPr="00520223">
          <w:rPr>
            <w:rStyle w:val="Hyperlink"/>
          </w:rPr>
          <w:t>https://doi.org/10.1080/19312458.2020.1718629</w:t>
        </w:r>
      </w:hyperlink>
      <w:r>
        <w:t xml:space="preserve"> </w:t>
      </w:r>
    </w:p>
    <w:p w14:paraId="54416A8A" w14:textId="173BC04C" w:rsidR="00606040" w:rsidRDefault="00606040" w:rsidP="00606040">
      <w:pPr>
        <w:pStyle w:val="NoSpacing"/>
        <w:spacing w:line="480" w:lineRule="auto"/>
        <w:ind w:left="567" w:hanging="567"/>
      </w:pPr>
      <w:r w:rsidRPr="00331642">
        <w:t xml:space="preserve">Hunt, C., Peters, L., &amp; Rapee, R. M. (2012). Development of a measure of the experience of being bullied in youth. </w:t>
      </w:r>
      <w:r w:rsidRPr="00427B17">
        <w:rPr>
          <w:i/>
          <w:iCs/>
        </w:rPr>
        <w:t>Psychological Assessment, 24</w:t>
      </w:r>
      <w:r w:rsidRPr="00331642">
        <w:t>(1), 156-165.</w:t>
      </w:r>
      <w:r>
        <w:t xml:space="preserve"> </w:t>
      </w:r>
      <w:r w:rsidR="005B0F19" w:rsidRPr="005B0F19">
        <w:t>https://doi.org/10.1037/a0025178</w:t>
      </w:r>
    </w:p>
    <w:p w14:paraId="12FC875D" w14:textId="16643C9F" w:rsidR="00A179FD" w:rsidRDefault="00A179FD" w:rsidP="00A179FD">
      <w:pPr>
        <w:spacing w:line="480" w:lineRule="auto"/>
        <w:ind w:left="567" w:hanging="567"/>
        <w:rPr>
          <w:color w:val="000000" w:themeColor="text1"/>
        </w:rPr>
      </w:pPr>
      <w:r w:rsidRPr="00331642">
        <w:rPr>
          <w:color w:val="000000" w:themeColor="text1"/>
        </w:rPr>
        <w:t xml:space="preserve">Hunter, S. C., Boyle, J. M. E., &amp; Warden, D. (2004). Help seeking amongst child and adolescent victims of peer-aggression and bullying: The influence of school-stage, gender, </w:t>
      </w:r>
      <w:r w:rsidR="00213C41">
        <w:rPr>
          <w:color w:val="000000" w:themeColor="text1"/>
        </w:rPr>
        <w:t>victimisation</w:t>
      </w:r>
      <w:r w:rsidRPr="00331642">
        <w:rPr>
          <w:color w:val="000000" w:themeColor="text1"/>
        </w:rPr>
        <w:t xml:space="preserve">, appraisal, and emotion. </w:t>
      </w:r>
      <w:r w:rsidRPr="00331642">
        <w:rPr>
          <w:i/>
          <w:color w:val="000000" w:themeColor="text1"/>
        </w:rPr>
        <w:t>British Journal of Educational Psychology, 74</w:t>
      </w:r>
      <w:r w:rsidRPr="00331642">
        <w:rPr>
          <w:color w:val="000000" w:themeColor="text1"/>
        </w:rPr>
        <w:t xml:space="preserve">(3), 375-390. </w:t>
      </w:r>
      <w:r w:rsidR="005B0F19" w:rsidRPr="005B0F19">
        <w:rPr>
          <w:color w:val="000000" w:themeColor="text1"/>
        </w:rPr>
        <w:t>https://doi.org/10.1348/0007099041552378</w:t>
      </w:r>
    </w:p>
    <w:p w14:paraId="3792CD2E" w14:textId="279361B0" w:rsidR="00057496" w:rsidRPr="00205B8A" w:rsidRDefault="00057496" w:rsidP="00A179FD">
      <w:pPr>
        <w:spacing w:line="480" w:lineRule="auto"/>
        <w:ind w:left="567" w:hanging="567"/>
        <w:rPr>
          <w:color w:val="000000" w:themeColor="text1"/>
        </w:rPr>
      </w:pPr>
      <w:r w:rsidRPr="00057496">
        <w:rPr>
          <w:color w:val="000000" w:themeColor="text1"/>
        </w:rPr>
        <w:t>Hunter, S. C., Noret, N., &amp; Boyle, J. M. (202</w:t>
      </w:r>
      <w:r w:rsidR="0050082C">
        <w:rPr>
          <w:color w:val="000000" w:themeColor="text1"/>
        </w:rPr>
        <w:t>1</w:t>
      </w:r>
      <w:r w:rsidRPr="00057496">
        <w:rPr>
          <w:color w:val="000000" w:themeColor="text1"/>
        </w:rPr>
        <w:t xml:space="preserve">). Measurement issues relevant to questionnaire data. In </w:t>
      </w:r>
      <w:r>
        <w:rPr>
          <w:color w:val="000000" w:themeColor="text1"/>
        </w:rPr>
        <w:t xml:space="preserve">P.K. Smith &amp; J. O’Higgins Norman (Eds.). </w:t>
      </w:r>
      <w:r w:rsidRPr="00057496">
        <w:rPr>
          <w:i/>
          <w:iCs/>
          <w:color w:val="000000" w:themeColor="text1"/>
        </w:rPr>
        <w:t>Wiley-Blackwell Handbook of Bullying</w:t>
      </w:r>
      <w:r w:rsidRPr="00057496">
        <w:rPr>
          <w:color w:val="000000" w:themeColor="text1"/>
        </w:rPr>
        <w:t>. Wiley-Blackwell</w:t>
      </w:r>
      <w:r w:rsidR="0050082C" w:rsidRPr="0050082C">
        <w:rPr>
          <w:color w:val="000000" w:themeColor="text1"/>
        </w:rPr>
        <w:t xml:space="preserve"> (pp179-195).</w:t>
      </w:r>
    </w:p>
    <w:p w14:paraId="16310895" w14:textId="2F715FD7" w:rsidR="005B0F19" w:rsidRDefault="00A179FD" w:rsidP="00A179FD">
      <w:pPr>
        <w:pStyle w:val="NoSpacing"/>
        <w:spacing w:line="480" w:lineRule="auto"/>
        <w:ind w:left="567" w:hanging="567"/>
      </w:pPr>
      <w:r w:rsidRPr="00331642">
        <w:t xml:space="preserve">Juvonen, J., &amp; Graham, S. (2014). Bullying in schools: The power of bullies and the plight of victims. </w:t>
      </w:r>
      <w:r w:rsidRPr="00427B17">
        <w:rPr>
          <w:i/>
          <w:iCs/>
        </w:rPr>
        <w:t>Annual Review of Psychology, 65,</w:t>
      </w:r>
      <w:r w:rsidRPr="00331642">
        <w:t xml:space="preserve"> 159-185.</w:t>
      </w:r>
      <w:r>
        <w:t xml:space="preserve"> </w:t>
      </w:r>
      <w:r w:rsidR="00D23154" w:rsidRPr="00D23154">
        <w:t>https://doi.org/10.1146/annurev-psych-010213-115030</w:t>
      </w:r>
    </w:p>
    <w:p w14:paraId="017284FA" w14:textId="5ACDBF25" w:rsidR="005E29F7" w:rsidRDefault="005E29F7" w:rsidP="00A179FD">
      <w:pPr>
        <w:pStyle w:val="NoSpacing"/>
        <w:spacing w:line="480" w:lineRule="auto"/>
        <w:ind w:left="567" w:hanging="567"/>
      </w:pPr>
      <w:r w:rsidRPr="005E29F7">
        <w:t xml:space="preserve">Kennedy, R. S. (2019). Bullying trends in the United States: a meta-regression. </w:t>
      </w:r>
      <w:r w:rsidRPr="000C4DB9">
        <w:rPr>
          <w:i/>
          <w:iCs/>
        </w:rPr>
        <w:t>Trauma, Violence, &amp; Abuse</w:t>
      </w:r>
      <w:r>
        <w:t>.</w:t>
      </w:r>
      <w:r w:rsidRPr="005E29F7">
        <w:t xml:space="preserve"> </w:t>
      </w:r>
      <w:hyperlink r:id="rId17" w:history="1">
        <w:r w:rsidR="002C5DED" w:rsidRPr="00520223">
          <w:rPr>
            <w:rStyle w:val="Hyperlink"/>
          </w:rPr>
          <w:t>https://doi.org/10.1177/1524838019888555</w:t>
        </w:r>
      </w:hyperlink>
    </w:p>
    <w:p w14:paraId="58777540" w14:textId="287951DF" w:rsidR="002C5DED" w:rsidRDefault="002C5DED" w:rsidP="00A179FD">
      <w:pPr>
        <w:pStyle w:val="NoSpacing"/>
        <w:spacing w:line="480" w:lineRule="auto"/>
        <w:ind w:left="567" w:hanging="567"/>
      </w:pPr>
      <w:r w:rsidRPr="002C5DED">
        <w:lastRenderedPageBreak/>
        <w:t>Millsap, R. E. (1998). Group differences in regression intercept: Implication for factorial invariance. Multivariate Behavioral Research, 33, 403-424. doi:10.1207/s15327906mbr3303_5</w:t>
      </w:r>
    </w:p>
    <w:p w14:paraId="4865C74B" w14:textId="758E5EA9" w:rsidR="005B0F19" w:rsidRDefault="00A179FD" w:rsidP="00A179FD">
      <w:pPr>
        <w:pStyle w:val="NoSpacing"/>
        <w:spacing w:line="480" w:lineRule="auto"/>
        <w:ind w:left="567" w:hanging="567"/>
      </w:pPr>
      <w:r w:rsidRPr="00331642">
        <w:t xml:space="preserve">Modecki, K. L., Minchin, J., Harbaugh, A. G., Guerra, N. G., &amp; Runions, K. C. (2014). Bullying prevalence across contexts: A meta-analysis measuring cyber and traditional bullying. </w:t>
      </w:r>
      <w:r w:rsidRPr="005B733F">
        <w:rPr>
          <w:i/>
          <w:iCs/>
        </w:rPr>
        <w:t>Journal of Adolescent Health, 55</w:t>
      </w:r>
      <w:r w:rsidRPr="00331642">
        <w:t>(5), 602-611.</w:t>
      </w:r>
      <w:r>
        <w:t xml:space="preserve"> </w:t>
      </w:r>
      <w:r w:rsidR="00D23154" w:rsidRPr="00D23154">
        <w:t>https://doi.org/10.1016/j.jadohealth.2014.06.007</w:t>
      </w:r>
    </w:p>
    <w:p w14:paraId="5223771D" w14:textId="79D6A4EA" w:rsidR="004C1F15" w:rsidRDefault="004C1F15" w:rsidP="004C1F15">
      <w:pPr>
        <w:pStyle w:val="NoSpacing"/>
        <w:spacing w:line="480" w:lineRule="auto"/>
        <w:ind w:left="567" w:hanging="567"/>
      </w:pPr>
      <w:r w:rsidRPr="007C4ACF">
        <w:t xml:space="preserve">Noret, N., Hunter, S. C., &amp; Rasmussen, S. (in press). The role of cognitive appraisals in the relationship between </w:t>
      </w:r>
      <w:r>
        <w:t>peer-victimization</w:t>
      </w:r>
      <w:r w:rsidRPr="007C4ACF">
        <w:t xml:space="preserve"> and depressive symptomatology in adolescents: A longitudinal study. </w:t>
      </w:r>
      <w:r w:rsidRPr="007C4ACF">
        <w:rPr>
          <w:i/>
        </w:rPr>
        <w:t>School Mental Health</w:t>
      </w:r>
      <w:r w:rsidRPr="007C4ACF">
        <w:t xml:space="preserve">. </w:t>
      </w:r>
      <w:r w:rsidRPr="004C1F15">
        <w:t>https://doi.org/10.1007/s12310-021-09414-0</w:t>
      </w:r>
    </w:p>
    <w:p w14:paraId="75391CC7" w14:textId="77777777" w:rsidR="004C1F15" w:rsidRDefault="004C1F15" w:rsidP="004C1F15">
      <w:pPr>
        <w:pStyle w:val="NoSpacing"/>
        <w:spacing w:line="480" w:lineRule="auto"/>
        <w:ind w:left="567" w:hanging="567"/>
        <w:rPr>
          <w:color w:val="000000" w:themeColor="text1"/>
        </w:rPr>
      </w:pPr>
      <w:r w:rsidRPr="007765D8">
        <w:rPr>
          <w:color w:val="000000" w:themeColor="text1"/>
        </w:rPr>
        <w:t xml:space="preserve">Olweus, D. (1993). </w:t>
      </w:r>
      <w:r w:rsidRPr="007765D8">
        <w:rPr>
          <w:i/>
          <w:iCs/>
          <w:color w:val="000000" w:themeColor="text1"/>
        </w:rPr>
        <w:t>Bullying at School</w:t>
      </w:r>
      <w:r w:rsidRPr="007765D8">
        <w:rPr>
          <w:color w:val="000000" w:themeColor="text1"/>
        </w:rPr>
        <w:t xml:space="preserve">. Oxford: Blackwell Publishing. </w:t>
      </w:r>
    </w:p>
    <w:p w14:paraId="6DC6FD53" w14:textId="2E9F6A62" w:rsidR="00A62E1E" w:rsidRDefault="00885AA8" w:rsidP="00415FBD">
      <w:pPr>
        <w:pStyle w:val="NoSpacing"/>
        <w:spacing w:line="480" w:lineRule="auto"/>
        <w:ind w:left="567" w:hanging="567"/>
        <w:rPr>
          <w:color w:val="000000" w:themeColor="text1"/>
        </w:rPr>
      </w:pPr>
      <w:r w:rsidRPr="00885AA8">
        <w:t xml:space="preserve">Olweus, D., Limber, S. P., &amp; Breivik, K. (2019). Addressing specific forms of bullying: A large-scale evaluation of the Olweus bullying prevention program. </w:t>
      </w:r>
      <w:r w:rsidRPr="000C4DB9">
        <w:rPr>
          <w:i/>
          <w:iCs/>
        </w:rPr>
        <w:t>International Journal of Bullying Prevention, 1</w:t>
      </w:r>
      <w:r w:rsidRPr="00885AA8">
        <w:t>(1), 70-84.</w:t>
      </w:r>
      <w:r>
        <w:t xml:space="preserve"> </w:t>
      </w:r>
      <w:r w:rsidR="005B0F19" w:rsidRPr="005B0F19">
        <w:t>https://doi.org/10.1007/s42380-019-00009-7</w:t>
      </w:r>
    </w:p>
    <w:p w14:paraId="77EDB787" w14:textId="05F14A26" w:rsidR="00FE38AC" w:rsidRDefault="00606040" w:rsidP="00FE38AC">
      <w:pPr>
        <w:pStyle w:val="NoSpacing"/>
        <w:spacing w:line="480" w:lineRule="auto"/>
        <w:ind w:left="567" w:hanging="567"/>
        <w:rPr>
          <w:color w:val="000000" w:themeColor="text1"/>
        </w:rPr>
      </w:pPr>
      <w:r w:rsidRPr="00F35061">
        <w:rPr>
          <w:color w:val="000000" w:themeColor="text1"/>
        </w:rPr>
        <w:t>Prinz, K., Costa, D., Chervonsky, E., &amp; Hunt, C. (</w:t>
      </w:r>
      <w:r w:rsidR="005B0F19">
        <w:rPr>
          <w:color w:val="000000" w:themeColor="text1"/>
        </w:rPr>
        <w:t>2019</w:t>
      </w:r>
      <w:r w:rsidRPr="00F35061">
        <w:rPr>
          <w:color w:val="000000" w:themeColor="text1"/>
        </w:rPr>
        <w:t xml:space="preserve">). Construction and psychometric properties of a short form of the Personal Experiences Checklist. </w:t>
      </w:r>
      <w:r w:rsidRPr="00F35061">
        <w:rPr>
          <w:i/>
          <w:iCs/>
          <w:color w:val="000000" w:themeColor="text1"/>
        </w:rPr>
        <w:t>Journal of Interpersonal Violence</w:t>
      </w:r>
      <w:r w:rsidRPr="00F35061">
        <w:rPr>
          <w:color w:val="000000" w:themeColor="text1"/>
        </w:rPr>
        <w:t xml:space="preserve">, </w:t>
      </w:r>
      <w:r w:rsidR="005B0F19" w:rsidRPr="005B0F19">
        <w:rPr>
          <w:color w:val="000000" w:themeColor="text1"/>
        </w:rPr>
        <w:t>https://doi.org/10.1177/0886260519875559</w:t>
      </w:r>
      <w:r>
        <w:rPr>
          <w:color w:val="000000" w:themeColor="text1"/>
        </w:rPr>
        <w:t>.</w:t>
      </w:r>
    </w:p>
    <w:p w14:paraId="5CF7A6CE" w14:textId="5D70FBBC" w:rsidR="00FE38AC" w:rsidRDefault="00FE38AC" w:rsidP="00FE38AC">
      <w:pPr>
        <w:pStyle w:val="NoSpacing"/>
        <w:spacing w:line="480" w:lineRule="auto"/>
        <w:ind w:left="567" w:hanging="567"/>
      </w:pPr>
      <w:r w:rsidRPr="00494CB1">
        <w:t xml:space="preserve">Putnick, D. L., &amp; Bornstein, M. H. (2016). Measurement invariance conventions and reporting: The state of the art and future directions for psychological research. </w:t>
      </w:r>
      <w:r w:rsidRPr="00052128">
        <w:rPr>
          <w:i/>
          <w:iCs/>
        </w:rPr>
        <w:t>Developmental Review, 41</w:t>
      </w:r>
      <w:r w:rsidRPr="00494CB1">
        <w:t>, 71-90.</w:t>
      </w:r>
      <w:r>
        <w:t xml:space="preserve"> </w:t>
      </w:r>
      <w:r w:rsidR="005B0F19" w:rsidRPr="005B0F19">
        <w:t>https://doi.org/10.1016/j.dr.2016.06.004</w:t>
      </w:r>
    </w:p>
    <w:p w14:paraId="34033694" w14:textId="71D64780" w:rsidR="003141F4" w:rsidRDefault="003141F4" w:rsidP="003141F4">
      <w:pPr>
        <w:pStyle w:val="NoSpacing"/>
        <w:spacing w:line="480" w:lineRule="auto"/>
        <w:ind w:left="567" w:hanging="567"/>
      </w:pPr>
      <w:r w:rsidRPr="00800AC2">
        <w:t xml:space="preserve">Reijntjes, A., Kamphuis, J. H., Prinzie, P., &amp; Telch, M. J. (2010). </w:t>
      </w:r>
      <w:r w:rsidRPr="00331642">
        <w:t xml:space="preserve">Peer </w:t>
      </w:r>
      <w:r w:rsidR="00213C41">
        <w:t>victimisation</w:t>
      </w:r>
      <w:r w:rsidRPr="00331642">
        <w:t xml:space="preserve"> and </w:t>
      </w:r>
      <w:r w:rsidR="00213C41">
        <w:t>internalising</w:t>
      </w:r>
      <w:r w:rsidRPr="00331642">
        <w:t xml:space="preserve"> problems in children: A meta-analysis of longitudinal studies. </w:t>
      </w:r>
      <w:r w:rsidRPr="001E4AC0">
        <w:rPr>
          <w:i/>
          <w:iCs/>
        </w:rPr>
        <w:t>Child Abuse &amp; Neglect, 34</w:t>
      </w:r>
      <w:r w:rsidRPr="00331642">
        <w:t>(4), 244-252.</w:t>
      </w:r>
      <w:r>
        <w:t xml:space="preserve"> </w:t>
      </w:r>
      <w:r w:rsidR="001B07F5" w:rsidRPr="001B07F5">
        <w:t>https://doi.org/10.1016/j.chiabu.2009.07.009</w:t>
      </w:r>
    </w:p>
    <w:p w14:paraId="36C555C6" w14:textId="5D222DFA" w:rsidR="00E779FA" w:rsidRDefault="00E779FA" w:rsidP="003141F4">
      <w:pPr>
        <w:pStyle w:val="NoSpacing"/>
        <w:spacing w:line="480" w:lineRule="auto"/>
        <w:ind w:left="567" w:hanging="567"/>
      </w:pPr>
      <w:r w:rsidRPr="00E779FA">
        <w:lastRenderedPageBreak/>
        <w:t xml:space="preserve">Sass, D. A., Schmitt, T. A., &amp; Marsh, H. W. (2014). Evaluating model fit with ordered categorical data within a measurement invariance framework: A comparison of estimators. </w:t>
      </w:r>
      <w:r w:rsidRPr="001B07F5">
        <w:rPr>
          <w:i/>
          <w:iCs/>
        </w:rPr>
        <w:t>Structural Equation Modeling: A Multidisciplinary Journal, 21</w:t>
      </w:r>
      <w:r w:rsidRPr="00E779FA">
        <w:t xml:space="preserve">(2), 167-180. </w:t>
      </w:r>
      <w:r w:rsidRPr="005B0F19">
        <w:t>https://doi.org/</w:t>
      </w:r>
      <w:r w:rsidRPr="00E779FA">
        <w:t>10.1080/10705511.2014.882658</w:t>
      </w:r>
    </w:p>
    <w:p w14:paraId="785B0AE6" w14:textId="6EF900A1" w:rsidR="00D54ACC" w:rsidRDefault="00D54ACC" w:rsidP="003141F4">
      <w:pPr>
        <w:pStyle w:val="NoSpacing"/>
        <w:spacing w:line="480" w:lineRule="auto"/>
        <w:ind w:left="567" w:hanging="567"/>
      </w:pPr>
      <w:r w:rsidRPr="00D54ACC">
        <w:t xml:space="preserve">Smith, P. K., López-Castro, L., Robinson, S., &amp; Görzig, A. (2019). Consistency of gender differences in bullying in cross-cultural surveys. </w:t>
      </w:r>
      <w:r w:rsidRPr="000C4DB9">
        <w:rPr>
          <w:i/>
          <w:iCs/>
        </w:rPr>
        <w:t>Aggression and violent behavior</w:t>
      </w:r>
      <w:r w:rsidRPr="00D54ACC">
        <w:t xml:space="preserve">, </w:t>
      </w:r>
      <w:r w:rsidRPr="000C4DB9">
        <w:rPr>
          <w:i/>
          <w:iCs/>
        </w:rPr>
        <w:t>45</w:t>
      </w:r>
      <w:r w:rsidRPr="00D54ACC">
        <w:t>, 33-40.</w:t>
      </w:r>
      <w:r w:rsidR="005E29F7">
        <w:t xml:space="preserve"> </w:t>
      </w:r>
      <w:r w:rsidR="005B0F19" w:rsidRPr="005B0F19">
        <w:t>https://doi.org/10.1016/j.avb.2018.04.006</w:t>
      </w:r>
    </w:p>
    <w:p w14:paraId="73416F12" w14:textId="541A128A" w:rsidR="000C4DB9" w:rsidRDefault="000C4DB9" w:rsidP="003141F4">
      <w:pPr>
        <w:pStyle w:val="NoSpacing"/>
        <w:spacing w:line="480" w:lineRule="auto"/>
        <w:ind w:left="567" w:hanging="567"/>
      </w:pPr>
      <w:r w:rsidRPr="000C4DB9">
        <w:t xml:space="preserve">Smith, P.K., Shu, S. &amp; Madsen, K. (2001). Characteristics of victims of school bullying: Developmental changes in coping strategies and skills. In J. Juvonen &amp; S. Graham (Eds). </w:t>
      </w:r>
      <w:r w:rsidRPr="000C4DB9">
        <w:rPr>
          <w:i/>
          <w:iCs/>
        </w:rPr>
        <w:t xml:space="preserve">Peer-harassment in school: The plight of the vulnerable and </w:t>
      </w:r>
      <w:r w:rsidR="00213C41">
        <w:rPr>
          <w:i/>
          <w:iCs/>
        </w:rPr>
        <w:t>victimised</w:t>
      </w:r>
      <w:r w:rsidRPr="000C4DB9">
        <w:t xml:space="preserve"> (pp332-351). London: Guilford Press.</w:t>
      </w:r>
    </w:p>
    <w:p w14:paraId="0746278E" w14:textId="44602422" w:rsidR="002C5DED" w:rsidRDefault="002C5DED" w:rsidP="003141F4">
      <w:pPr>
        <w:pStyle w:val="NoSpacing"/>
        <w:spacing w:line="480" w:lineRule="auto"/>
        <w:ind w:left="567" w:hanging="567"/>
      </w:pPr>
      <w:r w:rsidRPr="002C5DED">
        <w:t>Söderberg, P., &amp; Björkqvist, K. (2020). Victimization from Peer Aggression and/or Bullying: Prevalence, Overlap, and Psychosocial Characteristics. Journal of Aggression, Maltreatment &amp; Trauma, 29(2), 131-147. doi:10.1080/10926771.2019.1570410</w:t>
      </w:r>
    </w:p>
    <w:p w14:paraId="3756FF26" w14:textId="4CEBA03F" w:rsidR="002C5DED" w:rsidRDefault="002C5DED" w:rsidP="003141F4">
      <w:pPr>
        <w:pStyle w:val="NoSpacing"/>
        <w:spacing w:line="480" w:lineRule="auto"/>
        <w:ind w:left="567" w:hanging="567"/>
      </w:pPr>
      <w:r w:rsidRPr="002C5DED">
        <w:t xml:space="preserve">Steinmetz, H. (2013). Analyzing observed composite differences across groups: Is partial measurement invariance enough? </w:t>
      </w:r>
      <w:r w:rsidRPr="00662CD1">
        <w:rPr>
          <w:i/>
          <w:iCs/>
        </w:rPr>
        <w:t>Methodology: European Journal of Research Methods for the Behavioral and Social Sciences, 9</w:t>
      </w:r>
      <w:r w:rsidRPr="002C5DED">
        <w:t>, 1-12.</w:t>
      </w:r>
    </w:p>
    <w:p w14:paraId="3898D0AD" w14:textId="31523520" w:rsidR="00AA0BDE" w:rsidRPr="001B07F5" w:rsidRDefault="00AA0BDE" w:rsidP="00A62E1E">
      <w:pPr>
        <w:pStyle w:val="NoSpacing"/>
        <w:spacing w:line="480" w:lineRule="auto"/>
        <w:ind w:left="567" w:hanging="567"/>
        <w:rPr>
          <w:color w:val="000000" w:themeColor="text1"/>
        </w:rPr>
      </w:pPr>
      <w:r w:rsidRPr="00AA0BDE">
        <w:rPr>
          <w:color w:val="000000" w:themeColor="text1"/>
        </w:rPr>
        <w:t xml:space="preserve">Trizano-Hermosilla, I., &amp; Alvarado, J. M. (2016). Best alternatives to Cronbach's alpha reliability in realistic conditions: congeneric and asymmetrical measurements. </w:t>
      </w:r>
      <w:r w:rsidRPr="001B07F5">
        <w:rPr>
          <w:i/>
          <w:iCs/>
          <w:color w:val="000000" w:themeColor="text1"/>
        </w:rPr>
        <w:t>Frontiers in psychology, 7</w:t>
      </w:r>
      <w:r w:rsidRPr="00AA0BDE">
        <w:rPr>
          <w:color w:val="000000" w:themeColor="text1"/>
        </w:rPr>
        <w:t>, 769</w:t>
      </w:r>
      <w:r>
        <w:rPr>
          <w:color w:val="000000" w:themeColor="text1"/>
        </w:rPr>
        <w:t xml:space="preserve">. </w:t>
      </w:r>
      <w:r w:rsidRPr="00AA0BDE">
        <w:rPr>
          <w:color w:val="000000" w:themeColor="text1"/>
        </w:rPr>
        <w:t>https://doi.org/10.3389/fpsyg.2016.00769</w:t>
      </w:r>
    </w:p>
    <w:p w14:paraId="5A2C1A4E" w14:textId="6CA0A930" w:rsidR="003141F4" w:rsidRDefault="003141F4" w:rsidP="003141F4">
      <w:pPr>
        <w:spacing w:line="480" w:lineRule="auto"/>
        <w:ind w:left="567" w:hanging="567"/>
      </w:pPr>
      <w:r w:rsidRPr="00331642">
        <w:t xml:space="preserve">Valdebenito, S., Ttofi, M. M., Eisner, M., &amp; Gaffney, H. (2017). Weapon carrying in and out of school among pure bullies, pure victims and bully-victims: A systematic review and meta-analysis of cross-sectional and longitudinal studies. </w:t>
      </w:r>
      <w:r w:rsidRPr="003407EC">
        <w:rPr>
          <w:i/>
          <w:iCs/>
        </w:rPr>
        <w:t>Aggression and Violent Behavior, 33</w:t>
      </w:r>
      <w:r w:rsidRPr="00331642">
        <w:t>, 62-77.</w:t>
      </w:r>
      <w:r>
        <w:t xml:space="preserve"> </w:t>
      </w:r>
      <w:r w:rsidR="00D23154" w:rsidRPr="00D23154">
        <w:t>https://doi.org/10.1016/j.avb.2017.01.004</w:t>
      </w:r>
    </w:p>
    <w:p w14:paraId="2BF3320F" w14:textId="231E6752" w:rsidR="00FE38AC" w:rsidRDefault="00FE38AC" w:rsidP="00FE38AC">
      <w:pPr>
        <w:spacing w:line="480" w:lineRule="auto"/>
        <w:ind w:left="567" w:hanging="567"/>
      </w:pPr>
      <w:r w:rsidRPr="00331642">
        <w:lastRenderedPageBreak/>
        <w:t xml:space="preserve">Vessey, J., Strout, T. D., DiFazio, R. L., &amp; Walker, A. (2014). Measuring the youth bullying experience: A systematic review of the psychometric properties of available instruments. </w:t>
      </w:r>
      <w:r w:rsidRPr="003407EC">
        <w:rPr>
          <w:i/>
          <w:iCs/>
        </w:rPr>
        <w:t xml:space="preserve">Journal of </w:t>
      </w:r>
      <w:r>
        <w:rPr>
          <w:i/>
          <w:iCs/>
        </w:rPr>
        <w:t>S</w:t>
      </w:r>
      <w:r w:rsidRPr="003407EC">
        <w:rPr>
          <w:i/>
          <w:iCs/>
        </w:rPr>
        <w:t xml:space="preserve">chool </w:t>
      </w:r>
      <w:r>
        <w:rPr>
          <w:i/>
          <w:iCs/>
        </w:rPr>
        <w:t>H</w:t>
      </w:r>
      <w:r w:rsidRPr="003407EC">
        <w:rPr>
          <w:i/>
          <w:iCs/>
        </w:rPr>
        <w:t>ealth, 84</w:t>
      </w:r>
      <w:r w:rsidRPr="00331642">
        <w:t>(12), 819-843.</w:t>
      </w:r>
      <w:r w:rsidR="002753E1">
        <w:t xml:space="preserve"> </w:t>
      </w:r>
      <w:r w:rsidR="001B07F5" w:rsidRPr="001B07F5">
        <w:t>https://doi.org/10.1111/josh.12210</w:t>
      </w:r>
    </w:p>
    <w:p w14:paraId="47786DD1" w14:textId="7DBE8FB8" w:rsidR="00FE38AC" w:rsidRDefault="00FE38AC" w:rsidP="00FE38AC">
      <w:pPr>
        <w:spacing w:line="480" w:lineRule="auto"/>
        <w:ind w:left="567" w:hanging="567"/>
      </w:pPr>
      <w:r w:rsidRPr="00331642">
        <w:t xml:space="preserve">Volk, A. A., Veenstra, R., &amp; Espelage, D. L. (2017). So you want to study bullying? Recommendations to enhance the validity, transparency, and compatibility of bullying research. </w:t>
      </w:r>
      <w:r w:rsidRPr="003407EC">
        <w:rPr>
          <w:i/>
          <w:iCs/>
        </w:rPr>
        <w:t>Aggression and Violent Behavior, 36</w:t>
      </w:r>
      <w:r w:rsidRPr="00331642">
        <w:t>, 34-43.</w:t>
      </w:r>
      <w:r>
        <w:t xml:space="preserve"> </w:t>
      </w:r>
      <w:r w:rsidR="00D23154" w:rsidRPr="00D23154">
        <w:t>https://doi.org/10.1016/j.avb.2017.07.003</w:t>
      </w:r>
    </w:p>
    <w:p w14:paraId="2EA591C3" w14:textId="606E67F7" w:rsidR="007829D9" w:rsidRPr="00FE38AC" w:rsidRDefault="00885AA8" w:rsidP="00C9579B">
      <w:pPr>
        <w:spacing w:line="480" w:lineRule="auto"/>
        <w:ind w:left="567" w:hanging="567"/>
      </w:pPr>
      <w:r w:rsidRPr="00885AA8">
        <w:t xml:space="preserve">Zych, I., Ttofi, M. M., Llorent, V. J., Farrington, D. P., Ribeaud, D., &amp; Eisner, M. P. (2020). A longitudinal study on stability and transitions among bullying roles. </w:t>
      </w:r>
      <w:r w:rsidRPr="000C4DB9">
        <w:rPr>
          <w:i/>
          <w:iCs/>
        </w:rPr>
        <w:t>Child Development, 91</w:t>
      </w:r>
      <w:r w:rsidRPr="00885AA8">
        <w:t>(2), 527-545.</w:t>
      </w:r>
      <w:r>
        <w:t xml:space="preserve"> </w:t>
      </w:r>
      <w:r w:rsidR="00D23154" w:rsidRPr="00D23154">
        <w:t>https://doi.org/10.1111/cdev.13195</w:t>
      </w:r>
    </w:p>
    <w:p w14:paraId="37BA973F" w14:textId="77777777" w:rsidR="00F01496" w:rsidRDefault="007829D9">
      <w:pPr>
        <w:rPr>
          <w:color w:val="000000" w:themeColor="text1"/>
        </w:rPr>
        <w:sectPr w:rsidR="00F01496" w:rsidSect="00B21343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olor w:val="000000" w:themeColor="text1"/>
        </w:rPr>
        <w:br w:type="page"/>
      </w:r>
    </w:p>
    <w:p w14:paraId="13BF45B5" w14:textId="52D29452" w:rsidR="007829D9" w:rsidRPr="00556BE2" w:rsidRDefault="007829D9" w:rsidP="007829D9">
      <w:pPr>
        <w:spacing w:line="480" w:lineRule="auto"/>
        <w:rPr>
          <w:i/>
          <w:color w:val="000000"/>
        </w:rPr>
      </w:pPr>
      <w:r w:rsidRPr="009C2C4D">
        <w:rPr>
          <w:b/>
          <w:bCs/>
          <w:color w:val="000000" w:themeColor="text1"/>
        </w:rPr>
        <w:lastRenderedPageBreak/>
        <w:t>Table 1</w:t>
      </w:r>
      <w:r>
        <w:rPr>
          <w:color w:val="000000" w:themeColor="text1"/>
        </w:rPr>
        <w:t xml:space="preserve">: </w:t>
      </w:r>
      <w:r>
        <w:rPr>
          <w:i/>
          <w:color w:val="000000"/>
        </w:rPr>
        <w:t>F</w:t>
      </w:r>
      <w:r w:rsidRPr="00187735">
        <w:rPr>
          <w:i/>
          <w:color w:val="000000"/>
        </w:rPr>
        <w:t xml:space="preserve">actor </w:t>
      </w:r>
      <w:r>
        <w:rPr>
          <w:i/>
          <w:color w:val="000000"/>
        </w:rPr>
        <w:t xml:space="preserve">Loadings </w:t>
      </w:r>
      <w:r w:rsidRPr="00187735">
        <w:rPr>
          <w:i/>
          <w:color w:val="000000"/>
        </w:rPr>
        <w:t xml:space="preserve">from </w:t>
      </w:r>
      <w:r>
        <w:rPr>
          <w:i/>
          <w:color w:val="000000"/>
        </w:rPr>
        <w:t>Confirmatory Factor Analysis</w:t>
      </w:r>
      <w:r w:rsidR="00540162">
        <w:rPr>
          <w:i/>
          <w:color w:val="000000"/>
        </w:rPr>
        <w:t xml:space="preserve">, Item </w:t>
      </w:r>
      <w:r w:rsidR="0049356F">
        <w:rPr>
          <w:i/>
          <w:color w:val="000000"/>
        </w:rPr>
        <w:t>Correlations</w:t>
      </w:r>
      <w:r w:rsidR="00540162">
        <w:rPr>
          <w:i/>
          <w:color w:val="000000"/>
        </w:rPr>
        <w:t xml:space="preserve">, and </w:t>
      </w:r>
      <w:r w:rsidR="00687C54">
        <w:rPr>
          <w:i/>
          <w:color w:val="000000"/>
        </w:rPr>
        <w:t>Descriptive Statistics for all Items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56"/>
        <w:gridCol w:w="608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5C0D9A" w:rsidRPr="005C0D9A" w14:paraId="384A1843" w14:textId="77777777" w:rsidTr="0049356F">
        <w:trPr>
          <w:trHeight w:val="591"/>
        </w:trPr>
        <w:tc>
          <w:tcPr>
            <w:tcW w:w="5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AD203" w14:textId="77777777" w:rsidR="0049356F" w:rsidRPr="005C0D9A" w:rsidRDefault="0049356F" w:rsidP="00F71D7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7B966" w14:textId="1CA1CA94" w:rsidR="0049356F" w:rsidRPr="005C0D9A" w:rsidRDefault="0049356F" w:rsidP="0049356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Factor Loadings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C703EA4" w14:textId="7486C707" w:rsidR="0049356F" w:rsidRPr="005C0D9A" w:rsidRDefault="0049356F" w:rsidP="0049356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Mean (SD)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F659D23" w14:textId="66FC7637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Item Correlations</w:t>
            </w:r>
          </w:p>
        </w:tc>
      </w:tr>
      <w:tr w:rsidR="005C0D9A" w:rsidRPr="005C0D9A" w14:paraId="240F5E7C" w14:textId="57C3D29B" w:rsidTr="0049356F">
        <w:trPr>
          <w:trHeight w:val="591"/>
        </w:trPr>
        <w:tc>
          <w:tcPr>
            <w:tcW w:w="5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1E6C7" w14:textId="77777777" w:rsidR="0049356F" w:rsidRPr="005C0D9A" w:rsidRDefault="0049356F" w:rsidP="00F71D7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5F38B6" w14:textId="54AB93E5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ED57F38" w14:textId="718B12AD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CA66CE" w14:textId="2C0F6037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2D7563" w14:textId="1930647D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76F8D6" w14:textId="36028197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852E79" w14:textId="42240F8D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87046A" w14:textId="66AA3E92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9A8D9" w14:textId="607FD04E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D47447" w14:textId="0DF8F7F3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A35927" w14:textId="627A24C6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2E7B2" w14:textId="1E0EDEA0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5738C7" w14:textId="4DB6FA92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8A2305" w14:textId="53306F4F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124732" w14:textId="173885D9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7367E4" w14:textId="5A2002B3" w:rsidR="0049356F" w:rsidRPr="005C0D9A" w:rsidRDefault="0049356F" w:rsidP="00F71D7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D9A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5C0D9A" w:rsidRPr="005C0D9A" w14:paraId="19C67686" w14:textId="7C6558A9" w:rsidTr="0049356F">
        <w:tc>
          <w:tcPr>
            <w:tcW w:w="5263" w:type="dxa"/>
            <w:tcBorders>
              <w:top w:val="single" w:sz="4" w:space="0" w:color="auto"/>
            </w:tcBorders>
            <w:shd w:val="clear" w:color="auto" w:fill="auto"/>
          </w:tcPr>
          <w:p w14:paraId="7CA86FA5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The other kids ignore me on purpose.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64CFFA69" w14:textId="6E353FA8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652010" w14:textId="3EA10ED5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1.77 (0.71)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B0769B" w14:textId="59E20394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58BBD0" w14:textId="7C5736D0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9191F0" w14:textId="734EBB0D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78FE61" w14:textId="4B86E654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05D758" w14:textId="50D8FFD8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463852" w14:textId="1C6F6864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83A2F9" w14:textId="5EBF695B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AFDB1E" w14:textId="27261AFA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D1D844" w14:textId="1EA63BD8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871340" w14:textId="645BB1F8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F432EB" w14:textId="2E9FA7A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6B0D5A" w14:textId="623DA8FC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074C7F" w14:textId="6ADDDCE9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5CD2EAEF" w14:textId="4E0E7CC7" w:rsidTr="0049356F">
        <w:tc>
          <w:tcPr>
            <w:tcW w:w="5263" w:type="dxa"/>
            <w:shd w:val="clear" w:color="auto" w:fill="auto"/>
          </w:tcPr>
          <w:p w14:paraId="6DBDA721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The other kids make fun of my language.</w:t>
            </w:r>
          </w:p>
        </w:tc>
        <w:tc>
          <w:tcPr>
            <w:tcW w:w="1176" w:type="dxa"/>
            <w:shd w:val="clear" w:color="auto" w:fill="auto"/>
          </w:tcPr>
          <w:p w14:paraId="1FC17C86" w14:textId="0BD7FA82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0.51</w:t>
            </w:r>
          </w:p>
        </w:tc>
        <w:tc>
          <w:tcPr>
            <w:tcW w:w="0" w:type="auto"/>
          </w:tcPr>
          <w:p w14:paraId="5C429407" w14:textId="7F487CA0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1.21 (0.38)</w:t>
            </w:r>
          </w:p>
        </w:tc>
        <w:tc>
          <w:tcPr>
            <w:tcW w:w="0" w:type="auto"/>
          </w:tcPr>
          <w:p w14:paraId="49ECD52A" w14:textId="50C9C7A1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A94F078" w14:textId="2D1EFAFE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91022B8" w14:textId="7D0591C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C041AEE" w14:textId="3D3015A6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1205AB8" w14:textId="47267F54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50A22A8" w14:textId="790B55B6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86D5EAD" w14:textId="6BFF0BBC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E9602DC" w14:textId="365E0714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E514188" w14:textId="1D86050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BCD6AA3" w14:textId="14DD47A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C58561B" w14:textId="7993EB7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F83C541" w14:textId="67FAA94E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CD5B390" w14:textId="34A0F86B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03A1DE07" w14:textId="4D5669E9" w:rsidTr="0049356F">
        <w:tc>
          <w:tcPr>
            <w:tcW w:w="5263" w:type="dxa"/>
            <w:shd w:val="clear" w:color="auto" w:fill="auto"/>
          </w:tcPr>
          <w:p w14:paraId="228BACE4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The other kids tease me about things that aren’t true.</w:t>
            </w:r>
          </w:p>
        </w:tc>
        <w:tc>
          <w:tcPr>
            <w:tcW w:w="1176" w:type="dxa"/>
            <w:shd w:val="clear" w:color="auto" w:fill="auto"/>
          </w:tcPr>
          <w:p w14:paraId="6374670A" w14:textId="77B2050C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0.71</w:t>
            </w:r>
          </w:p>
        </w:tc>
        <w:tc>
          <w:tcPr>
            <w:tcW w:w="0" w:type="auto"/>
          </w:tcPr>
          <w:p w14:paraId="021B6BAF" w14:textId="3C853BB2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1.88 (0.94)</w:t>
            </w:r>
          </w:p>
        </w:tc>
        <w:tc>
          <w:tcPr>
            <w:tcW w:w="0" w:type="auto"/>
          </w:tcPr>
          <w:p w14:paraId="168C4C35" w14:textId="28AD12CF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F98E7C5" w14:textId="7D9F6920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E974E42" w14:textId="4B48C27F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4518F01" w14:textId="3905D10F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7EFC09F" w14:textId="199E7450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9DA493B" w14:textId="7B5E8925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8EE61B7" w14:textId="5DFD2467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A4A1BAC" w14:textId="459951B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2BE8C15" w14:textId="3BBD2DE6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82B6514" w14:textId="358302F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70ED2BB" w14:textId="61841A0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12A7EB8" w14:textId="11DDDD1B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729FE3E" w14:textId="6EF13697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4A366F42" w14:textId="710B47E5" w:rsidTr="0049356F">
        <w:tc>
          <w:tcPr>
            <w:tcW w:w="5263" w:type="dxa"/>
            <w:shd w:val="clear" w:color="auto" w:fill="auto"/>
          </w:tcPr>
          <w:p w14:paraId="73CF5B87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threaten me over the phone.</w:t>
            </w:r>
          </w:p>
        </w:tc>
        <w:tc>
          <w:tcPr>
            <w:tcW w:w="1176" w:type="dxa"/>
            <w:shd w:val="clear" w:color="auto" w:fill="auto"/>
          </w:tcPr>
          <w:p w14:paraId="74F73197" w14:textId="03788391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0.79</w:t>
            </w:r>
          </w:p>
        </w:tc>
        <w:tc>
          <w:tcPr>
            <w:tcW w:w="0" w:type="auto"/>
          </w:tcPr>
          <w:p w14:paraId="79BBCDD5" w14:textId="2D332E6D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1.18 (0.30)</w:t>
            </w:r>
          </w:p>
        </w:tc>
        <w:tc>
          <w:tcPr>
            <w:tcW w:w="0" w:type="auto"/>
          </w:tcPr>
          <w:p w14:paraId="7F2FCCFF" w14:textId="01C78261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C89DC97" w14:textId="1AB44FB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74D7641" w14:textId="7E791FE1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2036D48" w14:textId="3B2C2323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2D25943" w14:textId="2B5D2814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21FF44A" w14:textId="46B6123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DC12DB1" w14:textId="3E282AD7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5D6D41A" w14:textId="65AA1F9F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01DDFB9" w14:textId="472A9E5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EE197F7" w14:textId="4FD98B59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6BB80B9" w14:textId="5ECE03EC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D76237D" w14:textId="78265AB2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8D1FEF2" w14:textId="110DC46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5CA18707" w14:textId="0B2E7357" w:rsidTr="0049356F">
        <w:tc>
          <w:tcPr>
            <w:tcW w:w="5263" w:type="dxa"/>
            <w:shd w:val="clear" w:color="auto" w:fill="auto"/>
          </w:tcPr>
          <w:p w14:paraId="25570521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tell people not to hang around with me.</w:t>
            </w:r>
          </w:p>
        </w:tc>
        <w:tc>
          <w:tcPr>
            <w:tcW w:w="1176" w:type="dxa"/>
            <w:shd w:val="clear" w:color="auto" w:fill="auto"/>
          </w:tcPr>
          <w:p w14:paraId="166C87C6" w14:textId="415BFBDC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0.82</w:t>
            </w:r>
          </w:p>
        </w:tc>
        <w:tc>
          <w:tcPr>
            <w:tcW w:w="0" w:type="auto"/>
          </w:tcPr>
          <w:p w14:paraId="4F9722BE" w14:textId="6E23D5D7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 xml:space="preserve">1.33 </w:t>
            </w:r>
            <w:r w:rsidR="00F01496" w:rsidRPr="005C0D9A">
              <w:rPr>
                <w:sz w:val="16"/>
                <w:szCs w:val="16"/>
              </w:rPr>
              <w:t>(</w:t>
            </w:r>
            <w:r w:rsidRPr="005C0D9A">
              <w:rPr>
                <w:sz w:val="16"/>
                <w:szCs w:val="16"/>
              </w:rPr>
              <w:t>0.48)</w:t>
            </w:r>
          </w:p>
        </w:tc>
        <w:tc>
          <w:tcPr>
            <w:tcW w:w="0" w:type="auto"/>
          </w:tcPr>
          <w:p w14:paraId="71F747F4" w14:textId="004AABA1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3E991B2" w14:textId="68E2FDDB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1B2A010" w14:textId="0733D78F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FA70809" w14:textId="4A95BC1D" w:rsidR="000A6E50" w:rsidRPr="005C0D9A" w:rsidRDefault="00F01496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D0625D6" w14:textId="108C16A1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C0C0D87" w14:textId="4CE0013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F995F56" w14:textId="68113F0D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D608386" w14:textId="6C9CADD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014D151" w14:textId="26EB6AED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5444642" w14:textId="6390E0F1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EAFD198" w14:textId="65C5D357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DDE328F" w14:textId="3B274B3F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00B99E3" w14:textId="7F31EA84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400D3D17" w14:textId="281B65AB" w:rsidTr="0049356F">
        <w:tc>
          <w:tcPr>
            <w:tcW w:w="5263" w:type="dxa"/>
            <w:shd w:val="clear" w:color="auto" w:fill="auto"/>
          </w:tcPr>
          <w:p w14:paraId="3BC5F80D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won’t talk to me because of where I’m from.</w:t>
            </w:r>
          </w:p>
        </w:tc>
        <w:tc>
          <w:tcPr>
            <w:tcW w:w="1176" w:type="dxa"/>
            <w:shd w:val="clear" w:color="auto" w:fill="auto"/>
          </w:tcPr>
          <w:p w14:paraId="34C9E2C4" w14:textId="00DA0AE1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0.81</w:t>
            </w:r>
          </w:p>
        </w:tc>
        <w:tc>
          <w:tcPr>
            <w:tcW w:w="0" w:type="auto"/>
          </w:tcPr>
          <w:p w14:paraId="0BCA0455" w14:textId="7908247B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1.07 (0.14)</w:t>
            </w:r>
          </w:p>
        </w:tc>
        <w:tc>
          <w:tcPr>
            <w:tcW w:w="0" w:type="auto"/>
          </w:tcPr>
          <w:p w14:paraId="57070E7E" w14:textId="4856ECFE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A1FD2E4" w14:textId="428ED49C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A54E53A" w14:textId="16D8301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35F134B" w14:textId="7EBA1E32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69F6D97" w14:textId="2296615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FCC6B28" w14:textId="0E1ABB2F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F290CC5" w14:textId="3D67044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484F80B" w14:textId="3F4BC74B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208764C" w14:textId="6FC82FCD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6080B22" w14:textId="3C133C85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2D782CD" w14:textId="6FBB6FE6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80135A4" w14:textId="2AB04EF8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E18208C" w14:textId="545E8E64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2F09A768" w14:textId="3EA56304" w:rsidTr="0049356F">
        <w:tc>
          <w:tcPr>
            <w:tcW w:w="5263" w:type="dxa"/>
            <w:shd w:val="clear" w:color="auto" w:fill="auto"/>
          </w:tcPr>
          <w:p w14:paraId="56ED648F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say nasty things to me by texting.</w:t>
            </w:r>
          </w:p>
        </w:tc>
        <w:tc>
          <w:tcPr>
            <w:tcW w:w="1176" w:type="dxa"/>
            <w:shd w:val="clear" w:color="auto" w:fill="auto"/>
          </w:tcPr>
          <w:p w14:paraId="6C37AD8B" w14:textId="47E0190D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0.81</w:t>
            </w:r>
          </w:p>
        </w:tc>
        <w:tc>
          <w:tcPr>
            <w:tcW w:w="0" w:type="auto"/>
          </w:tcPr>
          <w:p w14:paraId="1A899FC1" w14:textId="51668D22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1.38 (1.38)</w:t>
            </w:r>
          </w:p>
        </w:tc>
        <w:tc>
          <w:tcPr>
            <w:tcW w:w="0" w:type="auto"/>
          </w:tcPr>
          <w:p w14:paraId="2A864098" w14:textId="5555AA4D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9C98EE3" w14:textId="6FD2794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7072488" w14:textId="2BB276DD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5FC30CD" w14:textId="55DFB1C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4482B49" w14:textId="4A437E59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6BE8F73" w14:textId="58E47B3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BA8E25B" w14:textId="753B3EDC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8422209" w14:textId="386AB0B1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A9800A8" w14:textId="20169ED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C67B14D" w14:textId="53064704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FE5AE80" w14:textId="2B83A5A1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.65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166A90C" w14:textId="4D9FB04E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9D46738" w14:textId="7334DD1B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38D690F5" w14:textId="1488B639" w:rsidTr="0049356F">
        <w:tc>
          <w:tcPr>
            <w:tcW w:w="5263" w:type="dxa"/>
            <w:shd w:val="clear" w:color="auto" w:fill="auto"/>
          </w:tcPr>
          <w:p w14:paraId="206808A4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tell people to hit me</w:t>
            </w:r>
          </w:p>
        </w:tc>
        <w:tc>
          <w:tcPr>
            <w:tcW w:w="1176" w:type="dxa"/>
            <w:shd w:val="clear" w:color="auto" w:fill="auto"/>
          </w:tcPr>
          <w:p w14:paraId="52203679" w14:textId="7B2DF437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14:paraId="38EE0549" w14:textId="1296B205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1.16 (0.26)</w:t>
            </w:r>
          </w:p>
        </w:tc>
        <w:tc>
          <w:tcPr>
            <w:tcW w:w="0" w:type="auto"/>
          </w:tcPr>
          <w:p w14:paraId="7CB7E5DB" w14:textId="43B37D06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351363B" w14:textId="7B1E850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07AD79C" w14:textId="19FCEF1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10B0B44" w14:textId="35E5E1F8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3BC44BF" w14:textId="44D47C72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62840AD" w14:textId="6E4F6FFB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02C51FA" w14:textId="63B2C19B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AE8B947" w14:textId="21D8086F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.42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C5BE426" w14:textId="6EA41E98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.35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A0AC1AB" w14:textId="038B5C9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7508EE9" w14:textId="106E8D82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36283A1" w14:textId="364E1D1C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BC36B3E" w14:textId="28C74CFE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687CA4A8" w14:textId="72F60EC0" w:rsidTr="0049356F">
        <w:tc>
          <w:tcPr>
            <w:tcW w:w="5263" w:type="dxa"/>
            <w:shd w:val="clear" w:color="auto" w:fill="auto"/>
          </w:tcPr>
          <w:p w14:paraId="1A83C80B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send me nasty e-mails.</w:t>
            </w:r>
          </w:p>
        </w:tc>
        <w:tc>
          <w:tcPr>
            <w:tcW w:w="1176" w:type="dxa"/>
            <w:shd w:val="clear" w:color="auto" w:fill="auto"/>
          </w:tcPr>
          <w:p w14:paraId="4C9E1AF2" w14:textId="2CFEEE3F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0.73</w:t>
            </w:r>
          </w:p>
        </w:tc>
        <w:tc>
          <w:tcPr>
            <w:tcW w:w="0" w:type="auto"/>
          </w:tcPr>
          <w:p w14:paraId="2225ABE8" w14:textId="4E5A77D5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1.09 (0.17)</w:t>
            </w:r>
          </w:p>
        </w:tc>
        <w:tc>
          <w:tcPr>
            <w:tcW w:w="0" w:type="auto"/>
          </w:tcPr>
          <w:p w14:paraId="54F23172" w14:textId="1601245C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64FC609" w14:textId="043D6070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52410F5" w14:textId="41A9699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9E12106" w14:textId="686DD75E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F0CE32C" w14:textId="77659A7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7F6CE8A" w14:textId="2D14318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E58C8E6" w14:textId="5243B0C3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A1C04E8" w14:textId="6F97041A" w:rsidR="000A6E50" w:rsidRPr="005C0D9A" w:rsidRDefault="004D756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6380E8E" w14:textId="606598A1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FD6AFA1" w14:textId="448FFDBB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FDFE818" w14:textId="36A47E1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221D2CD" w14:textId="069BBA50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.38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4A0C4CC" w14:textId="0782A00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.30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51293AF1" w14:textId="06AAB96E" w:rsidTr="0049356F">
        <w:tc>
          <w:tcPr>
            <w:tcW w:w="5263" w:type="dxa"/>
            <w:shd w:val="clear" w:color="auto" w:fill="auto"/>
          </w:tcPr>
          <w:p w14:paraId="10C5ACB5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 xml:space="preserve">Other kids say mean things behind my back. </w:t>
            </w:r>
          </w:p>
        </w:tc>
        <w:tc>
          <w:tcPr>
            <w:tcW w:w="1176" w:type="dxa"/>
            <w:shd w:val="clear" w:color="auto" w:fill="auto"/>
          </w:tcPr>
          <w:p w14:paraId="0A7F4FE8" w14:textId="4B06C1ED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0.84</w:t>
            </w:r>
          </w:p>
        </w:tc>
        <w:tc>
          <w:tcPr>
            <w:tcW w:w="0" w:type="auto"/>
          </w:tcPr>
          <w:p w14:paraId="3DB8C18F" w14:textId="19DDCDAF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1.95 (1.05)</w:t>
            </w:r>
          </w:p>
        </w:tc>
        <w:tc>
          <w:tcPr>
            <w:tcW w:w="0" w:type="auto"/>
          </w:tcPr>
          <w:p w14:paraId="7755694E" w14:textId="6E15BC2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28453D6" w14:textId="0B19AB00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EBDC684" w14:textId="4CA04247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07E110C" w14:textId="09D8302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6671070" w14:textId="45BD36A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82E37CD" w14:textId="57A9D36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1298004" w14:textId="02CFA648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A010732" w14:textId="7752C27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0C19FBE" w14:textId="0AF98227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F75DA16" w14:textId="5EB11868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BCCAC43" w14:textId="48555FB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.54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791F3CF" w14:textId="5EE22DA9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E9852FA" w14:textId="3C85CA3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33AC4D30" w14:textId="14B42C7F" w:rsidTr="0049356F">
        <w:tc>
          <w:tcPr>
            <w:tcW w:w="5263" w:type="dxa"/>
            <w:shd w:val="clear" w:color="auto" w:fill="auto"/>
          </w:tcPr>
          <w:p w14:paraId="35C70A37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shove me.</w:t>
            </w:r>
          </w:p>
        </w:tc>
        <w:tc>
          <w:tcPr>
            <w:tcW w:w="1176" w:type="dxa"/>
            <w:shd w:val="clear" w:color="auto" w:fill="auto"/>
          </w:tcPr>
          <w:p w14:paraId="2FDFB194" w14:textId="5D4A6F2C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0.74</w:t>
            </w:r>
          </w:p>
        </w:tc>
        <w:tc>
          <w:tcPr>
            <w:tcW w:w="0" w:type="auto"/>
          </w:tcPr>
          <w:p w14:paraId="683CB07C" w14:textId="156BB9FC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 xml:space="preserve">1.45 (0.65) </w:t>
            </w:r>
          </w:p>
        </w:tc>
        <w:tc>
          <w:tcPr>
            <w:tcW w:w="0" w:type="auto"/>
          </w:tcPr>
          <w:p w14:paraId="35213D0E" w14:textId="0B4D72F1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0FDC7C9" w14:textId="644539E9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3A4ACBD" w14:textId="4ECB9AAD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16AB381" w14:textId="14304482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5709BF7" w14:textId="7EB05E3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873E598" w14:textId="6011E61B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5291AB8" w14:textId="6B0DB88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FFE268F" w14:textId="0AE19A7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2C91EDE" w14:textId="3E6AAAD0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837C51A" w14:textId="74E2007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B980E9F" w14:textId="5953703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.36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0A1D3612" w14:textId="39F7E36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.47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F1BB849" w14:textId="0B4D5E56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.56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33E1F6B4" w14:textId="4579B28B" w:rsidTr="0049356F">
        <w:tc>
          <w:tcPr>
            <w:tcW w:w="5263" w:type="dxa"/>
            <w:shd w:val="clear" w:color="auto" w:fill="auto"/>
          </w:tcPr>
          <w:p w14:paraId="7419FCC8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say nasty things about me on online.</w:t>
            </w:r>
          </w:p>
        </w:tc>
        <w:tc>
          <w:tcPr>
            <w:tcW w:w="1176" w:type="dxa"/>
            <w:shd w:val="clear" w:color="auto" w:fill="auto"/>
          </w:tcPr>
          <w:p w14:paraId="24037666" w14:textId="0B97CF2B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0.84</w:t>
            </w:r>
          </w:p>
        </w:tc>
        <w:tc>
          <w:tcPr>
            <w:tcW w:w="0" w:type="auto"/>
          </w:tcPr>
          <w:p w14:paraId="1863DB08" w14:textId="3A1B1F8F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1.34 (0.52)</w:t>
            </w:r>
          </w:p>
        </w:tc>
        <w:tc>
          <w:tcPr>
            <w:tcW w:w="0" w:type="auto"/>
          </w:tcPr>
          <w:p w14:paraId="6AF14D2C" w14:textId="5A131EE8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6058943" w14:textId="3614652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BD80629" w14:textId="3370AF9D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675B2CF" w14:textId="6379663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9B9B5D6" w14:textId="53D4303B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CD433B2" w14:textId="508D899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6D82474" w14:textId="60E502BB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41C8216" w14:textId="1952871E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11818EF" w14:textId="10523EE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32FE6D4" w14:textId="01D64AE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AFCD8A9" w14:textId="3C8E6DCE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3FBA61D" w14:textId="63820149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.51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8C35928" w14:textId="78ADC6BE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.29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227E8C93" w14:textId="29404B7E" w:rsidTr="0049356F">
        <w:tc>
          <w:tcPr>
            <w:tcW w:w="5263" w:type="dxa"/>
            <w:shd w:val="clear" w:color="auto" w:fill="auto"/>
          </w:tcPr>
          <w:p w14:paraId="7EC23473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tell people to make fun of me.</w:t>
            </w:r>
          </w:p>
        </w:tc>
        <w:tc>
          <w:tcPr>
            <w:tcW w:w="1176" w:type="dxa"/>
            <w:shd w:val="clear" w:color="auto" w:fill="auto"/>
          </w:tcPr>
          <w:p w14:paraId="7B63108B" w14:textId="59F3527A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0.83</w:t>
            </w:r>
          </w:p>
        </w:tc>
        <w:tc>
          <w:tcPr>
            <w:tcW w:w="0" w:type="auto"/>
          </w:tcPr>
          <w:p w14:paraId="463661AF" w14:textId="4790ACED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1.27 (0.41)</w:t>
            </w:r>
          </w:p>
        </w:tc>
        <w:tc>
          <w:tcPr>
            <w:tcW w:w="0" w:type="auto"/>
          </w:tcPr>
          <w:p w14:paraId="69E5920C" w14:textId="62948C3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B0B714F" w14:textId="1EACBC1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44CCB4D" w14:textId="318F7582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C761528" w14:textId="0504E11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3EDDB01" w14:textId="273C9EF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C2D875F" w14:textId="0F31A246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1AAF12B" w14:textId="4A454A8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951A6A5" w14:textId="30AE1492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3F7B6D2" w14:textId="1F935C3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F945281" w14:textId="4D554559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D17760E" w14:textId="1765343B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AF384BB" w14:textId="0E269B5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29CF332" w14:textId="148877ED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.43</w:t>
            </w:r>
            <w:r w:rsidR="005C0D9A" w:rsidRPr="005C0D9A">
              <w:rPr>
                <w:sz w:val="16"/>
                <w:szCs w:val="16"/>
              </w:rPr>
              <w:t>***</w:t>
            </w:r>
          </w:p>
        </w:tc>
      </w:tr>
      <w:tr w:rsidR="005C0D9A" w:rsidRPr="005C0D9A" w14:paraId="5F24D3B2" w14:textId="7A2A9782" w:rsidTr="0049356F"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14:paraId="6BE3A26A" w14:textId="77777777" w:rsidR="000A6E50" w:rsidRPr="005C0D9A" w:rsidRDefault="000A6E50" w:rsidP="007829D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C0D9A">
              <w:rPr>
                <w:rFonts w:cs="Times New Roman"/>
                <w:color w:val="000000" w:themeColor="text1"/>
                <w:sz w:val="16"/>
                <w:szCs w:val="16"/>
              </w:rPr>
              <w:t>Other kids hit me.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16DAB37F" w14:textId="66AFF274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0.71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F7099C" w14:textId="20601846" w:rsidR="000A6E50" w:rsidRPr="005C0D9A" w:rsidRDefault="000A6E50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1.26 (0.44)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86DE7F" w14:textId="6E99B3CF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22D4F1" w14:textId="538E9116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58001A" w14:textId="2A3D7CC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5A7641" w14:textId="13E84D10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FB1B84" w14:textId="51E11AD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4CC8AA" w14:textId="4F25D75D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E74DD0" w14:textId="2C3AC8B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FB886B" w14:textId="4C09DF35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965FD5" w14:textId="31C4C7BA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E285AB" w14:textId="1A442A5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063475" w14:textId="4D1E6832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687FC3" w14:textId="472BD764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0347F8" w14:textId="63E7C04C" w:rsidR="000A6E50" w:rsidRPr="005C0D9A" w:rsidRDefault="00540162" w:rsidP="00F71D7F">
            <w:pPr>
              <w:jc w:val="center"/>
              <w:rPr>
                <w:sz w:val="16"/>
                <w:szCs w:val="16"/>
              </w:rPr>
            </w:pPr>
            <w:r w:rsidRPr="005C0D9A">
              <w:rPr>
                <w:sz w:val="16"/>
                <w:szCs w:val="16"/>
              </w:rPr>
              <w:t>-</w:t>
            </w:r>
          </w:p>
        </w:tc>
      </w:tr>
    </w:tbl>
    <w:p w14:paraId="22DA3539" w14:textId="77777777" w:rsidR="007829D9" w:rsidRDefault="007829D9" w:rsidP="007829D9"/>
    <w:p w14:paraId="2A95BCCC" w14:textId="7A710BC0" w:rsidR="007829D9" w:rsidRPr="00881502" w:rsidRDefault="00881502" w:rsidP="00606040">
      <w:pPr>
        <w:pStyle w:val="NoSpacing"/>
        <w:spacing w:line="480" w:lineRule="auto"/>
        <w:ind w:left="567" w:hanging="567"/>
        <w:rPr>
          <w:i/>
          <w:iCs/>
          <w:color w:val="000000" w:themeColor="text1"/>
        </w:rPr>
        <w:sectPr w:rsidR="007829D9" w:rsidRPr="00881502" w:rsidSect="001B07F5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>***</w:t>
      </w:r>
      <w:r w:rsidRPr="00881502">
        <w:t>p&lt;.001</w:t>
      </w:r>
    </w:p>
    <w:p w14:paraId="587D5690" w14:textId="77777777" w:rsidR="007829D9" w:rsidRPr="0006125F" w:rsidRDefault="007829D9" w:rsidP="007829D9">
      <w:pPr>
        <w:spacing w:line="480" w:lineRule="auto"/>
        <w:rPr>
          <w:color w:val="000000"/>
        </w:rPr>
      </w:pPr>
      <w:r w:rsidRPr="00A51AFF">
        <w:rPr>
          <w:b/>
          <w:bCs/>
        </w:rPr>
        <w:lastRenderedPageBreak/>
        <w:t xml:space="preserve">Table </w:t>
      </w:r>
      <w:r>
        <w:rPr>
          <w:b/>
          <w:bCs/>
        </w:rPr>
        <w:t>2:</w:t>
      </w:r>
      <w:r w:rsidRPr="00A51AFF">
        <w:t xml:space="preserve"> Tests of invariance </w:t>
      </w:r>
      <w:r>
        <w:t>for the</w:t>
      </w:r>
      <w:r w:rsidRPr="00A51AFF">
        <w:t xml:space="preserve"> PECK</w:t>
      </w:r>
      <w:r>
        <w:t>-SF</w:t>
      </w:r>
      <w:r w:rsidRPr="0004358E">
        <w:rPr>
          <w:color w:val="FF0000"/>
        </w:rPr>
        <w:t xml:space="preserve"> </w:t>
      </w:r>
    </w:p>
    <w:tbl>
      <w:tblPr>
        <w:tblStyle w:val="TableGridLight12"/>
        <w:tblW w:w="5000" w:type="pct"/>
        <w:tblLook w:val="04A0" w:firstRow="1" w:lastRow="0" w:firstColumn="1" w:lastColumn="0" w:noHBand="0" w:noVBand="1"/>
      </w:tblPr>
      <w:tblGrid>
        <w:gridCol w:w="3233"/>
        <w:gridCol w:w="768"/>
        <w:gridCol w:w="990"/>
        <w:gridCol w:w="1257"/>
        <w:gridCol w:w="1246"/>
        <w:gridCol w:w="1984"/>
        <w:gridCol w:w="1984"/>
        <w:gridCol w:w="1397"/>
        <w:gridCol w:w="1101"/>
      </w:tblGrid>
      <w:tr w:rsidR="007829D9" w:rsidRPr="00BC23A7" w14:paraId="7C566FBA" w14:textId="77777777" w:rsidTr="00F71D7F">
        <w:tc>
          <w:tcPr>
            <w:tcW w:w="11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A5EE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EE09093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rFonts w:asciiTheme="majorBidi" w:hAnsiTheme="majorBidi" w:cstheme="majorBidi"/>
                <w:b/>
                <w:bCs/>
              </w:rPr>
              <w:t>Model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72D92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CFI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C0F88" w14:textId="77777777" w:rsidR="007829D9" w:rsidRPr="00387F95" w:rsidRDefault="007829D9" w:rsidP="00F71D7F">
            <w:pPr>
              <w:spacing w:line="480" w:lineRule="auto"/>
              <w:jc w:val="center"/>
              <w:rPr>
                <w:b/>
                <w:bCs/>
              </w:rPr>
            </w:pPr>
            <w:r w:rsidRPr="00387F95">
              <w:rPr>
                <w:b/>
                <w:bCs/>
              </w:rPr>
              <w:t>∆CFI</w:t>
            </w:r>
          </w:p>
          <w:p w14:paraId="672CB7E9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(vs. preceding model)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847E0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RMSEA (90% CI)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A3B3D" w14:textId="77777777" w:rsidR="007829D9" w:rsidRPr="00387F95" w:rsidRDefault="007829D9" w:rsidP="00F71D7F">
            <w:pPr>
              <w:spacing w:line="480" w:lineRule="auto"/>
              <w:jc w:val="center"/>
              <w:rPr>
                <w:b/>
                <w:bCs/>
              </w:rPr>
            </w:pPr>
            <w:r w:rsidRPr="00387F95">
              <w:rPr>
                <w:b/>
                <w:bCs/>
              </w:rPr>
              <w:t>∆RMSEA</w:t>
            </w:r>
          </w:p>
          <w:p w14:paraId="7D8F44FC" w14:textId="77777777" w:rsidR="007829D9" w:rsidRPr="00387F95" w:rsidRDefault="007829D9" w:rsidP="00F71D7F">
            <w:pPr>
              <w:spacing w:line="480" w:lineRule="auto"/>
              <w:jc w:val="center"/>
              <w:rPr>
                <w:b/>
                <w:bCs/>
              </w:rPr>
            </w:pPr>
            <w:r w:rsidRPr="00387F95">
              <w:rPr>
                <w:b/>
                <w:bCs/>
              </w:rPr>
              <w:t>(vs. preceding model)</w:t>
            </w:r>
          </w:p>
        </w:tc>
      </w:tr>
      <w:tr w:rsidR="007829D9" w:rsidRPr="00BC23A7" w14:paraId="7FAC5AB9" w14:textId="77777777" w:rsidTr="00F71D7F">
        <w:tc>
          <w:tcPr>
            <w:tcW w:w="117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B094043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1066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Time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EC87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B7DA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Time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82AF7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540D6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95">
              <w:rPr>
                <w:b/>
                <w:bCs/>
              </w:rPr>
              <w:t>Time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53C4A" w14:textId="77777777" w:rsidR="007829D9" w:rsidRPr="00387F95" w:rsidRDefault="007829D9" w:rsidP="00F71D7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6C7F6" w14:textId="77777777" w:rsidR="007829D9" w:rsidRPr="00387F95" w:rsidRDefault="007829D9" w:rsidP="00F71D7F">
            <w:pPr>
              <w:spacing w:line="480" w:lineRule="auto"/>
              <w:jc w:val="center"/>
              <w:rPr>
                <w:b/>
                <w:bCs/>
              </w:rPr>
            </w:pPr>
            <w:r w:rsidRPr="00387F95">
              <w:rPr>
                <w:b/>
                <w:bCs/>
              </w:rPr>
              <w:t>Time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037B" w14:textId="77777777" w:rsidR="007829D9" w:rsidRPr="00387F95" w:rsidRDefault="007829D9" w:rsidP="00F71D7F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</w:tr>
      <w:tr w:rsidR="007829D9" w:rsidRPr="00BC23A7" w14:paraId="3E763600" w14:textId="77777777" w:rsidTr="00F71D7F">
        <w:tc>
          <w:tcPr>
            <w:tcW w:w="11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171A2" w14:textId="77777777" w:rsidR="007829D9" w:rsidRPr="00BC23A7" w:rsidRDefault="007829D9" w:rsidP="00F71D7F">
            <w:pPr>
              <w:spacing w:line="480" w:lineRule="auto"/>
            </w:pPr>
            <w:r w:rsidRPr="00BC23A7">
              <w:t>Model 1 (Unconstrained)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1023C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.965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F7BFC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.947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43143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2B275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E12F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.041 (.037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.044)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FA823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.081 (.072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.089)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1F4F1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EC487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</w:tr>
      <w:tr w:rsidR="007829D9" w:rsidRPr="00BC23A7" w14:paraId="0D3BC6BA" w14:textId="77777777" w:rsidTr="00F71D7F"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</w:tcPr>
          <w:p w14:paraId="5802785D" w14:textId="77777777" w:rsidR="007829D9" w:rsidRPr="00BC23A7" w:rsidRDefault="007829D9" w:rsidP="00F71D7F">
            <w:pPr>
              <w:spacing w:line="480" w:lineRule="auto"/>
            </w:pPr>
            <w:r w:rsidRPr="00BC23A7">
              <w:t>Model 2 (Weak invariance)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71D063DF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.971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</w:tcPr>
          <w:p w14:paraId="629444EA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.936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D24BC37" w14:textId="77777777" w:rsidR="007829D9" w:rsidRPr="00B903D7" w:rsidRDefault="007829D9" w:rsidP="00F71D7F">
            <w:pPr>
              <w:tabs>
                <w:tab w:val="center" w:pos="838"/>
              </w:tabs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+.006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55589CF" w14:textId="77777777" w:rsidR="007829D9" w:rsidRPr="00B903D7" w:rsidRDefault="007829D9" w:rsidP="00F71D7F">
            <w:pPr>
              <w:tabs>
                <w:tab w:val="center" w:pos="838"/>
              </w:tabs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-.011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2D949F8B" w14:textId="77777777" w:rsidR="007829D9" w:rsidRPr="00B903D7" w:rsidRDefault="007829D9" w:rsidP="00F71D7F">
            <w:pPr>
              <w:tabs>
                <w:tab w:val="center" w:pos="838"/>
              </w:tabs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.037 (.033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.040)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39B96D11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.085 (.077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.093)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 w14:paraId="1999E94A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409773A1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-.004</w:t>
            </w:r>
          </w:p>
        </w:tc>
      </w:tr>
      <w:tr w:rsidR="007829D9" w:rsidRPr="00BC23A7" w14:paraId="2AD1BA13" w14:textId="77777777" w:rsidTr="00F71D7F"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37BE0" w14:textId="77777777" w:rsidR="007829D9" w:rsidRPr="00BC23A7" w:rsidRDefault="007829D9" w:rsidP="00F71D7F">
            <w:pPr>
              <w:spacing w:line="480" w:lineRule="auto"/>
            </w:pPr>
            <w:r w:rsidRPr="00BC23A7">
              <w:t>Model 3 (Strong invariance)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423F5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430D6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.925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282D9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2711D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472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.035 (.032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.039)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F01A7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.082 (.075</w:t>
            </w:r>
            <w:r>
              <w:rPr>
                <w:color w:val="000000" w:themeColor="text1"/>
              </w:rPr>
              <w:t xml:space="preserve">, </w:t>
            </w:r>
            <w:r w:rsidRPr="00B903D7">
              <w:rPr>
                <w:color w:val="000000" w:themeColor="text1"/>
              </w:rPr>
              <w:t>.089)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F2BE6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40B49" w14:textId="77777777" w:rsidR="007829D9" w:rsidRPr="00B903D7" w:rsidRDefault="007829D9" w:rsidP="00F71D7F">
            <w:pPr>
              <w:spacing w:line="480" w:lineRule="auto"/>
              <w:jc w:val="center"/>
              <w:rPr>
                <w:color w:val="000000" w:themeColor="text1"/>
              </w:rPr>
            </w:pPr>
            <w:r w:rsidRPr="00B903D7">
              <w:rPr>
                <w:color w:val="000000" w:themeColor="text1"/>
              </w:rPr>
              <w:t>-.003</w:t>
            </w:r>
          </w:p>
        </w:tc>
      </w:tr>
    </w:tbl>
    <w:p w14:paraId="4ADC3A7A" w14:textId="77777777" w:rsidR="007829D9" w:rsidRDefault="007829D9" w:rsidP="007829D9">
      <w:pPr>
        <w:rPr>
          <w:i/>
          <w:iCs/>
        </w:rPr>
      </w:pPr>
    </w:p>
    <w:p w14:paraId="25AC4779" w14:textId="10190306" w:rsidR="00FE38AC" w:rsidRPr="00F35061" w:rsidRDefault="00FE38AC" w:rsidP="00606040">
      <w:pPr>
        <w:pStyle w:val="NoSpacing"/>
        <w:spacing w:line="480" w:lineRule="auto"/>
        <w:ind w:left="567" w:hanging="567"/>
        <w:rPr>
          <w:color w:val="000000" w:themeColor="text1"/>
        </w:rPr>
      </w:pPr>
    </w:p>
    <w:p w14:paraId="7081DD37" w14:textId="77777777" w:rsidR="00606040" w:rsidRPr="00F16BFA" w:rsidRDefault="00606040">
      <w:pPr>
        <w:rPr>
          <w:b/>
          <w:bCs/>
        </w:rPr>
      </w:pPr>
    </w:p>
    <w:sectPr w:rsidR="00606040" w:rsidRPr="00F16BFA" w:rsidSect="007829D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28D4A" w14:textId="77777777" w:rsidR="00254CC5" w:rsidRDefault="00254CC5" w:rsidP="00712163">
      <w:r>
        <w:separator/>
      </w:r>
    </w:p>
  </w:endnote>
  <w:endnote w:type="continuationSeparator" w:id="0">
    <w:p w14:paraId="7AE78BCF" w14:textId="77777777" w:rsidR="00254CC5" w:rsidRDefault="00254CC5" w:rsidP="0071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453786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6599EA" w14:textId="1B4E9B98" w:rsidR="002644B0" w:rsidRDefault="002644B0" w:rsidP="002644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96E1EA" w14:textId="77777777" w:rsidR="002644B0" w:rsidRDefault="002644B0" w:rsidP="00712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92772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E92C23" w14:textId="35276A5D" w:rsidR="002644B0" w:rsidRDefault="002644B0" w:rsidP="002644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453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44B53A" w14:textId="77777777" w:rsidR="002644B0" w:rsidRDefault="002644B0" w:rsidP="007121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98106" w14:textId="77777777" w:rsidR="00254CC5" w:rsidRDefault="00254CC5" w:rsidP="00712163">
      <w:r>
        <w:separator/>
      </w:r>
    </w:p>
  </w:footnote>
  <w:footnote w:type="continuationSeparator" w:id="0">
    <w:p w14:paraId="32EB34EE" w14:textId="77777777" w:rsidR="00254CC5" w:rsidRDefault="00254CC5" w:rsidP="0071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E71BD" w14:textId="3AE7D6CB" w:rsidR="00B21343" w:rsidRDefault="00B21343" w:rsidP="00A07A98">
    <w:pPr>
      <w:spacing w:line="480" w:lineRule="auto"/>
    </w:pPr>
    <w:r>
      <w:t>PECK-SF: Tests of invariance across gender and over time.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43E"/>
    <w:multiLevelType w:val="hybridMultilevel"/>
    <w:tmpl w:val="36746C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616A8"/>
    <w:multiLevelType w:val="hybridMultilevel"/>
    <w:tmpl w:val="72C44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44D5B"/>
    <w:multiLevelType w:val="multilevel"/>
    <w:tmpl w:val="A1E8E05E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DA"/>
    <w:rsid w:val="00014D2A"/>
    <w:rsid w:val="000177FB"/>
    <w:rsid w:val="00031FBE"/>
    <w:rsid w:val="0003784C"/>
    <w:rsid w:val="00041C90"/>
    <w:rsid w:val="0004358E"/>
    <w:rsid w:val="00046E9E"/>
    <w:rsid w:val="00057496"/>
    <w:rsid w:val="00057D2D"/>
    <w:rsid w:val="00061008"/>
    <w:rsid w:val="0006125F"/>
    <w:rsid w:val="0009221C"/>
    <w:rsid w:val="00093E55"/>
    <w:rsid w:val="000A6E50"/>
    <w:rsid w:val="000B7C5B"/>
    <w:rsid w:val="000C4DB9"/>
    <w:rsid w:val="000D78B2"/>
    <w:rsid w:val="000E28FA"/>
    <w:rsid w:val="000F25EC"/>
    <w:rsid w:val="000F5A96"/>
    <w:rsid w:val="000F7F4B"/>
    <w:rsid w:val="0013491B"/>
    <w:rsid w:val="001417E8"/>
    <w:rsid w:val="00141A3D"/>
    <w:rsid w:val="00142323"/>
    <w:rsid w:val="001553C0"/>
    <w:rsid w:val="00161466"/>
    <w:rsid w:val="0016493E"/>
    <w:rsid w:val="00186C05"/>
    <w:rsid w:val="00192501"/>
    <w:rsid w:val="00193294"/>
    <w:rsid w:val="001A06A2"/>
    <w:rsid w:val="001A0DAB"/>
    <w:rsid w:val="001B065B"/>
    <w:rsid w:val="001B07F5"/>
    <w:rsid w:val="001B2B8D"/>
    <w:rsid w:val="001C1F51"/>
    <w:rsid w:val="001C336D"/>
    <w:rsid w:val="001F27AD"/>
    <w:rsid w:val="001F3CEC"/>
    <w:rsid w:val="001F538B"/>
    <w:rsid w:val="002034B4"/>
    <w:rsid w:val="002131AE"/>
    <w:rsid w:val="00213C41"/>
    <w:rsid w:val="002264AE"/>
    <w:rsid w:val="00237369"/>
    <w:rsid w:val="00254CC5"/>
    <w:rsid w:val="00257292"/>
    <w:rsid w:val="00263B65"/>
    <w:rsid w:val="002644B0"/>
    <w:rsid w:val="002663A4"/>
    <w:rsid w:val="002663C1"/>
    <w:rsid w:val="002753E1"/>
    <w:rsid w:val="002935B5"/>
    <w:rsid w:val="002A4FCA"/>
    <w:rsid w:val="002B4AB6"/>
    <w:rsid w:val="002C2CC1"/>
    <w:rsid w:val="002C5DED"/>
    <w:rsid w:val="002E3ACA"/>
    <w:rsid w:val="003141F4"/>
    <w:rsid w:val="003260F5"/>
    <w:rsid w:val="00330DA9"/>
    <w:rsid w:val="003322A3"/>
    <w:rsid w:val="00333458"/>
    <w:rsid w:val="003424A1"/>
    <w:rsid w:val="00347269"/>
    <w:rsid w:val="003518E9"/>
    <w:rsid w:val="00352BAF"/>
    <w:rsid w:val="003619DA"/>
    <w:rsid w:val="00373BF4"/>
    <w:rsid w:val="00383F75"/>
    <w:rsid w:val="00387F95"/>
    <w:rsid w:val="003A45D5"/>
    <w:rsid w:val="003B4923"/>
    <w:rsid w:val="003B78B0"/>
    <w:rsid w:val="003C3714"/>
    <w:rsid w:val="003C3FCB"/>
    <w:rsid w:val="003C5D51"/>
    <w:rsid w:val="003C72D7"/>
    <w:rsid w:val="003D127F"/>
    <w:rsid w:val="003E7B99"/>
    <w:rsid w:val="003F49EC"/>
    <w:rsid w:val="003F54CF"/>
    <w:rsid w:val="003F7225"/>
    <w:rsid w:val="00400960"/>
    <w:rsid w:val="00403659"/>
    <w:rsid w:val="00415FBD"/>
    <w:rsid w:val="0042351B"/>
    <w:rsid w:val="00431A46"/>
    <w:rsid w:val="0043357E"/>
    <w:rsid w:val="0043580A"/>
    <w:rsid w:val="00442831"/>
    <w:rsid w:val="00451766"/>
    <w:rsid w:val="00460256"/>
    <w:rsid w:val="004903D7"/>
    <w:rsid w:val="00491D65"/>
    <w:rsid w:val="0049356F"/>
    <w:rsid w:val="0049630A"/>
    <w:rsid w:val="004C1F15"/>
    <w:rsid w:val="004D0621"/>
    <w:rsid w:val="004D1F39"/>
    <w:rsid w:val="004D7560"/>
    <w:rsid w:val="004D76C5"/>
    <w:rsid w:val="004D7D56"/>
    <w:rsid w:val="004E02BD"/>
    <w:rsid w:val="004E1F3A"/>
    <w:rsid w:val="004E3D45"/>
    <w:rsid w:val="004F4C5D"/>
    <w:rsid w:val="0050082C"/>
    <w:rsid w:val="005038ED"/>
    <w:rsid w:val="00506875"/>
    <w:rsid w:val="00511A16"/>
    <w:rsid w:val="00512C51"/>
    <w:rsid w:val="00516AD7"/>
    <w:rsid w:val="00521D2B"/>
    <w:rsid w:val="0052672E"/>
    <w:rsid w:val="00527FC4"/>
    <w:rsid w:val="00532EC6"/>
    <w:rsid w:val="00540162"/>
    <w:rsid w:val="005426F6"/>
    <w:rsid w:val="00556BE2"/>
    <w:rsid w:val="00566ADD"/>
    <w:rsid w:val="00570FB7"/>
    <w:rsid w:val="00571BDE"/>
    <w:rsid w:val="00582492"/>
    <w:rsid w:val="00594B9E"/>
    <w:rsid w:val="005B0F19"/>
    <w:rsid w:val="005B6928"/>
    <w:rsid w:val="005C0D9A"/>
    <w:rsid w:val="005C5337"/>
    <w:rsid w:val="005D24B7"/>
    <w:rsid w:val="005E29F7"/>
    <w:rsid w:val="005F74D2"/>
    <w:rsid w:val="00600A46"/>
    <w:rsid w:val="006011AE"/>
    <w:rsid w:val="00601F08"/>
    <w:rsid w:val="00603690"/>
    <w:rsid w:val="006036E5"/>
    <w:rsid w:val="00605AD2"/>
    <w:rsid w:val="00606040"/>
    <w:rsid w:val="00620B27"/>
    <w:rsid w:val="00625D33"/>
    <w:rsid w:val="006329AE"/>
    <w:rsid w:val="00640B3D"/>
    <w:rsid w:val="006448FF"/>
    <w:rsid w:val="00650E2D"/>
    <w:rsid w:val="006559AD"/>
    <w:rsid w:val="00662CD1"/>
    <w:rsid w:val="00665BE8"/>
    <w:rsid w:val="00674BC0"/>
    <w:rsid w:val="00675868"/>
    <w:rsid w:val="00681809"/>
    <w:rsid w:val="00687C54"/>
    <w:rsid w:val="00694D1A"/>
    <w:rsid w:val="006A026A"/>
    <w:rsid w:val="006A114D"/>
    <w:rsid w:val="006C5ADA"/>
    <w:rsid w:val="006D4FE8"/>
    <w:rsid w:val="006D6ED8"/>
    <w:rsid w:val="006E1E6C"/>
    <w:rsid w:val="006E774F"/>
    <w:rsid w:val="006F18FD"/>
    <w:rsid w:val="00700535"/>
    <w:rsid w:val="00704533"/>
    <w:rsid w:val="00712163"/>
    <w:rsid w:val="00715B03"/>
    <w:rsid w:val="00721CD8"/>
    <w:rsid w:val="00731136"/>
    <w:rsid w:val="00734117"/>
    <w:rsid w:val="00736701"/>
    <w:rsid w:val="00743F09"/>
    <w:rsid w:val="00745755"/>
    <w:rsid w:val="00770F5D"/>
    <w:rsid w:val="007829D9"/>
    <w:rsid w:val="00796480"/>
    <w:rsid w:val="007C0435"/>
    <w:rsid w:val="007C4ACF"/>
    <w:rsid w:val="007C58E8"/>
    <w:rsid w:val="007C7EC3"/>
    <w:rsid w:val="007D0F51"/>
    <w:rsid w:val="007D3399"/>
    <w:rsid w:val="007D4386"/>
    <w:rsid w:val="007E2B5D"/>
    <w:rsid w:val="007E2F0E"/>
    <w:rsid w:val="007E77CF"/>
    <w:rsid w:val="007F4928"/>
    <w:rsid w:val="00810D6C"/>
    <w:rsid w:val="0082274C"/>
    <w:rsid w:val="0082715A"/>
    <w:rsid w:val="008340F4"/>
    <w:rsid w:val="00842908"/>
    <w:rsid w:val="00842B62"/>
    <w:rsid w:val="008519D9"/>
    <w:rsid w:val="0086671F"/>
    <w:rsid w:val="00881502"/>
    <w:rsid w:val="00883094"/>
    <w:rsid w:val="00885AA8"/>
    <w:rsid w:val="008A0AC3"/>
    <w:rsid w:val="008E1D97"/>
    <w:rsid w:val="008F7989"/>
    <w:rsid w:val="00906CDF"/>
    <w:rsid w:val="0092308D"/>
    <w:rsid w:val="009232C8"/>
    <w:rsid w:val="00923E62"/>
    <w:rsid w:val="00930314"/>
    <w:rsid w:val="00931B26"/>
    <w:rsid w:val="009320C6"/>
    <w:rsid w:val="00952F6A"/>
    <w:rsid w:val="00955D5E"/>
    <w:rsid w:val="009839E8"/>
    <w:rsid w:val="00983DD7"/>
    <w:rsid w:val="00985580"/>
    <w:rsid w:val="009A3905"/>
    <w:rsid w:val="009B6919"/>
    <w:rsid w:val="009C2C4D"/>
    <w:rsid w:val="009C515F"/>
    <w:rsid w:val="009E2F86"/>
    <w:rsid w:val="00A00464"/>
    <w:rsid w:val="00A031FC"/>
    <w:rsid w:val="00A07A98"/>
    <w:rsid w:val="00A1322C"/>
    <w:rsid w:val="00A160D2"/>
    <w:rsid w:val="00A17719"/>
    <w:rsid w:val="00A179FD"/>
    <w:rsid w:val="00A22B84"/>
    <w:rsid w:val="00A24253"/>
    <w:rsid w:val="00A33D29"/>
    <w:rsid w:val="00A42DE8"/>
    <w:rsid w:val="00A51AFF"/>
    <w:rsid w:val="00A52F5A"/>
    <w:rsid w:val="00A62E1E"/>
    <w:rsid w:val="00A70B2C"/>
    <w:rsid w:val="00A718E3"/>
    <w:rsid w:val="00A7684C"/>
    <w:rsid w:val="00A80295"/>
    <w:rsid w:val="00A83950"/>
    <w:rsid w:val="00A932E5"/>
    <w:rsid w:val="00A956DB"/>
    <w:rsid w:val="00AA0BDE"/>
    <w:rsid w:val="00AA26B1"/>
    <w:rsid w:val="00AA2C43"/>
    <w:rsid w:val="00AA3D57"/>
    <w:rsid w:val="00AA4DC0"/>
    <w:rsid w:val="00AB542B"/>
    <w:rsid w:val="00AC01BB"/>
    <w:rsid w:val="00AC284C"/>
    <w:rsid w:val="00AC7CDD"/>
    <w:rsid w:val="00AD353E"/>
    <w:rsid w:val="00AE25AF"/>
    <w:rsid w:val="00B04BE0"/>
    <w:rsid w:val="00B0755F"/>
    <w:rsid w:val="00B17017"/>
    <w:rsid w:val="00B21343"/>
    <w:rsid w:val="00B21DA2"/>
    <w:rsid w:val="00B24B75"/>
    <w:rsid w:val="00B46C5F"/>
    <w:rsid w:val="00B46E8A"/>
    <w:rsid w:val="00B725AE"/>
    <w:rsid w:val="00B76B98"/>
    <w:rsid w:val="00B77AAB"/>
    <w:rsid w:val="00B903D7"/>
    <w:rsid w:val="00BA2F40"/>
    <w:rsid w:val="00BA3C20"/>
    <w:rsid w:val="00BA6A0A"/>
    <w:rsid w:val="00BA7650"/>
    <w:rsid w:val="00BB0871"/>
    <w:rsid w:val="00BB2379"/>
    <w:rsid w:val="00BB6F27"/>
    <w:rsid w:val="00BC5D9C"/>
    <w:rsid w:val="00BC69A2"/>
    <w:rsid w:val="00BD4780"/>
    <w:rsid w:val="00BE1D6D"/>
    <w:rsid w:val="00C05A5F"/>
    <w:rsid w:val="00C171B8"/>
    <w:rsid w:val="00C17FB8"/>
    <w:rsid w:val="00C244CD"/>
    <w:rsid w:val="00C24699"/>
    <w:rsid w:val="00C34898"/>
    <w:rsid w:val="00C3752E"/>
    <w:rsid w:val="00C515E4"/>
    <w:rsid w:val="00C541A9"/>
    <w:rsid w:val="00C558F0"/>
    <w:rsid w:val="00C80C3B"/>
    <w:rsid w:val="00C81220"/>
    <w:rsid w:val="00C92745"/>
    <w:rsid w:val="00C9579B"/>
    <w:rsid w:val="00C967AD"/>
    <w:rsid w:val="00C96F4A"/>
    <w:rsid w:val="00CA08F9"/>
    <w:rsid w:val="00CA2FEA"/>
    <w:rsid w:val="00CA5E76"/>
    <w:rsid w:val="00CB279A"/>
    <w:rsid w:val="00CC2D1B"/>
    <w:rsid w:val="00CD0A64"/>
    <w:rsid w:val="00CE27EB"/>
    <w:rsid w:val="00CE473C"/>
    <w:rsid w:val="00CF5006"/>
    <w:rsid w:val="00D023C1"/>
    <w:rsid w:val="00D153D8"/>
    <w:rsid w:val="00D23154"/>
    <w:rsid w:val="00D30AF2"/>
    <w:rsid w:val="00D41A6C"/>
    <w:rsid w:val="00D43AE8"/>
    <w:rsid w:val="00D50892"/>
    <w:rsid w:val="00D54ACC"/>
    <w:rsid w:val="00D55673"/>
    <w:rsid w:val="00D6371B"/>
    <w:rsid w:val="00D671F6"/>
    <w:rsid w:val="00D70328"/>
    <w:rsid w:val="00D938DA"/>
    <w:rsid w:val="00DA0270"/>
    <w:rsid w:val="00DA1FE0"/>
    <w:rsid w:val="00DB05B0"/>
    <w:rsid w:val="00DB5AAD"/>
    <w:rsid w:val="00DD117D"/>
    <w:rsid w:val="00DD494B"/>
    <w:rsid w:val="00DE0D78"/>
    <w:rsid w:val="00DF7284"/>
    <w:rsid w:val="00E07189"/>
    <w:rsid w:val="00E2665F"/>
    <w:rsid w:val="00E33BAC"/>
    <w:rsid w:val="00E408E4"/>
    <w:rsid w:val="00E6206A"/>
    <w:rsid w:val="00E62272"/>
    <w:rsid w:val="00E719A3"/>
    <w:rsid w:val="00E779FA"/>
    <w:rsid w:val="00E86B48"/>
    <w:rsid w:val="00E91EA8"/>
    <w:rsid w:val="00EA0E94"/>
    <w:rsid w:val="00EA1685"/>
    <w:rsid w:val="00EA5755"/>
    <w:rsid w:val="00EC67E9"/>
    <w:rsid w:val="00EE571D"/>
    <w:rsid w:val="00EE6472"/>
    <w:rsid w:val="00EE7AF7"/>
    <w:rsid w:val="00F01496"/>
    <w:rsid w:val="00F043E9"/>
    <w:rsid w:val="00F12F53"/>
    <w:rsid w:val="00F16BFA"/>
    <w:rsid w:val="00F413A1"/>
    <w:rsid w:val="00F45768"/>
    <w:rsid w:val="00F522A9"/>
    <w:rsid w:val="00F61195"/>
    <w:rsid w:val="00F700F9"/>
    <w:rsid w:val="00F75A0C"/>
    <w:rsid w:val="00F82150"/>
    <w:rsid w:val="00F827E3"/>
    <w:rsid w:val="00F86AC6"/>
    <w:rsid w:val="00F94576"/>
    <w:rsid w:val="00F9648F"/>
    <w:rsid w:val="00FA0671"/>
    <w:rsid w:val="00FA0AF2"/>
    <w:rsid w:val="00FB74F8"/>
    <w:rsid w:val="00FC0164"/>
    <w:rsid w:val="00FC05B0"/>
    <w:rsid w:val="00FD1B0F"/>
    <w:rsid w:val="00FD57FE"/>
    <w:rsid w:val="00FE2EE0"/>
    <w:rsid w:val="00FE38AC"/>
    <w:rsid w:val="00FE7857"/>
    <w:rsid w:val="00FE7EAF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8EAF"/>
  <w15:chartTrackingRefBased/>
  <w15:docId w15:val="{1C267AF5-850A-AA48-845F-A8BA3186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D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8DA"/>
    <w:pPr>
      <w:keepNext/>
      <w:keepLines/>
      <w:numPr>
        <w:numId w:val="1"/>
      </w:numPr>
      <w:spacing w:before="240" w:line="480" w:lineRule="auto"/>
      <w:jc w:val="center"/>
      <w:outlineLvl w:val="0"/>
    </w:pPr>
    <w:rPr>
      <w:rFonts w:eastAsia="MS Gothic"/>
      <w:caps/>
      <w:color w:val="000000" w:themeColor="text1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8DA"/>
    <w:pPr>
      <w:keepNext/>
      <w:keepLines/>
      <w:numPr>
        <w:ilvl w:val="1"/>
        <w:numId w:val="1"/>
      </w:numPr>
      <w:spacing w:before="40" w:line="480" w:lineRule="auto"/>
      <w:jc w:val="center"/>
      <w:outlineLvl w:val="1"/>
    </w:pPr>
    <w:rPr>
      <w:rFonts w:eastAsia="MS Gothic"/>
      <w:bCs/>
      <w:color w:val="000000"/>
      <w:szCs w:val="26"/>
      <w:shd w:val="clear" w:color="auto" w:fill="FFFFFF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938DA"/>
    <w:pPr>
      <w:jc w:val="left"/>
      <w:outlineLvl w:val="2"/>
    </w:pPr>
    <w:rPr>
      <w:b/>
      <w:bCs w:val="0"/>
    </w:rPr>
  </w:style>
  <w:style w:type="paragraph" w:styleId="Heading4">
    <w:name w:val="heading 4"/>
    <w:basedOn w:val="Normal"/>
    <w:link w:val="Heading4Char"/>
    <w:uiPriority w:val="9"/>
    <w:qFormat/>
    <w:rsid w:val="00D938DA"/>
    <w:pPr>
      <w:numPr>
        <w:ilvl w:val="3"/>
        <w:numId w:val="1"/>
      </w:numPr>
      <w:spacing w:before="100" w:beforeAutospacing="1" w:after="100" w:afterAutospacing="1"/>
      <w:outlineLvl w:val="3"/>
    </w:pPr>
    <w:rPr>
      <w:rFonts w:eastAsiaTheme="minorEastAsia"/>
      <w:b/>
      <w:bCs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38D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D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D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D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D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DA"/>
    <w:rPr>
      <w:rFonts w:ascii="Times New Roman" w:eastAsia="MS Gothic" w:hAnsi="Times New Roman" w:cs="Times New Roman"/>
      <w:cap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938DA"/>
    <w:rPr>
      <w:rFonts w:ascii="Times New Roman" w:eastAsia="MS Gothic" w:hAnsi="Times New Roman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38DA"/>
    <w:rPr>
      <w:rFonts w:ascii="Times New Roman" w:eastAsia="MS Gothic" w:hAnsi="Times New Roman" w:cs="Times New Roman"/>
      <w:b/>
      <w:color w:val="00000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38DA"/>
    <w:rPr>
      <w:rFonts w:ascii="Times New Roman" w:eastAsiaTheme="minorEastAsia" w:hAnsi="Times New Roman" w:cs="Times New Roman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938DA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DA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DA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D938DA"/>
    <w:pPr>
      <w:ind w:left="720"/>
      <w:contextualSpacing/>
    </w:pPr>
    <w:rPr>
      <w:rFonts w:eastAsiaTheme="minorEastAsia" w:cstheme="minorBidi"/>
      <w:lang w:eastAsia="en-US"/>
    </w:rPr>
  </w:style>
  <w:style w:type="table" w:customStyle="1" w:styleId="TableGrid4">
    <w:name w:val="Table Grid4"/>
    <w:basedOn w:val="TableNormal"/>
    <w:next w:val="TableGrid"/>
    <w:uiPriority w:val="59"/>
    <w:rsid w:val="00D938D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TableNormal"/>
    <w:uiPriority w:val="40"/>
    <w:rsid w:val="00D938DA"/>
    <w:rPr>
      <w:rFonts w:eastAsia="MS Minch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uiPriority w:val="59"/>
    <w:rsid w:val="00D9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163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12163"/>
  </w:style>
  <w:style w:type="character" w:styleId="Hyperlink">
    <w:name w:val="Hyperlink"/>
    <w:basedOn w:val="DefaultParagraphFont"/>
    <w:uiPriority w:val="99"/>
    <w:unhideWhenUsed/>
    <w:rsid w:val="000435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0604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33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33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37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15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D24B7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1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343"/>
    <w:rPr>
      <w:rFonts w:ascii="Times New Roman" w:eastAsia="Times New Roman" w:hAnsi="Times New Roman" w:cs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doi.org/10.1177/15248380198885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19312458.2020.17186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sf.io/q7c98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177/0734282912438844" TargetMode="External"/><Relationship Id="rId10" Type="http://schemas.openxmlformats.org/officeDocument/2006/relationships/hyperlink" Target="https://doi.org/10.17605/OSF.IO/Q7C9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19B171-556B-8640-BD24-E0B605D64177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9BBEEF3B4F42A6836E02967F965A" ma:contentTypeVersion="13" ma:contentTypeDescription="Create a new document." ma:contentTypeScope="" ma:versionID="2b8e7fb405ee7d8f621c6bf88c3650d0">
  <xsd:schema xmlns:xsd="http://www.w3.org/2001/XMLSchema" xmlns:xs="http://www.w3.org/2001/XMLSchema" xmlns:p="http://schemas.microsoft.com/office/2006/metadata/properties" xmlns:ns3="3d5df5d8-0794-457e-9a90-693efe337100" xmlns:ns4="3d7e4508-6619-47fa-98aa-1499f81b7f7a" targetNamespace="http://schemas.microsoft.com/office/2006/metadata/properties" ma:root="true" ma:fieldsID="fc849f8725a2a690ac0ebf09a8bdb26a" ns3:_="" ns4:_="">
    <xsd:import namespace="3d5df5d8-0794-457e-9a90-693efe337100"/>
    <xsd:import namespace="3d7e4508-6619-47fa-98aa-1499f81b7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f5d8-0794-457e-9a90-693efe33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e4508-6619-47fa-98aa-1499f81b7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565F4-C16A-4D80-AC6E-95831BC23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DB09A-940B-446B-8A5D-53B63064761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d5df5d8-0794-457e-9a90-693efe337100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d7e4508-6619-47fa-98aa-1499f81b7f7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D763EF-332B-45E3-9A39-5B2294F56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df5d8-0794-457e-9a90-693efe337100"/>
    <ds:schemaRef ds:uri="3d7e4508-6619-47fa-98aa-1499f81b7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5227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Noret</dc:creator>
  <cp:keywords/>
  <dc:description/>
  <cp:lastModifiedBy>Nathalie Noret</cp:lastModifiedBy>
  <cp:revision>2</cp:revision>
  <cp:lastPrinted>2021-02-20T18:26:00Z</cp:lastPrinted>
  <dcterms:created xsi:type="dcterms:W3CDTF">2022-02-02T14:44:00Z</dcterms:created>
  <dcterms:modified xsi:type="dcterms:W3CDTF">2022-02-02T14:44:00Z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documentId_2242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0x01010051C99BBEEF3B4F42A6836E02967F965A</vt:lpwstr>
  </property>
</Properties>
</file>