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111CE" w14:textId="3AF4EE28" w:rsidR="00B35521" w:rsidRDefault="00AD09B3" w:rsidP="00744725">
      <w:pPr>
        <w:jc w:val="center"/>
        <w:rPr>
          <w:sz w:val="22"/>
          <w:u w:val="single"/>
        </w:rPr>
      </w:pPr>
      <w:r w:rsidRPr="00526F43">
        <w:rPr>
          <w:sz w:val="22"/>
          <w:u w:val="single"/>
        </w:rPr>
        <w:t>The Great EU Citizenship Illusion Exposed: equal treatment rights</w:t>
      </w:r>
      <w:r w:rsidR="00E238CC" w:rsidRPr="00526F43">
        <w:rPr>
          <w:sz w:val="22"/>
          <w:u w:val="single"/>
        </w:rPr>
        <w:t xml:space="preserve"> evaporate for the vulnerable</w:t>
      </w:r>
    </w:p>
    <w:p w14:paraId="616157CF" w14:textId="6E7293E3" w:rsidR="00924855" w:rsidRDefault="00924855" w:rsidP="00744725">
      <w:pPr>
        <w:jc w:val="center"/>
        <w:rPr>
          <w:sz w:val="22"/>
          <w:u w:val="single"/>
        </w:rPr>
      </w:pPr>
    </w:p>
    <w:p w14:paraId="3CA056B0" w14:textId="6A6339AD" w:rsidR="00924855" w:rsidRDefault="00924855" w:rsidP="00924855">
      <w:pPr>
        <w:jc w:val="right"/>
        <w:rPr>
          <w:sz w:val="22"/>
        </w:rPr>
      </w:pPr>
      <w:r w:rsidRPr="00924855">
        <w:rPr>
          <w:sz w:val="22"/>
        </w:rPr>
        <w:t>Charlotte O’Brien*</w:t>
      </w:r>
    </w:p>
    <w:p w14:paraId="78BE0664" w14:textId="77777777" w:rsidR="00B35521" w:rsidRPr="00526F43" w:rsidRDefault="00B35521" w:rsidP="00681077">
      <w:pPr>
        <w:jc w:val="both"/>
        <w:rPr>
          <w:sz w:val="22"/>
        </w:rPr>
      </w:pPr>
    </w:p>
    <w:p w14:paraId="7B2070C8" w14:textId="3344FD81" w:rsidR="001517F4" w:rsidRPr="00526F43" w:rsidRDefault="001517F4" w:rsidP="00681077">
      <w:pPr>
        <w:jc w:val="both"/>
        <w:rPr>
          <w:b/>
          <w:bCs/>
          <w:sz w:val="22"/>
        </w:rPr>
      </w:pPr>
      <w:r w:rsidRPr="00526F43">
        <w:rPr>
          <w:b/>
          <w:bCs/>
          <w:sz w:val="22"/>
        </w:rPr>
        <w:t>Abstract</w:t>
      </w:r>
    </w:p>
    <w:p w14:paraId="2A3D6A53" w14:textId="13DFC00C" w:rsidR="001517F4" w:rsidRPr="00526F43" w:rsidRDefault="001517F4" w:rsidP="00681077">
      <w:pPr>
        <w:jc w:val="both"/>
        <w:rPr>
          <w:sz w:val="22"/>
        </w:rPr>
      </w:pPr>
    </w:p>
    <w:p w14:paraId="262369D9" w14:textId="787BC2FF" w:rsidR="00744725" w:rsidRPr="00526F43" w:rsidRDefault="00D90A9D" w:rsidP="00681077">
      <w:pPr>
        <w:jc w:val="both"/>
        <w:rPr>
          <w:sz w:val="22"/>
        </w:rPr>
      </w:pPr>
      <w:r w:rsidRPr="00526F43">
        <w:rPr>
          <w:sz w:val="22"/>
        </w:rPr>
        <w:t xml:space="preserve">EU nationals in the UK are going through an unprecedented shift of status. </w:t>
      </w:r>
      <w:proofErr w:type="gramStart"/>
      <w:r w:rsidRPr="00526F43">
        <w:rPr>
          <w:sz w:val="22"/>
        </w:rPr>
        <w:t>In order to</w:t>
      </w:r>
      <w:proofErr w:type="gramEnd"/>
      <w:r w:rsidRPr="00526F43">
        <w:rPr>
          <w:sz w:val="22"/>
        </w:rPr>
        <w:t xml:space="preserve"> retain their right to reside, they have had to apply to the UK’s EU Settled Status Scheme, to obtain either settled or pre-settled status – reflecting the distinction between permanent and temporary residence rights under the EU/UK Withdrawal Agreement. But the UK government has decided that pre-settled status </w:t>
      </w:r>
      <w:r w:rsidR="008F45AE" w:rsidRPr="00526F43">
        <w:rPr>
          <w:sz w:val="22"/>
        </w:rPr>
        <w:t>does not</w:t>
      </w:r>
      <w:r w:rsidRPr="00526F43">
        <w:rPr>
          <w:sz w:val="22"/>
        </w:rPr>
        <w:t xml:space="preserve"> entail equal treatment rights when it comes to accessing social assistance. In a dramatic turn of litigation events, this decision has been challenged in twin, parallel cases. In the first, </w:t>
      </w:r>
      <w:proofErr w:type="spellStart"/>
      <w:r w:rsidRPr="00526F43">
        <w:rPr>
          <w:i/>
          <w:iCs/>
          <w:sz w:val="22"/>
        </w:rPr>
        <w:t>Fratila</w:t>
      </w:r>
      <w:proofErr w:type="spellEnd"/>
      <w:r w:rsidRPr="00526F43">
        <w:rPr>
          <w:sz w:val="22"/>
        </w:rPr>
        <w:t>,</w:t>
      </w:r>
      <w:bookmarkStart w:id="0" w:name="_Ref84347109"/>
      <w:r w:rsidR="007C338C" w:rsidRPr="00526F43">
        <w:rPr>
          <w:rStyle w:val="FootnoteReference"/>
          <w:sz w:val="22"/>
        </w:rPr>
        <w:footnoteReference w:id="1"/>
      </w:r>
      <w:bookmarkEnd w:id="0"/>
      <w:r w:rsidRPr="00526F43">
        <w:rPr>
          <w:sz w:val="22"/>
        </w:rPr>
        <w:t xml:space="preserve"> the Court of Appeal of England and Wales quashed the regulations, as contrary to the landmark </w:t>
      </w:r>
      <w:r w:rsidRPr="00526F43">
        <w:rPr>
          <w:i/>
          <w:iCs/>
          <w:sz w:val="22"/>
        </w:rPr>
        <w:t>Trojani</w:t>
      </w:r>
      <w:r w:rsidR="007C338C" w:rsidRPr="00526F43">
        <w:rPr>
          <w:rStyle w:val="FootnoteReference"/>
          <w:i/>
          <w:iCs/>
          <w:sz w:val="22"/>
        </w:rPr>
        <w:footnoteReference w:id="2"/>
      </w:r>
      <w:r w:rsidRPr="00526F43">
        <w:rPr>
          <w:sz w:val="22"/>
        </w:rPr>
        <w:t xml:space="preserve"> ruling that an EU citizen with a right to reside is entitled to benefit from equal treatment rights</w:t>
      </w:r>
      <w:r w:rsidR="000E44EE" w:rsidRPr="00526F43">
        <w:rPr>
          <w:sz w:val="22"/>
        </w:rPr>
        <w:t xml:space="preserve"> </w:t>
      </w:r>
      <w:r w:rsidR="000E44EE" w:rsidRPr="00526F43">
        <w:rPr>
          <w:i/>
          <w:iCs/>
          <w:sz w:val="22"/>
        </w:rPr>
        <w:t>as an EU citizen</w:t>
      </w:r>
      <w:r w:rsidRPr="00526F43">
        <w:rPr>
          <w:sz w:val="22"/>
        </w:rPr>
        <w:t xml:space="preserve">. But that reasoning has been </w:t>
      </w:r>
      <w:r w:rsidR="000E44EE" w:rsidRPr="00526F43">
        <w:rPr>
          <w:sz w:val="22"/>
        </w:rPr>
        <w:t xml:space="preserve">– rather startlingly – upended </w:t>
      </w:r>
      <w:r w:rsidRPr="00526F43">
        <w:rPr>
          <w:sz w:val="22"/>
        </w:rPr>
        <w:t>in this case</w:t>
      </w:r>
      <w:r w:rsidR="008F45AE" w:rsidRPr="00526F43">
        <w:rPr>
          <w:sz w:val="22"/>
        </w:rPr>
        <w:t>. T</w:t>
      </w:r>
      <w:r w:rsidRPr="00526F43">
        <w:rPr>
          <w:sz w:val="22"/>
        </w:rPr>
        <w:t xml:space="preserve">he CJEU ignore </w:t>
      </w:r>
      <w:r w:rsidRPr="00526F43">
        <w:rPr>
          <w:i/>
          <w:iCs/>
          <w:sz w:val="22"/>
        </w:rPr>
        <w:t>Trojani</w:t>
      </w:r>
      <w:r w:rsidRPr="00526F43">
        <w:rPr>
          <w:sz w:val="22"/>
        </w:rPr>
        <w:t xml:space="preserve"> completely, drawing from </w:t>
      </w:r>
      <w:proofErr w:type="spellStart"/>
      <w:r w:rsidRPr="00526F43">
        <w:rPr>
          <w:i/>
          <w:iCs/>
          <w:sz w:val="22"/>
        </w:rPr>
        <w:t>Dano</w:t>
      </w:r>
      <w:proofErr w:type="spellEnd"/>
      <w:r w:rsidR="007C338C" w:rsidRPr="00526F43">
        <w:rPr>
          <w:rStyle w:val="FootnoteReference"/>
          <w:i/>
          <w:iCs/>
          <w:sz w:val="22"/>
        </w:rPr>
        <w:footnoteReference w:id="3"/>
      </w:r>
      <w:r w:rsidRPr="00526F43">
        <w:rPr>
          <w:sz w:val="22"/>
        </w:rPr>
        <w:t xml:space="preserve"> a sweeping exclusion from equal treatment rights for those not in work and without sufficient resources</w:t>
      </w:r>
      <w:r w:rsidR="000E44EE" w:rsidRPr="00526F43">
        <w:rPr>
          <w:sz w:val="22"/>
        </w:rPr>
        <w:t>. The only effect of having a domestic right to reside, according to the Court, is the opportunity to invoke the Charter of Fundamental Rights as a last resort. This judgment will have ramifications for EU migrants in the whole of the EU</w:t>
      </w:r>
      <w:r w:rsidR="005D046F" w:rsidRPr="00526F43">
        <w:rPr>
          <w:sz w:val="22"/>
        </w:rPr>
        <w:t xml:space="preserve">, casting aside </w:t>
      </w:r>
      <w:r w:rsidR="000E44EE" w:rsidRPr="00526F43">
        <w:rPr>
          <w:sz w:val="22"/>
        </w:rPr>
        <w:t xml:space="preserve">the primary law right to non-discrimination </w:t>
      </w:r>
      <w:r w:rsidR="005D046F" w:rsidRPr="00526F43">
        <w:rPr>
          <w:sz w:val="22"/>
        </w:rPr>
        <w:t>and exposing</w:t>
      </w:r>
      <w:r w:rsidR="000E44EE" w:rsidRPr="00526F43">
        <w:rPr>
          <w:sz w:val="22"/>
        </w:rPr>
        <w:t xml:space="preserve"> EU citizenship</w:t>
      </w:r>
      <w:r w:rsidR="004025AE" w:rsidRPr="00526F43">
        <w:rPr>
          <w:sz w:val="22"/>
        </w:rPr>
        <w:t>’s great illusion of social solidarity</w:t>
      </w:r>
      <w:r w:rsidR="005D046F" w:rsidRPr="00526F43">
        <w:rPr>
          <w:sz w:val="22"/>
        </w:rPr>
        <w:t>.</w:t>
      </w:r>
    </w:p>
    <w:p w14:paraId="20955570" w14:textId="77777777" w:rsidR="00744725" w:rsidRPr="00526F43" w:rsidRDefault="00744725" w:rsidP="00681077">
      <w:pPr>
        <w:jc w:val="both"/>
        <w:rPr>
          <w:sz w:val="22"/>
        </w:rPr>
      </w:pPr>
    </w:p>
    <w:p w14:paraId="72D88DBF" w14:textId="77777777" w:rsidR="00F22FAB" w:rsidRPr="00526F43" w:rsidRDefault="00F22FAB" w:rsidP="00681077">
      <w:pPr>
        <w:jc w:val="both"/>
        <w:rPr>
          <w:sz w:val="22"/>
        </w:rPr>
      </w:pPr>
    </w:p>
    <w:p w14:paraId="46715D78" w14:textId="4E47C09D" w:rsidR="001517F4" w:rsidRPr="00526F43" w:rsidRDefault="001517F4" w:rsidP="00681077">
      <w:pPr>
        <w:jc w:val="both"/>
        <w:rPr>
          <w:b/>
          <w:bCs/>
          <w:sz w:val="22"/>
        </w:rPr>
      </w:pPr>
      <w:r w:rsidRPr="00526F43">
        <w:rPr>
          <w:b/>
          <w:bCs/>
          <w:sz w:val="22"/>
        </w:rPr>
        <w:t>Factual and legal background</w:t>
      </w:r>
    </w:p>
    <w:p w14:paraId="31B51928" w14:textId="0B92F05F" w:rsidR="001517F4" w:rsidRPr="00526F43" w:rsidRDefault="001517F4" w:rsidP="00681077">
      <w:pPr>
        <w:jc w:val="both"/>
        <w:rPr>
          <w:sz w:val="22"/>
        </w:rPr>
      </w:pPr>
    </w:p>
    <w:p w14:paraId="3B7A2AAE" w14:textId="37E4767B" w:rsidR="000573EC" w:rsidRPr="00526F43" w:rsidRDefault="000573EC" w:rsidP="00681077">
      <w:pPr>
        <w:jc w:val="both"/>
        <w:rPr>
          <w:sz w:val="22"/>
        </w:rPr>
      </w:pPr>
      <w:r w:rsidRPr="00526F43">
        <w:rPr>
          <w:sz w:val="22"/>
        </w:rPr>
        <w:t xml:space="preserve">Some of the most vulnerable EU citizens caught up in the Brexit maelstrom in the UK have been waiting on this CJEU decision – and they have been sadly let down. </w:t>
      </w:r>
      <w:r w:rsidR="00130CF5" w:rsidRPr="00526F43">
        <w:rPr>
          <w:sz w:val="22"/>
        </w:rPr>
        <w:t>And</w:t>
      </w:r>
      <w:r w:rsidRPr="00526F43">
        <w:rPr>
          <w:sz w:val="22"/>
        </w:rPr>
        <w:t xml:space="preserve"> while t</w:t>
      </w:r>
      <w:r w:rsidR="00681077" w:rsidRPr="00526F43">
        <w:rPr>
          <w:sz w:val="22"/>
        </w:rPr>
        <w:t xml:space="preserve">his case developed as a quirk of Brexit, </w:t>
      </w:r>
      <w:r w:rsidR="00A307DF" w:rsidRPr="00526F43">
        <w:rPr>
          <w:sz w:val="22"/>
        </w:rPr>
        <w:t xml:space="preserve">the </w:t>
      </w:r>
      <w:r w:rsidR="00681077" w:rsidRPr="00526F43">
        <w:rPr>
          <w:sz w:val="22"/>
        </w:rPr>
        <w:t xml:space="preserve">judgment </w:t>
      </w:r>
      <w:r w:rsidR="00130CF5" w:rsidRPr="00526F43">
        <w:rPr>
          <w:sz w:val="22"/>
        </w:rPr>
        <w:t>has consequences</w:t>
      </w:r>
      <w:r w:rsidR="00AC258B" w:rsidRPr="00526F43">
        <w:rPr>
          <w:sz w:val="22"/>
        </w:rPr>
        <w:t xml:space="preserve"> for the </w:t>
      </w:r>
      <w:r w:rsidRPr="00526F43">
        <w:rPr>
          <w:sz w:val="22"/>
        </w:rPr>
        <w:t xml:space="preserve">construction of equal EU citizenship rights and equal treatment throughout the </w:t>
      </w:r>
      <w:r w:rsidR="00AC258B" w:rsidRPr="00526F43">
        <w:rPr>
          <w:sz w:val="22"/>
        </w:rPr>
        <w:t xml:space="preserve">whole of the EU. </w:t>
      </w:r>
    </w:p>
    <w:p w14:paraId="7A8CE909" w14:textId="77777777" w:rsidR="000573EC" w:rsidRPr="00526F43" w:rsidRDefault="000573EC" w:rsidP="00681077">
      <w:pPr>
        <w:jc w:val="both"/>
        <w:rPr>
          <w:sz w:val="22"/>
        </w:rPr>
      </w:pPr>
    </w:p>
    <w:p w14:paraId="17D8AF33" w14:textId="074A5546" w:rsidR="00AC188F" w:rsidRPr="00526F43" w:rsidRDefault="000573EC" w:rsidP="00681077">
      <w:pPr>
        <w:jc w:val="both"/>
        <w:rPr>
          <w:sz w:val="22"/>
        </w:rPr>
      </w:pPr>
      <w:r w:rsidRPr="00526F43">
        <w:rPr>
          <w:sz w:val="22"/>
        </w:rPr>
        <w:t xml:space="preserve">The case concerns the rights of holders of “pre-settled status” in the UK to access welfare benefits on equal terms with UK nationals. </w:t>
      </w:r>
      <w:r w:rsidR="00A307DF" w:rsidRPr="00526F43">
        <w:rPr>
          <w:sz w:val="22"/>
        </w:rPr>
        <w:t xml:space="preserve">Before the introduction of special measures to deal with the departure from the EU, </w:t>
      </w:r>
      <w:r w:rsidR="00AC188F" w:rsidRPr="00526F43">
        <w:rPr>
          <w:sz w:val="22"/>
        </w:rPr>
        <w:t>EU</w:t>
      </w:r>
      <w:r w:rsidR="00A307DF" w:rsidRPr="00526F43">
        <w:rPr>
          <w:sz w:val="22"/>
        </w:rPr>
        <w:t>/EEA</w:t>
      </w:r>
      <w:r w:rsidR="00AC188F" w:rsidRPr="00526F43">
        <w:rPr>
          <w:sz w:val="22"/>
        </w:rPr>
        <w:t xml:space="preserve"> nationals claiming key means-tested benefits in the UK had to demonstrate a ‘right to reside’ under Directive 2004/38,</w:t>
      </w:r>
      <w:r w:rsidR="003C3E07" w:rsidRPr="00526F43">
        <w:rPr>
          <w:rStyle w:val="FootnoteReference"/>
          <w:sz w:val="22"/>
        </w:rPr>
        <w:footnoteReference w:id="4"/>
      </w:r>
      <w:r w:rsidR="00AC188F" w:rsidRPr="00526F43">
        <w:rPr>
          <w:sz w:val="22"/>
        </w:rPr>
        <w:t xml:space="preserve"> as reflected in the Immigration (European Economic Area) Regulations 2016.</w:t>
      </w:r>
      <w:r w:rsidR="003C3E07" w:rsidRPr="00526F43">
        <w:rPr>
          <w:rStyle w:val="FootnoteReference"/>
          <w:sz w:val="22"/>
        </w:rPr>
        <w:footnoteReference w:id="5"/>
      </w:r>
      <w:r w:rsidR="00AC188F" w:rsidRPr="00526F43">
        <w:rPr>
          <w:sz w:val="22"/>
        </w:rPr>
        <w:t xml:space="preserve"> There are a number of ways to show a right to reside, but because of restrictions placed on the ‘self-sufficient’, on students, and on work seekers, this typically means claimants must have worker status, be the family member of a worker, or have held either of those statuses continuously for five years on order to rely on permanent residence.</w:t>
      </w:r>
      <w:bookmarkStart w:id="1" w:name="_Ref84333163"/>
      <w:r w:rsidR="003C3E07" w:rsidRPr="00526F43">
        <w:rPr>
          <w:rStyle w:val="FootnoteReference"/>
          <w:sz w:val="22"/>
        </w:rPr>
        <w:footnoteReference w:id="6"/>
      </w:r>
      <w:bookmarkEnd w:id="1"/>
      <w:r w:rsidR="00AC188F" w:rsidRPr="00526F43">
        <w:rPr>
          <w:sz w:val="22"/>
        </w:rPr>
        <w:t xml:space="preserve"> </w:t>
      </w:r>
    </w:p>
    <w:p w14:paraId="3C115D4D" w14:textId="151636CC" w:rsidR="00AC188F" w:rsidRPr="00526F43" w:rsidRDefault="00AC188F" w:rsidP="00681077">
      <w:pPr>
        <w:jc w:val="both"/>
        <w:rPr>
          <w:sz w:val="22"/>
        </w:rPr>
      </w:pPr>
    </w:p>
    <w:p w14:paraId="316A20DD" w14:textId="1DF53473" w:rsidR="00AB05B8" w:rsidRPr="00526F43" w:rsidRDefault="00AB05B8" w:rsidP="00681077">
      <w:pPr>
        <w:jc w:val="both"/>
        <w:rPr>
          <w:sz w:val="22"/>
        </w:rPr>
      </w:pPr>
      <w:r w:rsidRPr="00526F43">
        <w:rPr>
          <w:sz w:val="22"/>
        </w:rPr>
        <w:t>In amending the Immigration Rules to prepare for Brexit, the UK created two new rights to reside – settled and pre-settled status under the EU Settled Status scheme (EUSS).</w:t>
      </w:r>
      <w:r w:rsidR="00A307DF" w:rsidRPr="00526F43">
        <w:rPr>
          <w:rStyle w:val="FootnoteReference"/>
          <w:sz w:val="22"/>
        </w:rPr>
        <w:footnoteReference w:id="7"/>
      </w:r>
      <w:r w:rsidRPr="00526F43">
        <w:rPr>
          <w:sz w:val="22"/>
        </w:rPr>
        <w:t xml:space="preserve"> </w:t>
      </w:r>
      <w:r w:rsidR="008D1246" w:rsidRPr="00526F43">
        <w:rPr>
          <w:sz w:val="22"/>
        </w:rPr>
        <w:t xml:space="preserve">Neither status required meeting any conditions as to economic </w:t>
      </w:r>
      <w:proofErr w:type="gramStart"/>
      <w:r w:rsidR="008D1246" w:rsidRPr="00526F43">
        <w:rPr>
          <w:sz w:val="22"/>
        </w:rPr>
        <w:t>activity, or</w:t>
      </w:r>
      <w:proofErr w:type="gramEnd"/>
      <w:r w:rsidR="008D1246" w:rsidRPr="00526F43">
        <w:rPr>
          <w:sz w:val="22"/>
        </w:rPr>
        <w:t xml:space="preserve"> relating to rights to reside under the 2016 regulations or Directive 2004/38. Broadly speaking, those with five or more </w:t>
      </w:r>
      <w:proofErr w:type="gramStart"/>
      <w:r w:rsidR="008D1246" w:rsidRPr="00526F43">
        <w:rPr>
          <w:sz w:val="22"/>
        </w:rPr>
        <w:t>years’</w:t>
      </w:r>
      <w:proofErr w:type="gramEnd"/>
      <w:r w:rsidR="008D1246" w:rsidRPr="00526F43">
        <w:rPr>
          <w:sz w:val="22"/>
        </w:rPr>
        <w:t xml:space="preserve"> of continuous residence</w:t>
      </w:r>
      <w:r w:rsidR="008D1246" w:rsidRPr="00526F43">
        <w:rPr>
          <w:rStyle w:val="FootnoteReference"/>
          <w:sz w:val="22"/>
        </w:rPr>
        <w:footnoteReference w:id="8"/>
      </w:r>
      <w:r w:rsidR="008D1246" w:rsidRPr="00526F43">
        <w:rPr>
          <w:sz w:val="22"/>
        </w:rPr>
        <w:t xml:space="preserve"> in the UK could get settled status, while those resident for a shorter period at the point application would be </w:t>
      </w:r>
      <w:r w:rsidR="008D1246" w:rsidRPr="00526F43">
        <w:rPr>
          <w:sz w:val="22"/>
        </w:rPr>
        <w:lastRenderedPageBreak/>
        <w:t xml:space="preserve">entitled to pre-settled status. </w:t>
      </w:r>
      <w:r w:rsidRPr="00526F43">
        <w:rPr>
          <w:sz w:val="22"/>
        </w:rPr>
        <w:t xml:space="preserve">All EU </w:t>
      </w:r>
      <w:proofErr w:type="gramStart"/>
      <w:r w:rsidRPr="00526F43">
        <w:rPr>
          <w:sz w:val="22"/>
        </w:rPr>
        <w:t>nationals</w:t>
      </w:r>
      <w:proofErr w:type="gramEnd"/>
      <w:r w:rsidRPr="00526F43">
        <w:rPr>
          <w:sz w:val="22"/>
        </w:rPr>
        <w:t xml:space="preserve"> resident in the UK at the end of the transition period who wanted to continue to live in the UK thereafter were required to apply to the EUSS. Those who </w:t>
      </w:r>
      <w:r w:rsidR="00130CF5" w:rsidRPr="00526F43">
        <w:rPr>
          <w:sz w:val="22"/>
        </w:rPr>
        <w:t xml:space="preserve">did not apply by the </w:t>
      </w:r>
      <w:proofErr w:type="gramStart"/>
      <w:r w:rsidR="00130CF5" w:rsidRPr="00526F43">
        <w:rPr>
          <w:sz w:val="22"/>
        </w:rPr>
        <w:t>30</w:t>
      </w:r>
      <w:r w:rsidR="00130CF5" w:rsidRPr="00526F43">
        <w:rPr>
          <w:sz w:val="22"/>
          <w:vertAlign w:val="superscript"/>
        </w:rPr>
        <w:t>th</w:t>
      </w:r>
      <w:proofErr w:type="gramEnd"/>
      <w:r w:rsidR="00130CF5" w:rsidRPr="00526F43">
        <w:rPr>
          <w:sz w:val="22"/>
        </w:rPr>
        <w:t xml:space="preserve"> June 2021 </w:t>
      </w:r>
      <w:r w:rsidRPr="00526F43">
        <w:rPr>
          <w:sz w:val="22"/>
        </w:rPr>
        <w:t>have an opportunity to apply late, provided they can supply reasonable grounds for missing the deadline.</w:t>
      </w:r>
      <w:bookmarkStart w:id="2" w:name="_Ref84329414"/>
      <w:r w:rsidR="00A307DF" w:rsidRPr="00526F43">
        <w:rPr>
          <w:rStyle w:val="FootnoteReference"/>
          <w:sz w:val="22"/>
        </w:rPr>
        <w:footnoteReference w:id="9"/>
      </w:r>
      <w:bookmarkEnd w:id="2"/>
      <w:r w:rsidRPr="00526F43">
        <w:rPr>
          <w:sz w:val="22"/>
        </w:rPr>
        <w:t xml:space="preserve"> This scheme is taken to discharge the UK’s obligations</w:t>
      </w:r>
      <w:r w:rsidR="00A307DF" w:rsidRPr="00526F43">
        <w:rPr>
          <w:sz w:val="22"/>
        </w:rPr>
        <w:t xml:space="preserve"> </w:t>
      </w:r>
      <w:r w:rsidRPr="00526F43">
        <w:rPr>
          <w:sz w:val="22"/>
        </w:rPr>
        <w:t>in the UK/EU Withdrawal Agreement,</w:t>
      </w:r>
      <w:r w:rsidR="00A307DF" w:rsidRPr="00526F43">
        <w:rPr>
          <w:rStyle w:val="FootnoteReference"/>
          <w:sz w:val="22"/>
        </w:rPr>
        <w:footnoteReference w:id="10"/>
      </w:r>
      <w:r w:rsidRPr="00526F43">
        <w:rPr>
          <w:sz w:val="22"/>
        </w:rPr>
        <w:t xml:space="preserve"> which is given effect in the European Union (Withdrawal Agreement) Act 2020. </w:t>
      </w:r>
    </w:p>
    <w:p w14:paraId="2433C4F2" w14:textId="71174131" w:rsidR="00AB05B8" w:rsidRPr="00526F43" w:rsidRDefault="00AB05B8" w:rsidP="00681077">
      <w:pPr>
        <w:jc w:val="both"/>
        <w:rPr>
          <w:sz w:val="22"/>
        </w:rPr>
      </w:pPr>
    </w:p>
    <w:p w14:paraId="1FECBC32" w14:textId="62E9F3FF" w:rsidR="00AC188F" w:rsidRPr="00526F43" w:rsidRDefault="00AB05B8" w:rsidP="00681077">
      <w:pPr>
        <w:jc w:val="both"/>
        <w:rPr>
          <w:sz w:val="22"/>
        </w:rPr>
      </w:pPr>
      <w:r w:rsidRPr="00526F43">
        <w:rPr>
          <w:sz w:val="22"/>
        </w:rPr>
        <w:t xml:space="preserve">After having </w:t>
      </w:r>
      <w:proofErr w:type="gramStart"/>
      <w:r w:rsidRPr="00526F43">
        <w:rPr>
          <w:sz w:val="22"/>
        </w:rPr>
        <w:t>opened up</w:t>
      </w:r>
      <w:proofErr w:type="gramEnd"/>
      <w:r w:rsidRPr="00526F43">
        <w:rPr>
          <w:sz w:val="22"/>
        </w:rPr>
        <w:t xml:space="preserve"> the EUSS scheme in March 2019, the UK government then laid new regulations</w:t>
      </w:r>
      <w:r w:rsidR="00A307DF" w:rsidRPr="00526F43">
        <w:rPr>
          <w:rStyle w:val="FootnoteReference"/>
          <w:sz w:val="22"/>
        </w:rPr>
        <w:footnoteReference w:id="11"/>
      </w:r>
      <w:r w:rsidRPr="00526F43">
        <w:rPr>
          <w:sz w:val="22"/>
        </w:rPr>
        <w:t xml:space="preserve"> which came into force in May 2019, to stop pre-settled status from counting as a right to reside when claiming benefits, effectively requiring an additional right to reside for benefit eligibility. In two separate high-profile cases, claimants challenged these regulations as discriminating </w:t>
      </w:r>
      <w:proofErr w:type="gramStart"/>
      <w:r w:rsidRPr="00526F43">
        <w:rPr>
          <w:sz w:val="22"/>
        </w:rPr>
        <w:t>on the basis of</w:t>
      </w:r>
      <w:proofErr w:type="gramEnd"/>
      <w:r w:rsidRPr="00526F43">
        <w:rPr>
          <w:sz w:val="22"/>
        </w:rPr>
        <w:t xml:space="preserve"> nationality.</w:t>
      </w:r>
      <w:r w:rsidR="004A477F" w:rsidRPr="00526F43">
        <w:rPr>
          <w:sz w:val="22"/>
        </w:rPr>
        <w:t xml:space="preserve"> </w:t>
      </w:r>
      <w:r w:rsidR="00B65888" w:rsidRPr="00526F43">
        <w:rPr>
          <w:sz w:val="22"/>
        </w:rPr>
        <w:t xml:space="preserve">In </w:t>
      </w:r>
      <w:proofErr w:type="spellStart"/>
      <w:r w:rsidR="00B65888" w:rsidRPr="00526F43">
        <w:rPr>
          <w:i/>
          <w:iCs/>
          <w:sz w:val="22"/>
        </w:rPr>
        <w:t>Fratila</w:t>
      </w:r>
      <w:proofErr w:type="spellEnd"/>
      <w:r w:rsidR="00B65888" w:rsidRPr="00526F43">
        <w:rPr>
          <w:sz w:val="22"/>
        </w:rPr>
        <w:t xml:space="preserve">, the Court of Appeal of England and Wales heard arguments in October 2020, then handed down a judgment on the </w:t>
      </w:r>
      <w:proofErr w:type="gramStart"/>
      <w:r w:rsidR="00B65888" w:rsidRPr="00526F43">
        <w:rPr>
          <w:sz w:val="22"/>
        </w:rPr>
        <w:t>18</w:t>
      </w:r>
      <w:r w:rsidR="00B65888" w:rsidRPr="00526F43">
        <w:rPr>
          <w:sz w:val="22"/>
          <w:vertAlign w:val="superscript"/>
        </w:rPr>
        <w:t>th</w:t>
      </w:r>
      <w:proofErr w:type="gramEnd"/>
      <w:r w:rsidR="00B65888" w:rsidRPr="00526F43">
        <w:rPr>
          <w:sz w:val="22"/>
        </w:rPr>
        <w:t xml:space="preserve"> December 2020, finding in favour of the claimants – drawing upon </w:t>
      </w:r>
      <w:r w:rsidR="00B65888" w:rsidRPr="00526F43">
        <w:rPr>
          <w:i/>
          <w:iCs/>
          <w:sz w:val="22"/>
        </w:rPr>
        <w:t>Trojani</w:t>
      </w:r>
      <w:r w:rsidR="00B65888" w:rsidRPr="00526F43">
        <w:rPr>
          <w:sz w:val="22"/>
        </w:rPr>
        <w:t xml:space="preserve"> to find that once a right to reside was granted</w:t>
      </w:r>
      <w:r w:rsidR="00EA7D58" w:rsidRPr="00526F43">
        <w:rPr>
          <w:sz w:val="22"/>
        </w:rPr>
        <w:t xml:space="preserve"> to an EU national</w:t>
      </w:r>
      <w:r w:rsidR="00B65888" w:rsidRPr="00526F43">
        <w:rPr>
          <w:sz w:val="22"/>
        </w:rPr>
        <w:t xml:space="preserve"> by a State subject to EU law, that State </w:t>
      </w:r>
      <w:r w:rsidR="00EA7D58" w:rsidRPr="00526F43">
        <w:rPr>
          <w:sz w:val="22"/>
        </w:rPr>
        <w:t>could</w:t>
      </w:r>
      <w:r w:rsidR="00B65888" w:rsidRPr="00526F43">
        <w:rPr>
          <w:sz w:val="22"/>
        </w:rPr>
        <w:t xml:space="preserve"> </w:t>
      </w:r>
      <w:r w:rsidR="00EA7D58" w:rsidRPr="00526F43">
        <w:rPr>
          <w:sz w:val="22"/>
        </w:rPr>
        <w:t xml:space="preserve">not discriminate against them on the grounds of nationality. The regulations at issue </w:t>
      </w:r>
      <w:r w:rsidR="004A477F" w:rsidRPr="00526F43">
        <w:rPr>
          <w:sz w:val="22"/>
        </w:rPr>
        <w:t xml:space="preserve">in </w:t>
      </w:r>
      <w:proofErr w:type="spellStart"/>
      <w:r w:rsidR="004A477F" w:rsidRPr="00526F43">
        <w:rPr>
          <w:i/>
          <w:iCs/>
          <w:sz w:val="22"/>
        </w:rPr>
        <w:t>Fratila</w:t>
      </w:r>
      <w:proofErr w:type="spellEnd"/>
      <w:r w:rsidR="004A477F" w:rsidRPr="00526F43">
        <w:rPr>
          <w:i/>
          <w:iCs/>
          <w:sz w:val="22"/>
        </w:rPr>
        <w:t xml:space="preserve"> </w:t>
      </w:r>
      <w:r w:rsidR="00EA7D58" w:rsidRPr="00526F43">
        <w:rPr>
          <w:sz w:val="22"/>
        </w:rPr>
        <w:t>discriminat</w:t>
      </w:r>
      <w:r w:rsidR="004A477F" w:rsidRPr="00526F43">
        <w:rPr>
          <w:sz w:val="22"/>
        </w:rPr>
        <w:t>e</w:t>
      </w:r>
      <w:r w:rsidR="00EA7D58" w:rsidRPr="00526F43">
        <w:rPr>
          <w:sz w:val="22"/>
        </w:rPr>
        <w:t xml:space="preserve"> against EU nationals with a domestic right to reside, as compared to UK nationals with a domestic right to reside. That the UK government wished to preserve the pre-existing rules on benefit entitlement was not enough – the fact of holding pre-settled status had legal consequences. </w:t>
      </w:r>
    </w:p>
    <w:p w14:paraId="3C837C9B" w14:textId="1B500A1F" w:rsidR="00AB05B8" w:rsidRPr="00526F43" w:rsidRDefault="00AB05B8" w:rsidP="00681077">
      <w:pPr>
        <w:jc w:val="both"/>
        <w:rPr>
          <w:sz w:val="22"/>
        </w:rPr>
      </w:pPr>
    </w:p>
    <w:p w14:paraId="68A1097F" w14:textId="060F686A" w:rsidR="00AB05B8" w:rsidRPr="00526F43" w:rsidRDefault="00EA7D58" w:rsidP="00681077">
      <w:pPr>
        <w:jc w:val="both"/>
        <w:rPr>
          <w:sz w:val="22"/>
        </w:rPr>
      </w:pPr>
      <w:r w:rsidRPr="00526F43">
        <w:rPr>
          <w:sz w:val="22"/>
        </w:rPr>
        <w:t xml:space="preserve">The Secretary of State for </w:t>
      </w:r>
      <w:r w:rsidR="00897A49" w:rsidRPr="00526F43">
        <w:rPr>
          <w:sz w:val="22"/>
        </w:rPr>
        <w:t>W</w:t>
      </w:r>
      <w:r w:rsidRPr="00526F43">
        <w:rPr>
          <w:sz w:val="22"/>
        </w:rPr>
        <w:t xml:space="preserve">ork and Pensions applied for, and was granted, permission to appeal to the UK Supreme Court. In the meantime, however, a </w:t>
      </w:r>
      <w:proofErr w:type="gramStart"/>
      <w:r w:rsidRPr="00526F43">
        <w:rPr>
          <w:sz w:val="22"/>
        </w:rPr>
        <w:t>first tier</w:t>
      </w:r>
      <w:proofErr w:type="gramEnd"/>
      <w:r w:rsidRPr="00526F43">
        <w:rPr>
          <w:sz w:val="22"/>
        </w:rPr>
        <w:t xml:space="preserve"> social security tribunal in Northern Ireland, also hearing an appeal from a claimant relying on her pre-settled status to claim benefits, made a preliminary reference to the CJEU, which was recorded on the 30</w:t>
      </w:r>
      <w:r w:rsidRPr="00526F43">
        <w:rPr>
          <w:sz w:val="22"/>
          <w:vertAlign w:val="superscript"/>
        </w:rPr>
        <w:t>th</w:t>
      </w:r>
      <w:r w:rsidRPr="00526F43">
        <w:rPr>
          <w:sz w:val="22"/>
        </w:rPr>
        <w:t xml:space="preserve"> December 2020. The UK Supreme Court case was later adjourned, pending the CJEU judgment – </w:t>
      </w:r>
      <w:r w:rsidRPr="00526F43">
        <w:rPr>
          <w:i/>
          <w:iCs/>
          <w:sz w:val="22"/>
        </w:rPr>
        <w:t>CG</w:t>
      </w:r>
      <w:r w:rsidR="00897A49" w:rsidRPr="00526F43">
        <w:rPr>
          <w:rStyle w:val="FootnoteReference"/>
          <w:sz w:val="22"/>
        </w:rPr>
        <w:footnoteReference w:id="12"/>
      </w:r>
      <w:r w:rsidRPr="00526F43">
        <w:rPr>
          <w:sz w:val="22"/>
        </w:rPr>
        <w:t xml:space="preserve"> – the subject of this case note. </w:t>
      </w:r>
    </w:p>
    <w:p w14:paraId="2C83950D" w14:textId="4EF9ED09" w:rsidR="00EA7D58" w:rsidRPr="00526F43" w:rsidRDefault="00EA7D58" w:rsidP="00681077">
      <w:pPr>
        <w:jc w:val="both"/>
        <w:rPr>
          <w:sz w:val="22"/>
        </w:rPr>
      </w:pPr>
    </w:p>
    <w:p w14:paraId="45087FBE" w14:textId="5C8EAC2A" w:rsidR="008D1246" w:rsidRPr="00526F43" w:rsidRDefault="008D1246" w:rsidP="00681077">
      <w:pPr>
        <w:jc w:val="both"/>
        <w:rPr>
          <w:sz w:val="22"/>
        </w:rPr>
      </w:pPr>
      <w:r w:rsidRPr="00526F43">
        <w:rPr>
          <w:sz w:val="22"/>
        </w:rPr>
        <w:t>CG</w:t>
      </w:r>
      <w:r w:rsidR="00F56CE3">
        <w:rPr>
          <w:sz w:val="22"/>
        </w:rPr>
        <w:t>, an EU citizen with dual Croatian and Netherlands nationality,</w:t>
      </w:r>
      <w:r w:rsidRPr="00526F43">
        <w:rPr>
          <w:sz w:val="22"/>
        </w:rPr>
        <w:t xml:space="preserve"> had moved to the UK (Northern Ireland) in 2018, and had lived with her partner. She applied to the EUSS </w:t>
      </w:r>
      <w:proofErr w:type="gramStart"/>
      <w:r w:rsidRPr="00526F43">
        <w:rPr>
          <w:sz w:val="22"/>
        </w:rPr>
        <w:t>scheme, and</w:t>
      </w:r>
      <w:proofErr w:type="gramEnd"/>
      <w:r w:rsidRPr="00526F43">
        <w:rPr>
          <w:sz w:val="22"/>
        </w:rPr>
        <w:t xml:space="preserve"> was granted pre-settled status in June 2020. She </w:t>
      </w:r>
      <w:r w:rsidR="004A477F" w:rsidRPr="00526F43">
        <w:rPr>
          <w:sz w:val="22"/>
        </w:rPr>
        <w:t>later</w:t>
      </w:r>
      <w:r w:rsidRPr="00526F43">
        <w:rPr>
          <w:sz w:val="22"/>
        </w:rPr>
        <w:t xml:space="preserve"> applied for Universal Credit. At that point, she was a single parent with two very young children, living in a refuge having fled her partner due to domestic violence, with ‘no resources and… no access to any social security benefits at all to provide for her and her two children’s needs’.</w:t>
      </w:r>
      <w:r w:rsidRPr="00526F43">
        <w:rPr>
          <w:rStyle w:val="FootnoteReference"/>
          <w:sz w:val="22"/>
        </w:rPr>
        <w:footnoteReference w:id="13"/>
      </w:r>
      <w:r w:rsidR="00A23A96" w:rsidRPr="00526F43">
        <w:rPr>
          <w:sz w:val="22"/>
        </w:rPr>
        <w:t xml:space="preserve"> Her UC application was refused </w:t>
      </w:r>
      <w:r w:rsidR="00F56CE3">
        <w:rPr>
          <w:sz w:val="22"/>
        </w:rPr>
        <w:t xml:space="preserve">because </w:t>
      </w:r>
      <w:r w:rsidR="00A23A96" w:rsidRPr="00526F43">
        <w:rPr>
          <w:sz w:val="22"/>
        </w:rPr>
        <w:t>the regulations at issue required her to show another right to reside before she could be eligible for UC. The claimant’s appeal countered that the regulations infringed Article 18 TFEU, and constituted discrimination on the grounds of nationality. The tribunal stayed proceedings and referred two questions to the CJEU – essentially, whether the regulations were (directly or indirectly) discriminator</w:t>
      </w:r>
      <w:r w:rsidR="004A477F" w:rsidRPr="00526F43">
        <w:rPr>
          <w:sz w:val="22"/>
        </w:rPr>
        <w:t>y</w:t>
      </w:r>
      <w:r w:rsidR="00A23A96" w:rsidRPr="00526F43">
        <w:rPr>
          <w:sz w:val="22"/>
        </w:rPr>
        <w:t xml:space="preserve"> contrary to Article 18 TFEU, and if they were indirectly discriminatory, whether they were justified.  </w:t>
      </w:r>
    </w:p>
    <w:p w14:paraId="65075FE3" w14:textId="72196D65" w:rsidR="00EA7D58" w:rsidRPr="00526F43" w:rsidRDefault="00EA7D58" w:rsidP="00681077">
      <w:pPr>
        <w:jc w:val="both"/>
        <w:rPr>
          <w:sz w:val="22"/>
        </w:rPr>
      </w:pPr>
    </w:p>
    <w:p w14:paraId="29F78BE5" w14:textId="77777777" w:rsidR="00EA7D58" w:rsidRPr="00526F43" w:rsidRDefault="00EA7D58" w:rsidP="00681077">
      <w:pPr>
        <w:jc w:val="both"/>
        <w:rPr>
          <w:sz w:val="22"/>
        </w:rPr>
      </w:pPr>
    </w:p>
    <w:p w14:paraId="1F1C2203" w14:textId="78837437" w:rsidR="001517F4" w:rsidRPr="00526F43" w:rsidRDefault="001517F4" w:rsidP="00681077">
      <w:pPr>
        <w:jc w:val="both"/>
        <w:rPr>
          <w:b/>
          <w:bCs/>
          <w:sz w:val="22"/>
        </w:rPr>
      </w:pPr>
      <w:r w:rsidRPr="00526F43">
        <w:rPr>
          <w:b/>
          <w:bCs/>
          <w:sz w:val="22"/>
        </w:rPr>
        <w:t>Opinion</w:t>
      </w:r>
      <w:r w:rsidR="00116BFF" w:rsidRPr="00526F43">
        <w:rPr>
          <w:b/>
          <w:bCs/>
          <w:sz w:val="22"/>
        </w:rPr>
        <w:t xml:space="preserve"> of the Advocate General</w:t>
      </w:r>
    </w:p>
    <w:p w14:paraId="3839AA41" w14:textId="0931C66D" w:rsidR="001517F4" w:rsidRPr="00526F43" w:rsidRDefault="001517F4" w:rsidP="00681077">
      <w:pPr>
        <w:jc w:val="both"/>
        <w:rPr>
          <w:sz w:val="22"/>
        </w:rPr>
      </w:pPr>
    </w:p>
    <w:p w14:paraId="448C5D61" w14:textId="48BDC08E" w:rsidR="00A23A96" w:rsidRPr="00526F43" w:rsidRDefault="00D37FCC" w:rsidP="00681077">
      <w:pPr>
        <w:jc w:val="both"/>
        <w:rPr>
          <w:sz w:val="22"/>
        </w:rPr>
      </w:pPr>
      <w:r w:rsidRPr="00526F43">
        <w:rPr>
          <w:sz w:val="22"/>
        </w:rPr>
        <w:t xml:space="preserve">Advocate General </w:t>
      </w:r>
      <w:r w:rsidR="00897A49" w:rsidRPr="00526F43">
        <w:rPr>
          <w:sz w:val="22"/>
        </w:rPr>
        <w:t>d</w:t>
      </w:r>
      <w:r w:rsidRPr="00526F43">
        <w:rPr>
          <w:sz w:val="22"/>
        </w:rPr>
        <w:t xml:space="preserve">e </w:t>
      </w:r>
      <w:r w:rsidR="00897A49" w:rsidRPr="00526F43">
        <w:rPr>
          <w:sz w:val="22"/>
        </w:rPr>
        <w:t>l</w:t>
      </w:r>
      <w:r w:rsidRPr="00526F43">
        <w:rPr>
          <w:sz w:val="22"/>
        </w:rPr>
        <w:t>a Tour</w:t>
      </w:r>
      <w:r w:rsidR="00897A49" w:rsidRPr="00526F43">
        <w:rPr>
          <w:sz w:val="22"/>
        </w:rPr>
        <w:t xml:space="preserve">’s </w:t>
      </w:r>
      <w:r w:rsidRPr="00526F43">
        <w:rPr>
          <w:sz w:val="22"/>
        </w:rPr>
        <w:t xml:space="preserve">Opinion contains some surprising turns of reasoning, </w:t>
      </w:r>
      <w:r w:rsidR="004A477F" w:rsidRPr="00526F43">
        <w:rPr>
          <w:sz w:val="22"/>
        </w:rPr>
        <w:t>following</w:t>
      </w:r>
      <w:r w:rsidRPr="00526F43">
        <w:rPr>
          <w:sz w:val="22"/>
        </w:rPr>
        <w:t xml:space="preserve"> a different route to the Court of Appeal in England and Wales, but reach</w:t>
      </w:r>
      <w:r w:rsidR="004A477F" w:rsidRPr="00526F43">
        <w:rPr>
          <w:sz w:val="22"/>
        </w:rPr>
        <w:t>ing</w:t>
      </w:r>
      <w:r w:rsidRPr="00526F43">
        <w:rPr>
          <w:sz w:val="22"/>
        </w:rPr>
        <w:t xml:space="preserve"> the conclusion that the exclusion, as it s</w:t>
      </w:r>
      <w:r w:rsidR="00FF061C">
        <w:rPr>
          <w:sz w:val="22"/>
        </w:rPr>
        <w:t>tands</w:t>
      </w:r>
      <w:r w:rsidRPr="00526F43">
        <w:rPr>
          <w:sz w:val="22"/>
        </w:rPr>
        <w:t xml:space="preserve">, is unlawful. </w:t>
      </w:r>
      <w:r w:rsidR="004A477F" w:rsidRPr="00526F43">
        <w:rPr>
          <w:sz w:val="22"/>
        </w:rPr>
        <w:t>T</w:t>
      </w:r>
      <w:r w:rsidR="00B71ABA" w:rsidRPr="00526F43">
        <w:rPr>
          <w:sz w:val="22"/>
        </w:rPr>
        <w:t>he A</w:t>
      </w:r>
      <w:r w:rsidR="00897A49" w:rsidRPr="00526F43">
        <w:rPr>
          <w:sz w:val="22"/>
        </w:rPr>
        <w:t xml:space="preserve">dvocate </w:t>
      </w:r>
      <w:r w:rsidR="00B71ABA" w:rsidRPr="00526F43">
        <w:rPr>
          <w:sz w:val="22"/>
        </w:rPr>
        <w:t>G</w:t>
      </w:r>
      <w:r w:rsidR="00897A49" w:rsidRPr="00526F43">
        <w:rPr>
          <w:sz w:val="22"/>
        </w:rPr>
        <w:t>eneral</w:t>
      </w:r>
      <w:r w:rsidR="00B71ABA" w:rsidRPr="00526F43">
        <w:rPr>
          <w:sz w:val="22"/>
        </w:rPr>
        <w:t xml:space="preserve"> found that because the benefit at issue was a form of social assistance, which is addressed in Article 24(2) of the Directive, and because that same </w:t>
      </w:r>
      <w:r w:rsidR="00B71ABA" w:rsidRPr="00526F43">
        <w:rPr>
          <w:sz w:val="22"/>
        </w:rPr>
        <w:lastRenderedPageBreak/>
        <w:t xml:space="preserve">provision addresses the principle of non-discrimination regarding </w:t>
      </w:r>
      <w:r w:rsidR="00211A99" w:rsidRPr="00526F43">
        <w:rPr>
          <w:sz w:val="22"/>
        </w:rPr>
        <w:t>“</w:t>
      </w:r>
      <w:r w:rsidR="00B71ABA" w:rsidRPr="00526F43">
        <w:rPr>
          <w:sz w:val="22"/>
        </w:rPr>
        <w:t>the right of Union citizens to reside on the territory of another Member State</w:t>
      </w:r>
      <w:r w:rsidR="00211A99" w:rsidRPr="00526F43">
        <w:rPr>
          <w:sz w:val="22"/>
        </w:rPr>
        <w:t>”</w:t>
      </w:r>
      <w:r w:rsidR="00B71ABA" w:rsidRPr="00526F43">
        <w:rPr>
          <w:sz w:val="22"/>
        </w:rPr>
        <w:t>, the claimant’s case must fall within the scope of the Directive, and primary law can be put to one side.</w:t>
      </w:r>
      <w:r w:rsidR="00897A49" w:rsidRPr="00526F43">
        <w:rPr>
          <w:rStyle w:val="FootnoteReference"/>
          <w:sz w:val="22"/>
        </w:rPr>
        <w:footnoteReference w:id="14"/>
      </w:r>
      <w:r w:rsidR="00B71ABA" w:rsidRPr="00526F43">
        <w:rPr>
          <w:sz w:val="22"/>
        </w:rPr>
        <w:t xml:space="preserve"> The ensuing analysis was thus framed by Directive 2004/38. </w:t>
      </w:r>
    </w:p>
    <w:p w14:paraId="436BC842" w14:textId="3ABC8208" w:rsidR="00B71ABA" w:rsidRPr="00526F43" w:rsidRDefault="00B71ABA" w:rsidP="00681077">
      <w:pPr>
        <w:jc w:val="both"/>
        <w:rPr>
          <w:sz w:val="22"/>
        </w:rPr>
      </w:pPr>
    </w:p>
    <w:p w14:paraId="7392C8BE" w14:textId="045D4418" w:rsidR="00533335" w:rsidRPr="00526F43" w:rsidRDefault="00AF1342" w:rsidP="00681077">
      <w:pPr>
        <w:jc w:val="both"/>
        <w:rPr>
          <w:sz w:val="22"/>
        </w:rPr>
      </w:pPr>
      <w:r w:rsidRPr="00526F43">
        <w:rPr>
          <w:sz w:val="22"/>
        </w:rPr>
        <w:t xml:space="preserve">Noting that the EUSS scheme did not require compliance with </w:t>
      </w:r>
      <w:r w:rsidR="004A477F" w:rsidRPr="00526F43">
        <w:rPr>
          <w:sz w:val="22"/>
        </w:rPr>
        <w:t xml:space="preserve">economic </w:t>
      </w:r>
      <w:r w:rsidRPr="00526F43">
        <w:rPr>
          <w:sz w:val="22"/>
        </w:rPr>
        <w:t xml:space="preserve">conditions </w:t>
      </w:r>
      <w:proofErr w:type="gramStart"/>
      <w:r w:rsidRPr="00526F43">
        <w:rPr>
          <w:sz w:val="22"/>
        </w:rPr>
        <w:t>in order to</w:t>
      </w:r>
      <w:proofErr w:type="gramEnd"/>
      <w:r w:rsidRPr="00526F43">
        <w:rPr>
          <w:sz w:val="22"/>
        </w:rPr>
        <w:t xml:space="preserve"> acquire pre-settled status, the </w:t>
      </w:r>
      <w:r w:rsidR="00897A49" w:rsidRPr="00526F43">
        <w:rPr>
          <w:sz w:val="22"/>
        </w:rPr>
        <w:t>Advocate General</w:t>
      </w:r>
      <w:r w:rsidRPr="00526F43">
        <w:rPr>
          <w:sz w:val="22"/>
        </w:rPr>
        <w:t xml:space="preserve"> found that the UK </w:t>
      </w:r>
      <w:r w:rsidR="00FF061C">
        <w:rPr>
          <w:sz w:val="22"/>
        </w:rPr>
        <w:t xml:space="preserve">had exercised </w:t>
      </w:r>
      <w:r w:rsidRPr="00526F43">
        <w:rPr>
          <w:sz w:val="22"/>
        </w:rPr>
        <w:t xml:space="preserve">its prerogative, under Article 37 of Directive 2004/38, to adopt more favourable measures. This led to the question as to whether, in adopting a more favourable measure, a State had full discretion as to its consequences; in </w:t>
      </w:r>
      <w:proofErr w:type="spellStart"/>
      <w:r w:rsidRPr="00526F43">
        <w:rPr>
          <w:i/>
          <w:iCs/>
          <w:sz w:val="22"/>
        </w:rPr>
        <w:t>Ziolkowski</w:t>
      </w:r>
      <w:proofErr w:type="spellEnd"/>
      <w:r w:rsidRPr="00526F43">
        <w:rPr>
          <w:i/>
          <w:iCs/>
          <w:sz w:val="22"/>
        </w:rPr>
        <w:t xml:space="preserve"> and </w:t>
      </w:r>
      <w:proofErr w:type="spellStart"/>
      <w:r w:rsidRPr="00526F43">
        <w:rPr>
          <w:i/>
          <w:iCs/>
          <w:sz w:val="22"/>
        </w:rPr>
        <w:t>Szeja</w:t>
      </w:r>
      <w:proofErr w:type="spellEnd"/>
      <w:r w:rsidR="00897A49" w:rsidRPr="00526F43">
        <w:rPr>
          <w:rStyle w:val="FootnoteReference"/>
          <w:sz w:val="22"/>
        </w:rPr>
        <w:footnoteReference w:id="15"/>
      </w:r>
      <w:r w:rsidRPr="00526F43">
        <w:rPr>
          <w:sz w:val="22"/>
        </w:rPr>
        <w:t xml:space="preserve"> the CJEU had stated that </w:t>
      </w:r>
      <w:r w:rsidR="00C9709F" w:rsidRPr="00526F43">
        <w:rPr>
          <w:sz w:val="22"/>
        </w:rPr>
        <w:t>Member States could decide “</w:t>
      </w:r>
      <w:r w:rsidRPr="00526F43">
        <w:rPr>
          <w:sz w:val="22"/>
        </w:rPr>
        <w:t xml:space="preserve">the legal consequences of a right of residence granted on the basis of national law alone”.  However, </w:t>
      </w:r>
      <w:r w:rsidR="004A477F" w:rsidRPr="00526F43">
        <w:rPr>
          <w:sz w:val="22"/>
        </w:rPr>
        <w:t xml:space="preserve">as </w:t>
      </w:r>
      <w:r w:rsidRPr="00526F43">
        <w:rPr>
          <w:sz w:val="22"/>
        </w:rPr>
        <w:t xml:space="preserve">that case was about permanent residence </w:t>
      </w:r>
      <w:r w:rsidR="004A477F" w:rsidRPr="00526F43">
        <w:rPr>
          <w:sz w:val="22"/>
        </w:rPr>
        <w:t xml:space="preserve">the AG considered that </w:t>
      </w:r>
      <w:r w:rsidRPr="00526F43">
        <w:rPr>
          <w:sz w:val="22"/>
        </w:rPr>
        <w:t>its ratio “cannot be usefully transposed in a matter concerning equal treatment</w:t>
      </w:r>
      <w:r w:rsidR="00FF061C">
        <w:rPr>
          <w:sz w:val="22"/>
        </w:rPr>
        <w:t>… [and] s</w:t>
      </w:r>
      <w:r w:rsidRPr="00526F43">
        <w:rPr>
          <w:sz w:val="22"/>
        </w:rPr>
        <w:t>ocial assistance”.</w:t>
      </w:r>
      <w:r w:rsidR="00533335" w:rsidRPr="00526F43">
        <w:rPr>
          <w:sz w:val="22"/>
        </w:rPr>
        <w:t xml:space="preserve"> Article 16 of the Directive </w:t>
      </w:r>
      <w:r w:rsidR="00533335" w:rsidRPr="00526F43">
        <w:rPr>
          <w:i/>
          <w:iCs/>
          <w:sz w:val="22"/>
        </w:rPr>
        <w:t>created</w:t>
      </w:r>
      <w:r w:rsidR="00533335" w:rsidRPr="00526F43">
        <w:rPr>
          <w:sz w:val="22"/>
        </w:rPr>
        <w:t xml:space="preserve"> the right of permanent residence, </w:t>
      </w:r>
      <w:r w:rsidR="004A477F" w:rsidRPr="00526F43">
        <w:rPr>
          <w:sz w:val="22"/>
        </w:rPr>
        <w:t xml:space="preserve">so </w:t>
      </w:r>
      <w:r w:rsidR="00533335" w:rsidRPr="00526F43">
        <w:rPr>
          <w:sz w:val="22"/>
        </w:rPr>
        <w:t xml:space="preserve">the relevance of periods of residence </w:t>
      </w:r>
      <w:r w:rsidR="004A477F" w:rsidRPr="00526F43">
        <w:rPr>
          <w:sz w:val="22"/>
        </w:rPr>
        <w:t xml:space="preserve">under domestic law </w:t>
      </w:r>
      <w:r w:rsidR="00533335" w:rsidRPr="00526F43">
        <w:rPr>
          <w:sz w:val="22"/>
        </w:rPr>
        <w:t xml:space="preserve">was a matter for </w:t>
      </w:r>
      <w:r w:rsidR="004A477F" w:rsidRPr="00526F43">
        <w:rPr>
          <w:sz w:val="22"/>
        </w:rPr>
        <w:t>domestic</w:t>
      </w:r>
      <w:r w:rsidR="00533335" w:rsidRPr="00526F43">
        <w:rPr>
          <w:sz w:val="22"/>
        </w:rPr>
        <w:t xml:space="preserve"> law. In contrast, Article 24 “merely constitutes the </w:t>
      </w:r>
      <w:r w:rsidR="00533335" w:rsidRPr="00526F43">
        <w:rPr>
          <w:i/>
          <w:iCs/>
          <w:sz w:val="22"/>
        </w:rPr>
        <w:t>implementation</w:t>
      </w:r>
      <w:r w:rsidR="00533335" w:rsidRPr="00526F43">
        <w:rPr>
          <w:sz w:val="22"/>
        </w:rPr>
        <w:t>, in relation to the right of residence of Union citizens, of the principle of non-discrimination between Union citizens laid down in Article 18 TFEU” – it does not create it. Those lawfully resident on the territory of another Member State must be able to benefit from non-discrimination rights</w:t>
      </w:r>
      <w:r w:rsidR="004A477F" w:rsidRPr="00526F43">
        <w:rPr>
          <w:sz w:val="22"/>
        </w:rPr>
        <w:t>.</w:t>
      </w:r>
      <w:r w:rsidR="004A477F" w:rsidRPr="00526F43">
        <w:rPr>
          <w:rStyle w:val="FootnoteReference"/>
          <w:sz w:val="22"/>
        </w:rPr>
        <w:footnoteReference w:id="16"/>
      </w:r>
    </w:p>
    <w:p w14:paraId="711E0C9E" w14:textId="77777777" w:rsidR="00533335" w:rsidRPr="00526F43" w:rsidRDefault="00533335" w:rsidP="00681077">
      <w:pPr>
        <w:jc w:val="both"/>
        <w:rPr>
          <w:sz w:val="22"/>
        </w:rPr>
      </w:pPr>
    </w:p>
    <w:p w14:paraId="440F3B29" w14:textId="1439A1B8" w:rsidR="00B71ABA" w:rsidRPr="00526F43" w:rsidRDefault="00BD4D96" w:rsidP="00681077">
      <w:pPr>
        <w:jc w:val="both"/>
        <w:rPr>
          <w:sz w:val="22"/>
        </w:rPr>
      </w:pPr>
      <w:r w:rsidRPr="00526F43">
        <w:rPr>
          <w:sz w:val="22"/>
        </w:rPr>
        <w:t xml:space="preserve">Having outlined these points, </w:t>
      </w:r>
      <w:r w:rsidR="00623CAB" w:rsidRPr="00526F43">
        <w:rPr>
          <w:sz w:val="22"/>
        </w:rPr>
        <w:t>he</w:t>
      </w:r>
      <w:r w:rsidRPr="00526F43">
        <w:rPr>
          <w:sz w:val="22"/>
        </w:rPr>
        <w:t xml:space="preserve"> acknowledged that a logical conclusion could be </w:t>
      </w:r>
      <w:r w:rsidR="00AA7D8B" w:rsidRPr="00526F43">
        <w:rPr>
          <w:sz w:val="22"/>
        </w:rPr>
        <w:t>that</w:t>
      </w:r>
      <w:r w:rsidRPr="00526F43">
        <w:rPr>
          <w:sz w:val="22"/>
        </w:rPr>
        <w:t xml:space="preserve"> pre-settled status holders</w:t>
      </w:r>
      <w:r w:rsidR="00AA7D8B" w:rsidRPr="00526F43">
        <w:rPr>
          <w:sz w:val="22"/>
        </w:rPr>
        <w:t xml:space="preserve"> enjoy</w:t>
      </w:r>
      <w:r w:rsidRPr="00526F43">
        <w:rPr>
          <w:sz w:val="22"/>
        </w:rPr>
        <w:t xml:space="preserve"> “unrestricted access to the social assistance enjoyed by nationals of the host State”. But he then swerved to suggest that such an outcome of “automatic application” would “go beyond the balance sought by the EU legislature in Directive 2004/38”, given that the right of residence “was granted to the Union citizen without conditions as to resources or social insurance”. </w:t>
      </w:r>
      <w:r w:rsidR="00DA200A" w:rsidRPr="00526F43">
        <w:rPr>
          <w:sz w:val="22"/>
        </w:rPr>
        <w:t>He drew attention to the Commission’s argument that</w:t>
      </w:r>
      <w:r w:rsidR="004107C3" w:rsidRPr="00526F43">
        <w:rPr>
          <w:sz w:val="22"/>
        </w:rPr>
        <w:t xml:space="preserve"> awarding a right of residence with</w:t>
      </w:r>
      <w:r w:rsidR="00DA200A" w:rsidRPr="00526F43">
        <w:rPr>
          <w:sz w:val="22"/>
        </w:rPr>
        <w:t xml:space="preserve"> </w:t>
      </w:r>
      <w:r w:rsidR="00B71ABA" w:rsidRPr="00526F43">
        <w:rPr>
          <w:sz w:val="22"/>
        </w:rPr>
        <w:t xml:space="preserve">no conditions </w:t>
      </w:r>
      <w:r w:rsidR="004107C3" w:rsidRPr="00526F43">
        <w:rPr>
          <w:sz w:val="22"/>
        </w:rPr>
        <w:t>attached “</w:t>
      </w:r>
      <w:r w:rsidR="00B71ABA" w:rsidRPr="00526F43">
        <w:rPr>
          <w:sz w:val="22"/>
        </w:rPr>
        <w:t>must not have the effect of obliging Member States to refrain from carrying out any check as regards entitlement to social benefits</w:t>
      </w:r>
      <w:r w:rsidR="00DA200A" w:rsidRPr="00526F43">
        <w:rPr>
          <w:sz w:val="22"/>
        </w:rPr>
        <w:t>”</w:t>
      </w:r>
      <w:r w:rsidR="00B71ABA" w:rsidRPr="00526F43">
        <w:rPr>
          <w:sz w:val="22"/>
        </w:rPr>
        <w:t>.</w:t>
      </w:r>
      <w:r w:rsidR="00623CAB" w:rsidRPr="00526F43">
        <w:rPr>
          <w:rStyle w:val="FootnoteReference"/>
          <w:sz w:val="22"/>
        </w:rPr>
        <w:footnoteReference w:id="17"/>
      </w:r>
      <w:r w:rsidR="00DA200A" w:rsidRPr="00526F43">
        <w:rPr>
          <w:sz w:val="22"/>
        </w:rPr>
        <w:t xml:space="preserve"> In other words, a conclusion based on the law as outlined would go too far, </w:t>
      </w:r>
      <w:r w:rsidR="000141E3" w:rsidRPr="00526F43">
        <w:rPr>
          <w:sz w:val="22"/>
        </w:rPr>
        <w:t xml:space="preserve">according to the EU Commission, </w:t>
      </w:r>
      <w:r w:rsidR="00DA200A" w:rsidRPr="00526F43">
        <w:rPr>
          <w:sz w:val="22"/>
        </w:rPr>
        <w:t>and so the conclusion must be based upon an intuited right of States to not pay benefits to non-working EU nationals</w:t>
      </w:r>
      <w:r w:rsidR="00AA7D8B" w:rsidRPr="00526F43">
        <w:rPr>
          <w:sz w:val="22"/>
        </w:rPr>
        <w:t xml:space="preserve"> </w:t>
      </w:r>
      <w:r w:rsidR="00F26FE7" w:rsidRPr="00526F43">
        <w:rPr>
          <w:sz w:val="22"/>
        </w:rPr>
        <w:t>framed as unreasonable burdens</w:t>
      </w:r>
      <w:r w:rsidR="00DA200A" w:rsidRPr="00526F43">
        <w:rPr>
          <w:sz w:val="22"/>
        </w:rPr>
        <w:t>.</w:t>
      </w:r>
      <w:r w:rsidR="00F26FE7" w:rsidRPr="00526F43">
        <w:rPr>
          <w:rStyle w:val="FootnoteReference"/>
          <w:sz w:val="22"/>
        </w:rPr>
        <w:footnoteReference w:id="18"/>
      </w:r>
    </w:p>
    <w:p w14:paraId="437DFA0C" w14:textId="1F6B98DD" w:rsidR="00DA200A" w:rsidRPr="00526F43" w:rsidRDefault="00DA200A" w:rsidP="00681077">
      <w:pPr>
        <w:jc w:val="both"/>
        <w:rPr>
          <w:sz w:val="22"/>
        </w:rPr>
      </w:pPr>
    </w:p>
    <w:p w14:paraId="3D81F1ED" w14:textId="750A91A4" w:rsidR="00DA200A" w:rsidRPr="00526F43" w:rsidRDefault="00681077" w:rsidP="00681077">
      <w:pPr>
        <w:jc w:val="both"/>
        <w:rPr>
          <w:sz w:val="22"/>
        </w:rPr>
      </w:pPr>
      <w:r w:rsidRPr="00526F43">
        <w:rPr>
          <w:sz w:val="22"/>
        </w:rPr>
        <w:t xml:space="preserve">In noting that “in certain circumstances” economically active Union citizens with pre-settled status were entitled to Universal Credit, and that on the other hand “certain United Kingdom nationals” had to prove their residence to be eligible, the </w:t>
      </w:r>
      <w:r w:rsidR="00623CAB" w:rsidRPr="00526F43">
        <w:rPr>
          <w:sz w:val="22"/>
        </w:rPr>
        <w:t>Advocate General</w:t>
      </w:r>
      <w:r w:rsidRPr="00526F43">
        <w:rPr>
          <w:sz w:val="22"/>
        </w:rPr>
        <w:t xml:space="preserve"> concluded that direct discrimination could be “discounted”, but that there was likely indirect discrimination.</w:t>
      </w:r>
      <w:r w:rsidRPr="00526F43">
        <w:rPr>
          <w:sz w:val="22"/>
          <w:vertAlign w:val="superscript"/>
        </w:rPr>
        <w:footnoteReference w:id="19"/>
      </w:r>
      <w:r w:rsidRPr="00526F43">
        <w:rPr>
          <w:sz w:val="22"/>
        </w:rPr>
        <w:t xml:space="preserve"> He then found that the systematic refusal of benefits provided for in the regulations likely went beyond what was necessary, so failed the proportionality test for justification.</w:t>
      </w:r>
      <w:r w:rsidRPr="00526F43">
        <w:rPr>
          <w:sz w:val="22"/>
          <w:vertAlign w:val="superscript"/>
        </w:rPr>
        <w:footnoteReference w:id="20"/>
      </w:r>
      <w:r w:rsidRPr="00526F43">
        <w:rPr>
          <w:sz w:val="22"/>
        </w:rPr>
        <w:t xml:space="preserve">  Instead, claimants should be subject to an individualised assessment, and a proportionality assessment which should take account of a claimant’s “definite degree of integration”,</w:t>
      </w:r>
      <w:r w:rsidRPr="00526F43">
        <w:rPr>
          <w:sz w:val="22"/>
          <w:vertAlign w:val="superscript"/>
        </w:rPr>
        <w:footnoteReference w:id="21"/>
      </w:r>
      <w:r w:rsidRPr="00526F43">
        <w:rPr>
          <w:sz w:val="22"/>
        </w:rPr>
        <w:t xml:space="preserve"> and whether the claim for benefit was likely to be temporary.</w:t>
      </w:r>
      <w:r w:rsidRPr="00526F43">
        <w:rPr>
          <w:sz w:val="22"/>
          <w:vertAlign w:val="superscript"/>
        </w:rPr>
        <w:footnoteReference w:id="22"/>
      </w:r>
      <w:r w:rsidRPr="00526F43">
        <w:rPr>
          <w:sz w:val="22"/>
        </w:rPr>
        <w:t xml:space="preserve"> </w:t>
      </w:r>
      <w:r w:rsidR="00D51DD7" w:rsidRPr="00526F43">
        <w:rPr>
          <w:sz w:val="22"/>
        </w:rPr>
        <w:t>D</w:t>
      </w:r>
      <w:r w:rsidR="00DA200A" w:rsidRPr="00526F43">
        <w:rPr>
          <w:sz w:val="22"/>
        </w:rPr>
        <w:t>rawing</w:t>
      </w:r>
      <w:r w:rsidR="00E01D56" w:rsidRPr="00526F43">
        <w:rPr>
          <w:sz w:val="22"/>
        </w:rPr>
        <w:t xml:space="preserve"> creatively</w:t>
      </w:r>
      <w:r w:rsidR="00DA200A" w:rsidRPr="00526F43">
        <w:rPr>
          <w:sz w:val="22"/>
        </w:rPr>
        <w:t xml:space="preserve"> upon </w:t>
      </w:r>
      <w:r w:rsidR="00DA200A" w:rsidRPr="00526F43">
        <w:rPr>
          <w:i/>
          <w:iCs/>
          <w:sz w:val="22"/>
        </w:rPr>
        <w:t xml:space="preserve">Chavez </w:t>
      </w:r>
      <w:proofErr w:type="spellStart"/>
      <w:r w:rsidR="00DA200A" w:rsidRPr="00526F43">
        <w:rPr>
          <w:i/>
          <w:iCs/>
          <w:sz w:val="22"/>
        </w:rPr>
        <w:t>Vilchez</w:t>
      </w:r>
      <w:proofErr w:type="spellEnd"/>
      <w:r w:rsidR="00DA200A" w:rsidRPr="00526F43">
        <w:rPr>
          <w:i/>
          <w:iCs/>
          <w:sz w:val="22"/>
        </w:rPr>
        <w:t>,</w:t>
      </w:r>
      <w:r w:rsidR="00C91A0B" w:rsidRPr="00526F43">
        <w:rPr>
          <w:rStyle w:val="FootnoteReference"/>
          <w:sz w:val="22"/>
        </w:rPr>
        <w:footnoteReference w:id="23"/>
      </w:r>
      <w:r w:rsidR="00DA200A" w:rsidRPr="00526F43">
        <w:rPr>
          <w:i/>
          <w:iCs/>
          <w:sz w:val="22"/>
        </w:rPr>
        <w:t xml:space="preserve"> </w:t>
      </w:r>
      <w:r w:rsidR="00C91A0B" w:rsidRPr="00526F43">
        <w:rPr>
          <w:sz w:val="22"/>
        </w:rPr>
        <w:t xml:space="preserve">the </w:t>
      </w:r>
      <w:r w:rsidR="00E01D56" w:rsidRPr="00526F43">
        <w:rPr>
          <w:sz w:val="22"/>
        </w:rPr>
        <w:t>Advocate General suggested th</w:t>
      </w:r>
      <w:r w:rsidR="000F262C" w:rsidRPr="00526F43">
        <w:rPr>
          <w:sz w:val="22"/>
        </w:rPr>
        <w:t>at the</w:t>
      </w:r>
      <w:r w:rsidR="00E01D56" w:rsidRPr="00526F43">
        <w:rPr>
          <w:sz w:val="22"/>
        </w:rPr>
        <w:t xml:space="preserve"> </w:t>
      </w:r>
      <w:r w:rsidR="00C91A0B" w:rsidRPr="00526F43">
        <w:rPr>
          <w:sz w:val="22"/>
        </w:rPr>
        <w:t>proportionality assessment</w:t>
      </w:r>
      <w:r w:rsidR="00DA200A" w:rsidRPr="00526F43">
        <w:rPr>
          <w:sz w:val="22"/>
        </w:rPr>
        <w:t xml:space="preserve"> should be conducted through the prism of fundamental rights – in particular, the rights to dignity, </w:t>
      </w:r>
      <w:r w:rsidR="00623CAB" w:rsidRPr="00526F43">
        <w:rPr>
          <w:sz w:val="22"/>
        </w:rPr>
        <w:t xml:space="preserve">under </w:t>
      </w:r>
      <w:r w:rsidR="00DA200A" w:rsidRPr="00526F43">
        <w:rPr>
          <w:sz w:val="22"/>
        </w:rPr>
        <w:t>Article 1 of the Charter</w:t>
      </w:r>
      <w:r w:rsidR="00623CAB" w:rsidRPr="00526F43">
        <w:rPr>
          <w:sz w:val="22"/>
        </w:rPr>
        <w:t xml:space="preserve"> of Fundamental Rights of the EU (CFR);</w:t>
      </w:r>
      <w:r w:rsidR="00DA200A" w:rsidRPr="00526F43">
        <w:rPr>
          <w:sz w:val="22"/>
        </w:rPr>
        <w:t xml:space="preserve"> to private and family life, </w:t>
      </w:r>
      <w:r w:rsidR="00623CAB" w:rsidRPr="00526F43">
        <w:rPr>
          <w:sz w:val="22"/>
        </w:rPr>
        <w:t xml:space="preserve">under </w:t>
      </w:r>
      <w:r w:rsidR="00DA200A" w:rsidRPr="00526F43">
        <w:rPr>
          <w:sz w:val="22"/>
        </w:rPr>
        <w:t>Article 7 CFR</w:t>
      </w:r>
      <w:r w:rsidR="00623CAB" w:rsidRPr="00526F43">
        <w:rPr>
          <w:sz w:val="22"/>
        </w:rPr>
        <w:t>,</w:t>
      </w:r>
      <w:r w:rsidR="00DA200A" w:rsidRPr="00526F43">
        <w:rPr>
          <w:sz w:val="22"/>
        </w:rPr>
        <w:t xml:space="preserve"> and the best interests of the child </w:t>
      </w:r>
      <w:r w:rsidR="00623CAB" w:rsidRPr="00526F43">
        <w:rPr>
          <w:sz w:val="22"/>
        </w:rPr>
        <w:t>(</w:t>
      </w:r>
      <w:r w:rsidR="00DA200A" w:rsidRPr="00526F43">
        <w:rPr>
          <w:sz w:val="22"/>
        </w:rPr>
        <w:t>Article 24 CFR).</w:t>
      </w:r>
      <w:r w:rsidR="00C91A0B" w:rsidRPr="00526F43">
        <w:rPr>
          <w:rStyle w:val="FootnoteReference"/>
          <w:sz w:val="22"/>
        </w:rPr>
        <w:footnoteReference w:id="24"/>
      </w:r>
      <w:r w:rsidR="00C91A0B" w:rsidRPr="00526F43">
        <w:rPr>
          <w:sz w:val="22"/>
        </w:rPr>
        <w:t xml:space="preserve"> Those principles, appl</w:t>
      </w:r>
      <w:r w:rsidR="00623CAB" w:rsidRPr="00526F43">
        <w:rPr>
          <w:sz w:val="22"/>
        </w:rPr>
        <w:t>ied</w:t>
      </w:r>
      <w:r w:rsidR="00C91A0B" w:rsidRPr="00526F43">
        <w:rPr>
          <w:sz w:val="22"/>
        </w:rPr>
        <w:t xml:space="preserve"> in </w:t>
      </w:r>
      <w:r w:rsidR="00C91A0B" w:rsidRPr="00526F43">
        <w:rPr>
          <w:i/>
          <w:iCs/>
          <w:sz w:val="22"/>
        </w:rPr>
        <w:t xml:space="preserve">Chavez </w:t>
      </w:r>
      <w:proofErr w:type="spellStart"/>
      <w:r w:rsidR="00C91A0B" w:rsidRPr="00526F43">
        <w:rPr>
          <w:i/>
          <w:iCs/>
          <w:sz w:val="22"/>
        </w:rPr>
        <w:t>Vilchez</w:t>
      </w:r>
      <w:proofErr w:type="spellEnd"/>
      <w:r w:rsidR="00C91A0B" w:rsidRPr="00526F43">
        <w:rPr>
          <w:i/>
          <w:iCs/>
          <w:sz w:val="22"/>
        </w:rPr>
        <w:t xml:space="preserve"> </w:t>
      </w:r>
      <w:r w:rsidR="00623CAB" w:rsidRPr="00526F43">
        <w:rPr>
          <w:sz w:val="22"/>
        </w:rPr>
        <w:t>when determining the</w:t>
      </w:r>
      <w:r w:rsidR="00C91A0B" w:rsidRPr="00526F43">
        <w:rPr>
          <w:sz w:val="22"/>
        </w:rPr>
        <w:t xml:space="preserve"> residence rights of a third country national parent</w:t>
      </w:r>
      <w:r w:rsidR="00623CAB" w:rsidRPr="00526F43">
        <w:rPr>
          <w:sz w:val="22"/>
        </w:rPr>
        <w:t>,</w:t>
      </w:r>
      <w:r w:rsidR="00C91A0B" w:rsidRPr="00526F43">
        <w:rPr>
          <w:sz w:val="22"/>
        </w:rPr>
        <w:t xml:space="preserve"> could be “transposed </w:t>
      </w:r>
      <w:r w:rsidR="00C91A0B" w:rsidRPr="00526F43">
        <w:rPr>
          <w:i/>
          <w:iCs/>
          <w:sz w:val="22"/>
        </w:rPr>
        <w:t>a fortiori</w:t>
      </w:r>
      <w:r w:rsidR="00C91A0B" w:rsidRPr="00526F43">
        <w:rPr>
          <w:sz w:val="22"/>
        </w:rPr>
        <w:t>, in matters relating to social assistance”.</w:t>
      </w:r>
      <w:r w:rsidR="00C91A0B" w:rsidRPr="00526F43">
        <w:rPr>
          <w:rStyle w:val="FootnoteReference"/>
          <w:sz w:val="22"/>
        </w:rPr>
        <w:footnoteReference w:id="25"/>
      </w:r>
    </w:p>
    <w:p w14:paraId="7DD40B8E" w14:textId="3D2AEE3C" w:rsidR="00DA200A" w:rsidRPr="00526F43" w:rsidRDefault="00DA200A" w:rsidP="00681077">
      <w:pPr>
        <w:jc w:val="both"/>
        <w:rPr>
          <w:sz w:val="22"/>
        </w:rPr>
      </w:pPr>
    </w:p>
    <w:p w14:paraId="0777DF7C" w14:textId="39CBA1A8" w:rsidR="00211A99" w:rsidRPr="00526F43" w:rsidRDefault="00C91A0B" w:rsidP="00681077">
      <w:pPr>
        <w:jc w:val="both"/>
        <w:rPr>
          <w:sz w:val="22"/>
        </w:rPr>
      </w:pPr>
      <w:proofErr w:type="gramStart"/>
      <w:r w:rsidRPr="00526F43">
        <w:rPr>
          <w:sz w:val="22"/>
        </w:rPr>
        <w:t>In light of</w:t>
      </w:r>
      <w:proofErr w:type="gramEnd"/>
      <w:r w:rsidRPr="00526F43">
        <w:rPr>
          <w:sz w:val="22"/>
        </w:rPr>
        <w:t xml:space="preserve"> this analysis, the A</w:t>
      </w:r>
      <w:r w:rsidR="00623CAB" w:rsidRPr="00526F43">
        <w:rPr>
          <w:sz w:val="22"/>
        </w:rPr>
        <w:t xml:space="preserve">dvocate </w:t>
      </w:r>
      <w:r w:rsidRPr="00526F43">
        <w:rPr>
          <w:sz w:val="22"/>
        </w:rPr>
        <w:t>G</w:t>
      </w:r>
      <w:r w:rsidR="00623CAB" w:rsidRPr="00526F43">
        <w:rPr>
          <w:sz w:val="22"/>
        </w:rPr>
        <w:t>eneral</w:t>
      </w:r>
      <w:r w:rsidRPr="00526F43">
        <w:rPr>
          <w:sz w:val="22"/>
        </w:rPr>
        <w:t xml:space="preserve"> concluded that by not requiring competent authorities to assess “all of the individual circumstances that characterise the situation of extreme poverty of the person concerned” and of the effects of refusing benefits, considering “the right to respect for family life and of the best interests of the child”, the regulations were disproportionate.</w:t>
      </w:r>
      <w:r w:rsidR="00B86431" w:rsidRPr="00526F43">
        <w:rPr>
          <w:rStyle w:val="FootnoteReference"/>
          <w:sz w:val="22"/>
        </w:rPr>
        <w:footnoteReference w:id="26"/>
      </w:r>
      <w:r w:rsidRPr="00526F43">
        <w:rPr>
          <w:sz w:val="22"/>
        </w:rPr>
        <w:t xml:space="preserve"> </w:t>
      </w:r>
      <w:r w:rsidR="00211A99" w:rsidRPr="00526F43">
        <w:rPr>
          <w:sz w:val="22"/>
        </w:rPr>
        <w:t xml:space="preserve">As such, they created unjustified indirect discrimination. </w:t>
      </w:r>
    </w:p>
    <w:p w14:paraId="53C92620" w14:textId="77777777" w:rsidR="00DA200A" w:rsidRPr="00526F43" w:rsidRDefault="00DA200A" w:rsidP="00681077">
      <w:pPr>
        <w:jc w:val="both"/>
        <w:rPr>
          <w:sz w:val="22"/>
        </w:rPr>
      </w:pPr>
    </w:p>
    <w:p w14:paraId="5A26AD14" w14:textId="3DE07595" w:rsidR="001517F4" w:rsidRPr="00526F43" w:rsidRDefault="001517F4" w:rsidP="00681077">
      <w:pPr>
        <w:jc w:val="both"/>
        <w:rPr>
          <w:b/>
          <w:bCs/>
          <w:sz w:val="22"/>
        </w:rPr>
      </w:pPr>
      <w:r w:rsidRPr="00526F43">
        <w:rPr>
          <w:b/>
          <w:bCs/>
          <w:sz w:val="22"/>
        </w:rPr>
        <w:t>Judgment</w:t>
      </w:r>
    </w:p>
    <w:p w14:paraId="1BD4AD82" w14:textId="49110C59" w:rsidR="00B86431" w:rsidRPr="00526F43" w:rsidRDefault="00B86431" w:rsidP="00681077">
      <w:pPr>
        <w:jc w:val="both"/>
        <w:rPr>
          <w:sz w:val="22"/>
        </w:rPr>
      </w:pPr>
    </w:p>
    <w:p w14:paraId="3F3ECE49" w14:textId="2FFC6669" w:rsidR="002C00F3" w:rsidRPr="00526F43" w:rsidRDefault="002C00F3" w:rsidP="00681077">
      <w:pPr>
        <w:jc w:val="both"/>
        <w:rPr>
          <w:sz w:val="22"/>
        </w:rPr>
      </w:pPr>
      <w:r w:rsidRPr="00526F43">
        <w:rPr>
          <w:sz w:val="22"/>
        </w:rPr>
        <w:t>The Court noted the request for an expedited procedure, and explained that</w:t>
      </w:r>
      <w:r w:rsidR="008E6C05" w:rsidRPr="00526F43">
        <w:rPr>
          <w:sz w:val="22"/>
        </w:rPr>
        <w:t>, as</w:t>
      </w:r>
      <w:r w:rsidRPr="00526F43">
        <w:rPr>
          <w:sz w:val="22"/>
        </w:rPr>
        <w:t xml:space="preserve"> the referring court had confirmed that </w:t>
      </w:r>
      <w:r w:rsidR="00211A99" w:rsidRPr="00526F43">
        <w:rPr>
          <w:sz w:val="22"/>
        </w:rPr>
        <w:t>“</w:t>
      </w:r>
      <w:r w:rsidRPr="00526F43">
        <w:rPr>
          <w:sz w:val="22"/>
        </w:rPr>
        <w:t>CG had no financial resources, did not currently have access to State benefits and was living in a women’s refuge and… that the fundamental rights of her children risked being violated</w:t>
      </w:r>
      <w:r w:rsidR="00211A99" w:rsidRPr="00526F43">
        <w:rPr>
          <w:sz w:val="22"/>
        </w:rPr>
        <w:t>”</w:t>
      </w:r>
      <w:r w:rsidRPr="00526F43">
        <w:rPr>
          <w:sz w:val="22"/>
        </w:rPr>
        <w:t>,</w:t>
      </w:r>
      <w:r w:rsidRPr="00526F43">
        <w:rPr>
          <w:rStyle w:val="FootnoteReference"/>
          <w:sz w:val="22"/>
        </w:rPr>
        <w:footnoteReference w:id="27"/>
      </w:r>
      <w:r w:rsidRPr="00526F43">
        <w:rPr>
          <w:sz w:val="22"/>
        </w:rPr>
        <w:t xml:space="preserve"> the </w:t>
      </w:r>
      <w:r w:rsidR="008E6C05" w:rsidRPr="00526F43">
        <w:rPr>
          <w:sz w:val="22"/>
        </w:rPr>
        <w:t xml:space="preserve">CJEU had expedited the case. </w:t>
      </w:r>
    </w:p>
    <w:p w14:paraId="2E138E0C" w14:textId="6AC42331" w:rsidR="00B86431" w:rsidRPr="00526F43" w:rsidRDefault="002C00F3" w:rsidP="00681077">
      <w:pPr>
        <w:jc w:val="both"/>
        <w:rPr>
          <w:sz w:val="22"/>
        </w:rPr>
      </w:pPr>
      <w:r w:rsidRPr="00526F43">
        <w:rPr>
          <w:sz w:val="22"/>
        </w:rPr>
        <w:t xml:space="preserve"> </w:t>
      </w:r>
    </w:p>
    <w:p w14:paraId="0186F023" w14:textId="2D9BF232" w:rsidR="002C00F3" w:rsidRPr="00526F43" w:rsidRDefault="002C00F3" w:rsidP="00681077">
      <w:pPr>
        <w:jc w:val="both"/>
        <w:rPr>
          <w:sz w:val="22"/>
        </w:rPr>
      </w:pPr>
      <w:r w:rsidRPr="00526F43">
        <w:rPr>
          <w:sz w:val="22"/>
        </w:rPr>
        <w:t>On the substantive questions referred, the Court adopted a similar starting point to that of the Advocate General –</w:t>
      </w:r>
      <w:r w:rsidR="0077380F" w:rsidRPr="00526F43">
        <w:rPr>
          <w:sz w:val="22"/>
        </w:rPr>
        <w:t xml:space="preserve"> </w:t>
      </w:r>
      <w:r w:rsidR="008E6C05" w:rsidRPr="00526F43">
        <w:rPr>
          <w:sz w:val="22"/>
        </w:rPr>
        <w:t>sidestep</w:t>
      </w:r>
      <w:r w:rsidR="0077380F" w:rsidRPr="00526F43">
        <w:rPr>
          <w:sz w:val="22"/>
        </w:rPr>
        <w:t>ping</w:t>
      </w:r>
      <w:r w:rsidRPr="00526F43">
        <w:rPr>
          <w:sz w:val="22"/>
        </w:rPr>
        <w:t xml:space="preserve"> the application of Article 18 TFEU. </w:t>
      </w:r>
      <w:r w:rsidR="00056310" w:rsidRPr="00526F43">
        <w:rPr>
          <w:sz w:val="22"/>
        </w:rPr>
        <w:t xml:space="preserve">After noting that as a Union citizen who had moved to reside in another Member State, CG could </w:t>
      </w:r>
      <w:r w:rsidR="00211A99" w:rsidRPr="00526F43">
        <w:rPr>
          <w:sz w:val="22"/>
        </w:rPr>
        <w:t>“</w:t>
      </w:r>
      <w:r w:rsidR="00056310" w:rsidRPr="00526F43">
        <w:rPr>
          <w:sz w:val="22"/>
        </w:rPr>
        <w:t>in principle</w:t>
      </w:r>
      <w:r w:rsidR="00211A99" w:rsidRPr="00526F43">
        <w:rPr>
          <w:sz w:val="22"/>
        </w:rPr>
        <w:t>”</w:t>
      </w:r>
      <w:r w:rsidR="00056310" w:rsidRPr="00526F43">
        <w:rPr>
          <w:sz w:val="22"/>
        </w:rPr>
        <w:t xml:space="preserve"> rely on Article 18 TFEU, the Court then added that this provision could only apply independently where EU law did </w:t>
      </w:r>
      <w:r w:rsidR="00211A99" w:rsidRPr="00526F43">
        <w:rPr>
          <w:sz w:val="22"/>
        </w:rPr>
        <w:t>“</w:t>
      </w:r>
      <w:r w:rsidR="00056310" w:rsidRPr="00526F43">
        <w:rPr>
          <w:sz w:val="22"/>
        </w:rPr>
        <w:t>not lay down specific rules on non-discrimination</w:t>
      </w:r>
      <w:r w:rsidR="00211A99" w:rsidRPr="00526F43">
        <w:rPr>
          <w:sz w:val="22"/>
        </w:rPr>
        <w:t>”</w:t>
      </w:r>
      <w:r w:rsidR="00056310" w:rsidRPr="00526F43">
        <w:rPr>
          <w:sz w:val="22"/>
        </w:rPr>
        <w:t xml:space="preserve">. As the principle of non-discrimination was </w:t>
      </w:r>
      <w:r w:rsidR="00211A99" w:rsidRPr="00526F43">
        <w:rPr>
          <w:sz w:val="22"/>
        </w:rPr>
        <w:t>“</w:t>
      </w:r>
      <w:r w:rsidR="00056310" w:rsidRPr="00526F43">
        <w:rPr>
          <w:sz w:val="22"/>
        </w:rPr>
        <w:t>given specific expression in Article 24 of Directive 2004/38 in relation to Union citizens who exercise their right to move and reside within the territory of the Member States</w:t>
      </w:r>
      <w:r w:rsidR="00211A99" w:rsidRPr="00526F43">
        <w:rPr>
          <w:sz w:val="22"/>
        </w:rPr>
        <w:t>”</w:t>
      </w:r>
      <w:r w:rsidR="00056310" w:rsidRPr="00526F43">
        <w:rPr>
          <w:sz w:val="22"/>
        </w:rPr>
        <w:t xml:space="preserve"> this explicitly supplanted Article 18 TFEU and became the focus of the judgment; the question of discrimination had to be assessed </w:t>
      </w:r>
      <w:r w:rsidR="00765CF1" w:rsidRPr="00526F43">
        <w:rPr>
          <w:sz w:val="22"/>
        </w:rPr>
        <w:t>“</w:t>
      </w:r>
      <w:r w:rsidR="00056310" w:rsidRPr="00526F43">
        <w:rPr>
          <w:sz w:val="22"/>
        </w:rPr>
        <w:t>in the light of Article 24 of Directive 2004/38, and not of the first paragraph of Article 18 TFEU</w:t>
      </w:r>
      <w:r w:rsidR="00765CF1" w:rsidRPr="00526F43">
        <w:rPr>
          <w:sz w:val="22"/>
        </w:rPr>
        <w:t>”</w:t>
      </w:r>
      <w:r w:rsidR="00056310" w:rsidRPr="00526F43">
        <w:rPr>
          <w:sz w:val="22"/>
        </w:rPr>
        <w:t>.</w:t>
      </w:r>
      <w:r w:rsidR="00056310" w:rsidRPr="00526F43">
        <w:rPr>
          <w:rStyle w:val="FootnoteReference"/>
          <w:sz w:val="22"/>
        </w:rPr>
        <w:footnoteReference w:id="28"/>
      </w:r>
      <w:r w:rsidR="00056310" w:rsidRPr="00526F43">
        <w:rPr>
          <w:sz w:val="22"/>
        </w:rPr>
        <w:t xml:space="preserve">  </w:t>
      </w:r>
    </w:p>
    <w:p w14:paraId="670BA48D" w14:textId="724DB394" w:rsidR="001517F4" w:rsidRPr="00526F43" w:rsidRDefault="001517F4" w:rsidP="00681077">
      <w:pPr>
        <w:jc w:val="both"/>
        <w:rPr>
          <w:sz w:val="22"/>
        </w:rPr>
      </w:pPr>
    </w:p>
    <w:p w14:paraId="6E427C7B" w14:textId="14762E97" w:rsidR="00DE0A4E" w:rsidRPr="00526F43" w:rsidRDefault="00056310" w:rsidP="00681077">
      <w:pPr>
        <w:jc w:val="both"/>
        <w:rPr>
          <w:sz w:val="22"/>
        </w:rPr>
      </w:pPr>
      <w:r w:rsidRPr="00526F43">
        <w:rPr>
          <w:sz w:val="22"/>
        </w:rPr>
        <w:t>The Court then noted that Universal Credit, the benefit at issue, could be classified as social assistance, and added that none of the derogations from the principle of equal treatment, outlined in Article 24(2), applied to the claimant’s situation.</w:t>
      </w:r>
      <w:r w:rsidRPr="00526F43">
        <w:rPr>
          <w:rStyle w:val="FootnoteReference"/>
          <w:sz w:val="22"/>
        </w:rPr>
        <w:footnoteReference w:id="29"/>
      </w:r>
      <w:r w:rsidR="003D4733" w:rsidRPr="00526F43">
        <w:rPr>
          <w:sz w:val="22"/>
        </w:rPr>
        <w:t xml:space="preserve"> However, the Court divined from its own case law, in particular </w:t>
      </w:r>
      <w:proofErr w:type="spellStart"/>
      <w:r w:rsidR="003D4733" w:rsidRPr="00526F43">
        <w:rPr>
          <w:i/>
          <w:iCs/>
          <w:sz w:val="22"/>
        </w:rPr>
        <w:t>Dano</w:t>
      </w:r>
      <w:proofErr w:type="spellEnd"/>
      <w:r w:rsidR="003D4733" w:rsidRPr="00526F43">
        <w:rPr>
          <w:sz w:val="22"/>
        </w:rPr>
        <w:t xml:space="preserve">, a right to restrict benefits wherever a claimant posed an </w:t>
      </w:r>
      <w:r w:rsidR="00765CF1" w:rsidRPr="00526F43">
        <w:rPr>
          <w:sz w:val="22"/>
        </w:rPr>
        <w:t>“</w:t>
      </w:r>
      <w:r w:rsidR="003D4733" w:rsidRPr="00526F43">
        <w:rPr>
          <w:sz w:val="22"/>
        </w:rPr>
        <w:t>unreasonable burden on the social assistance system</w:t>
      </w:r>
      <w:r w:rsidR="00765CF1" w:rsidRPr="00526F43">
        <w:rPr>
          <w:sz w:val="22"/>
        </w:rPr>
        <w:t>”</w:t>
      </w:r>
      <w:r w:rsidR="003D4733" w:rsidRPr="00526F43">
        <w:rPr>
          <w:sz w:val="22"/>
        </w:rPr>
        <w:t>.</w:t>
      </w:r>
      <w:r w:rsidR="003D4733" w:rsidRPr="00526F43">
        <w:rPr>
          <w:rStyle w:val="FootnoteReference"/>
          <w:sz w:val="22"/>
        </w:rPr>
        <w:footnoteReference w:id="30"/>
      </w:r>
      <w:r w:rsidR="003D4733" w:rsidRPr="00526F43">
        <w:rPr>
          <w:sz w:val="22"/>
        </w:rPr>
        <w:t xml:space="preserve"> The Court did not wish to </w:t>
      </w:r>
      <w:r w:rsidR="00765CF1" w:rsidRPr="00526F43">
        <w:rPr>
          <w:sz w:val="22"/>
        </w:rPr>
        <w:t>“</w:t>
      </w:r>
      <w:r w:rsidR="003D4733" w:rsidRPr="00526F43">
        <w:rPr>
          <w:sz w:val="22"/>
        </w:rPr>
        <w:t>risk allowing economically inactive Union citizens to use the host Member State’s welfare system to fund their means of subsistence</w:t>
      </w:r>
      <w:r w:rsidR="00765CF1" w:rsidRPr="00526F43">
        <w:rPr>
          <w:sz w:val="22"/>
        </w:rPr>
        <w:t>.”</w:t>
      </w:r>
      <w:r w:rsidR="003D4733" w:rsidRPr="00526F43">
        <w:rPr>
          <w:rStyle w:val="FootnoteReference"/>
          <w:sz w:val="22"/>
        </w:rPr>
        <w:footnoteReference w:id="31"/>
      </w:r>
      <w:r w:rsidR="003D4733" w:rsidRPr="00526F43">
        <w:rPr>
          <w:sz w:val="22"/>
        </w:rPr>
        <w:t xml:space="preserve"> This translated into a general right for Member States to refuse social benefits to the ‘economically inactive’ without sufficient resources.</w:t>
      </w:r>
      <w:r w:rsidR="003D4733" w:rsidRPr="00526F43">
        <w:rPr>
          <w:rStyle w:val="FootnoteReference"/>
          <w:sz w:val="22"/>
        </w:rPr>
        <w:footnoteReference w:id="32"/>
      </w:r>
      <w:r w:rsidR="003D4733" w:rsidRPr="00526F43">
        <w:rPr>
          <w:sz w:val="22"/>
        </w:rPr>
        <w:t xml:space="preserve"> As CG was without resources, she was </w:t>
      </w:r>
      <w:r w:rsidR="00765CF1" w:rsidRPr="00526F43">
        <w:rPr>
          <w:sz w:val="22"/>
        </w:rPr>
        <w:t>“</w:t>
      </w:r>
      <w:r w:rsidR="003D4733" w:rsidRPr="00526F43">
        <w:rPr>
          <w:sz w:val="22"/>
        </w:rPr>
        <w:t>likely to become an unreasonable burden on the social assistance system</w:t>
      </w:r>
      <w:r w:rsidR="00765CF1" w:rsidRPr="00526F43">
        <w:rPr>
          <w:sz w:val="22"/>
        </w:rPr>
        <w:t>”</w:t>
      </w:r>
      <w:r w:rsidR="003D4733" w:rsidRPr="00526F43">
        <w:rPr>
          <w:sz w:val="22"/>
        </w:rPr>
        <w:t xml:space="preserve"> and was not entitled to protection from discrimination under Article 24(1) of Directive 2004/38.</w:t>
      </w:r>
      <w:r w:rsidR="003D4733" w:rsidRPr="00526F43">
        <w:rPr>
          <w:rStyle w:val="FootnoteReference"/>
          <w:sz w:val="22"/>
        </w:rPr>
        <w:footnoteReference w:id="33"/>
      </w:r>
      <w:r w:rsidR="003D4733" w:rsidRPr="00526F43">
        <w:rPr>
          <w:sz w:val="22"/>
        </w:rPr>
        <w:t xml:space="preserve"> Departing from the approach taken by the Advocate General, there was no discussion of proportionality, or consideration of non-economic factors in ruling out a right to equal treatment. The existence of a domestic, economically unconditional right to reside in the form of pre-settled status did not alter that conclusion.</w:t>
      </w:r>
      <w:r w:rsidR="003D4733" w:rsidRPr="00526F43">
        <w:rPr>
          <w:rStyle w:val="FootnoteReference"/>
          <w:sz w:val="22"/>
        </w:rPr>
        <w:footnoteReference w:id="34"/>
      </w:r>
      <w:r w:rsidR="003D4733" w:rsidRPr="00526F43">
        <w:rPr>
          <w:sz w:val="22"/>
        </w:rPr>
        <w:t xml:space="preserve"> The UK scheme was an example of a Member State exercising its right to adopt </w:t>
      </w:r>
      <w:r w:rsidR="002A0000" w:rsidRPr="00526F43">
        <w:rPr>
          <w:sz w:val="22"/>
        </w:rPr>
        <w:t>“</w:t>
      </w:r>
      <w:r w:rsidR="003D4733" w:rsidRPr="00526F43">
        <w:rPr>
          <w:sz w:val="22"/>
        </w:rPr>
        <w:t>more favourable provisions</w:t>
      </w:r>
      <w:r w:rsidR="002A0000" w:rsidRPr="00526F43">
        <w:rPr>
          <w:sz w:val="22"/>
        </w:rPr>
        <w:t>”</w:t>
      </w:r>
      <w:r w:rsidR="003D4733" w:rsidRPr="00526F43">
        <w:rPr>
          <w:sz w:val="22"/>
        </w:rPr>
        <w:t xml:space="preserve"> under Article 37 of Directive 2004/38, </w:t>
      </w:r>
      <w:r w:rsidR="007F43EF" w:rsidRPr="00526F43">
        <w:rPr>
          <w:sz w:val="22"/>
        </w:rPr>
        <w:t>and</w:t>
      </w:r>
      <w:r w:rsidR="003D4733" w:rsidRPr="00526F43">
        <w:rPr>
          <w:sz w:val="22"/>
        </w:rPr>
        <w:t xml:space="preserve"> following </w:t>
      </w:r>
      <w:proofErr w:type="spellStart"/>
      <w:r w:rsidR="003D4733" w:rsidRPr="00526F43">
        <w:rPr>
          <w:i/>
          <w:iCs/>
          <w:sz w:val="22"/>
        </w:rPr>
        <w:t>Ziolkowski</w:t>
      </w:r>
      <w:proofErr w:type="spellEnd"/>
      <w:r w:rsidR="003D4733" w:rsidRPr="00526F43">
        <w:rPr>
          <w:i/>
          <w:iCs/>
          <w:sz w:val="22"/>
        </w:rPr>
        <w:t xml:space="preserve"> and </w:t>
      </w:r>
      <w:proofErr w:type="spellStart"/>
      <w:r w:rsidR="003D4733" w:rsidRPr="00526F43">
        <w:rPr>
          <w:i/>
          <w:iCs/>
          <w:sz w:val="22"/>
        </w:rPr>
        <w:t>Szeja</w:t>
      </w:r>
      <w:proofErr w:type="spellEnd"/>
      <w:r w:rsidR="003D4733" w:rsidRPr="00526F43">
        <w:rPr>
          <w:sz w:val="22"/>
        </w:rPr>
        <w:t xml:space="preserve">, </w:t>
      </w:r>
      <w:r w:rsidR="007F43EF" w:rsidRPr="00526F43">
        <w:rPr>
          <w:sz w:val="22"/>
        </w:rPr>
        <w:t>the UK could specify the consequences of a right to reside based on domestic law</w:t>
      </w:r>
      <w:r w:rsidR="003D4733" w:rsidRPr="00526F43">
        <w:rPr>
          <w:sz w:val="22"/>
        </w:rPr>
        <w:t>.</w:t>
      </w:r>
      <w:r w:rsidR="003D4733" w:rsidRPr="00526F43">
        <w:rPr>
          <w:rStyle w:val="FootnoteReference"/>
          <w:sz w:val="22"/>
        </w:rPr>
        <w:footnoteReference w:id="35"/>
      </w:r>
      <w:r w:rsidR="003D4733" w:rsidRPr="00526F43">
        <w:rPr>
          <w:sz w:val="22"/>
        </w:rPr>
        <w:t xml:space="preserve"> </w:t>
      </w:r>
    </w:p>
    <w:p w14:paraId="4727ECF0" w14:textId="77777777" w:rsidR="00DE0A4E" w:rsidRPr="00526F43" w:rsidRDefault="00DE0A4E" w:rsidP="00681077">
      <w:pPr>
        <w:jc w:val="both"/>
        <w:rPr>
          <w:vanish/>
          <w:sz w:val="22"/>
        </w:rPr>
      </w:pPr>
    </w:p>
    <w:p w14:paraId="491DC5B3" w14:textId="1E48D9FF" w:rsidR="00DE0A4E" w:rsidRPr="00526F43" w:rsidRDefault="00DE0A4E" w:rsidP="00681077">
      <w:pPr>
        <w:jc w:val="both"/>
        <w:rPr>
          <w:sz w:val="22"/>
        </w:rPr>
      </w:pPr>
    </w:p>
    <w:p w14:paraId="7EA74869" w14:textId="01B7A7E5" w:rsidR="004A7C8F" w:rsidRPr="00526F43" w:rsidRDefault="003D4733" w:rsidP="00681077">
      <w:pPr>
        <w:jc w:val="both"/>
        <w:rPr>
          <w:sz w:val="22"/>
        </w:rPr>
      </w:pPr>
      <w:r w:rsidRPr="00526F43">
        <w:rPr>
          <w:sz w:val="22"/>
        </w:rPr>
        <w:t>This was not, however, the end of the matter. In deciding whether to grant benefits to someone in CG’s situation, the UK was implementing EU law,</w:t>
      </w:r>
      <w:r w:rsidR="002A0000" w:rsidRPr="00526F43">
        <w:rPr>
          <w:rStyle w:val="FootnoteReference"/>
          <w:sz w:val="22"/>
        </w:rPr>
        <w:footnoteReference w:id="36"/>
      </w:r>
      <w:r w:rsidRPr="00526F43">
        <w:rPr>
          <w:sz w:val="22"/>
        </w:rPr>
        <w:t xml:space="preserve"> and so had to comply with the Charter of Fundamental </w:t>
      </w:r>
      <w:r w:rsidRPr="00526F43">
        <w:rPr>
          <w:sz w:val="22"/>
        </w:rPr>
        <w:lastRenderedPageBreak/>
        <w:t>Rights of the EU.</w:t>
      </w:r>
      <w:r w:rsidR="002A0000" w:rsidRPr="00526F43">
        <w:rPr>
          <w:rStyle w:val="FootnoteReference"/>
          <w:sz w:val="22"/>
        </w:rPr>
        <w:footnoteReference w:id="37"/>
      </w:r>
      <w:r w:rsidRPr="00526F43">
        <w:rPr>
          <w:sz w:val="22"/>
        </w:rPr>
        <w:t xml:space="preserve"> In circumstances such as CG’s, </w:t>
      </w:r>
      <w:r w:rsidR="00765CF1" w:rsidRPr="00526F43">
        <w:rPr>
          <w:sz w:val="22"/>
        </w:rPr>
        <w:t>“</w:t>
      </w:r>
      <w:r w:rsidRPr="00526F43">
        <w:rPr>
          <w:sz w:val="22"/>
        </w:rPr>
        <w:t>a mother of two young children, with no resources… who is isolated on account of having fled a violent partner</w:t>
      </w:r>
      <w:r w:rsidR="00765CF1" w:rsidRPr="00526F43">
        <w:rPr>
          <w:sz w:val="22"/>
        </w:rPr>
        <w:t>”</w:t>
      </w:r>
      <w:r w:rsidRPr="00526F43">
        <w:rPr>
          <w:sz w:val="22"/>
        </w:rPr>
        <w:t xml:space="preserve">, national authorities could only refuse social assistance </w:t>
      </w:r>
      <w:r w:rsidR="00765CF1" w:rsidRPr="00526F43">
        <w:rPr>
          <w:sz w:val="22"/>
        </w:rPr>
        <w:t>“</w:t>
      </w:r>
      <w:r w:rsidRPr="00526F43">
        <w:rPr>
          <w:sz w:val="22"/>
        </w:rPr>
        <w:t>after</w:t>
      </w:r>
      <w:r w:rsidR="00A6773F" w:rsidRPr="00526F43">
        <w:rPr>
          <w:sz w:val="22"/>
        </w:rPr>
        <w:t xml:space="preserve"> </w:t>
      </w:r>
      <w:r w:rsidRPr="00526F43">
        <w:rPr>
          <w:sz w:val="22"/>
        </w:rPr>
        <w:t xml:space="preserve">ascertaining that that refusal does not expose the citizen concerned and </w:t>
      </w:r>
      <w:r w:rsidR="00E1458F" w:rsidRPr="00526F43">
        <w:rPr>
          <w:sz w:val="22"/>
        </w:rPr>
        <w:t>[her]</w:t>
      </w:r>
      <w:r w:rsidRPr="00526F43">
        <w:rPr>
          <w:sz w:val="22"/>
        </w:rPr>
        <w:t xml:space="preserve"> children</w:t>
      </w:r>
      <w:r w:rsidR="00E1458F" w:rsidRPr="00526F43">
        <w:rPr>
          <w:sz w:val="22"/>
        </w:rPr>
        <w:t xml:space="preserve">… </w:t>
      </w:r>
      <w:r w:rsidRPr="00526F43">
        <w:rPr>
          <w:sz w:val="22"/>
        </w:rPr>
        <w:t>to an actual and current risk of violation of their fundamental rights</w:t>
      </w:r>
      <w:r w:rsidR="00765CF1" w:rsidRPr="00526F43">
        <w:rPr>
          <w:sz w:val="22"/>
        </w:rPr>
        <w:t>”</w:t>
      </w:r>
      <w:r w:rsidR="006D4E04" w:rsidRPr="00526F43">
        <w:rPr>
          <w:sz w:val="22"/>
        </w:rPr>
        <w:t>, especially Articles 1, 7 and 24 of the Charter</w:t>
      </w:r>
      <w:r w:rsidRPr="00526F43">
        <w:rPr>
          <w:sz w:val="22"/>
        </w:rPr>
        <w:t xml:space="preserve">. Such an assessment could take account of other means of assistance from which the family </w:t>
      </w:r>
      <w:r w:rsidR="00765CF1" w:rsidRPr="00526F43">
        <w:rPr>
          <w:sz w:val="22"/>
        </w:rPr>
        <w:t>“</w:t>
      </w:r>
      <w:r w:rsidRPr="00526F43">
        <w:rPr>
          <w:sz w:val="22"/>
        </w:rPr>
        <w:t>may actually and currently benefit</w:t>
      </w:r>
      <w:r w:rsidR="00765CF1" w:rsidRPr="00526F43">
        <w:rPr>
          <w:sz w:val="22"/>
        </w:rPr>
        <w:t>”</w:t>
      </w:r>
      <w:r w:rsidRPr="00526F43">
        <w:rPr>
          <w:sz w:val="22"/>
        </w:rPr>
        <w:t>.</w:t>
      </w:r>
      <w:r w:rsidRPr="00526F43">
        <w:rPr>
          <w:rStyle w:val="FootnoteReference"/>
          <w:sz w:val="22"/>
        </w:rPr>
        <w:footnoteReference w:id="38"/>
      </w:r>
      <w:r w:rsidRPr="00526F43">
        <w:rPr>
          <w:sz w:val="22"/>
        </w:rPr>
        <w:t xml:space="preserve"> </w:t>
      </w:r>
    </w:p>
    <w:p w14:paraId="7691BEF5" w14:textId="0F755E6A" w:rsidR="00DE0A4E" w:rsidRPr="00526F43" w:rsidRDefault="00DE0A4E" w:rsidP="00681077">
      <w:pPr>
        <w:jc w:val="both"/>
        <w:rPr>
          <w:sz w:val="22"/>
        </w:rPr>
      </w:pPr>
    </w:p>
    <w:p w14:paraId="24B3BBE9" w14:textId="77777777" w:rsidR="00F9527B" w:rsidRPr="00526F43" w:rsidRDefault="00F9527B" w:rsidP="00681077">
      <w:pPr>
        <w:jc w:val="both"/>
        <w:rPr>
          <w:sz w:val="22"/>
        </w:rPr>
      </w:pPr>
    </w:p>
    <w:p w14:paraId="071E4FFD" w14:textId="3E3C65DD" w:rsidR="001517F4" w:rsidRPr="00526F43" w:rsidRDefault="001517F4" w:rsidP="00681077">
      <w:pPr>
        <w:jc w:val="both"/>
        <w:rPr>
          <w:b/>
          <w:bCs/>
          <w:sz w:val="22"/>
        </w:rPr>
      </w:pPr>
      <w:r w:rsidRPr="00526F43">
        <w:rPr>
          <w:b/>
          <w:bCs/>
          <w:sz w:val="22"/>
        </w:rPr>
        <w:t>Analysis</w:t>
      </w:r>
    </w:p>
    <w:p w14:paraId="2E1CB3D7" w14:textId="75B42869" w:rsidR="00B358F0" w:rsidRPr="00526F43" w:rsidRDefault="00B358F0" w:rsidP="00681077">
      <w:pPr>
        <w:jc w:val="both"/>
        <w:rPr>
          <w:sz w:val="22"/>
        </w:rPr>
      </w:pPr>
    </w:p>
    <w:p w14:paraId="7D336984" w14:textId="6E75130B" w:rsidR="00A6773F" w:rsidRPr="00526F43" w:rsidRDefault="00A6773F" w:rsidP="00681077">
      <w:pPr>
        <w:jc w:val="both"/>
        <w:rPr>
          <w:sz w:val="22"/>
        </w:rPr>
      </w:pPr>
      <w:r w:rsidRPr="00526F43">
        <w:rPr>
          <w:sz w:val="22"/>
        </w:rPr>
        <w:t xml:space="preserve">The most striking aspect of this judgment is that the CJEU has taken a </w:t>
      </w:r>
      <w:r w:rsidR="00E1458F" w:rsidRPr="00526F43">
        <w:rPr>
          <w:sz w:val="22"/>
        </w:rPr>
        <w:t>much</w:t>
      </w:r>
      <w:r w:rsidRPr="00526F43">
        <w:rPr>
          <w:sz w:val="22"/>
        </w:rPr>
        <w:t xml:space="preserve"> more restrictive approach to protecting the rights of EU nationals in the </w:t>
      </w:r>
      <w:proofErr w:type="gramStart"/>
      <w:r w:rsidRPr="00526F43">
        <w:rPr>
          <w:sz w:val="22"/>
        </w:rPr>
        <w:t>UK,</w:t>
      </w:r>
      <w:r w:rsidR="00765CF1" w:rsidRPr="00526F43">
        <w:rPr>
          <w:sz w:val="22"/>
        </w:rPr>
        <w:t xml:space="preserve"> </w:t>
      </w:r>
      <w:r w:rsidRPr="00526F43">
        <w:rPr>
          <w:sz w:val="22"/>
        </w:rPr>
        <w:t>and</w:t>
      </w:r>
      <w:proofErr w:type="gramEnd"/>
      <w:r w:rsidR="00765CF1" w:rsidRPr="00526F43">
        <w:rPr>
          <w:sz w:val="22"/>
        </w:rPr>
        <w:t xml:space="preserve"> has</w:t>
      </w:r>
      <w:r w:rsidRPr="00526F43">
        <w:rPr>
          <w:sz w:val="22"/>
        </w:rPr>
        <w:t xml:space="preserve"> shown considerably less fidelity to the ratio of </w:t>
      </w:r>
      <w:r w:rsidRPr="00526F43">
        <w:rPr>
          <w:i/>
          <w:iCs/>
          <w:sz w:val="22"/>
        </w:rPr>
        <w:t>Trojani</w:t>
      </w:r>
      <w:r w:rsidRPr="00526F43">
        <w:rPr>
          <w:sz w:val="22"/>
        </w:rPr>
        <w:t xml:space="preserve">, than has a UK national court. The Court of Appeal of England and Wales in </w:t>
      </w:r>
      <w:proofErr w:type="spellStart"/>
      <w:r w:rsidRPr="00526F43">
        <w:rPr>
          <w:i/>
          <w:iCs/>
          <w:sz w:val="22"/>
        </w:rPr>
        <w:t>Fratila</w:t>
      </w:r>
      <w:proofErr w:type="spellEnd"/>
      <w:r w:rsidRPr="00526F43">
        <w:rPr>
          <w:sz w:val="22"/>
        </w:rPr>
        <w:t xml:space="preserve"> found </w:t>
      </w:r>
      <w:proofErr w:type="gramStart"/>
      <w:r w:rsidRPr="00526F43">
        <w:rPr>
          <w:sz w:val="22"/>
        </w:rPr>
        <w:t>fairly straightforwardly</w:t>
      </w:r>
      <w:proofErr w:type="gramEnd"/>
      <w:r w:rsidRPr="00526F43">
        <w:rPr>
          <w:sz w:val="22"/>
        </w:rPr>
        <w:t>, albeit in a majority judgment,</w:t>
      </w:r>
      <w:r w:rsidR="002A0000" w:rsidRPr="00526F43">
        <w:rPr>
          <w:rStyle w:val="FootnoteReference"/>
          <w:sz w:val="22"/>
        </w:rPr>
        <w:footnoteReference w:id="39"/>
      </w:r>
      <w:r w:rsidRPr="00526F43">
        <w:rPr>
          <w:sz w:val="22"/>
        </w:rPr>
        <w:t xml:space="preserve"> that </w:t>
      </w:r>
      <w:r w:rsidRPr="00526F43">
        <w:rPr>
          <w:i/>
          <w:iCs/>
          <w:sz w:val="22"/>
        </w:rPr>
        <w:t>Trojani</w:t>
      </w:r>
      <w:r w:rsidRPr="00526F43">
        <w:rPr>
          <w:sz w:val="22"/>
        </w:rPr>
        <w:t xml:space="preserve"> precluded the adoption of legislation that subjected EU migrants with a clear right to reside in a Member State, to nationality discrimination. </w:t>
      </w:r>
      <w:r w:rsidR="00D27F36" w:rsidRPr="00526F43">
        <w:rPr>
          <w:sz w:val="22"/>
        </w:rPr>
        <w:t xml:space="preserve">The CJEU ruling in </w:t>
      </w:r>
      <w:r w:rsidR="00D27F36" w:rsidRPr="00526F43">
        <w:rPr>
          <w:i/>
          <w:iCs/>
          <w:sz w:val="22"/>
        </w:rPr>
        <w:t>CG</w:t>
      </w:r>
      <w:r w:rsidR="00D27F36" w:rsidRPr="00526F43">
        <w:rPr>
          <w:sz w:val="22"/>
        </w:rPr>
        <w:t xml:space="preserve"> now makes it impossible for the UK Supreme Court to follow the Court of Appeal. However, in so doing, it relies upon shaky, and sometimes incoherent reasoning. This case note will focus on three key, problematic arguments put by the Court in the</w:t>
      </w:r>
      <w:r w:rsidR="00D27F36" w:rsidRPr="00526F43">
        <w:rPr>
          <w:i/>
          <w:iCs/>
          <w:sz w:val="22"/>
        </w:rPr>
        <w:t xml:space="preserve"> CG </w:t>
      </w:r>
      <w:r w:rsidR="00D27F36" w:rsidRPr="00526F43">
        <w:rPr>
          <w:sz w:val="22"/>
        </w:rPr>
        <w:t xml:space="preserve">judgment – that Article 18 TFEU has no application here; that </w:t>
      </w:r>
      <w:proofErr w:type="spellStart"/>
      <w:r w:rsidR="00D27F36" w:rsidRPr="00526F43">
        <w:rPr>
          <w:i/>
          <w:iCs/>
          <w:sz w:val="22"/>
        </w:rPr>
        <w:t>Dano</w:t>
      </w:r>
      <w:proofErr w:type="spellEnd"/>
      <w:r w:rsidR="00D27F36" w:rsidRPr="00526F43">
        <w:rPr>
          <w:sz w:val="22"/>
        </w:rPr>
        <w:t xml:space="preserve"> endorses a general right to refuse benefits on grounds of </w:t>
      </w:r>
      <w:r w:rsidR="002434FA" w:rsidRPr="00526F43">
        <w:rPr>
          <w:sz w:val="22"/>
        </w:rPr>
        <w:t>“</w:t>
      </w:r>
      <w:r w:rsidR="00D27F36" w:rsidRPr="00526F43">
        <w:rPr>
          <w:sz w:val="22"/>
        </w:rPr>
        <w:t>unreasonable burden</w:t>
      </w:r>
      <w:r w:rsidR="002434FA" w:rsidRPr="00526F43">
        <w:rPr>
          <w:sz w:val="22"/>
        </w:rPr>
        <w:t>”</w:t>
      </w:r>
      <w:r w:rsidR="00D27F36" w:rsidRPr="00526F43">
        <w:rPr>
          <w:sz w:val="22"/>
        </w:rPr>
        <w:t xml:space="preserve">, regardless of a pre-existing right to reside; and </w:t>
      </w:r>
      <w:proofErr w:type="gramStart"/>
      <w:r w:rsidR="00D27F36" w:rsidRPr="00526F43">
        <w:rPr>
          <w:sz w:val="22"/>
        </w:rPr>
        <w:t>that fundamental rights</w:t>
      </w:r>
      <w:proofErr w:type="gramEnd"/>
      <w:r w:rsidR="00D27F36" w:rsidRPr="00526F43">
        <w:rPr>
          <w:sz w:val="22"/>
        </w:rPr>
        <w:t xml:space="preserve"> provide an appropriate safety net for claimants such as </w:t>
      </w:r>
      <w:r w:rsidR="00D27F36" w:rsidRPr="00526F43">
        <w:rPr>
          <w:i/>
          <w:iCs/>
          <w:sz w:val="22"/>
        </w:rPr>
        <w:t>CG</w:t>
      </w:r>
      <w:r w:rsidR="00D27F36" w:rsidRPr="00526F43">
        <w:rPr>
          <w:sz w:val="22"/>
        </w:rPr>
        <w:t xml:space="preserve">. Finally, the analysis moves on to discuss the possible application of </w:t>
      </w:r>
      <w:r w:rsidR="00357E12" w:rsidRPr="00526F43">
        <w:rPr>
          <w:i/>
          <w:iCs/>
          <w:sz w:val="22"/>
        </w:rPr>
        <w:t>CG</w:t>
      </w:r>
      <w:r w:rsidR="00D27F36" w:rsidRPr="00526F43">
        <w:rPr>
          <w:sz w:val="22"/>
        </w:rPr>
        <w:t xml:space="preserve">, in </w:t>
      </w:r>
      <w:proofErr w:type="spellStart"/>
      <w:r w:rsidR="00D27F36" w:rsidRPr="00526F43">
        <w:rPr>
          <w:i/>
          <w:iCs/>
          <w:sz w:val="22"/>
        </w:rPr>
        <w:t>Fratila</w:t>
      </w:r>
      <w:proofErr w:type="spellEnd"/>
      <w:r w:rsidR="00D27F36" w:rsidRPr="00526F43">
        <w:rPr>
          <w:sz w:val="22"/>
        </w:rPr>
        <w:t>, in other pre-2021 cases, and in 2021-onward cases governed by the citizens</w:t>
      </w:r>
      <w:r w:rsidR="00CE6014" w:rsidRPr="00526F43">
        <w:rPr>
          <w:sz w:val="22"/>
        </w:rPr>
        <w:t>’</w:t>
      </w:r>
      <w:r w:rsidR="00D27F36" w:rsidRPr="00526F43">
        <w:rPr>
          <w:sz w:val="22"/>
        </w:rPr>
        <w:t xml:space="preserve"> rights provisions of the Withdrawal Agreement.   </w:t>
      </w:r>
    </w:p>
    <w:p w14:paraId="7BF40015" w14:textId="149577FD" w:rsidR="00A6773F" w:rsidRPr="00526F43" w:rsidRDefault="00A6773F" w:rsidP="00681077">
      <w:pPr>
        <w:jc w:val="both"/>
        <w:rPr>
          <w:sz w:val="22"/>
        </w:rPr>
      </w:pPr>
    </w:p>
    <w:p w14:paraId="7EE8C1C6" w14:textId="10DD05F8" w:rsidR="00E9530D" w:rsidRPr="00526F43" w:rsidRDefault="00D27F36" w:rsidP="00681077">
      <w:pPr>
        <w:jc w:val="both"/>
        <w:rPr>
          <w:i/>
          <w:iCs/>
          <w:sz w:val="22"/>
        </w:rPr>
      </w:pPr>
      <w:r w:rsidRPr="00526F43">
        <w:rPr>
          <w:i/>
          <w:iCs/>
          <w:sz w:val="22"/>
        </w:rPr>
        <w:t>Art</w:t>
      </w:r>
      <w:r w:rsidR="003B6DA7" w:rsidRPr="00526F43">
        <w:rPr>
          <w:i/>
          <w:iCs/>
          <w:sz w:val="22"/>
        </w:rPr>
        <w:t>icle</w:t>
      </w:r>
      <w:r w:rsidRPr="00526F43">
        <w:rPr>
          <w:i/>
          <w:iCs/>
          <w:sz w:val="22"/>
        </w:rPr>
        <w:t xml:space="preserve"> 18</w:t>
      </w:r>
      <w:r w:rsidR="003B6DA7" w:rsidRPr="00526F43">
        <w:rPr>
          <w:i/>
          <w:iCs/>
          <w:sz w:val="22"/>
        </w:rPr>
        <w:t xml:space="preserve"> TFEU</w:t>
      </w:r>
      <w:r w:rsidRPr="00526F43">
        <w:rPr>
          <w:i/>
          <w:iCs/>
          <w:sz w:val="22"/>
        </w:rPr>
        <w:t xml:space="preserve"> – where did the primary law go? </w:t>
      </w:r>
    </w:p>
    <w:p w14:paraId="4A59A375" w14:textId="77777777" w:rsidR="00E9530D" w:rsidRPr="00526F43" w:rsidRDefault="00E9530D" w:rsidP="00681077">
      <w:pPr>
        <w:jc w:val="both"/>
        <w:rPr>
          <w:sz w:val="22"/>
        </w:rPr>
      </w:pPr>
    </w:p>
    <w:p w14:paraId="23E396BE" w14:textId="1CA4E643" w:rsidR="005B32A5" w:rsidRPr="00526F43" w:rsidRDefault="005B32A5" w:rsidP="00681077">
      <w:pPr>
        <w:jc w:val="both"/>
        <w:rPr>
          <w:sz w:val="22"/>
        </w:rPr>
      </w:pPr>
      <w:r w:rsidRPr="00526F43">
        <w:rPr>
          <w:sz w:val="22"/>
        </w:rPr>
        <w:t xml:space="preserve">In arguing that pre-settled status, as a right to reside, should trigger an entitlement to equal treatment, </w:t>
      </w:r>
      <w:r w:rsidR="00755A8A" w:rsidRPr="00526F43">
        <w:rPr>
          <w:sz w:val="22"/>
        </w:rPr>
        <w:t xml:space="preserve">the </w:t>
      </w:r>
      <w:r w:rsidRPr="00526F43">
        <w:rPr>
          <w:sz w:val="22"/>
        </w:rPr>
        <w:t>claimant had largely relied upon Article 18 TFEU – a primary law basis for equal treatment on the ground of nationality. This has been significant partly because of the CJEU’s tendency over the past decade to treat secondary law</w:t>
      </w:r>
      <w:r w:rsidR="00755A8A" w:rsidRPr="00526F43">
        <w:rPr>
          <w:sz w:val="22"/>
        </w:rPr>
        <w:t>,</w:t>
      </w:r>
      <w:r w:rsidRPr="00526F43">
        <w:rPr>
          <w:sz w:val="22"/>
        </w:rPr>
        <w:t xml:space="preserve"> in particular the Citizens’ </w:t>
      </w:r>
      <w:r w:rsidR="00755A8A" w:rsidRPr="00526F43">
        <w:rPr>
          <w:sz w:val="22"/>
        </w:rPr>
        <w:t>R</w:t>
      </w:r>
      <w:r w:rsidRPr="00526F43">
        <w:rPr>
          <w:sz w:val="22"/>
        </w:rPr>
        <w:t>esidence Directive 2004/38</w:t>
      </w:r>
      <w:r w:rsidR="00755A8A" w:rsidRPr="00526F43">
        <w:rPr>
          <w:sz w:val="22"/>
        </w:rPr>
        <w:t xml:space="preserve"> (“the Directive”)</w:t>
      </w:r>
      <w:r w:rsidRPr="00526F43">
        <w:rPr>
          <w:sz w:val="22"/>
        </w:rPr>
        <w:t xml:space="preserve">, as imposing conditions precedent to the primary law right. Following this </w:t>
      </w:r>
      <w:proofErr w:type="gramStart"/>
      <w:r w:rsidRPr="00526F43">
        <w:rPr>
          <w:sz w:val="22"/>
        </w:rPr>
        <w:t>approach</w:t>
      </w:r>
      <w:proofErr w:type="gramEnd"/>
      <w:r w:rsidRPr="00526F43">
        <w:rPr>
          <w:sz w:val="22"/>
        </w:rPr>
        <w:t xml:space="preserve"> a right to reside, or to equal treatment, just does not materialise until those conditions are met – see for instance, the transposition of the limitations in </w:t>
      </w:r>
      <w:r w:rsidR="00755A8A" w:rsidRPr="00526F43">
        <w:rPr>
          <w:sz w:val="22"/>
        </w:rPr>
        <w:t>the Directive</w:t>
      </w:r>
      <w:r w:rsidRPr="00526F43">
        <w:rPr>
          <w:sz w:val="22"/>
        </w:rPr>
        <w:t xml:space="preserve"> over to Regulation 883/2004 in </w:t>
      </w:r>
      <w:r w:rsidRPr="00526F43">
        <w:rPr>
          <w:i/>
          <w:iCs/>
          <w:sz w:val="22"/>
        </w:rPr>
        <w:t>Commission v UK</w:t>
      </w:r>
      <w:r w:rsidRPr="00526F43">
        <w:rPr>
          <w:sz w:val="22"/>
        </w:rPr>
        <w:t>.</w:t>
      </w:r>
      <w:r w:rsidRPr="00526F43">
        <w:rPr>
          <w:rStyle w:val="FootnoteReference"/>
          <w:sz w:val="22"/>
        </w:rPr>
        <w:footnoteReference w:id="40"/>
      </w:r>
      <w:r w:rsidRPr="00526F43">
        <w:rPr>
          <w:sz w:val="22"/>
        </w:rPr>
        <w:t xml:space="preserve"> </w:t>
      </w:r>
    </w:p>
    <w:p w14:paraId="6D1AC133" w14:textId="77777777" w:rsidR="005B32A5" w:rsidRPr="00526F43" w:rsidRDefault="005B32A5" w:rsidP="00681077">
      <w:pPr>
        <w:jc w:val="both"/>
        <w:rPr>
          <w:sz w:val="22"/>
        </w:rPr>
      </w:pPr>
    </w:p>
    <w:p w14:paraId="3672BAFD" w14:textId="1C688BED" w:rsidR="005B32A5" w:rsidRPr="00526F43" w:rsidRDefault="005B32A5" w:rsidP="00681077">
      <w:pPr>
        <w:jc w:val="both"/>
        <w:rPr>
          <w:sz w:val="22"/>
        </w:rPr>
      </w:pPr>
      <w:r w:rsidRPr="00526F43">
        <w:rPr>
          <w:sz w:val="22"/>
        </w:rPr>
        <w:t xml:space="preserve">Prior to </w:t>
      </w:r>
      <w:r w:rsidRPr="00526F43">
        <w:rPr>
          <w:i/>
          <w:iCs/>
          <w:sz w:val="22"/>
        </w:rPr>
        <w:t>CG</w:t>
      </w:r>
      <w:r w:rsidRPr="00526F43">
        <w:rPr>
          <w:sz w:val="22"/>
        </w:rPr>
        <w:t>, primary law made a brief come-back in a recent Opinion delivered by A</w:t>
      </w:r>
      <w:r w:rsidR="002434FA" w:rsidRPr="00526F43">
        <w:rPr>
          <w:sz w:val="22"/>
        </w:rPr>
        <w:t xml:space="preserve">dvocate </w:t>
      </w:r>
      <w:r w:rsidRPr="00526F43">
        <w:rPr>
          <w:sz w:val="22"/>
        </w:rPr>
        <w:t>G</w:t>
      </w:r>
      <w:r w:rsidR="002434FA" w:rsidRPr="00526F43">
        <w:rPr>
          <w:sz w:val="22"/>
        </w:rPr>
        <w:t>eneral</w:t>
      </w:r>
      <w:r w:rsidRPr="00526F43">
        <w:rPr>
          <w:sz w:val="22"/>
        </w:rPr>
        <w:t xml:space="preserve"> </w:t>
      </w:r>
      <w:proofErr w:type="spellStart"/>
      <w:r w:rsidRPr="00526F43">
        <w:rPr>
          <w:sz w:val="22"/>
        </w:rPr>
        <w:t>Saugmandsgaard</w:t>
      </w:r>
      <w:proofErr w:type="spellEnd"/>
      <w:r w:rsidRPr="00526F43">
        <w:rPr>
          <w:sz w:val="22"/>
        </w:rPr>
        <w:t xml:space="preserve"> </w:t>
      </w:r>
      <w:proofErr w:type="spellStart"/>
      <w:r w:rsidRPr="00526F43">
        <w:rPr>
          <w:sz w:val="22"/>
        </w:rPr>
        <w:t>Øe</w:t>
      </w:r>
      <w:proofErr w:type="spellEnd"/>
      <w:r w:rsidRPr="00526F43">
        <w:rPr>
          <w:sz w:val="22"/>
        </w:rPr>
        <w:t xml:space="preserve"> in </w:t>
      </w:r>
      <w:r w:rsidR="00404DE5" w:rsidRPr="00526F43">
        <w:rPr>
          <w:sz w:val="22"/>
        </w:rPr>
        <w:t xml:space="preserve">the case of </w:t>
      </w:r>
      <w:r w:rsidR="00404DE5" w:rsidRPr="00526F43">
        <w:rPr>
          <w:i/>
          <w:iCs/>
          <w:sz w:val="22"/>
        </w:rPr>
        <w:t>A</w:t>
      </w:r>
      <w:r w:rsidR="00A62023" w:rsidRPr="00526F43">
        <w:rPr>
          <w:sz w:val="22"/>
        </w:rPr>
        <w:t>.</w:t>
      </w:r>
      <w:r w:rsidR="002434FA" w:rsidRPr="00526F43">
        <w:rPr>
          <w:rStyle w:val="FootnoteReference"/>
          <w:sz w:val="22"/>
        </w:rPr>
        <w:footnoteReference w:id="41"/>
      </w:r>
      <w:r w:rsidRPr="00526F43">
        <w:rPr>
          <w:sz w:val="22"/>
        </w:rPr>
        <w:t xml:space="preserve"> </w:t>
      </w:r>
      <w:r w:rsidR="00A62023" w:rsidRPr="00526F43">
        <w:rPr>
          <w:sz w:val="22"/>
        </w:rPr>
        <w:t xml:space="preserve">The Advocate General </w:t>
      </w:r>
      <w:r w:rsidRPr="00526F43">
        <w:rPr>
          <w:sz w:val="22"/>
        </w:rPr>
        <w:t xml:space="preserve">referred specifically to the rights laid down in Article 21 TFEU, </w:t>
      </w:r>
      <w:r w:rsidR="00545C00" w:rsidRPr="00526F43">
        <w:rPr>
          <w:sz w:val="22"/>
        </w:rPr>
        <w:t>while finding</w:t>
      </w:r>
      <w:r w:rsidRPr="00526F43">
        <w:rPr>
          <w:sz w:val="22"/>
        </w:rPr>
        <w:t xml:space="preserve"> that citizenship of the Union, once </w:t>
      </w:r>
      <w:r w:rsidR="00755A8A" w:rsidRPr="00526F43">
        <w:rPr>
          <w:sz w:val="22"/>
        </w:rPr>
        <w:t>“</w:t>
      </w:r>
      <w:r w:rsidRPr="00526F43">
        <w:rPr>
          <w:sz w:val="22"/>
        </w:rPr>
        <w:t>destined</w:t>
      </w:r>
      <w:r w:rsidR="00755A8A" w:rsidRPr="00526F43">
        <w:rPr>
          <w:sz w:val="22"/>
        </w:rPr>
        <w:t>”</w:t>
      </w:r>
      <w:r w:rsidRPr="00526F43">
        <w:rPr>
          <w:sz w:val="22"/>
        </w:rPr>
        <w:t xml:space="preserve"> to be the fundamental status of EU nationals,</w:t>
      </w:r>
      <w:r w:rsidR="00755A8A" w:rsidRPr="00526F43">
        <w:rPr>
          <w:rStyle w:val="FootnoteReference"/>
          <w:sz w:val="22"/>
        </w:rPr>
        <w:footnoteReference w:id="42"/>
      </w:r>
      <w:r w:rsidRPr="00526F43">
        <w:rPr>
          <w:sz w:val="22"/>
        </w:rPr>
        <w:t xml:space="preserve"> </w:t>
      </w:r>
      <w:r w:rsidR="00755A8A" w:rsidRPr="00526F43">
        <w:rPr>
          <w:sz w:val="22"/>
        </w:rPr>
        <w:t>“</w:t>
      </w:r>
      <w:r w:rsidRPr="00526F43">
        <w:rPr>
          <w:sz w:val="22"/>
        </w:rPr>
        <w:t>has become the fundamental status of nationals of Member States</w:t>
      </w:r>
      <w:r w:rsidR="00755A8A" w:rsidRPr="00526F43">
        <w:rPr>
          <w:sz w:val="22"/>
        </w:rPr>
        <w:t>”</w:t>
      </w:r>
      <w:r w:rsidRPr="00526F43">
        <w:rPr>
          <w:sz w:val="22"/>
        </w:rPr>
        <w:t>.</w:t>
      </w:r>
      <w:r w:rsidRPr="00526F43">
        <w:rPr>
          <w:rStyle w:val="FootnoteReference"/>
          <w:sz w:val="22"/>
        </w:rPr>
        <w:footnoteReference w:id="43"/>
      </w:r>
      <w:r w:rsidRPr="00526F43">
        <w:rPr>
          <w:sz w:val="22"/>
        </w:rPr>
        <w:t xml:space="preserve"> Similarly, in </w:t>
      </w:r>
      <w:r w:rsidRPr="00526F43">
        <w:rPr>
          <w:i/>
          <w:iCs/>
          <w:sz w:val="22"/>
        </w:rPr>
        <w:t>Krefeld</w:t>
      </w:r>
      <w:r w:rsidRPr="00526F43">
        <w:rPr>
          <w:sz w:val="22"/>
        </w:rPr>
        <w:t>,</w:t>
      </w:r>
      <w:r w:rsidR="00755A8A" w:rsidRPr="00526F43">
        <w:rPr>
          <w:rStyle w:val="FootnoteReference"/>
          <w:sz w:val="22"/>
        </w:rPr>
        <w:footnoteReference w:id="44"/>
      </w:r>
      <w:r w:rsidRPr="00526F43">
        <w:rPr>
          <w:sz w:val="22"/>
        </w:rPr>
        <w:t xml:space="preserve"> the CJEU found that the derogations within</w:t>
      </w:r>
      <w:r w:rsidR="00755A8A" w:rsidRPr="00526F43">
        <w:rPr>
          <w:sz w:val="22"/>
        </w:rPr>
        <w:t xml:space="preserve"> the Directive</w:t>
      </w:r>
      <w:r w:rsidRPr="00526F43">
        <w:rPr>
          <w:sz w:val="22"/>
        </w:rPr>
        <w:t xml:space="preserve"> from Article 18 TFEU and the right to equal treatment must be </w:t>
      </w:r>
      <w:r w:rsidR="00755A8A" w:rsidRPr="00526F43">
        <w:rPr>
          <w:sz w:val="22"/>
        </w:rPr>
        <w:t>“</w:t>
      </w:r>
      <w:r w:rsidRPr="00526F43">
        <w:rPr>
          <w:sz w:val="22"/>
        </w:rPr>
        <w:t>interpreted strictly, and in accordance with the provisions of the Treaty, including those relating to Union citizenship and freedom of movement for workers</w:t>
      </w:r>
      <w:r w:rsidR="00755A8A" w:rsidRPr="00526F43">
        <w:rPr>
          <w:sz w:val="22"/>
        </w:rPr>
        <w:t>”</w:t>
      </w:r>
      <w:r w:rsidR="00BE4DB1" w:rsidRPr="00526F43">
        <w:rPr>
          <w:rStyle w:val="FootnoteReference"/>
          <w:sz w:val="22"/>
        </w:rPr>
        <w:footnoteReference w:id="45"/>
      </w:r>
      <w:r w:rsidR="00D15C7D" w:rsidRPr="00526F43">
        <w:rPr>
          <w:sz w:val="22"/>
        </w:rPr>
        <w:t xml:space="preserve"> – and did not apply to a right to reside which arose outside of the Directive; in that case from </w:t>
      </w:r>
      <w:r w:rsidR="00D15C7D" w:rsidRPr="00526F43">
        <w:rPr>
          <w:sz w:val="22"/>
        </w:rPr>
        <w:lastRenderedPageBreak/>
        <w:t>Regulation 492/2011.</w:t>
      </w:r>
      <w:r w:rsidR="00755A8A" w:rsidRPr="00526F43">
        <w:rPr>
          <w:rStyle w:val="FootnoteReference"/>
          <w:sz w:val="22"/>
        </w:rPr>
        <w:footnoteReference w:id="46"/>
      </w:r>
      <w:r w:rsidRPr="00526F43">
        <w:rPr>
          <w:sz w:val="22"/>
        </w:rPr>
        <w:t xml:space="preserve"> </w:t>
      </w:r>
      <w:proofErr w:type="spellStart"/>
      <w:r w:rsidR="00BE4DB1" w:rsidRPr="00526F43">
        <w:rPr>
          <w:sz w:val="22"/>
        </w:rPr>
        <w:t>Ristuccia</w:t>
      </w:r>
      <w:proofErr w:type="spellEnd"/>
      <w:r w:rsidR="00BE4DB1" w:rsidRPr="00526F43">
        <w:rPr>
          <w:sz w:val="22"/>
        </w:rPr>
        <w:t xml:space="preserve"> argues that the Court has thus “spelt out that Directive 2004/38 does not set overarching principles exportable to the whole area of free movement of persons”.</w:t>
      </w:r>
      <w:r w:rsidR="00BE4DB1" w:rsidRPr="00526F43">
        <w:rPr>
          <w:rStyle w:val="FootnoteReference"/>
          <w:sz w:val="22"/>
        </w:rPr>
        <w:footnoteReference w:id="47"/>
      </w:r>
    </w:p>
    <w:p w14:paraId="6A7C4051" w14:textId="268DF7FF" w:rsidR="005B32A5" w:rsidRPr="00526F43" w:rsidRDefault="005B32A5" w:rsidP="00681077">
      <w:pPr>
        <w:jc w:val="both"/>
        <w:rPr>
          <w:sz w:val="22"/>
        </w:rPr>
      </w:pPr>
    </w:p>
    <w:p w14:paraId="6DAA46D4" w14:textId="61E3D5F6" w:rsidR="005B32A5" w:rsidRPr="00526F43" w:rsidRDefault="005B32A5" w:rsidP="00681077">
      <w:pPr>
        <w:tabs>
          <w:tab w:val="left" w:pos="7314"/>
        </w:tabs>
        <w:jc w:val="both"/>
        <w:rPr>
          <w:sz w:val="22"/>
        </w:rPr>
      </w:pPr>
      <w:r w:rsidRPr="00526F43">
        <w:rPr>
          <w:sz w:val="22"/>
        </w:rPr>
        <w:t>So, it seemed as though we might be emerging from the Tyranny of the Directive; the conditions it contain</w:t>
      </w:r>
      <w:r w:rsidR="00755A8A" w:rsidRPr="00526F43">
        <w:rPr>
          <w:sz w:val="22"/>
        </w:rPr>
        <w:t>s</w:t>
      </w:r>
      <w:r w:rsidRPr="00526F43">
        <w:rPr>
          <w:sz w:val="22"/>
        </w:rPr>
        <w:t xml:space="preserve"> are not all-encompassing. </w:t>
      </w:r>
      <w:r w:rsidR="00E47974" w:rsidRPr="00526F43">
        <w:rPr>
          <w:sz w:val="22"/>
        </w:rPr>
        <w:t>Which</w:t>
      </w:r>
      <w:r w:rsidRPr="00526F43">
        <w:rPr>
          <w:sz w:val="22"/>
        </w:rPr>
        <w:t xml:space="preserve"> makes the reliance in </w:t>
      </w:r>
      <w:r w:rsidRPr="00526F43">
        <w:rPr>
          <w:i/>
          <w:iCs/>
          <w:sz w:val="22"/>
        </w:rPr>
        <w:t xml:space="preserve">CG </w:t>
      </w:r>
      <w:r w:rsidRPr="00526F43">
        <w:rPr>
          <w:sz w:val="22"/>
        </w:rPr>
        <w:t xml:space="preserve">on Article 18 TFEU quite natural, given it </w:t>
      </w:r>
      <w:r w:rsidR="00755A8A" w:rsidRPr="00526F43">
        <w:rPr>
          <w:sz w:val="22"/>
        </w:rPr>
        <w:t>turns</w:t>
      </w:r>
      <w:r w:rsidRPr="00526F43">
        <w:rPr>
          <w:sz w:val="22"/>
        </w:rPr>
        <w:t xml:space="preserve"> on the consequences of a Member State (or rather, a quasi-Member State as was the UK during transition), awarding a domestic right to reside, not based on the </w:t>
      </w:r>
      <w:r w:rsidR="00755A8A" w:rsidRPr="00526F43">
        <w:rPr>
          <w:sz w:val="22"/>
        </w:rPr>
        <w:t>Directive</w:t>
      </w:r>
      <w:r w:rsidRPr="00526F43">
        <w:rPr>
          <w:sz w:val="22"/>
        </w:rPr>
        <w:t xml:space="preserve">, to people who do not claim to fall within the categories of the </w:t>
      </w:r>
      <w:r w:rsidR="00755A8A" w:rsidRPr="00526F43">
        <w:rPr>
          <w:sz w:val="22"/>
        </w:rPr>
        <w:t>Directive</w:t>
      </w:r>
      <w:r w:rsidRPr="00526F43">
        <w:rPr>
          <w:sz w:val="22"/>
        </w:rPr>
        <w:t xml:space="preserve">. </w:t>
      </w:r>
    </w:p>
    <w:p w14:paraId="2F6FC376" w14:textId="555CE105" w:rsidR="005B32A5" w:rsidRPr="00526F43" w:rsidRDefault="005B32A5" w:rsidP="00681077">
      <w:pPr>
        <w:jc w:val="both"/>
        <w:rPr>
          <w:sz w:val="22"/>
        </w:rPr>
      </w:pPr>
    </w:p>
    <w:p w14:paraId="67315202" w14:textId="2C1DFC1F" w:rsidR="00404DE5" w:rsidRPr="00526F43" w:rsidRDefault="00404DE5" w:rsidP="00681077">
      <w:pPr>
        <w:jc w:val="both"/>
        <w:rPr>
          <w:sz w:val="22"/>
        </w:rPr>
      </w:pPr>
      <w:r w:rsidRPr="00526F43">
        <w:rPr>
          <w:sz w:val="22"/>
        </w:rPr>
        <w:t>However, it was not to be</w:t>
      </w:r>
      <w:r w:rsidR="00197FCC" w:rsidRPr="00526F43">
        <w:rPr>
          <w:sz w:val="22"/>
        </w:rPr>
        <w:t>.</w:t>
      </w:r>
      <w:r w:rsidRPr="00526F43">
        <w:rPr>
          <w:sz w:val="22"/>
        </w:rPr>
        <w:t xml:space="preserve"> </w:t>
      </w:r>
      <w:r w:rsidR="00197FCC" w:rsidRPr="00526F43">
        <w:rPr>
          <w:sz w:val="22"/>
        </w:rPr>
        <w:t>T</w:t>
      </w:r>
      <w:r w:rsidRPr="00526F43">
        <w:rPr>
          <w:sz w:val="22"/>
        </w:rPr>
        <w:t xml:space="preserve">he CJEU has reasserted the supremacy of the Directive in both </w:t>
      </w:r>
      <w:r w:rsidRPr="00526F43">
        <w:rPr>
          <w:i/>
          <w:iCs/>
          <w:sz w:val="22"/>
        </w:rPr>
        <w:t>CG</w:t>
      </w:r>
      <w:r w:rsidRPr="00526F43">
        <w:rPr>
          <w:sz w:val="22"/>
        </w:rPr>
        <w:t xml:space="preserve">, and </w:t>
      </w:r>
      <w:r w:rsidRPr="00526F43">
        <w:rPr>
          <w:i/>
          <w:iCs/>
          <w:sz w:val="22"/>
        </w:rPr>
        <w:t>A</w:t>
      </w:r>
      <w:r w:rsidRPr="00526F43">
        <w:rPr>
          <w:sz w:val="22"/>
        </w:rPr>
        <w:t>,</w:t>
      </w:r>
      <w:r w:rsidR="00755A8A" w:rsidRPr="00526F43">
        <w:rPr>
          <w:rStyle w:val="FootnoteReference"/>
          <w:sz w:val="22"/>
        </w:rPr>
        <w:footnoteReference w:id="48"/>
      </w:r>
      <w:r w:rsidRPr="00526F43">
        <w:rPr>
          <w:sz w:val="22"/>
        </w:rPr>
        <w:t xml:space="preserve"> handing down both judgments on the same day. In </w:t>
      </w:r>
      <w:r w:rsidRPr="00526F43">
        <w:rPr>
          <w:i/>
          <w:iCs/>
          <w:sz w:val="22"/>
        </w:rPr>
        <w:t>A</w:t>
      </w:r>
      <w:r w:rsidRPr="00526F43">
        <w:rPr>
          <w:sz w:val="22"/>
        </w:rPr>
        <w:t xml:space="preserve">, the Court declined Advocate General </w:t>
      </w:r>
      <w:proofErr w:type="spellStart"/>
      <w:r w:rsidRPr="00526F43">
        <w:rPr>
          <w:sz w:val="22"/>
        </w:rPr>
        <w:t>Saugmandsgaard</w:t>
      </w:r>
      <w:proofErr w:type="spellEnd"/>
      <w:r w:rsidRPr="00526F43">
        <w:rPr>
          <w:sz w:val="22"/>
        </w:rPr>
        <w:t xml:space="preserve"> </w:t>
      </w:r>
      <w:proofErr w:type="spellStart"/>
      <w:r w:rsidRPr="00526F43">
        <w:rPr>
          <w:sz w:val="22"/>
        </w:rPr>
        <w:t>Øe’s</w:t>
      </w:r>
      <w:proofErr w:type="spellEnd"/>
      <w:r w:rsidRPr="00526F43">
        <w:rPr>
          <w:sz w:val="22"/>
        </w:rPr>
        <w:t xml:space="preserve"> invitations to apply primary law, or to engage with the fundamental status of EU citizenship</w:t>
      </w:r>
      <w:r w:rsidR="00BA0400" w:rsidRPr="00526F43">
        <w:rPr>
          <w:sz w:val="22"/>
        </w:rPr>
        <w:t xml:space="preserve">, while in </w:t>
      </w:r>
      <w:r w:rsidR="00BA0400" w:rsidRPr="00526F43">
        <w:rPr>
          <w:i/>
          <w:iCs/>
          <w:sz w:val="22"/>
        </w:rPr>
        <w:t>CG</w:t>
      </w:r>
      <w:r w:rsidR="00BA0400" w:rsidRPr="00526F43">
        <w:rPr>
          <w:sz w:val="22"/>
        </w:rPr>
        <w:t xml:space="preserve"> the Court adopt</w:t>
      </w:r>
      <w:r w:rsidR="00D15C7D" w:rsidRPr="00526F43">
        <w:rPr>
          <w:sz w:val="22"/>
        </w:rPr>
        <w:t>ed</w:t>
      </w:r>
      <w:r w:rsidR="00BA0400" w:rsidRPr="00526F43">
        <w:rPr>
          <w:sz w:val="22"/>
        </w:rPr>
        <w:t xml:space="preserve"> some tricksy intellectual footwork </w:t>
      </w:r>
      <w:proofErr w:type="gramStart"/>
      <w:r w:rsidR="00BA0400" w:rsidRPr="00526F43">
        <w:rPr>
          <w:sz w:val="22"/>
        </w:rPr>
        <w:t>in order to</w:t>
      </w:r>
      <w:proofErr w:type="gramEnd"/>
      <w:r w:rsidR="00BA0400" w:rsidRPr="00526F43">
        <w:rPr>
          <w:sz w:val="22"/>
        </w:rPr>
        <w:t xml:space="preserve"> sidestep consideration of Article 18 TFEU. </w:t>
      </w:r>
      <w:r w:rsidR="00D15C7D" w:rsidRPr="00526F43">
        <w:rPr>
          <w:sz w:val="22"/>
        </w:rPr>
        <w:t>The finding that a right to reside which arose outside of the Directive should be governed by the sovereign conditions of that Directive contrast</w:t>
      </w:r>
      <w:r w:rsidR="00357E12" w:rsidRPr="00526F43">
        <w:rPr>
          <w:sz w:val="22"/>
        </w:rPr>
        <w:t xml:space="preserve">s sharply </w:t>
      </w:r>
      <w:r w:rsidR="00D15C7D" w:rsidRPr="00526F43">
        <w:rPr>
          <w:sz w:val="22"/>
        </w:rPr>
        <w:t xml:space="preserve">with </w:t>
      </w:r>
      <w:r w:rsidR="00357E12" w:rsidRPr="00526F43">
        <w:rPr>
          <w:sz w:val="22"/>
        </w:rPr>
        <w:t xml:space="preserve">the </w:t>
      </w:r>
      <w:r w:rsidR="00D15C7D" w:rsidRPr="00526F43">
        <w:rPr>
          <w:i/>
          <w:iCs/>
          <w:sz w:val="22"/>
        </w:rPr>
        <w:t>Krefeld</w:t>
      </w:r>
      <w:r w:rsidR="00357E12" w:rsidRPr="00526F43">
        <w:rPr>
          <w:i/>
          <w:iCs/>
          <w:sz w:val="22"/>
        </w:rPr>
        <w:t xml:space="preserve"> </w:t>
      </w:r>
      <w:r w:rsidR="00357E12" w:rsidRPr="00526F43">
        <w:rPr>
          <w:sz w:val="22"/>
        </w:rPr>
        <w:t>judgment</w:t>
      </w:r>
      <w:r w:rsidR="00D15C7D" w:rsidRPr="00526F43">
        <w:rPr>
          <w:sz w:val="22"/>
        </w:rPr>
        <w:t xml:space="preserve">, and curiously, the difference seems related to a difference in rhetorical emphasis. In </w:t>
      </w:r>
      <w:r w:rsidR="00D15C7D" w:rsidRPr="00526F43">
        <w:rPr>
          <w:i/>
          <w:iCs/>
          <w:sz w:val="22"/>
        </w:rPr>
        <w:t>CG</w:t>
      </w:r>
      <w:r w:rsidR="00D15C7D" w:rsidRPr="00526F43">
        <w:rPr>
          <w:sz w:val="22"/>
        </w:rPr>
        <w:t xml:space="preserve">, Article 18 </w:t>
      </w:r>
      <w:r w:rsidR="009565F6" w:rsidRPr="00526F43">
        <w:rPr>
          <w:sz w:val="22"/>
        </w:rPr>
        <w:t>“</w:t>
      </w:r>
      <w:r w:rsidR="00D15C7D" w:rsidRPr="00526F43">
        <w:rPr>
          <w:sz w:val="22"/>
        </w:rPr>
        <w:t>is given specific expression</w:t>
      </w:r>
      <w:r w:rsidR="009565F6" w:rsidRPr="00526F43">
        <w:rPr>
          <w:sz w:val="22"/>
        </w:rPr>
        <w:t>”</w:t>
      </w:r>
      <w:r w:rsidR="00D15C7D" w:rsidRPr="00526F43">
        <w:rPr>
          <w:sz w:val="22"/>
        </w:rPr>
        <w:t xml:space="preserve"> in Article 24(1) – an emphasis suggesting that the duties of Article 18 are fully discharged in Article 24. In contrast, in </w:t>
      </w:r>
      <w:r w:rsidR="00D15C7D" w:rsidRPr="00526F43">
        <w:rPr>
          <w:i/>
          <w:iCs/>
          <w:sz w:val="22"/>
        </w:rPr>
        <w:t>Krefeld</w:t>
      </w:r>
      <w:r w:rsidR="00D15C7D" w:rsidRPr="00526F43">
        <w:rPr>
          <w:sz w:val="22"/>
        </w:rPr>
        <w:t xml:space="preserve">, Article 24(1) is </w:t>
      </w:r>
      <w:r w:rsidR="009565F6" w:rsidRPr="00526F43">
        <w:rPr>
          <w:sz w:val="22"/>
        </w:rPr>
        <w:t>“</w:t>
      </w:r>
      <w:r w:rsidR="00D15C7D" w:rsidRPr="00526F43">
        <w:rPr>
          <w:sz w:val="22"/>
        </w:rPr>
        <w:t>merely a specific expression</w:t>
      </w:r>
      <w:r w:rsidR="009565F6" w:rsidRPr="00526F43">
        <w:rPr>
          <w:sz w:val="22"/>
        </w:rPr>
        <w:t>”</w:t>
      </w:r>
      <w:r w:rsidR="00D15C7D" w:rsidRPr="00526F43">
        <w:rPr>
          <w:sz w:val="22"/>
        </w:rPr>
        <w:t xml:space="preserve"> of Article 18 TFEU. The use of an indefinite article, combined with the word </w:t>
      </w:r>
      <w:r w:rsidR="009565F6" w:rsidRPr="00526F43">
        <w:rPr>
          <w:sz w:val="22"/>
        </w:rPr>
        <w:t>“</w:t>
      </w:r>
      <w:r w:rsidR="00D15C7D" w:rsidRPr="00526F43">
        <w:rPr>
          <w:sz w:val="22"/>
        </w:rPr>
        <w:t>merely</w:t>
      </w:r>
      <w:r w:rsidR="009565F6" w:rsidRPr="00526F43">
        <w:rPr>
          <w:sz w:val="22"/>
        </w:rPr>
        <w:t>”</w:t>
      </w:r>
      <w:r w:rsidR="00D15C7D" w:rsidRPr="00526F43">
        <w:rPr>
          <w:sz w:val="22"/>
        </w:rPr>
        <w:t xml:space="preserve">, suggests at once </w:t>
      </w:r>
      <w:proofErr w:type="gramStart"/>
      <w:r w:rsidR="00D15C7D" w:rsidRPr="00526F43">
        <w:rPr>
          <w:sz w:val="22"/>
        </w:rPr>
        <w:t xml:space="preserve">that </w:t>
      </w:r>
      <w:r w:rsidR="00D15C7D" w:rsidRPr="00526F43">
        <w:rPr>
          <w:i/>
          <w:iCs/>
          <w:sz w:val="22"/>
        </w:rPr>
        <w:t xml:space="preserve">other </w:t>
      </w:r>
      <w:r w:rsidR="00D15C7D" w:rsidRPr="00526F43">
        <w:rPr>
          <w:sz w:val="22"/>
        </w:rPr>
        <w:t>specific expressions</w:t>
      </w:r>
      <w:proofErr w:type="gramEnd"/>
      <w:r w:rsidR="00D15C7D" w:rsidRPr="00526F43">
        <w:rPr>
          <w:sz w:val="22"/>
        </w:rPr>
        <w:t xml:space="preserve"> exist, and moreover, that they are less significant than the </w:t>
      </w:r>
      <w:r w:rsidR="00D15C7D" w:rsidRPr="00526F43">
        <w:rPr>
          <w:i/>
          <w:iCs/>
          <w:sz w:val="22"/>
        </w:rPr>
        <w:t xml:space="preserve">general </w:t>
      </w:r>
      <w:r w:rsidR="00D15C7D" w:rsidRPr="00526F43">
        <w:rPr>
          <w:sz w:val="22"/>
        </w:rPr>
        <w:t xml:space="preserve">rule. </w:t>
      </w:r>
    </w:p>
    <w:p w14:paraId="3BBC5D69" w14:textId="202BFB24" w:rsidR="005B32A5" w:rsidRPr="00526F43" w:rsidRDefault="005B32A5" w:rsidP="00681077">
      <w:pPr>
        <w:jc w:val="both"/>
        <w:rPr>
          <w:sz w:val="22"/>
        </w:rPr>
      </w:pPr>
    </w:p>
    <w:p w14:paraId="489FD8FF" w14:textId="2B73252B" w:rsidR="00C13691" w:rsidRPr="00526F43" w:rsidRDefault="003B17CB" w:rsidP="00681077">
      <w:pPr>
        <w:jc w:val="both"/>
        <w:rPr>
          <w:sz w:val="22"/>
        </w:rPr>
      </w:pPr>
      <w:r w:rsidRPr="00526F43">
        <w:rPr>
          <w:sz w:val="22"/>
        </w:rPr>
        <w:t xml:space="preserve">The </w:t>
      </w:r>
      <w:r w:rsidR="009565F6" w:rsidRPr="00526F43">
        <w:rPr>
          <w:sz w:val="22"/>
        </w:rPr>
        <w:t>“</w:t>
      </w:r>
      <w:r w:rsidRPr="00526F43">
        <w:rPr>
          <w:sz w:val="22"/>
        </w:rPr>
        <w:t>given specific expression</w:t>
      </w:r>
      <w:r w:rsidR="009565F6" w:rsidRPr="00526F43">
        <w:rPr>
          <w:sz w:val="22"/>
        </w:rPr>
        <w:t>”</w:t>
      </w:r>
      <w:r w:rsidRPr="00526F43">
        <w:rPr>
          <w:sz w:val="22"/>
        </w:rPr>
        <w:t xml:space="preserve"> formulation in </w:t>
      </w:r>
      <w:r w:rsidRPr="00526F43">
        <w:rPr>
          <w:i/>
          <w:iCs/>
          <w:sz w:val="22"/>
        </w:rPr>
        <w:t>CG</w:t>
      </w:r>
      <w:r w:rsidRPr="00526F43">
        <w:rPr>
          <w:sz w:val="22"/>
        </w:rPr>
        <w:t xml:space="preserve"> allows the court to treat Article 18 TFEU as supplanted and dismissed – notwithstanding that the Court </w:t>
      </w:r>
      <w:r w:rsidRPr="00526F43">
        <w:rPr>
          <w:i/>
          <w:iCs/>
          <w:sz w:val="22"/>
        </w:rPr>
        <w:t xml:space="preserve">itself </w:t>
      </w:r>
      <w:r w:rsidRPr="00526F43">
        <w:rPr>
          <w:sz w:val="22"/>
        </w:rPr>
        <w:t xml:space="preserve">acknowledges later in the judgment that the claimant’s situation </w:t>
      </w:r>
      <w:r w:rsidRPr="00526F43">
        <w:rPr>
          <w:i/>
          <w:iCs/>
          <w:sz w:val="22"/>
        </w:rPr>
        <w:t>does not fall within Article 24(1)</w:t>
      </w:r>
      <w:r w:rsidRPr="00526F43">
        <w:rPr>
          <w:sz w:val="22"/>
        </w:rPr>
        <w:t xml:space="preserve">. </w:t>
      </w:r>
      <w:r w:rsidR="00C13691" w:rsidRPr="00526F43">
        <w:rPr>
          <w:sz w:val="22"/>
        </w:rPr>
        <w:t xml:space="preserve">Article 24(1) </w:t>
      </w:r>
      <w:r w:rsidR="00CD26D1" w:rsidRPr="00526F43">
        <w:rPr>
          <w:sz w:val="22"/>
        </w:rPr>
        <w:t xml:space="preserve">provides for equal treatment for </w:t>
      </w:r>
      <w:r w:rsidR="009565F6" w:rsidRPr="00526F43">
        <w:rPr>
          <w:sz w:val="22"/>
        </w:rPr>
        <w:t>“</w:t>
      </w:r>
      <w:r w:rsidR="00C13691" w:rsidRPr="00526F43">
        <w:rPr>
          <w:sz w:val="22"/>
        </w:rPr>
        <w:t xml:space="preserve">all Union citizens </w:t>
      </w:r>
      <w:r w:rsidR="00C13691" w:rsidRPr="00526F43">
        <w:rPr>
          <w:i/>
          <w:iCs/>
          <w:sz w:val="22"/>
        </w:rPr>
        <w:t>residing on the basis of this Directive</w:t>
      </w:r>
      <w:r w:rsidR="00C13691" w:rsidRPr="00526F43">
        <w:rPr>
          <w:sz w:val="22"/>
        </w:rPr>
        <w:t xml:space="preserve"> in the territory of the host Member State</w:t>
      </w:r>
      <w:r w:rsidR="009565F6" w:rsidRPr="00526F43">
        <w:rPr>
          <w:sz w:val="22"/>
        </w:rPr>
        <w:t>”</w:t>
      </w:r>
      <w:r w:rsidR="00CD26D1" w:rsidRPr="00526F43">
        <w:rPr>
          <w:sz w:val="22"/>
        </w:rPr>
        <w:t>.</w:t>
      </w:r>
      <w:r w:rsidR="00C13691" w:rsidRPr="00526F43">
        <w:rPr>
          <w:sz w:val="22"/>
        </w:rPr>
        <w:t xml:space="preserve"> The Court notes that pre-settled status, as held by CG </w:t>
      </w:r>
      <w:r w:rsidR="009565F6" w:rsidRPr="00526F43">
        <w:rPr>
          <w:sz w:val="22"/>
        </w:rPr>
        <w:t>“</w:t>
      </w:r>
      <w:r w:rsidR="00C13691" w:rsidRPr="00526F43">
        <w:rPr>
          <w:sz w:val="22"/>
        </w:rPr>
        <w:t>cannot however be regarded in any way as being granted ‘on the basis of’ Directive 2004/38 within the meaning of Article 24(1)</w:t>
      </w:r>
      <w:r w:rsidR="009565F6" w:rsidRPr="00526F43">
        <w:rPr>
          <w:sz w:val="22"/>
        </w:rPr>
        <w:t>”</w:t>
      </w:r>
      <w:r w:rsidR="00A46FCF" w:rsidRPr="00526F43">
        <w:rPr>
          <w:sz w:val="22"/>
        </w:rPr>
        <w:t>.</w:t>
      </w:r>
      <w:r w:rsidR="00197FCC" w:rsidRPr="00526F43">
        <w:rPr>
          <w:rStyle w:val="FootnoteReference"/>
          <w:sz w:val="22"/>
        </w:rPr>
        <w:footnoteReference w:id="49"/>
      </w:r>
      <w:r w:rsidR="00C13691" w:rsidRPr="00526F43">
        <w:rPr>
          <w:sz w:val="22"/>
        </w:rPr>
        <w:t xml:space="preserve"> So how on earth is an equal treatment right specifically articulated for people residing on the basis of the </w:t>
      </w:r>
      <w:r w:rsidR="009565F6" w:rsidRPr="00526F43">
        <w:rPr>
          <w:sz w:val="22"/>
        </w:rPr>
        <w:t>D</w:t>
      </w:r>
      <w:r w:rsidR="00C13691" w:rsidRPr="00526F43">
        <w:rPr>
          <w:sz w:val="22"/>
        </w:rPr>
        <w:t xml:space="preserve">irective, the appropriate ‘specific expression’ of Article 18 TFEU, for people with a right to reside </w:t>
      </w:r>
      <w:r w:rsidR="00C13691" w:rsidRPr="00526F43">
        <w:rPr>
          <w:i/>
          <w:iCs/>
          <w:sz w:val="22"/>
        </w:rPr>
        <w:t>which is in no way based on the Directive</w:t>
      </w:r>
      <w:r w:rsidR="009565F6" w:rsidRPr="00526F43">
        <w:rPr>
          <w:sz w:val="22"/>
        </w:rPr>
        <w:t>? Rather, it is an expression, as the Court itself notes,</w:t>
      </w:r>
      <w:r w:rsidR="009565F6" w:rsidRPr="00526F43">
        <w:rPr>
          <w:rStyle w:val="FootnoteReference"/>
          <w:sz w:val="22"/>
        </w:rPr>
        <w:footnoteReference w:id="50"/>
      </w:r>
      <w:r w:rsidR="009565F6" w:rsidRPr="00526F43">
        <w:rPr>
          <w:sz w:val="22"/>
        </w:rPr>
        <w:t xml:space="preserve"> of Article 21 TFEU – the primary law right to move and reside conferred upon Union citizens.</w:t>
      </w:r>
      <w:r w:rsidR="00C13691" w:rsidRPr="00526F43">
        <w:rPr>
          <w:sz w:val="22"/>
        </w:rPr>
        <w:t xml:space="preserve"> It is hard to imagine a scenario better suited to an explicit analysis of Article 18 TFEU rights.  </w:t>
      </w:r>
    </w:p>
    <w:p w14:paraId="21087444" w14:textId="5ACF574E" w:rsidR="00C13691" w:rsidRPr="00526F43" w:rsidRDefault="00C13691" w:rsidP="00681077">
      <w:pPr>
        <w:jc w:val="both"/>
        <w:rPr>
          <w:i/>
          <w:iCs/>
          <w:sz w:val="22"/>
        </w:rPr>
      </w:pPr>
    </w:p>
    <w:p w14:paraId="4CA54812" w14:textId="121A7C00" w:rsidR="000F722A" w:rsidRPr="00526F43" w:rsidRDefault="006E2B6B" w:rsidP="00681077">
      <w:pPr>
        <w:jc w:val="both"/>
        <w:rPr>
          <w:sz w:val="22"/>
        </w:rPr>
      </w:pPr>
      <w:r w:rsidRPr="00526F43">
        <w:rPr>
          <w:sz w:val="22"/>
        </w:rPr>
        <w:t xml:space="preserve">And here we must return to </w:t>
      </w:r>
      <w:r w:rsidRPr="00526F43">
        <w:rPr>
          <w:i/>
          <w:iCs/>
          <w:sz w:val="22"/>
        </w:rPr>
        <w:t>Trojani</w:t>
      </w:r>
      <w:r w:rsidRPr="00526F43">
        <w:rPr>
          <w:sz w:val="22"/>
        </w:rPr>
        <w:t xml:space="preserve">. The claimants’ arguments centred on the finding in </w:t>
      </w:r>
      <w:r w:rsidRPr="00526F43">
        <w:rPr>
          <w:i/>
          <w:iCs/>
          <w:sz w:val="22"/>
        </w:rPr>
        <w:t>Trojani</w:t>
      </w:r>
      <w:r w:rsidRPr="00526F43">
        <w:rPr>
          <w:sz w:val="22"/>
        </w:rPr>
        <w:t xml:space="preserve"> that while Member States could make a right to reside conditional on meeting certain economic conditions, once a Member State granted an EU migrant a right to reside, that migrant was entitled to rely on a primary law-based right to equal treatment on the ground of nationality. The Court of Appeal of England and Wales decided in the claimants’ favour in </w:t>
      </w:r>
      <w:proofErr w:type="spellStart"/>
      <w:r w:rsidRPr="00526F43">
        <w:rPr>
          <w:i/>
          <w:iCs/>
          <w:sz w:val="22"/>
        </w:rPr>
        <w:t>Fratila</w:t>
      </w:r>
      <w:proofErr w:type="spellEnd"/>
      <w:r w:rsidRPr="00526F43">
        <w:rPr>
          <w:sz w:val="22"/>
        </w:rPr>
        <w:t xml:space="preserve">, on the basis of </w:t>
      </w:r>
      <w:r w:rsidRPr="00526F43">
        <w:rPr>
          <w:i/>
          <w:iCs/>
          <w:sz w:val="22"/>
        </w:rPr>
        <w:t xml:space="preserve">Trojani </w:t>
      </w:r>
      <w:r w:rsidRPr="00526F43">
        <w:rPr>
          <w:sz w:val="22"/>
        </w:rPr>
        <w:t>(</w:t>
      </w:r>
      <w:r w:rsidR="009565F6" w:rsidRPr="00526F43">
        <w:rPr>
          <w:sz w:val="22"/>
        </w:rPr>
        <w:t>mentioning it</w:t>
      </w:r>
      <w:r w:rsidRPr="00526F43">
        <w:rPr>
          <w:sz w:val="22"/>
        </w:rPr>
        <w:t xml:space="preserve"> thirty times)</w:t>
      </w:r>
      <w:r w:rsidRPr="00526F43">
        <w:rPr>
          <w:i/>
          <w:iCs/>
          <w:sz w:val="22"/>
        </w:rPr>
        <w:t>.</w:t>
      </w:r>
      <w:r w:rsidRPr="00526F43">
        <w:rPr>
          <w:rStyle w:val="FootnoteReference"/>
          <w:sz w:val="22"/>
        </w:rPr>
        <w:footnoteReference w:id="51"/>
      </w:r>
      <w:r w:rsidRPr="00526F43">
        <w:rPr>
          <w:sz w:val="22"/>
        </w:rPr>
        <w:t xml:space="preserve"> That judgment turned on whether </w:t>
      </w:r>
      <w:r w:rsidRPr="00526F43">
        <w:rPr>
          <w:i/>
          <w:iCs/>
          <w:sz w:val="22"/>
        </w:rPr>
        <w:t>Trojani</w:t>
      </w:r>
      <w:r w:rsidRPr="00526F43">
        <w:rPr>
          <w:sz w:val="22"/>
        </w:rPr>
        <w:t xml:space="preserve"> is still good law, and the Court of Appeal found that it was: “</w:t>
      </w:r>
      <w:bookmarkStart w:id="3" w:name="para72"/>
      <w:r w:rsidRPr="00526F43">
        <w:rPr>
          <w:sz w:val="22"/>
        </w:rPr>
        <w:t>Far from </w:t>
      </w:r>
      <w:r w:rsidRPr="00526F43">
        <w:rPr>
          <w:i/>
          <w:iCs/>
          <w:sz w:val="22"/>
        </w:rPr>
        <w:t>Trojani</w:t>
      </w:r>
      <w:r w:rsidRPr="00526F43">
        <w:rPr>
          <w:sz w:val="22"/>
        </w:rPr>
        <w:t xml:space="preserve"> no longer remaining good law, the CJEU has again [in </w:t>
      </w:r>
      <w:r w:rsidRPr="00526F43">
        <w:rPr>
          <w:i/>
          <w:iCs/>
          <w:sz w:val="22"/>
        </w:rPr>
        <w:t>Krefeld</w:t>
      </w:r>
      <w:r w:rsidR="0033105A" w:rsidRPr="00526F43">
        <w:rPr>
          <w:sz w:val="22"/>
        </w:rPr>
        <w:t>]</w:t>
      </w:r>
      <w:r w:rsidRPr="00526F43">
        <w:rPr>
          <w:sz w:val="22"/>
        </w:rPr>
        <w:t xml:space="preserve"> expressly adopted the same reasoning, leading to the same outcome”.</w:t>
      </w:r>
      <w:bookmarkEnd w:id="3"/>
      <w:r w:rsidR="0033105A" w:rsidRPr="00526F43">
        <w:rPr>
          <w:rStyle w:val="FootnoteReference"/>
          <w:sz w:val="22"/>
        </w:rPr>
        <w:footnoteReference w:id="52"/>
      </w:r>
      <w:r w:rsidR="0033105A" w:rsidRPr="00526F43">
        <w:rPr>
          <w:sz w:val="22"/>
        </w:rPr>
        <w:t xml:space="preserve"> The UK had granted EU nationals a right to reside, in the form of pre</w:t>
      </w:r>
      <w:r w:rsidR="009565F6" w:rsidRPr="00526F43">
        <w:rPr>
          <w:sz w:val="22"/>
        </w:rPr>
        <w:t>-</w:t>
      </w:r>
      <w:r w:rsidR="0033105A" w:rsidRPr="00526F43">
        <w:rPr>
          <w:sz w:val="22"/>
        </w:rPr>
        <w:t>settled status, which was not conditional upon economic activity or sufficient resources</w:t>
      </w:r>
      <w:r w:rsidR="000F722A" w:rsidRPr="00526F43">
        <w:rPr>
          <w:sz w:val="22"/>
        </w:rPr>
        <w:t xml:space="preserve">, which was analogous to the situation in </w:t>
      </w:r>
      <w:r w:rsidR="000F722A" w:rsidRPr="00526F43">
        <w:rPr>
          <w:i/>
          <w:iCs/>
          <w:sz w:val="22"/>
        </w:rPr>
        <w:t>Trojani</w:t>
      </w:r>
      <w:r w:rsidR="000F722A" w:rsidRPr="00526F43">
        <w:rPr>
          <w:sz w:val="22"/>
        </w:rPr>
        <w:t>, opening up a right to non-discrimination based on Article 18 TFEU</w:t>
      </w:r>
      <w:r w:rsidR="0033105A" w:rsidRPr="00526F43">
        <w:rPr>
          <w:sz w:val="22"/>
        </w:rPr>
        <w:t>.</w:t>
      </w:r>
      <w:r w:rsidR="009565F6" w:rsidRPr="00526F43">
        <w:rPr>
          <w:sz w:val="22"/>
        </w:rPr>
        <w:t xml:space="preserve"> </w:t>
      </w:r>
      <w:r w:rsidR="000F722A" w:rsidRPr="00526F43">
        <w:rPr>
          <w:sz w:val="22"/>
        </w:rPr>
        <w:t xml:space="preserve">But this core argument was not so much dismissed as ignored within the </w:t>
      </w:r>
      <w:r w:rsidR="000F722A" w:rsidRPr="00526F43">
        <w:rPr>
          <w:sz w:val="22"/>
        </w:rPr>
        <w:lastRenderedPageBreak/>
        <w:t xml:space="preserve">CJEU. In outlining the background of the case, the Court note </w:t>
      </w:r>
      <w:r w:rsidR="000F722A" w:rsidRPr="00526F43">
        <w:rPr>
          <w:i/>
          <w:iCs/>
          <w:sz w:val="22"/>
        </w:rPr>
        <w:t>once</w:t>
      </w:r>
      <w:r w:rsidR="000F722A" w:rsidRPr="00526F43">
        <w:rPr>
          <w:sz w:val="22"/>
        </w:rPr>
        <w:t xml:space="preserve"> that the claimant relies upon </w:t>
      </w:r>
      <w:r w:rsidR="000F722A" w:rsidRPr="00526F43">
        <w:rPr>
          <w:i/>
          <w:iCs/>
          <w:sz w:val="22"/>
        </w:rPr>
        <w:t>Trojani</w:t>
      </w:r>
      <w:r w:rsidR="000F722A" w:rsidRPr="00526F43">
        <w:rPr>
          <w:sz w:val="22"/>
        </w:rPr>
        <w:t>,</w:t>
      </w:r>
      <w:r w:rsidR="00474143" w:rsidRPr="00526F43">
        <w:rPr>
          <w:rStyle w:val="FootnoteReference"/>
          <w:sz w:val="22"/>
        </w:rPr>
        <w:footnoteReference w:id="53"/>
      </w:r>
      <w:r w:rsidR="000F722A" w:rsidRPr="00526F43">
        <w:rPr>
          <w:sz w:val="22"/>
        </w:rPr>
        <w:t xml:space="preserve"> and then… never mentions it again. It is also </w:t>
      </w:r>
      <w:r w:rsidR="00E1458F" w:rsidRPr="00526F43">
        <w:rPr>
          <w:sz w:val="22"/>
        </w:rPr>
        <w:t>astonishi</w:t>
      </w:r>
      <w:r w:rsidR="000F722A" w:rsidRPr="00526F43">
        <w:rPr>
          <w:sz w:val="22"/>
        </w:rPr>
        <w:t xml:space="preserve">ng that the Court does not mention even </w:t>
      </w:r>
      <w:proofErr w:type="gramStart"/>
      <w:r w:rsidR="000F722A" w:rsidRPr="00526F43">
        <w:rPr>
          <w:sz w:val="22"/>
        </w:rPr>
        <w:t>once  the</w:t>
      </w:r>
      <w:proofErr w:type="gramEnd"/>
      <w:r w:rsidR="000F722A" w:rsidRPr="00526F43">
        <w:rPr>
          <w:sz w:val="22"/>
        </w:rPr>
        <w:t xml:space="preserve"> high level, high-profile</w:t>
      </w:r>
      <w:r w:rsidR="00474143" w:rsidRPr="00526F43">
        <w:rPr>
          <w:sz w:val="22"/>
        </w:rPr>
        <w:t xml:space="preserve"> and simultaneous</w:t>
      </w:r>
      <w:r w:rsidR="000F722A" w:rsidRPr="00526F43">
        <w:rPr>
          <w:sz w:val="22"/>
        </w:rPr>
        <w:t xml:space="preserve"> case of </w:t>
      </w:r>
      <w:proofErr w:type="spellStart"/>
      <w:r w:rsidR="000F722A" w:rsidRPr="00526F43">
        <w:rPr>
          <w:i/>
          <w:iCs/>
          <w:sz w:val="22"/>
        </w:rPr>
        <w:t>Fratila</w:t>
      </w:r>
      <w:proofErr w:type="spellEnd"/>
      <w:r w:rsidR="000F722A" w:rsidRPr="00526F43">
        <w:rPr>
          <w:sz w:val="22"/>
        </w:rPr>
        <w:t xml:space="preserve">. By the time of the hearing in May 2021, the Court of Appeal had </w:t>
      </w:r>
      <w:r w:rsidR="009565F6" w:rsidRPr="00526F43">
        <w:rPr>
          <w:sz w:val="22"/>
        </w:rPr>
        <w:t xml:space="preserve">long-since </w:t>
      </w:r>
      <w:r w:rsidR="000F722A" w:rsidRPr="00526F43">
        <w:rPr>
          <w:sz w:val="22"/>
        </w:rPr>
        <w:t xml:space="preserve">handed down its judgment on </w:t>
      </w:r>
      <w:proofErr w:type="gramStart"/>
      <w:r w:rsidR="000F722A" w:rsidRPr="00526F43">
        <w:rPr>
          <w:sz w:val="22"/>
        </w:rPr>
        <w:t>exactly the same</w:t>
      </w:r>
      <w:proofErr w:type="gramEnd"/>
      <w:r w:rsidR="000F722A" w:rsidRPr="00526F43">
        <w:rPr>
          <w:sz w:val="22"/>
        </w:rPr>
        <w:t xml:space="preserve"> questions</w:t>
      </w:r>
      <w:r w:rsidR="00474143" w:rsidRPr="00526F43">
        <w:rPr>
          <w:sz w:val="22"/>
        </w:rPr>
        <w:t>, and permission to appeal to the Supreme Court had been granted</w:t>
      </w:r>
      <w:r w:rsidR="000F722A" w:rsidRPr="00526F43">
        <w:rPr>
          <w:sz w:val="22"/>
        </w:rPr>
        <w:t>.</w:t>
      </w:r>
      <w:r w:rsidR="00E1458F" w:rsidRPr="00526F43">
        <w:rPr>
          <w:sz w:val="22"/>
        </w:rPr>
        <w:t xml:space="preserve"> The judgment was included in the materials before the CJEU, and the claimant’s case made substantial references to it.</w:t>
      </w:r>
      <w:r w:rsidR="000F722A" w:rsidRPr="00526F43">
        <w:rPr>
          <w:sz w:val="22"/>
        </w:rPr>
        <w:t xml:space="preserve"> </w:t>
      </w:r>
    </w:p>
    <w:p w14:paraId="28CA722E" w14:textId="77777777" w:rsidR="000F722A" w:rsidRPr="00526F43" w:rsidRDefault="000F722A" w:rsidP="00681077">
      <w:pPr>
        <w:jc w:val="both"/>
        <w:rPr>
          <w:sz w:val="22"/>
        </w:rPr>
      </w:pPr>
    </w:p>
    <w:p w14:paraId="26306631" w14:textId="321DCAE9" w:rsidR="006E2B6B" w:rsidRPr="00526F43" w:rsidRDefault="000F722A" w:rsidP="00681077">
      <w:pPr>
        <w:jc w:val="both"/>
        <w:rPr>
          <w:sz w:val="22"/>
        </w:rPr>
      </w:pPr>
      <w:proofErr w:type="gramStart"/>
      <w:r w:rsidRPr="00526F43">
        <w:rPr>
          <w:sz w:val="22"/>
        </w:rPr>
        <w:t>So</w:t>
      </w:r>
      <w:proofErr w:type="gramEnd"/>
      <w:r w:rsidRPr="00526F43">
        <w:rPr>
          <w:sz w:val="22"/>
        </w:rPr>
        <w:t xml:space="preserve"> </w:t>
      </w:r>
      <w:r w:rsidRPr="00526F43">
        <w:rPr>
          <w:i/>
          <w:iCs/>
          <w:sz w:val="22"/>
        </w:rPr>
        <w:t xml:space="preserve">CG </w:t>
      </w:r>
      <w:r w:rsidRPr="00526F43">
        <w:rPr>
          <w:sz w:val="22"/>
        </w:rPr>
        <w:t xml:space="preserve">sheds no light upon the </w:t>
      </w:r>
      <w:r w:rsidR="009565F6" w:rsidRPr="00526F43">
        <w:rPr>
          <w:i/>
          <w:iCs/>
          <w:sz w:val="22"/>
        </w:rPr>
        <w:t xml:space="preserve">Trojani </w:t>
      </w:r>
      <w:r w:rsidRPr="00526F43">
        <w:rPr>
          <w:sz w:val="22"/>
        </w:rPr>
        <w:t xml:space="preserve">analogy with pre-settled status. It is not clear – given the Court does the judicial equivalent of putting its hands over its ears and singing ‘la </w:t>
      </w:r>
      <w:proofErr w:type="spellStart"/>
      <w:r w:rsidRPr="00526F43">
        <w:rPr>
          <w:sz w:val="22"/>
        </w:rPr>
        <w:t>la</w:t>
      </w:r>
      <w:proofErr w:type="spellEnd"/>
      <w:r w:rsidRPr="00526F43">
        <w:rPr>
          <w:sz w:val="22"/>
        </w:rPr>
        <w:t xml:space="preserve"> </w:t>
      </w:r>
      <w:proofErr w:type="spellStart"/>
      <w:r w:rsidRPr="00526F43">
        <w:rPr>
          <w:sz w:val="22"/>
        </w:rPr>
        <w:t>la</w:t>
      </w:r>
      <w:proofErr w:type="spellEnd"/>
      <w:r w:rsidRPr="00526F43">
        <w:rPr>
          <w:sz w:val="22"/>
        </w:rPr>
        <w:t xml:space="preserve">’ – whether this judgment should be taken as overturning </w:t>
      </w:r>
      <w:r w:rsidRPr="00526F43">
        <w:rPr>
          <w:i/>
          <w:iCs/>
          <w:sz w:val="22"/>
        </w:rPr>
        <w:t>Trojani</w:t>
      </w:r>
      <w:r w:rsidRPr="00526F43">
        <w:rPr>
          <w:sz w:val="22"/>
        </w:rPr>
        <w:t xml:space="preserve">. On the face of it, it seems </w:t>
      </w:r>
      <w:r w:rsidR="005956EB" w:rsidRPr="00526F43">
        <w:rPr>
          <w:sz w:val="22"/>
        </w:rPr>
        <w:t xml:space="preserve">to do </w:t>
      </w:r>
      <w:r w:rsidRPr="00526F43">
        <w:rPr>
          <w:sz w:val="22"/>
        </w:rPr>
        <w:t xml:space="preserve">so, by endorsing a general derogation from equal treatment obligations when it comes to ‘economically inactive’ EU migrants, regardless of </w:t>
      </w:r>
      <w:r w:rsidR="005956EB" w:rsidRPr="00526F43">
        <w:rPr>
          <w:sz w:val="22"/>
        </w:rPr>
        <w:t xml:space="preserve">other rights to reside. This derogation is sweeping; there is no space to discuss integration or real links, or other mitigating factors, because there is no space to discuss proportionality. There is no space to discuss </w:t>
      </w:r>
      <w:proofErr w:type="gramStart"/>
      <w:r w:rsidR="005956EB" w:rsidRPr="00526F43">
        <w:rPr>
          <w:sz w:val="22"/>
        </w:rPr>
        <w:t>proportionality, because</w:t>
      </w:r>
      <w:proofErr w:type="gramEnd"/>
      <w:r w:rsidR="005956EB" w:rsidRPr="00526F43">
        <w:rPr>
          <w:sz w:val="22"/>
        </w:rPr>
        <w:t xml:space="preserve"> there is no space to examine justification. There is no space to examine </w:t>
      </w:r>
      <w:proofErr w:type="gramStart"/>
      <w:r w:rsidR="005956EB" w:rsidRPr="00526F43">
        <w:rPr>
          <w:sz w:val="22"/>
        </w:rPr>
        <w:t>justification, because</w:t>
      </w:r>
      <w:proofErr w:type="gramEnd"/>
      <w:r w:rsidR="005956EB" w:rsidRPr="00526F43">
        <w:rPr>
          <w:sz w:val="22"/>
        </w:rPr>
        <w:t xml:space="preserve"> there is no protection from discrimination. So,</w:t>
      </w:r>
      <w:r w:rsidR="00611B74" w:rsidRPr="00526F43">
        <w:rPr>
          <w:sz w:val="22"/>
        </w:rPr>
        <w:t xml:space="preserve"> as in </w:t>
      </w:r>
      <w:proofErr w:type="spellStart"/>
      <w:r w:rsidR="00611B74" w:rsidRPr="00526F43">
        <w:rPr>
          <w:i/>
          <w:iCs/>
          <w:sz w:val="22"/>
        </w:rPr>
        <w:t>Dano</w:t>
      </w:r>
      <w:proofErr w:type="spellEnd"/>
      <w:r w:rsidR="00611B74" w:rsidRPr="00526F43">
        <w:rPr>
          <w:sz w:val="22"/>
        </w:rPr>
        <w:t>, we see a departure from</w:t>
      </w:r>
      <w:r w:rsidR="005956EB" w:rsidRPr="00526F43">
        <w:rPr>
          <w:sz w:val="22"/>
        </w:rPr>
        <w:t xml:space="preserve"> </w:t>
      </w:r>
      <w:r w:rsidR="00611B74" w:rsidRPr="00526F43">
        <w:rPr>
          <w:sz w:val="22"/>
        </w:rPr>
        <w:t xml:space="preserve">the standard procedure of treating </w:t>
      </w:r>
      <w:r w:rsidR="005956EB" w:rsidRPr="00526F43">
        <w:rPr>
          <w:sz w:val="22"/>
        </w:rPr>
        <w:t>benefit restrictions</w:t>
      </w:r>
      <w:r w:rsidR="00611B74" w:rsidRPr="00526F43">
        <w:rPr>
          <w:sz w:val="22"/>
        </w:rPr>
        <w:t xml:space="preserve"> as</w:t>
      </w:r>
      <w:r w:rsidR="005956EB" w:rsidRPr="00526F43">
        <w:rPr>
          <w:sz w:val="22"/>
        </w:rPr>
        <w:t xml:space="preserve"> a form of indirect discrimination, which could be readily justified (with minimal – and in some cases no – proportionality review)</w:t>
      </w:r>
      <w:r w:rsidR="00611B74" w:rsidRPr="00526F43">
        <w:rPr>
          <w:sz w:val="22"/>
        </w:rPr>
        <w:t>.</w:t>
      </w:r>
      <w:r w:rsidR="00DF7CBA" w:rsidRPr="00526F43">
        <w:rPr>
          <w:rStyle w:val="FootnoteReference"/>
          <w:sz w:val="22"/>
        </w:rPr>
        <w:footnoteReference w:id="54"/>
      </w:r>
      <w:r w:rsidR="005956EB" w:rsidRPr="00526F43">
        <w:rPr>
          <w:sz w:val="22"/>
        </w:rPr>
        <w:t xml:space="preserve"> </w:t>
      </w:r>
      <w:r w:rsidR="00611B74" w:rsidRPr="00526F43">
        <w:rPr>
          <w:sz w:val="22"/>
        </w:rPr>
        <w:t xml:space="preserve">Rather, </w:t>
      </w:r>
      <w:r w:rsidR="005956EB" w:rsidRPr="00526F43">
        <w:rPr>
          <w:sz w:val="22"/>
        </w:rPr>
        <w:t xml:space="preserve">the </w:t>
      </w:r>
      <w:r w:rsidR="003433E2" w:rsidRPr="00526F43">
        <w:rPr>
          <w:sz w:val="22"/>
        </w:rPr>
        <w:t>C</w:t>
      </w:r>
      <w:r w:rsidR="005956EB" w:rsidRPr="00526F43">
        <w:rPr>
          <w:sz w:val="22"/>
        </w:rPr>
        <w:t xml:space="preserve">ourt has simply found that people who do not meet the specific residence conditions of the Directive are </w:t>
      </w:r>
      <w:r w:rsidR="005956EB" w:rsidRPr="00526F43">
        <w:rPr>
          <w:i/>
          <w:iCs/>
          <w:sz w:val="22"/>
        </w:rPr>
        <w:t>ex ante</w:t>
      </w:r>
      <w:r w:rsidR="005956EB" w:rsidRPr="00526F43">
        <w:rPr>
          <w:sz w:val="22"/>
        </w:rPr>
        <w:t xml:space="preserve"> simply not entitled to equal treatment. </w:t>
      </w:r>
    </w:p>
    <w:p w14:paraId="6CF74C74" w14:textId="77777777" w:rsidR="00DF7CBA" w:rsidRPr="00526F43" w:rsidRDefault="00DF7CBA" w:rsidP="00681077">
      <w:pPr>
        <w:jc w:val="both"/>
        <w:rPr>
          <w:sz w:val="22"/>
        </w:rPr>
      </w:pPr>
    </w:p>
    <w:p w14:paraId="7E124928" w14:textId="7702869E" w:rsidR="00907634" w:rsidRPr="00526F43" w:rsidRDefault="005956EB" w:rsidP="00681077">
      <w:pPr>
        <w:jc w:val="both"/>
        <w:rPr>
          <w:sz w:val="22"/>
        </w:rPr>
      </w:pPr>
      <w:r w:rsidRPr="00526F43">
        <w:rPr>
          <w:sz w:val="22"/>
        </w:rPr>
        <w:t xml:space="preserve">However, even now the Court shies away from ringing a clear death knell to </w:t>
      </w:r>
      <w:r w:rsidRPr="00526F43">
        <w:rPr>
          <w:i/>
          <w:iCs/>
          <w:sz w:val="22"/>
        </w:rPr>
        <w:t>Trojani</w:t>
      </w:r>
      <w:r w:rsidRPr="00526F43">
        <w:rPr>
          <w:sz w:val="22"/>
        </w:rPr>
        <w:t xml:space="preserve"> and citizenship-based claims to equal treatment. The discrimination-dodge relies upon the incoherent </w:t>
      </w:r>
      <w:r w:rsidR="007B500E" w:rsidRPr="00526F43">
        <w:rPr>
          <w:sz w:val="22"/>
        </w:rPr>
        <w:t xml:space="preserve">(and inappropriate) </w:t>
      </w:r>
      <w:r w:rsidRPr="00526F43">
        <w:rPr>
          <w:sz w:val="22"/>
        </w:rPr>
        <w:t>shunting of the analysis away from primary law to Directive 2004/38</w:t>
      </w:r>
      <w:r w:rsidR="007B500E" w:rsidRPr="00526F43">
        <w:rPr>
          <w:sz w:val="22"/>
        </w:rPr>
        <w:t xml:space="preserve">, which leaves open the question of whether </w:t>
      </w:r>
      <w:r w:rsidR="007B500E" w:rsidRPr="00526F43">
        <w:rPr>
          <w:i/>
          <w:iCs/>
          <w:sz w:val="22"/>
        </w:rPr>
        <w:t>Trojani</w:t>
      </w:r>
      <w:r w:rsidR="007B500E" w:rsidRPr="00526F43">
        <w:rPr>
          <w:sz w:val="22"/>
        </w:rPr>
        <w:t xml:space="preserve"> might apply, should the Court accept that a case fe</w:t>
      </w:r>
      <w:r w:rsidR="009565F6" w:rsidRPr="00526F43">
        <w:rPr>
          <w:sz w:val="22"/>
        </w:rPr>
        <w:t>l</w:t>
      </w:r>
      <w:r w:rsidR="007B500E" w:rsidRPr="00526F43">
        <w:rPr>
          <w:sz w:val="22"/>
        </w:rPr>
        <w:t xml:space="preserve">l within the remit of Article 18 TFEU. The problem with keeping that option open, is that, following </w:t>
      </w:r>
      <w:r w:rsidR="007B500E" w:rsidRPr="00526F43">
        <w:rPr>
          <w:i/>
          <w:iCs/>
          <w:sz w:val="22"/>
        </w:rPr>
        <w:t>CG</w:t>
      </w:r>
      <w:r w:rsidR="007B500E" w:rsidRPr="00526F43">
        <w:rPr>
          <w:sz w:val="22"/>
        </w:rPr>
        <w:t xml:space="preserve"> it is hard to see exactly when the Court would accept that Article 24(1) is not the applicable provision, </w:t>
      </w:r>
      <w:r w:rsidR="00907634" w:rsidRPr="00526F43">
        <w:rPr>
          <w:sz w:val="22"/>
        </w:rPr>
        <w:t>given that it considers Article 24 to displace Article 18 TFEU wherever Union citizen</w:t>
      </w:r>
      <w:r w:rsidR="00A06560" w:rsidRPr="00526F43">
        <w:rPr>
          <w:sz w:val="22"/>
        </w:rPr>
        <w:t>s</w:t>
      </w:r>
      <w:r w:rsidR="00907634" w:rsidRPr="00526F43">
        <w:rPr>
          <w:sz w:val="22"/>
        </w:rPr>
        <w:t xml:space="preserve"> </w:t>
      </w:r>
      <w:r w:rsidR="00A06560" w:rsidRPr="00526F43">
        <w:rPr>
          <w:sz w:val="22"/>
        </w:rPr>
        <w:t>“</w:t>
      </w:r>
      <w:r w:rsidR="00907634" w:rsidRPr="00526F43">
        <w:rPr>
          <w:sz w:val="22"/>
        </w:rPr>
        <w:t>exercise their right to move and reside within the territory of the Member States”. This judgment appears to significantly diminish what otherwise appeared to be a broad and important right – even a fundamental one, intertwined with EU citizenship itself – to something with almost no autonomous force, and does so without acknowledging</w:t>
      </w:r>
      <w:r w:rsidR="0039309E" w:rsidRPr="00526F43">
        <w:rPr>
          <w:rStyle w:val="FootnoteReference"/>
          <w:sz w:val="22"/>
        </w:rPr>
        <w:footnoteReference w:id="55"/>
      </w:r>
      <w:r w:rsidR="00907634" w:rsidRPr="00526F43">
        <w:rPr>
          <w:sz w:val="22"/>
        </w:rPr>
        <w:t xml:space="preserve"> that just a few months earlier, </w:t>
      </w:r>
      <w:r w:rsidR="0039309E" w:rsidRPr="00526F43">
        <w:rPr>
          <w:sz w:val="22"/>
        </w:rPr>
        <w:t xml:space="preserve">in </w:t>
      </w:r>
      <w:r w:rsidR="0039309E" w:rsidRPr="00526F43">
        <w:rPr>
          <w:i/>
          <w:iCs/>
          <w:sz w:val="22"/>
        </w:rPr>
        <w:t>Krefeld</w:t>
      </w:r>
      <w:r w:rsidR="0039309E" w:rsidRPr="00526F43">
        <w:rPr>
          <w:sz w:val="22"/>
        </w:rPr>
        <w:t xml:space="preserve">, </w:t>
      </w:r>
      <w:r w:rsidR="00907634" w:rsidRPr="00526F43">
        <w:rPr>
          <w:sz w:val="22"/>
        </w:rPr>
        <w:t>the Court found that the limitations within the Directive could not be imposed where a claimant had a right to reside independent of the Directive.</w:t>
      </w:r>
      <w:r w:rsidR="0039309E" w:rsidRPr="00526F43">
        <w:rPr>
          <w:sz w:val="22"/>
        </w:rPr>
        <w:t xml:space="preserve"> </w:t>
      </w:r>
      <w:r w:rsidR="00FC61A9" w:rsidRPr="00526F43">
        <w:rPr>
          <w:sz w:val="22"/>
        </w:rPr>
        <w:t xml:space="preserve">This is a worrying result, with potentially damaging </w:t>
      </w:r>
      <w:r w:rsidR="009565F6" w:rsidRPr="00526F43">
        <w:rPr>
          <w:sz w:val="22"/>
        </w:rPr>
        <w:t>consequences</w:t>
      </w:r>
      <w:r w:rsidR="00FC61A9" w:rsidRPr="00526F43">
        <w:rPr>
          <w:sz w:val="22"/>
        </w:rPr>
        <w:t xml:space="preserve"> for the understanding and application of Article 18 TFEU throughout the EU; undermining claims that non-discrimination on the grounds of nationality is both a fundamental right of EU law, </w:t>
      </w:r>
      <w:proofErr w:type="gramStart"/>
      <w:r w:rsidR="00FC61A9" w:rsidRPr="00526F43">
        <w:rPr>
          <w:sz w:val="22"/>
        </w:rPr>
        <w:t>and also</w:t>
      </w:r>
      <w:proofErr w:type="gramEnd"/>
      <w:r w:rsidR="00FC61A9" w:rsidRPr="00526F43">
        <w:rPr>
          <w:sz w:val="22"/>
        </w:rPr>
        <w:t xml:space="preserve"> a </w:t>
      </w:r>
      <w:r w:rsidR="00474143" w:rsidRPr="00526F43">
        <w:rPr>
          <w:sz w:val="22"/>
        </w:rPr>
        <w:t>“</w:t>
      </w:r>
      <w:r w:rsidR="00FC61A9" w:rsidRPr="00526F43">
        <w:rPr>
          <w:sz w:val="22"/>
        </w:rPr>
        <w:t>general principle</w:t>
      </w:r>
      <w:r w:rsidR="00474143" w:rsidRPr="00526F43">
        <w:rPr>
          <w:sz w:val="22"/>
        </w:rPr>
        <w:t>”</w:t>
      </w:r>
      <w:r w:rsidR="00FC61A9" w:rsidRPr="00526F43">
        <w:rPr>
          <w:sz w:val="22"/>
        </w:rPr>
        <w:t xml:space="preserve"> of EU law.  </w:t>
      </w:r>
    </w:p>
    <w:p w14:paraId="6D418ED1" w14:textId="77777777" w:rsidR="00FC61A9" w:rsidRPr="00526F43" w:rsidRDefault="00FC61A9" w:rsidP="00681077">
      <w:pPr>
        <w:jc w:val="both"/>
        <w:rPr>
          <w:sz w:val="22"/>
        </w:rPr>
      </w:pPr>
    </w:p>
    <w:p w14:paraId="253BC5ED" w14:textId="665F6AEA" w:rsidR="00EE6A25" w:rsidRPr="00526F43" w:rsidRDefault="0039309E" w:rsidP="00681077">
      <w:pPr>
        <w:jc w:val="both"/>
        <w:rPr>
          <w:sz w:val="22"/>
        </w:rPr>
      </w:pPr>
      <w:r w:rsidRPr="00526F43">
        <w:rPr>
          <w:sz w:val="22"/>
        </w:rPr>
        <w:t xml:space="preserve">The rationale for shielding </w:t>
      </w:r>
      <w:r w:rsidR="009565F6" w:rsidRPr="00526F43">
        <w:rPr>
          <w:i/>
          <w:iCs/>
          <w:sz w:val="22"/>
        </w:rPr>
        <w:t xml:space="preserve">Krefeld </w:t>
      </w:r>
      <w:r w:rsidRPr="00526F43">
        <w:rPr>
          <w:sz w:val="22"/>
        </w:rPr>
        <w:t xml:space="preserve">claimants from the conditions contained in Directive 2004/38, where their right to reside is based on Article 10 of Regulation 492/2011, </w:t>
      </w:r>
      <w:r w:rsidR="009565F6" w:rsidRPr="00526F43">
        <w:rPr>
          <w:sz w:val="22"/>
        </w:rPr>
        <w:t>but</w:t>
      </w:r>
      <w:r w:rsidRPr="00526F43">
        <w:rPr>
          <w:sz w:val="22"/>
        </w:rPr>
        <w:t xml:space="preserve"> not if their right to reside is based on domestic legislation is not explained</w:t>
      </w:r>
      <w:r w:rsidR="009565F6" w:rsidRPr="00526F43">
        <w:rPr>
          <w:sz w:val="22"/>
        </w:rPr>
        <w:t>. T</w:t>
      </w:r>
      <w:r w:rsidRPr="00526F43">
        <w:rPr>
          <w:sz w:val="22"/>
        </w:rPr>
        <w:t xml:space="preserve">hey are both rights independent of the Directive. And it is this distinguishing feature which makes the application of </w:t>
      </w:r>
      <w:proofErr w:type="spellStart"/>
      <w:r w:rsidRPr="00526F43">
        <w:rPr>
          <w:i/>
          <w:iCs/>
          <w:sz w:val="22"/>
        </w:rPr>
        <w:t>Dano</w:t>
      </w:r>
      <w:proofErr w:type="spellEnd"/>
      <w:r w:rsidRPr="00526F43">
        <w:rPr>
          <w:i/>
          <w:iCs/>
          <w:sz w:val="22"/>
        </w:rPr>
        <w:t xml:space="preserve"> </w:t>
      </w:r>
      <w:r w:rsidRPr="00526F43">
        <w:rPr>
          <w:sz w:val="22"/>
        </w:rPr>
        <w:t>baffling.</w:t>
      </w:r>
    </w:p>
    <w:p w14:paraId="7C8591AE" w14:textId="77777777" w:rsidR="00EE6A25" w:rsidRPr="00526F43" w:rsidRDefault="00EE6A25" w:rsidP="00681077">
      <w:pPr>
        <w:jc w:val="both"/>
        <w:rPr>
          <w:sz w:val="22"/>
        </w:rPr>
      </w:pPr>
    </w:p>
    <w:p w14:paraId="294BF1F1" w14:textId="77777777" w:rsidR="00E84E61" w:rsidRPr="00526F43" w:rsidRDefault="00E84E61" w:rsidP="00681077">
      <w:pPr>
        <w:jc w:val="both"/>
        <w:rPr>
          <w:sz w:val="22"/>
        </w:rPr>
      </w:pPr>
    </w:p>
    <w:p w14:paraId="5B43E07D" w14:textId="616AB8EC" w:rsidR="00404DE5" w:rsidRPr="00526F43" w:rsidRDefault="00E65978" w:rsidP="00681077">
      <w:pPr>
        <w:jc w:val="both"/>
        <w:rPr>
          <w:i/>
          <w:iCs/>
          <w:sz w:val="22"/>
        </w:rPr>
      </w:pPr>
      <w:r w:rsidRPr="00526F43">
        <w:rPr>
          <w:i/>
          <w:iCs/>
          <w:sz w:val="22"/>
        </w:rPr>
        <w:t xml:space="preserve">The generic </w:t>
      </w:r>
      <w:proofErr w:type="spellStart"/>
      <w:r w:rsidRPr="00526F43">
        <w:rPr>
          <w:i/>
          <w:iCs/>
          <w:sz w:val="22"/>
        </w:rPr>
        <w:t>Dano</w:t>
      </w:r>
      <w:proofErr w:type="spellEnd"/>
      <w:r w:rsidRPr="00526F43">
        <w:rPr>
          <w:i/>
          <w:iCs/>
          <w:sz w:val="22"/>
        </w:rPr>
        <w:t>-based right to refuse benefits</w:t>
      </w:r>
    </w:p>
    <w:p w14:paraId="79D86121" w14:textId="0B974E5D" w:rsidR="00D27F36" w:rsidRPr="00526F43" w:rsidRDefault="00D27F36" w:rsidP="00681077">
      <w:pPr>
        <w:jc w:val="both"/>
        <w:rPr>
          <w:i/>
          <w:iCs/>
          <w:sz w:val="22"/>
        </w:rPr>
      </w:pPr>
    </w:p>
    <w:p w14:paraId="2334BBD3" w14:textId="3A6E94CD" w:rsidR="005B32A5" w:rsidRPr="00526F43" w:rsidRDefault="00991049" w:rsidP="00681077">
      <w:pPr>
        <w:jc w:val="both"/>
        <w:rPr>
          <w:sz w:val="22"/>
        </w:rPr>
      </w:pPr>
      <w:r w:rsidRPr="00526F43">
        <w:rPr>
          <w:sz w:val="22"/>
        </w:rPr>
        <w:t xml:space="preserve">In contrast with the single passing reference in the background section that the claimants had cited </w:t>
      </w:r>
      <w:r w:rsidRPr="00526F43">
        <w:rPr>
          <w:i/>
          <w:iCs/>
          <w:sz w:val="22"/>
        </w:rPr>
        <w:t>Trojani</w:t>
      </w:r>
      <w:r w:rsidRPr="00526F43">
        <w:rPr>
          <w:sz w:val="22"/>
        </w:rPr>
        <w:t xml:space="preserve">, the Court </w:t>
      </w:r>
      <w:r w:rsidR="00DF7CBA" w:rsidRPr="00526F43">
        <w:rPr>
          <w:sz w:val="22"/>
        </w:rPr>
        <w:t xml:space="preserve">draws upon </w:t>
      </w:r>
      <w:proofErr w:type="spellStart"/>
      <w:r w:rsidR="00DF7CBA" w:rsidRPr="00526F43">
        <w:rPr>
          <w:i/>
          <w:iCs/>
          <w:sz w:val="22"/>
        </w:rPr>
        <w:t>Dano</w:t>
      </w:r>
      <w:proofErr w:type="spellEnd"/>
      <w:r w:rsidR="00DF7CBA" w:rsidRPr="00526F43">
        <w:rPr>
          <w:sz w:val="22"/>
        </w:rPr>
        <w:t xml:space="preserve">, in its </w:t>
      </w:r>
      <w:r w:rsidR="00474143" w:rsidRPr="00526F43">
        <w:rPr>
          <w:sz w:val="22"/>
        </w:rPr>
        <w:t>“</w:t>
      </w:r>
      <w:r w:rsidR="00DF7CBA" w:rsidRPr="00526F43">
        <w:rPr>
          <w:sz w:val="22"/>
        </w:rPr>
        <w:t>substance</w:t>
      </w:r>
      <w:r w:rsidR="00474143" w:rsidRPr="00526F43">
        <w:rPr>
          <w:sz w:val="22"/>
        </w:rPr>
        <w:t>”</w:t>
      </w:r>
      <w:r w:rsidR="00DF7CBA" w:rsidRPr="00526F43">
        <w:rPr>
          <w:sz w:val="22"/>
        </w:rPr>
        <w:t xml:space="preserve"> section nine times. The</w:t>
      </w:r>
      <w:r w:rsidR="000F6627" w:rsidRPr="00526F43">
        <w:rPr>
          <w:sz w:val="22"/>
        </w:rPr>
        <w:t xml:space="preserve"> list</w:t>
      </w:r>
      <w:r w:rsidR="00DF7CBA" w:rsidRPr="00526F43">
        <w:rPr>
          <w:sz w:val="22"/>
        </w:rPr>
        <w:t xml:space="preserve"> include</w:t>
      </w:r>
      <w:r w:rsidR="000F6627" w:rsidRPr="00526F43">
        <w:rPr>
          <w:sz w:val="22"/>
        </w:rPr>
        <w:t>s</w:t>
      </w:r>
      <w:r w:rsidR="00DF7CBA" w:rsidRPr="00526F43">
        <w:rPr>
          <w:sz w:val="22"/>
        </w:rPr>
        <w:t xml:space="preserve"> a suggestion that </w:t>
      </w:r>
      <w:r w:rsidR="00893C8F" w:rsidRPr="00526F43">
        <w:rPr>
          <w:sz w:val="22"/>
        </w:rPr>
        <w:t xml:space="preserve">following the </w:t>
      </w:r>
      <w:proofErr w:type="spellStart"/>
      <w:r w:rsidR="00893C8F" w:rsidRPr="00526F43">
        <w:rPr>
          <w:i/>
          <w:iCs/>
          <w:sz w:val="22"/>
        </w:rPr>
        <w:t>Dano</w:t>
      </w:r>
      <w:proofErr w:type="spellEnd"/>
      <w:r w:rsidR="00893C8F" w:rsidRPr="00526F43">
        <w:rPr>
          <w:sz w:val="22"/>
        </w:rPr>
        <w:t xml:space="preserve"> judgment, Member States have a right to impose the Directive’s conditions upon</w:t>
      </w:r>
      <w:r w:rsidR="00F47B73" w:rsidRPr="00526F43">
        <w:rPr>
          <w:sz w:val="22"/>
        </w:rPr>
        <w:t xml:space="preserve"> </w:t>
      </w:r>
      <w:r w:rsidR="00893C8F" w:rsidRPr="00526F43">
        <w:rPr>
          <w:sz w:val="22"/>
        </w:rPr>
        <w:t>EU national</w:t>
      </w:r>
      <w:r w:rsidR="00AE7B5E" w:rsidRPr="00526F43">
        <w:rPr>
          <w:sz w:val="22"/>
        </w:rPr>
        <w:t>s</w:t>
      </w:r>
      <w:r w:rsidR="00CE7E91" w:rsidRPr="00526F43">
        <w:rPr>
          <w:sz w:val="22"/>
        </w:rPr>
        <w:t>.</w:t>
      </w:r>
      <w:r w:rsidRPr="00526F43">
        <w:rPr>
          <w:rStyle w:val="FootnoteReference"/>
          <w:sz w:val="22"/>
        </w:rPr>
        <w:footnoteReference w:id="56"/>
      </w:r>
      <w:r w:rsidR="00CE7E91" w:rsidRPr="00526F43">
        <w:rPr>
          <w:sz w:val="22"/>
        </w:rPr>
        <w:t xml:space="preserve"> </w:t>
      </w:r>
      <w:r w:rsidR="008170EF" w:rsidRPr="00526F43">
        <w:rPr>
          <w:sz w:val="22"/>
        </w:rPr>
        <w:t xml:space="preserve">The trouble with the heavy reliance upon </w:t>
      </w:r>
      <w:proofErr w:type="spellStart"/>
      <w:r w:rsidR="008170EF" w:rsidRPr="00526F43">
        <w:rPr>
          <w:i/>
          <w:iCs/>
          <w:sz w:val="22"/>
        </w:rPr>
        <w:t>Dano</w:t>
      </w:r>
      <w:proofErr w:type="spellEnd"/>
      <w:r w:rsidR="008170EF" w:rsidRPr="00526F43">
        <w:rPr>
          <w:sz w:val="22"/>
        </w:rPr>
        <w:t>, is that CG did not claim equal treatment by virtue of Article 24</w:t>
      </w:r>
      <w:r w:rsidR="00474143" w:rsidRPr="00526F43">
        <w:rPr>
          <w:sz w:val="22"/>
        </w:rPr>
        <w:t>(</w:t>
      </w:r>
      <w:r w:rsidR="008170EF" w:rsidRPr="00526F43">
        <w:rPr>
          <w:sz w:val="22"/>
        </w:rPr>
        <w:t>1</w:t>
      </w:r>
      <w:r w:rsidR="00474143" w:rsidRPr="00526F43">
        <w:rPr>
          <w:sz w:val="22"/>
        </w:rPr>
        <w:t>)</w:t>
      </w:r>
      <w:r w:rsidR="008170EF" w:rsidRPr="00526F43">
        <w:rPr>
          <w:sz w:val="22"/>
        </w:rPr>
        <w:t xml:space="preserve">, because she was not residing </w:t>
      </w:r>
      <w:proofErr w:type="gramStart"/>
      <w:r w:rsidR="008170EF" w:rsidRPr="00526F43">
        <w:rPr>
          <w:sz w:val="22"/>
        </w:rPr>
        <w:t>on the basis of</w:t>
      </w:r>
      <w:proofErr w:type="gramEnd"/>
      <w:r w:rsidR="008170EF" w:rsidRPr="00526F43">
        <w:rPr>
          <w:sz w:val="22"/>
        </w:rPr>
        <w:t xml:space="preserve"> the Directive. In </w:t>
      </w:r>
      <w:proofErr w:type="spellStart"/>
      <w:r w:rsidR="008170EF" w:rsidRPr="00526F43">
        <w:rPr>
          <w:i/>
          <w:iCs/>
          <w:sz w:val="22"/>
        </w:rPr>
        <w:t>Dano</w:t>
      </w:r>
      <w:proofErr w:type="spellEnd"/>
      <w:r w:rsidR="008170EF" w:rsidRPr="00526F43">
        <w:rPr>
          <w:sz w:val="22"/>
        </w:rPr>
        <w:t xml:space="preserve">, </w:t>
      </w:r>
      <w:r w:rsidR="008170EF" w:rsidRPr="00526F43">
        <w:rPr>
          <w:sz w:val="22"/>
        </w:rPr>
        <w:lastRenderedPageBreak/>
        <w:t xml:space="preserve">and its associated line of cases, </w:t>
      </w:r>
      <w:r w:rsidR="003A17ED" w:rsidRPr="00526F43">
        <w:rPr>
          <w:sz w:val="22"/>
        </w:rPr>
        <w:t>(</w:t>
      </w:r>
      <w:proofErr w:type="spellStart"/>
      <w:r w:rsidR="003A17ED" w:rsidRPr="00526F43">
        <w:rPr>
          <w:i/>
          <w:iCs/>
          <w:sz w:val="22"/>
        </w:rPr>
        <w:t>Alimanovic</w:t>
      </w:r>
      <w:proofErr w:type="spellEnd"/>
      <w:r w:rsidR="003A17ED" w:rsidRPr="00526F43">
        <w:rPr>
          <w:i/>
          <w:iCs/>
          <w:sz w:val="22"/>
        </w:rPr>
        <w:t>; Garcia Nieto</w:t>
      </w:r>
      <w:r w:rsidR="00474143" w:rsidRPr="00526F43">
        <w:rPr>
          <w:rStyle w:val="FootnoteReference"/>
          <w:sz w:val="22"/>
        </w:rPr>
        <w:footnoteReference w:id="57"/>
      </w:r>
      <w:r w:rsidR="003A17ED" w:rsidRPr="00526F43">
        <w:rPr>
          <w:i/>
          <w:iCs/>
          <w:sz w:val="22"/>
        </w:rPr>
        <w:t>; Commission v UK</w:t>
      </w:r>
      <w:r w:rsidR="003A17ED" w:rsidRPr="00526F43">
        <w:rPr>
          <w:sz w:val="22"/>
        </w:rPr>
        <w:t xml:space="preserve">) </w:t>
      </w:r>
      <w:r w:rsidR="008170EF" w:rsidRPr="00526F43">
        <w:rPr>
          <w:sz w:val="22"/>
        </w:rPr>
        <w:t xml:space="preserve">the claimants </w:t>
      </w:r>
      <w:r w:rsidR="00073A2E" w:rsidRPr="00526F43">
        <w:rPr>
          <w:sz w:val="22"/>
        </w:rPr>
        <w:t>had no alternative right to reside, and so had to rely upon Directive 2004/38.</w:t>
      </w:r>
      <w:r w:rsidR="00474143" w:rsidRPr="00526F43">
        <w:rPr>
          <w:sz w:val="22"/>
        </w:rPr>
        <w:t xml:space="preserve"> The residence certificate in </w:t>
      </w:r>
      <w:proofErr w:type="spellStart"/>
      <w:r w:rsidR="00474143" w:rsidRPr="00526F43">
        <w:rPr>
          <w:i/>
          <w:iCs/>
          <w:sz w:val="22"/>
        </w:rPr>
        <w:t>Dano</w:t>
      </w:r>
      <w:proofErr w:type="spellEnd"/>
      <w:r w:rsidR="00474143" w:rsidRPr="00526F43">
        <w:rPr>
          <w:sz w:val="22"/>
        </w:rPr>
        <w:t xml:space="preserve"> was a declaratory document confirming the exercise of rights under Directive 2004/38, so did not confer a </w:t>
      </w:r>
      <w:proofErr w:type="gramStart"/>
      <w:r w:rsidR="00474143" w:rsidRPr="00526F43">
        <w:rPr>
          <w:sz w:val="22"/>
        </w:rPr>
        <w:t>right in itself</w:t>
      </w:r>
      <w:proofErr w:type="gramEnd"/>
      <w:r w:rsidR="00474143" w:rsidRPr="00526F43">
        <w:rPr>
          <w:sz w:val="22"/>
        </w:rPr>
        <w:t>.</w:t>
      </w:r>
      <w:r w:rsidR="00474143" w:rsidRPr="00526F43">
        <w:rPr>
          <w:rStyle w:val="FootnoteReference"/>
          <w:sz w:val="22"/>
        </w:rPr>
        <w:footnoteReference w:id="58"/>
      </w:r>
      <w:r w:rsidR="00073A2E" w:rsidRPr="00526F43">
        <w:rPr>
          <w:sz w:val="22"/>
        </w:rPr>
        <w:t xml:space="preserve"> As such, the Court found that </w:t>
      </w:r>
      <w:r w:rsidR="009565F6" w:rsidRPr="00526F43">
        <w:rPr>
          <w:sz w:val="22"/>
        </w:rPr>
        <w:t>their</w:t>
      </w:r>
      <w:r w:rsidR="00073A2E" w:rsidRPr="00526F43">
        <w:rPr>
          <w:sz w:val="22"/>
        </w:rPr>
        <w:t xml:space="preserve"> right</w:t>
      </w:r>
      <w:r w:rsidR="009565F6" w:rsidRPr="00526F43">
        <w:rPr>
          <w:sz w:val="22"/>
        </w:rPr>
        <w:t>s</w:t>
      </w:r>
      <w:r w:rsidR="00073A2E" w:rsidRPr="00526F43">
        <w:rPr>
          <w:sz w:val="22"/>
        </w:rPr>
        <w:t xml:space="preserve"> to reside must comply with the </w:t>
      </w:r>
      <w:r w:rsidR="009565F6" w:rsidRPr="00526F43">
        <w:rPr>
          <w:sz w:val="22"/>
        </w:rPr>
        <w:t xml:space="preserve">Directive’s </w:t>
      </w:r>
      <w:r w:rsidR="00073A2E" w:rsidRPr="00526F43">
        <w:rPr>
          <w:sz w:val="22"/>
        </w:rPr>
        <w:t xml:space="preserve">conditions.  </w:t>
      </w:r>
      <w:r w:rsidR="008170EF" w:rsidRPr="00526F43">
        <w:rPr>
          <w:sz w:val="22"/>
        </w:rPr>
        <w:t xml:space="preserve"> </w:t>
      </w:r>
    </w:p>
    <w:p w14:paraId="0539E503" w14:textId="33DADF7B" w:rsidR="008170EF" w:rsidRPr="00526F43" w:rsidRDefault="008170EF" w:rsidP="00681077">
      <w:pPr>
        <w:jc w:val="both"/>
        <w:rPr>
          <w:sz w:val="22"/>
        </w:rPr>
      </w:pPr>
    </w:p>
    <w:p w14:paraId="27649573" w14:textId="3181386D" w:rsidR="005B79C7" w:rsidRPr="00526F43" w:rsidRDefault="009565F6" w:rsidP="00681077">
      <w:pPr>
        <w:jc w:val="both"/>
        <w:rPr>
          <w:sz w:val="22"/>
        </w:rPr>
      </w:pPr>
      <w:r w:rsidRPr="00526F43">
        <w:rPr>
          <w:sz w:val="22"/>
        </w:rPr>
        <w:t>But</w:t>
      </w:r>
      <w:r w:rsidR="003A17ED" w:rsidRPr="00526F43">
        <w:rPr>
          <w:sz w:val="22"/>
        </w:rPr>
        <w:t xml:space="preserve"> the claimant in </w:t>
      </w:r>
      <w:r w:rsidR="003A17ED" w:rsidRPr="00526F43">
        <w:rPr>
          <w:i/>
          <w:iCs/>
          <w:sz w:val="22"/>
        </w:rPr>
        <w:t xml:space="preserve">GC </w:t>
      </w:r>
      <w:r w:rsidR="003A17ED" w:rsidRPr="00526F43">
        <w:rPr>
          <w:sz w:val="22"/>
        </w:rPr>
        <w:t>argued</w:t>
      </w:r>
      <w:r w:rsidRPr="00526F43">
        <w:rPr>
          <w:sz w:val="22"/>
        </w:rPr>
        <w:t xml:space="preserve"> that </w:t>
      </w:r>
      <w:r w:rsidR="003A17ED" w:rsidRPr="00526F43">
        <w:rPr>
          <w:sz w:val="22"/>
        </w:rPr>
        <w:t xml:space="preserve">possession of another right to reside, awarded </w:t>
      </w:r>
      <w:proofErr w:type="gramStart"/>
      <w:r w:rsidR="003A17ED" w:rsidRPr="00526F43">
        <w:rPr>
          <w:sz w:val="22"/>
        </w:rPr>
        <w:t>as a result of</w:t>
      </w:r>
      <w:proofErr w:type="gramEnd"/>
      <w:r w:rsidR="003A17ED" w:rsidRPr="00526F43">
        <w:rPr>
          <w:sz w:val="22"/>
        </w:rPr>
        <w:t xml:space="preserve"> domestic law</w:t>
      </w:r>
      <w:r w:rsidRPr="00526F43">
        <w:rPr>
          <w:sz w:val="22"/>
        </w:rPr>
        <w:t xml:space="preserve"> took the case out of the scope of the Directive</w:t>
      </w:r>
      <w:r w:rsidR="003A17ED" w:rsidRPr="00526F43">
        <w:rPr>
          <w:sz w:val="22"/>
        </w:rPr>
        <w:t xml:space="preserve">. </w:t>
      </w:r>
      <w:r w:rsidRPr="00526F43">
        <w:rPr>
          <w:sz w:val="22"/>
        </w:rPr>
        <w:t>S</w:t>
      </w:r>
      <w:r w:rsidR="00C215C6" w:rsidRPr="00526F43">
        <w:rPr>
          <w:sz w:val="22"/>
        </w:rPr>
        <w:t>he did not seek to rely on, nor did she fall within the scope of, Article 24(1)</w:t>
      </w:r>
      <w:r w:rsidRPr="00526F43">
        <w:rPr>
          <w:sz w:val="22"/>
        </w:rPr>
        <w:t xml:space="preserve"> CRD</w:t>
      </w:r>
      <w:r w:rsidR="00C215C6" w:rsidRPr="00526F43">
        <w:rPr>
          <w:sz w:val="22"/>
        </w:rPr>
        <w:t xml:space="preserve">. </w:t>
      </w:r>
      <w:r w:rsidRPr="00526F43">
        <w:rPr>
          <w:sz w:val="22"/>
        </w:rPr>
        <w:t>The</w:t>
      </w:r>
      <w:r w:rsidR="00412D12" w:rsidRPr="00526F43">
        <w:rPr>
          <w:sz w:val="22"/>
        </w:rPr>
        <w:t xml:space="preserve"> claimant’s invocation of Article 18 TFEU was based on having a right to reside that did not fit the framework of that directive. </w:t>
      </w:r>
      <w:r w:rsidR="0047103A" w:rsidRPr="00526F43">
        <w:rPr>
          <w:sz w:val="22"/>
        </w:rPr>
        <w:t xml:space="preserve">However, the Court </w:t>
      </w:r>
      <w:r w:rsidR="005B79C7" w:rsidRPr="00526F43">
        <w:rPr>
          <w:sz w:val="22"/>
        </w:rPr>
        <w:t>summarily dismissed the relevance of another right to reside; the finding that she posed an unrea</w:t>
      </w:r>
      <w:r w:rsidR="00BF4F44" w:rsidRPr="00526F43">
        <w:rPr>
          <w:sz w:val="22"/>
        </w:rPr>
        <w:t>s</w:t>
      </w:r>
      <w:r w:rsidR="005B79C7" w:rsidRPr="00526F43">
        <w:rPr>
          <w:sz w:val="22"/>
        </w:rPr>
        <w:t>onable burden on the UK’s social assistance system “cannot be called into question by the fact that CG has a right of temporary residence, under national law, which was granted without conditions as to resources”.</w:t>
      </w:r>
      <w:r w:rsidR="005B79C7" w:rsidRPr="00526F43">
        <w:rPr>
          <w:rStyle w:val="FootnoteReference"/>
          <w:sz w:val="22"/>
        </w:rPr>
        <w:footnoteReference w:id="59"/>
      </w:r>
      <w:r w:rsidR="005A5C7B" w:rsidRPr="00526F43">
        <w:rPr>
          <w:sz w:val="22"/>
        </w:rPr>
        <w:t xml:space="preserve"> </w:t>
      </w:r>
      <w:r w:rsidR="005B79C7" w:rsidRPr="00526F43">
        <w:rPr>
          <w:sz w:val="22"/>
        </w:rPr>
        <w:t>The Court suggested that</w:t>
      </w:r>
      <w:r w:rsidR="005A5C7B" w:rsidRPr="00526F43">
        <w:rPr>
          <w:sz w:val="22"/>
        </w:rPr>
        <w:t xml:space="preserve"> it would be illogical to allow a claimant to rely on a non-discrimination provision in the same Directive under which she would be refused a right of residence. </w:t>
      </w:r>
      <w:r w:rsidR="005B79C7" w:rsidRPr="00526F43">
        <w:rPr>
          <w:sz w:val="22"/>
        </w:rPr>
        <w:t>But –</w:t>
      </w:r>
      <w:r w:rsidR="005A5C7B" w:rsidRPr="00526F43">
        <w:rPr>
          <w:sz w:val="22"/>
        </w:rPr>
        <w:t xml:space="preserve"> </w:t>
      </w:r>
      <w:r w:rsidR="005B79C7" w:rsidRPr="00526F43">
        <w:rPr>
          <w:sz w:val="22"/>
        </w:rPr>
        <w:t xml:space="preserve">again – the claimant was not seeking equal treatment under the </w:t>
      </w:r>
      <w:r w:rsidR="0027649A" w:rsidRPr="00526F43">
        <w:rPr>
          <w:sz w:val="22"/>
        </w:rPr>
        <w:t>D</w:t>
      </w:r>
      <w:r w:rsidR="005B79C7" w:rsidRPr="00526F43">
        <w:rPr>
          <w:sz w:val="22"/>
        </w:rPr>
        <w:t xml:space="preserve">irective. The Court may well have felt a reactionary impulse to avoid a generic right to equal treatment displacing the conditions placed on </w:t>
      </w:r>
      <w:r w:rsidR="005A5C7B" w:rsidRPr="00526F43">
        <w:rPr>
          <w:sz w:val="22"/>
        </w:rPr>
        <w:t>a</w:t>
      </w:r>
      <w:r w:rsidR="005B79C7" w:rsidRPr="00526F43">
        <w:rPr>
          <w:sz w:val="22"/>
        </w:rPr>
        <w:t xml:space="preserve"> more specific</w:t>
      </w:r>
      <w:r w:rsidR="005A5C7B" w:rsidRPr="00526F43">
        <w:rPr>
          <w:sz w:val="22"/>
        </w:rPr>
        <w:t>, albeit different,</w:t>
      </w:r>
      <w:r w:rsidR="005B79C7" w:rsidRPr="00526F43">
        <w:rPr>
          <w:sz w:val="22"/>
        </w:rPr>
        <w:t xml:space="preserve"> right</w:t>
      </w:r>
      <w:r w:rsidR="005A5C7B" w:rsidRPr="00526F43">
        <w:rPr>
          <w:sz w:val="22"/>
        </w:rPr>
        <w:t>. B</w:t>
      </w:r>
      <w:r w:rsidR="005B79C7" w:rsidRPr="00526F43">
        <w:rPr>
          <w:sz w:val="22"/>
        </w:rPr>
        <w:t>ut</w:t>
      </w:r>
      <w:r w:rsidR="00BF4F44" w:rsidRPr="00526F43">
        <w:rPr>
          <w:sz w:val="22"/>
        </w:rPr>
        <w:t xml:space="preserve"> such an impulse is not exactly sound legal authority. T</w:t>
      </w:r>
      <w:r w:rsidR="005B79C7" w:rsidRPr="00526F43">
        <w:rPr>
          <w:sz w:val="22"/>
        </w:rPr>
        <w:t>he fact of a right to reside arising outside of the Directive neces</w:t>
      </w:r>
      <w:r w:rsidR="00BF4F44" w:rsidRPr="00526F43">
        <w:rPr>
          <w:sz w:val="22"/>
        </w:rPr>
        <w:t>s</w:t>
      </w:r>
      <w:r w:rsidR="005B79C7" w:rsidRPr="00526F43">
        <w:rPr>
          <w:sz w:val="22"/>
        </w:rPr>
        <w:t xml:space="preserve">arily required examining the rights provided for outside of the Directive, </w:t>
      </w:r>
      <w:r w:rsidR="0027649A" w:rsidRPr="00526F43">
        <w:rPr>
          <w:sz w:val="22"/>
        </w:rPr>
        <w:t>and</w:t>
      </w:r>
      <w:r w:rsidR="005B79C7" w:rsidRPr="00526F43">
        <w:rPr>
          <w:sz w:val="22"/>
        </w:rPr>
        <w:t xml:space="preserve"> the </w:t>
      </w:r>
      <w:r w:rsidR="005B79C7" w:rsidRPr="00526F43">
        <w:rPr>
          <w:i/>
          <w:iCs/>
          <w:sz w:val="22"/>
        </w:rPr>
        <w:t>Krefeld</w:t>
      </w:r>
      <w:r w:rsidR="005B79C7" w:rsidRPr="00526F43">
        <w:rPr>
          <w:sz w:val="22"/>
        </w:rPr>
        <w:t xml:space="preserve"> analogy warranted much greater (indeed, just some) analysis</w:t>
      </w:r>
      <w:r w:rsidR="00BF4F44" w:rsidRPr="00526F43">
        <w:rPr>
          <w:sz w:val="22"/>
        </w:rPr>
        <w:t xml:space="preserve">. Put simply, the creation of pre-settled status has legal consequences, whether they are intended or not, and whether the UK (or the CJEU) likes them or not, and it is disingenuous in the extreme to pretend that it </w:t>
      </w:r>
      <w:r w:rsidR="005A5C7B" w:rsidRPr="00526F43">
        <w:rPr>
          <w:sz w:val="22"/>
        </w:rPr>
        <w:t>simply</w:t>
      </w:r>
      <w:r w:rsidR="00BF4F44" w:rsidRPr="00526F43">
        <w:rPr>
          <w:sz w:val="22"/>
        </w:rPr>
        <w:t xml:space="preserve"> </w:t>
      </w:r>
      <w:r w:rsidR="005A5C7B" w:rsidRPr="00526F43">
        <w:rPr>
          <w:sz w:val="22"/>
        </w:rPr>
        <w:t>“</w:t>
      </w:r>
      <w:r w:rsidR="00BF4F44" w:rsidRPr="00526F43">
        <w:rPr>
          <w:sz w:val="22"/>
        </w:rPr>
        <w:t>cannot call [a claimant’s lack of rights] into question</w:t>
      </w:r>
      <w:r w:rsidR="005A5C7B" w:rsidRPr="00526F43">
        <w:rPr>
          <w:sz w:val="22"/>
        </w:rPr>
        <w:t>”</w:t>
      </w:r>
      <w:r w:rsidR="00BF4F44" w:rsidRPr="00526F43">
        <w:rPr>
          <w:sz w:val="22"/>
        </w:rPr>
        <w:t xml:space="preserve">.  </w:t>
      </w:r>
    </w:p>
    <w:p w14:paraId="0F042574" w14:textId="2D1D94B4" w:rsidR="005B79C7" w:rsidRPr="00526F43" w:rsidRDefault="005B79C7" w:rsidP="00681077">
      <w:pPr>
        <w:jc w:val="both"/>
        <w:rPr>
          <w:sz w:val="22"/>
        </w:rPr>
      </w:pPr>
    </w:p>
    <w:p w14:paraId="78BA57A4" w14:textId="5C030EE1" w:rsidR="0049476C" w:rsidRPr="00526F43" w:rsidRDefault="00BF4F44" w:rsidP="00681077">
      <w:pPr>
        <w:jc w:val="both"/>
        <w:rPr>
          <w:sz w:val="22"/>
        </w:rPr>
      </w:pPr>
      <w:r w:rsidRPr="00526F43">
        <w:rPr>
          <w:sz w:val="22"/>
        </w:rPr>
        <w:t xml:space="preserve">Pre-settled status is expressly and deliberately not declaratory. The whole EUSS scheme has posed </w:t>
      </w:r>
      <w:proofErr w:type="gramStart"/>
      <w:r w:rsidRPr="00526F43">
        <w:rPr>
          <w:sz w:val="22"/>
        </w:rPr>
        <w:t>a number of</w:t>
      </w:r>
      <w:proofErr w:type="gramEnd"/>
      <w:r w:rsidRPr="00526F43">
        <w:rPr>
          <w:sz w:val="22"/>
        </w:rPr>
        <w:t xml:space="preserve"> threats to the rights of vulnerable EU/EEA nationals and their family members – the foremost being the UK’s choice to adopt a constitutive system.</w:t>
      </w:r>
      <w:r w:rsidR="0003372D" w:rsidRPr="00526F43">
        <w:rPr>
          <w:rStyle w:val="FootnoteReference"/>
          <w:sz w:val="22"/>
        </w:rPr>
        <w:footnoteReference w:id="60"/>
      </w:r>
      <w:r w:rsidRPr="00526F43">
        <w:rPr>
          <w:sz w:val="22"/>
        </w:rPr>
        <w:t xml:space="preserve"> </w:t>
      </w:r>
      <w:r w:rsidR="001E06DC" w:rsidRPr="00526F43">
        <w:rPr>
          <w:sz w:val="22"/>
        </w:rPr>
        <w:t>A</w:t>
      </w:r>
      <w:r w:rsidR="0049476C" w:rsidRPr="00526F43">
        <w:rPr>
          <w:sz w:val="22"/>
        </w:rPr>
        <w:t xml:space="preserve">ctually having applied for and having been awarded the status is necessary for the right to reside to exist, </w:t>
      </w:r>
      <w:r w:rsidR="001E06DC" w:rsidRPr="00526F43">
        <w:rPr>
          <w:sz w:val="22"/>
        </w:rPr>
        <w:t>making</w:t>
      </w:r>
      <w:r w:rsidR="0049476C" w:rsidRPr="00526F43">
        <w:rPr>
          <w:sz w:val="22"/>
        </w:rPr>
        <w:t xml:space="preserve"> the deadline for application a hard deadline. </w:t>
      </w:r>
      <w:r w:rsidR="00161481" w:rsidRPr="00526F43">
        <w:rPr>
          <w:sz w:val="22"/>
        </w:rPr>
        <w:t>W</w:t>
      </w:r>
      <w:r w:rsidR="0049476C" w:rsidRPr="00526F43">
        <w:rPr>
          <w:sz w:val="22"/>
        </w:rPr>
        <w:t xml:space="preserve">ould-be applicants who cannot demonstrate a </w:t>
      </w:r>
      <w:r w:rsidR="00161481" w:rsidRPr="00526F43">
        <w:rPr>
          <w:sz w:val="22"/>
        </w:rPr>
        <w:t xml:space="preserve">reasonable </w:t>
      </w:r>
      <w:r w:rsidR="0049476C" w:rsidRPr="00526F43">
        <w:rPr>
          <w:sz w:val="22"/>
        </w:rPr>
        <w:t>ground</w:t>
      </w:r>
      <w:r w:rsidR="00161481" w:rsidRPr="00526F43">
        <w:rPr>
          <w:sz w:val="22"/>
        </w:rPr>
        <w:t xml:space="preserve"> for a later application</w:t>
      </w:r>
      <w:r w:rsidR="0049476C" w:rsidRPr="00526F43">
        <w:rPr>
          <w:sz w:val="22"/>
        </w:rPr>
        <w:t>, or who apply very late and so lose the benefit of the doubt,</w:t>
      </w:r>
      <w:r w:rsidR="00161481" w:rsidRPr="00526F43">
        <w:rPr>
          <w:rStyle w:val="FootnoteReference"/>
          <w:sz w:val="22"/>
        </w:rPr>
        <w:footnoteReference w:id="61"/>
      </w:r>
      <w:r w:rsidR="0049476C" w:rsidRPr="00526F43">
        <w:rPr>
          <w:sz w:val="22"/>
        </w:rPr>
        <w:t xml:space="preserve"> may topple over a cliff-edge, losing all rights of residence, and becoming subject to hostile environment policies, regardless of </w:t>
      </w:r>
      <w:proofErr w:type="gramStart"/>
      <w:r w:rsidR="0049476C" w:rsidRPr="00526F43">
        <w:rPr>
          <w:sz w:val="22"/>
        </w:rPr>
        <w:t>whether or not</w:t>
      </w:r>
      <w:proofErr w:type="gramEnd"/>
      <w:r w:rsidR="0049476C" w:rsidRPr="00526F43">
        <w:rPr>
          <w:sz w:val="22"/>
        </w:rPr>
        <w:t xml:space="preserve"> they actually met the underlying conditions for EUSS status.</w:t>
      </w:r>
      <w:r w:rsidR="001E06DC" w:rsidRPr="00526F43">
        <w:rPr>
          <w:rStyle w:val="FootnoteReference"/>
          <w:sz w:val="22"/>
        </w:rPr>
        <w:footnoteReference w:id="62"/>
      </w:r>
      <w:r w:rsidR="0049476C" w:rsidRPr="00526F43">
        <w:rPr>
          <w:sz w:val="22"/>
        </w:rPr>
        <w:t xml:space="preserve"> That is the nature of a constitutive, rather than declaratory scheme. </w:t>
      </w:r>
    </w:p>
    <w:p w14:paraId="4D414D9D" w14:textId="77777777" w:rsidR="0049476C" w:rsidRPr="00526F43" w:rsidRDefault="0049476C" w:rsidP="00681077">
      <w:pPr>
        <w:jc w:val="both"/>
        <w:rPr>
          <w:sz w:val="22"/>
        </w:rPr>
      </w:pPr>
    </w:p>
    <w:p w14:paraId="619323EC" w14:textId="33477E96" w:rsidR="00D37AD3" w:rsidRPr="00526F43" w:rsidRDefault="0049476C" w:rsidP="00681077">
      <w:pPr>
        <w:jc w:val="both"/>
        <w:rPr>
          <w:sz w:val="22"/>
        </w:rPr>
      </w:pPr>
      <w:r w:rsidRPr="00526F43">
        <w:rPr>
          <w:sz w:val="22"/>
        </w:rPr>
        <w:lastRenderedPageBreak/>
        <w:t>While the constitutive approach permits a draconian approach to the missed deadline, the trade-off is that once you have the status, you have the rights that flow from it.</w:t>
      </w:r>
      <w:r w:rsidR="00D37AD3" w:rsidRPr="00526F43">
        <w:rPr>
          <w:sz w:val="22"/>
        </w:rPr>
        <w:t xml:space="preserve"> In shaping its post-Brexit regime for conferring a residence status on EU nationals covered by the Withdrawal Agreement, the UK did have the option to</w:t>
      </w:r>
      <w:r w:rsidR="00C9709F" w:rsidRPr="00526F43">
        <w:rPr>
          <w:sz w:val="22"/>
        </w:rPr>
        <w:t xml:space="preserve"> </w:t>
      </w:r>
      <w:r w:rsidR="00D37AD3" w:rsidRPr="00526F43">
        <w:rPr>
          <w:sz w:val="22"/>
        </w:rPr>
        <w:t xml:space="preserve">keep the same </w:t>
      </w:r>
      <w:r w:rsidR="00C9709F" w:rsidRPr="00526F43">
        <w:rPr>
          <w:sz w:val="22"/>
        </w:rPr>
        <w:t xml:space="preserve">conditions that </w:t>
      </w:r>
      <w:r w:rsidR="00D37AD3" w:rsidRPr="00526F43">
        <w:rPr>
          <w:sz w:val="22"/>
        </w:rPr>
        <w:t xml:space="preserve">Directive 2004/38 </w:t>
      </w:r>
      <w:r w:rsidR="00C9709F" w:rsidRPr="00526F43">
        <w:rPr>
          <w:sz w:val="22"/>
        </w:rPr>
        <w:t>attaches to</w:t>
      </w:r>
      <w:r w:rsidR="00D37AD3" w:rsidRPr="00526F43">
        <w:rPr>
          <w:sz w:val="22"/>
        </w:rPr>
        <w:t xml:space="preserve"> residence rights</w:t>
      </w:r>
      <w:r w:rsidR="001E06DC" w:rsidRPr="00526F43">
        <w:rPr>
          <w:sz w:val="22"/>
        </w:rPr>
        <w:t>. It</w:t>
      </w:r>
      <w:r w:rsidR="00D37AD3" w:rsidRPr="00526F43">
        <w:rPr>
          <w:sz w:val="22"/>
        </w:rPr>
        <w:t xml:space="preserve"> could have continued with a declaratory scheme (the Withdrawal Agreement permitted, but did not oblige, the UK to require registration for a status by a given date). But the UK chose not to do this – a choice with legal consequences. The Court treated </w:t>
      </w:r>
      <w:r w:rsidR="00C9709F" w:rsidRPr="00526F43">
        <w:rPr>
          <w:sz w:val="22"/>
        </w:rPr>
        <w:t xml:space="preserve">the creation of </w:t>
      </w:r>
      <w:r w:rsidR="00D37AD3" w:rsidRPr="00526F43">
        <w:rPr>
          <w:sz w:val="22"/>
        </w:rPr>
        <w:t xml:space="preserve">pre-settled status as an exercise of Article 37 Directive 2004/38 – the provision allowing Member States to adopt provisions that would be more favourable to persons covered by the Directive. It then went on to note that this could not “in any way” be </w:t>
      </w:r>
      <w:r w:rsidR="000F5256" w:rsidRPr="00526F43">
        <w:rPr>
          <w:sz w:val="22"/>
        </w:rPr>
        <w:t>regard</w:t>
      </w:r>
      <w:r w:rsidR="00D37AD3" w:rsidRPr="00526F43">
        <w:rPr>
          <w:sz w:val="22"/>
        </w:rPr>
        <w:t xml:space="preserve">ed as granted on the basis of the Directive, and that where Member States adopt more favourable residence provisions, it is up to them “to specify the consequences of a right of residence granted </w:t>
      </w:r>
      <w:proofErr w:type="gramStart"/>
      <w:r w:rsidR="00D37AD3" w:rsidRPr="00526F43">
        <w:rPr>
          <w:sz w:val="22"/>
        </w:rPr>
        <w:t>on the basis of</w:t>
      </w:r>
      <w:proofErr w:type="gramEnd"/>
      <w:r w:rsidR="00D37AD3" w:rsidRPr="00526F43">
        <w:rPr>
          <w:sz w:val="22"/>
        </w:rPr>
        <w:t xml:space="preserve"> national law alone”, citing </w:t>
      </w:r>
      <w:proofErr w:type="spellStart"/>
      <w:r w:rsidR="00D37AD3" w:rsidRPr="00526F43">
        <w:rPr>
          <w:i/>
          <w:iCs/>
          <w:sz w:val="22"/>
        </w:rPr>
        <w:t>Ziolkowski</w:t>
      </w:r>
      <w:proofErr w:type="spellEnd"/>
      <w:r w:rsidR="00D37AD3" w:rsidRPr="00526F43">
        <w:rPr>
          <w:i/>
          <w:iCs/>
          <w:sz w:val="22"/>
        </w:rPr>
        <w:t xml:space="preserve"> and </w:t>
      </w:r>
      <w:proofErr w:type="spellStart"/>
      <w:r w:rsidR="00D37AD3" w:rsidRPr="00526F43">
        <w:rPr>
          <w:i/>
          <w:iCs/>
          <w:sz w:val="22"/>
        </w:rPr>
        <w:t>Szeja</w:t>
      </w:r>
      <w:proofErr w:type="spellEnd"/>
      <w:r w:rsidR="00D37AD3" w:rsidRPr="00526F43">
        <w:rPr>
          <w:sz w:val="22"/>
        </w:rPr>
        <w:t>.</w:t>
      </w:r>
      <w:r w:rsidR="00D37AD3" w:rsidRPr="00526F43">
        <w:rPr>
          <w:rStyle w:val="FootnoteReference"/>
          <w:sz w:val="22"/>
        </w:rPr>
        <w:footnoteReference w:id="63"/>
      </w:r>
      <w:r w:rsidR="00D37AD3" w:rsidRPr="00526F43">
        <w:rPr>
          <w:sz w:val="22"/>
        </w:rPr>
        <w:t xml:space="preserve">  </w:t>
      </w:r>
    </w:p>
    <w:p w14:paraId="209A0C74" w14:textId="2C2D1239" w:rsidR="00D37AD3" w:rsidRPr="00526F43" w:rsidRDefault="00D37AD3" w:rsidP="00681077">
      <w:pPr>
        <w:jc w:val="both"/>
        <w:rPr>
          <w:sz w:val="22"/>
        </w:rPr>
      </w:pPr>
      <w:r w:rsidRPr="00526F43">
        <w:rPr>
          <w:sz w:val="22"/>
        </w:rPr>
        <w:t xml:space="preserve">  </w:t>
      </w:r>
    </w:p>
    <w:p w14:paraId="7A79FF9F" w14:textId="69EBC8FE" w:rsidR="00945032" w:rsidRPr="00526F43" w:rsidRDefault="00F91E90" w:rsidP="00681077">
      <w:pPr>
        <w:jc w:val="both"/>
        <w:rPr>
          <w:sz w:val="22"/>
        </w:rPr>
      </w:pPr>
      <w:r w:rsidRPr="00526F43">
        <w:rPr>
          <w:sz w:val="22"/>
        </w:rPr>
        <w:t xml:space="preserve">There are two key problems relying on </w:t>
      </w:r>
      <w:proofErr w:type="spellStart"/>
      <w:r w:rsidRPr="00526F43">
        <w:rPr>
          <w:i/>
          <w:iCs/>
          <w:sz w:val="22"/>
        </w:rPr>
        <w:t>Ziolkowski</w:t>
      </w:r>
      <w:proofErr w:type="spellEnd"/>
      <w:r w:rsidRPr="00526F43">
        <w:rPr>
          <w:i/>
          <w:iCs/>
          <w:sz w:val="22"/>
        </w:rPr>
        <w:t xml:space="preserve"> and </w:t>
      </w:r>
      <w:proofErr w:type="spellStart"/>
      <w:r w:rsidRPr="00526F43">
        <w:rPr>
          <w:i/>
          <w:iCs/>
          <w:sz w:val="22"/>
        </w:rPr>
        <w:t>Szeja</w:t>
      </w:r>
      <w:proofErr w:type="spellEnd"/>
      <w:r w:rsidRPr="00526F43">
        <w:rPr>
          <w:i/>
          <w:iCs/>
          <w:sz w:val="22"/>
        </w:rPr>
        <w:t xml:space="preserve"> </w:t>
      </w:r>
      <w:r w:rsidRPr="00526F43">
        <w:rPr>
          <w:sz w:val="22"/>
        </w:rPr>
        <w:t>in this way. First,</w:t>
      </w:r>
      <w:r w:rsidR="001E06DC" w:rsidRPr="00526F43">
        <w:rPr>
          <w:sz w:val="22"/>
        </w:rPr>
        <w:t xml:space="preserve"> as the Advocate General noted,</w:t>
      </w:r>
      <w:r w:rsidRPr="00526F43">
        <w:rPr>
          <w:sz w:val="22"/>
        </w:rPr>
        <w:t xml:space="preserve"> the rights claimed are starkly different. </w:t>
      </w:r>
      <w:proofErr w:type="spellStart"/>
      <w:r w:rsidRPr="00526F43">
        <w:rPr>
          <w:i/>
          <w:iCs/>
          <w:sz w:val="22"/>
        </w:rPr>
        <w:t>Ziolkowski</w:t>
      </w:r>
      <w:proofErr w:type="spellEnd"/>
      <w:r w:rsidRPr="00526F43">
        <w:rPr>
          <w:i/>
          <w:iCs/>
          <w:sz w:val="22"/>
        </w:rPr>
        <w:t xml:space="preserve"> and </w:t>
      </w:r>
      <w:proofErr w:type="spellStart"/>
      <w:r w:rsidRPr="00526F43">
        <w:rPr>
          <w:i/>
          <w:iCs/>
          <w:sz w:val="22"/>
        </w:rPr>
        <w:t>Szeja</w:t>
      </w:r>
      <w:proofErr w:type="spellEnd"/>
      <w:r w:rsidRPr="00526F43">
        <w:rPr>
          <w:i/>
          <w:iCs/>
          <w:sz w:val="22"/>
        </w:rPr>
        <w:t xml:space="preserve"> </w:t>
      </w:r>
      <w:r w:rsidRPr="00526F43">
        <w:rPr>
          <w:sz w:val="22"/>
        </w:rPr>
        <w:t xml:space="preserve">concerned the right to permanent residence, a specific right to reside created and conferred by Directive 2004/38. It was relatively unsurprising that the Court found that </w:t>
      </w:r>
      <w:proofErr w:type="gramStart"/>
      <w:r w:rsidRPr="00526F43">
        <w:rPr>
          <w:sz w:val="22"/>
        </w:rPr>
        <w:t>in order to</w:t>
      </w:r>
      <w:proofErr w:type="gramEnd"/>
      <w:r w:rsidRPr="00526F43">
        <w:rPr>
          <w:sz w:val="22"/>
        </w:rPr>
        <w:t xml:space="preserve"> assert a right</w:t>
      </w:r>
      <w:r w:rsidR="00945032" w:rsidRPr="00526F43">
        <w:rPr>
          <w:sz w:val="22"/>
        </w:rPr>
        <w:t xml:space="preserve"> that is (in EU law) only</w:t>
      </w:r>
      <w:r w:rsidRPr="00526F43">
        <w:rPr>
          <w:sz w:val="22"/>
        </w:rPr>
        <w:t xml:space="preserve"> locate</w:t>
      </w:r>
      <w:r w:rsidR="00945032" w:rsidRPr="00526F43">
        <w:rPr>
          <w:sz w:val="22"/>
        </w:rPr>
        <w:t>d</w:t>
      </w:r>
      <w:r w:rsidRPr="00526F43">
        <w:rPr>
          <w:sz w:val="22"/>
        </w:rPr>
        <w:t xml:space="preserve"> in Directive 2004/38, one had to comply with the conditions of that Directive. </w:t>
      </w:r>
      <w:r w:rsidR="00945032" w:rsidRPr="00526F43">
        <w:rPr>
          <w:sz w:val="22"/>
        </w:rPr>
        <w:t xml:space="preserve">But in </w:t>
      </w:r>
      <w:r w:rsidR="00945032" w:rsidRPr="00526F43">
        <w:rPr>
          <w:i/>
          <w:iCs/>
          <w:sz w:val="22"/>
        </w:rPr>
        <w:t>CG</w:t>
      </w:r>
      <w:r w:rsidR="00945032" w:rsidRPr="00526F43">
        <w:rPr>
          <w:sz w:val="22"/>
        </w:rPr>
        <w:t xml:space="preserve">, we </w:t>
      </w:r>
      <w:proofErr w:type="gramStart"/>
      <w:r w:rsidR="00945032" w:rsidRPr="00526F43">
        <w:rPr>
          <w:sz w:val="22"/>
        </w:rPr>
        <w:t>are  dealing</w:t>
      </w:r>
      <w:proofErr w:type="gramEnd"/>
      <w:r w:rsidR="00945032" w:rsidRPr="00526F43">
        <w:rPr>
          <w:sz w:val="22"/>
        </w:rPr>
        <w:t xml:space="preserve"> with </w:t>
      </w:r>
      <w:r w:rsidR="00FB789E" w:rsidRPr="00526F43">
        <w:rPr>
          <w:sz w:val="22"/>
        </w:rPr>
        <w:t>equal treatment</w:t>
      </w:r>
      <w:r w:rsidR="000F5256" w:rsidRPr="00526F43">
        <w:rPr>
          <w:sz w:val="22"/>
        </w:rPr>
        <w:t xml:space="preserve"> – a right which has a basis elsewhere</w:t>
      </w:r>
      <w:r w:rsidR="00FB789E" w:rsidRPr="00526F43">
        <w:rPr>
          <w:sz w:val="22"/>
        </w:rPr>
        <w:t>.</w:t>
      </w:r>
      <w:r w:rsidR="00945032" w:rsidRPr="00526F43">
        <w:rPr>
          <w:sz w:val="22"/>
        </w:rPr>
        <w:t xml:space="preserve"> The second problem is </w:t>
      </w:r>
      <w:r w:rsidR="0078499D" w:rsidRPr="00526F43">
        <w:rPr>
          <w:sz w:val="22"/>
        </w:rPr>
        <w:t>a misrepresentation of</w:t>
      </w:r>
      <w:r w:rsidR="00945032" w:rsidRPr="00526F43">
        <w:rPr>
          <w:sz w:val="22"/>
        </w:rPr>
        <w:t xml:space="preserve"> the </w:t>
      </w:r>
      <w:proofErr w:type="gramStart"/>
      <w:r w:rsidR="00945032" w:rsidRPr="00526F43">
        <w:rPr>
          <w:sz w:val="22"/>
        </w:rPr>
        <w:t>lee-way</w:t>
      </w:r>
      <w:proofErr w:type="gramEnd"/>
      <w:r w:rsidR="00945032" w:rsidRPr="00526F43">
        <w:rPr>
          <w:sz w:val="22"/>
        </w:rPr>
        <w:t xml:space="preserve"> actually granted to Member States. </w:t>
      </w:r>
      <w:r w:rsidR="00FB789E" w:rsidRPr="00526F43">
        <w:rPr>
          <w:sz w:val="22"/>
        </w:rPr>
        <w:t>They simply cannot and do not have free rein over the legal consequences of a national right to reside</w:t>
      </w:r>
      <w:r w:rsidR="001E06DC" w:rsidRPr="00526F43">
        <w:rPr>
          <w:sz w:val="22"/>
        </w:rPr>
        <w:t xml:space="preserve">. Yes, they can adopt a series of random consequences if they wish – the right might entail free </w:t>
      </w:r>
      <w:r w:rsidR="00AA6B72" w:rsidRPr="00526F43">
        <w:rPr>
          <w:sz w:val="22"/>
        </w:rPr>
        <w:t>juggling</w:t>
      </w:r>
      <w:r w:rsidR="001E06DC" w:rsidRPr="00526F43">
        <w:rPr>
          <w:sz w:val="22"/>
        </w:rPr>
        <w:t xml:space="preserve"> lessons, or a top hat, or a letter from the Queen. But </w:t>
      </w:r>
      <w:r w:rsidR="00FB789E" w:rsidRPr="00526F43">
        <w:rPr>
          <w:sz w:val="22"/>
        </w:rPr>
        <w:t>such consequences must</w:t>
      </w:r>
      <w:r w:rsidR="00AA6B72" w:rsidRPr="00526F43">
        <w:rPr>
          <w:sz w:val="22"/>
        </w:rPr>
        <w:t xml:space="preserve"> not be awarded in a discriminatory fashion; they must</w:t>
      </w:r>
      <w:r w:rsidR="00FB789E" w:rsidRPr="00526F43">
        <w:rPr>
          <w:sz w:val="22"/>
        </w:rPr>
        <w:t xml:space="preserve"> abide by EU law and respect the general principles of EU law. </w:t>
      </w:r>
      <w:r w:rsidR="00B6380A" w:rsidRPr="00526F43">
        <w:rPr>
          <w:sz w:val="22"/>
        </w:rPr>
        <w:t>And equal treatment or non-discrimination “is one of the general principles of Community law”</w:t>
      </w:r>
      <w:r w:rsidR="004A5384" w:rsidRPr="00526F43">
        <w:rPr>
          <w:sz w:val="22"/>
        </w:rPr>
        <w:t>, as the Court has repeatedly emphasised</w:t>
      </w:r>
      <w:r w:rsidR="00B6380A" w:rsidRPr="00526F43">
        <w:rPr>
          <w:sz w:val="22"/>
        </w:rPr>
        <w:t>.</w:t>
      </w:r>
      <w:r w:rsidR="00B6380A" w:rsidRPr="00526F43">
        <w:rPr>
          <w:rStyle w:val="FootnoteReference"/>
          <w:sz w:val="22"/>
        </w:rPr>
        <w:footnoteReference w:id="64"/>
      </w:r>
      <w:r w:rsidR="00B6380A" w:rsidRPr="00526F43">
        <w:rPr>
          <w:sz w:val="22"/>
        </w:rPr>
        <w:t xml:space="preserve"> </w:t>
      </w:r>
    </w:p>
    <w:p w14:paraId="6A443B3C" w14:textId="2158744A" w:rsidR="00945032" w:rsidRPr="00526F43" w:rsidRDefault="00945032" w:rsidP="00681077">
      <w:pPr>
        <w:jc w:val="both"/>
        <w:rPr>
          <w:sz w:val="22"/>
        </w:rPr>
      </w:pPr>
    </w:p>
    <w:p w14:paraId="025A7DB8" w14:textId="6E0F5BDB" w:rsidR="004A5384" w:rsidRPr="00526F43" w:rsidRDefault="004A5384" w:rsidP="00681077">
      <w:pPr>
        <w:jc w:val="both"/>
        <w:rPr>
          <w:sz w:val="22"/>
        </w:rPr>
      </w:pPr>
      <w:r w:rsidRPr="00526F43">
        <w:rPr>
          <w:sz w:val="22"/>
        </w:rPr>
        <w:t>Moreover, the Court has previously stressed the need to interpret a Union measure “in such a way as not to affect its validity and in conformity with primary law as a whole… including with the principle of equal treatment”</w:t>
      </w:r>
      <w:r w:rsidR="003433E2" w:rsidRPr="00526F43">
        <w:rPr>
          <w:sz w:val="22"/>
        </w:rPr>
        <w:t>.</w:t>
      </w:r>
      <w:r w:rsidRPr="00526F43">
        <w:rPr>
          <w:rStyle w:val="FootnoteReference"/>
          <w:sz w:val="22"/>
        </w:rPr>
        <w:footnoteReference w:id="65"/>
      </w:r>
      <w:r w:rsidRPr="00526F43">
        <w:rPr>
          <w:sz w:val="22"/>
        </w:rPr>
        <w:t xml:space="preserve"> Article 37 of Directive 2004/38 should thus be interpreted as not giving a Member State a license to discriminate against EU nationals to whom it has awarded a residence right. </w:t>
      </w:r>
      <w:r w:rsidR="00314E3D" w:rsidRPr="00526F43">
        <w:rPr>
          <w:sz w:val="22"/>
        </w:rPr>
        <w:t xml:space="preserve">It is here worth contrasting the approach in </w:t>
      </w:r>
      <w:r w:rsidR="00314E3D" w:rsidRPr="00526F43">
        <w:rPr>
          <w:i/>
          <w:iCs/>
          <w:sz w:val="22"/>
        </w:rPr>
        <w:t>CG</w:t>
      </w:r>
      <w:r w:rsidR="00314E3D" w:rsidRPr="00526F43">
        <w:rPr>
          <w:sz w:val="22"/>
        </w:rPr>
        <w:t xml:space="preserve"> with that in </w:t>
      </w:r>
      <w:proofErr w:type="spellStart"/>
      <w:r w:rsidR="00314E3D" w:rsidRPr="00526F43">
        <w:rPr>
          <w:i/>
          <w:iCs/>
          <w:sz w:val="22"/>
        </w:rPr>
        <w:t>Sotgiu</w:t>
      </w:r>
      <w:proofErr w:type="spellEnd"/>
      <w:r w:rsidR="00AA6B72" w:rsidRPr="00526F43">
        <w:rPr>
          <w:sz w:val="22"/>
        </w:rPr>
        <w:t>,</w:t>
      </w:r>
      <w:r w:rsidR="00F47B73" w:rsidRPr="00526F43">
        <w:rPr>
          <w:rStyle w:val="FootnoteReference"/>
          <w:sz w:val="22"/>
        </w:rPr>
        <w:footnoteReference w:id="66"/>
      </w:r>
      <w:r w:rsidR="00AA6B72" w:rsidRPr="00526F43">
        <w:rPr>
          <w:sz w:val="22"/>
        </w:rPr>
        <w:t xml:space="preserve"> where</w:t>
      </w:r>
      <w:r w:rsidR="00314E3D" w:rsidRPr="00526F43">
        <w:rPr>
          <w:sz w:val="22"/>
        </w:rPr>
        <w:t xml:space="preserve"> the Court found that permitted derogations from Article 48(4) EEC (now Article 45 TFEU) only applied to the admission of foreign nationals to certain jobs in the public sector – it did not justify discrimination (in matters of, </w:t>
      </w:r>
      <w:proofErr w:type="gramStart"/>
      <w:r w:rsidR="00314E3D" w:rsidRPr="00526F43">
        <w:rPr>
          <w:sz w:val="22"/>
        </w:rPr>
        <w:t>e.g.</w:t>
      </w:r>
      <w:proofErr w:type="gramEnd"/>
      <w:r w:rsidR="00314E3D" w:rsidRPr="00526F43">
        <w:rPr>
          <w:sz w:val="22"/>
        </w:rPr>
        <w:t xml:space="preserve"> remuneration) once a Member State had chosen to admit a foreign national to that role. Member States could control EU nationals’ access to those posts, but once they granted access, they were bound by equal treatment obligations. In the context of </w:t>
      </w:r>
      <w:r w:rsidR="00314E3D" w:rsidRPr="00526F43">
        <w:rPr>
          <w:i/>
          <w:iCs/>
          <w:sz w:val="22"/>
        </w:rPr>
        <w:t>CG</w:t>
      </w:r>
      <w:r w:rsidR="00314E3D" w:rsidRPr="00526F43">
        <w:rPr>
          <w:sz w:val="22"/>
        </w:rPr>
        <w:t>, the UK chose not to exercise its opportunity to restrict access to residence rights, but then sought to discriminate against those to whom it had awarded those rights. And the CJEU has</w:t>
      </w:r>
      <w:proofErr w:type="gramStart"/>
      <w:r w:rsidR="00314E3D" w:rsidRPr="00526F43">
        <w:rPr>
          <w:sz w:val="22"/>
        </w:rPr>
        <w:t>, more or less, given</w:t>
      </w:r>
      <w:proofErr w:type="gramEnd"/>
      <w:r w:rsidR="00314E3D" w:rsidRPr="00526F43">
        <w:rPr>
          <w:sz w:val="22"/>
        </w:rPr>
        <w:t xml:space="preserve"> its blessing. </w:t>
      </w:r>
    </w:p>
    <w:p w14:paraId="6495B490" w14:textId="77777777" w:rsidR="004A5384" w:rsidRPr="00526F43" w:rsidRDefault="004A5384" w:rsidP="00681077">
      <w:pPr>
        <w:jc w:val="both"/>
        <w:rPr>
          <w:sz w:val="22"/>
        </w:rPr>
      </w:pPr>
    </w:p>
    <w:p w14:paraId="156F0705" w14:textId="60F0BCC7" w:rsidR="00736DE2" w:rsidRPr="00526F43" w:rsidRDefault="009F4CAD" w:rsidP="00834B38">
      <w:pPr>
        <w:jc w:val="both"/>
        <w:rPr>
          <w:sz w:val="22"/>
        </w:rPr>
      </w:pPr>
      <w:r w:rsidRPr="00526F43">
        <w:rPr>
          <w:sz w:val="22"/>
        </w:rPr>
        <w:t>By denying that there is any protection from discrimination, the Court found there was no need for justification, and so no proportionality analysis was required.</w:t>
      </w:r>
      <w:r w:rsidR="00FF4CDF" w:rsidRPr="00526F43">
        <w:rPr>
          <w:rStyle w:val="FootnoteReference"/>
          <w:sz w:val="22"/>
        </w:rPr>
        <w:footnoteReference w:id="67"/>
      </w:r>
      <w:r w:rsidRPr="00526F43">
        <w:rPr>
          <w:sz w:val="22"/>
        </w:rPr>
        <w:t xml:space="preserve"> But this rather ducks its own earlier findings that </w:t>
      </w:r>
      <w:r w:rsidRPr="00526F43">
        <w:rPr>
          <w:i/>
          <w:iCs/>
          <w:sz w:val="22"/>
        </w:rPr>
        <w:t>derogations</w:t>
      </w:r>
      <w:r w:rsidRPr="00526F43">
        <w:rPr>
          <w:sz w:val="22"/>
        </w:rPr>
        <w:t xml:space="preserve"> from equal treatment </w:t>
      </w:r>
      <w:r w:rsidR="00FF4CDF" w:rsidRPr="00526F43">
        <w:rPr>
          <w:sz w:val="22"/>
        </w:rPr>
        <w:t xml:space="preserve">(not just justifications for unequal treatment) </w:t>
      </w:r>
      <w:r w:rsidRPr="00526F43">
        <w:rPr>
          <w:sz w:val="22"/>
        </w:rPr>
        <w:t>“must comply with the principle of proportionality”</w:t>
      </w:r>
      <w:r w:rsidR="00AA6B72" w:rsidRPr="00526F43">
        <w:rPr>
          <w:sz w:val="22"/>
        </w:rPr>
        <w:t>. Proportionality</w:t>
      </w:r>
      <w:r w:rsidRPr="00526F43">
        <w:rPr>
          <w:sz w:val="22"/>
        </w:rPr>
        <w:t xml:space="preserve"> “is one of the general principles of Community law”</w:t>
      </w:r>
      <w:r w:rsidR="00FF4CDF" w:rsidRPr="00526F43">
        <w:rPr>
          <w:sz w:val="22"/>
        </w:rPr>
        <w:t xml:space="preserve">, even where </w:t>
      </w:r>
      <w:r w:rsidR="00AA6B72" w:rsidRPr="00526F43">
        <w:rPr>
          <w:sz w:val="22"/>
        </w:rPr>
        <w:t>an</w:t>
      </w:r>
      <w:r w:rsidR="00FF4CDF" w:rsidRPr="00526F43">
        <w:rPr>
          <w:sz w:val="22"/>
        </w:rPr>
        <w:t xml:space="preserve"> </w:t>
      </w:r>
      <w:r w:rsidR="00AA6B72" w:rsidRPr="00526F43">
        <w:rPr>
          <w:sz w:val="22"/>
        </w:rPr>
        <w:t xml:space="preserve">EU measure permitting a </w:t>
      </w:r>
      <w:r w:rsidR="00FF4CDF" w:rsidRPr="00526F43">
        <w:rPr>
          <w:sz w:val="22"/>
        </w:rPr>
        <w:t>derogation “does not expressly provide that the [measure] be proportionate”.</w:t>
      </w:r>
      <w:r w:rsidR="00FF4CDF" w:rsidRPr="00526F43">
        <w:rPr>
          <w:rStyle w:val="FootnoteReference"/>
          <w:sz w:val="22"/>
        </w:rPr>
        <w:footnoteReference w:id="68"/>
      </w:r>
      <w:r w:rsidR="00FF4CDF" w:rsidRPr="00526F43">
        <w:rPr>
          <w:sz w:val="22"/>
        </w:rPr>
        <w:t xml:space="preserve"> If a </w:t>
      </w:r>
      <w:r w:rsidR="009534FF" w:rsidRPr="00526F43">
        <w:rPr>
          <w:sz w:val="22"/>
        </w:rPr>
        <w:t xml:space="preserve">specific </w:t>
      </w:r>
      <w:r w:rsidR="00FF4CDF" w:rsidRPr="00526F43">
        <w:rPr>
          <w:sz w:val="22"/>
        </w:rPr>
        <w:t xml:space="preserve">derogation from equal treatment which is expressly </w:t>
      </w:r>
      <w:r w:rsidR="00FF4CDF" w:rsidRPr="00526F43">
        <w:rPr>
          <w:sz w:val="22"/>
        </w:rPr>
        <w:lastRenderedPageBreak/>
        <w:t xml:space="preserve">provided for in EU legislation must be interpreted narrowly and still subject to a proportionality assessment, it is unclear why a </w:t>
      </w:r>
      <w:r w:rsidR="009534FF" w:rsidRPr="00526F43">
        <w:rPr>
          <w:sz w:val="22"/>
        </w:rPr>
        <w:t>genera</w:t>
      </w:r>
      <w:r w:rsidR="003C20EC" w:rsidRPr="00526F43">
        <w:rPr>
          <w:sz w:val="22"/>
        </w:rPr>
        <w:t>l waiver of equal treatment duties</w:t>
      </w:r>
      <w:r w:rsidR="00AA6B72" w:rsidRPr="00526F43">
        <w:rPr>
          <w:sz w:val="22"/>
        </w:rPr>
        <w:t xml:space="preserve"> </w:t>
      </w:r>
      <w:r w:rsidR="003C20EC" w:rsidRPr="00526F43">
        <w:rPr>
          <w:sz w:val="22"/>
        </w:rPr>
        <w:t>derived from the Court’s intuition, should not be subject to equivalent restrictions.</w:t>
      </w:r>
      <w:r w:rsidR="00AA6B72" w:rsidRPr="00526F43">
        <w:rPr>
          <w:sz w:val="22"/>
        </w:rPr>
        <w:t xml:space="preserve"> </w:t>
      </w:r>
      <w:r w:rsidR="00736DE2" w:rsidRPr="00526F43">
        <w:rPr>
          <w:sz w:val="22"/>
        </w:rPr>
        <w:t>A brief consideration of the proportionality of the UK measures</w:t>
      </w:r>
      <w:r w:rsidR="004E1114" w:rsidRPr="00526F43">
        <w:rPr>
          <w:sz w:val="22"/>
        </w:rPr>
        <w:t xml:space="preserve"> </w:t>
      </w:r>
      <w:r w:rsidR="00830DC8" w:rsidRPr="00526F43">
        <w:rPr>
          <w:sz w:val="22"/>
        </w:rPr>
        <w:t>would have to take account of four key features: the seriousness of the disadvantages created; the fact that the rules cannot have any effect on purported “benefit tourism”; the reducing number of people affected</w:t>
      </w:r>
      <w:r w:rsidR="00F8433A" w:rsidRPr="00526F43">
        <w:rPr>
          <w:sz w:val="22"/>
        </w:rPr>
        <w:t>;</w:t>
      </w:r>
      <w:r w:rsidR="00830DC8" w:rsidRPr="00526F43">
        <w:rPr>
          <w:sz w:val="22"/>
        </w:rPr>
        <w:t xml:space="preserve"> and the </w:t>
      </w:r>
      <w:r w:rsidR="00834B38" w:rsidRPr="00526F43">
        <w:rPr>
          <w:sz w:val="22"/>
        </w:rPr>
        <w:t>time limit on</w:t>
      </w:r>
      <w:r w:rsidR="00830DC8" w:rsidRPr="00526F43">
        <w:rPr>
          <w:sz w:val="22"/>
        </w:rPr>
        <w:t xml:space="preserve"> pre-settled status. First, while not being able to access to social assistance could drive people into destitution, there is the added </w:t>
      </w:r>
      <w:r w:rsidR="00834B38" w:rsidRPr="00526F43">
        <w:rPr>
          <w:sz w:val="22"/>
        </w:rPr>
        <w:t>disadvantage</w:t>
      </w:r>
      <w:r w:rsidR="00830DC8" w:rsidRPr="00526F43">
        <w:rPr>
          <w:sz w:val="22"/>
        </w:rPr>
        <w:t xml:space="preserve"> that the normal rules of free movement do not apply. If the would-be claimant returns to their home state to secure temporary support, then they may find that they have interrupted the continuity of residence needed in the UK to secure settled status </w:t>
      </w:r>
      <w:proofErr w:type="gramStart"/>
      <w:r w:rsidR="00830DC8" w:rsidRPr="00526F43">
        <w:rPr>
          <w:sz w:val="22"/>
        </w:rPr>
        <w:t>at a later date</w:t>
      </w:r>
      <w:proofErr w:type="gramEnd"/>
      <w:r w:rsidR="00830DC8" w:rsidRPr="00526F43">
        <w:rPr>
          <w:sz w:val="22"/>
        </w:rPr>
        <w:t>. If their right to return and reside permanently is jeopardised, this creates a significant extra detriment. Secondly, no “new” arrivals – those arriving from 1 January 2021 onwards (unless specific family member rules apply) can apply for pre-settled status, so the rules cannot have any supposed deterrent effect with regard to that mythical cohort, benefit tourists.</w:t>
      </w:r>
      <w:r w:rsidR="00830DC8" w:rsidRPr="00526F43">
        <w:rPr>
          <w:rStyle w:val="FootnoteReference"/>
          <w:sz w:val="22"/>
        </w:rPr>
        <w:footnoteReference w:id="69"/>
      </w:r>
      <w:r w:rsidR="00830DC8" w:rsidRPr="00526F43">
        <w:rPr>
          <w:sz w:val="22"/>
        </w:rPr>
        <w:t xml:space="preserve"> </w:t>
      </w:r>
      <w:r w:rsidR="00F8433A" w:rsidRPr="00526F43">
        <w:rPr>
          <w:sz w:val="22"/>
        </w:rPr>
        <w:t xml:space="preserve">Third, we are talking about claims from a minority of a minority of a minority; EU citizens resident in the UK before the end of transition, who only qualify for pre-settled but not yet settled status; who cannot demonstrate another right to reside; and who need to claim benefits. And as this finite number of people obtain settled status, the numbers with pre-settled status can only go down. And finally, as pre-settled status only lasts for a maximum five years, before which holders should become entitled to settled status, we are only talking about a finite </w:t>
      </w:r>
      <w:proofErr w:type="gramStart"/>
      <w:r w:rsidR="00F8433A" w:rsidRPr="00526F43">
        <w:rPr>
          <w:sz w:val="22"/>
        </w:rPr>
        <w:t>period of time</w:t>
      </w:r>
      <w:proofErr w:type="gramEnd"/>
      <w:r w:rsidR="00F8433A" w:rsidRPr="00526F43">
        <w:rPr>
          <w:sz w:val="22"/>
        </w:rPr>
        <w:t xml:space="preserve">. Regardless of whether these points speak to whether the rules are proportionate in aggregate, if we consider individual </w:t>
      </w:r>
      <w:proofErr w:type="gramStart"/>
      <w:r w:rsidR="00F8433A" w:rsidRPr="00526F43">
        <w:rPr>
          <w:sz w:val="22"/>
        </w:rPr>
        <w:t>claims</w:t>
      </w:r>
      <w:proofErr w:type="gramEnd"/>
      <w:r w:rsidR="00F8433A" w:rsidRPr="00526F43">
        <w:rPr>
          <w:sz w:val="22"/>
        </w:rPr>
        <w:t xml:space="preserve"> it is arguable that outright refusals of benefit would be disproportionate in certain circumstances. For example, there is a proportionality argument to be made </w:t>
      </w:r>
      <w:r w:rsidR="003433E2" w:rsidRPr="00526F43">
        <w:rPr>
          <w:sz w:val="22"/>
        </w:rPr>
        <w:t>where someone</w:t>
      </w:r>
      <w:r w:rsidR="00F8433A" w:rsidRPr="00526F43">
        <w:rPr>
          <w:sz w:val="22"/>
        </w:rPr>
        <w:t xml:space="preserve"> with pre-settled status has been resident for four and a half years, has a record of work and contributions, but who </w:t>
      </w:r>
      <w:proofErr w:type="gramStart"/>
      <w:r w:rsidR="00F8433A" w:rsidRPr="00526F43">
        <w:rPr>
          <w:sz w:val="22"/>
        </w:rPr>
        <w:t>at this point in time</w:t>
      </w:r>
      <w:proofErr w:type="gramEnd"/>
      <w:r w:rsidR="00F8433A" w:rsidRPr="00526F43">
        <w:rPr>
          <w:sz w:val="22"/>
        </w:rPr>
        <w:t xml:space="preserve"> happens to be in need and without another right to reside, and who will within six months have gained settled status (and expects to be back in work then too). </w:t>
      </w:r>
      <w:r w:rsidR="00834B38" w:rsidRPr="00526F43">
        <w:rPr>
          <w:sz w:val="22"/>
        </w:rPr>
        <w:t xml:space="preserve">But the Court in </w:t>
      </w:r>
      <w:r w:rsidR="00834B38" w:rsidRPr="00526F43">
        <w:rPr>
          <w:i/>
          <w:iCs/>
          <w:sz w:val="22"/>
        </w:rPr>
        <w:t>CG</w:t>
      </w:r>
      <w:r w:rsidR="00834B38" w:rsidRPr="00526F43">
        <w:rPr>
          <w:sz w:val="22"/>
        </w:rPr>
        <w:t xml:space="preserve"> seems to find any claim from anyone without sufficient resources amounts to an unreasonable burden,</w:t>
      </w:r>
      <w:r w:rsidR="00834B38" w:rsidRPr="00526F43">
        <w:rPr>
          <w:rStyle w:val="FootnoteReference"/>
          <w:sz w:val="22"/>
        </w:rPr>
        <w:footnoteReference w:id="70"/>
      </w:r>
      <w:r w:rsidR="00834B38" w:rsidRPr="00526F43">
        <w:rPr>
          <w:sz w:val="22"/>
        </w:rPr>
        <w:t xml:space="preserve"> without placing any onus at all upon the UK to produce “objective, detailed analysis, supported by figures” which is “capable of demonstrating, with solid and consistent data, that there are genuine risks to the balance of the social security system”, as required in </w:t>
      </w:r>
      <w:r w:rsidR="00834B38" w:rsidRPr="00526F43">
        <w:rPr>
          <w:i/>
          <w:iCs/>
          <w:sz w:val="22"/>
        </w:rPr>
        <w:t>Commission v Cyprus</w:t>
      </w:r>
      <w:r w:rsidR="00834B38" w:rsidRPr="00526F43">
        <w:rPr>
          <w:sz w:val="22"/>
        </w:rPr>
        <w:t>.</w:t>
      </w:r>
      <w:r w:rsidR="00834B38" w:rsidRPr="00526F43">
        <w:rPr>
          <w:rStyle w:val="FootnoteReference"/>
          <w:sz w:val="22"/>
        </w:rPr>
        <w:footnoteReference w:id="71"/>
      </w:r>
    </w:p>
    <w:p w14:paraId="7875C124" w14:textId="587F788A" w:rsidR="00736DE2" w:rsidRPr="00526F43" w:rsidRDefault="00736DE2" w:rsidP="00681077">
      <w:pPr>
        <w:jc w:val="both"/>
        <w:rPr>
          <w:sz w:val="22"/>
        </w:rPr>
      </w:pPr>
    </w:p>
    <w:p w14:paraId="1D11C180" w14:textId="5F6D100C" w:rsidR="00FF4CDF" w:rsidRPr="00526F43" w:rsidRDefault="00F14DA4" w:rsidP="00681077">
      <w:pPr>
        <w:jc w:val="both"/>
        <w:rPr>
          <w:sz w:val="22"/>
        </w:rPr>
      </w:pPr>
      <w:r w:rsidRPr="00526F43">
        <w:rPr>
          <w:sz w:val="22"/>
        </w:rPr>
        <w:t xml:space="preserve">In </w:t>
      </w:r>
      <w:r w:rsidR="00AA6B72" w:rsidRPr="00526F43">
        <w:rPr>
          <w:sz w:val="22"/>
        </w:rPr>
        <w:t>avoiding</w:t>
      </w:r>
      <w:r w:rsidRPr="00526F43">
        <w:rPr>
          <w:sz w:val="22"/>
        </w:rPr>
        <w:t xml:space="preserve"> a proportionality </w:t>
      </w:r>
      <w:proofErr w:type="gramStart"/>
      <w:r w:rsidRPr="00526F43">
        <w:rPr>
          <w:sz w:val="22"/>
        </w:rPr>
        <w:t>assessment</w:t>
      </w:r>
      <w:proofErr w:type="gramEnd"/>
      <w:r w:rsidRPr="00526F43">
        <w:rPr>
          <w:sz w:val="22"/>
        </w:rPr>
        <w:t xml:space="preserve"> the Court </w:t>
      </w:r>
      <w:r w:rsidR="00AA6B72" w:rsidRPr="00526F43">
        <w:rPr>
          <w:sz w:val="22"/>
        </w:rPr>
        <w:t>declined</w:t>
      </w:r>
      <w:r w:rsidRPr="00526F43">
        <w:rPr>
          <w:sz w:val="22"/>
        </w:rPr>
        <w:t xml:space="preserve"> the opportunity to expand upon the Advocate General’s innovative and constructive suggestion that proportionality assessment</w:t>
      </w:r>
      <w:r w:rsidR="00AA6B72" w:rsidRPr="00526F43">
        <w:rPr>
          <w:sz w:val="22"/>
        </w:rPr>
        <w:t>s</w:t>
      </w:r>
      <w:r w:rsidRPr="00526F43">
        <w:rPr>
          <w:sz w:val="22"/>
        </w:rPr>
        <w:t xml:space="preserve"> should be informed by fundamental rights.</w:t>
      </w:r>
      <w:r w:rsidR="009566B1" w:rsidRPr="00526F43">
        <w:rPr>
          <w:rStyle w:val="FootnoteReference"/>
          <w:sz w:val="22"/>
        </w:rPr>
        <w:footnoteReference w:id="72"/>
      </w:r>
      <w:r w:rsidRPr="00526F43">
        <w:rPr>
          <w:sz w:val="22"/>
        </w:rPr>
        <w:t xml:space="preserve"> </w:t>
      </w:r>
      <w:r w:rsidR="00AA6B72" w:rsidRPr="00526F43">
        <w:rPr>
          <w:sz w:val="22"/>
        </w:rPr>
        <w:t>R</w:t>
      </w:r>
      <w:r w:rsidRPr="00526F43">
        <w:rPr>
          <w:sz w:val="22"/>
        </w:rPr>
        <w:t>ather than using the</w:t>
      </w:r>
      <w:r w:rsidR="00AA6B72" w:rsidRPr="00526F43">
        <w:rPr>
          <w:sz w:val="22"/>
        </w:rPr>
        <w:t xml:space="preserve"> Charter</w:t>
      </w:r>
      <w:r w:rsidRPr="00526F43">
        <w:rPr>
          <w:sz w:val="22"/>
        </w:rPr>
        <w:t xml:space="preserve"> as an interpretative prism for an established and general principle of Union law</w:t>
      </w:r>
      <w:r w:rsidR="004F4E21" w:rsidRPr="00526F43">
        <w:rPr>
          <w:sz w:val="22"/>
        </w:rPr>
        <w:t xml:space="preserve">, </w:t>
      </w:r>
      <w:r w:rsidRPr="00526F43">
        <w:rPr>
          <w:sz w:val="22"/>
        </w:rPr>
        <w:t xml:space="preserve">the Court relegates fundamental rights to a rather </w:t>
      </w:r>
      <w:r w:rsidR="00612DC2" w:rsidRPr="00526F43">
        <w:rPr>
          <w:sz w:val="22"/>
        </w:rPr>
        <w:t>weak,</w:t>
      </w:r>
      <w:r w:rsidRPr="00526F43">
        <w:rPr>
          <w:sz w:val="22"/>
        </w:rPr>
        <w:t xml:space="preserve"> sweeping-up function.   </w:t>
      </w:r>
      <w:r w:rsidR="003C20EC" w:rsidRPr="00526F43">
        <w:rPr>
          <w:sz w:val="22"/>
        </w:rPr>
        <w:t xml:space="preserve"> </w:t>
      </w:r>
    </w:p>
    <w:p w14:paraId="16B1403D" w14:textId="2CB489D6" w:rsidR="008170EF" w:rsidRPr="00526F43" w:rsidRDefault="008170EF" w:rsidP="00681077">
      <w:pPr>
        <w:jc w:val="both"/>
        <w:rPr>
          <w:sz w:val="22"/>
        </w:rPr>
      </w:pPr>
    </w:p>
    <w:p w14:paraId="2E71EF27" w14:textId="7D076658" w:rsidR="00D27F36" w:rsidRPr="00526F43" w:rsidRDefault="00D27F36" w:rsidP="00681077">
      <w:pPr>
        <w:jc w:val="both"/>
        <w:rPr>
          <w:sz w:val="22"/>
        </w:rPr>
      </w:pPr>
    </w:p>
    <w:p w14:paraId="64D80CE9" w14:textId="73CA5824" w:rsidR="003B6DA7" w:rsidRPr="00526F43" w:rsidRDefault="004F4E21" w:rsidP="00681077">
      <w:pPr>
        <w:jc w:val="both"/>
        <w:rPr>
          <w:i/>
          <w:iCs/>
          <w:sz w:val="22"/>
        </w:rPr>
      </w:pPr>
      <w:r w:rsidRPr="00526F43">
        <w:rPr>
          <w:i/>
          <w:iCs/>
          <w:sz w:val="22"/>
        </w:rPr>
        <w:t xml:space="preserve">The problematic reliance on the Charter </w:t>
      </w:r>
    </w:p>
    <w:p w14:paraId="34A4629A" w14:textId="21677BCC" w:rsidR="004F4E21" w:rsidRPr="00526F43" w:rsidRDefault="004F4E21" w:rsidP="00681077">
      <w:pPr>
        <w:jc w:val="both"/>
        <w:rPr>
          <w:i/>
          <w:iCs/>
          <w:sz w:val="22"/>
        </w:rPr>
      </w:pPr>
    </w:p>
    <w:p w14:paraId="2B613E1C" w14:textId="15143D92" w:rsidR="00CF6375" w:rsidRPr="00526F43" w:rsidRDefault="009566B1" w:rsidP="00681077">
      <w:pPr>
        <w:jc w:val="both"/>
        <w:rPr>
          <w:sz w:val="22"/>
        </w:rPr>
      </w:pPr>
      <w:r w:rsidRPr="00526F43">
        <w:rPr>
          <w:sz w:val="22"/>
        </w:rPr>
        <w:t>Having dismissed the possibility of a discrimination c</w:t>
      </w:r>
      <w:r w:rsidR="00AC7E43" w:rsidRPr="00526F43">
        <w:rPr>
          <w:sz w:val="22"/>
        </w:rPr>
        <w:t>laim</w:t>
      </w:r>
      <w:r w:rsidRPr="00526F43">
        <w:rPr>
          <w:sz w:val="22"/>
        </w:rPr>
        <w:t xml:space="preserve">, </w:t>
      </w:r>
      <w:r w:rsidR="00AC7E43" w:rsidRPr="00526F43">
        <w:rPr>
          <w:sz w:val="22"/>
        </w:rPr>
        <w:t xml:space="preserve">the Court </w:t>
      </w:r>
      <w:r w:rsidRPr="00526F43">
        <w:rPr>
          <w:sz w:val="22"/>
        </w:rPr>
        <w:t>acknowledged that the claimant comes within the scope of EU law thanks to Article 21 TFEU and EU citizenship, (but bizarrely, not by the same token, Article 18 TFEU</w:t>
      </w:r>
      <w:r w:rsidR="00AC7E43" w:rsidRPr="00526F43">
        <w:rPr>
          <w:sz w:val="22"/>
        </w:rPr>
        <w:t>), so that</w:t>
      </w:r>
      <w:r w:rsidRPr="00526F43">
        <w:rPr>
          <w:sz w:val="22"/>
        </w:rPr>
        <w:t xml:space="preserve"> in granting a right of domestic residence the UK was implementing EU law</w:t>
      </w:r>
      <w:r w:rsidR="00AC7E43" w:rsidRPr="00526F43">
        <w:rPr>
          <w:sz w:val="22"/>
        </w:rPr>
        <w:t xml:space="preserve">. It therefore </w:t>
      </w:r>
      <w:r w:rsidRPr="00526F43">
        <w:rPr>
          <w:sz w:val="22"/>
        </w:rPr>
        <w:t>had to do so in a way that complied with the Charter of Fundamental Rights of the EU</w:t>
      </w:r>
      <w:proofErr w:type="gramStart"/>
      <w:r w:rsidR="006D4E04" w:rsidRPr="00526F43">
        <w:rPr>
          <w:sz w:val="22"/>
        </w:rPr>
        <w:t>,</w:t>
      </w:r>
      <w:r w:rsidRPr="00526F43">
        <w:rPr>
          <w:sz w:val="22"/>
        </w:rPr>
        <w:t xml:space="preserve"> </w:t>
      </w:r>
      <w:r w:rsidR="006D4E04" w:rsidRPr="00526F43">
        <w:rPr>
          <w:sz w:val="22"/>
        </w:rPr>
        <w:t>i</w:t>
      </w:r>
      <w:r w:rsidR="00612DC2" w:rsidRPr="00526F43">
        <w:rPr>
          <w:sz w:val="22"/>
        </w:rPr>
        <w:t xml:space="preserve">n particular, </w:t>
      </w:r>
      <w:r w:rsidR="006D4E04" w:rsidRPr="00526F43">
        <w:rPr>
          <w:sz w:val="22"/>
        </w:rPr>
        <w:t>the</w:t>
      </w:r>
      <w:proofErr w:type="gramEnd"/>
      <w:r w:rsidR="00612DC2" w:rsidRPr="00526F43">
        <w:rPr>
          <w:sz w:val="22"/>
        </w:rPr>
        <w:t xml:space="preserve"> right to live in the host Member State in “dignified conditions” under Article 1 of the Charter. Moreover, in light of Article 7 on the right to private and family life, and Article 24, which provides </w:t>
      </w:r>
      <w:proofErr w:type="gramStart"/>
      <w:r w:rsidR="00612DC2" w:rsidRPr="00526F43">
        <w:rPr>
          <w:sz w:val="22"/>
        </w:rPr>
        <w:t>that public authorities</w:t>
      </w:r>
      <w:proofErr w:type="gramEnd"/>
      <w:r w:rsidR="00612DC2" w:rsidRPr="00526F43">
        <w:rPr>
          <w:sz w:val="22"/>
        </w:rPr>
        <w:t xml:space="preserve"> should make the best interests of the child a primary consideration in all actions relating to children, the host Member State “is required to permit children, who are particularly vulnerable, to stay in dignified conditions with the parent or parents responsible for them”. </w:t>
      </w:r>
      <w:r w:rsidR="00CF6375" w:rsidRPr="00526F43">
        <w:rPr>
          <w:sz w:val="22"/>
        </w:rPr>
        <w:t xml:space="preserve">In situations such as the instant case, the national authorities </w:t>
      </w:r>
      <w:r w:rsidR="000619F4" w:rsidRPr="00526F43">
        <w:rPr>
          <w:sz w:val="22"/>
        </w:rPr>
        <w:t xml:space="preserve">refusing social assistance must </w:t>
      </w:r>
      <w:r w:rsidR="000619F4" w:rsidRPr="00526F43">
        <w:rPr>
          <w:sz w:val="22"/>
        </w:rPr>
        <w:lastRenderedPageBreak/>
        <w:t xml:space="preserve">ascertain that such </w:t>
      </w:r>
      <w:r w:rsidR="00CF6375" w:rsidRPr="00526F43">
        <w:rPr>
          <w:sz w:val="22"/>
        </w:rPr>
        <w:t>refusal does not</w:t>
      </w:r>
      <w:r w:rsidR="000619F4" w:rsidRPr="00526F43">
        <w:rPr>
          <w:sz w:val="22"/>
        </w:rPr>
        <w:t xml:space="preserve"> put the claimants’ fundamental rights at risk</w:t>
      </w:r>
      <w:r w:rsidR="00CF6375" w:rsidRPr="00526F43">
        <w:rPr>
          <w:sz w:val="22"/>
        </w:rPr>
        <w:t xml:space="preserve"> </w:t>
      </w:r>
      <w:r w:rsidR="000619F4" w:rsidRPr="00526F43">
        <w:rPr>
          <w:sz w:val="22"/>
        </w:rPr>
        <w:t>“</w:t>
      </w:r>
      <w:r w:rsidR="00CF6375" w:rsidRPr="00526F43">
        <w:rPr>
          <w:sz w:val="22"/>
        </w:rPr>
        <w:t xml:space="preserve">as enshrined in Articles 1, 7 and 24 of the Charter”. However, in deciding </w:t>
      </w:r>
      <w:proofErr w:type="gramStart"/>
      <w:r w:rsidR="00CF6375" w:rsidRPr="00526F43">
        <w:rPr>
          <w:sz w:val="22"/>
        </w:rPr>
        <w:t>whether or not</w:t>
      </w:r>
      <w:proofErr w:type="gramEnd"/>
      <w:r w:rsidR="00CF6375" w:rsidRPr="00526F43">
        <w:rPr>
          <w:sz w:val="22"/>
        </w:rPr>
        <w:t xml:space="preserve"> there is such a risk, the authorities “may take into account all means of assistance provided for by national law, from which the citizen concerned and his or her children may actually and currently benefit”. </w:t>
      </w:r>
    </w:p>
    <w:p w14:paraId="7A0E7CC3" w14:textId="2C9B807B" w:rsidR="00CF6375" w:rsidRPr="00526F43" w:rsidRDefault="00CF6375" w:rsidP="00681077">
      <w:pPr>
        <w:jc w:val="both"/>
        <w:rPr>
          <w:sz w:val="22"/>
        </w:rPr>
      </w:pPr>
    </w:p>
    <w:p w14:paraId="10F6ACA8" w14:textId="2B820C5D" w:rsidR="00BA1B73" w:rsidRPr="00526F43" w:rsidRDefault="00AC7E43" w:rsidP="00681077">
      <w:pPr>
        <w:jc w:val="both"/>
        <w:rPr>
          <w:sz w:val="22"/>
        </w:rPr>
      </w:pPr>
      <w:r w:rsidRPr="00526F43">
        <w:rPr>
          <w:sz w:val="22"/>
        </w:rPr>
        <w:t>T</w:t>
      </w:r>
      <w:r w:rsidR="008C1432" w:rsidRPr="00526F43">
        <w:rPr>
          <w:sz w:val="22"/>
        </w:rPr>
        <w:t xml:space="preserve">he Charter </w:t>
      </w:r>
      <w:r w:rsidRPr="00526F43">
        <w:rPr>
          <w:sz w:val="22"/>
        </w:rPr>
        <w:t>thus helps with</w:t>
      </w:r>
      <w:r w:rsidR="008C1432" w:rsidRPr="00526F43">
        <w:rPr>
          <w:sz w:val="22"/>
        </w:rPr>
        <w:t xml:space="preserve"> extreme cases that would otherwise fall through the cracks of EU law protections</w:t>
      </w:r>
      <w:r w:rsidR="00B6064F" w:rsidRPr="00526F43">
        <w:rPr>
          <w:sz w:val="22"/>
        </w:rPr>
        <w:t xml:space="preserve">, and it is this novel lifeline which causes </w:t>
      </w:r>
      <w:proofErr w:type="spellStart"/>
      <w:r w:rsidR="00B6064F" w:rsidRPr="00526F43">
        <w:rPr>
          <w:sz w:val="22"/>
        </w:rPr>
        <w:t>Wollenschläger</w:t>
      </w:r>
      <w:proofErr w:type="spellEnd"/>
      <w:r w:rsidR="00B6064F" w:rsidRPr="00526F43">
        <w:rPr>
          <w:sz w:val="22"/>
        </w:rPr>
        <w:t xml:space="preserve"> to describe the </w:t>
      </w:r>
      <w:r w:rsidR="00B6064F" w:rsidRPr="00526F43">
        <w:rPr>
          <w:i/>
          <w:iCs/>
          <w:sz w:val="22"/>
        </w:rPr>
        <w:t xml:space="preserve">CG </w:t>
      </w:r>
      <w:r w:rsidR="00B6064F" w:rsidRPr="00526F43">
        <w:rPr>
          <w:sz w:val="22"/>
        </w:rPr>
        <w:t>judgment as “ambivalent”</w:t>
      </w:r>
      <w:r w:rsidR="008C1432" w:rsidRPr="00526F43">
        <w:rPr>
          <w:sz w:val="22"/>
        </w:rPr>
        <w:t>.</w:t>
      </w:r>
      <w:r w:rsidR="00B6064F" w:rsidRPr="00526F43">
        <w:rPr>
          <w:rStyle w:val="FootnoteReference"/>
          <w:sz w:val="22"/>
        </w:rPr>
        <w:footnoteReference w:id="73"/>
      </w:r>
      <w:r w:rsidR="008C1432" w:rsidRPr="00526F43">
        <w:rPr>
          <w:sz w:val="22"/>
        </w:rPr>
        <w:t xml:space="preserve"> But </w:t>
      </w:r>
      <w:r w:rsidR="00AB313D" w:rsidRPr="00526F43">
        <w:rPr>
          <w:sz w:val="22"/>
        </w:rPr>
        <w:t>it</w:t>
      </w:r>
      <w:r w:rsidR="008C1432" w:rsidRPr="00526F43">
        <w:rPr>
          <w:sz w:val="22"/>
        </w:rPr>
        <w:t xml:space="preserve"> is a curious approach – why were there no extant Charter obligations in </w:t>
      </w:r>
      <w:proofErr w:type="spellStart"/>
      <w:r w:rsidR="008C1432" w:rsidRPr="00526F43">
        <w:rPr>
          <w:i/>
          <w:iCs/>
          <w:sz w:val="22"/>
        </w:rPr>
        <w:t>Dano</w:t>
      </w:r>
      <w:proofErr w:type="spellEnd"/>
      <w:r w:rsidR="008C1432" w:rsidRPr="00526F43">
        <w:rPr>
          <w:sz w:val="22"/>
        </w:rPr>
        <w:t xml:space="preserve">, and why was the Charter not mentioned in </w:t>
      </w:r>
      <w:proofErr w:type="spellStart"/>
      <w:r w:rsidR="008C1432" w:rsidRPr="00526F43">
        <w:rPr>
          <w:i/>
          <w:iCs/>
          <w:sz w:val="22"/>
        </w:rPr>
        <w:t>Alimanovic</w:t>
      </w:r>
      <w:proofErr w:type="spellEnd"/>
      <w:r w:rsidR="008C1432" w:rsidRPr="00526F43">
        <w:rPr>
          <w:sz w:val="22"/>
        </w:rPr>
        <w:t xml:space="preserve">, or </w:t>
      </w:r>
      <w:r w:rsidR="008C1432" w:rsidRPr="00526F43">
        <w:rPr>
          <w:i/>
          <w:iCs/>
          <w:sz w:val="22"/>
        </w:rPr>
        <w:t>Commission v UK</w:t>
      </w:r>
      <w:r w:rsidR="008C1432" w:rsidRPr="00526F43">
        <w:rPr>
          <w:sz w:val="22"/>
        </w:rPr>
        <w:t xml:space="preserve">? </w:t>
      </w:r>
      <w:r w:rsidR="00C53291" w:rsidRPr="00526F43">
        <w:rPr>
          <w:sz w:val="22"/>
        </w:rPr>
        <w:t xml:space="preserve">The answer is, essentially, a finding that Member States in </w:t>
      </w:r>
      <w:proofErr w:type="spellStart"/>
      <w:r w:rsidR="00C53291" w:rsidRPr="00526F43">
        <w:rPr>
          <w:i/>
          <w:iCs/>
          <w:sz w:val="22"/>
        </w:rPr>
        <w:t>Dano</w:t>
      </w:r>
      <w:proofErr w:type="spellEnd"/>
      <w:r w:rsidR="00C53291" w:rsidRPr="00526F43">
        <w:rPr>
          <w:sz w:val="22"/>
        </w:rPr>
        <w:t xml:space="preserve"> were not implementing EU law, but that in </w:t>
      </w:r>
      <w:r w:rsidR="00C53291" w:rsidRPr="00526F43">
        <w:rPr>
          <w:i/>
          <w:iCs/>
          <w:sz w:val="22"/>
        </w:rPr>
        <w:t>CG</w:t>
      </w:r>
      <w:r w:rsidR="00C53291" w:rsidRPr="00526F43">
        <w:rPr>
          <w:sz w:val="22"/>
        </w:rPr>
        <w:t xml:space="preserve"> the UK was doing so, </w:t>
      </w:r>
      <w:r w:rsidR="00AB313D" w:rsidRPr="00526F43">
        <w:rPr>
          <w:sz w:val="22"/>
        </w:rPr>
        <w:t xml:space="preserve">in </w:t>
      </w:r>
      <w:r w:rsidR="00C53291" w:rsidRPr="00526F43">
        <w:rPr>
          <w:sz w:val="22"/>
        </w:rPr>
        <w:t xml:space="preserve">granting pre-settled status. </w:t>
      </w:r>
      <w:r w:rsidR="00AB313D" w:rsidRPr="00526F43">
        <w:rPr>
          <w:sz w:val="22"/>
        </w:rPr>
        <w:t>T</w:t>
      </w:r>
      <w:r w:rsidR="00C53291" w:rsidRPr="00526F43">
        <w:rPr>
          <w:sz w:val="22"/>
        </w:rPr>
        <w:t xml:space="preserve">he UK </w:t>
      </w:r>
      <w:r w:rsidR="00AB313D" w:rsidRPr="00526F43">
        <w:rPr>
          <w:sz w:val="22"/>
        </w:rPr>
        <w:t xml:space="preserve">had thereby </w:t>
      </w:r>
      <w:r w:rsidR="00C53291" w:rsidRPr="00526F43">
        <w:rPr>
          <w:sz w:val="22"/>
        </w:rPr>
        <w:t xml:space="preserve">recognised </w:t>
      </w:r>
      <w:r w:rsidR="00BA1B73" w:rsidRPr="00526F43">
        <w:rPr>
          <w:sz w:val="22"/>
        </w:rPr>
        <w:t xml:space="preserve">“the right of a national of a Member State to reside freely on its territory conferred on EU citizens by Article 21(1) TFEU, without relying on the conditions and limitations in respect of that right laid down by Directive 2004/38”. </w:t>
      </w:r>
    </w:p>
    <w:p w14:paraId="70655481" w14:textId="624A681E" w:rsidR="00BA1B73" w:rsidRPr="00526F43" w:rsidRDefault="00BA1B73" w:rsidP="00681077">
      <w:pPr>
        <w:jc w:val="both"/>
        <w:rPr>
          <w:sz w:val="22"/>
        </w:rPr>
      </w:pPr>
    </w:p>
    <w:p w14:paraId="03DED0C3" w14:textId="114ACCBF" w:rsidR="00DD17A6" w:rsidRPr="00526F43" w:rsidRDefault="00BA1B73" w:rsidP="00681077">
      <w:pPr>
        <w:jc w:val="both"/>
        <w:rPr>
          <w:sz w:val="22"/>
        </w:rPr>
      </w:pPr>
      <w:r w:rsidRPr="00526F43">
        <w:rPr>
          <w:sz w:val="22"/>
        </w:rPr>
        <w:t xml:space="preserve">But this distinction is </w:t>
      </w:r>
      <w:r w:rsidR="00DD17A6" w:rsidRPr="00526F43">
        <w:rPr>
          <w:sz w:val="22"/>
        </w:rPr>
        <w:t>laboured and not entirely logical.</w:t>
      </w:r>
      <w:r w:rsidR="00C53291" w:rsidRPr="00526F43">
        <w:rPr>
          <w:sz w:val="22"/>
        </w:rPr>
        <w:t xml:space="preserve"> </w:t>
      </w:r>
      <w:r w:rsidR="000C0538" w:rsidRPr="00526F43">
        <w:rPr>
          <w:sz w:val="22"/>
        </w:rPr>
        <w:t>Why does the recognition of</w:t>
      </w:r>
      <w:r w:rsidR="00DD17A6" w:rsidRPr="00526F43">
        <w:rPr>
          <w:sz w:val="22"/>
        </w:rPr>
        <w:t xml:space="preserve"> Article 21 </w:t>
      </w:r>
      <w:r w:rsidR="000C0538" w:rsidRPr="00526F43">
        <w:rPr>
          <w:sz w:val="22"/>
        </w:rPr>
        <w:t>hinge</w:t>
      </w:r>
      <w:r w:rsidR="00DD17A6" w:rsidRPr="00526F43">
        <w:rPr>
          <w:sz w:val="22"/>
        </w:rPr>
        <w:t xml:space="preserve"> on the existence of pre-settled status? </w:t>
      </w:r>
      <w:r w:rsidR="00C53291" w:rsidRPr="00526F43">
        <w:rPr>
          <w:sz w:val="22"/>
        </w:rPr>
        <w:t xml:space="preserve">Why are </w:t>
      </w:r>
      <w:r w:rsidRPr="00526F43">
        <w:rPr>
          <w:sz w:val="22"/>
        </w:rPr>
        <w:t xml:space="preserve">Member States </w:t>
      </w:r>
      <w:r w:rsidR="00DD17A6" w:rsidRPr="00526F43">
        <w:rPr>
          <w:sz w:val="22"/>
        </w:rPr>
        <w:t>that</w:t>
      </w:r>
      <w:r w:rsidRPr="00526F43">
        <w:rPr>
          <w:sz w:val="22"/>
        </w:rPr>
        <w:t xml:space="preserve"> permit EU migrants to reside in their territories without sufficient resources, without granting access to social assistance,</w:t>
      </w:r>
      <w:r w:rsidR="00C53291" w:rsidRPr="00526F43">
        <w:rPr>
          <w:rStyle w:val="FootnoteReference"/>
          <w:sz w:val="22"/>
        </w:rPr>
        <w:footnoteReference w:id="74"/>
      </w:r>
      <w:r w:rsidRPr="00526F43">
        <w:rPr>
          <w:sz w:val="22"/>
        </w:rPr>
        <w:t xml:space="preserve"> </w:t>
      </w:r>
      <w:r w:rsidR="00C53291" w:rsidRPr="00526F43">
        <w:rPr>
          <w:sz w:val="22"/>
        </w:rPr>
        <w:t xml:space="preserve">not also </w:t>
      </w:r>
      <w:r w:rsidRPr="00526F43">
        <w:rPr>
          <w:sz w:val="22"/>
        </w:rPr>
        <w:t xml:space="preserve">in effect recognising those migrants’ Article 21 TFEU rights? </w:t>
      </w:r>
      <w:r w:rsidR="00DD17A6" w:rsidRPr="00526F43">
        <w:rPr>
          <w:sz w:val="22"/>
        </w:rPr>
        <w:t>Or does the duty only extend to Member States who create constitutive, economically unconditional rights to reside – and if so, why? The question of when the duty kicks in</w:t>
      </w:r>
      <w:r w:rsidR="000C0538" w:rsidRPr="00526F43">
        <w:rPr>
          <w:sz w:val="22"/>
        </w:rPr>
        <w:t xml:space="preserve"> </w:t>
      </w:r>
      <w:r w:rsidR="00DD17A6" w:rsidRPr="00526F43">
        <w:rPr>
          <w:sz w:val="22"/>
        </w:rPr>
        <w:t xml:space="preserve">is further muddied by reference to “such a situation” of the claimant in </w:t>
      </w:r>
      <w:r w:rsidR="00DD17A6" w:rsidRPr="00526F43">
        <w:rPr>
          <w:i/>
          <w:iCs/>
          <w:sz w:val="22"/>
        </w:rPr>
        <w:t>CG</w:t>
      </w:r>
      <w:r w:rsidR="00DD17A6" w:rsidRPr="00526F43">
        <w:rPr>
          <w:sz w:val="22"/>
        </w:rPr>
        <w:t xml:space="preserve">. Can national authorities refuse </w:t>
      </w:r>
      <w:r w:rsidR="00195E30" w:rsidRPr="00526F43">
        <w:rPr>
          <w:sz w:val="22"/>
        </w:rPr>
        <w:t xml:space="preserve">benefits to EU nationals, even those with a right to reside, without considering fundamental rights, if there is no evidence of domestic abuse? Or if they are not similarly isolated? Or do not have young children? Or have some meagre resources? Should other vulnerabilities be </w:t>
      </w:r>
      <w:proofErr w:type="gramStart"/>
      <w:r w:rsidR="00195E30" w:rsidRPr="00526F43">
        <w:rPr>
          <w:sz w:val="22"/>
        </w:rPr>
        <w:t>taken into account</w:t>
      </w:r>
      <w:proofErr w:type="gramEnd"/>
      <w:r w:rsidR="00195E30" w:rsidRPr="00526F43">
        <w:rPr>
          <w:sz w:val="22"/>
        </w:rPr>
        <w:t xml:space="preserve"> – long term illnesses, or being disabled, for instance?  </w:t>
      </w:r>
    </w:p>
    <w:p w14:paraId="6C66FAE3" w14:textId="77777777" w:rsidR="00DD17A6" w:rsidRPr="00526F43" w:rsidRDefault="00DD17A6" w:rsidP="00681077">
      <w:pPr>
        <w:jc w:val="both"/>
        <w:rPr>
          <w:sz w:val="22"/>
        </w:rPr>
      </w:pPr>
    </w:p>
    <w:p w14:paraId="1F964D0C" w14:textId="7D9D856A" w:rsidR="00D519E5" w:rsidRPr="00526F43" w:rsidRDefault="00195E30" w:rsidP="00681077">
      <w:pPr>
        <w:jc w:val="both"/>
        <w:rPr>
          <w:sz w:val="22"/>
        </w:rPr>
      </w:pPr>
      <w:r w:rsidRPr="00526F43">
        <w:rPr>
          <w:sz w:val="22"/>
        </w:rPr>
        <w:t xml:space="preserve">It is not just the </w:t>
      </w:r>
      <w:r w:rsidRPr="00526F43">
        <w:rPr>
          <w:i/>
          <w:iCs/>
          <w:sz w:val="22"/>
        </w:rPr>
        <w:t>why</w:t>
      </w:r>
      <w:r w:rsidRPr="00526F43">
        <w:rPr>
          <w:sz w:val="22"/>
        </w:rPr>
        <w:t xml:space="preserve"> or </w:t>
      </w:r>
      <w:proofErr w:type="gramStart"/>
      <w:r w:rsidRPr="00526F43">
        <w:rPr>
          <w:sz w:val="22"/>
        </w:rPr>
        <w:t xml:space="preserve">the </w:t>
      </w:r>
      <w:r w:rsidRPr="00526F43">
        <w:rPr>
          <w:i/>
          <w:iCs/>
          <w:sz w:val="22"/>
        </w:rPr>
        <w:t>when</w:t>
      </w:r>
      <w:proofErr w:type="gramEnd"/>
      <w:r w:rsidRPr="00526F43">
        <w:rPr>
          <w:i/>
          <w:iCs/>
          <w:sz w:val="22"/>
        </w:rPr>
        <w:t xml:space="preserve"> </w:t>
      </w:r>
      <w:r w:rsidRPr="00526F43">
        <w:rPr>
          <w:sz w:val="22"/>
        </w:rPr>
        <w:t xml:space="preserve">of it that is not clear – but also the </w:t>
      </w:r>
      <w:r w:rsidRPr="00526F43">
        <w:rPr>
          <w:i/>
          <w:iCs/>
          <w:sz w:val="22"/>
        </w:rPr>
        <w:t>what</w:t>
      </w:r>
      <w:r w:rsidRPr="00526F43">
        <w:rPr>
          <w:sz w:val="22"/>
        </w:rPr>
        <w:t xml:space="preserve">. The rationale may simply be that this was </w:t>
      </w:r>
      <w:r w:rsidR="00DD17A6" w:rsidRPr="00526F43">
        <w:rPr>
          <w:sz w:val="22"/>
        </w:rPr>
        <w:t xml:space="preserve">the best </w:t>
      </w:r>
      <w:r w:rsidRPr="00526F43">
        <w:rPr>
          <w:sz w:val="22"/>
        </w:rPr>
        <w:t xml:space="preserve">way </w:t>
      </w:r>
      <w:r w:rsidR="00DD17A6" w:rsidRPr="00526F43">
        <w:rPr>
          <w:sz w:val="22"/>
        </w:rPr>
        <w:t xml:space="preserve">that the Court could conceive to </w:t>
      </w:r>
      <w:r w:rsidRPr="00526F43">
        <w:rPr>
          <w:sz w:val="22"/>
        </w:rPr>
        <w:t xml:space="preserve">give </w:t>
      </w:r>
      <w:r w:rsidR="00DD17A6" w:rsidRPr="00526F43">
        <w:rPr>
          <w:sz w:val="22"/>
        </w:rPr>
        <w:t xml:space="preserve">pre-settled status (or its equivalent) some legal effect. </w:t>
      </w:r>
      <w:r w:rsidR="00C53291" w:rsidRPr="00526F43">
        <w:rPr>
          <w:sz w:val="22"/>
        </w:rPr>
        <w:t>But then</w:t>
      </w:r>
      <w:r w:rsidR="00DD17A6" w:rsidRPr="00526F43">
        <w:rPr>
          <w:sz w:val="22"/>
        </w:rPr>
        <w:t xml:space="preserve"> why does discrimination not get another look-in via Article 21(2) CFR?</w:t>
      </w:r>
      <w:r w:rsidRPr="00526F43">
        <w:rPr>
          <w:sz w:val="22"/>
        </w:rPr>
        <w:t xml:space="preserve"> Within the confines of Articles 1, 7 and 24 CFR, it is not entirely clear </w:t>
      </w:r>
      <w:r w:rsidRPr="00526F43">
        <w:rPr>
          <w:i/>
          <w:iCs/>
          <w:sz w:val="22"/>
        </w:rPr>
        <w:t>what</w:t>
      </w:r>
      <w:r w:rsidRPr="00526F43">
        <w:rPr>
          <w:sz w:val="22"/>
        </w:rPr>
        <w:t xml:space="preserve"> would be considered an appropriate threshold for </w:t>
      </w:r>
      <w:r w:rsidR="00C53291" w:rsidRPr="00526F43">
        <w:rPr>
          <w:sz w:val="22"/>
        </w:rPr>
        <w:t xml:space="preserve">a </w:t>
      </w:r>
      <w:r w:rsidRPr="00526F43">
        <w:rPr>
          <w:sz w:val="22"/>
        </w:rPr>
        <w:t xml:space="preserve">Charter violation, and there is no guidance on this, beyond a suggestion that having ‘no resources’ is a contender. The reference to taking account of “all means of assistance provided for by national law” </w:t>
      </w:r>
      <w:r w:rsidR="00624C2D" w:rsidRPr="00526F43">
        <w:rPr>
          <w:sz w:val="22"/>
        </w:rPr>
        <w:t xml:space="preserve">suggests that Member States may avoid falling foul of the Charter by pointing to </w:t>
      </w:r>
      <w:proofErr w:type="gramStart"/>
      <w:r w:rsidR="00624C2D" w:rsidRPr="00526F43">
        <w:rPr>
          <w:sz w:val="22"/>
        </w:rPr>
        <w:t>last-resort</w:t>
      </w:r>
      <w:proofErr w:type="gramEnd"/>
      <w:r w:rsidR="00624C2D" w:rsidRPr="00526F43">
        <w:rPr>
          <w:sz w:val="22"/>
        </w:rPr>
        <w:t xml:space="preserve"> forms of support. </w:t>
      </w:r>
      <w:r w:rsidR="00D519E5" w:rsidRPr="00526F43">
        <w:rPr>
          <w:sz w:val="22"/>
        </w:rPr>
        <w:t xml:space="preserve">In the UK, for example, the Supreme Court found in </w:t>
      </w:r>
      <w:r w:rsidR="00D519E5" w:rsidRPr="00526F43">
        <w:rPr>
          <w:i/>
          <w:iCs/>
          <w:sz w:val="22"/>
        </w:rPr>
        <w:t>HC</w:t>
      </w:r>
      <w:bookmarkStart w:id="4" w:name="_Ref84335471"/>
      <w:r w:rsidR="00392EEF" w:rsidRPr="00526F43">
        <w:rPr>
          <w:rStyle w:val="FootnoteReference"/>
          <w:i/>
          <w:iCs/>
          <w:sz w:val="22"/>
        </w:rPr>
        <w:footnoteReference w:id="75"/>
      </w:r>
      <w:bookmarkEnd w:id="4"/>
      <w:r w:rsidR="00D519E5" w:rsidRPr="00526F43">
        <w:rPr>
          <w:i/>
          <w:iCs/>
          <w:sz w:val="22"/>
        </w:rPr>
        <w:t xml:space="preserve"> </w:t>
      </w:r>
      <w:r w:rsidR="00D519E5" w:rsidRPr="00526F43">
        <w:rPr>
          <w:sz w:val="22"/>
        </w:rPr>
        <w:t>(surprisingly without making a preliminary reference to the CJEU)</w:t>
      </w:r>
      <w:r w:rsidR="00C53291" w:rsidRPr="00526F43">
        <w:rPr>
          <w:rStyle w:val="FootnoteReference"/>
          <w:sz w:val="22"/>
        </w:rPr>
        <w:footnoteReference w:id="76"/>
      </w:r>
      <w:r w:rsidR="00D519E5" w:rsidRPr="00526F43">
        <w:rPr>
          <w:sz w:val="22"/>
        </w:rPr>
        <w:t xml:space="preserve"> that the only material support to which </w:t>
      </w:r>
      <w:r w:rsidR="00D519E5" w:rsidRPr="00526F43">
        <w:rPr>
          <w:i/>
          <w:iCs/>
          <w:sz w:val="22"/>
        </w:rPr>
        <w:t>Zambrano</w:t>
      </w:r>
      <w:r w:rsidR="00D519E5" w:rsidRPr="00526F43">
        <w:rPr>
          <w:sz w:val="22"/>
        </w:rPr>
        <w:t xml:space="preserve"> families were entitled, was whatever was </w:t>
      </w:r>
      <w:r w:rsidR="00C53291" w:rsidRPr="00526F43">
        <w:rPr>
          <w:sz w:val="22"/>
        </w:rPr>
        <w:t>necessary to avoid</w:t>
      </w:r>
      <w:r w:rsidR="00D519E5" w:rsidRPr="00526F43">
        <w:rPr>
          <w:sz w:val="22"/>
        </w:rPr>
        <w:t xml:space="preserve"> </w:t>
      </w:r>
      <w:r w:rsidR="00C53291" w:rsidRPr="00526F43">
        <w:rPr>
          <w:sz w:val="22"/>
        </w:rPr>
        <w:t xml:space="preserve">forcing the </w:t>
      </w:r>
      <w:r w:rsidR="00D519E5" w:rsidRPr="00526F43">
        <w:rPr>
          <w:sz w:val="22"/>
        </w:rPr>
        <w:t xml:space="preserve">children </w:t>
      </w:r>
      <w:r w:rsidR="00C53291" w:rsidRPr="00526F43">
        <w:rPr>
          <w:sz w:val="22"/>
        </w:rPr>
        <w:t>to leave the EU.</w:t>
      </w:r>
      <w:r w:rsidR="00D519E5" w:rsidRPr="00526F43">
        <w:rPr>
          <w:sz w:val="22"/>
        </w:rPr>
        <w:t xml:space="preserve"> And that duty, in </w:t>
      </w:r>
      <w:r w:rsidR="00D519E5" w:rsidRPr="00526F43">
        <w:rPr>
          <w:i/>
          <w:iCs/>
          <w:sz w:val="22"/>
        </w:rPr>
        <w:t>HC</w:t>
      </w:r>
      <w:r w:rsidR="00D519E5" w:rsidRPr="00526F43">
        <w:rPr>
          <w:sz w:val="22"/>
        </w:rPr>
        <w:t xml:space="preserve">, was discharged just through the existence (in theory) of support under </w:t>
      </w:r>
      <w:r w:rsidR="0027534C" w:rsidRPr="00526F43">
        <w:rPr>
          <w:sz w:val="22"/>
        </w:rPr>
        <w:t>s</w:t>
      </w:r>
      <w:r w:rsidR="00D519E5" w:rsidRPr="00526F43">
        <w:rPr>
          <w:sz w:val="22"/>
        </w:rPr>
        <w:t xml:space="preserve">ection 17 of the Children Act. This is a back-stop form of support, </w:t>
      </w:r>
      <w:proofErr w:type="gramStart"/>
      <w:r w:rsidR="00D519E5" w:rsidRPr="00526F43">
        <w:rPr>
          <w:sz w:val="22"/>
        </w:rPr>
        <w:t>that in reality, many</w:t>
      </w:r>
      <w:proofErr w:type="gramEnd"/>
      <w:r w:rsidR="00D519E5" w:rsidRPr="00526F43">
        <w:rPr>
          <w:sz w:val="22"/>
        </w:rPr>
        <w:t xml:space="preserve"> struggle to access,</w:t>
      </w:r>
      <w:r w:rsidR="00A45701" w:rsidRPr="00526F43">
        <w:rPr>
          <w:rStyle w:val="FootnoteReference"/>
          <w:sz w:val="22"/>
        </w:rPr>
        <w:footnoteReference w:id="77"/>
      </w:r>
      <w:r w:rsidR="00D519E5" w:rsidRPr="00526F43">
        <w:rPr>
          <w:sz w:val="22"/>
        </w:rPr>
        <w:t xml:space="preserve"> and those who do get it are often awarded </w:t>
      </w:r>
      <w:r w:rsidR="00C53291" w:rsidRPr="00526F43">
        <w:rPr>
          <w:sz w:val="22"/>
        </w:rPr>
        <w:t>derisory</w:t>
      </w:r>
      <w:r w:rsidR="00D519E5" w:rsidRPr="00526F43">
        <w:rPr>
          <w:sz w:val="22"/>
        </w:rPr>
        <w:t xml:space="preserve"> sums. A COMPAS report on local authority provision of section 17 support, found that one local authority provided payments that for a family with two adults and two children “would amount to little over £1 per person per day”. In “</w:t>
      </w:r>
      <w:r w:rsidR="00D519E5" w:rsidRPr="00526F43">
        <w:rPr>
          <w:i/>
          <w:iCs/>
          <w:sz w:val="22"/>
        </w:rPr>
        <w:t>all cases</w:t>
      </w:r>
      <w:r w:rsidR="00D519E5" w:rsidRPr="00526F43">
        <w:rPr>
          <w:sz w:val="22"/>
        </w:rPr>
        <w:t xml:space="preserve">” payments were “well below </w:t>
      </w:r>
      <w:r w:rsidR="00D519E5" w:rsidRPr="00526F43">
        <w:rPr>
          <w:sz w:val="22"/>
        </w:rPr>
        <w:lastRenderedPageBreak/>
        <w:t>welfare benefit rates, below Home Office s95 support for destitute asylum seekers, “and even marginally below Home Office s4 ‘hard case’ support rates”.</w:t>
      </w:r>
      <w:r w:rsidR="00D519E5" w:rsidRPr="00526F43">
        <w:rPr>
          <w:rStyle w:val="FootnoteReference"/>
          <w:sz w:val="22"/>
        </w:rPr>
        <w:footnoteReference w:id="78"/>
      </w:r>
      <w:r w:rsidR="00D519E5" w:rsidRPr="00526F43">
        <w:rPr>
          <w:sz w:val="22"/>
        </w:rPr>
        <w:t xml:space="preserve"> </w:t>
      </w:r>
      <w:r w:rsidR="006F6FB5" w:rsidRPr="00526F43">
        <w:rPr>
          <w:sz w:val="22"/>
        </w:rPr>
        <w:t>Subjecting claimants to a</w:t>
      </w:r>
      <w:r w:rsidR="00A45701" w:rsidRPr="00526F43">
        <w:rPr>
          <w:sz w:val="22"/>
        </w:rPr>
        <w:t xml:space="preserve"> discretionary system is itself inferior treatment compared to </w:t>
      </w:r>
      <w:r w:rsidR="006F6FB5" w:rsidRPr="00526F43">
        <w:rPr>
          <w:sz w:val="22"/>
        </w:rPr>
        <w:t>recognising</w:t>
      </w:r>
      <w:r w:rsidR="00A45701" w:rsidRPr="00526F43">
        <w:rPr>
          <w:sz w:val="22"/>
        </w:rPr>
        <w:t xml:space="preserve"> a right to </w:t>
      </w:r>
      <w:proofErr w:type="gramStart"/>
      <w:r w:rsidR="00A45701" w:rsidRPr="00526F43">
        <w:rPr>
          <w:sz w:val="22"/>
        </w:rPr>
        <w:t>benefits, but</w:t>
      </w:r>
      <w:proofErr w:type="gramEnd"/>
      <w:r w:rsidR="00A45701" w:rsidRPr="00526F43">
        <w:rPr>
          <w:sz w:val="22"/>
        </w:rPr>
        <w:t xml:space="preserve"> </w:t>
      </w:r>
      <w:r w:rsidR="006F6FB5" w:rsidRPr="00526F43">
        <w:rPr>
          <w:sz w:val="22"/>
        </w:rPr>
        <w:t>subjecting them</w:t>
      </w:r>
      <w:r w:rsidR="00A45701" w:rsidRPr="00526F43">
        <w:rPr>
          <w:sz w:val="22"/>
        </w:rPr>
        <w:t xml:space="preserve"> </w:t>
      </w:r>
      <w:r w:rsidR="006F6FB5" w:rsidRPr="00526F43">
        <w:rPr>
          <w:sz w:val="22"/>
        </w:rPr>
        <w:t xml:space="preserve">to </w:t>
      </w:r>
      <w:r w:rsidR="00A45701" w:rsidRPr="00526F43">
        <w:rPr>
          <w:sz w:val="22"/>
        </w:rPr>
        <w:t xml:space="preserve">a discretionary system that disburses such </w:t>
      </w:r>
      <w:r w:rsidR="00C53291" w:rsidRPr="00526F43">
        <w:rPr>
          <w:sz w:val="22"/>
        </w:rPr>
        <w:t xml:space="preserve">low </w:t>
      </w:r>
      <w:r w:rsidR="00A45701" w:rsidRPr="00526F43">
        <w:rPr>
          <w:sz w:val="22"/>
        </w:rPr>
        <w:t xml:space="preserve">sums </w:t>
      </w:r>
      <w:r w:rsidR="006F6FB5" w:rsidRPr="00526F43">
        <w:rPr>
          <w:sz w:val="22"/>
        </w:rPr>
        <w:t xml:space="preserve">relegates </w:t>
      </w:r>
      <w:r w:rsidR="000C0538" w:rsidRPr="00526F43">
        <w:rPr>
          <w:sz w:val="22"/>
        </w:rPr>
        <w:t>claimants</w:t>
      </w:r>
      <w:r w:rsidR="006F6FB5" w:rsidRPr="00526F43">
        <w:rPr>
          <w:sz w:val="22"/>
        </w:rPr>
        <w:t xml:space="preserve"> </w:t>
      </w:r>
      <w:r w:rsidR="00A45701" w:rsidRPr="00526F43">
        <w:rPr>
          <w:sz w:val="22"/>
        </w:rPr>
        <w:t xml:space="preserve">to a distinct underclass. </w:t>
      </w:r>
    </w:p>
    <w:p w14:paraId="728D4207" w14:textId="64167ADB" w:rsidR="008C1432" w:rsidRPr="00526F43" w:rsidRDefault="008C1432" w:rsidP="00681077">
      <w:pPr>
        <w:jc w:val="both"/>
        <w:rPr>
          <w:sz w:val="22"/>
        </w:rPr>
      </w:pPr>
    </w:p>
    <w:p w14:paraId="40CFABB3" w14:textId="4EF93DCF" w:rsidR="00CF6375" w:rsidRPr="00526F43" w:rsidRDefault="006F6FB5" w:rsidP="00681077">
      <w:pPr>
        <w:jc w:val="both"/>
        <w:rPr>
          <w:sz w:val="22"/>
        </w:rPr>
      </w:pPr>
      <w:r w:rsidRPr="00526F43">
        <w:rPr>
          <w:sz w:val="22"/>
        </w:rPr>
        <w:t>A</w:t>
      </w:r>
      <w:r w:rsidR="00C53291" w:rsidRPr="00526F43">
        <w:rPr>
          <w:sz w:val="22"/>
        </w:rPr>
        <w:t>nd we still do not know</w:t>
      </w:r>
      <w:r w:rsidRPr="00526F43">
        <w:rPr>
          <w:sz w:val="22"/>
        </w:rPr>
        <w:t xml:space="preserve"> </w:t>
      </w:r>
      <w:r w:rsidRPr="00526F43">
        <w:rPr>
          <w:i/>
          <w:iCs/>
          <w:sz w:val="22"/>
        </w:rPr>
        <w:t>how</w:t>
      </w:r>
      <w:r w:rsidRPr="00526F43">
        <w:rPr>
          <w:sz w:val="22"/>
        </w:rPr>
        <w:t xml:space="preserve"> claimants</w:t>
      </w:r>
      <w:r w:rsidR="00C53291" w:rsidRPr="00526F43">
        <w:rPr>
          <w:sz w:val="22"/>
        </w:rPr>
        <w:t xml:space="preserve"> should</w:t>
      </w:r>
      <w:r w:rsidRPr="00526F43">
        <w:rPr>
          <w:sz w:val="22"/>
        </w:rPr>
        <w:t xml:space="preserve"> seek to rely upon </w:t>
      </w:r>
      <w:r w:rsidR="00C53291" w:rsidRPr="00526F43">
        <w:rPr>
          <w:sz w:val="22"/>
        </w:rPr>
        <w:t>t</w:t>
      </w:r>
      <w:r w:rsidRPr="00526F43">
        <w:rPr>
          <w:sz w:val="22"/>
        </w:rPr>
        <w:t>he Charter in this way when challenging domestic</w:t>
      </w:r>
      <w:r w:rsidR="0027534C" w:rsidRPr="00526F43">
        <w:rPr>
          <w:sz w:val="22"/>
        </w:rPr>
        <w:t xml:space="preserve"> decisions</w:t>
      </w:r>
      <w:r w:rsidRPr="00526F43">
        <w:rPr>
          <w:sz w:val="22"/>
        </w:rPr>
        <w:t>, given that the Charter does not exactly have autonomous force – it cannot create new rights or obligations that do not otherwise already exist</w:t>
      </w:r>
      <w:r w:rsidR="00C53291" w:rsidRPr="00526F43">
        <w:rPr>
          <w:sz w:val="22"/>
        </w:rPr>
        <w:t>.</w:t>
      </w:r>
      <w:r w:rsidR="0027534C" w:rsidRPr="00526F43">
        <w:rPr>
          <w:rStyle w:val="FootnoteReference"/>
          <w:sz w:val="22"/>
        </w:rPr>
        <w:footnoteReference w:id="79"/>
      </w:r>
      <w:r w:rsidRPr="00526F43">
        <w:rPr>
          <w:sz w:val="22"/>
        </w:rPr>
        <w:t xml:space="preserve"> </w:t>
      </w:r>
      <w:r w:rsidR="0027534C" w:rsidRPr="00526F43">
        <w:rPr>
          <w:sz w:val="22"/>
        </w:rPr>
        <w:t>Many c</w:t>
      </w:r>
      <w:r w:rsidRPr="00526F43">
        <w:rPr>
          <w:sz w:val="22"/>
        </w:rPr>
        <w:t xml:space="preserve">laimants </w:t>
      </w:r>
      <w:r w:rsidR="0027534C" w:rsidRPr="00526F43">
        <w:rPr>
          <w:sz w:val="22"/>
        </w:rPr>
        <w:t xml:space="preserve">will face a brick wall if they </w:t>
      </w:r>
      <w:r w:rsidRPr="00526F43">
        <w:rPr>
          <w:sz w:val="22"/>
        </w:rPr>
        <w:t xml:space="preserve">try to invoke </w:t>
      </w:r>
      <w:r w:rsidR="00D024BB" w:rsidRPr="00526F43">
        <w:rPr>
          <w:sz w:val="22"/>
        </w:rPr>
        <w:t>the Charter</w:t>
      </w:r>
      <w:r w:rsidRPr="00526F43">
        <w:rPr>
          <w:sz w:val="22"/>
        </w:rPr>
        <w:t xml:space="preserve"> when dealing with front-line decision makers, or first tier tribunals. </w:t>
      </w:r>
      <w:r w:rsidR="00C53291" w:rsidRPr="00526F43">
        <w:rPr>
          <w:sz w:val="22"/>
        </w:rPr>
        <w:t xml:space="preserve">And </w:t>
      </w:r>
      <w:r w:rsidR="00D024BB" w:rsidRPr="00526F43">
        <w:rPr>
          <w:sz w:val="22"/>
        </w:rPr>
        <w:t>th</w:t>
      </w:r>
      <w:r w:rsidR="0027534C" w:rsidRPr="00526F43">
        <w:rPr>
          <w:sz w:val="22"/>
        </w:rPr>
        <w:t>e</w:t>
      </w:r>
      <w:r w:rsidR="00D024BB" w:rsidRPr="00526F43">
        <w:rPr>
          <w:sz w:val="22"/>
        </w:rPr>
        <w:t xml:space="preserve"> duty may seem even weaker in a UK context for three key reasons. First, the UK has been a prominent Charter-sceptic, insisting, with Poland, on </w:t>
      </w:r>
      <w:r w:rsidR="00A903A8" w:rsidRPr="00526F43">
        <w:rPr>
          <w:sz w:val="22"/>
        </w:rPr>
        <w:t>adding</w:t>
      </w:r>
      <w:r w:rsidR="00D024BB" w:rsidRPr="00526F43">
        <w:rPr>
          <w:sz w:val="22"/>
        </w:rPr>
        <w:t xml:space="preserve"> Protocol 30</w:t>
      </w:r>
      <w:r w:rsidR="00A903A8" w:rsidRPr="00526F43">
        <w:rPr>
          <w:sz w:val="22"/>
        </w:rPr>
        <w:t xml:space="preserve"> to the TFEU</w:t>
      </w:r>
      <w:r w:rsidR="00D024BB" w:rsidRPr="00526F43">
        <w:rPr>
          <w:sz w:val="22"/>
        </w:rPr>
        <w:t>,</w:t>
      </w:r>
      <w:r w:rsidR="00A903A8" w:rsidRPr="00526F43">
        <w:rPr>
          <w:rStyle w:val="FootnoteReference"/>
          <w:sz w:val="22"/>
        </w:rPr>
        <w:footnoteReference w:id="80"/>
      </w:r>
      <w:r w:rsidR="00D024BB" w:rsidRPr="00526F43">
        <w:rPr>
          <w:sz w:val="22"/>
        </w:rPr>
        <w:t xml:space="preserve"> confirming that nothing in the Charter extends the rights of judges to find “laws, regulations or administrative provisions, practices or actions” of the UK inconsistent with fundamental rights. Second, UK Courts are fundamental rights-sceptics; the UK Supreme Court only recently found that the duty to make the best interests of the child a primary consideration, under the U</w:t>
      </w:r>
      <w:r w:rsidR="00A2373D" w:rsidRPr="00526F43">
        <w:rPr>
          <w:sz w:val="22"/>
        </w:rPr>
        <w:t xml:space="preserve">nited </w:t>
      </w:r>
      <w:r w:rsidR="00D024BB" w:rsidRPr="00526F43">
        <w:rPr>
          <w:sz w:val="22"/>
        </w:rPr>
        <w:t>N</w:t>
      </w:r>
      <w:r w:rsidR="00A2373D" w:rsidRPr="00526F43">
        <w:rPr>
          <w:sz w:val="22"/>
        </w:rPr>
        <w:t>ations</w:t>
      </w:r>
      <w:r w:rsidR="00D024BB" w:rsidRPr="00526F43">
        <w:rPr>
          <w:sz w:val="22"/>
        </w:rPr>
        <w:t xml:space="preserve"> Convention on the Rights of the Child,</w:t>
      </w:r>
      <w:r w:rsidR="00A2373D" w:rsidRPr="00526F43">
        <w:rPr>
          <w:rStyle w:val="FootnoteReference"/>
          <w:sz w:val="22"/>
        </w:rPr>
        <w:footnoteReference w:id="81"/>
      </w:r>
      <w:r w:rsidR="00D024BB" w:rsidRPr="00526F43">
        <w:rPr>
          <w:sz w:val="22"/>
        </w:rPr>
        <w:t xml:space="preserve"> could not affect the legitimacy of a UK law, because the CRPD is an unincorporated treaty.</w:t>
      </w:r>
      <w:r w:rsidR="00C53291" w:rsidRPr="00526F43">
        <w:rPr>
          <w:rStyle w:val="FootnoteReference"/>
          <w:sz w:val="22"/>
        </w:rPr>
        <w:footnoteReference w:id="82"/>
      </w:r>
      <w:r w:rsidR="00D024BB" w:rsidRPr="00526F43">
        <w:rPr>
          <w:sz w:val="22"/>
        </w:rPr>
        <w:t xml:space="preserve"> It seems unlikely to say the least, that UK Courts will give more weight to the best interests of EU national children, as a result of the Charter, than it is willing to give own-national children. And third, the UK parliament</w:t>
      </w:r>
      <w:r w:rsidR="0027534C" w:rsidRPr="00526F43">
        <w:rPr>
          <w:sz w:val="22"/>
        </w:rPr>
        <w:t xml:space="preserve"> </w:t>
      </w:r>
      <w:r w:rsidR="00D024BB" w:rsidRPr="00526F43">
        <w:rPr>
          <w:sz w:val="22"/>
        </w:rPr>
        <w:t>opted not to include the Charter in retained EU law.</w:t>
      </w:r>
      <w:r w:rsidR="004B0A2D" w:rsidRPr="00526F43">
        <w:rPr>
          <w:rStyle w:val="FootnoteReference"/>
          <w:sz w:val="22"/>
        </w:rPr>
        <w:footnoteReference w:id="83"/>
      </w:r>
      <w:r w:rsidR="00D024BB" w:rsidRPr="00526F43">
        <w:rPr>
          <w:sz w:val="22"/>
        </w:rPr>
        <w:t xml:space="preserve"> </w:t>
      </w:r>
      <w:r w:rsidR="0027534C" w:rsidRPr="00526F43">
        <w:rPr>
          <w:sz w:val="22"/>
        </w:rPr>
        <w:t>While the relevant legislation for p</w:t>
      </w:r>
      <w:r w:rsidR="00B6652C" w:rsidRPr="00526F43">
        <w:rPr>
          <w:sz w:val="22"/>
        </w:rPr>
        <w:t xml:space="preserve">eople with pre-settled status </w:t>
      </w:r>
      <w:r w:rsidR="0027534C" w:rsidRPr="00526F43">
        <w:rPr>
          <w:sz w:val="22"/>
        </w:rPr>
        <w:t xml:space="preserve">is more likely </w:t>
      </w:r>
      <w:r w:rsidR="00B6652C" w:rsidRPr="00526F43">
        <w:rPr>
          <w:sz w:val="22"/>
        </w:rPr>
        <w:t>the Withdrawal Agreement</w:t>
      </w:r>
      <w:r w:rsidR="0027534C" w:rsidRPr="00526F43">
        <w:rPr>
          <w:sz w:val="22"/>
        </w:rPr>
        <w:t xml:space="preserve"> than the body of retained EU law,</w:t>
      </w:r>
      <w:r w:rsidR="00B6652C" w:rsidRPr="00526F43">
        <w:rPr>
          <w:sz w:val="22"/>
        </w:rPr>
        <w:t xml:space="preserve"> it is hard to see how th</w:t>
      </w:r>
      <w:r w:rsidR="0027534C" w:rsidRPr="00526F43">
        <w:rPr>
          <w:sz w:val="22"/>
        </w:rPr>
        <w:t>is</w:t>
      </w:r>
      <w:r w:rsidR="00B6652C" w:rsidRPr="00526F43">
        <w:rPr>
          <w:sz w:val="22"/>
        </w:rPr>
        <w:t xml:space="preserve"> exclusion would not diminish the salience of the Charter elsewhere in the minds of decision makers and judges. In short, the Court made an eccentric choice of safety net if it genuinely wishes to protect the rights of EU nationals in the UK. </w:t>
      </w:r>
      <w:r w:rsidR="00F9527B" w:rsidRPr="00526F43">
        <w:rPr>
          <w:sz w:val="22"/>
        </w:rPr>
        <w:t xml:space="preserve">The combination of disregarding primary law and earlier citizenship case law, along with a potentially narrow application of the Charter, all suggests that the Court wanted </w:t>
      </w:r>
      <w:r w:rsidR="00F9527B" w:rsidRPr="00526F43">
        <w:rPr>
          <w:i/>
          <w:iCs/>
          <w:sz w:val="22"/>
        </w:rPr>
        <w:t>this</w:t>
      </w:r>
      <w:r w:rsidR="00F9527B" w:rsidRPr="00526F43">
        <w:rPr>
          <w:sz w:val="22"/>
        </w:rPr>
        <w:t xml:space="preserve"> claimant to be helped (after all, the explanation for expedition indicates the Court’s position that there was a risk to her fundamental rights),</w:t>
      </w:r>
      <w:r w:rsidR="00F56CE3">
        <w:rPr>
          <w:rStyle w:val="FootnoteReference"/>
          <w:sz w:val="22"/>
        </w:rPr>
        <w:footnoteReference w:id="84"/>
      </w:r>
      <w:r w:rsidR="00F9527B" w:rsidRPr="00526F43">
        <w:rPr>
          <w:sz w:val="22"/>
        </w:rPr>
        <w:t xml:space="preserve"> but not many others. Which is not a decision of legal principle, but rather a discretionary, political choice. </w:t>
      </w:r>
      <w:r w:rsidR="00B6652C" w:rsidRPr="00526F43">
        <w:rPr>
          <w:sz w:val="22"/>
        </w:rPr>
        <w:t xml:space="preserve">    </w:t>
      </w:r>
    </w:p>
    <w:p w14:paraId="54E7ECB4" w14:textId="1BBEA3D0" w:rsidR="00D27F36" w:rsidRPr="00526F43" w:rsidRDefault="00D27F36" w:rsidP="00681077">
      <w:pPr>
        <w:jc w:val="both"/>
        <w:rPr>
          <w:i/>
          <w:iCs/>
          <w:sz w:val="22"/>
        </w:rPr>
      </w:pPr>
    </w:p>
    <w:p w14:paraId="5B5E6325" w14:textId="7801A88D" w:rsidR="00D27F36" w:rsidRPr="00526F43" w:rsidRDefault="00D27F36" w:rsidP="00681077">
      <w:pPr>
        <w:jc w:val="both"/>
        <w:rPr>
          <w:i/>
          <w:iCs/>
          <w:sz w:val="22"/>
        </w:rPr>
      </w:pPr>
      <w:r w:rsidRPr="00526F43">
        <w:rPr>
          <w:i/>
          <w:iCs/>
          <w:sz w:val="22"/>
        </w:rPr>
        <w:t>Applying the judgment</w:t>
      </w:r>
    </w:p>
    <w:p w14:paraId="72AC11D2" w14:textId="118F40FC" w:rsidR="00D27F36" w:rsidRPr="00526F43" w:rsidRDefault="00D27F36" w:rsidP="00681077">
      <w:pPr>
        <w:jc w:val="both"/>
        <w:rPr>
          <w:sz w:val="22"/>
        </w:rPr>
      </w:pPr>
    </w:p>
    <w:p w14:paraId="3FBCBC45" w14:textId="29CCDE32" w:rsidR="008566CD" w:rsidRPr="00526F43" w:rsidRDefault="008566CD" w:rsidP="00681077">
      <w:pPr>
        <w:jc w:val="both"/>
        <w:rPr>
          <w:sz w:val="22"/>
        </w:rPr>
      </w:pPr>
      <w:r w:rsidRPr="00526F43">
        <w:rPr>
          <w:sz w:val="22"/>
        </w:rPr>
        <w:t>For many EU nationals</w:t>
      </w:r>
      <w:r w:rsidR="000619F4" w:rsidRPr="00526F43">
        <w:rPr>
          <w:sz w:val="22"/>
        </w:rPr>
        <w:t>,</w:t>
      </w:r>
      <w:r w:rsidRPr="00526F43">
        <w:rPr>
          <w:sz w:val="22"/>
        </w:rPr>
        <w:t xml:space="preserve"> their family members, and advice workers, the pressing </w:t>
      </w:r>
      <w:r w:rsidR="00F829A0" w:rsidRPr="00526F43">
        <w:rPr>
          <w:sz w:val="22"/>
        </w:rPr>
        <w:t xml:space="preserve">three </w:t>
      </w:r>
      <w:r w:rsidRPr="00526F43">
        <w:rPr>
          <w:sz w:val="22"/>
        </w:rPr>
        <w:t>question</w:t>
      </w:r>
      <w:r w:rsidR="00F829A0" w:rsidRPr="00526F43">
        <w:rPr>
          <w:sz w:val="22"/>
        </w:rPr>
        <w:t xml:space="preserve">s are </w:t>
      </w:r>
      <w:r w:rsidR="00C53291" w:rsidRPr="00526F43">
        <w:rPr>
          <w:sz w:val="22"/>
        </w:rPr>
        <w:t>“</w:t>
      </w:r>
      <w:r w:rsidRPr="00526F43">
        <w:rPr>
          <w:sz w:val="22"/>
        </w:rPr>
        <w:t xml:space="preserve">what does this mean for </w:t>
      </w:r>
      <w:r w:rsidR="00F829A0" w:rsidRPr="00526F43">
        <w:rPr>
          <w:sz w:val="22"/>
        </w:rPr>
        <w:t>(</w:t>
      </w:r>
      <w:proofErr w:type="spellStart"/>
      <w:r w:rsidR="00F829A0" w:rsidRPr="00526F43">
        <w:rPr>
          <w:sz w:val="22"/>
        </w:rPr>
        <w:t>i</w:t>
      </w:r>
      <w:proofErr w:type="spellEnd"/>
      <w:r w:rsidR="00F829A0" w:rsidRPr="00526F43">
        <w:rPr>
          <w:sz w:val="22"/>
        </w:rPr>
        <w:t xml:space="preserve">) </w:t>
      </w:r>
      <w:proofErr w:type="spellStart"/>
      <w:r w:rsidR="00F829A0" w:rsidRPr="00526F43">
        <w:rPr>
          <w:i/>
          <w:iCs/>
          <w:sz w:val="22"/>
        </w:rPr>
        <w:t>Fratila</w:t>
      </w:r>
      <w:proofErr w:type="spellEnd"/>
      <w:r w:rsidR="00F829A0" w:rsidRPr="00526F43">
        <w:rPr>
          <w:i/>
          <w:iCs/>
          <w:sz w:val="22"/>
        </w:rPr>
        <w:t>;</w:t>
      </w:r>
      <w:r w:rsidR="00F829A0" w:rsidRPr="00526F43">
        <w:rPr>
          <w:sz w:val="22"/>
        </w:rPr>
        <w:t xml:space="preserve"> (ii) other pre-2021 cases; (iii) post-transition c</w:t>
      </w:r>
      <w:r w:rsidRPr="00526F43">
        <w:rPr>
          <w:sz w:val="22"/>
        </w:rPr>
        <w:t>ases?</w:t>
      </w:r>
      <w:r w:rsidR="00C53291" w:rsidRPr="00526F43">
        <w:rPr>
          <w:sz w:val="22"/>
        </w:rPr>
        <w:t>”</w:t>
      </w:r>
      <w:r w:rsidRPr="00526F43">
        <w:rPr>
          <w:sz w:val="22"/>
        </w:rPr>
        <w:t xml:space="preserve"> </w:t>
      </w:r>
      <w:r w:rsidR="00D450D5" w:rsidRPr="00526F43">
        <w:rPr>
          <w:sz w:val="22"/>
        </w:rPr>
        <w:t>But interpreting and applying this ruling is not straightforward</w:t>
      </w:r>
      <w:r w:rsidR="00F829A0" w:rsidRPr="00526F43">
        <w:rPr>
          <w:sz w:val="22"/>
        </w:rPr>
        <w:t xml:space="preserve">. First, as regards </w:t>
      </w:r>
      <w:proofErr w:type="spellStart"/>
      <w:r w:rsidR="00F829A0" w:rsidRPr="00526F43">
        <w:rPr>
          <w:i/>
          <w:iCs/>
          <w:sz w:val="22"/>
        </w:rPr>
        <w:t>Fratila</w:t>
      </w:r>
      <w:proofErr w:type="spellEnd"/>
      <w:r w:rsidR="00F829A0" w:rsidRPr="00526F43">
        <w:rPr>
          <w:sz w:val="22"/>
        </w:rPr>
        <w:t>, we face the effects of an awkward relationship between domestic litigation and CJEU preliminary references. I</w:t>
      </w:r>
      <w:r w:rsidRPr="00526F43">
        <w:rPr>
          <w:sz w:val="22"/>
        </w:rPr>
        <w:t xml:space="preserve">t seemed possible that </w:t>
      </w:r>
      <w:r w:rsidRPr="00526F43">
        <w:rPr>
          <w:i/>
          <w:iCs/>
          <w:sz w:val="22"/>
        </w:rPr>
        <w:t xml:space="preserve">CG </w:t>
      </w:r>
      <w:r w:rsidRPr="00526F43">
        <w:rPr>
          <w:sz w:val="22"/>
        </w:rPr>
        <w:t xml:space="preserve">would provide a definitive answer one way or the other, effectively delivering the Supreme Court’s judgment in </w:t>
      </w:r>
      <w:proofErr w:type="spellStart"/>
      <w:r w:rsidRPr="00526F43">
        <w:rPr>
          <w:i/>
          <w:iCs/>
          <w:sz w:val="22"/>
        </w:rPr>
        <w:t>Fratila</w:t>
      </w:r>
      <w:proofErr w:type="spellEnd"/>
      <w:r w:rsidRPr="00526F43">
        <w:rPr>
          <w:sz w:val="22"/>
        </w:rPr>
        <w:t xml:space="preserve"> for them. But that has not happened</w:t>
      </w:r>
      <w:r w:rsidR="003E1E2F" w:rsidRPr="00526F43">
        <w:rPr>
          <w:sz w:val="22"/>
        </w:rPr>
        <w:t xml:space="preserve">. </w:t>
      </w:r>
      <w:r w:rsidR="001B571E" w:rsidRPr="00526F43">
        <w:rPr>
          <w:sz w:val="22"/>
        </w:rPr>
        <w:t xml:space="preserve">The one outcome that now seems quite ruled out is the Supreme Court upholding the Court of Appeal’s judgment – if CG is not entitled to protection from </w:t>
      </w:r>
      <w:proofErr w:type="gramStart"/>
      <w:r w:rsidR="001B571E" w:rsidRPr="00526F43">
        <w:rPr>
          <w:sz w:val="22"/>
        </w:rPr>
        <w:t>discrimination</w:t>
      </w:r>
      <w:proofErr w:type="gramEnd"/>
      <w:r w:rsidR="001B571E" w:rsidRPr="00526F43">
        <w:rPr>
          <w:sz w:val="22"/>
        </w:rPr>
        <w:t xml:space="preserve"> then neither are the claimants in </w:t>
      </w:r>
      <w:proofErr w:type="spellStart"/>
      <w:r w:rsidR="001B571E" w:rsidRPr="00526F43">
        <w:rPr>
          <w:i/>
          <w:iCs/>
          <w:sz w:val="22"/>
        </w:rPr>
        <w:t>Fratila</w:t>
      </w:r>
      <w:proofErr w:type="spellEnd"/>
      <w:r w:rsidR="001B571E" w:rsidRPr="00526F43">
        <w:rPr>
          <w:sz w:val="22"/>
        </w:rPr>
        <w:t xml:space="preserve">. </w:t>
      </w:r>
      <w:r w:rsidR="00F829A0" w:rsidRPr="00526F43">
        <w:rPr>
          <w:sz w:val="22"/>
        </w:rPr>
        <w:t xml:space="preserve">However, the effects of the Court’s invocation of the Charter </w:t>
      </w:r>
      <w:r w:rsidR="000C0538" w:rsidRPr="00526F43">
        <w:rPr>
          <w:sz w:val="22"/>
        </w:rPr>
        <w:t>are not clear</w:t>
      </w:r>
      <w:r w:rsidR="00F829A0" w:rsidRPr="00526F43">
        <w:rPr>
          <w:sz w:val="22"/>
        </w:rPr>
        <w:t xml:space="preserve">, given that it has not </w:t>
      </w:r>
      <w:r w:rsidR="004107FF" w:rsidRPr="00526F43">
        <w:rPr>
          <w:sz w:val="22"/>
        </w:rPr>
        <w:t>previously</w:t>
      </w:r>
      <w:r w:rsidR="00F829A0" w:rsidRPr="00526F43">
        <w:rPr>
          <w:sz w:val="22"/>
        </w:rPr>
        <w:t xml:space="preserve"> featured as part of the arguments before the domestic courts. The Supreme Court would not normally countenance new grounds not previously raised, and moreover, those grounds would in themselves require findings of fact, and the Supreme Court is not a fact-finding court. This difficulty is created essentially because the CJEU chose to reformulate the questions before it – that is, they answered questions that had not been asked. </w:t>
      </w:r>
    </w:p>
    <w:p w14:paraId="23007BCF" w14:textId="649A7F47" w:rsidR="00F829A0" w:rsidRPr="00526F43" w:rsidRDefault="00F829A0" w:rsidP="00681077">
      <w:pPr>
        <w:jc w:val="both"/>
        <w:rPr>
          <w:sz w:val="22"/>
        </w:rPr>
      </w:pPr>
    </w:p>
    <w:p w14:paraId="1611A0C9" w14:textId="4F248A94" w:rsidR="00F829A0" w:rsidRPr="00526F43" w:rsidRDefault="00F829A0" w:rsidP="00681077">
      <w:pPr>
        <w:jc w:val="both"/>
        <w:rPr>
          <w:sz w:val="22"/>
        </w:rPr>
      </w:pPr>
      <w:r w:rsidRPr="00526F43">
        <w:rPr>
          <w:sz w:val="22"/>
        </w:rPr>
        <w:t xml:space="preserve">It is possible that the judges will adjust their normal procedures to accommodate new arguments in </w:t>
      </w:r>
      <w:proofErr w:type="spellStart"/>
      <w:r w:rsidRPr="00526F43">
        <w:rPr>
          <w:i/>
          <w:iCs/>
          <w:sz w:val="22"/>
        </w:rPr>
        <w:t>Fratila</w:t>
      </w:r>
      <w:proofErr w:type="spellEnd"/>
      <w:r w:rsidRPr="00526F43">
        <w:rPr>
          <w:sz w:val="22"/>
        </w:rPr>
        <w:t xml:space="preserve">, in light of </w:t>
      </w:r>
      <w:r w:rsidRPr="00526F43">
        <w:rPr>
          <w:i/>
          <w:iCs/>
          <w:sz w:val="22"/>
        </w:rPr>
        <w:t>CG</w:t>
      </w:r>
      <w:r w:rsidRPr="00526F43">
        <w:rPr>
          <w:sz w:val="22"/>
        </w:rPr>
        <w:t xml:space="preserve">, but it is also possible that, having received a fairly unequivocal </w:t>
      </w:r>
      <w:r w:rsidR="0076703D" w:rsidRPr="00526F43">
        <w:rPr>
          <w:sz w:val="22"/>
        </w:rPr>
        <w:t xml:space="preserve">overruling of the Court of Appeal, the Supreme Court will simply hold that the claimant’s case, as argued so far, must fail, and the regulations remain </w:t>
      </w:r>
      <w:proofErr w:type="spellStart"/>
      <w:proofErr w:type="gramStart"/>
      <w:r w:rsidR="0076703D" w:rsidRPr="00526F43">
        <w:rPr>
          <w:sz w:val="22"/>
        </w:rPr>
        <w:t>in tact</w:t>
      </w:r>
      <w:proofErr w:type="spellEnd"/>
      <w:proofErr w:type="gramEnd"/>
      <w:r w:rsidR="0076703D" w:rsidRPr="00526F43">
        <w:rPr>
          <w:sz w:val="22"/>
        </w:rPr>
        <w:t xml:space="preserve">. They may even decide this without a hearing. If this happens, the full meaning of </w:t>
      </w:r>
      <w:r w:rsidR="0076703D" w:rsidRPr="00526F43">
        <w:rPr>
          <w:i/>
          <w:iCs/>
          <w:sz w:val="22"/>
        </w:rPr>
        <w:t>CG</w:t>
      </w:r>
      <w:r w:rsidR="0076703D" w:rsidRPr="00526F43">
        <w:rPr>
          <w:sz w:val="22"/>
        </w:rPr>
        <w:t xml:space="preserve">, and the Charter-based residual rights, can only be thrashed out through another case – ideally one in which the Charter arguments can be made from the outset. </w:t>
      </w:r>
    </w:p>
    <w:p w14:paraId="47E5276E" w14:textId="3D2694BB" w:rsidR="0076703D" w:rsidRPr="00526F43" w:rsidRDefault="0076703D" w:rsidP="00681077">
      <w:pPr>
        <w:jc w:val="both"/>
        <w:rPr>
          <w:sz w:val="22"/>
        </w:rPr>
      </w:pPr>
    </w:p>
    <w:p w14:paraId="0C24A7BF" w14:textId="47A59544" w:rsidR="0076703D" w:rsidRPr="00526F43" w:rsidRDefault="0076703D" w:rsidP="00681077">
      <w:pPr>
        <w:jc w:val="both"/>
        <w:rPr>
          <w:sz w:val="22"/>
        </w:rPr>
      </w:pPr>
      <w:r w:rsidRPr="00526F43">
        <w:rPr>
          <w:sz w:val="22"/>
        </w:rPr>
        <w:t>Applying CG to other pre-2021 cases</w:t>
      </w:r>
    </w:p>
    <w:p w14:paraId="7F3E7855" w14:textId="1A9B5C80" w:rsidR="004F6BB8" w:rsidRPr="00526F43" w:rsidRDefault="004F6BB8" w:rsidP="00681077">
      <w:pPr>
        <w:jc w:val="both"/>
        <w:rPr>
          <w:sz w:val="22"/>
        </w:rPr>
      </w:pPr>
    </w:p>
    <w:p w14:paraId="6C64E112" w14:textId="14916221" w:rsidR="00FD41FE" w:rsidRPr="00526F43" w:rsidRDefault="00DC47C0" w:rsidP="00681077">
      <w:pPr>
        <w:jc w:val="both"/>
        <w:rPr>
          <w:sz w:val="22"/>
        </w:rPr>
      </w:pPr>
      <w:r w:rsidRPr="00526F43">
        <w:rPr>
          <w:sz w:val="22"/>
        </w:rPr>
        <w:t xml:space="preserve">There is likely to be considerable dispute as to what the fundamental rights duty outlined in </w:t>
      </w:r>
      <w:r w:rsidRPr="00526F43">
        <w:rPr>
          <w:i/>
          <w:iCs/>
          <w:sz w:val="22"/>
        </w:rPr>
        <w:t>CG</w:t>
      </w:r>
      <w:r w:rsidRPr="00526F43">
        <w:rPr>
          <w:sz w:val="22"/>
        </w:rPr>
        <w:t xml:space="preserve"> looks like in practice. </w:t>
      </w:r>
      <w:proofErr w:type="gramStart"/>
      <w:r w:rsidR="00852D9D" w:rsidRPr="00526F43">
        <w:rPr>
          <w:sz w:val="22"/>
        </w:rPr>
        <w:t>In particular, there</w:t>
      </w:r>
      <w:proofErr w:type="gramEnd"/>
      <w:r w:rsidR="00852D9D" w:rsidRPr="00526F43">
        <w:rPr>
          <w:sz w:val="22"/>
        </w:rPr>
        <w:t xml:space="preserve"> are two likely fights on the horizon – first, </w:t>
      </w:r>
      <w:r w:rsidR="00852D9D" w:rsidRPr="00526F43">
        <w:rPr>
          <w:i/>
          <w:iCs/>
          <w:sz w:val="22"/>
        </w:rPr>
        <w:t>whose</w:t>
      </w:r>
      <w:r w:rsidR="00852D9D" w:rsidRPr="00526F43">
        <w:rPr>
          <w:sz w:val="22"/>
        </w:rPr>
        <w:t xml:space="preserve"> decision as to fundamental rights risks is the material decision; and second, what </w:t>
      </w:r>
      <w:r w:rsidR="00211E67" w:rsidRPr="00526F43">
        <w:rPr>
          <w:sz w:val="22"/>
        </w:rPr>
        <w:t xml:space="preserve">level of </w:t>
      </w:r>
      <w:r w:rsidR="00852D9D" w:rsidRPr="00526F43">
        <w:rPr>
          <w:sz w:val="22"/>
        </w:rPr>
        <w:t xml:space="preserve">resources </w:t>
      </w:r>
      <w:r w:rsidR="00211E67" w:rsidRPr="00526F43">
        <w:rPr>
          <w:sz w:val="22"/>
        </w:rPr>
        <w:t>is</w:t>
      </w:r>
      <w:r w:rsidR="00852D9D" w:rsidRPr="00526F43">
        <w:rPr>
          <w:sz w:val="22"/>
        </w:rPr>
        <w:t xml:space="preserve"> necessary to maintain a life of dignity.</w:t>
      </w:r>
      <w:r w:rsidR="00211E67" w:rsidRPr="00526F43">
        <w:rPr>
          <w:sz w:val="22"/>
        </w:rPr>
        <w:t xml:space="preserve"> The first question is important, because it will determine the form of redress available to claimants. </w:t>
      </w:r>
      <w:r w:rsidR="000619F4" w:rsidRPr="00526F43">
        <w:rPr>
          <w:sz w:val="22"/>
        </w:rPr>
        <w:t xml:space="preserve">The </w:t>
      </w:r>
      <w:r w:rsidR="00211E67" w:rsidRPr="00526F43">
        <w:rPr>
          <w:sz w:val="22"/>
        </w:rPr>
        <w:t>D</w:t>
      </w:r>
      <w:r w:rsidR="000619F4" w:rsidRPr="00526F43">
        <w:rPr>
          <w:sz w:val="22"/>
        </w:rPr>
        <w:t xml:space="preserve">epartment for </w:t>
      </w:r>
      <w:r w:rsidR="00211E67" w:rsidRPr="00526F43">
        <w:rPr>
          <w:sz w:val="22"/>
        </w:rPr>
        <w:t>W</w:t>
      </w:r>
      <w:r w:rsidR="000619F4" w:rsidRPr="00526F43">
        <w:rPr>
          <w:sz w:val="22"/>
        </w:rPr>
        <w:t xml:space="preserve">ork and </w:t>
      </w:r>
      <w:r w:rsidR="00211E67" w:rsidRPr="00526F43">
        <w:rPr>
          <w:sz w:val="22"/>
        </w:rPr>
        <w:t>P</w:t>
      </w:r>
      <w:r w:rsidR="000619F4" w:rsidRPr="00526F43">
        <w:rPr>
          <w:sz w:val="22"/>
        </w:rPr>
        <w:t>ensions (DWP)</w:t>
      </w:r>
      <w:r w:rsidR="00211E67" w:rsidRPr="00526F43">
        <w:rPr>
          <w:sz w:val="22"/>
        </w:rPr>
        <w:t xml:space="preserve"> may be minded </w:t>
      </w:r>
      <w:proofErr w:type="gramStart"/>
      <w:r w:rsidR="00211E67" w:rsidRPr="00526F43">
        <w:rPr>
          <w:sz w:val="22"/>
        </w:rPr>
        <w:t>to d</w:t>
      </w:r>
      <w:r w:rsidR="00C53291" w:rsidRPr="00526F43">
        <w:rPr>
          <w:sz w:val="22"/>
        </w:rPr>
        <w:t>ivert</w:t>
      </w:r>
      <w:proofErr w:type="gramEnd"/>
      <w:r w:rsidR="00211E67" w:rsidRPr="00526F43">
        <w:rPr>
          <w:sz w:val="22"/>
        </w:rPr>
        <w:t xml:space="preserve"> the issue to local authorities – to suggest that so long as there </w:t>
      </w:r>
      <w:r w:rsidR="00F2399E" w:rsidRPr="00526F43">
        <w:rPr>
          <w:sz w:val="22"/>
        </w:rPr>
        <w:t>are</w:t>
      </w:r>
      <w:r w:rsidR="00211E67" w:rsidRPr="00526F43">
        <w:rPr>
          <w:sz w:val="22"/>
        </w:rPr>
        <w:t xml:space="preserve"> </w:t>
      </w:r>
      <w:r w:rsidR="00F2399E" w:rsidRPr="00526F43">
        <w:rPr>
          <w:sz w:val="22"/>
        </w:rPr>
        <w:t xml:space="preserve">discretionary forms of support under </w:t>
      </w:r>
      <w:r w:rsidR="00211E67" w:rsidRPr="00526F43">
        <w:rPr>
          <w:sz w:val="22"/>
        </w:rPr>
        <w:t xml:space="preserve">the Children Act 1989 and the Care Act 2014, refusal of benefits does not imperil fundamental rights. And then suggest that a refusal of </w:t>
      </w:r>
      <w:r w:rsidR="00C53291" w:rsidRPr="00526F43">
        <w:rPr>
          <w:sz w:val="22"/>
        </w:rPr>
        <w:t>(</w:t>
      </w:r>
      <w:r w:rsidR="00211E67" w:rsidRPr="00526F43">
        <w:rPr>
          <w:sz w:val="22"/>
        </w:rPr>
        <w:t>or provision of inadequate</w:t>
      </w:r>
      <w:r w:rsidR="00C53291" w:rsidRPr="00526F43">
        <w:rPr>
          <w:sz w:val="22"/>
        </w:rPr>
        <w:t>)</w:t>
      </w:r>
      <w:r w:rsidR="00211E67" w:rsidRPr="00526F43">
        <w:rPr>
          <w:sz w:val="22"/>
        </w:rPr>
        <w:t xml:space="preserve"> support is a matter the claimant should pursue with the local authority, which would only be possible through judicial review. </w:t>
      </w:r>
      <w:r w:rsidR="00FD41FE" w:rsidRPr="00526F43">
        <w:rPr>
          <w:sz w:val="22"/>
        </w:rPr>
        <w:t xml:space="preserve">This would be costly, </w:t>
      </w:r>
      <w:proofErr w:type="gramStart"/>
      <w:r w:rsidR="00FD41FE" w:rsidRPr="00526F43">
        <w:rPr>
          <w:sz w:val="22"/>
        </w:rPr>
        <w:t>risky</w:t>
      </w:r>
      <w:proofErr w:type="gramEnd"/>
      <w:r w:rsidR="00FD41FE" w:rsidRPr="00526F43">
        <w:rPr>
          <w:sz w:val="22"/>
        </w:rPr>
        <w:t xml:space="preserve"> and legally complicated. However, if it is the </w:t>
      </w:r>
      <w:r w:rsidR="00FD41FE" w:rsidRPr="00526F43">
        <w:rPr>
          <w:i/>
          <w:iCs/>
          <w:sz w:val="22"/>
        </w:rPr>
        <w:t>DWP’s decision</w:t>
      </w:r>
      <w:r w:rsidR="00F2399E" w:rsidRPr="00526F43">
        <w:rPr>
          <w:sz w:val="22"/>
        </w:rPr>
        <w:t xml:space="preserve"> to pass</w:t>
      </w:r>
      <w:r w:rsidR="00FD41FE" w:rsidRPr="00526F43">
        <w:rPr>
          <w:sz w:val="22"/>
        </w:rPr>
        <w:t xml:space="preserve"> a claimant to the local authority, that is the material decision, then claimants would have an avenue to appeal to a social security tribunal. This would be more accessible and affordable. </w:t>
      </w:r>
    </w:p>
    <w:p w14:paraId="37642BBD" w14:textId="77777777" w:rsidR="00FD41FE" w:rsidRPr="00526F43" w:rsidRDefault="00FD41FE" w:rsidP="00681077">
      <w:pPr>
        <w:jc w:val="both"/>
        <w:rPr>
          <w:sz w:val="22"/>
        </w:rPr>
      </w:pPr>
    </w:p>
    <w:p w14:paraId="61EDBC67" w14:textId="7722AEB4" w:rsidR="00815EC1" w:rsidRPr="00526F43" w:rsidRDefault="00FD41FE" w:rsidP="00681077">
      <w:pPr>
        <w:jc w:val="both"/>
        <w:rPr>
          <w:sz w:val="22"/>
        </w:rPr>
      </w:pPr>
      <w:r w:rsidRPr="00526F43">
        <w:rPr>
          <w:sz w:val="22"/>
        </w:rPr>
        <w:t>The Court’s wording appears to support the latter interpretation</w:t>
      </w:r>
      <w:r w:rsidR="00F2399E" w:rsidRPr="00526F43">
        <w:rPr>
          <w:sz w:val="22"/>
        </w:rPr>
        <w:t>. The</w:t>
      </w:r>
      <w:r w:rsidRPr="00526F43">
        <w:rPr>
          <w:sz w:val="22"/>
        </w:rPr>
        <w:t xml:space="preserve"> “competent national authorities may refuse an application for social assistance, such as Universal Credit, </w:t>
      </w:r>
      <w:r w:rsidRPr="00526F43">
        <w:rPr>
          <w:i/>
          <w:iCs/>
          <w:sz w:val="22"/>
        </w:rPr>
        <w:t>only after</w:t>
      </w:r>
      <w:r w:rsidRPr="00526F43">
        <w:rPr>
          <w:sz w:val="22"/>
        </w:rPr>
        <w:t xml:space="preserve"> ascertaining that that refusal does not expose the citizen concerned and the children for which he or she is responsible to an actual and current risk of violation of their fundamental rights”. The fundamental rights assessment must </w:t>
      </w:r>
      <w:r w:rsidRPr="00526F43">
        <w:rPr>
          <w:i/>
          <w:iCs/>
          <w:sz w:val="22"/>
        </w:rPr>
        <w:t>pre-date</w:t>
      </w:r>
      <w:r w:rsidRPr="00526F43">
        <w:rPr>
          <w:sz w:val="22"/>
        </w:rPr>
        <w:t xml:space="preserve"> the refusal of Universal Credit. So, even if it is a cursory assessment, to pass someone onto another authority, it is the DWP’s decision, for which the DWP should be accountable. </w:t>
      </w:r>
      <w:r w:rsidR="00815EC1" w:rsidRPr="00526F43">
        <w:rPr>
          <w:sz w:val="22"/>
        </w:rPr>
        <w:t xml:space="preserve">However, appealing a decision </w:t>
      </w:r>
      <w:r w:rsidR="003C7E05" w:rsidRPr="00526F43">
        <w:rPr>
          <w:sz w:val="22"/>
        </w:rPr>
        <w:t xml:space="preserve">to </w:t>
      </w:r>
      <w:r w:rsidR="00815EC1" w:rsidRPr="00526F43">
        <w:rPr>
          <w:sz w:val="22"/>
        </w:rPr>
        <w:t>not award a benefit, on the ground that fundamental rights were</w:t>
      </w:r>
      <w:r w:rsidR="000619F4" w:rsidRPr="00526F43">
        <w:rPr>
          <w:sz w:val="22"/>
        </w:rPr>
        <w:t xml:space="preserve"> </w:t>
      </w:r>
      <w:r w:rsidR="00815EC1" w:rsidRPr="00526F43">
        <w:rPr>
          <w:sz w:val="22"/>
        </w:rPr>
        <w:t>not respected</w:t>
      </w:r>
      <w:r w:rsidR="00F2399E" w:rsidRPr="00526F43">
        <w:rPr>
          <w:sz w:val="22"/>
        </w:rPr>
        <w:t xml:space="preserve"> </w:t>
      </w:r>
      <w:r w:rsidR="000619F4" w:rsidRPr="00526F43">
        <w:rPr>
          <w:sz w:val="22"/>
        </w:rPr>
        <w:t xml:space="preserve">in practice </w:t>
      </w:r>
      <w:proofErr w:type="gramStart"/>
      <w:r w:rsidR="00F2399E" w:rsidRPr="00526F43">
        <w:rPr>
          <w:sz w:val="22"/>
        </w:rPr>
        <w:t>at a later date</w:t>
      </w:r>
      <w:proofErr w:type="gramEnd"/>
      <w:r w:rsidR="00815EC1" w:rsidRPr="00526F43">
        <w:rPr>
          <w:sz w:val="22"/>
        </w:rPr>
        <w:t>, is likely to prove complicated. The violation of rights which forms the challenge against the original decision may not become immediately manifest</w:t>
      </w:r>
      <w:r w:rsidR="003C7E05" w:rsidRPr="00526F43">
        <w:rPr>
          <w:sz w:val="22"/>
        </w:rPr>
        <w:t>. I</w:t>
      </w:r>
      <w:r w:rsidR="00815EC1" w:rsidRPr="00526F43">
        <w:rPr>
          <w:sz w:val="22"/>
        </w:rPr>
        <w:t xml:space="preserve">t may only be clear once a claimant has </w:t>
      </w:r>
      <w:r w:rsidR="00F2399E" w:rsidRPr="00526F43">
        <w:rPr>
          <w:sz w:val="22"/>
        </w:rPr>
        <w:t>been refused</w:t>
      </w:r>
      <w:r w:rsidR="00815EC1" w:rsidRPr="00526F43">
        <w:rPr>
          <w:sz w:val="22"/>
        </w:rPr>
        <w:t xml:space="preserve"> discretionary support, or even once they have attempted to live in dignified conditions, while in receipt of discretionary support. Appeal procedures may need to accommodate this time</w:t>
      </w:r>
      <w:r w:rsidR="00F2399E" w:rsidRPr="00526F43">
        <w:rPr>
          <w:sz w:val="22"/>
        </w:rPr>
        <w:t>-</w:t>
      </w:r>
      <w:r w:rsidR="00815EC1" w:rsidRPr="00526F43">
        <w:rPr>
          <w:sz w:val="22"/>
        </w:rPr>
        <w:t>lag, and matters</w:t>
      </w:r>
      <w:r w:rsidR="003C7E05" w:rsidRPr="00526F43">
        <w:rPr>
          <w:sz w:val="22"/>
        </w:rPr>
        <w:t xml:space="preserve"> </w:t>
      </w:r>
      <w:r w:rsidR="00F2399E" w:rsidRPr="00526F43">
        <w:rPr>
          <w:sz w:val="22"/>
        </w:rPr>
        <w:t xml:space="preserve">arising </w:t>
      </w:r>
      <w:r w:rsidR="00815EC1" w:rsidRPr="00526F43">
        <w:rPr>
          <w:sz w:val="22"/>
        </w:rPr>
        <w:t>after</w:t>
      </w:r>
      <w:r w:rsidR="003C7E05" w:rsidRPr="00526F43">
        <w:rPr>
          <w:sz w:val="22"/>
        </w:rPr>
        <w:t xml:space="preserve"> </w:t>
      </w:r>
      <w:r w:rsidR="00815EC1" w:rsidRPr="00526F43">
        <w:rPr>
          <w:sz w:val="22"/>
        </w:rPr>
        <w:t xml:space="preserve">the original decision. </w:t>
      </w:r>
    </w:p>
    <w:p w14:paraId="547998B3" w14:textId="77777777" w:rsidR="00815EC1" w:rsidRPr="00526F43" w:rsidRDefault="00815EC1" w:rsidP="00681077">
      <w:pPr>
        <w:jc w:val="both"/>
        <w:rPr>
          <w:sz w:val="22"/>
        </w:rPr>
      </w:pPr>
    </w:p>
    <w:p w14:paraId="5CCE8F93" w14:textId="65E3040A" w:rsidR="0090204C" w:rsidRPr="00526F43" w:rsidRDefault="00F2399E" w:rsidP="00681077">
      <w:pPr>
        <w:jc w:val="both"/>
        <w:rPr>
          <w:sz w:val="22"/>
        </w:rPr>
      </w:pPr>
      <w:r w:rsidRPr="00526F43">
        <w:rPr>
          <w:sz w:val="22"/>
        </w:rPr>
        <w:t xml:space="preserve">It is important that the </w:t>
      </w:r>
      <w:r w:rsidR="00B82F26" w:rsidRPr="00526F43">
        <w:rPr>
          <w:sz w:val="22"/>
        </w:rPr>
        <w:t xml:space="preserve">appropriate threshold of resources for determining </w:t>
      </w:r>
      <w:r w:rsidR="003C7E05" w:rsidRPr="00526F43">
        <w:rPr>
          <w:sz w:val="22"/>
        </w:rPr>
        <w:t>whether someone</w:t>
      </w:r>
      <w:r w:rsidR="00B82F26" w:rsidRPr="00526F43">
        <w:rPr>
          <w:sz w:val="22"/>
        </w:rPr>
        <w:t xml:space="preserve"> can </w:t>
      </w:r>
      <w:r w:rsidR="003C7E05" w:rsidRPr="00526F43">
        <w:rPr>
          <w:sz w:val="22"/>
        </w:rPr>
        <w:t>live</w:t>
      </w:r>
      <w:r w:rsidR="00B82F26" w:rsidRPr="00526F43">
        <w:rPr>
          <w:sz w:val="22"/>
        </w:rPr>
        <w:t xml:space="preserve"> in dignity</w:t>
      </w:r>
      <w:r w:rsidRPr="00526F43">
        <w:rPr>
          <w:sz w:val="22"/>
        </w:rPr>
        <w:t xml:space="preserve"> </w:t>
      </w:r>
      <w:r w:rsidR="00B82F26" w:rsidRPr="00526F43">
        <w:rPr>
          <w:sz w:val="22"/>
        </w:rPr>
        <w:t>is not set too low.</w:t>
      </w:r>
      <w:r w:rsidR="00D42083" w:rsidRPr="00526F43">
        <w:rPr>
          <w:sz w:val="22"/>
        </w:rPr>
        <w:t xml:space="preserve"> Basic survival is not enough</w:t>
      </w:r>
      <w:r w:rsidR="00E62036" w:rsidRPr="00526F43">
        <w:rPr>
          <w:sz w:val="22"/>
        </w:rPr>
        <w:t xml:space="preserve"> – the UK needs to ensure that people with pre-settled status can live in dignified conditions. This requires a different approach to that taken in </w:t>
      </w:r>
      <w:r w:rsidR="00E62036" w:rsidRPr="00526F43">
        <w:rPr>
          <w:i/>
          <w:iCs/>
          <w:sz w:val="22"/>
        </w:rPr>
        <w:t>Harrison</w:t>
      </w:r>
      <w:r w:rsidR="00E62036" w:rsidRPr="00526F43">
        <w:rPr>
          <w:sz w:val="22"/>
        </w:rPr>
        <w:t>,</w:t>
      </w:r>
      <w:r w:rsidR="00BC2E24" w:rsidRPr="00526F43">
        <w:rPr>
          <w:rStyle w:val="FootnoteReference"/>
          <w:sz w:val="22"/>
        </w:rPr>
        <w:footnoteReference w:id="85"/>
      </w:r>
      <w:r w:rsidR="00E62036" w:rsidRPr="00526F43">
        <w:rPr>
          <w:sz w:val="22"/>
        </w:rPr>
        <w:t xml:space="preserve"> </w:t>
      </w:r>
      <w:r w:rsidR="00E62036" w:rsidRPr="00526F43">
        <w:rPr>
          <w:i/>
          <w:iCs/>
          <w:sz w:val="22"/>
        </w:rPr>
        <w:t>Sanneh,</w:t>
      </w:r>
      <w:r w:rsidR="00BC2E24" w:rsidRPr="00526F43">
        <w:rPr>
          <w:rStyle w:val="FootnoteReference"/>
          <w:i/>
          <w:iCs/>
          <w:sz w:val="22"/>
        </w:rPr>
        <w:footnoteReference w:id="86"/>
      </w:r>
      <w:r w:rsidR="00E62036" w:rsidRPr="00526F43">
        <w:rPr>
          <w:i/>
          <w:iCs/>
          <w:sz w:val="22"/>
        </w:rPr>
        <w:t xml:space="preserve"> </w:t>
      </w:r>
      <w:r w:rsidR="00E62036" w:rsidRPr="00526F43">
        <w:rPr>
          <w:sz w:val="22"/>
        </w:rPr>
        <w:t xml:space="preserve">and </w:t>
      </w:r>
      <w:r w:rsidR="00E62036" w:rsidRPr="00526F43">
        <w:rPr>
          <w:i/>
          <w:iCs/>
          <w:sz w:val="22"/>
        </w:rPr>
        <w:t>HC</w:t>
      </w:r>
      <w:r w:rsidR="00E62036" w:rsidRPr="00526F43">
        <w:rPr>
          <w:sz w:val="22"/>
        </w:rPr>
        <w:t>,</w:t>
      </w:r>
      <w:r w:rsidR="00BC2E24" w:rsidRPr="00526F43">
        <w:rPr>
          <w:rStyle w:val="FootnoteReference"/>
          <w:sz w:val="22"/>
        </w:rPr>
        <w:footnoteReference w:id="87"/>
      </w:r>
      <w:r w:rsidR="00E62036" w:rsidRPr="00526F43">
        <w:rPr>
          <w:sz w:val="22"/>
        </w:rPr>
        <w:t xml:space="preserve"> in which UK courts, having determined that </w:t>
      </w:r>
      <w:r w:rsidR="00E62036" w:rsidRPr="00526F43">
        <w:rPr>
          <w:i/>
          <w:iCs/>
          <w:sz w:val="22"/>
        </w:rPr>
        <w:t>Zambrano</w:t>
      </w:r>
      <w:r w:rsidR="000619F4" w:rsidRPr="00526F43">
        <w:rPr>
          <w:rStyle w:val="FootnoteReference"/>
          <w:i/>
          <w:iCs/>
          <w:sz w:val="22"/>
        </w:rPr>
        <w:footnoteReference w:id="88"/>
      </w:r>
      <w:r w:rsidR="00E62036" w:rsidRPr="00526F43">
        <w:rPr>
          <w:sz w:val="22"/>
        </w:rPr>
        <w:t xml:space="preserve"> carers claiming benefits did not fall within the scope of the Charter of Fundamental Rights, found that the </w:t>
      </w:r>
      <w:r w:rsidR="00E62036" w:rsidRPr="00526F43">
        <w:rPr>
          <w:i/>
          <w:iCs/>
          <w:sz w:val="22"/>
        </w:rPr>
        <w:t>Zambrano</w:t>
      </w:r>
      <w:r w:rsidR="00E62036" w:rsidRPr="00526F43">
        <w:rPr>
          <w:sz w:val="22"/>
        </w:rPr>
        <w:t xml:space="preserve"> right was “not a right to any particular quality of life or to any particular standard of living”. </w:t>
      </w:r>
      <w:r w:rsidR="00D63B96" w:rsidRPr="00526F43">
        <w:rPr>
          <w:sz w:val="22"/>
        </w:rPr>
        <w:t xml:space="preserve">A right to live in dignified conditions, </w:t>
      </w:r>
      <w:proofErr w:type="gramStart"/>
      <w:r w:rsidR="00D63B96" w:rsidRPr="00526F43">
        <w:rPr>
          <w:sz w:val="22"/>
        </w:rPr>
        <w:t>taking into account</w:t>
      </w:r>
      <w:proofErr w:type="gramEnd"/>
      <w:r w:rsidR="00D63B96" w:rsidRPr="00526F43">
        <w:rPr>
          <w:sz w:val="22"/>
        </w:rPr>
        <w:t xml:space="preserve"> the best interests of the child, must, if it is to mean anything, entail a right to a certain standard of living. </w:t>
      </w:r>
      <w:r w:rsidR="000105D3" w:rsidRPr="00526F43">
        <w:rPr>
          <w:sz w:val="22"/>
        </w:rPr>
        <w:t>The difficulty is ascertaining what that standard is</w:t>
      </w:r>
      <w:r w:rsidR="00912941" w:rsidRPr="00526F43">
        <w:rPr>
          <w:sz w:val="22"/>
        </w:rPr>
        <w:t>, though national benefit levels should provide a reference point. G</w:t>
      </w:r>
      <w:r w:rsidR="0090204C" w:rsidRPr="00526F43">
        <w:rPr>
          <w:sz w:val="22"/>
        </w:rPr>
        <w:t>iven that the CJEU found earlier in the judgment that Universal Credit is a “subsistence benefit” which is “intended to ensure that their recipients have the minimum means of subsistence necessary to lead a life in keeping with human dignity”</w:t>
      </w:r>
      <w:r w:rsidR="00912941" w:rsidRPr="00526F43">
        <w:rPr>
          <w:sz w:val="22"/>
        </w:rPr>
        <w:t>,</w:t>
      </w:r>
      <w:r w:rsidR="00D47F10" w:rsidRPr="00526F43">
        <w:rPr>
          <w:rStyle w:val="FootnoteReference"/>
          <w:sz w:val="22"/>
        </w:rPr>
        <w:footnoteReference w:id="89"/>
      </w:r>
      <w:r w:rsidR="00912941" w:rsidRPr="00526F43">
        <w:rPr>
          <w:sz w:val="22"/>
        </w:rPr>
        <w:t xml:space="preserve"> </w:t>
      </w:r>
      <w:r w:rsidR="0090204C" w:rsidRPr="00526F43">
        <w:rPr>
          <w:sz w:val="22"/>
        </w:rPr>
        <w:t>it is hard to see how any</w:t>
      </w:r>
      <w:r w:rsidR="00912941" w:rsidRPr="00526F43">
        <w:rPr>
          <w:sz w:val="22"/>
        </w:rPr>
        <w:t xml:space="preserve"> means</w:t>
      </w:r>
      <w:r w:rsidR="0090204C" w:rsidRPr="00526F43">
        <w:rPr>
          <w:sz w:val="22"/>
        </w:rPr>
        <w:t xml:space="preserve"> below the </w:t>
      </w:r>
      <w:r w:rsidR="0090204C" w:rsidRPr="00526F43">
        <w:rPr>
          <w:i/>
          <w:iCs/>
          <w:sz w:val="22"/>
        </w:rPr>
        <w:t>necessary minimum</w:t>
      </w:r>
      <w:r w:rsidR="0090204C" w:rsidRPr="00526F43">
        <w:rPr>
          <w:sz w:val="22"/>
        </w:rPr>
        <w:t xml:space="preserve"> can also ensure a life in keeping with human dignity – let alone means which are </w:t>
      </w:r>
      <w:r w:rsidR="00912941" w:rsidRPr="00526F43">
        <w:rPr>
          <w:sz w:val="22"/>
        </w:rPr>
        <w:t>radically</w:t>
      </w:r>
      <w:r w:rsidR="0090204C" w:rsidRPr="00526F43">
        <w:rPr>
          <w:sz w:val="22"/>
        </w:rPr>
        <w:t xml:space="preserve"> below that minimum. </w:t>
      </w:r>
    </w:p>
    <w:p w14:paraId="36581F17" w14:textId="7B66F3A2" w:rsidR="00E62036" w:rsidRPr="00526F43" w:rsidRDefault="0090204C" w:rsidP="00681077">
      <w:pPr>
        <w:jc w:val="both"/>
        <w:rPr>
          <w:sz w:val="22"/>
        </w:rPr>
      </w:pPr>
      <w:r w:rsidRPr="00526F43">
        <w:rPr>
          <w:sz w:val="22"/>
        </w:rPr>
        <w:lastRenderedPageBreak/>
        <w:t xml:space="preserve"> </w:t>
      </w:r>
      <w:r w:rsidR="000105D3" w:rsidRPr="00526F43">
        <w:rPr>
          <w:sz w:val="22"/>
        </w:rPr>
        <w:t xml:space="preserve">  </w:t>
      </w:r>
    </w:p>
    <w:p w14:paraId="66EB16E6" w14:textId="3035D1EE" w:rsidR="00852D9D" w:rsidRPr="00526F43" w:rsidRDefault="008927C3" w:rsidP="00681077">
      <w:pPr>
        <w:jc w:val="both"/>
        <w:rPr>
          <w:sz w:val="22"/>
        </w:rPr>
      </w:pPr>
      <w:r w:rsidRPr="00526F43">
        <w:rPr>
          <w:sz w:val="22"/>
        </w:rPr>
        <w:t xml:space="preserve">The traction of the Charter post-transition </w:t>
      </w:r>
    </w:p>
    <w:p w14:paraId="1C0EF259" w14:textId="77777777" w:rsidR="008927C3" w:rsidRPr="00526F43" w:rsidRDefault="008927C3" w:rsidP="00681077">
      <w:pPr>
        <w:jc w:val="both"/>
        <w:rPr>
          <w:sz w:val="22"/>
        </w:rPr>
      </w:pPr>
    </w:p>
    <w:p w14:paraId="03D6004F" w14:textId="5D32B7AD" w:rsidR="00586497" w:rsidRPr="00526F43" w:rsidRDefault="008927C3" w:rsidP="00681077">
      <w:pPr>
        <w:jc w:val="both"/>
        <w:rPr>
          <w:sz w:val="22"/>
        </w:rPr>
      </w:pPr>
      <w:r w:rsidRPr="00526F43">
        <w:rPr>
          <w:sz w:val="22"/>
        </w:rPr>
        <w:t xml:space="preserve">The role of the Charter for EU nationals in post-Brexit UK is unclear. </w:t>
      </w:r>
      <w:r w:rsidR="00843B81" w:rsidRPr="00526F43">
        <w:rPr>
          <w:sz w:val="22"/>
        </w:rPr>
        <w:t xml:space="preserve">Although </w:t>
      </w:r>
      <w:r w:rsidRPr="00526F43">
        <w:rPr>
          <w:sz w:val="22"/>
        </w:rPr>
        <w:t>excluded from the category of ‘retained EU law’</w:t>
      </w:r>
      <w:r w:rsidR="004B0A2D" w:rsidRPr="00526F43">
        <w:rPr>
          <w:sz w:val="22"/>
        </w:rPr>
        <w:t>,</w:t>
      </w:r>
      <w:r w:rsidRPr="00526F43">
        <w:rPr>
          <w:sz w:val="22"/>
        </w:rPr>
        <w:t xml:space="preserve"> it reappears in the Withdrawal Agreement</w:t>
      </w:r>
      <w:r w:rsidR="00D47F10" w:rsidRPr="00526F43">
        <w:rPr>
          <w:sz w:val="22"/>
        </w:rPr>
        <w:t xml:space="preserve"> (WA)</w:t>
      </w:r>
      <w:r w:rsidRPr="00526F43">
        <w:rPr>
          <w:sz w:val="22"/>
        </w:rPr>
        <w:t>, included in the definition of “Union law” (Art 2(a)(</w:t>
      </w:r>
      <w:proofErr w:type="spellStart"/>
      <w:r w:rsidRPr="00526F43">
        <w:rPr>
          <w:sz w:val="22"/>
        </w:rPr>
        <w:t>i</w:t>
      </w:r>
      <w:proofErr w:type="spellEnd"/>
      <w:r w:rsidRPr="00526F43">
        <w:rPr>
          <w:sz w:val="22"/>
        </w:rPr>
        <w:t>) WA)</w:t>
      </w:r>
      <w:r w:rsidR="00586497" w:rsidRPr="00526F43">
        <w:rPr>
          <w:sz w:val="22"/>
        </w:rPr>
        <w:t xml:space="preserve">. It </w:t>
      </w:r>
      <w:r w:rsidR="00E260B0" w:rsidRPr="00526F43">
        <w:rPr>
          <w:sz w:val="22"/>
        </w:rPr>
        <w:t xml:space="preserve">is </w:t>
      </w:r>
      <w:r w:rsidR="00586497" w:rsidRPr="00526F43">
        <w:rPr>
          <w:sz w:val="22"/>
        </w:rPr>
        <w:t xml:space="preserve">also bundled into </w:t>
      </w:r>
      <w:r w:rsidR="00E260B0" w:rsidRPr="00526F43">
        <w:rPr>
          <w:sz w:val="22"/>
        </w:rPr>
        <w:t xml:space="preserve">WA </w:t>
      </w:r>
      <w:r w:rsidR="00586497" w:rsidRPr="00526F43">
        <w:rPr>
          <w:sz w:val="22"/>
        </w:rPr>
        <w:t>references to specific provisions of Union law; Article 4(3) requires “provisions of this Agreement referring to Union law or to concepts or provisions thereof” to be “interpreted and applied in accordance with the methods and general principles of Union law”. And Article 4(4) requires those same Agreement provisions to be implemented and applied “in conformity with the relevant case law of the Court of Justice of the European Union handed down before the end of the transition period”. As the Charter – a piece of primary EU law</w:t>
      </w:r>
      <w:r w:rsidR="00843B81" w:rsidRPr="00526F43">
        <w:rPr>
          <w:sz w:val="22"/>
        </w:rPr>
        <w:t xml:space="preserve"> – forms </w:t>
      </w:r>
      <w:r w:rsidR="00586497" w:rsidRPr="00526F43">
        <w:rPr>
          <w:sz w:val="22"/>
        </w:rPr>
        <w:t xml:space="preserve">part of the “methods and general principles of EU law”, </w:t>
      </w:r>
      <w:proofErr w:type="gramStart"/>
      <w:r w:rsidR="00586497" w:rsidRPr="00526F43">
        <w:rPr>
          <w:sz w:val="22"/>
        </w:rPr>
        <w:t>and also</w:t>
      </w:r>
      <w:proofErr w:type="gramEnd"/>
      <w:r w:rsidR="00586497" w:rsidRPr="00526F43">
        <w:rPr>
          <w:sz w:val="22"/>
        </w:rPr>
        <w:t xml:space="preserve"> informs the relevant case law, it would seem to percolate back into UK law through the Withdrawal Agreement.</w:t>
      </w:r>
    </w:p>
    <w:p w14:paraId="704CDB51" w14:textId="4F86A6F0" w:rsidR="00586497" w:rsidRPr="00526F43" w:rsidRDefault="00586497" w:rsidP="00681077">
      <w:pPr>
        <w:jc w:val="both"/>
        <w:rPr>
          <w:sz w:val="22"/>
        </w:rPr>
      </w:pPr>
    </w:p>
    <w:p w14:paraId="71FB98CD" w14:textId="6F5A32FD" w:rsidR="008927C3" w:rsidRPr="00526F43" w:rsidRDefault="00843B81" w:rsidP="00681077">
      <w:pPr>
        <w:jc w:val="both"/>
        <w:rPr>
          <w:sz w:val="22"/>
        </w:rPr>
      </w:pPr>
      <w:r w:rsidRPr="00526F43">
        <w:rPr>
          <w:sz w:val="22"/>
        </w:rPr>
        <w:t>The residence and citizens’ rights Articles are prime examples of</w:t>
      </w:r>
      <w:r w:rsidR="00586497" w:rsidRPr="00526F43">
        <w:rPr>
          <w:sz w:val="22"/>
        </w:rPr>
        <w:t xml:space="preserve"> parts of the Agreement </w:t>
      </w:r>
      <w:r w:rsidRPr="00526F43">
        <w:rPr>
          <w:sz w:val="22"/>
        </w:rPr>
        <w:t xml:space="preserve">that </w:t>
      </w:r>
      <w:r w:rsidR="00586497" w:rsidRPr="00526F43">
        <w:rPr>
          <w:sz w:val="22"/>
        </w:rPr>
        <w:t>refer to concepts or provisions of Union law. For example, Article 13 WA draws upon “Articles 21, 45 or 49 TFEU… Article 6(1), Article 7(1), Article 7(3), Article 14, Article 16(1) [and] Article 17(1) of Directive 2004/38/EC”. Article 15 WA states that permanent residence (settled status in the EUSS), may be acquired through accruing periods of “legal residence or work</w:t>
      </w:r>
      <w:r w:rsidR="00586497" w:rsidRPr="00526F43">
        <w:rPr>
          <w:i/>
          <w:iCs/>
          <w:sz w:val="22"/>
        </w:rPr>
        <w:t xml:space="preserve"> in accordance with Union law</w:t>
      </w:r>
      <w:r w:rsidR="00586497" w:rsidRPr="00526F43">
        <w:rPr>
          <w:sz w:val="22"/>
        </w:rPr>
        <w:t xml:space="preserve"> before </w:t>
      </w:r>
      <w:r w:rsidR="00586497" w:rsidRPr="00526F43">
        <w:rPr>
          <w:i/>
          <w:iCs/>
          <w:sz w:val="22"/>
        </w:rPr>
        <w:t>and after</w:t>
      </w:r>
      <w:r w:rsidR="00586497" w:rsidRPr="00526F43">
        <w:rPr>
          <w:sz w:val="22"/>
        </w:rPr>
        <w:t xml:space="preserve"> the end of the transition period”.</w:t>
      </w:r>
      <w:r w:rsidRPr="00526F43">
        <w:rPr>
          <w:sz w:val="22"/>
        </w:rPr>
        <w:t xml:space="preserve"> </w:t>
      </w:r>
      <w:r w:rsidR="00586497" w:rsidRPr="00526F43">
        <w:rPr>
          <w:sz w:val="22"/>
        </w:rPr>
        <w:t>These provisions are, moreover, intended to have direct effect in the UK,</w:t>
      </w:r>
      <w:r w:rsidR="00586497" w:rsidRPr="00526F43">
        <w:rPr>
          <w:rStyle w:val="FootnoteReference"/>
          <w:sz w:val="22"/>
        </w:rPr>
        <w:footnoteReference w:id="90"/>
      </w:r>
      <w:r w:rsidR="00586497" w:rsidRPr="00526F43">
        <w:rPr>
          <w:sz w:val="22"/>
        </w:rPr>
        <w:t xml:space="preserve"> allowing individuals to rely on them in domestic courts, as acknowledged in the European Union (Withdrawal Agreement) Act 2020.</w:t>
      </w:r>
      <w:r w:rsidR="00586497" w:rsidRPr="00526F43">
        <w:rPr>
          <w:rStyle w:val="FootnoteReference"/>
          <w:sz w:val="22"/>
        </w:rPr>
        <w:footnoteReference w:id="91"/>
      </w:r>
      <w:r w:rsidR="004639DF" w:rsidRPr="00526F43">
        <w:rPr>
          <w:sz w:val="22"/>
        </w:rPr>
        <w:t xml:space="preserve"> All of this would suggest that the ruling in </w:t>
      </w:r>
      <w:r w:rsidR="004639DF" w:rsidRPr="00526F43">
        <w:rPr>
          <w:i/>
          <w:iCs/>
          <w:sz w:val="22"/>
        </w:rPr>
        <w:t>CG</w:t>
      </w:r>
      <w:r w:rsidR="004639DF" w:rsidRPr="00526F43">
        <w:rPr>
          <w:sz w:val="22"/>
        </w:rPr>
        <w:t xml:space="preserve"> is not time-limited in the UK, at least as far as EU nationals who fall within the scope of the Withdrawal Agreement are concerned – bearing in mind that the WA provides them with </w:t>
      </w:r>
      <w:r w:rsidRPr="00526F43">
        <w:rPr>
          <w:sz w:val="22"/>
        </w:rPr>
        <w:t>“</w:t>
      </w:r>
      <w:r w:rsidR="004639DF" w:rsidRPr="00526F43">
        <w:rPr>
          <w:sz w:val="22"/>
        </w:rPr>
        <w:t>life-long protection</w:t>
      </w:r>
      <w:r w:rsidRPr="00526F43">
        <w:rPr>
          <w:sz w:val="22"/>
        </w:rPr>
        <w:t>”</w:t>
      </w:r>
      <w:r w:rsidR="004639DF" w:rsidRPr="00526F43">
        <w:rPr>
          <w:sz w:val="22"/>
        </w:rPr>
        <w:t>,</w:t>
      </w:r>
      <w:r w:rsidR="004639DF" w:rsidRPr="00526F43">
        <w:rPr>
          <w:rStyle w:val="FootnoteReference"/>
          <w:sz w:val="22"/>
        </w:rPr>
        <w:footnoteReference w:id="92"/>
      </w:r>
      <w:r w:rsidR="004639DF" w:rsidRPr="00526F43">
        <w:rPr>
          <w:sz w:val="22"/>
        </w:rPr>
        <w:t xml:space="preserve"> obliging the UK to continue to consider fundamental rights before refusing Universal Credit to people with pre-settled status.</w:t>
      </w:r>
    </w:p>
    <w:p w14:paraId="749BFDFE" w14:textId="1F6BF881" w:rsidR="004639DF" w:rsidRPr="00526F43" w:rsidRDefault="004639DF" w:rsidP="00681077">
      <w:pPr>
        <w:jc w:val="both"/>
        <w:rPr>
          <w:sz w:val="22"/>
        </w:rPr>
      </w:pPr>
    </w:p>
    <w:p w14:paraId="3ECA9815" w14:textId="0A4A7370" w:rsidR="009F2484" w:rsidRPr="00526F43" w:rsidRDefault="00006195" w:rsidP="00681077">
      <w:pPr>
        <w:jc w:val="both"/>
        <w:rPr>
          <w:sz w:val="22"/>
        </w:rPr>
      </w:pPr>
      <w:r w:rsidRPr="00526F43">
        <w:rPr>
          <w:sz w:val="22"/>
        </w:rPr>
        <w:t>However, the</w:t>
      </w:r>
      <w:r w:rsidR="00843B81" w:rsidRPr="00526F43">
        <w:rPr>
          <w:sz w:val="22"/>
        </w:rPr>
        <w:t>re is a potential</w:t>
      </w:r>
      <w:r w:rsidRPr="00526F43">
        <w:rPr>
          <w:sz w:val="22"/>
        </w:rPr>
        <w:t xml:space="preserve"> mismatch </w:t>
      </w:r>
      <w:r w:rsidR="00843B81" w:rsidRPr="00526F43">
        <w:rPr>
          <w:sz w:val="22"/>
        </w:rPr>
        <w:t>of personal scope between</w:t>
      </w:r>
      <w:r w:rsidRPr="00526F43">
        <w:rPr>
          <w:sz w:val="22"/>
        </w:rPr>
        <w:t xml:space="preserve"> the Withdrawal Agreement and the UK’s EUSS scheme</w:t>
      </w:r>
      <w:r w:rsidR="00843B81" w:rsidRPr="00526F43">
        <w:rPr>
          <w:sz w:val="22"/>
        </w:rPr>
        <w:t>. W</w:t>
      </w:r>
      <w:r w:rsidR="009F2484" w:rsidRPr="00526F43">
        <w:rPr>
          <w:sz w:val="22"/>
        </w:rPr>
        <w:t xml:space="preserve">hile pre-settled status and settled status are in essence the UK’s equivalents to temporary and permanent residence rights under the WA, it is not clear that they will be treated as equivalent without individuals fulfilling the conditions of Articles 13 and 15 WA. </w:t>
      </w:r>
      <w:proofErr w:type="gramStart"/>
      <w:r w:rsidR="00AF4D7B" w:rsidRPr="00526F43">
        <w:rPr>
          <w:sz w:val="22"/>
        </w:rPr>
        <w:t>In particular, will</w:t>
      </w:r>
      <w:proofErr w:type="gramEnd"/>
      <w:r w:rsidR="00AF4D7B" w:rsidRPr="00526F43">
        <w:rPr>
          <w:sz w:val="22"/>
        </w:rPr>
        <w:t xml:space="preserve"> or should having pre-settled status entitle the holder to be treated as though they have a right to reside under Article 13 WA? </w:t>
      </w:r>
    </w:p>
    <w:p w14:paraId="2684BE80" w14:textId="4D8CF77C" w:rsidR="002B0CCD" w:rsidRPr="00526F43" w:rsidRDefault="002B0CCD" w:rsidP="00681077">
      <w:pPr>
        <w:jc w:val="both"/>
        <w:rPr>
          <w:sz w:val="22"/>
        </w:rPr>
      </w:pPr>
    </w:p>
    <w:p w14:paraId="3AD6496C" w14:textId="30834469" w:rsidR="006E7B08" w:rsidRPr="00526F43" w:rsidRDefault="005D0692" w:rsidP="00681077">
      <w:pPr>
        <w:jc w:val="both"/>
        <w:rPr>
          <w:sz w:val="22"/>
        </w:rPr>
      </w:pPr>
      <w:r w:rsidRPr="00526F43">
        <w:rPr>
          <w:sz w:val="22"/>
        </w:rPr>
        <w:t xml:space="preserve">In obliging </w:t>
      </w:r>
      <w:r w:rsidR="002B0CCD" w:rsidRPr="00526F43">
        <w:rPr>
          <w:sz w:val="22"/>
        </w:rPr>
        <w:t>EU nationals to register for the EUSS</w:t>
      </w:r>
      <w:r w:rsidRPr="00526F43">
        <w:rPr>
          <w:sz w:val="22"/>
        </w:rPr>
        <w:t>, th</w:t>
      </w:r>
      <w:r w:rsidR="002B0CCD" w:rsidRPr="00526F43">
        <w:rPr>
          <w:sz w:val="22"/>
        </w:rPr>
        <w:t xml:space="preserve">e UK has chosen to exercise the option </w:t>
      </w:r>
      <w:proofErr w:type="gramStart"/>
      <w:r w:rsidR="002B0CCD" w:rsidRPr="00526F43">
        <w:rPr>
          <w:sz w:val="22"/>
        </w:rPr>
        <w:t>under Article 18 of the Withdrawal Agreement,</w:t>
      </w:r>
      <w:proofErr w:type="gramEnd"/>
      <w:r w:rsidR="002B0CCD" w:rsidRPr="00526F43">
        <w:rPr>
          <w:sz w:val="22"/>
        </w:rPr>
        <w:t xml:space="preserve"> </w:t>
      </w:r>
      <w:r w:rsidRPr="00526F43">
        <w:rPr>
          <w:sz w:val="22"/>
        </w:rPr>
        <w:t>of requiring</w:t>
      </w:r>
      <w:r w:rsidR="002B0CCD" w:rsidRPr="00526F43">
        <w:rPr>
          <w:sz w:val="22"/>
        </w:rPr>
        <w:t xml:space="preserve"> EU citizens “to apply for a new residence status </w:t>
      </w:r>
      <w:r w:rsidR="002B0CCD" w:rsidRPr="00526F43">
        <w:rPr>
          <w:i/>
          <w:iCs/>
          <w:sz w:val="22"/>
        </w:rPr>
        <w:t>which confers the rights under this Title</w:t>
      </w:r>
      <w:r w:rsidR="00F172EE" w:rsidRPr="00526F43">
        <w:rPr>
          <w:sz w:val="22"/>
        </w:rPr>
        <w:t>”</w:t>
      </w:r>
      <w:r w:rsidR="002B0CCD" w:rsidRPr="00526F43">
        <w:rPr>
          <w:sz w:val="22"/>
        </w:rPr>
        <w:t xml:space="preserve">. </w:t>
      </w:r>
      <w:proofErr w:type="gramStart"/>
      <w:r w:rsidR="002B0CCD" w:rsidRPr="00526F43">
        <w:rPr>
          <w:sz w:val="22"/>
        </w:rPr>
        <w:t>So</w:t>
      </w:r>
      <w:proofErr w:type="gramEnd"/>
      <w:r w:rsidR="002B0CCD" w:rsidRPr="00526F43">
        <w:rPr>
          <w:sz w:val="22"/>
        </w:rPr>
        <w:t xml:space="preserve"> it is the status itself that confers the rights under Title II of the WA – which would suggest that pre-settled status should confer those rights. </w:t>
      </w:r>
      <w:r w:rsidR="006C79AA" w:rsidRPr="00526F43">
        <w:rPr>
          <w:sz w:val="22"/>
        </w:rPr>
        <w:t xml:space="preserve">If, however, pre-settled status is not considered enough in itself to bring someone within the scope of the Withdrawal Agreement, then it is not a status that confers the rights in the WA, so is not awarded under Article 18 WA. </w:t>
      </w:r>
      <w:r w:rsidRPr="00526F43">
        <w:rPr>
          <w:sz w:val="22"/>
        </w:rPr>
        <w:t>This</w:t>
      </w:r>
      <w:r w:rsidR="006E7B08" w:rsidRPr="00526F43">
        <w:rPr>
          <w:sz w:val="22"/>
        </w:rPr>
        <w:t xml:space="preserve"> would throw into question </w:t>
      </w:r>
      <w:r w:rsidR="006C79AA" w:rsidRPr="00526F43">
        <w:rPr>
          <w:sz w:val="22"/>
        </w:rPr>
        <w:t xml:space="preserve">the legal basis for obliging EU nationals to register for the EUSS, on pain of loss of rights, if </w:t>
      </w:r>
      <w:r w:rsidRPr="00526F43">
        <w:rPr>
          <w:sz w:val="22"/>
        </w:rPr>
        <w:t xml:space="preserve">the basis is </w:t>
      </w:r>
      <w:proofErr w:type="gramStart"/>
      <w:r w:rsidRPr="00526F43">
        <w:rPr>
          <w:sz w:val="22"/>
        </w:rPr>
        <w:t xml:space="preserve">not </w:t>
      </w:r>
      <w:r w:rsidR="006C79AA" w:rsidRPr="00526F43">
        <w:rPr>
          <w:sz w:val="22"/>
        </w:rPr>
        <w:t xml:space="preserve"> Article</w:t>
      </w:r>
      <w:proofErr w:type="gramEnd"/>
      <w:r w:rsidR="006C79AA" w:rsidRPr="00526F43">
        <w:rPr>
          <w:sz w:val="22"/>
        </w:rPr>
        <w:t xml:space="preserve"> 18 WA. </w:t>
      </w:r>
      <w:r w:rsidR="006E7B08" w:rsidRPr="00526F43">
        <w:rPr>
          <w:sz w:val="22"/>
        </w:rPr>
        <w:t>And the</w:t>
      </w:r>
      <w:r w:rsidRPr="00526F43">
        <w:rPr>
          <w:sz w:val="22"/>
        </w:rPr>
        <w:t>re is an</w:t>
      </w:r>
      <w:r w:rsidR="006E7B08" w:rsidRPr="00526F43">
        <w:rPr>
          <w:sz w:val="22"/>
        </w:rPr>
        <w:t xml:space="preserve"> equal and opposite question – if pre-settled status does not confer the rights flowing from Article 13 WA – then what does? </w:t>
      </w:r>
      <w:r w:rsidR="00F172EE" w:rsidRPr="00526F43">
        <w:rPr>
          <w:sz w:val="22"/>
        </w:rPr>
        <w:t>This</w:t>
      </w:r>
      <w:r w:rsidR="006E7B08" w:rsidRPr="00526F43">
        <w:rPr>
          <w:sz w:val="22"/>
        </w:rPr>
        <w:t xml:space="preserve"> nudges an avalanche of questions: how is the UK discharging its obligations under Article 13 WA if not through the EUSS? How does the UK distinguish between pre-settled citizens who are covered by Article 13 from those who are not? </w:t>
      </w:r>
      <w:r w:rsidR="00F172EE" w:rsidRPr="00526F43">
        <w:rPr>
          <w:sz w:val="22"/>
        </w:rPr>
        <w:t>What</w:t>
      </w:r>
      <w:r w:rsidR="006E7B08" w:rsidRPr="00526F43">
        <w:rPr>
          <w:sz w:val="22"/>
        </w:rPr>
        <w:t xml:space="preserve"> are the routes to appeal the classification? And how can EU citizens demonstrate their </w:t>
      </w:r>
      <w:proofErr w:type="gramStart"/>
      <w:r w:rsidR="006E7B08" w:rsidRPr="00526F43">
        <w:rPr>
          <w:sz w:val="22"/>
        </w:rPr>
        <w:t>Article</w:t>
      </w:r>
      <w:proofErr w:type="gramEnd"/>
      <w:r w:rsidR="006E7B08" w:rsidRPr="00526F43">
        <w:rPr>
          <w:sz w:val="22"/>
        </w:rPr>
        <w:t xml:space="preserve"> 13 WA status – is there a corresponding document under Article 18 WA to which they are entitled? </w:t>
      </w:r>
    </w:p>
    <w:p w14:paraId="1E759ED7" w14:textId="0F887B15" w:rsidR="006E7B08" w:rsidRPr="00526F43" w:rsidRDefault="006E7B08" w:rsidP="00681077">
      <w:pPr>
        <w:jc w:val="both"/>
        <w:rPr>
          <w:sz w:val="22"/>
        </w:rPr>
      </w:pPr>
    </w:p>
    <w:p w14:paraId="4F83C9C8" w14:textId="04ADB730" w:rsidR="000C4346" w:rsidRPr="00526F43" w:rsidRDefault="00B46EE0" w:rsidP="00681077">
      <w:pPr>
        <w:jc w:val="both"/>
        <w:rPr>
          <w:sz w:val="22"/>
        </w:rPr>
      </w:pPr>
      <w:r w:rsidRPr="00526F43">
        <w:rPr>
          <w:sz w:val="22"/>
        </w:rPr>
        <w:t>Th</w:t>
      </w:r>
      <w:r w:rsidR="001050DE" w:rsidRPr="00526F43">
        <w:rPr>
          <w:sz w:val="22"/>
        </w:rPr>
        <w:t xml:space="preserve">e root of the problem seems to be that the UK government wants </w:t>
      </w:r>
      <w:r w:rsidRPr="00526F43">
        <w:rPr>
          <w:sz w:val="22"/>
        </w:rPr>
        <w:t>to have at its disposal the draconian effects of a constitutive status when it comes to the deadline,</w:t>
      </w:r>
      <w:r w:rsidR="001050DE" w:rsidRPr="00526F43">
        <w:rPr>
          <w:sz w:val="22"/>
        </w:rPr>
        <w:t xml:space="preserve"> to allow it full freedom of action – including </w:t>
      </w:r>
      <w:r w:rsidR="001050DE" w:rsidRPr="00526F43">
        <w:rPr>
          <w:sz w:val="22"/>
        </w:rPr>
        <w:lastRenderedPageBreak/>
        <w:t xml:space="preserve">deportation – when dealing with future unregistered </w:t>
      </w:r>
      <w:proofErr w:type="gramStart"/>
      <w:r w:rsidR="001050DE" w:rsidRPr="00526F43">
        <w:rPr>
          <w:sz w:val="22"/>
        </w:rPr>
        <w:t>criminals, but</w:t>
      </w:r>
      <w:proofErr w:type="gramEnd"/>
      <w:r w:rsidR="001050DE" w:rsidRPr="00526F43">
        <w:rPr>
          <w:sz w:val="22"/>
        </w:rPr>
        <w:t xml:space="preserve"> wants to act as though it has established a </w:t>
      </w:r>
      <w:r w:rsidRPr="00526F43">
        <w:rPr>
          <w:sz w:val="22"/>
        </w:rPr>
        <w:t xml:space="preserve">declaratory system when it comes to rights that flow from </w:t>
      </w:r>
      <w:r w:rsidR="001050DE" w:rsidRPr="00526F43">
        <w:rPr>
          <w:sz w:val="22"/>
        </w:rPr>
        <w:t xml:space="preserve">EUSS </w:t>
      </w:r>
      <w:r w:rsidRPr="00526F43">
        <w:rPr>
          <w:sz w:val="22"/>
        </w:rPr>
        <w:t>status.</w:t>
      </w:r>
      <w:r w:rsidR="001050DE" w:rsidRPr="00526F43">
        <w:rPr>
          <w:sz w:val="22"/>
        </w:rPr>
        <w:t xml:space="preserve"> Either having the status is decisive or it is not; </w:t>
      </w:r>
      <w:r w:rsidR="000C4346" w:rsidRPr="00526F43">
        <w:rPr>
          <w:sz w:val="22"/>
        </w:rPr>
        <w:t>but the UK has adopted a</w:t>
      </w:r>
      <w:r w:rsidR="001050DE" w:rsidRPr="00526F43">
        <w:rPr>
          <w:sz w:val="22"/>
        </w:rPr>
        <w:t xml:space="preserve"> rather cynical pick-and-mix approach.</w:t>
      </w:r>
    </w:p>
    <w:p w14:paraId="04B82053" w14:textId="77777777" w:rsidR="000C4346" w:rsidRPr="00526F43" w:rsidRDefault="000C4346" w:rsidP="00681077">
      <w:pPr>
        <w:jc w:val="both"/>
        <w:rPr>
          <w:sz w:val="22"/>
        </w:rPr>
      </w:pPr>
    </w:p>
    <w:p w14:paraId="0A368E54" w14:textId="3C08AD5D" w:rsidR="00F9693D" w:rsidRPr="00526F43" w:rsidRDefault="00447147" w:rsidP="00681077">
      <w:pPr>
        <w:jc w:val="both"/>
        <w:rPr>
          <w:sz w:val="22"/>
        </w:rPr>
      </w:pPr>
      <w:r w:rsidRPr="00526F43">
        <w:rPr>
          <w:sz w:val="22"/>
        </w:rPr>
        <w:t xml:space="preserve">If pre-settled status is not sufficient to bring someone within the scope of Article 13 </w:t>
      </w:r>
      <w:proofErr w:type="gramStart"/>
      <w:r w:rsidRPr="00526F43">
        <w:rPr>
          <w:sz w:val="22"/>
        </w:rPr>
        <w:t>WA</w:t>
      </w:r>
      <w:proofErr w:type="gramEnd"/>
      <w:r w:rsidRPr="00526F43">
        <w:rPr>
          <w:sz w:val="22"/>
        </w:rPr>
        <w:t xml:space="preserve"> then our attention must turn to the personal scope of Article 10. </w:t>
      </w:r>
      <w:r w:rsidR="00716695" w:rsidRPr="00526F43">
        <w:rPr>
          <w:sz w:val="22"/>
        </w:rPr>
        <w:t xml:space="preserve">This </w:t>
      </w:r>
      <w:r w:rsidRPr="00526F43">
        <w:rPr>
          <w:sz w:val="22"/>
        </w:rPr>
        <w:t>is more widely drawn than Article 13 WA</w:t>
      </w:r>
      <w:r w:rsidR="00D47CB9" w:rsidRPr="00526F43">
        <w:rPr>
          <w:sz w:val="22"/>
        </w:rPr>
        <w:t xml:space="preserve">, </w:t>
      </w:r>
      <w:r w:rsidR="00716695" w:rsidRPr="00526F43">
        <w:rPr>
          <w:sz w:val="22"/>
        </w:rPr>
        <w:t>confer</w:t>
      </w:r>
      <w:r w:rsidR="00D47CB9" w:rsidRPr="00526F43">
        <w:rPr>
          <w:sz w:val="22"/>
        </w:rPr>
        <w:t>ring</w:t>
      </w:r>
      <w:r w:rsidR="00716695" w:rsidRPr="00526F43">
        <w:rPr>
          <w:sz w:val="22"/>
        </w:rPr>
        <w:t xml:space="preserve"> Part II rights upon “Union citizens who exercised their right to reside in the United Kingdom in accordance with Union law before the end of the transition period and continue to reside there thereafter”.</w:t>
      </w:r>
      <w:r w:rsidR="003246A4" w:rsidRPr="00526F43">
        <w:rPr>
          <w:sz w:val="22"/>
        </w:rPr>
        <w:t xml:space="preserve"> It does not require that residence in accordance with Union law was continuous or up until the end of transition, or immediately before transition; rather it could be residence in accordance with Union law </w:t>
      </w:r>
      <w:r w:rsidR="003246A4" w:rsidRPr="00526F43">
        <w:rPr>
          <w:i/>
          <w:iCs/>
          <w:sz w:val="22"/>
        </w:rPr>
        <w:t>at some point</w:t>
      </w:r>
      <w:r w:rsidR="003246A4" w:rsidRPr="00526F43">
        <w:rPr>
          <w:sz w:val="22"/>
        </w:rPr>
        <w:t xml:space="preserve"> before the end of transition – which would include people who have exercised their Article 6 Directive 2004/38 right to reside in the UK without conditions for the first three months, and then continued to reside</w:t>
      </w:r>
      <w:r w:rsidR="005D0692" w:rsidRPr="00526F43">
        <w:rPr>
          <w:sz w:val="22"/>
        </w:rPr>
        <w:t xml:space="preserve"> thereafter</w:t>
      </w:r>
      <w:r w:rsidR="003246A4" w:rsidRPr="00526F43">
        <w:rPr>
          <w:sz w:val="22"/>
        </w:rPr>
        <w:t xml:space="preserve">. </w:t>
      </w:r>
      <w:r w:rsidR="000C0538" w:rsidRPr="00526F43">
        <w:rPr>
          <w:sz w:val="22"/>
        </w:rPr>
        <w:t>Nor does it</w:t>
      </w:r>
      <w:r w:rsidR="003246A4" w:rsidRPr="00526F43">
        <w:rPr>
          <w:sz w:val="22"/>
        </w:rPr>
        <w:t xml:space="preserve"> stipulate that residence </w:t>
      </w:r>
      <w:r w:rsidR="005D0692" w:rsidRPr="00526F43">
        <w:rPr>
          <w:sz w:val="22"/>
        </w:rPr>
        <w:t>post-</w:t>
      </w:r>
      <w:r w:rsidR="003246A4" w:rsidRPr="00526F43">
        <w:rPr>
          <w:sz w:val="22"/>
        </w:rPr>
        <w:t xml:space="preserve">transition needs to be in accordance with Union law.   </w:t>
      </w:r>
    </w:p>
    <w:p w14:paraId="7ED0FCE3" w14:textId="328293AA" w:rsidR="003246A4" w:rsidRPr="00526F43" w:rsidRDefault="003246A4" w:rsidP="00681077">
      <w:pPr>
        <w:jc w:val="both"/>
        <w:rPr>
          <w:sz w:val="22"/>
        </w:rPr>
      </w:pPr>
    </w:p>
    <w:p w14:paraId="5CEB02A5" w14:textId="075DBA1F" w:rsidR="00A1010C" w:rsidRPr="00526F43" w:rsidRDefault="003246A4" w:rsidP="00681077">
      <w:pPr>
        <w:jc w:val="both"/>
        <w:rPr>
          <w:sz w:val="22"/>
        </w:rPr>
      </w:pPr>
      <w:r w:rsidRPr="00526F43">
        <w:rPr>
          <w:sz w:val="22"/>
        </w:rPr>
        <w:t>If we treat Article 10 WA as having an apparently broad personal scope</w:t>
      </w:r>
      <w:r w:rsidR="00D47CB9" w:rsidRPr="00526F43">
        <w:rPr>
          <w:sz w:val="22"/>
        </w:rPr>
        <w:t xml:space="preserve"> </w:t>
      </w:r>
      <w:r w:rsidRPr="00526F43">
        <w:rPr>
          <w:sz w:val="22"/>
        </w:rPr>
        <w:t>then people with pre-settled status must come within it, and so have access to the Article 12 WA right to non-discrimination</w:t>
      </w:r>
      <w:r w:rsidR="00D47CB9" w:rsidRPr="00526F43">
        <w:rPr>
          <w:sz w:val="22"/>
        </w:rPr>
        <w:t xml:space="preserve">, which </w:t>
      </w:r>
      <w:r w:rsidRPr="00526F43">
        <w:rPr>
          <w:sz w:val="22"/>
        </w:rPr>
        <w:t xml:space="preserve">falls within the same </w:t>
      </w:r>
      <w:r w:rsidR="000C0538" w:rsidRPr="00526F43">
        <w:rPr>
          <w:sz w:val="22"/>
        </w:rPr>
        <w:t>T</w:t>
      </w:r>
      <w:r w:rsidRPr="00526F43">
        <w:rPr>
          <w:sz w:val="22"/>
        </w:rPr>
        <w:t>itle. However,</w:t>
      </w:r>
      <w:r w:rsidR="00B33CAC" w:rsidRPr="00526F43">
        <w:rPr>
          <w:sz w:val="22"/>
        </w:rPr>
        <w:t xml:space="preserve"> if </w:t>
      </w:r>
      <w:r w:rsidR="00B33CAC" w:rsidRPr="00526F43">
        <w:rPr>
          <w:i/>
          <w:iCs/>
          <w:sz w:val="22"/>
        </w:rPr>
        <w:t xml:space="preserve">CG </w:t>
      </w:r>
      <w:r w:rsidR="00B33CAC" w:rsidRPr="00526F43">
        <w:rPr>
          <w:sz w:val="22"/>
        </w:rPr>
        <w:t xml:space="preserve">blocks Article 18 TFEU claims before the end of transition, would it also block Article 12 WA claims after transition? Not necessarily. </w:t>
      </w:r>
      <w:r w:rsidR="00A57DB2" w:rsidRPr="00526F43">
        <w:rPr>
          <w:sz w:val="22"/>
        </w:rPr>
        <w:t xml:space="preserve">The different context of the WA means that the Court’s (flawed) logic could come unstuck. </w:t>
      </w:r>
      <w:r w:rsidRPr="00526F43">
        <w:rPr>
          <w:sz w:val="22"/>
        </w:rPr>
        <w:t xml:space="preserve">In </w:t>
      </w:r>
      <w:r w:rsidRPr="00526F43">
        <w:rPr>
          <w:i/>
          <w:iCs/>
          <w:sz w:val="22"/>
        </w:rPr>
        <w:t>CG</w:t>
      </w:r>
      <w:r w:rsidRPr="00526F43">
        <w:rPr>
          <w:sz w:val="22"/>
        </w:rPr>
        <w:t xml:space="preserve">, the CJEU suggested that Article 18 TFEU was supplanted by Article 24 of Directive 2004/38 </w:t>
      </w:r>
      <w:r w:rsidR="000C0538" w:rsidRPr="00526F43">
        <w:rPr>
          <w:sz w:val="22"/>
        </w:rPr>
        <w:t>because</w:t>
      </w:r>
      <w:r w:rsidRPr="00526F43">
        <w:rPr>
          <w:sz w:val="22"/>
        </w:rPr>
        <w:t xml:space="preserve"> there had been movement between states. </w:t>
      </w:r>
      <w:r w:rsidR="00A1010C" w:rsidRPr="00526F43">
        <w:rPr>
          <w:sz w:val="22"/>
        </w:rPr>
        <w:t>Th</w:t>
      </w:r>
      <w:r w:rsidR="00B33CAC" w:rsidRPr="00526F43">
        <w:rPr>
          <w:sz w:val="22"/>
        </w:rPr>
        <w:t xml:space="preserve">is </w:t>
      </w:r>
      <w:r w:rsidR="00A1010C" w:rsidRPr="00526F43">
        <w:rPr>
          <w:sz w:val="22"/>
        </w:rPr>
        <w:t xml:space="preserve">reasoning cannot be </w:t>
      </w:r>
      <w:r w:rsidR="00B33CAC" w:rsidRPr="00526F43">
        <w:rPr>
          <w:sz w:val="22"/>
        </w:rPr>
        <w:t>applied to Article 12 WA</w:t>
      </w:r>
      <w:r w:rsidR="00A1010C" w:rsidRPr="00526F43">
        <w:rPr>
          <w:sz w:val="22"/>
        </w:rPr>
        <w:t xml:space="preserve">, because </w:t>
      </w:r>
      <w:r w:rsidRPr="00526F43">
        <w:rPr>
          <w:sz w:val="22"/>
        </w:rPr>
        <w:t xml:space="preserve">the </w:t>
      </w:r>
      <w:r w:rsidR="00A1010C" w:rsidRPr="00526F43">
        <w:rPr>
          <w:sz w:val="22"/>
        </w:rPr>
        <w:t xml:space="preserve">citizens’ rights of the </w:t>
      </w:r>
      <w:r w:rsidRPr="00526F43">
        <w:rPr>
          <w:sz w:val="22"/>
        </w:rPr>
        <w:t>WA</w:t>
      </w:r>
      <w:r w:rsidRPr="00526F43">
        <w:rPr>
          <w:i/>
          <w:iCs/>
          <w:sz w:val="22"/>
        </w:rPr>
        <w:t xml:space="preserve"> only</w:t>
      </w:r>
      <w:r w:rsidRPr="00526F43">
        <w:rPr>
          <w:sz w:val="22"/>
        </w:rPr>
        <w:t xml:space="preserve"> appl</w:t>
      </w:r>
      <w:r w:rsidR="00A1010C" w:rsidRPr="00526F43">
        <w:rPr>
          <w:sz w:val="22"/>
        </w:rPr>
        <w:t>y</w:t>
      </w:r>
      <w:r w:rsidRPr="00526F43">
        <w:rPr>
          <w:sz w:val="22"/>
        </w:rPr>
        <w:t xml:space="preserve"> where there has been such movement</w:t>
      </w:r>
      <w:r w:rsidR="00A1010C" w:rsidRPr="00526F43">
        <w:rPr>
          <w:sz w:val="22"/>
        </w:rPr>
        <w:t xml:space="preserve">. </w:t>
      </w:r>
      <w:proofErr w:type="gramStart"/>
      <w:r w:rsidR="00A1010C" w:rsidRPr="00526F43">
        <w:rPr>
          <w:sz w:val="22"/>
        </w:rPr>
        <w:t>So</w:t>
      </w:r>
      <w:proofErr w:type="gramEnd"/>
      <w:r w:rsidR="00A1010C" w:rsidRPr="00526F43">
        <w:rPr>
          <w:sz w:val="22"/>
        </w:rPr>
        <w:t xml:space="preserve"> we would need to know when, if ever, the non-discrimination provision of Article 12 WA would apply outside of the scope of Article 23 WA</w:t>
      </w:r>
      <w:r w:rsidR="00294E15" w:rsidRPr="00526F43">
        <w:rPr>
          <w:sz w:val="22"/>
        </w:rPr>
        <w:t xml:space="preserve"> (which replicates Art 24 of the CRD)</w:t>
      </w:r>
      <w:r w:rsidR="00A1010C" w:rsidRPr="00526F43">
        <w:rPr>
          <w:sz w:val="22"/>
        </w:rPr>
        <w:t xml:space="preserve"> – indeed, we would need to know why the non-discrimination provision of Article 12 WA exists at all. </w:t>
      </w:r>
    </w:p>
    <w:p w14:paraId="7ECCF863" w14:textId="77777777" w:rsidR="00A1010C" w:rsidRPr="00526F43" w:rsidRDefault="00A1010C" w:rsidP="00681077">
      <w:pPr>
        <w:jc w:val="both"/>
        <w:rPr>
          <w:sz w:val="22"/>
        </w:rPr>
      </w:pPr>
    </w:p>
    <w:p w14:paraId="7BF3288B" w14:textId="1C67F68E" w:rsidR="00A1010C" w:rsidRPr="00526F43" w:rsidRDefault="00B35546" w:rsidP="00681077">
      <w:pPr>
        <w:jc w:val="both"/>
        <w:rPr>
          <w:b/>
          <w:bCs/>
          <w:sz w:val="22"/>
        </w:rPr>
      </w:pPr>
      <w:r w:rsidRPr="00526F43">
        <w:rPr>
          <w:b/>
          <w:bCs/>
          <w:sz w:val="22"/>
        </w:rPr>
        <w:t xml:space="preserve">Conclusion </w:t>
      </w:r>
      <w:r w:rsidR="00A1010C" w:rsidRPr="00526F43">
        <w:rPr>
          <w:b/>
          <w:bCs/>
          <w:sz w:val="22"/>
        </w:rPr>
        <w:t xml:space="preserve"> </w:t>
      </w:r>
    </w:p>
    <w:p w14:paraId="2BFCDDF3" w14:textId="77777777" w:rsidR="00A1010C" w:rsidRPr="00526F43" w:rsidRDefault="00A1010C" w:rsidP="00681077">
      <w:pPr>
        <w:jc w:val="both"/>
        <w:rPr>
          <w:sz w:val="22"/>
        </w:rPr>
      </w:pPr>
    </w:p>
    <w:p w14:paraId="39B696CB" w14:textId="497A896A" w:rsidR="000141E3" w:rsidRPr="00526F43" w:rsidRDefault="000141E3" w:rsidP="00681077">
      <w:pPr>
        <w:jc w:val="both"/>
        <w:rPr>
          <w:sz w:val="22"/>
        </w:rPr>
      </w:pPr>
      <w:r w:rsidRPr="00526F43">
        <w:rPr>
          <w:sz w:val="22"/>
        </w:rPr>
        <w:t>This is a disappointing judgment</w:t>
      </w:r>
      <w:r w:rsidR="007F1768" w:rsidRPr="00526F43">
        <w:rPr>
          <w:sz w:val="22"/>
        </w:rPr>
        <w:t xml:space="preserve"> on several levels</w:t>
      </w:r>
      <w:r w:rsidRPr="00526F43">
        <w:rPr>
          <w:sz w:val="22"/>
        </w:rPr>
        <w:t>. I</w:t>
      </w:r>
      <w:r w:rsidR="00315526" w:rsidRPr="00526F43">
        <w:rPr>
          <w:sz w:val="22"/>
        </w:rPr>
        <w:t xml:space="preserve">t is </w:t>
      </w:r>
      <w:r w:rsidR="00E1458F" w:rsidRPr="00526F43">
        <w:rPr>
          <w:sz w:val="22"/>
        </w:rPr>
        <w:t>remarkable</w:t>
      </w:r>
      <w:r w:rsidR="00315526" w:rsidRPr="00526F43">
        <w:rPr>
          <w:sz w:val="22"/>
        </w:rPr>
        <w:t xml:space="preserve"> that the CJEU </w:t>
      </w:r>
      <w:r w:rsidR="00315526" w:rsidRPr="00526F43">
        <w:rPr>
          <w:i/>
          <w:iCs/>
          <w:sz w:val="22"/>
        </w:rPr>
        <w:t xml:space="preserve">and the EU Commission </w:t>
      </w:r>
      <w:r w:rsidR="00315526" w:rsidRPr="00526F43">
        <w:rPr>
          <w:sz w:val="22"/>
        </w:rPr>
        <w:t xml:space="preserve">have less appetite than the Court of Appeal of England and Wales for protecting the rights of EU nationals cast adrift in the UK. </w:t>
      </w:r>
      <w:r w:rsidRPr="00526F43">
        <w:rPr>
          <w:sz w:val="22"/>
        </w:rPr>
        <w:t xml:space="preserve">In many cases, those with pre-settled status, who cannot persuade the authorities that they have another right to reside, and who need social assistance, will be among the most vulnerable EU citizens </w:t>
      </w:r>
      <w:r w:rsidR="00C96C46" w:rsidRPr="00526F43">
        <w:rPr>
          <w:sz w:val="22"/>
        </w:rPr>
        <w:t>dragged into the slipstream of</w:t>
      </w:r>
      <w:r w:rsidRPr="00526F43">
        <w:rPr>
          <w:sz w:val="22"/>
        </w:rPr>
        <w:t xml:space="preserve"> Brexit. It is hard to understand the motivation for contorting the law to avoid </w:t>
      </w:r>
      <w:r w:rsidR="00C96C46" w:rsidRPr="00526F43">
        <w:rPr>
          <w:sz w:val="22"/>
        </w:rPr>
        <w:t>protecting them.</w:t>
      </w:r>
      <w:r w:rsidRPr="00526F43">
        <w:rPr>
          <w:sz w:val="22"/>
        </w:rPr>
        <w:t xml:space="preserve"> </w:t>
      </w:r>
    </w:p>
    <w:p w14:paraId="6C922A67" w14:textId="77777777" w:rsidR="000141E3" w:rsidRPr="00526F43" w:rsidRDefault="000141E3" w:rsidP="00681077">
      <w:pPr>
        <w:jc w:val="both"/>
        <w:rPr>
          <w:sz w:val="22"/>
        </w:rPr>
      </w:pPr>
    </w:p>
    <w:p w14:paraId="4EB4C216" w14:textId="02EBB289" w:rsidR="00285D81" w:rsidRPr="00526F43" w:rsidRDefault="000141E3" w:rsidP="00681077">
      <w:pPr>
        <w:jc w:val="both"/>
        <w:rPr>
          <w:sz w:val="22"/>
        </w:rPr>
      </w:pPr>
      <w:r w:rsidRPr="00526F43">
        <w:rPr>
          <w:sz w:val="22"/>
        </w:rPr>
        <w:t xml:space="preserve">And that contortion may have widespread consequences – certainly for the rights of millions of EU nationals in the UK, but also for EU migrants across the EU. </w:t>
      </w:r>
      <w:r w:rsidR="00285D81" w:rsidRPr="00526F43">
        <w:rPr>
          <w:sz w:val="22"/>
        </w:rPr>
        <w:t>The Court has dismissed and m</w:t>
      </w:r>
      <w:r w:rsidR="00315526" w:rsidRPr="00526F43">
        <w:rPr>
          <w:sz w:val="22"/>
        </w:rPr>
        <w:t>arginalise</w:t>
      </w:r>
      <w:r w:rsidR="00285D81" w:rsidRPr="00526F43">
        <w:rPr>
          <w:sz w:val="22"/>
        </w:rPr>
        <w:t>d</w:t>
      </w:r>
      <w:r w:rsidR="00315526" w:rsidRPr="00526F43">
        <w:rPr>
          <w:sz w:val="22"/>
        </w:rPr>
        <w:t xml:space="preserve"> primary non-discrimination rights, </w:t>
      </w:r>
      <w:r w:rsidR="00285D81" w:rsidRPr="00526F43">
        <w:rPr>
          <w:sz w:val="22"/>
        </w:rPr>
        <w:t xml:space="preserve">significantly diluting down the force of </w:t>
      </w:r>
      <w:r w:rsidR="00315526" w:rsidRPr="00526F43">
        <w:rPr>
          <w:sz w:val="22"/>
        </w:rPr>
        <w:t>Article 18 TFEU</w:t>
      </w:r>
      <w:r w:rsidR="00285D81" w:rsidRPr="00526F43">
        <w:rPr>
          <w:sz w:val="22"/>
        </w:rPr>
        <w:t xml:space="preserve">, by announcing it is subordinate to, and displaced by, </w:t>
      </w:r>
      <w:r w:rsidR="00315526" w:rsidRPr="00526F43">
        <w:rPr>
          <w:sz w:val="22"/>
        </w:rPr>
        <w:t xml:space="preserve">conditions attached to secondary law, </w:t>
      </w:r>
      <w:r w:rsidR="00285D81" w:rsidRPr="00526F43">
        <w:rPr>
          <w:sz w:val="22"/>
        </w:rPr>
        <w:t xml:space="preserve">even </w:t>
      </w:r>
      <w:r w:rsidR="00315526" w:rsidRPr="00526F43">
        <w:rPr>
          <w:sz w:val="22"/>
        </w:rPr>
        <w:t xml:space="preserve">in situations outside the scope of </w:t>
      </w:r>
      <w:r w:rsidR="00285D81" w:rsidRPr="00526F43">
        <w:rPr>
          <w:sz w:val="22"/>
        </w:rPr>
        <w:t>the secondary law in question</w:t>
      </w:r>
      <w:r w:rsidR="00315526" w:rsidRPr="00526F43">
        <w:rPr>
          <w:sz w:val="22"/>
        </w:rPr>
        <w:t>.</w:t>
      </w:r>
      <w:r w:rsidR="00285D81" w:rsidRPr="00526F43">
        <w:rPr>
          <w:sz w:val="22"/>
        </w:rPr>
        <w:t xml:space="preserve"> </w:t>
      </w:r>
      <w:r w:rsidR="00955B29" w:rsidRPr="00526F43">
        <w:rPr>
          <w:sz w:val="22"/>
        </w:rPr>
        <w:t xml:space="preserve">And in doing so it has completely ignored its own ruling in </w:t>
      </w:r>
      <w:r w:rsidR="00955B29" w:rsidRPr="00526F43">
        <w:rPr>
          <w:i/>
          <w:iCs/>
          <w:sz w:val="22"/>
        </w:rPr>
        <w:t>Trojani</w:t>
      </w:r>
      <w:r w:rsidR="00955B29" w:rsidRPr="00526F43">
        <w:rPr>
          <w:sz w:val="22"/>
        </w:rPr>
        <w:t xml:space="preserve">, creating more </w:t>
      </w:r>
      <w:proofErr w:type="gramStart"/>
      <w:r w:rsidR="00955B29" w:rsidRPr="00526F43">
        <w:rPr>
          <w:sz w:val="22"/>
        </w:rPr>
        <w:t>zig-zags</w:t>
      </w:r>
      <w:proofErr w:type="gramEnd"/>
      <w:r w:rsidR="00955B29" w:rsidRPr="00526F43">
        <w:rPr>
          <w:sz w:val="22"/>
        </w:rPr>
        <w:t xml:space="preserve"> in an already haphazard area of judicial intervention. </w:t>
      </w:r>
      <w:r w:rsidR="00F9527B" w:rsidRPr="00526F43">
        <w:rPr>
          <w:sz w:val="22"/>
        </w:rPr>
        <w:t xml:space="preserve">The decision seems tailored to allow this claimant access to benefits </w:t>
      </w:r>
      <w:r w:rsidR="00F56CE3">
        <w:rPr>
          <w:sz w:val="22"/>
        </w:rPr>
        <w:t>(</w:t>
      </w:r>
      <w:r w:rsidR="00F9527B" w:rsidRPr="00526F43">
        <w:rPr>
          <w:sz w:val="22"/>
        </w:rPr>
        <w:t>the Court seemed persuaded by the compelling facts of the case</w:t>
      </w:r>
      <w:r w:rsidR="00F56CE3">
        <w:rPr>
          <w:sz w:val="22"/>
        </w:rPr>
        <w:t>)</w:t>
      </w:r>
      <w:r w:rsidR="00F56CE3">
        <w:rPr>
          <w:rStyle w:val="FootnoteReference"/>
          <w:sz w:val="22"/>
        </w:rPr>
        <w:footnoteReference w:id="93"/>
      </w:r>
      <w:r w:rsidR="00F9527B" w:rsidRPr="00526F43">
        <w:rPr>
          <w:sz w:val="22"/>
        </w:rPr>
        <w:t xml:space="preserve"> but as few others as the UK wishes. This suggest a decision that is not </w:t>
      </w:r>
      <w:r w:rsidR="00F56CE3">
        <w:rPr>
          <w:sz w:val="22"/>
        </w:rPr>
        <w:t xml:space="preserve">guided by </w:t>
      </w:r>
      <w:r w:rsidR="00F9527B" w:rsidRPr="00526F43">
        <w:rPr>
          <w:sz w:val="22"/>
        </w:rPr>
        <w:t xml:space="preserve">sound legal principle, so much as a political </w:t>
      </w:r>
      <w:r w:rsidR="00F56CE3">
        <w:rPr>
          <w:sz w:val="22"/>
        </w:rPr>
        <w:t>intuition</w:t>
      </w:r>
      <w:r w:rsidR="00F9527B" w:rsidRPr="00526F43">
        <w:rPr>
          <w:sz w:val="22"/>
        </w:rPr>
        <w:t xml:space="preserve">. </w:t>
      </w:r>
      <w:r w:rsidR="000C0538" w:rsidRPr="00526F43">
        <w:rPr>
          <w:sz w:val="22"/>
        </w:rPr>
        <w:t>T</w:t>
      </w:r>
      <w:r w:rsidR="004D19FA" w:rsidRPr="00526F43">
        <w:rPr>
          <w:sz w:val="22"/>
        </w:rPr>
        <w:t xml:space="preserve">he framing of this </w:t>
      </w:r>
      <w:r w:rsidR="000C0538" w:rsidRPr="00526F43">
        <w:rPr>
          <w:sz w:val="22"/>
        </w:rPr>
        <w:t xml:space="preserve">choice </w:t>
      </w:r>
      <w:r w:rsidR="004D19FA" w:rsidRPr="00526F43">
        <w:rPr>
          <w:sz w:val="22"/>
        </w:rPr>
        <w:t xml:space="preserve">risks eviscerating the right to non-discrimination on the ground of nationality of any autonomous content, weakening further the value of EU citizenship, and disregarding the supposedly general principle of proportionality. All to stop a few vulnerable people, with a right to reside, from temporarily accessing support. The Court has </w:t>
      </w:r>
      <w:r w:rsidR="00951764" w:rsidRPr="00526F43">
        <w:rPr>
          <w:sz w:val="22"/>
        </w:rPr>
        <w:t>used</w:t>
      </w:r>
      <w:r w:rsidR="004D19FA" w:rsidRPr="00526F43">
        <w:rPr>
          <w:sz w:val="22"/>
        </w:rPr>
        <w:t xml:space="preserve"> a sledgehammer where a sticking plaster was needed. </w:t>
      </w:r>
    </w:p>
    <w:p w14:paraId="66CCC58B" w14:textId="77777777" w:rsidR="00955B29" w:rsidRPr="00526F43" w:rsidRDefault="00955B29" w:rsidP="00681077">
      <w:pPr>
        <w:jc w:val="both"/>
        <w:rPr>
          <w:sz w:val="22"/>
        </w:rPr>
      </w:pPr>
    </w:p>
    <w:p w14:paraId="3AA34E2E" w14:textId="53317488" w:rsidR="00655C0E" w:rsidRPr="00526F43" w:rsidRDefault="007F1768" w:rsidP="00681077">
      <w:pPr>
        <w:jc w:val="both"/>
        <w:rPr>
          <w:sz w:val="22"/>
        </w:rPr>
      </w:pPr>
      <w:r w:rsidRPr="00526F43">
        <w:rPr>
          <w:sz w:val="22"/>
        </w:rPr>
        <w:t xml:space="preserve">Finally, it is discouraging to see the Court depart from its usual mode of careful, </w:t>
      </w:r>
      <w:proofErr w:type="gramStart"/>
      <w:r w:rsidRPr="00526F43">
        <w:rPr>
          <w:sz w:val="22"/>
        </w:rPr>
        <w:t>lucid</w:t>
      </w:r>
      <w:proofErr w:type="gramEnd"/>
      <w:r w:rsidRPr="00526F43">
        <w:rPr>
          <w:sz w:val="22"/>
        </w:rPr>
        <w:t xml:space="preserve"> and methodical analysis,</w:t>
      </w:r>
      <w:r w:rsidR="00C3399D" w:rsidRPr="00526F43">
        <w:rPr>
          <w:rStyle w:val="FootnoteReference"/>
          <w:sz w:val="22"/>
        </w:rPr>
        <w:footnoteReference w:id="94"/>
      </w:r>
      <w:r w:rsidRPr="00526F43">
        <w:rPr>
          <w:sz w:val="22"/>
        </w:rPr>
        <w:t xml:space="preserve"> </w:t>
      </w:r>
      <w:r w:rsidR="00C3399D" w:rsidRPr="00526F43">
        <w:rPr>
          <w:sz w:val="22"/>
        </w:rPr>
        <w:t xml:space="preserve">retreating into </w:t>
      </w:r>
      <w:r w:rsidR="004D19FA" w:rsidRPr="00526F43">
        <w:rPr>
          <w:sz w:val="22"/>
        </w:rPr>
        <w:t>disjointed</w:t>
      </w:r>
      <w:r w:rsidRPr="00526F43">
        <w:rPr>
          <w:sz w:val="22"/>
        </w:rPr>
        <w:t xml:space="preserve"> reasoning </w:t>
      </w:r>
      <w:r w:rsidR="004D19FA" w:rsidRPr="00526F43">
        <w:rPr>
          <w:sz w:val="22"/>
        </w:rPr>
        <w:t xml:space="preserve">fraught with contradictions and circularity. </w:t>
      </w:r>
      <w:r w:rsidR="005E515A" w:rsidRPr="00526F43">
        <w:rPr>
          <w:sz w:val="22"/>
        </w:rPr>
        <w:t xml:space="preserve">The </w:t>
      </w:r>
      <w:r w:rsidR="005E515A" w:rsidRPr="00526F43">
        <w:rPr>
          <w:sz w:val="22"/>
        </w:rPr>
        <w:lastRenderedPageBreak/>
        <w:t xml:space="preserve">application and disapplication of Article 18 TFEU; the reliance on Article 24 of Directive 2004/38, which simultaneously does and does not apply; the nod to case law finding that legislative restrictions should be drawn narrowly, while finding that implicit restrictions distilled from its own case law should cast so wide they eclipse all other provisions; the duck and weave with </w:t>
      </w:r>
      <w:r w:rsidR="005E515A" w:rsidRPr="00526F43">
        <w:rPr>
          <w:i/>
          <w:iCs/>
          <w:sz w:val="22"/>
        </w:rPr>
        <w:t>Trojani</w:t>
      </w:r>
      <w:r w:rsidR="005E515A" w:rsidRPr="00526F43">
        <w:rPr>
          <w:sz w:val="22"/>
        </w:rPr>
        <w:t xml:space="preserve"> and </w:t>
      </w:r>
      <w:r w:rsidR="005E515A" w:rsidRPr="00526F43">
        <w:rPr>
          <w:i/>
          <w:iCs/>
          <w:sz w:val="22"/>
        </w:rPr>
        <w:t>Krefeld</w:t>
      </w:r>
      <w:r w:rsidR="005E515A" w:rsidRPr="00526F43">
        <w:rPr>
          <w:sz w:val="22"/>
        </w:rPr>
        <w:t xml:space="preserve">, in order to rely instead on </w:t>
      </w:r>
      <w:proofErr w:type="spellStart"/>
      <w:r w:rsidR="005E515A" w:rsidRPr="00526F43">
        <w:rPr>
          <w:i/>
          <w:iCs/>
          <w:sz w:val="22"/>
        </w:rPr>
        <w:t>Dano</w:t>
      </w:r>
      <w:proofErr w:type="spellEnd"/>
      <w:r w:rsidR="005E515A" w:rsidRPr="00526F43">
        <w:rPr>
          <w:sz w:val="22"/>
        </w:rPr>
        <w:t xml:space="preserve">, dismissing the </w:t>
      </w:r>
      <w:r w:rsidR="00BD2DF2" w:rsidRPr="00526F43">
        <w:rPr>
          <w:sz w:val="22"/>
        </w:rPr>
        <w:t>material differences with no more than a turn of phrase; and the perfunctory invocation of the Charter to supposedly tie up loose ends, without guidance as to when it applies, who it helps and how, or as to what is required to uphold that mercurial value of dignit</w:t>
      </w:r>
      <w:r w:rsidR="001B1DAE" w:rsidRPr="00526F43">
        <w:rPr>
          <w:sz w:val="22"/>
        </w:rPr>
        <w:t>y;</w:t>
      </w:r>
      <w:r w:rsidR="00BD2DF2" w:rsidRPr="00526F43">
        <w:rPr>
          <w:rStyle w:val="FootnoteReference"/>
          <w:sz w:val="22"/>
        </w:rPr>
        <w:footnoteReference w:id="95"/>
      </w:r>
      <w:r w:rsidR="001B1DAE" w:rsidRPr="00526F43">
        <w:rPr>
          <w:sz w:val="22"/>
        </w:rPr>
        <w:t xml:space="preserve"> all of these choices undermine coherence and mangle the law at hand.</w:t>
      </w:r>
      <w:r w:rsidR="00655C0E" w:rsidRPr="00526F43">
        <w:rPr>
          <w:sz w:val="22"/>
        </w:rPr>
        <w:t xml:space="preserve"> The Charter seems to be thrown in as a means of deflection; future cases will now turn on fleshing out what it means; future claimants will be told not to bother searching for coherence or consistency in the law on EU citizenship-based non-discrimination. </w:t>
      </w:r>
      <w:proofErr w:type="gramStart"/>
      <w:r w:rsidR="001B1DAE" w:rsidRPr="00526F43">
        <w:rPr>
          <w:sz w:val="22"/>
        </w:rPr>
        <w:t>Ultimately</w:t>
      </w:r>
      <w:proofErr w:type="gramEnd"/>
      <w:r w:rsidR="001B1DAE" w:rsidRPr="00526F43">
        <w:rPr>
          <w:sz w:val="22"/>
        </w:rPr>
        <w:t xml:space="preserve"> we have to ask, what is the point of Article 24</w:t>
      </w:r>
      <w:r w:rsidR="00294E15" w:rsidRPr="00526F43">
        <w:rPr>
          <w:sz w:val="22"/>
        </w:rPr>
        <w:t xml:space="preserve"> CRD</w:t>
      </w:r>
      <w:r w:rsidR="001B1DAE" w:rsidRPr="00526F43">
        <w:rPr>
          <w:sz w:val="22"/>
        </w:rPr>
        <w:t xml:space="preserve"> if in reality States can just refuse benefits when they feel like it because someone seems burdensome?</w:t>
      </w:r>
      <w:r w:rsidR="00717120" w:rsidRPr="00526F43">
        <w:rPr>
          <w:sz w:val="22"/>
        </w:rPr>
        <w:t xml:space="preserve"> This is an area that cries out for clarity, with a host of intertwined cases that could be helpfully unravelled</w:t>
      </w:r>
      <w:r w:rsidR="00294E15" w:rsidRPr="00526F43">
        <w:rPr>
          <w:sz w:val="22"/>
        </w:rPr>
        <w:t>.</w:t>
      </w:r>
      <w:r w:rsidR="001441F5" w:rsidRPr="00526F43">
        <w:rPr>
          <w:sz w:val="22"/>
        </w:rPr>
        <w:t xml:space="preserve"> </w:t>
      </w:r>
      <w:r w:rsidR="00294E15" w:rsidRPr="00526F43">
        <w:rPr>
          <w:sz w:val="22"/>
        </w:rPr>
        <w:t>B</w:t>
      </w:r>
      <w:r w:rsidR="001441F5" w:rsidRPr="00526F43">
        <w:rPr>
          <w:sz w:val="22"/>
        </w:rPr>
        <w:t xml:space="preserve">ut what we have here is more confusion; more surreptitious emptying of EU citizenship of autonomous content; and more resolute refusal to engage with proportionality </w:t>
      </w:r>
      <w:proofErr w:type="gramStart"/>
      <w:r w:rsidR="001441F5" w:rsidRPr="00526F43">
        <w:rPr>
          <w:sz w:val="22"/>
        </w:rPr>
        <w:t>as a means to</w:t>
      </w:r>
      <w:proofErr w:type="gramEnd"/>
      <w:r w:rsidR="001441F5" w:rsidRPr="00526F43">
        <w:rPr>
          <w:sz w:val="22"/>
        </w:rPr>
        <w:t xml:space="preserve"> recognise compelling equal treatment claims. </w:t>
      </w:r>
      <w:r w:rsidR="005A7E85" w:rsidRPr="00526F43">
        <w:rPr>
          <w:sz w:val="22"/>
        </w:rPr>
        <w:t>I</w:t>
      </w:r>
      <w:r w:rsidR="00F017A3" w:rsidRPr="00526F43">
        <w:rPr>
          <w:sz w:val="22"/>
        </w:rPr>
        <w:t>rrational</w:t>
      </w:r>
      <w:r w:rsidR="009C3E82" w:rsidRPr="00526F43">
        <w:rPr>
          <w:sz w:val="22"/>
        </w:rPr>
        <w:t>,</w:t>
      </w:r>
      <w:r w:rsidR="00F017A3" w:rsidRPr="00526F43">
        <w:rPr>
          <w:sz w:val="22"/>
        </w:rPr>
        <w:t xml:space="preserve"> muddled</w:t>
      </w:r>
      <w:r w:rsidR="009C3E82" w:rsidRPr="00526F43">
        <w:rPr>
          <w:sz w:val="22"/>
        </w:rPr>
        <w:t xml:space="preserve">, and damaging, it is </w:t>
      </w:r>
      <w:r w:rsidR="005A7E85" w:rsidRPr="00526F43">
        <w:rPr>
          <w:sz w:val="22"/>
        </w:rPr>
        <w:t>truly a judgment for our Brexit</w:t>
      </w:r>
      <w:r w:rsidR="009C3E82" w:rsidRPr="00526F43">
        <w:rPr>
          <w:sz w:val="22"/>
        </w:rPr>
        <w:t xml:space="preserve"> times</w:t>
      </w:r>
      <w:r w:rsidR="005A7E85" w:rsidRPr="00526F43">
        <w:rPr>
          <w:sz w:val="22"/>
        </w:rPr>
        <w:t>.</w:t>
      </w:r>
      <w:r w:rsidR="009C3E82" w:rsidRPr="00526F43">
        <w:rPr>
          <w:rStyle w:val="FootnoteReference"/>
          <w:sz w:val="22"/>
        </w:rPr>
        <w:footnoteReference w:id="96"/>
      </w:r>
      <w:r w:rsidR="005A7E85" w:rsidRPr="00526F43">
        <w:rPr>
          <w:sz w:val="22"/>
        </w:rPr>
        <w:t xml:space="preserve"> </w:t>
      </w:r>
    </w:p>
    <w:p w14:paraId="2BD1C80D" w14:textId="77777777" w:rsidR="00655C0E" w:rsidRPr="00526F43" w:rsidRDefault="00655C0E" w:rsidP="00681077">
      <w:pPr>
        <w:jc w:val="both"/>
        <w:rPr>
          <w:sz w:val="22"/>
        </w:rPr>
      </w:pPr>
    </w:p>
    <w:p w14:paraId="1DC547E1" w14:textId="77777777" w:rsidR="00655C0E" w:rsidRPr="00526F43" w:rsidRDefault="00655C0E" w:rsidP="00681077">
      <w:pPr>
        <w:jc w:val="both"/>
        <w:rPr>
          <w:sz w:val="22"/>
        </w:rPr>
      </w:pPr>
    </w:p>
    <w:p w14:paraId="5667BCB2" w14:textId="77777777" w:rsidR="003246A4" w:rsidRPr="00526F43" w:rsidRDefault="003246A4" w:rsidP="00681077">
      <w:pPr>
        <w:jc w:val="both"/>
        <w:rPr>
          <w:sz w:val="22"/>
        </w:rPr>
      </w:pPr>
    </w:p>
    <w:p w14:paraId="7317771B" w14:textId="77777777" w:rsidR="00F9693D" w:rsidRPr="00526F43" w:rsidRDefault="00F9693D" w:rsidP="00681077">
      <w:pPr>
        <w:jc w:val="both"/>
        <w:rPr>
          <w:sz w:val="22"/>
        </w:rPr>
      </w:pPr>
    </w:p>
    <w:p w14:paraId="6F787308" w14:textId="5832F1FA" w:rsidR="00792E79" w:rsidRPr="00526F43" w:rsidRDefault="00447147" w:rsidP="00681077">
      <w:pPr>
        <w:jc w:val="both"/>
        <w:rPr>
          <w:sz w:val="22"/>
        </w:rPr>
      </w:pPr>
      <w:r w:rsidRPr="00526F43">
        <w:rPr>
          <w:sz w:val="22"/>
        </w:rPr>
        <w:t xml:space="preserve"> </w:t>
      </w:r>
      <w:r w:rsidR="001050DE" w:rsidRPr="00526F43">
        <w:rPr>
          <w:sz w:val="22"/>
        </w:rPr>
        <w:t xml:space="preserve"> </w:t>
      </w:r>
    </w:p>
    <w:p w14:paraId="0768B488" w14:textId="7D45DA8A" w:rsidR="00E93214" w:rsidRPr="00526F43" w:rsidRDefault="00E93214" w:rsidP="00681077">
      <w:pPr>
        <w:jc w:val="both"/>
        <w:rPr>
          <w:sz w:val="22"/>
        </w:rPr>
      </w:pPr>
      <w:r w:rsidRPr="00526F43">
        <w:rPr>
          <w:sz w:val="22"/>
        </w:rPr>
        <w:t xml:space="preserve"> </w:t>
      </w:r>
    </w:p>
    <w:p w14:paraId="610A2D56" w14:textId="64797956" w:rsidR="00AE1F95" w:rsidRPr="00526F43" w:rsidRDefault="00AE1F95" w:rsidP="00681077">
      <w:pPr>
        <w:jc w:val="both"/>
        <w:rPr>
          <w:sz w:val="22"/>
        </w:rPr>
      </w:pPr>
    </w:p>
    <w:p w14:paraId="2330D5F9" w14:textId="77777777" w:rsidR="00AE1F95" w:rsidRPr="00526F43" w:rsidRDefault="00AE1F95" w:rsidP="00681077">
      <w:pPr>
        <w:jc w:val="both"/>
        <w:rPr>
          <w:sz w:val="22"/>
        </w:rPr>
      </w:pPr>
    </w:p>
    <w:p w14:paraId="6F463F1B" w14:textId="74EFF4DA" w:rsidR="00EF3711" w:rsidRPr="00526F43" w:rsidRDefault="00EF3711" w:rsidP="00681077">
      <w:pPr>
        <w:tabs>
          <w:tab w:val="left" w:pos="7314"/>
        </w:tabs>
        <w:jc w:val="both"/>
        <w:rPr>
          <w:sz w:val="22"/>
        </w:rPr>
      </w:pPr>
    </w:p>
    <w:p w14:paraId="0E33B3E7" w14:textId="2F646D9F" w:rsidR="00EF3711" w:rsidRPr="00526F43" w:rsidRDefault="00EF3711" w:rsidP="00681077">
      <w:pPr>
        <w:tabs>
          <w:tab w:val="left" w:pos="7314"/>
        </w:tabs>
        <w:jc w:val="both"/>
        <w:rPr>
          <w:sz w:val="22"/>
        </w:rPr>
      </w:pPr>
    </w:p>
    <w:p w14:paraId="3ACE2D93" w14:textId="12B73ED1" w:rsidR="00EF3711" w:rsidRPr="00526F43" w:rsidRDefault="00EF3711" w:rsidP="00681077">
      <w:pPr>
        <w:tabs>
          <w:tab w:val="left" w:pos="7314"/>
        </w:tabs>
        <w:jc w:val="both"/>
        <w:rPr>
          <w:sz w:val="22"/>
        </w:rPr>
      </w:pPr>
    </w:p>
    <w:p w14:paraId="41A0D990" w14:textId="52C7427A" w:rsidR="001517F4" w:rsidRPr="00526F43" w:rsidRDefault="001517F4" w:rsidP="00681077">
      <w:pPr>
        <w:tabs>
          <w:tab w:val="left" w:pos="7314"/>
        </w:tabs>
        <w:jc w:val="both"/>
        <w:rPr>
          <w:sz w:val="22"/>
        </w:rPr>
      </w:pPr>
    </w:p>
    <w:p w14:paraId="5FB748E6" w14:textId="77777777" w:rsidR="008061BE" w:rsidRPr="00526F43" w:rsidRDefault="008061BE" w:rsidP="00681077">
      <w:pPr>
        <w:tabs>
          <w:tab w:val="left" w:pos="7314"/>
        </w:tabs>
        <w:rPr>
          <w:sz w:val="22"/>
        </w:rPr>
      </w:pPr>
    </w:p>
    <w:sectPr w:rsidR="008061BE" w:rsidRPr="00526F43" w:rsidSect="00681077">
      <w:footerReference w:type="even" r:id="rId7"/>
      <w:footerReference w:type="default" r:id="rId8"/>
      <w:pgSz w:w="11900" w:h="16840"/>
      <w:pgMar w:top="1440" w:right="1388"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8D2D2" w14:textId="77777777" w:rsidR="003515C1" w:rsidRDefault="003515C1" w:rsidP="008D1246">
      <w:r>
        <w:separator/>
      </w:r>
    </w:p>
  </w:endnote>
  <w:endnote w:type="continuationSeparator" w:id="0">
    <w:p w14:paraId="61D01675" w14:textId="77777777" w:rsidR="003515C1" w:rsidRDefault="003515C1" w:rsidP="008D1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30245949"/>
      <w:docPartObj>
        <w:docPartGallery w:val="Page Numbers (Bottom of Page)"/>
        <w:docPartUnique/>
      </w:docPartObj>
    </w:sdtPr>
    <w:sdtEndPr>
      <w:rPr>
        <w:rStyle w:val="PageNumber"/>
      </w:rPr>
    </w:sdtEndPr>
    <w:sdtContent>
      <w:p w14:paraId="3726A3B6" w14:textId="5C3FDB5E" w:rsidR="00E3553B" w:rsidRDefault="00E3553B" w:rsidP="00DC2BE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097B5CF" w14:textId="77777777" w:rsidR="00E3553B" w:rsidRDefault="00E3553B" w:rsidP="00E355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39877816"/>
      <w:docPartObj>
        <w:docPartGallery w:val="Page Numbers (Bottom of Page)"/>
        <w:docPartUnique/>
      </w:docPartObj>
    </w:sdtPr>
    <w:sdtEndPr>
      <w:rPr>
        <w:rStyle w:val="PageNumber"/>
      </w:rPr>
    </w:sdtEndPr>
    <w:sdtContent>
      <w:p w14:paraId="21A87C2C" w14:textId="4391E93E" w:rsidR="00E3553B" w:rsidRDefault="00E3553B" w:rsidP="00DC2BE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68A45E7" w14:textId="77777777" w:rsidR="00E3553B" w:rsidRDefault="00E3553B" w:rsidP="00E3553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DDA32" w14:textId="77777777" w:rsidR="003515C1" w:rsidRDefault="003515C1" w:rsidP="008D1246">
      <w:r>
        <w:separator/>
      </w:r>
    </w:p>
  </w:footnote>
  <w:footnote w:type="continuationSeparator" w:id="0">
    <w:p w14:paraId="54410769" w14:textId="77777777" w:rsidR="003515C1" w:rsidRDefault="003515C1" w:rsidP="008D1246">
      <w:r>
        <w:continuationSeparator/>
      </w:r>
    </w:p>
  </w:footnote>
  <w:footnote w:id="1">
    <w:p w14:paraId="746243F3" w14:textId="7A4CC991" w:rsidR="00924855" w:rsidRPr="00924855" w:rsidRDefault="00924855" w:rsidP="00116BFF">
      <w:pPr>
        <w:pStyle w:val="FootnoteText"/>
        <w:jc w:val="both"/>
      </w:pPr>
      <w:r w:rsidRPr="00924855">
        <w:t xml:space="preserve">* Professor of Law, </w:t>
      </w:r>
      <w:r w:rsidRPr="00924855">
        <w:t>University of York</w:t>
      </w:r>
      <w:r w:rsidRPr="00924855">
        <w:t>.</w:t>
      </w:r>
    </w:p>
    <w:p w14:paraId="10DE7145" w14:textId="0C82358B" w:rsidR="007C338C" w:rsidRPr="00924855" w:rsidRDefault="007C338C" w:rsidP="00116BFF">
      <w:pPr>
        <w:pStyle w:val="FootnoteText"/>
        <w:jc w:val="both"/>
      </w:pPr>
      <w:r w:rsidRPr="00924855">
        <w:rPr>
          <w:rStyle w:val="FootnoteReference"/>
        </w:rPr>
        <w:footnoteRef/>
      </w:r>
      <w:r w:rsidRPr="00924855">
        <w:t xml:space="preserve"> </w:t>
      </w:r>
      <w:proofErr w:type="spellStart"/>
      <w:r w:rsidRPr="00924855">
        <w:rPr>
          <w:i/>
          <w:iCs/>
        </w:rPr>
        <w:t>Fratila</w:t>
      </w:r>
      <w:proofErr w:type="spellEnd"/>
      <w:r w:rsidRPr="00924855">
        <w:rPr>
          <w:i/>
          <w:iCs/>
        </w:rPr>
        <w:t xml:space="preserve"> &amp; Anor v Secretary of State for Works and Pensions &amp; Anor</w:t>
      </w:r>
      <w:r w:rsidRPr="00924855">
        <w:t xml:space="preserve"> [2020] EWCA </w:t>
      </w:r>
      <w:proofErr w:type="spellStart"/>
      <w:r w:rsidRPr="00924855">
        <w:t>Civ</w:t>
      </w:r>
      <w:proofErr w:type="spellEnd"/>
      <w:r w:rsidRPr="00924855">
        <w:t xml:space="preserve"> 1741.</w:t>
      </w:r>
    </w:p>
  </w:footnote>
  <w:footnote w:id="2">
    <w:p w14:paraId="55A33484" w14:textId="192921E5" w:rsidR="007C338C" w:rsidRPr="00924855" w:rsidRDefault="007C338C" w:rsidP="00116BFF">
      <w:pPr>
        <w:pStyle w:val="FootnoteText"/>
        <w:jc w:val="both"/>
      </w:pPr>
      <w:r w:rsidRPr="00924855">
        <w:rPr>
          <w:rStyle w:val="FootnoteReference"/>
        </w:rPr>
        <w:footnoteRef/>
      </w:r>
      <w:r w:rsidRPr="00924855">
        <w:t xml:space="preserve"> Case C-456/02 </w:t>
      </w:r>
      <w:r w:rsidRPr="00924855">
        <w:rPr>
          <w:i/>
          <w:iCs/>
        </w:rPr>
        <w:t xml:space="preserve">Trojani </w:t>
      </w:r>
      <w:r w:rsidRPr="00924855">
        <w:t>EU:</w:t>
      </w:r>
      <w:proofErr w:type="gramStart"/>
      <w:r w:rsidRPr="00924855">
        <w:t>C:2004:488</w:t>
      </w:r>
      <w:proofErr w:type="gramEnd"/>
      <w:r w:rsidRPr="00924855">
        <w:t>.</w:t>
      </w:r>
    </w:p>
  </w:footnote>
  <w:footnote w:id="3">
    <w:p w14:paraId="42252880" w14:textId="40FF8F63" w:rsidR="007C338C" w:rsidRPr="00924855" w:rsidRDefault="007C338C" w:rsidP="00116BFF">
      <w:pPr>
        <w:pStyle w:val="FootnoteText"/>
        <w:jc w:val="both"/>
      </w:pPr>
      <w:r w:rsidRPr="00924855">
        <w:rPr>
          <w:rStyle w:val="FootnoteReference"/>
        </w:rPr>
        <w:footnoteRef/>
      </w:r>
      <w:r w:rsidRPr="00924855">
        <w:t xml:space="preserve"> Case C-333/13 </w:t>
      </w:r>
      <w:proofErr w:type="spellStart"/>
      <w:r w:rsidRPr="00924855">
        <w:rPr>
          <w:i/>
          <w:iCs/>
        </w:rPr>
        <w:t>Dano</w:t>
      </w:r>
      <w:proofErr w:type="spellEnd"/>
      <w:r w:rsidRPr="00924855">
        <w:rPr>
          <w:i/>
          <w:iCs/>
        </w:rPr>
        <w:t xml:space="preserve"> </w:t>
      </w:r>
      <w:r w:rsidRPr="00924855">
        <w:t>EU:</w:t>
      </w:r>
      <w:proofErr w:type="gramStart"/>
      <w:r w:rsidRPr="00924855">
        <w:t>C:2014:2358</w:t>
      </w:r>
      <w:proofErr w:type="gramEnd"/>
      <w:r w:rsidRPr="00924855">
        <w:t>.</w:t>
      </w:r>
    </w:p>
  </w:footnote>
  <w:footnote w:id="4">
    <w:p w14:paraId="16122830" w14:textId="00A13341" w:rsidR="003C3E07" w:rsidRPr="00924855" w:rsidRDefault="003C3E07" w:rsidP="00116BFF">
      <w:pPr>
        <w:pStyle w:val="FootnoteText"/>
        <w:jc w:val="both"/>
      </w:pPr>
      <w:r w:rsidRPr="00924855">
        <w:rPr>
          <w:rStyle w:val="FootnoteReference"/>
        </w:rPr>
        <w:footnoteRef/>
      </w:r>
      <w:r w:rsidRPr="00924855">
        <w:t xml:space="preserve"> </w:t>
      </w:r>
      <w:r w:rsidR="00681077" w:rsidRPr="00924855">
        <w:rPr>
          <w:rFonts w:cstheme="minorBidi"/>
        </w:rPr>
        <w:t>Directive 2004/38/EC of the European Parliament and of the Council of 29 April 2004 on the right of citizens of the Union and their family members to move and reside freely within the territory of the Member States [2004] OJ L158/77</w:t>
      </w:r>
      <w:r w:rsidR="00681077" w:rsidRPr="00924855">
        <w:t>.</w:t>
      </w:r>
    </w:p>
  </w:footnote>
  <w:footnote w:id="5">
    <w:p w14:paraId="3A1C5E44" w14:textId="39C61A58" w:rsidR="003C3E07" w:rsidRPr="00924855" w:rsidRDefault="003C3E07" w:rsidP="00116BFF">
      <w:pPr>
        <w:pStyle w:val="FootnoteText"/>
        <w:jc w:val="both"/>
      </w:pPr>
      <w:r w:rsidRPr="00924855">
        <w:rPr>
          <w:rStyle w:val="FootnoteReference"/>
        </w:rPr>
        <w:footnoteRef/>
      </w:r>
      <w:r w:rsidRPr="00924855">
        <w:t xml:space="preserve"> </w:t>
      </w:r>
      <w:r w:rsidR="00AB0B21" w:rsidRPr="00924855">
        <w:t>SI [2016] 1052.</w:t>
      </w:r>
    </w:p>
  </w:footnote>
  <w:footnote w:id="6">
    <w:p w14:paraId="77A17DC4" w14:textId="252DBA0B" w:rsidR="003C3E07" w:rsidRPr="00924855" w:rsidRDefault="003C3E07" w:rsidP="00116BFF">
      <w:pPr>
        <w:pStyle w:val="FootnoteText"/>
        <w:jc w:val="both"/>
      </w:pPr>
      <w:r w:rsidRPr="00924855">
        <w:rPr>
          <w:rStyle w:val="FootnoteReference"/>
        </w:rPr>
        <w:footnoteRef/>
      </w:r>
      <w:r w:rsidRPr="00924855">
        <w:t xml:space="preserve"> </w:t>
      </w:r>
      <w:r w:rsidR="00AB0B21" w:rsidRPr="00924855">
        <w:t xml:space="preserve">C. O’Brien, </w:t>
      </w:r>
      <w:r w:rsidR="00AB0B21" w:rsidRPr="00924855">
        <w:rPr>
          <w:i/>
          <w:iCs/>
        </w:rPr>
        <w:t xml:space="preserve">Unity in Adversity: EU Citizenship, Social </w:t>
      </w:r>
      <w:proofErr w:type="gramStart"/>
      <w:r w:rsidR="00AB0B21" w:rsidRPr="00924855">
        <w:rPr>
          <w:i/>
          <w:iCs/>
        </w:rPr>
        <w:t>Justice</w:t>
      </w:r>
      <w:proofErr w:type="gramEnd"/>
      <w:r w:rsidR="00AB0B21" w:rsidRPr="00924855">
        <w:rPr>
          <w:i/>
          <w:iCs/>
        </w:rPr>
        <w:t xml:space="preserve"> and the Cautionary Tale of the UK</w:t>
      </w:r>
      <w:r w:rsidR="00AB0B21" w:rsidRPr="00924855">
        <w:t>, (Oxford: Hart, 2017).</w:t>
      </w:r>
    </w:p>
  </w:footnote>
  <w:footnote w:id="7">
    <w:p w14:paraId="4A909118" w14:textId="6646EDF1" w:rsidR="00A307DF" w:rsidRPr="00924855" w:rsidRDefault="00A307DF" w:rsidP="00116BFF">
      <w:pPr>
        <w:pStyle w:val="FootnoteText"/>
        <w:jc w:val="both"/>
      </w:pPr>
      <w:r w:rsidRPr="00924855">
        <w:rPr>
          <w:rStyle w:val="FootnoteReference"/>
        </w:rPr>
        <w:footnoteRef/>
      </w:r>
      <w:r w:rsidRPr="00924855">
        <w:t xml:space="preserve"> Under Appendix EU to the Immigration Rules</w:t>
      </w:r>
      <w:r w:rsidR="00AB0B21" w:rsidRPr="00924855">
        <w:t>.</w:t>
      </w:r>
    </w:p>
  </w:footnote>
  <w:footnote w:id="8">
    <w:p w14:paraId="3FDA8085" w14:textId="3BB362B2" w:rsidR="008D1246" w:rsidRPr="00924855" w:rsidRDefault="008D1246" w:rsidP="00116BFF">
      <w:pPr>
        <w:pStyle w:val="FootnoteText"/>
        <w:jc w:val="both"/>
      </w:pPr>
      <w:r w:rsidRPr="00924855">
        <w:rPr>
          <w:rStyle w:val="FootnoteReference"/>
        </w:rPr>
        <w:footnoteRef/>
      </w:r>
      <w:r w:rsidRPr="00924855">
        <w:t xml:space="preserve"> With shorter periods required in </w:t>
      </w:r>
      <w:r w:rsidR="00AB0B21" w:rsidRPr="00924855">
        <w:t xml:space="preserve">certain </w:t>
      </w:r>
      <w:r w:rsidRPr="00924855">
        <w:t xml:space="preserve">cases of retirement, </w:t>
      </w:r>
      <w:r w:rsidR="00AB0B21" w:rsidRPr="00924855">
        <w:t xml:space="preserve">bereavement, </w:t>
      </w:r>
      <w:r w:rsidRPr="00924855">
        <w:t xml:space="preserve">industrial </w:t>
      </w:r>
      <w:proofErr w:type="gramStart"/>
      <w:r w:rsidRPr="00924855">
        <w:t>injury</w:t>
      </w:r>
      <w:proofErr w:type="gramEnd"/>
      <w:r w:rsidR="00AB0B21" w:rsidRPr="00924855">
        <w:t xml:space="preserve"> or illness,</w:t>
      </w:r>
      <w:r w:rsidRPr="00924855">
        <w:t xml:space="preserve"> etc. </w:t>
      </w:r>
    </w:p>
  </w:footnote>
  <w:footnote w:id="9">
    <w:p w14:paraId="32B333CD" w14:textId="6058F815" w:rsidR="00A307DF" w:rsidRPr="00924855" w:rsidRDefault="00A307DF" w:rsidP="00116BFF">
      <w:pPr>
        <w:pStyle w:val="FootnoteText"/>
      </w:pPr>
      <w:r w:rsidRPr="00924855">
        <w:rPr>
          <w:rStyle w:val="FootnoteReference"/>
        </w:rPr>
        <w:footnoteRef/>
      </w:r>
      <w:r w:rsidRPr="00924855">
        <w:t xml:space="preserve"> </w:t>
      </w:r>
      <w:r w:rsidR="00AB0B21" w:rsidRPr="00924855">
        <w:t>Home Office, “EU Settlement Scheme: EU, other EEA and Swiss citizens and their family members”, Version 13</w:t>
      </w:r>
      <w:r w:rsidR="009D4B1C" w:rsidRPr="00924855">
        <w:t>, 20 July 2021, &lt;https://assets.publishing.service.gov.uk/government/uploads/system/uploads/attachment_data/file/1004627/main-euss-guidance-v13.0ext.pdf&gt; pp. 31-48.</w:t>
      </w:r>
    </w:p>
  </w:footnote>
  <w:footnote w:id="10">
    <w:p w14:paraId="6438D973" w14:textId="1436B8D5" w:rsidR="00A307DF" w:rsidRPr="00924855" w:rsidRDefault="00A307DF" w:rsidP="00116BFF">
      <w:pPr>
        <w:pStyle w:val="FootnoteText"/>
        <w:jc w:val="both"/>
      </w:pPr>
      <w:r w:rsidRPr="00924855">
        <w:rPr>
          <w:rStyle w:val="FootnoteReference"/>
        </w:rPr>
        <w:footnoteRef/>
      </w:r>
      <w:r w:rsidRPr="00924855">
        <w:t xml:space="preserve"> </w:t>
      </w:r>
      <w:r w:rsidR="009D4B1C" w:rsidRPr="00924855">
        <w:t>Agreement on the withdrawal of the United Kingdom of Great Britain and Northern Ireland from the European Union and the European Atomic Energy Community, [2019] OJ C 3841.</w:t>
      </w:r>
    </w:p>
  </w:footnote>
  <w:footnote w:id="11">
    <w:p w14:paraId="49BFA1D6" w14:textId="64AB073D" w:rsidR="00A307DF" w:rsidRPr="00924855" w:rsidRDefault="00A307DF" w:rsidP="00116BFF">
      <w:pPr>
        <w:pStyle w:val="FootnoteText"/>
        <w:jc w:val="both"/>
        <w:rPr>
          <w:i/>
          <w:iCs/>
        </w:rPr>
      </w:pPr>
      <w:r w:rsidRPr="00924855">
        <w:rPr>
          <w:rStyle w:val="FootnoteReference"/>
        </w:rPr>
        <w:footnoteRef/>
      </w:r>
      <w:r w:rsidRPr="00924855">
        <w:t xml:space="preserve"> </w:t>
      </w:r>
      <w:r w:rsidR="004A477F" w:rsidRPr="00924855">
        <w:t xml:space="preserve">The Social Security (Income-related Benefits) (Updating and Amendment) (EU Exit) Regulations 2019; </w:t>
      </w:r>
      <w:r w:rsidR="00897A49" w:rsidRPr="00924855">
        <w:rPr>
          <w:rFonts w:eastAsiaTheme="minorEastAsia" w:cstheme="minorBidi"/>
        </w:rPr>
        <w:t>The Child Benefit and Child Tax Credit (Amendment) (EU Exit) Regulations 2019</w:t>
      </w:r>
      <w:r w:rsidR="00897A49" w:rsidRPr="00924855">
        <w:rPr>
          <w:rFonts w:eastAsiaTheme="minorEastAsia" w:cstheme="minorBidi"/>
          <w:i/>
          <w:iCs/>
        </w:rPr>
        <w:t xml:space="preserve">; </w:t>
      </w:r>
      <w:r w:rsidR="00897A49" w:rsidRPr="00924855">
        <w:t>T</w:t>
      </w:r>
      <w:r w:rsidR="00897A49" w:rsidRPr="00924855">
        <w:rPr>
          <w:rFonts w:eastAsiaTheme="minorEastAsia"/>
        </w:rPr>
        <w:t>he Allocation of Housing and Homelessness (Eligibility) (England) (Amendment) (EU Exit)</w:t>
      </w:r>
      <w:r w:rsidR="00897A49" w:rsidRPr="00924855">
        <w:t xml:space="preserve"> </w:t>
      </w:r>
      <w:r w:rsidR="00897A49" w:rsidRPr="00924855">
        <w:rPr>
          <w:rFonts w:eastAsiaTheme="minorEastAsia"/>
        </w:rPr>
        <w:t>Regulations 2019</w:t>
      </w:r>
      <w:r w:rsidR="00897A49" w:rsidRPr="00924855">
        <w:t>.</w:t>
      </w:r>
    </w:p>
  </w:footnote>
  <w:footnote w:id="12">
    <w:p w14:paraId="18256747" w14:textId="5BEC341C" w:rsidR="00897A49" w:rsidRPr="00924855" w:rsidRDefault="00897A49" w:rsidP="00116BFF">
      <w:pPr>
        <w:pStyle w:val="FootnoteText"/>
        <w:jc w:val="both"/>
      </w:pPr>
      <w:r w:rsidRPr="00924855">
        <w:rPr>
          <w:rStyle w:val="FootnoteReference"/>
        </w:rPr>
        <w:footnoteRef/>
      </w:r>
      <w:r w:rsidRPr="00924855">
        <w:t xml:space="preserve"> Case C-709/20 </w:t>
      </w:r>
      <w:r w:rsidRPr="00924855">
        <w:rPr>
          <w:i/>
          <w:iCs/>
        </w:rPr>
        <w:t>CG v The Department for Communities in Northern Ireland</w:t>
      </w:r>
      <w:r w:rsidRPr="00924855">
        <w:t>, EU:C:2021:602.</w:t>
      </w:r>
    </w:p>
  </w:footnote>
  <w:footnote w:id="13">
    <w:p w14:paraId="4286AE32" w14:textId="27A8005C" w:rsidR="008D1246" w:rsidRPr="00924855" w:rsidRDefault="008D1246" w:rsidP="00116BFF">
      <w:pPr>
        <w:pStyle w:val="FootnoteText"/>
        <w:jc w:val="both"/>
      </w:pPr>
      <w:r w:rsidRPr="00924855">
        <w:rPr>
          <w:rStyle w:val="FootnoteReference"/>
        </w:rPr>
        <w:footnoteRef/>
      </w:r>
      <w:r w:rsidRPr="00924855">
        <w:t xml:space="preserve"> </w:t>
      </w:r>
      <w:r w:rsidR="00897A49" w:rsidRPr="00924855">
        <w:t>Opinion of Advocate General Richard de la Tour delivered on 24 June 2021, EU:C:2021:515, para 28.</w:t>
      </w:r>
    </w:p>
  </w:footnote>
  <w:footnote w:id="14">
    <w:p w14:paraId="5333520F" w14:textId="77EBAF10" w:rsidR="00897A49" w:rsidRPr="00924855" w:rsidRDefault="00897A49" w:rsidP="00116BFF">
      <w:pPr>
        <w:pStyle w:val="FootnoteText"/>
        <w:jc w:val="both"/>
      </w:pPr>
      <w:r w:rsidRPr="00924855">
        <w:rPr>
          <w:rStyle w:val="FootnoteReference"/>
        </w:rPr>
        <w:footnoteRef/>
      </w:r>
      <w:r w:rsidRPr="00924855">
        <w:t xml:space="preserve"> Ibid, 45-49.</w:t>
      </w:r>
    </w:p>
  </w:footnote>
  <w:footnote w:id="15">
    <w:p w14:paraId="2A315647" w14:textId="704999A5" w:rsidR="00897A49" w:rsidRPr="00924855" w:rsidRDefault="00897A49" w:rsidP="00116BFF">
      <w:pPr>
        <w:pStyle w:val="FootnoteText"/>
        <w:jc w:val="both"/>
      </w:pPr>
      <w:r w:rsidRPr="00924855">
        <w:rPr>
          <w:rStyle w:val="FootnoteReference"/>
        </w:rPr>
        <w:footnoteRef/>
      </w:r>
      <w:r w:rsidRPr="00924855">
        <w:t xml:space="preserve"> Cases C</w:t>
      </w:r>
      <w:r w:rsidRPr="00924855">
        <w:noBreakHyphen/>
        <w:t>424/10 and C</w:t>
      </w:r>
      <w:r w:rsidRPr="00924855">
        <w:noBreakHyphen/>
        <w:t>425/10, </w:t>
      </w:r>
      <w:proofErr w:type="spellStart"/>
      <w:r w:rsidRPr="00924855">
        <w:rPr>
          <w:i/>
          <w:iCs/>
        </w:rPr>
        <w:t>Ziolkowski</w:t>
      </w:r>
      <w:proofErr w:type="spellEnd"/>
      <w:r w:rsidRPr="00924855">
        <w:rPr>
          <w:i/>
          <w:iCs/>
        </w:rPr>
        <w:t xml:space="preserve"> and </w:t>
      </w:r>
      <w:proofErr w:type="spellStart"/>
      <w:r w:rsidRPr="00924855">
        <w:rPr>
          <w:i/>
          <w:iCs/>
        </w:rPr>
        <w:t>Szeja</w:t>
      </w:r>
      <w:proofErr w:type="spellEnd"/>
      <w:r w:rsidRPr="00924855">
        <w:t>, EU:C:2011:866, </w:t>
      </w:r>
      <w:r w:rsidR="00623CAB" w:rsidRPr="00924855">
        <w:t xml:space="preserve">49-50. </w:t>
      </w:r>
    </w:p>
  </w:footnote>
  <w:footnote w:id="16">
    <w:p w14:paraId="23D7EF05" w14:textId="7EFF1045" w:rsidR="004A477F" w:rsidRPr="00924855" w:rsidRDefault="004A477F" w:rsidP="00116BFF">
      <w:pPr>
        <w:pStyle w:val="FootnoteText"/>
        <w:jc w:val="both"/>
      </w:pPr>
      <w:r w:rsidRPr="00924855">
        <w:rPr>
          <w:rStyle w:val="FootnoteReference"/>
        </w:rPr>
        <w:footnoteRef/>
      </w:r>
      <w:r w:rsidRPr="00924855">
        <w:t xml:space="preserve"> </w:t>
      </w:r>
      <w:r w:rsidR="00623CAB" w:rsidRPr="00924855">
        <w:rPr>
          <w:i/>
          <w:iCs/>
        </w:rPr>
        <w:t xml:space="preserve">CG, </w:t>
      </w:r>
      <w:r w:rsidR="00623CAB" w:rsidRPr="00924855">
        <w:t xml:space="preserve">AG Opinion, 71-72. </w:t>
      </w:r>
    </w:p>
  </w:footnote>
  <w:footnote w:id="17">
    <w:p w14:paraId="716CC3BB" w14:textId="7C04ECE9" w:rsidR="00623CAB" w:rsidRPr="00924855" w:rsidRDefault="00623CAB" w:rsidP="00116BFF">
      <w:pPr>
        <w:pStyle w:val="FootnoteText"/>
        <w:jc w:val="both"/>
      </w:pPr>
      <w:r w:rsidRPr="00924855">
        <w:rPr>
          <w:rStyle w:val="FootnoteReference"/>
        </w:rPr>
        <w:footnoteRef/>
      </w:r>
      <w:r w:rsidRPr="00924855">
        <w:t xml:space="preserve"> Ibid, 86. </w:t>
      </w:r>
    </w:p>
  </w:footnote>
  <w:footnote w:id="18">
    <w:p w14:paraId="143DF0B5" w14:textId="214A0327" w:rsidR="00F26FE7" w:rsidRPr="00924855" w:rsidRDefault="00F26FE7" w:rsidP="00116BFF">
      <w:pPr>
        <w:pStyle w:val="FootnoteText"/>
        <w:jc w:val="both"/>
      </w:pPr>
      <w:r w:rsidRPr="00924855">
        <w:rPr>
          <w:rStyle w:val="FootnoteReference"/>
        </w:rPr>
        <w:footnoteRef/>
      </w:r>
      <w:r w:rsidRPr="00924855">
        <w:t xml:space="preserve"> </w:t>
      </w:r>
      <w:r w:rsidR="00623CAB" w:rsidRPr="00924855">
        <w:t xml:space="preserve">Ibid, </w:t>
      </w:r>
      <w:r w:rsidRPr="00924855">
        <w:t>89</w:t>
      </w:r>
      <w:r w:rsidR="00623CAB" w:rsidRPr="00924855">
        <w:t>.</w:t>
      </w:r>
    </w:p>
  </w:footnote>
  <w:footnote w:id="19">
    <w:p w14:paraId="54468B53" w14:textId="5B7B2357" w:rsidR="00681077" w:rsidRPr="00924855" w:rsidRDefault="00681077" w:rsidP="00116BFF">
      <w:pPr>
        <w:pStyle w:val="FootnoteText"/>
        <w:jc w:val="both"/>
      </w:pPr>
      <w:r w:rsidRPr="00924855">
        <w:rPr>
          <w:rStyle w:val="FootnoteReference"/>
        </w:rPr>
        <w:footnoteRef/>
      </w:r>
      <w:r w:rsidRPr="00924855">
        <w:t xml:space="preserve"> </w:t>
      </w:r>
      <w:r w:rsidR="00623CAB" w:rsidRPr="00924855">
        <w:t xml:space="preserve">Ibid, </w:t>
      </w:r>
      <w:r w:rsidRPr="00924855">
        <w:t>92</w:t>
      </w:r>
      <w:r w:rsidR="00623CAB" w:rsidRPr="00924855">
        <w:t>.</w:t>
      </w:r>
    </w:p>
  </w:footnote>
  <w:footnote w:id="20">
    <w:p w14:paraId="315BDFD9" w14:textId="67554519" w:rsidR="00681077" w:rsidRPr="00924855" w:rsidRDefault="00681077" w:rsidP="00116BFF">
      <w:pPr>
        <w:pStyle w:val="FootnoteText"/>
        <w:jc w:val="both"/>
      </w:pPr>
      <w:r w:rsidRPr="00924855">
        <w:rPr>
          <w:rStyle w:val="FootnoteReference"/>
        </w:rPr>
        <w:footnoteRef/>
      </w:r>
      <w:r w:rsidRPr="00924855">
        <w:t xml:space="preserve"> </w:t>
      </w:r>
      <w:r w:rsidR="00623CAB" w:rsidRPr="00924855">
        <w:t xml:space="preserve">Ibid, </w:t>
      </w:r>
      <w:r w:rsidRPr="00924855">
        <w:t>97</w:t>
      </w:r>
      <w:r w:rsidR="00623CAB" w:rsidRPr="00924855">
        <w:t>.</w:t>
      </w:r>
    </w:p>
  </w:footnote>
  <w:footnote w:id="21">
    <w:p w14:paraId="2CA74281" w14:textId="23875E94" w:rsidR="00681077" w:rsidRPr="00924855" w:rsidRDefault="00681077" w:rsidP="00116BFF">
      <w:pPr>
        <w:pStyle w:val="FootnoteText"/>
        <w:jc w:val="both"/>
      </w:pPr>
      <w:r w:rsidRPr="00924855">
        <w:rPr>
          <w:rStyle w:val="FootnoteReference"/>
        </w:rPr>
        <w:footnoteRef/>
      </w:r>
      <w:r w:rsidRPr="00924855">
        <w:t xml:space="preserve"> </w:t>
      </w:r>
      <w:r w:rsidR="00623CAB" w:rsidRPr="00924855">
        <w:t xml:space="preserve">Ibid, 100. </w:t>
      </w:r>
    </w:p>
  </w:footnote>
  <w:footnote w:id="22">
    <w:p w14:paraId="27AF0AF5" w14:textId="4F2127CA" w:rsidR="00681077" w:rsidRPr="00924855" w:rsidRDefault="00681077" w:rsidP="00116BFF">
      <w:pPr>
        <w:pStyle w:val="FootnoteText"/>
        <w:jc w:val="both"/>
      </w:pPr>
      <w:r w:rsidRPr="00924855">
        <w:rPr>
          <w:rStyle w:val="FootnoteReference"/>
        </w:rPr>
        <w:footnoteRef/>
      </w:r>
      <w:r w:rsidRPr="00924855">
        <w:t xml:space="preserve"> </w:t>
      </w:r>
      <w:r w:rsidR="00623CAB" w:rsidRPr="00924855">
        <w:t>Ibid.</w:t>
      </w:r>
    </w:p>
  </w:footnote>
  <w:footnote w:id="23">
    <w:p w14:paraId="7CF29352" w14:textId="49B612A8" w:rsidR="00C91A0B" w:rsidRPr="00924855" w:rsidRDefault="00C91A0B" w:rsidP="00116BFF">
      <w:pPr>
        <w:pStyle w:val="FootnoteText"/>
        <w:jc w:val="both"/>
      </w:pPr>
      <w:r w:rsidRPr="00924855">
        <w:rPr>
          <w:rStyle w:val="FootnoteReference"/>
        </w:rPr>
        <w:footnoteRef/>
      </w:r>
      <w:r w:rsidRPr="00924855">
        <w:t xml:space="preserve"> </w:t>
      </w:r>
      <w:r w:rsidR="00623CAB" w:rsidRPr="00924855">
        <w:t>Case C</w:t>
      </w:r>
      <w:r w:rsidR="00623CAB" w:rsidRPr="00924855">
        <w:noBreakHyphen/>
        <w:t>133/15, </w:t>
      </w:r>
      <w:r w:rsidR="00623CAB" w:rsidRPr="00924855">
        <w:rPr>
          <w:i/>
          <w:iCs/>
        </w:rPr>
        <w:t>Chavez-</w:t>
      </w:r>
      <w:proofErr w:type="spellStart"/>
      <w:r w:rsidR="00623CAB" w:rsidRPr="00924855">
        <w:rPr>
          <w:i/>
          <w:iCs/>
        </w:rPr>
        <w:t>Vilchez</w:t>
      </w:r>
      <w:proofErr w:type="spellEnd"/>
      <w:r w:rsidR="00623CAB" w:rsidRPr="00924855">
        <w:rPr>
          <w:i/>
          <w:iCs/>
        </w:rPr>
        <w:t xml:space="preserve"> and Others</w:t>
      </w:r>
      <w:r w:rsidR="00623CAB" w:rsidRPr="00924855">
        <w:t>, EU:C:2017:354.</w:t>
      </w:r>
    </w:p>
  </w:footnote>
  <w:footnote w:id="24">
    <w:p w14:paraId="5D1D34DA" w14:textId="5060E9FD" w:rsidR="00C91A0B" w:rsidRPr="00924855" w:rsidRDefault="00C91A0B" w:rsidP="00116BFF">
      <w:pPr>
        <w:pStyle w:val="FootnoteText"/>
        <w:jc w:val="both"/>
      </w:pPr>
      <w:r w:rsidRPr="00924855">
        <w:rPr>
          <w:rStyle w:val="FootnoteReference"/>
        </w:rPr>
        <w:footnoteRef/>
      </w:r>
      <w:r w:rsidRPr="00924855">
        <w:t xml:space="preserve"> </w:t>
      </w:r>
      <w:r w:rsidR="00623CAB" w:rsidRPr="00924855">
        <w:t xml:space="preserve">Ibid, </w:t>
      </w:r>
      <w:r w:rsidRPr="00924855">
        <w:t>108</w:t>
      </w:r>
      <w:r w:rsidR="00623CAB" w:rsidRPr="00924855">
        <w:t>.</w:t>
      </w:r>
    </w:p>
  </w:footnote>
  <w:footnote w:id="25">
    <w:p w14:paraId="005F2B52" w14:textId="690F57A8" w:rsidR="00C91A0B" w:rsidRPr="00924855" w:rsidRDefault="00C91A0B" w:rsidP="00116BFF">
      <w:pPr>
        <w:pStyle w:val="FootnoteText"/>
        <w:jc w:val="both"/>
      </w:pPr>
      <w:r w:rsidRPr="00924855">
        <w:rPr>
          <w:rStyle w:val="FootnoteReference"/>
        </w:rPr>
        <w:footnoteRef/>
      </w:r>
      <w:r w:rsidRPr="00924855">
        <w:t xml:space="preserve"> </w:t>
      </w:r>
      <w:r w:rsidR="00623CAB" w:rsidRPr="00924855">
        <w:t xml:space="preserve">Ibid, </w:t>
      </w:r>
      <w:r w:rsidRPr="00924855">
        <w:t>109</w:t>
      </w:r>
      <w:r w:rsidR="00623CAB" w:rsidRPr="00924855">
        <w:t>.</w:t>
      </w:r>
    </w:p>
  </w:footnote>
  <w:footnote w:id="26">
    <w:p w14:paraId="5BF86D19" w14:textId="275FE785" w:rsidR="00B86431" w:rsidRPr="00924855" w:rsidRDefault="00B86431" w:rsidP="00116BFF">
      <w:pPr>
        <w:pStyle w:val="FootnoteText"/>
        <w:jc w:val="both"/>
      </w:pPr>
      <w:r w:rsidRPr="00924855">
        <w:rPr>
          <w:rStyle w:val="FootnoteReference"/>
        </w:rPr>
        <w:footnoteRef/>
      </w:r>
      <w:r w:rsidRPr="00924855">
        <w:t xml:space="preserve"> </w:t>
      </w:r>
      <w:r w:rsidR="00623CAB" w:rsidRPr="00924855">
        <w:t xml:space="preserve">Ibid, 110. </w:t>
      </w:r>
    </w:p>
  </w:footnote>
  <w:footnote w:id="27">
    <w:p w14:paraId="096BE5F5" w14:textId="635C116F" w:rsidR="002C00F3" w:rsidRPr="00924855" w:rsidRDefault="002C00F3" w:rsidP="00116BFF">
      <w:pPr>
        <w:pStyle w:val="FootnoteText"/>
        <w:jc w:val="both"/>
        <w:rPr>
          <w:lang w:val="en-US"/>
        </w:rPr>
      </w:pPr>
      <w:r w:rsidRPr="00924855">
        <w:rPr>
          <w:rStyle w:val="FootnoteReference"/>
        </w:rPr>
        <w:footnoteRef/>
      </w:r>
      <w:r w:rsidRPr="00924855">
        <w:t xml:space="preserve"> </w:t>
      </w:r>
      <w:r w:rsidR="00623CAB" w:rsidRPr="00924855">
        <w:rPr>
          <w:i/>
          <w:iCs/>
        </w:rPr>
        <w:t>CG</w:t>
      </w:r>
      <w:r w:rsidR="00623CAB" w:rsidRPr="00924855">
        <w:t xml:space="preserve"> judgment, </w:t>
      </w:r>
      <w:r w:rsidRPr="00924855">
        <w:rPr>
          <w:lang w:val="en-US"/>
        </w:rPr>
        <w:t>43</w:t>
      </w:r>
      <w:r w:rsidR="00623CAB" w:rsidRPr="00924855">
        <w:rPr>
          <w:lang w:val="en-US"/>
        </w:rPr>
        <w:t>.</w:t>
      </w:r>
    </w:p>
  </w:footnote>
  <w:footnote w:id="28">
    <w:p w14:paraId="6829E90B" w14:textId="2002FEAC" w:rsidR="00056310" w:rsidRPr="00924855" w:rsidRDefault="00056310" w:rsidP="00116BFF">
      <w:pPr>
        <w:pStyle w:val="FootnoteText"/>
        <w:jc w:val="both"/>
        <w:rPr>
          <w:lang w:val="en-US"/>
        </w:rPr>
      </w:pPr>
      <w:r w:rsidRPr="00924855">
        <w:rPr>
          <w:rStyle w:val="FootnoteReference"/>
        </w:rPr>
        <w:footnoteRef/>
      </w:r>
      <w:r w:rsidRPr="00924855">
        <w:t xml:space="preserve"> </w:t>
      </w:r>
      <w:r w:rsidR="000573EC" w:rsidRPr="00924855">
        <w:t xml:space="preserve">Ibid, </w:t>
      </w:r>
      <w:r w:rsidRPr="00924855">
        <w:rPr>
          <w:lang w:val="en-US"/>
        </w:rPr>
        <w:t>67</w:t>
      </w:r>
      <w:r w:rsidR="000573EC" w:rsidRPr="00924855">
        <w:rPr>
          <w:lang w:val="en-US"/>
        </w:rPr>
        <w:t>.</w:t>
      </w:r>
    </w:p>
  </w:footnote>
  <w:footnote w:id="29">
    <w:p w14:paraId="3713C809" w14:textId="0B1DFDD6" w:rsidR="00056310" w:rsidRPr="00924855" w:rsidRDefault="00056310" w:rsidP="00116BFF">
      <w:pPr>
        <w:pStyle w:val="FootnoteText"/>
        <w:jc w:val="both"/>
        <w:rPr>
          <w:lang w:val="en-US"/>
        </w:rPr>
      </w:pPr>
      <w:r w:rsidRPr="00924855">
        <w:rPr>
          <w:rStyle w:val="FootnoteReference"/>
        </w:rPr>
        <w:footnoteRef/>
      </w:r>
      <w:r w:rsidRPr="00924855">
        <w:t xml:space="preserve"> </w:t>
      </w:r>
      <w:r w:rsidR="000573EC" w:rsidRPr="00924855">
        <w:t xml:space="preserve">Ibid, </w:t>
      </w:r>
      <w:r w:rsidRPr="00924855">
        <w:rPr>
          <w:lang w:val="en-US"/>
        </w:rPr>
        <w:t>73</w:t>
      </w:r>
      <w:r w:rsidR="000573EC" w:rsidRPr="00924855">
        <w:rPr>
          <w:lang w:val="en-US"/>
        </w:rPr>
        <w:t>.</w:t>
      </w:r>
    </w:p>
  </w:footnote>
  <w:footnote w:id="30">
    <w:p w14:paraId="454B1D1B" w14:textId="28A21488" w:rsidR="003D4733" w:rsidRPr="00924855" w:rsidRDefault="003D4733" w:rsidP="00116BFF">
      <w:pPr>
        <w:pStyle w:val="FootnoteText"/>
        <w:jc w:val="both"/>
        <w:rPr>
          <w:lang w:val="en-US"/>
        </w:rPr>
      </w:pPr>
      <w:r w:rsidRPr="00924855">
        <w:rPr>
          <w:rStyle w:val="FootnoteReference"/>
        </w:rPr>
        <w:footnoteRef/>
      </w:r>
      <w:r w:rsidRPr="00924855">
        <w:t xml:space="preserve"> </w:t>
      </w:r>
      <w:r w:rsidR="000573EC" w:rsidRPr="00924855">
        <w:rPr>
          <w:i/>
          <w:iCs/>
        </w:rPr>
        <w:t>CG</w:t>
      </w:r>
      <w:r w:rsidR="000573EC" w:rsidRPr="00924855">
        <w:t xml:space="preserve"> judgment, 76, 80.</w:t>
      </w:r>
    </w:p>
  </w:footnote>
  <w:footnote w:id="31">
    <w:p w14:paraId="4722DEE1" w14:textId="6D1E9AA1" w:rsidR="003D4733" w:rsidRPr="00924855" w:rsidRDefault="003D4733" w:rsidP="00116BFF">
      <w:pPr>
        <w:pStyle w:val="FootnoteText"/>
        <w:jc w:val="both"/>
        <w:rPr>
          <w:lang w:val="en-US"/>
        </w:rPr>
      </w:pPr>
      <w:r w:rsidRPr="00924855">
        <w:rPr>
          <w:rStyle w:val="FootnoteReference"/>
        </w:rPr>
        <w:footnoteRef/>
      </w:r>
      <w:r w:rsidRPr="00924855">
        <w:t xml:space="preserve"> </w:t>
      </w:r>
      <w:r w:rsidR="000573EC" w:rsidRPr="00924855">
        <w:t xml:space="preserve">Ibid, </w:t>
      </w:r>
      <w:r w:rsidRPr="00924855">
        <w:rPr>
          <w:lang w:val="en-US"/>
        </w:rPr>
        <w:t>77</w:t>
      </w:r>
      <w:r w:rsidR="000573EC" w:rsidRPr="00924855">
        <w:rPr>
          <w:lang w:val="en-US"/>
        </w:rPr>
        <w:t>.</w:t>
      </w:r>
    </w:p>
  </w:footnote>
  <w:footnote w:id="32">
    <w:p w14:paraId="3251A368" w14:textId="47085888" w:rsidR="003D4733" w:rsidRPr="00924855" w:rsidRDefault="003D4733" w:rsidP="00116BFF">
      <w:pPr>
        <w:pStyle w:val="FootnoteText"/>
        <w:jc w:val="both"/>
        <w:rPr>
          <w:lang w:val="en-US"/>
        </w:rPr>
      </w:pPr>
      <w:r w:rsidRPr="00924855">
        <w:rPr>
          <w:rStyle w:val="FootnoteReference"/>
        </w:rPr>
        <w:footnoteRef/>
      </w:r>
      <w:r w:rsidRPr="00924855">
        <w:t xml:space="preserve"> </w:t>
      </w:r>
      <w:r w:rsidR="000573EC" w:rsidRPr="00924855">
        <w:t xml:space="preserve">Ibid, </w:t>
      </w:r>
      <w:r w:rsidRPr="00924855">
        <w:rPr>
          <w:lang w:val="en-US"/>
        </w:rPr>
        <w:t>78</w:t>
      </w:r>
      <w:r w:rsidR="000573EC" w:rsidRPr="00924855">
        <w:rPr>
          <w:lang w:val="en-US"/>
        </w:rPr>
        <w:t>.</w:t>
      </w:r>
    </w:p>
  </w:footnote>
  <w:footnote w:id="33">
    <w:p w14:paraId="38D7E39C" w14:textId="1B3522B3" w:rsidR="003D4733" w:rsidRPr="00924855" w:rsidRDefault="003D4733" w:rsidP="00116BFF">
      <w:pPr>
        <w:pStyle w:val="FootnoteText"/>
        <w:jc w:val="both"/>
        <w:rPr>
          <w:lang w:val="en-US"/>
        </w:rPr>
      </w:pPr>
      <w:r w:rsidRPr="00924855">
        <w:rPr>
          <w:rStyle w:val="FootnoteReference"/>
        </w:rPr>
        <w:footnoteRef/>
      </w:r>
      <w:r w:rsidRPr="00924855">
        <w:t xml:space="preserve"> </w:t>
      </w:r>
      <w:r w:rsidR="000573EC" w:rsidRPr="00924855">
        <w:t xml:space="preserve">Ibid, </w:t>
      </w:r>
      <w:r w:rsidRPr="00924855">
        <w:rPr>
          <w:lang w:val="en-US"/>
        </w:rPr>
        <w:t>80</w:t>
      </w:r>
      <w:r w:rsidR="000573EC" w:rsidRPr="00924855">
        <w:rPr>
          <w:lang w:val="en-US"/>
        </w:rPr>
        <w:t>.</w:t>
      </w:r>
    </w:p>
  </w:footnote>
  <w:footnote w:id="34">
    <w:p w14:paraId="5394D505" w14:textId="740E3EE4" w:rsidR="003D4733" w:rsidRPr="00924855" w:rsidRDefault="003D4733" w:rsidP="00116BFF">
      <w:pPr>
        <w:pStyle w:val="FootnoteText"/>
        <w:jc w:val="both"/>
        <w:rPr>
          <w:lang w:val="en-US"/>
        </w:rPr>
      </w:pPr>
      <w:r w:rsidRPr="00924855">
        <w:rPr>
          <w:rStyle w:val="FootnoteReference"/>
        </w:rPr>
        <w:footnoteRef/>
      </w:r>
      <w:r w:rsidRPr="00924855">
        <w:t xml:space="preserve"> </w:t>
      </w:r>
      <w:r w:rsidR="000573EC" w:rsidRPr="00924855">
        <w:t xml:space="preserve">Ibid, </w:t>
      </w:r>
      <w:r w:rsidRPr="00924855">
        <w:rPr>
          <w:lang w:val="en-US"/>
        </w:rPr>
        <w:t>81.</w:t>
      </w:r>
    </w:p>
  </w:footnote>
  <w:footnote w:id="35">
    <w:p w14:paraId="7179FA07" w14:textId="5D9AF09E" w:rsidR="003D4733" w:rsidRPr="00924855" w:rsidRDefault="003D4733" w:rsidP="00116BFF">
      <w:pPr>
        <w:pStyle w:val="FootnoteText"/>
        <w:jc w:val="both"/>
        <w:rPr>
          <w:lang w:val="en-US"/>
        </w:rPr>
      </w:pPr>
      <w:r w:rsidRPr="00924855">
        <w:rPr>
          <w:rStyle w:val="FootnoteReference"/>
        </w:rPr>
        <w:footnoteRef/>
      </w:r>
      <w:r w:rsidRPr="00924855">
        <w:t xml:space="preserve"> </w:t>
      </w:r>
      <w:r w:rsidR="002A0000" w:rsidRPr="00924855">
        <w:t xml:space="preserve">Ibid, 83. </w:t>
      </w:r>
    </w:p>
  </w:footnote>
  <w:footnote w:id="36">
    <w:p w14:paraId="248248FD" w14:textId="1CCF2058" w:rsidR="002A0000" w:rsidRPr="00924855" w:rsidRDefault="002A0000" w:rsidP="00116BFF">
      <w:pPr>
        <w:pStyle w:val="FootnoteText"/>
        <w:jc w:val="both"/>
      </w:pPr>
      <w:r w:rsidRPr="00924855">
        <w:rPr>
          <w:rStyle w:val="FootnoteReference"/>
        </w:rPr>
        <w:footnoteRef/>
      </w:r>
      <w:r w:rsidRPr="00924855">
        <w:t xml:space="preserve"> Ibid, 84. </w:t>
      </w:r>
    </w:p>
  </w:footnote>
  <w:footnote w:id="37">
    <w:p w14:paraId="6C2EEF76" w14:textId="589B5CB6" w:rsidR="002A0000" w:rsidRPr="00924855" w:rsidRDefault="002A0000" w:rsidP="00116BFF">
      <w:pPr>
        <w:pStyle w:val="FootnoteText"/>
        <w:jc w:val="both"/>
      </w:pPr>
      <w:r w:rsidRPr="00924855">
        <w:rPr>
          <w:rStyle w:val="FootnoteReference"/>
        </w:rPr>
        <w:footnoteRef/>
      </w:r>
      <w:r w:rsidRPr="00924855">
        <w:t xml:space="preserve"> Ibid, 88.</w:t>
      </w:r>
    </w:p>
  </w:footnote>
  <w:footnote w:id="38">
    <w:p w14:paraId="06D8169E" w14:textId="21EC873D" w:rsidR="003D4733" w:rsidRPr="00924855" w:rsidRDefault="003D4733" w:rsidP="00116BFF">
      <w:pPr>
        <w:pStyle w:val="FootnoteText"/>
        <w:jc w:val="both"/>
        <w:rPr>
          <w:lang w:val="en-US"/>
        </w:rPr>
      </w:pPr>
      <w:r w:rsidRPr="00924855">
        <w:rPr>
          <w:rStyle w:val="FootnoteReference"/>
        </w:rPr>
        <w:footnoteRef/>
      </w:r>
      <w:r w:rsidRPr="00924855">
        <w:t xml:space="preserve"> </w:t>
      </w:r>
      <w:r w:rsidR="002A0000" w:rsidRPr="00924855">
        <w:t xml:space="preserve">Ibid, </w:t>
      </w:r>
      <w:r w:rsidRPr="00924855">
        <w:rPr>
          <w:lang w:val="en-US"/>
        </w:rPr>
        <w:t>92</w:t>
      </w:r>
      <w:r w:rsidR="002A0000" w:rsidRPr="00924855">
        <w:rPr>
          <w:lang w:val="en-US"/>
        </w:rPr>
        <w:t>.</w:t>
      </w:r>
    </w:p>
  </w:footnote>
  <w:footnote w:id="39">
    <w:p w14:paraId="10DB6A6E" w14:textId="4E3E4254" w:rsidR="002A0000" w:rsidRPr="00924855" w:rsidRDefault="002A0000" w:rsidP="00116BFF">
      <w:pPr>
        <w:pStyle w:val="FootnoteText"/>
        <w:jc w:val="both"/>
      </w:pPr>
      <w:r w:rsidRPr="00924855">
        <w:rPr>
          <w:rStyle w:val="FootnoteReference"/>
        </w:rPr>
        <w:footnoteRef/>
      </w:r>
      <w:r w:rsidRPr="00924855">
        <w:t xml:space="preserve"> 2:1.</w:t>
      </w:r>
    </w:p>
  </w:footnote>
  <w:footnote w:id="40">
    <w:p w14:paraId="40CF7054" w14:textId="10B6AFFF" w:rsidR="002434FA" w:rsidRPr="00924855" w:rsidRDefault="005B32A5" w:rsidP="00116BFF">
      <w:pPr>
        <w:pStyle w:val="FootnoteText"/>
        <w:jc w:val="both"/>
        <w:rPr>
          <w:lang w:val="en-US"/>
        </w:rPr>
      </w:pPr>
      <w:r w:rsidRPr="00924855">
        <w:rPr>
          <w:rStyle w:val="FootnoteReference"/>
        </w:rPr>
        <w:footnoteRef/>
      </w:r>
      <w:r w:rsidRPr="00924855">
        <w:t xml:space="preserve"> </w:t>
      </w:r>
      <w:r w:rsidR="002434FA" w:rsidRPr="00924855">
        <w:t xml:space="preserve">Case C-308/14 </w:t>
      </w:r>
      <w:r w:rsidR="002434FA" w:rsidRPr="00924855">
        <w:rPr>
          <w:i/>
          <w:iCs/>
        </w:rPr>
        <w:t xml:space="preserve">Commission v United Kingdom </w:t>
      </w:r>
      <w:r w:rsidR="002434FA" w:rsidRPr="00924855">
        <w:t>EU:</w:t>
      </w:r>
      <w:proofErr w:type="gramStart"/>
      <w:r w:rsidR="002434FA" w:rsidRPr="00924855">
        <w:t>C:2016:436</w:t>
      </w:r>
      <w:proofErr w:type="gramEnd"/>
      <w:r w:rsidR="002434FA" w:rsidRPr="00924855">
        <w:t xml:space="preserve">; see </w:t>
      </w:r>
      <w:r w:rsidR="002434FA" w:rsidRPr="00924855">
        <w:rPr>
          <w:rFonts w:cstheme="minorBidi"/>
        </w:rPr>
        <w:t>C</w:t>
      </w:r>
      <w:r w:rsidR="002434FA" w:rsidRPr="00924855">
        <w:t>.</w:t>
      </w:r>
      <w:r w:rsidR="002434FA" w:rsidRPr="00924855">
        <w:rPr>
          <w:rFonts w:cstheme="minorBidi"/>
        </w:rPr>
        <w:t xml:space="preserve"> O’Brien, </w:t>
      </w:r>
      <w:r w:rsidR="002434FA" w:rsidRPr="00924855">
        <w:t>“</w:t>
      </w:r>
      <w:r w:rsidR="002434FA" w:rsidRPr="00924855">
        <w:rPr>
          <w:rFonts w:cstheme="minorBidi"/>
        </w:rPr>
        <w:t xml:space="preserve">The ECJ Sacrifices EU Citizenship in Vain: </w:t>
      </w:r>
      <w:r w:rsidR="002434FA" w:rsidRPr="00924855">
        <w:rPr>
          <w:rFonts w:cstheme="minorBidi"/>
          <w:i/>
          <w:iCs/>
        </w:rPr>
        <w:t>Commission v United Kingdom</w:t>
      </w:r>
      <w:r w:rsidR="002434FA" w:rsidRPr="00924855">
        <w:rPr>
          <w:i/>
          <w:iCs/>
        </w:rPr>
        <w:t>”</w:t>
      </w:r>
      <w:r w:rsidR="002434FA" w:rsidRPr="00924855">
        <w:rPr>
          <w:rFonts w:cstheme="minorBidi"/>
        </w:rPr>
        <w:t xml:space="preserve"> (2017) 54 CML Rev</w:t>
      </w:r>
      <w:r w:rsidR="002434FA" w:rsidRPr="00924855">
        <w:rPr>
          <w:rFonts w:cstheme="minorBidi"/>
          <w:i/>
          <w:iCs/>
        </w:rPr>
        <w:t xml:space="preserve"> </w:t>
      </w:r>
      <w:r w:rsidR="002434FA" w:rsidRPr="00924855">
        <w:rPr>
          <w:rFonts w:cstheme="minorBidi"/>
        </w:rPr>
        <w:t>1, 209</w:t>
      </w:r>
      <w:r w:rsidR="002434FA" w:rsidRPr="00924855">
        <w:t>.</w:t>
      </w:r>
      <w:r w:rsidR="002434FA" w:rsidRPr="00924855">
        <w:rPr>
          <w:rFonts w:cstheme="minorBidi"/>
        </w:rPr>
        <w:t xml:space="preserve"> </w:t>
      </w:r>
    </w:p>
  </w:footnote>
  <w:footnote w:id="41">
    <w:p w14:paraId="04CC08F5" w14:textId="0E87003A" w:rsidR="002434FA" w:rsidRPr="00924855" w:rsidRDefault="002434FA" w:rsidP="00116BFF">
      <w:pPr>
        <w:pStyle w:val="FootnoteText"/>
        <w:jc w:val="both"/>
      </w:pPr>
      <w:r w:rsidRPr="00924855">
        <w:rPr>
          <w:rStyle w:val="FootnoteReference"/>
        </w:rPr>
        <w:footnoteRef/>
      </w:r>
      <w:r w:rsidRPr="00924855">
        <w:t xml:space="preserve"> Case C-535/19 </w:t>
      </w:r>
      <w:r w:rsidRPr="00924855">
        <w:rPr>
          <w:i/>
          <w:iCs/>
        </w:rPr>
        <w:t>A</w:t>
      </w:r>
      <w:r w:rsidRPr="00924855">
        <w:t>, AG Opinion delivered 11 February 2021, EU:C:2021:114.</w:t>
      </w:r>
    </w:p>
  </w:footnote>
  <w:footnote w:id="42">
    <w:p w14:paraId="0D89933B" w14:textId="4C5BBE28" w:rsidR="00755A8A" w:rsidRPr="00924855" w:rsidRDefault="00755A8A" w:rsidP="00116BFF">
      <w:pPr>
        <w:pStyle w:val="FootnoteText"/>
        <w:jc w:val="both"/>
      </w:pPr>
      <w:r w:rsidRPr="00924855">
        <w:rPr>
          <w:rStyle w:val="FootnoteReference"/>
        </w:rPr>
        <w:footnoteRef/>
      </w:r>
      <w:r w:rsidRPr="00924855">
        <w:t xml:space="preserve"> </w:t>
      </w:r>
      <w:r w:rsidR="00545C00" w:rsidRPr="00924855">
        <w:rPr>
          <w:rFonts w:cstheme="minorBidi"/>
        </w:rPr>
        <w:t xml:space="preserve">C-184/99, </w:t>
      </w:r>
      <w:proofErr w:type="spellStart"/>
      <w:r w:rsidR="00545C00" w:rsidRPr="00924855">
        <w:rPr>
          <w:rFonts w:cstheme="minorBidi"/>
        </w:rPr>
        <w:t>Grzelczyk</w:t>
      </w:r>
      <w:proofErr w:type="spellEnd"/>
      <w:r w:rsidR="00545C00" w:rsidRPr="00924855">
        <w:rPr>
          <w:rFonts w:cstheme="minorBidi"/>
        </w:rPr>
        <w:t xml:space="preserve">, EU:C:2001:458, </w:t>
      </w:r>
      <w:r w:rsidR="00545C00" w:rsidRPr="00924855">
        <w:t>31</w:t>
      </w:r>
      <w:r w:rsidR="00545C00" w:rsidRPr="00924855">
        <w:rPr>
          <w:rFonts w:cstheme="minorBidi"/>
        </w:rPr>
        <w:t>.</w:t>
      </w:r>
    </w:p>
  </w:footnote>
  <w:footnote w:id="43">
    <w:p w14:paraId="19E85A53" w14:textId="0DC11A5D" w:rsidR="005B32A5" w:rsidRPr="00924855" w:rsidRDefault="005B32A5" w:rsidP="00116BFF">
      <w:pPr>
        <w:pStyle w:val="FootnoteText"/>
        <w:jc w:val="both"/>
        <w:rPr>
          <w:lang w:val="en-US"/>
        </w:rPr>
      </w:pPr>
      <w:r w:rsidRPr="00924855">
        <w:rPr>
          <w:rStyle w:val="FootnoteReference"/>
        </w:rPr>
        <w:footnoteRef/>
      </w:r>
      <w:r w:rsidRPr="00924855">
        <w:t xml:space="preserve"> </w:t>
      </w:r>
      <w:r w:rsidRPr="00924855">
        <w:rPr>
          <w:lang w:val="en-US"/>
        </w:rPr>
        <w:t xml:space="preserve">Case C-535/19 </w:t>
      </w:r>
      <w:r w:rsidRPr="00924855">
        <w:rPr>
          <w:i/>
          <w:iCs/>
        </w:rPr>
        <w:t>A</w:t>
      </w:r>
      <w:r w:rsidR="00545C00" w:rsidRPr="00924855">
        <w:t>, AG Opinion, 150.</w:t>
      </w:r>
    </w:p>
  </w:footnote>
  <w:footnote w:id="44">
    <w:p w14:paraId="2D1D6DA6" w14:textId="1C2FACD5" w:rsidR="00755A8A" w:rsidRPr="00924855" w:rsidRDefault="00755A8A" w:rsidP="00116BFF">
      <w:pPr>
        <w:pStyle w:val="FootnoteText"/>
        <w:jc w:val="both"/>
      </w:pPr>
      <w:r w:rsidRPr="00924855">
        <w:rPr>
          <w:rStyle w:val="FootnoteReference"/>
        </w:rPr>
        <w:footnoteRef/>
      </w:r>
      <w:r w:rsidRPr="00924855">
        <w:t xml:space="preserve"> </w:t>
      </w:r>
      <w:r w:rsidR="00545C00" w:rsidRPr="00924855">
        <w:t xml:space="preserve">Case C-181/19 </w:t>
      </w:r>
      <w:r w:rsidR="00BE4DB1" w:rsidRPr="00924855">
        <w:rPr>
          <w:i/>
          <w:iCs/>
        </w:rPr>
        <w:t xml:space="preserve">Krefeld </w:t>
      </w:r>
      <w:r w:rsidR="00545C00" w:rsidRPr="00924855">
        <w:t>EU:</w:t>
      </w:r>
      <w:proofErr w:type="gramStart"/>
      <w:r w:rsidR="00545C00" w:rsidRPr="00924855">
        <w:t>C:2020:794</w:t>
      </w:r>
      <w:proofErr w:type="gramEnd"/>
      <w:r w:rsidR="00545C00" w:rsidRPr="00924855">
        <w:t>.</w:t>
      </w:r>
    </w:p>
  </w:footnote>
  <w:footnote w:id="45">
    <w:p w14:paraId="0F30B055" w14:textId="70919163" w:rsidR="00BE4DB1" w:rsidRPr="00924855" w:rsidRDefault="00BE4DB1" w:rsidP="00116BFF">
      <w:pPr>
        <w:pStyle w:val="FootnoteText"/>
        <w:jc w:val="both"/>
      </w:pPr>
      <w:r w:rsidRPr="00924855">
        <w:rPr>
          <w:rStyle w:val="FootnoteReference"/>
        </w:rPr>
        <w:footnoteRef/>
      </w:r>
      <w:r w:rsidRPr="00924855">
        <w:t xml:space="preserve"> Ibid, 60.</w:t>
      </w:r>
    </w:p>
  </w:footnote>
  <w:footnote w:id="46">
    <w:p w14:paraId="7A8E2560" w14:textId="2D7203A1" w:rsidR="00755A8A" w:rsidRPr="00924855" w:rsidRDefault="00755A8A" w:rsidP="00116BFF">
      <w:pPr>
        <w:pStyle w:val="FootnoteText"/>
        <w:jc w:val="both"/>
      </w:pPr>
      <w:r w:rsidRPr="00924855">
        <w:rPr>
          <w:rStyle w:val="FootnoteReference"/>
        </w:rPr>
        <w:footnoteRef/>
      </w:r>
      <w:r w:rsidRPr="00924855">
        <w:t xml:space="preserve"> </w:t>
      </w:r>
      <w:r w:rsidR="00BE4DB1" w:rsidRPr="00924855">
        <w:rPr>
          <w:rFonts w:cstheme="minorBidi"/>
        </w:rPr>
        <w:t>Regulation (EU) No 492/2011 of the European Parliament and of the Coun</w:t>
      </w:r>
      <w:r w:rsidR="00BE4DB1" w:rsidRPr="00924855">
        <w:t xml:space="preserve">cil of 5 April 2011 on freedom of movement for workers within the Union (codification) OJ [2011] L 141/1. </w:t>
      </w:r>
    </w:p>
  </w:footnote>
  <w:footnote w:id="47">
    <w:p w14:paraId="36CA8BE6" w14:textId="21C74FBF" w:rsidR="00BE4DB1" w:rsidRPr="00924855" w:rsidRDefault="00BE4DB1" w:rsidP="00116BFF">
      <w:pPr>
        <w:pStyle w:val="FootnoteText"/>
        <w:jc w:val="both"/>
      </w:pPr>
      <w:r w:rsidRPr="00924855">
        <w:rPr>
          <w:rStyle w:val="FootnoteReference"/>
        </w:rPr>
        <w:footnoteRef/>
      </w:r>
      <w:r w:rsidRPr="00924855">
        <w:t xml:space="preserve"> F. </w:t>
      </w:r>
      <w:proofErr w:type="spellStart"/>
      <w:r w:rsidRPr="00924855">
        <w:t>Ristuccia</w:t>
      </w:r>
      <w:proofErr w:type="spellEnd"/>
      <w:r w:rsidRPr="00924855">
        <w:t xml:space="preserve">, “The right to social assistance of children in education and their primary carers: </w:t>
      </w:r>
      <w:proofErr w:type="spellStart"/>
      <w:r w:rsidRPr="00924855">
        <w:rPr>
          <w:i/>
          <w:iCs/>
        </w:rPr>
        <w:t>Jobcenter</w:t>
      </w:r>
      <w:proofErr w:type="spellEnd"/>
      <w:r w:rsidRPr="00924855">
        <w:rPr>
          <w:i/>
          <w:iCs/>
        </w:rPr>
        <w:t xml:space="preserve"> Krefeld</w:t>
      </w:r>
      <w:r w:rsidRPr="00924855">
        <w:t>”, (2021) 58 CML Rev, 877, 902.</w:t>
      </w:r>
    </w:p>
  </w:footnote>
  <w:footnote w:id="48">
    <w:p w14:paraId="2E5D0F1E" w14:textId="5069BC8A" w:rsidR="00755A8A" w:rsidRPr="00924855" w:rsidRDefault="00755A8A" w:rsidP="00116BFF">
      <w:pPr>
        <w:pStyle w:val="FootnoteText"/>
        <w:jc w:val="both"/>
      </w:pPr>
      <w:r w:rsidRPr="00924855">
        <w:rPr>
          <w:rStyle w:val="FootnoteReference"/>
        </w:rPr>
        <w:footnoteRef/>
      </w:r>
      <w:r w:rsidRPr="00924855">
        <w:t xml:space="preserve"> </w:t>
      </w:r>
      <w:r w:rsidR="00197FCC" w:rsidRPr="00924855">
        <w:t xml:space="preserve">Case C-535/19 </w:t>
      </w:r>
      <w:r w:rsidR="00197FCC" w:rsidRPr="00924855">
        <w:rPr>
          <w:i/>
          <w:iCs/>
        </w:rPr>
        <w:t xml:space="preserve">A, </w:t>
      </w:r>
      <w:r w:rsidR="00197FCC" w:rsidRPr="00924855">
        <w:t xml:space="preserve">judgment, </w:t>
      </w:r>
      <w:r w:rsidR="00197FCC" w:rsidRPr="00924855">
        <w:rPr>
          <w:rFonts w:eastAsiaTheme="minorHAnsi" w:cstheme="minorBidi"/>
          <w:lang w:eastAsia="en-US"/>
        </w:rPr>
        <w:t>EU:C:2021:595</w:t>
      </w:r>
      <w:r w:rsidR="00197FCC" w:rsidRPr="00924855">
        <w:t>.</w:t>
      </w:r>
    </w:p>
  </w:footnote>
  <w:footnote w:id="49">
    <w:p w14:paraId="4732C84B" w14:textId="27C07A4C" w:rsidR="00197FCC" w:rsidRPr="00924855" w:rsidRDefault="00197FCC" w:rsidP="00116BFF">
      <w:pPr>
        <w:pStyle w:val="FootnoteText"/>
        <w:jc w:val="both"/>
      </w:pPr>
      <w:r w:rsidRPr="00924855">
        <w:rPr>
          <w:rStyle w:val="FootnoteReference"/>
        </w:rPr>
        <w:footnoteRef/>
      </w:r>
      <w:r w:rsidRPr="00924855">
        <w:t xml:space="preserve"> </w:t>
      </w:r>
      <w:r w:rsidRPr="00924855">
        <w:rPr>
          <w:i/>
          <w:iCs/>
        </w:rPr>
        <w:t>CG</w:t>
      </w:r>
      <w:r w:rsidRPr="00924855">
        <w:t xml:space="preserve"> judgment, 83. </w:t>
      </w:r>
    </w:p>
  </w:footnote>
  <w:footnote w:id="50">
    <w:p w14:paraId="38E616E8" w14:textId="5D43B8E4" w:rsidR="009565F6" w:rsidRPr="00924855" w:rsidRDefault="009565F6" w:rsidP="00116BFF">
      <w:pPr>
        <w:pStyle w:val="FootnoteText"/>
        <w:jc w:val="both"/>
      </w:pPr>
      <w:r w:rsidRPr="00924855">
        <w:rPr>
          <w:rStyle w:val="FootnoteReference"/>
        </w:rPr>
        <w:footnoteRef/>
      </w:r>
      <w:r w:rsidRPr="00924855">
        <w:t xml:space="preserve"> </w:t>
      </w:r>
      <w:r w:rsidR="00197FCC" w:rsidRPr="00924855">
        <w:t xml:space="preserve">Ibid, </w:t>
      </w:r>
      <w:r w:rsidRPr="00924855">
        <w:t>87</w:t>
      </w:r>
      <w:r w:rsidR="00197FCC" w:rsidRPr="00924855">
        <w:t>.</w:t>
      </w:r>
    </w:p>
  </w:footnote>
  <w:footnote w:id="51">
    <w:p w14:paraId="3F71D76D" w14:textId="0FE2C3B9" w:rsidR="006E2B6B" w:rsidRPr="00924855" w:rsidRDefault="006E2B6B" w:rsidP="00116BFF">
      <w:pPr>
        <w:pStyle w:val="FootnoteText"/>
        <w:jc w:val="both"/>
      </w:pPr>
      <w:r w:rsidRPr="00924855">
        <w:rPr>
          <w:rStyle w:val="FootnoteReference"/>
        </w:rPr>
        <w:footnoteRef/>
      </w:r>
      <w:r w:rsidRPr="00924855">
        <w:t xml:space="preserve"> Not counting repetitions of the case name in the same mention, which takes it to 43 times. </w:t>
      </w:r>
    </w:p>
  </w:footnote>
  <w:footnote w:id="52">
    <w:p w14:paraId="36606D82" w14:textId="2252F1E7" w:rsidR="0033105A" w:rsidRPr="00924855" w:rsidRDefault="0033105A" w:rsidP="00116BFF">
      <w:pPr>
        <w:pStyle w:val="FootnoteText"/>
        <w:jc w:val="both"/>
      </w:pPr>
      <w:r w:rsidRPr="00924855">
        <w:rPr>
          <w:rStyle w:val="FootnoteReference"/>
        </w:rPr>
        <w:footnoteRef/>
      </w:r>
      <w:r w:rsidRPr="00924855">
        <w:t xml:space="preserve"> </w:t>
      </w:r>
      <w:proofErr w:type="spellStart"/>
      <w:r w:rsidRPr="00924855">
        <w:rPr>
          <w:i/>
          <w:iCs/>
        </w:rPr>
        <w:t>Fratila</w:t>
      </w:r>
      <w:proofErr w:type="spellEnd"/>
      <w:r w:rsidR="00474143" w:rsidRPr="00924855">
        <w:t>, above, n</w:t>
      </w:r>
      <w:r w:rsidR="00B6064F" w:rsidRPr="00924855">
        <w:fldChar w:fldCharType="begin"/>
      </w:r>
      <w:r w:rsidR="00B6064F" w:rsidRPr="00924855">
        <w:instrText xml:space="preserve"> NOTEREF _Ref84347109 \h </w:instrText>
      </w:r>
      <w:r w:rsidR="00924855">
        <w:instrText xml:space="preserve"> \* MERGEFORMAT </w:instrText>
      </w:r>
      <w:r w:rsidR="00B6064F" w:rsidRPr="00924855">
        <w:fldChar w:fldCharType="separate"/>
      </w:r>
      <w:r w:rsidR="00924855">
        <w:t>1</w:t>
      </w:r>
      <w:r w:rsidR="00B6064F" w:rsidRPr="00924855">
        <w:fldChar w:fldCharType="end"/>
      </w:r>
      <w:r w:rsidR="00B6064F" w:rsidRPr="00924855">
        <w:t xml:space="preserve">, </w:t>
      </w:r>
      <w:r w:rsidRPr="00924855">
        <w:t>72</w:t>
      </w:r>
      <w:r w:rsidR="00474143" w:rsidRPr="00924855">
        <w:t>.</w:t>
      </w:r>
    </w:p>
  </w:footnote>
  <w:footnote w:id="53">
    <w:p w14:paraId="5A03EA29" w14:textId="073A22D7" w:rsidR="00474143" w:rsidRPr="00924855" w:rsidRDefault="00474143" w:rsidP="00116BFF">
      <w:pPr>
        <w:pStyle w:val="FootnoteText"/>
        <w:jc w:val="both"/>
      </w:pPr>
      <w:r w:rsidRPr="00924855">
        <w:rPr>
          <w:rStyle w:val="FootnoteReference"/>
        </w:rPr>
        <w:footnoteRef/>
      </w:r>
      <w:r w:rsidRPr="00924855">
        <w:t xml:space="preserve"> </w:t>
      </w:r>
      <w:r w:rsidRPr="00924855">
        <w:rPr>
          <w:i/>
          <w:iCs/>
        </w:rPr>
        <w:t>CG</w:t>
      </w:r>
      <w:r w:rsidRPr="00924855">
        <w:t xml:space="preserve"> judgment, 37.</w:t>
      </w:r>
    </w:p>
  </w:footnote>
  <w:footnote w:id="54">
    <w:p w14:paraId="33A9A100" w14:textId="47427E67" w:rsidR="00DF7CBA" w:rsidRPr="00924855" w:rsidRDefault="00DF7CBA" w:rsidP="00116BFF">
      <w:pPr>
        <w:pStyle w:val="FootnoteText"/>
        <w:jc w:val="both"/>
        <w:rPr>
          <w:lang w:val="en-US"/>
        </w:rPr>
      </w:pPr>
      <w:r w:rsidRPr="00924855">
        <w:rPr>
          <w:rStyle w:val="FootnoteReference"/>
        </w:rPr>
        <w:footnoteRef/>
      </w:r>
      <w:r w:rsidRPr="00924855">
        <w:t xml:space="preserve"> </w:t>
      </w:r>
      <w:r w:rsidR="00474143" w:rsidRPr="00924855">
        <w:t xml:space="preserve">As in </w:t>
      </w:r>
      <w:r w:rsidR="00474143" w:rsidRPr="00924855">
        <w:rPr>
          <w:rFonts w:eastAsiaTheme="minorHAnsi" w:cstheme="minorBidi"/>
          <w:lang w:eastAsia="en-US"/>
        </w:rPr>
        <w:t xml:space="preserve">Case C-67/14 </w:t>
      </w:r>
      <w:proofErr w:type="spellStart"/>
      <w:r w:rsidR="00474143" w:rsidRPr="00924855">
        <w:rPr>
          <w:rFonts w:eastAsiaTheme="minorHAnsi" w:cstheme="minorBidi"/>
          <w:i/>
          <w:iCs/>
          <w:lang w:eastAsia="en-US"/>
        </w:rPr>
        <w:t>Alimanovic</w:t>
      </w:r>
      <w:proofErr w:type="spellEnd"/>
      <w:r w:rsidR="00474143" w:rsidRPr="00924855">
        <w:rPr>
          <w:rFonts w:eastAsiaTheme="minorHAnsi" w:cstheme="minorBidi"/>
          <w:i/>
          <w:iCs/>
          <w:lang w:eastAsia="en-US"/>
        </w:rPr>
        <w:t xml:space="preserve"> </w:t>
      </w:r>
      <w:r w:rsidR="00474143" w:rsidRPr="00924855">
        <w:rPr>
          <w:rFonts w:eastAsiaTheme="minorHAnsi" w:cstheme="minorBidi"/>
          <w:lang w:eastAsia="en-US"/>
        </w:rPr>
        <w:t>EU:</w:t>
      </w:r>
      <w:proofErr w:type="gramStart"/>
      <w:r w:rsidR="00474143" w:rsidRPr="00924855">
        <w:rPr>
          <w:rFonts w:eastAsiaTheme="minorHAnsi" w:cstheme="minorBidi"/>
          <w:lang w:eastAsia="en-US"/>
        </w:rPr>
        <w:t>C:2015:597</w:t>
      </w:r>
      <w:proofErr w:type="gramEnd"/>
      <w:r w:rsidR="00474143" w:rsidRPr="00924855">
        <w:rPr>
          <w:rFonts w:eastAsiaTheme="minorHAnsi" w:cstheme="minorBidi"/>
          <w:lang w:eastAsia="en-US"/>
        </w:rPr>
        <w:t>.</w:t>
      </w:r>
    </w:p>
  </w:footnote>
  <w:footnote w:id="55">
    <w:p w14:paraId="16663F73" w14:textId="1293A86F" w:rsidR="0039309E" w:rsidRPr="00924855" w:rsidRDefault="0039309E" w:rsidP="00116BFF">
      <w:pPr>
        <w:pStyle w:val="FootnoteText"/>
        <w:jc w:val="both"/>
      </w:pPr>
      <w:r w:rsidRPr="00924855">
        <w:rPr>
          <w:rStyle w:val="FootnoteReference"/>
        </w:rPr>
        <w:footnoteRef/>
      </w:r>
      <w:r w:rsidRPr="00924855">
        <w:t xml:space="preserve"> Indeed, </w:t>
      </w:r>
      <w:r w:rsidRPr="00924855">
        <w:rPr>
          <w:i/>
          <w:iCs/>
        </w:rPr>
        <w:t xml:space="preserve">Krefeld </w:t>
      </w:r>
      <w:r w:rsidRPr="00924855">
        <w:t>gets two mentions, but only to support the contentions that Article 18 TFEU only applies if no more specific rules apply,</w:t>
      </w:r>
      <w:r w:rsidR="00474143" w:rsidRPr="00924855">
        <w:t xml:space="preserve"> (65)</w:t>
      </w:r>
      <w:r w:rsidRPr="00924855">
        <w:t xml:space="preserve"> and that universal credit is a form of social assistance</w:t>
      </w:r>
      <w:r w:rsidR="00474143" w:rsidRPr="00924855">
        <w:t xml:space="preserve"> (69)</w:t>
      </w:r>
      <w:r w:rsidRPr="00924855">
        <w:t>.</w:t>
      </w:r>
    </w:p>
  </w:footnote>
  <w:footnote w:id="56">
    <w:p w14:paraId="55B1DECC" w14:textId="55BA1DA0" w:rsidR="00991049" w:rsidRPr="00924855" w:rsidRDefault="00991049" w:rsidP="00116BFF">
      <w:pPr>
        <w:pStyle w:val="FootnoteText"/>
        <w:jc w:val="both"/>
        <w:rPr>
          <w:lang w:val="en-US"/>
        </w:rPr>
      </w:pPr>
      <w:r w:rsidRPr="00924855">
        <w:rPr>
          <w:rStyle w:val="FootnoteReference"/>
        </w:rPr>
        <w:footnoteRef/>
      </w:r>
      <w:r w:rsidRPr="00924855">
        <w:t xml:space="preserve"> </w:t>
      </w:r>
      <w:r w:rsidR="00A04034" w:rsidRPr="00924855">
        <w:t xml:space="preserve">CG, judgment, </w:t>
      </w:r>
      <w:r w:rsidRPr="00924855">
        <w:rPr>
          <w:lang w:val="en-US"/>
        </w:rPr>
        <w:t>75</w:t>
      </w:r>
      <w:r w:rsidR="00A04034" w:rsidRPr="00924855">
        <w:rPr>
          <w:lang w:val="en-US"/>
        </w:rPr>
        <w:t>.</w:t>
      </w:r>
    </w:p>
  </w:footnote>
  <w:footnote w:id="57">
    <w:p w14:paraId="10A8FC15" w14:textId="1A5C9FE1" w:rsidR="00474143" w:rsidRPr="00924855" w:rsidRDefault="00474143" w:rsidP="00116BFF">
      <w:pPr>
        <w:pStyle w:val="FootnoteText"/>
        <w:jc w:val="both"/>
      </w:pPr>
      <w:r w:rsidRPr="00924855">
        <w:rPr>
          <w:rStyle w:val="FootnoteReference"/>
        </w:rPr>
        <w:footnoteRef/>
      </w:r>
      <w:r w:rsidRPr="00924855">
        <w:t xml:space="preserve"> Case C-299/14 </w:t>
      </w:r>
      <w:proofErr w:type="spellStart"/>
      <w:r w:rsidRPr="00924855">
        <w:rPr>
          <w:i/>
          <w:iCs/>
        </w:rPr>
        <w:t>García-Nieto</w:t>
      </w:r>
      <w:proofErr w:type="spellEnd"/>
      <w:r w:rsidRPr="00924855">
        <w:rPr>
          <w:i/>
          <w:iCs/>
        </w:rPr>
        <w:t xml:space="preserve"> </w:t>
      </w:r>
      <w:r w:rsidRPr="00924855">
        <w:t>EU:</w:t>
      </w:r>
      <w:proofErr w:type="gramStart"/>
      <w:r w:rsidRPr="00924855">
        <w:t>C:2016:114</w:t>
      </w:r>
      <w:proofErr w:type="gramEnd"/>
      <w:r w:rsidRPr="00924855">
        <w:t xml:space="preserve">. </w:t>
      </w:r>
    </w:p>
  </w:footnote>
  <w:footnote w:id="58">
    <w:p w14:paraId="72683B4B" w14:textId="45B15F99" w:rsidR="00474143" w:rsidRPr="00924855" w:rsidRDefault="00474143" w:rsidP="00116BFF">
      <w:pPr>
        <w:pStyle w:val="FootnoteText"/>
        <w:jc w:val="both"/>
      </w:pPr>
      <w:r w:rsidRPr="00924855">
        <w:rPr>
          <w:rStyle w:val="FootnoteReference"/>
        </w:rPr>
        <w:footnoteRef/>
      </w:r>
      <w:r w:rsidRPr="00924855">
        <w:t xml:space="preserve"> Note the German Government’s evidence in the High Court </w:t>
      </w:r>
      <w:proofErr w:type="spellStart"/>
      <w:r w:rsidRPr="00924855">
        <w:rPr>
          <w:i/>
          <w:iCs/>
        </w:rPr>
        <w:t>Fratila</w:t>
      </w:r>
      <w:proofErr w:type="spellEnd"/>
      <w:r w:rsidRPr="00924855">
        <w:t xml:space="preserve"> judgment: </w:t>
      </w:r>
      <w:proofErr w:type="spellStart"/>
      <w:r w:rsidRPr="00924855">
        <w:rPr>
          <w:i/>
          <w:iCs/>
        </w:rPr>
        <w:t>Fratila</w:t>
      </w:r>
      <w:proofErr w:type="spellEnd"/>
      <w:r w:rsidR="00B34EA5" w:rsidRPr="00924855">
        <w:rPr>
          <w:i/>
          <w:iCs/>
        </w:rPr>
        <w:t xml:space="preserve"> </w:t>
      </w:r>
      <w:r w:rsidRPr="00924855">
        <w:rPr>
          <w:i/>
          <w:iCs/>
        </w:rPr>
        <w:t>&amp;</w:t>
      </w:r>
      <w:r w:rsidR="00B34EA5" w:rsidRPr="00924855">
        <w:rPr>
          <w:i/>
          <w:iCs/>
        </w:rPr>
        <w:t xml:space="preserve"> </w:t>
      </w:r>
      <w:r w:rsidRPr="00924855">
        <w:rPr>
          <w:i/>
          <w:iCs/>
        </w:rPr>
        <w:t>Anor</w:t>
      </w:r>
      <w:r w:rsidR="00B34EA5" w:rsidRPr="00924855">
        <w:rPr>
          <w:i/>
          <w:iCs/>
        </w:rPr>
        <w:t xml:space="preserve">, </w:t>
      </w:r>
      <w:r w:rsidRPr="00924855">
        <w:rPr>
          <w:i/>
          <w:iCs/>
        </w:rPr>
        <w:t>R</w:t>
      </w:r>
      <w:r w:rsidR="00B34EA5" w:rsidRPr="00924855">
        <w:rPr>
          <w:i/>
          <w:iCs/>
        </w:rPr>
        <w:t xml:space="preserve"> </w:t>
      </w:r>
      <w:r w:rsidRPr="00924855">
        <w:rPr>
          <w:i/>
          <w:iCs/>
        </w:rPr>
        <w:t>(on</w:t>
      </w:r>
      <w:r w:rsidR="00B34EA5" w:rsidRPr="00924855">
        <w:rPr>
          <w:i/>
          <w:iCs/>
        </w:rPr>
        <w:t xml:space="preserve"> </w:t>
      </w:r>
      <w:r w:rsidRPr="00924855">
        <w:rPr>
          <w:i/>
          <w:iCs/>
        </w:rPr>
        <w:t>the</w:t>
      </w:r>
      <w:r w:rsidR="00B34EA5" w:rsidRPr="00924855">
        <w:rPr>
          <w:i/>
          <w:iCs/>
        </w:rPr>
        <w:t xml:space="preserve"> </w:t>
      </w:r>
      <w:r w:rsidRPr="00924855">
        <w:rPr>
          <w:i/>
          <w:iCs/>
        </w:rPr>
        <w:t>application</w:t>
      </w:r>
      <w:r w:rsidR="00B34EA5" w:rsidRPr="00924855">
        <w:rPr>
          <w:i/>
          <w:iCs/>
        </w:rPr>
        <w:t xml:space="preserve"> </w:t>
      </w:r>
      <w:r w:rsidRPr="00924855">
        <w:rPr>
          <w:i/>
          <w:iCs/>
        </w:rPr>
        <w:t>of)</w:t>
      </w:r>
      <w:r w:rsidR="00B34EA5" w:rsidRPr="00924855">
        <w:rPr>
          <w:i/>
          <w:iCs/>
        </w:rPr>
        <w:t xml:space="preserve"> </w:t>
      </w:r>
      <w:r w:rsidRPr="00924855">
        <w:t>v</w:t>
      </w:r>
      <w:r w:rsidRPr="00924855">
        <w:rPr>
          <w:i/>
          <w:iCs/>
        </w:rPr>
        <w:t>.</w:t>
      </w:r>
      <w:r w:rsidR="00B34EA5" w:rsidRPr="00924855">
        <w:rPr>
          <w:i/>
          <w:iCs/>
        </w:rPr>
        <w:t xml:space="preserve"> </w:t>
      </w:r>
      <w:r w:rsidRPr="00924855">
        <w:rPr>
          <w:i/>
          <w:iCs/>
        </w:rPr>
        <w:t>Secretary</w:t>
      </w:r>
      <w:r w:rsidR="00B34EA5" w:rsidRPr="00924855">
        <w:rPr>
          <w:i/>
          <w:iCs/>
        </w:rPr>
        <w:t xml:space="preserve"> </w:t>
      </w:r>
      <w:r w:rsidRPr="00924855">
        <w:rPr>
          <w:i/>
          <w:iCs/>
        </w:rPr>
        <w:t>of</w:t>
      </w:r>
      <w:r w:rsidR="00B34EA5" w:rsidRPr="00924855">
        <w:rPr>
          <w:i/>
          <w:iCs/>
        </w:rPr>
        <w:t xml:space="preserve"> </w:t>
      </w:r>
      <w:r w:rsidRPr="00924855">
        <w:rPr>
          <w:i/>
          <w:iCs/>
        </w:rPr>
        <w:t>State</w:t>
      </w:r>
      <w:r w:rsidR="00B34EA5" w:rsidRPr="00924855">
        <w:rPr>
          <w:i/>
          <w:iCs/>
        </w:rPr>
        <w:t xml:space="preserve"> </w:t>
      </w:r>
      <w:r w:rsidRPr="00924855">
        <w:rPr>
          <w:i/>
          <w:iCs/>
        </w:rPr>
        <w:t>for</w:t>
      </w:r>
      <w:r w:rsidR="00B34EA5" w:rsidRPr="00924855">
        <w:rPr>
          <w:i/>
          <w:iCs/>
        </w:rPr>
        <w:t xml:space="preserve"> </w:t>
      </w:r>
      <w:r w:rsidRPr="00924855">
        <w:rPr>
          <w:i/>
          <w:iCs/>
        </w:rPr>
        <w:t>Work</w:t>
      </w:r>
      <w:r w:rsidR="00B34EA5" w:rsidRPr="00924855">
        <w:rPr>
          <w:i/>
          <w:iCs/>
        </w:rPr>
        <w:t xml:space="preserve"> </w:t>
      </w:r>
      <w:r w:rsidRPr="00924855">
        <w:rPr>
          <w:i/>
          <w:iCs/>
        </w:rPr>
        <w:t>and</w:t>
      </w:r>
      <w:r w:rsidR="00B34EA5" w:rsidRPr="00924855">
        <w:rPr>
          <w:i/>
          <w:iCs/>
        </w:rPr>
        <w:t xml:space="preserve"> </w:t>
      </w:r>
      <w:r w:rsidRPr="00924855">
        <w:rPr>
          <w:i/>
          <w:iCs/>
        </w:rPr>
        <w:t>Pensions</w:t>
      </w:r>
      <w:r w:rsidR="00B34EA5" w:rsidRPr="00924855">
        <w:rPr>
          <w:i/>
          <w:iCs/>
        </w:rPr>
        <w:t xml:space="preserve"> </w:t>
      </w:r>
      <w:r w:rsidRPr="00924855">
        <w:rPr>
          <w:i/>
          <w:iCs/>
        </w:rPr>
        <w:t xml:space="preserve">&amp; Anor </w:t>
      </w:r>
      <w:r w:rsidRPr="00924855">
        <w:t>[2020] EWHC 998 (Admin) (27</w:t>
      </w:r>
      <w:r w:rsidR="00B34EA5" w:rsidRPr="00924855">
        <w:t xml:space="preserve"> </w:t>
      </w:r>
      <w:r w:rsidRPr="00924855">
        <w:t>April 2020)</w:t>
      </w:r>
      <w:r w:rsidR="00B34EA5" w:rsidRPr="00924855">
        <w:t>, 22.</w:t>
      </w:r>
      <w:r w:rsidRPr="00924855">
        <w:t xml:space="preserve"> </w:t>
      </w:r>
    </w:p>
  </w:footnote>
  <w:footnote w:id="59">
    <w:p w14:paraId="484C60B5" w14:textId="45826510" w:rsidR="005B79C7" w:rsidRPr="00924855" w:rsidRDefault="005B79C7" w:rsidP="00116BFF">
      <w:pPr>
        <w:pStyle w:val="FootnoteText"/>
        <w:jc w:val="both"/>
      </w:pPr>
      <w:r w:rsidRPr="00924855">
        <w:rPr>
          <w:rStyle w:val="FootnoteReference"/>
        </w:rPr>
        <w:footnoteRef/>
      </w:r>
      <w:r w:rsidRPr="00924855">
        <w:t xml:space="preserve"> </w:t>
      </w:r>
      <w:r w:rsidR="00085059" w:rsidRPr="00924855">
        <w:rPr>
          <w:i/>
          <w:iCs/>
        </w:rPr>
        <w:t>CG</w:t>
      </w:r>
      <w:r w:rsidR="00085059" w:rsidRPr="00924855">
        <w:t xml:space="preserve">, judgment, </w:t>
      </w:r>
      <w:r w:rsidRPr="00924855">
        <w:t>81.</w:t>
      </w:r>
    </w:p>
  </w:footnote>
  <w:footnote w:id="60">
    <w:p w14:paraId="100E5AC4" w14:textId="77777777" w:rsidR="00161481" w:rsidRPr="00924855" w:rsidRDefault="0003372D" w:rsidP="00116BFF">
      <w:pPr>
        <w:pStyle w:val="FootnoteText"/>
        <w:jc w:val="both"/>
      </w:pPr>
      <w:r w:rsidRPr="00924855">
        <w:rPr>
          <w:rStyle w:val="FootnoteReference"/>
        </w:rPr>
        <w:footnoteRef/>
      </w:r>
      <w:r w:rsidRPr="00924855">
        <w:t xml:space="preserve"> </w:t>
      </w:r>
      <w:r w:rsidR="00086B48" w:rsidRPr="00924855">
        <w:t xml:space="preserve">C. O’Brien, “Between the Devil and the Deep Blue Sea: Vulnerable EU Citizens Cast Adrift in the UK Post-Brexit”, (2021) 58(2) CML Rev, 431. </w:t>
      </w:r>
      <w:r w:rsidR="00161481" w:rsidRPr="00924855">
        <w:t xml:space="preserve">See also: Sumption and </w:t>
      </w:r>
      <w:proofErr w:type="spellStart"/>
      <w:r w:rsidR="00161481" w:rsidRPr="00924855">
        <w:t>Fernández-Reino</w:t>
      </w:r>
      <w:proofErr w:type="spellEnd"/>
      <w:r w:rsidR="00161481" w:rsidRPr="00924855">
        <w:t xml:space="preserve"> “Unsettled Status – 2020: Which EU Citizens are at </w:t>
      </w:r>
    </w:p>
    <w:p w14:paraId="2DFC47EA" w14:textId="53E47935" w:rsidR="0003372D" w:rsidRPr="00924855" w:rsidRDefault="00161481" w:rsidP="00116BFF">
      <w:pPr>
        <w:pStyle w:val="FootnoteText"/>
        <w:jc w:val="both"/>
      </w:pPr>
      <w:r w:rsidRPr="00924855">
        <w:t xml:space="preserve">risk of failing to secure their rights after Brexit?” The Migration Observatory, Report 24 Sept. 2020, available at &lt;migrationobservatory.ox.ac.uk/wp-content/uploads/2020/09/Report-Unse ttled-Status-2020.pdf&gt;; </w:t>
      </w:r>
      <w:proofErr w:type="spellStart"/>
      <w:r w:rsidRPr="00924855">
        <w:t>Corum</w:t>
      </w:r>
      <w:proofErr w:type="spellEnd"/>
      <w:r w:rsidRPr="00924855">
        <w:t xml:space="preserve"> Children’s Legal Centre, “Uncertain futures: The EU settlement scheme and children and young people’s right to remain in the UK”, Report March 2019, available at &lt;www.childrenslegalcentre.com/wp-content/uploads/2019/03/EUSS-brief ing_Mar2019_FINAL .pdf&gt;. </w:t>
      </w:r>
    </w:p>
  </w:footnote>
  <w:footnote w:id="61">
    <w:p w14:paraId="7C5EC58C" w14:textId="04580113" w:rsidR="00161481" w:rsidRPr="00924855" w:rsidRDefault="00161481" w:rsidP="00116BFF">
      <w:pPr>
        <w:pStyle w:val="FootnoteText"/>
        <w:jc w:val="both"/>
      </w:pPr>
      <w:r w:rsidRPr="00924855">
        <w:rPr>
          <w:rStyle w:val="FootnoteReference"/>
        </w:rPr>
        <w:footnoteRef/>
      </w:r>
      <w:r w:rsidRPr="00924855">
        <w:t xml:space="preserve"> Home Office (2021) above, n.</w:t>
      </w:r>
      <w:r w:rsidRPr="00924855">
        <w:fldChar w:fldCharType="begin"/>
      </w:r>
      <w:r w:rsidRPr="00924855">
        <w:instrText xml:space="preserve"> NOTEREF _Ref84329414 \h </w:instrText>
      </w:r>
      <w:r w:rsidR="00116BFF" w:rsidRPr="00924855">
        <w:instrText xml:space="preserve"> \* MERGEFORMAT </w:instrText>
      </w:r>
      <w:r w:rsidRPr="00924855">
        <w:fldChar w:fldCharType="separate"/>
      </w:r>
      <w:r w:rsidR="00924855">
        <w:t>9</w:t>
      </w:r>
      <w:r w:rsidRPr="00924855">
        <w:fldChar w:fldCharType="end"/>
      </w:r>
      <w:r w:rsidRPr="00924855">
        <w:t>, 32: “For the time being, you will give applicants the benefit of any doubt in considering whether… there are reasonable grounds for their failure to meet the deadline” and “In general, the more time which has elapsed since the deadline applicable to the person under the scheme, the harder it will be for them to satisfy you that… there are reasonable grounds for their failure to meet that deadline”.</w:t>
      </w:r>
    </w:p>
  </w:footnote>
  <w:footnote w:id="62">
    <w:p w14:paraId="62688A2E" w14:textId="046E1670" w:rsidR="001E06DC" w:rsidRPr="00924855" w:rsidRDefault="001E06DC" w:rsidP="00116BFF">
      <w:pPr>
        <w:pStyle w:val="FootnoteText"/>
        <w:jc w:val="both"/>
      </w:pPr>
      <w:r w:rsidRPr="00924855">
        <w:rPr>
          <w:rStyle w:val="FootnoteReference"/>
        </w:rPr>
        <w:footnoteRef/>
      </w:r>
      <w:r w:rsidRPr="00924855">
        <w:t xml:space="preserve"> </w:t>
      </w:r>
      <w:r w:rsidR="00161481" w:rsidRPr="00924855">
        <w:t>On the nature of the UK’s hostile environment towards</w:t>
      </w:r>
      <w:r w:rsidR="000F5256" w:rsidRPr="00924855">
        <w:t>, and criminalisation of, irregular</w:t>
      </w:r>
      <w:r w:rsidR="00161481" w:rsidRPr="00924855">
        <w:t xml:space="preserve"> migrants, </w:t>
      </w:r>
      <w:r w:rsidR="000F5256" w:rsidRPr="00924855">
        <w:t>see M. Wu, “‘A Hostile Environment’: examining the rights and remedies afforded to exploited irregular migrant workers in the United Kingdom”, (2021), 35(2), J.I.A.N.L.,108.</w:t>
      </w:r>
      <w:r w:rsidR="00161481" w:rsidRPr="00924855">
        <w:t xml:space="preserve">  </w:t>
      </w:r>
    </w:p>
  </w:footnote>
  <w:footnote w:id="63">
    <w:p w14:paraId="13221B5A" w14:textId="57B4F78E" w:rsidR="00D37AD3" w:rsidRPr="00924855" w:rsidRDefault="00D37AD3" w:rsidP="00116BFF">
      <w:pPr>
        <w:pStyle w:val="FootnoteText"/>
        <w:jc w:val="both"/>
      </w:pPr>
      <w:r w:rsidRPr="00924855">
        <w:rPr>
          <w:rStyle w:val="FootnoteReference"/>
        </w:rPr>
        <w:footnoteRef/>
      </w:r>
      <w:r w:rsidRPr="00924855">
        <w:t xml:space="preserve"> </w:t>
      </w:r>
      <w:r w:rsidR="000F5256" w:rsidRPr="00924855">
        <w:rPr>
          <w:i/>
          <w:iCs/>
        </w:rPr>
        <w:t xml:space="preserve">CG, </w:t>
      </w:r>
      <w:r w:rsidR="000F5256" w:rsidRPr="00924855">
        <w:t>judgment, 83.</w:t>
      </w:r>
    </w:p>
  </w:footnote>
  <w:footnote w:id="64">
    <w:p w14:paraId="5B2431D3" w14:textId="005B017A" w:rsidR="00B6380A" w:rsidRPr="00924855" w:rsidRDefault="00B6380A" w:rsidP="00116BFF">
      <w:pPr>
        <w:pStyle w:val="FootnoteText"/>
        <w:jc w:val="both"/>
      </w:pPr>
      <w:r w:rsidRPr="00924855">
        <w:rPr>
          <w:rStyle w:val="FootnoteReference"/>
        </w:rPr>
        <w:footnoteRef/>
      </w:r>
      <w:r w:rsidRPr="00924855">
        <w:t xml:space="preserve"> </w:t>
      </w:r>
      <w:r w:rsidR="000F5256" w:rsidRPr="00924855">
        <w:t xml:space="preserve">Case C-300/04 </w:t>
      </w:r>
      <w:proofErr w:type="spellStart"/>
      <w:r w:rsidRPr="00924855">
        <w:rPr>
          <w:i/>
          <w:iCs/>
        </w:rPr>
        <w:t>Eman</w:t>
      </w:r>
      <w:proofErr w:type="spellEnd"/>
      <w:r w:rsidRPr="00924855">
        <w:rPr>
          <w:i/>
          <w:iCs/>
        </w:rPr>
        <w:t xml:space="preserve"> &amp; </w:t>
      </w:r>
      <w:proofErr w:type="spellStart"/>
      <w:r w:rsidRPr="00924855">
        <w:rPr>
          <w:i/>
          <w:iCs/>
        </w:rPr>
        <w:t>Sevinger</w:t>
      </w:r>
      <w:proofErr w:type="spellEnd"/>
      <w:r w:rsidRPr="00924855">
        <w:rPr>
          <w:i/>
          <w:iCs/>
        </w:rPr>
        <w:t xml:space="preserve"> </w:t>
      </w:r>
      <w:r w:rsidR="000F5256" w:rsidRPr="00924855">
        <w:t>EU:C:2006:545, para 5</w:t>
      </w:r>
      <w:r w:rsidRPr="00924855">
        <w:t>7</w:t>
      </w:r>
      <w:r w:rsidR="004A5384" w:rsidRPr="00924855">
        <w:t xml:space="preserve">; </w:t>
      </w:r>
      <w:r w:rsidR="000F5256" w:rsidRPr="00924855">
        <w:t xml:space="preserve">Case C-307/05 </w:t>
      </w:r>
      <w:r w:rsidR="004A5384" w:rsidRPr="00924855">
        <w:rPr>
          <w:i/>
          <w:iCs/>
        </w:rPr>
        <w:t xml:space="preserve">Alonso </w:t>
      </w:r>
      <w:r w:rsidR="004A5384" w:rsidRPr="00924855">
        <w:t>EU:C:2007:509</w:t>
      </w:r>
      <w:r w:rsidR="000F5256" w:rsidRPr="00924855">
        <w:t>,</w:t>
      </w:r>
      <w:r w:rsidR="004A5384" w:rsidRPr="00924855">
        <w:t xml:space="preserve"> para 27</w:t>
      </w:r>
      <w:r w:rsidR="000F5256" w:rsidRPr="00924855">
        <w:t xml:space="preserve">; Cases C-444/09 &amp; C-456/09 </w:t>
      </w:r>
      <w:proofErr w:type="spellStart"/>
      <w:r w:rsidR="004A5384" w:rsidRPr="00924855">
        <w:rPr>
          <w:i/>
          <w:iCs/>
        </w:rPr>
        <w:t>Gavieiro</w:t>
      </w:r>
      <w:proofErr w:type="spellEnd"/>
      <w:r w:rsidR="004A5384" w:rsidRPr="00924855">
        <w:rPr>
          <w:i/>
          <w:iCs/>
        </w:rPr>
        <w:t xml:space="preserve"> </w:t>
      </w:r>
      <w:r w:rsidR="004A5384" w:rsidRPr="00924855">
        <w:t xml:space="preserve">and </w:t>
      </w:r>
      <w:r w:rsidR="004A5384" w:rsidRPr="00924855">
        <w:rPr>
          <w:i/>
          <w:iCs/>
        </w:rPr>
        <w:t>Iglesias Torres</w:t>
      </w:r>
      <w:r w:rsidR="004A5384" w:rsidRPr="00924855">
        <w:t xml:space="preserve"> EU:C:2010:819, </w:t>
      </w:r>
      <w:r w:rsidR="000F5256" w:rsidRPr="00924855">
        <w:t>para</w:t>
      </w:r>
      <w:r w:rsidR="004A5384" w:rsidRPr="00924855">
        <w:t xml:space="preserve"> 41</w:t>
      </w:r>
      <w:r w:rsidR="000F5256" w:rsidRPr="00924855">
        <w:t xml:space="preserve">; Case C-457/17 </w:t>
      </w:r>
      <w:proofErr w:type="spellStart"/>
      <w:r w:rsidR="004A5384" w:rsidRPr="00924855">
        <w:rPr>
          <w:i/>
          <w:iCs/>
        </w:rPr>
        <w:t>Maniero</w:t>
      </w:r>
      <w:proofErr w:type="spellEnd"/>
      <w:r w:rsidR="004A5384" w:rsidRPr="00924855">
        <w:rPr>
          <w:i/>
          <w:iCs/>
        </w:rPr>
        <w:t xml:space="preserve"> </w:t>
      </w:r>
      <w:r w:rsidR="004A5384" w:rsidRPr="00924855">
        <w:t>EU:C:2018:912</w:t>
      </w:r>
      <w:r w:rsidR="000F5256" w:rsidRPr="00924855">
        <w:t>, para</w:t>
      </w:r>
      <w:r w:rsidR="004A5384" w:rsidRPr="00924855">
        <w:t xml:space="preserve"> 36</w:t>
      </w:r>
      <w:r w:rsidR="000F5256" w:rsidRPr="00924855">
        <w:t xml:space="preserve">; Case C-620/18 </w:t>
      </w:r>
      <w:r w:rsidR="004A5384" w:rsidRPr="00924855">
        <w:rPr>
          <w:i/>
          <w:iCs/>
        </w:rPr>
        <w:t>Hungary v European Parliament and Council of the European Union</w:t>
      </w:r>
      <w:r w:rsidR="00181691" w:rsidRPr="00924855">
        <w:rPr>
          <w:i/>
          <w:iCs/>
        </w:rPr>
        <w:t xml:space="preserve"> </w:t>
      </w:r>
      <w:r w:rsidR="004A5384" w:rsidRPr="00924855">
        <w:t>EU:C:2020:1001</w:t>
      </w:r>
      <w:r w:rsidR="00181691" w:rsidRPr="00924855">
        <w:t xml:space="preserve">, para </w:t>
      </w:r>
      <w:r w:rsidR="004A5384" w:rsidRPr="00924855">
        <w:t>109</w:t>
      </w:r>
      <w:r w:rsidR="00181691" w:rsidRPr="00924855">
        <w:t xml:space="preserve">; Case C-391/09 </w:t>
      </w:r>
      <w:proofErr w:type="spellStart"/>
      <w:r w:rsidR="004A5384" w:rsidRPr="00924855">
        <w:rPr>
          <w:i/>
          <w:iCs/>
        </w:rPr>
        <w:t>Runevič-Vardyn</w:t>
      </w:r>
      <w:proofErr w:type="spellEnd"/>
      <w:r w:rsidR="004A5384" w:rsidRPr="00924855">
        <w:rPr>
          <w:i/>
          <w:iCs/>
        </w:rPr>
        <w:t xml:space="preserve"> and </w:t>
      </w:r>
      <w:proofErr w:type="spellStart"/>
      <w:r w:rsidR="004A5384" w:rsidRPr="00924855">
        <w:rPr>
          <w:i/>
          <w:iCs/>
        </w:rPr>
        <w:t>Wardyn</w:t>
      </w:r>
      <w:proofErr w:type="spellEnd"/>
      <w:r w:rsidR="00181691" w:rsidRPr="00924855">
        <w:t xml:space="preserve"> </w:t>
      </w:r>
      <w:r w:rsidR="004A5384" w:rsidRPr="00924855">
        <w:t xml:space="preserve">EU:C:2011:291, </w:t>
      </w:r>
      <w:r w:rsidR="00181691" w:rsidRPr="00924855">
        <w:t xml:space="preserve">para </w:t>
      </w:r>
      <w:r w:rsidR="004A5384" w:rsidRPr="00924855">
        <w:t>43</w:t>
      </w:r>
      <w:r w:rsidR="00181691" w:rsidRPr="00924855">
        <w:t>.</w:t>
      </w:r>
    </w:p>
  </w:footnote>
  <w:footnote w:id="65">
    <w:p w14:paraId="197ADE4C" w14:textId="3E5464EF" w:rsidR="004A5384" w:rsidRPr="00924855" w:rsidRDefault="004A5384" w:rsidP="00116BFF">
      <w:pPr>
        <w:pStyle w:val="FootnoteText"/>
        <w:jc w:val="both"/>
      </w:pPr>
      <w:r w:rsidRPr="00924855">
        <w:rPr>
          <w:rStyle w:val="FootnoteReference"/>
        </w:rPr>
        <w:footnoteRef/>
      </w:r>
      <w:r w:rsidRPr="00924855">
        <w:t xml:space="preserve"> </w:t>
      </w:r>
      <w:r w:rsidR="00181691" w:rsidRPr="00924855">
        <w:t xml:space="preserve">Case C-149/10 </w:t>
      </w:r>
      <w:proofErr w:type="spellStart"/>
      <w:r w:rsidRPr="00924855">
        <w:rPr>
          <w:i/>
          <w:iCs/>
        </w:rPr>
        <w:t>Zoi</w:t>
      </w:r>
      <w:proofErr w:type="spellEnd"/>
      <w:r w:rsidRPr="00924855">
        <w:rPr>
          <w:i/>
          <w:iCs/>
        </w:rPr>
        <w:t xml:space="preserve"> </w:t>
      </w:r>
      <w:proofErr w:type="spellStart"/>
      <w:r w:rsidRPr="00924855">
        <w:rPr>
          <w:i/>
          <w:iCs/>
        </w:rPr>
        <w:t>Chatzi</w:t>
      </w:r>
      <w:proofErr w:type="spellEnd"/>
      <w:r w:rsidRPr="00924855">
        <w:rPr>
          <w:i/>
          <w:iCs/>
        </w:rPr>
        <w:t xml:space="preserve"> </w:t>
      </w:r>
      <w:r w:rsidRPr="00924855">
        <w:t>EU:</w:t>
      </w:r>
      <w:proofErr w:type="gramStart"/>
      <w:r w:rsidRPr="00924855">
        <w:t>C:2010:534</w:t>
      </w:r>
      <w:proofErr w:type="gramEnd"/>
      <w:r w:rsidR="00181691" w:rsidRPr="00924855">
        <w:t xml:space="preserve">, para </w:t>
      </w:r>
      <w:r w:rsidRPr="00924855">
        <w:t>43.</w:t>
      </w:r>
    </w:p>
  </w:footnote>
  <w:footnote w:id="66">
    <w:p w14:paraId="03EA1986" w14:textId="1960F00E" w:rsidR="00F47B73" w:rsidRPr="00924855" w:rsidRDefault="00F47B73">
      <w:pPr>
        <w:pStyle w:val="FootnoteText"/>
      </w:pPr>
      <w:r w:rsidRPr="00924855">
        <w:rPr>
          <w:rStyle w:val="FootnoteReference"/>
        </w:rPr>
        <w:footnoteRef/>
      </w:r>
      <w:r w:rsidRPr="00924855">
        <w:t xml:space="preserve"> </w:t>
      </w:r>
      <w:r w:rsidRPr="00924855">
        <w:rPr>
          <w:lang w:val="en-US"/>
        </w:rPr>
        <w:t xml:space="preserve">Case 152/73 </w:t>
      </w:r>
      <w:proofErr w:type="spellStart"/>
      <w:r w:rsidRPr="00924855">
        <w:rPr>
          <w:i/>
          <w:iCs/>
          <w:lang w:val="en-US"/>
        </w:rPr>
        <w:t>Sotgiu</w:t>
      </w:r>
      <w:proofErr w:type="spellEnd"/>
      <w:r w:rsidRPr="00924855">
        <w:rPr>
          <w:lang w:val="en-US"/>
        </w:rPr>
        <w:t xml:space="preserve"> </w:t>
      </w:r>
      <w:r w:rsidRPr="00924855">
        <w:t>EU:</w:t>
      </w:r>
      <w:proofErr w:type="gramStart"/>
      <w:r w:rsidRPr="00924855">
        <w:t>C:1974:13</w:t>
      </w:r>
      <w:proofErr w:type="gramEnd"/>
      <w:r w:rsidRPr="00924855">
        <w:t>.</w:t>
      </w:r>
    </w:p>
  </w:footnote>
  <w:footnote w:id="67">
    <w:p w14:paraId="7FC35F9E" w14:textId="6EB42A82" w:rsidR="00FF4CDF" w:rsidRPr="00924855" w:rsidRDefault="00FF4CDF" w:rsidP="00116BFF">
      <w:pPr>
        <w:pStyle w:val="FootnoteText"/>
        <w:jc w:val="both"/>
      </w:pPr>
      <w:r w:rsidRPr="00924855">
        <w:rPr>
          <w:rStyle w:val="FootnoteReference"/>
        </w:rPr>
        <w:footnoteRef/>
      </w:r>
      <w:r w:rsidRPr="00924855">
        <w:t xml:space="preserve"> </w:t>
      </w:r>
      <w:r w:rsidR="00D4500B" w:rsidRPr="00924855">
        <w:rPr>
          <w:i/>
          <w:iCs/>
        </w:rPr>
        <w:t xml:space="preserve">CG </w:t>
      </w:r>
      <w:r w:rsidR="00D4500B" w:rsidRPr="00924855">
        <w:t xml:space="preserve">judgment, </w:t>
      </w:r>
      <w:r w:rsidRPr="00924855">
        <w:t>94</w:t>
      </w:r>
      <w:r w:rsidR="00D4500B" w:rsidRPr="00924855">
        <w:t xml:space="preserve">. </w:t>
      </w:r>
    </w:p>
  </w:footnote>
  <w:footnote w:id="68">
    <w:p w14:paraId="7BEAAD12" w14:textId="3C3DF9C9" w:rsidR="00FF4CDF" w:rsidRPr="00924855" w:rsidRDefault="00FF4CDF" w:rsidP="00116BFF">
      <w:pPr>
        <w:pStyle w:val="FootnoteText"/>
        <w:jc w:val="both"/>
      </w:pPr>
      <w:r w:rsidRPr="00924855">
        <w:rPr>
          <w:rStyle w:val="FootnoteReference"/>
        </w:rPr>
        <w:footnoteRef/>
      </w:r>
      <w:r w:rsidRPr="00924855">
        <w:t xml:space="preserve"> </w:t>
      </w:r>
      <w:r w:rsidR="00D4500B" w:rsidRPr="00924855">
        <w:t xml:space="preserve">Case C-414/16 </w:t>
      </w:r>
      <w:r w:rsidRPr="00924855">
        <w:rPr>
          <w:i/>
          <w:iCs/>
        </w:rPr>
        <w:t xml:space="preserve">Vera </w:t>
      </w:r>
      <w:proofErr w:type="spellStart"/>
      <w:r w:rsidRPr="00924855">
        <w:rPr>
          <w:i/>
          <w:iCs/>
        </w:rPr>
        <w:t>Egenberger</w:t>
      </w:r>
      <w:proofErr w:type="spellEnd"/>
      <w:r w:rsidRPr="00924855">
        <w:t xml:space="preserve"> EU:</w:t>
      </w:r>
      <w:proofErr w:type="gramStart"/>
      <w:r w:rsidRPr="00924855">
        <w:t>C:2018:257</w:t>
      </w:r>
      <w:proofErr w:type="gramEnd"/>
      <w:r w:rsidRPr="00924855">
        <w:t>, discussing Article 4(2) of Directive 2000/78, para 68.</w:t>
      </w:r>
    </w:p>
  </w:footnote>
  <w:footnote w:id="69">
    <w:p w14:paraId="03F88947" w14:textId="1EDA2096" w:rsidR="00830DC8" w:rsidRPr="00924855" w:rsidRDefault="00830DC8" w:rsidP="00116BFF">
      <w:pPr>
        <w:pStyle w:val="FootnoteText"/>
        <w:jc w:val="both"/>
        <w:rPr>
          <w:b/>
          <w:bCs/>
        </w:rPr>
      </w:pPr>
      <w:r w:rsidRPr="00924855">
        <w:rPr>
          <w:rStyle w:val="FootnoteReference"/>
        </w:rPr>
        <w:footnoteRef/>
      </w:r>
      <w:r w:rsidRPr="00924855">
        <w:t xml:space="preserve"> </w:t>
      </w:r>
      <w:r w:rsidR="00F8433A" w:rsidRPr="00924855">
        <w:t xml:space="preserve">K. von Papp “‘Benefit tourism’ post-Brexit: tackling the ghost by more EU social engagement”, (2018), 69(3), </w:t>
      </w:r>
      <w:r w:rsidR="00F8433A" w:rsidRPr="00924855">
        <w:rPr>
          <w:i/>
          <w:iCs/>
        </w:rPr>
        <w:t>Northern Ireland Legal Quarterly</w:t>
      </w:r>
      <w:r w:rsidR="00F8433A" w:rsidRPr="00924855">
        <w:t>, 271.</w:t>
      </w:r>
    </w:p>
  </w:footnote>
  <w:footnote w:id="70">
    <w:p w14:paraId="495C4652" w14:textId="3453E600" w:rsidR="00834B38" w:rsidRPr="00924855" w:rsidRDefault="00834B38" w:rsidP="00116BFF">
      <w:pPr>
        <w:pStyle w:val="FootnoteText"/>
        <w:jc w:val="both"/>
      </w:pPr>
      <w:r w:rsidRPr="00924855">
        <w:rPr>
          <w:rStyle w:val="FootnoteReference"/>
        </w:rPr>
        <w:footnoteRef/>
      </w:r>
      <w:r w:rsidRPr="00924855">
        <w:t xml:space="preserve"> </w:t>
      </w:r>
      <w:r w:rsidRPr="00924855">
        <w:rPr>
          <w:i/>
          <w:iCs/>
        </w:rPr>
        <w:t xml:space="preserve">CG </w:t>
      </w:r>
      <w:r w:rsidRPr="00924855">
        <w:t xml:space="preserve">judgment, 80. </w:t>
      </w:r>
    </w:p>
  </w:footnote>
  <w:footnote w:id="71">
    <w:p w14:paraId="75F70ECB" w14:textId="1944BFEC" w:rsidR="00834B38" w:rsidRPr="00924855" w:rsidRDefault="00834B38" w:rsidP="00116BFF">
      <w:pPr>
        <w:pStyle w:val="FootnoteText"/>
        <w:jc w:val="both"/>
      </w:pPr>
      <w:r w:rsidRPr="00924855">
        <w:rPr>
          <w:rStyle w:val="FootnoteReference"/>
        </w:rPr>
        <w:footnoteRef/>
      </w:r>
      <w:r w:rsidRPr="00924855">
        <w:t xml:space="preserve"> Case C-515/14, </w:t>
      </w:r>
      <w:r w:rsidRPr="00924855">
        <w:rPr>
          <w:i/>
          <w:iCs/>
        </w:rPr>
        <w:t>European Commission v Cyprus</w:t>
      </w:r>
      <w:r w:rsidRPr="00924855">
        <w:t xml:space="preserve">, EU:C:2016:30, 54. </w:t>
      </w:r>
    </w:p>
  </w:footnote>
  <w:footnote w:id="72">
    <w:p w14:paraId="3A9BD4CB" w14:textId="61AC4566" w:rsidR="009566B1" w:rsidRPr="00924855" w:rsidRDefault="009566B1" w:rsidP="00116BFF">
      <w:pPr>
        <w:pStyle w:val="FootnoteText"/>
        <w:jc w:val="both"/>
      </w:pPr>
      <w:r w:rsidRPr="00924855">
        <w:rPr>
          <w:rStyle w:val="FootnoteReference"/>
        </w:rPr>
        <w:footnoteRef/>
      </w:r>
      <w:r w:rsidRPr="00924855">
        <w:t xml:space="preserve"> See also</w:t>
      </w:r>
      <w:r w:rsidR="00834B38" w:rsidRPr="00924855">
        <w:t xml:space="preserve"> Chapter 9 in</w:t>
      </w:r>
      <w:r w:rsidRPr="00924855">
        <w:t xml:space="preserve"> </w:t>
      </w:r>
      <w:r w:rsidRPr="00924855">
        <w:rPr>
          <w:i/>
          <w:iCs/>
        </w:rPr>
        <w:t>Unity in Adversity</w:t>
      </w:r>
      <w:r w:rsidR="00834B38" w:rsidRPr="00924855">
        <w:t>, above, n</w:t>
      </w:r>
      <w:r w:rsidR="00834B38" w:rsidRPr="00924855">
        <w:fldChar w:fldCharType="begin"/>
      </w:r>
      <w:r w:rsidR="00834B38" w:rsidRPr="00924855">
        <w:instrText xml:space="preserve"> NOTEREF _Ref84333163 \h </w:instrText>
      </w:r>
      <w:r w:rsidR="00116BFF" w:rsidRPr="00924855">
        <w:instrText xml:space="preserve"> \* MERGEFORMAT </w:instrText>
      </w:r>
      <w:r w:rsidR="00834B38" w:rsidRPr="00924855">
        <w:fldChar w:fldCharType="separate"/>
      </w:r>
      <w:r w:rsidR="00924855">
        <w:t>6</w:t>
      </w:r>
      <w:r w:rsidR="00834B38" w:rsidRPr="00924855">
        <w:fldChar w:fldCharType="end"/>
      </w:r>
      <w:r w:rsidR="00834B38" w:rsidRPr="00924855">
        <w:t>.</w:t>
      </w:r>
    </w:p>
  </w:footnote>
  <w:footnote w:id="73">
    <w:p w14:paraId="30C7DB7B" w14:textId="77777777" w:rsidR="00B6064F" w:rsidRPr="00924855" w:rsidRDefault="00B6064F" w:rsidP="00B6064F">
      <w:pPr>
        <w:pStyle w:val="FootnoteText"/>
      </w:pPr>
      <w:r w:rsidRPr="00924855">
        <w:rPr>
          <w:rStyle w:val="FootnoteReference"/>
        </w:rPr>
        <w:footnoteRef/>
      </w:r>
      <w:r w:rsidRPr="00924855">
        <w:t xml:space="preserve"> F. </w:t>
      </w:r>
      <w:proofErr w:type="spellStart"/>
      <w:r w:rsidRPr="00924855">
        <w:t>Wollenschläger</w:t>
      </w:r>
      <w:proofErr w:type="spellEnd"/>
      <w:r w:rsidRPr="00924855">
        <w:t xml:space="preserve">, “Ein </w:t>
      </w:r>
      <w:proofErr w:type="spellStart"/>
      <w:r w:rsidRPr="00924855">
        <w:t>Unionsgrundrecht</w:t>
      </w:r>
      <w:proofErr w:type="spellEnd"/>
      <w:r w:rsidRPr="00924855">
        <w:t xml:space="preserve"> auf </w:t>
      </w:r>
      <w:proofErr w:type="spellStart"/>
      <w:r w:rsidRPr="00924855">
        <w:t>Sicherung</w:t>
      </w:r>
      <w:proofErr w:type="spellEnd"/>
      <w:r w:rsidRPr="00924855">
        <w:t xml:space="preserve"> des </w:t>
      </w:r>
      <w:proofErr w:type="spellStart"/>
      <w:r w:rsidRPr="00924855">
        <w:t>Existenzminimums</w:t>
      </w:r>
      <w:proofErr w:type="spellEnd"/>
      <w:r w:rsidRPr="00924855">
        <w:t xml:space="preserve"> </w:t>
      </w:r>
      <w:proofErr w:type="spellStart"/>
      <w:r w:rsidRPr="00924855">
        <w:t>im</w:t>
      </w:r>
      <w:proofErr w:type="spellEnd"/>
      <w:r w:rsidRPr="00924855">
        <w:t xml:space="preserve"> </w:t>
      </w:r>
      <w:proofErr w:type="spellStart"/>
      <w:r w:rsidRPr="00924855">
        <w:t>Aufnah</w:t>
      </w:r>
      <w:proofErr w:type="spellEnd"/>
      <w:r w:rsidRPr="00924855">
        <w:t>-</w:t>
      </w:r>
    </w:p>
    <w:p w14:paraId="75E4DD96" w14:textId="777A7E4E" w:rsidR="00B6064F" w:rsidRPr="00924855" w:rsidRDefault="00B6064F" w:rsidP="00B6064F">
      <w:pPr>
        <w:pStyle w:val="FootnoteText"/>
      </w:pPr>
      <w:proofErr w:type="spellStart"/>
      <w:r w:rsidRPr="00924855">
        <w:t>memitgliedstaat</w:t>
      </w:r>
      <w:proofErr w:type="spellEnd"/>
      <w:r w:rsidRPr="00924855">
        <w:t xml:space="preserve">? </w:t>
      </w:r>
      <w:proofErr w:type="spellStart"/>
      <w:r w:rsidRPr="00924855">
        <w:t>Ambivalentes</w:t>
      </w:r>
      <w:proofErr w:type="spellEnd"/>
      <w:r w:rsidRPr="00924855">
        <w:t xml:space="preserve"> </w:t>
      </w:r>
      <w:proofErr w:type="spellStart"/>
      <w:r w:rsidRPr="00924855">
        <w:t>zur</w:t>
      </w:r>
      <w:proofErr w:type="spellEnd"/>
      <w:r w:rsidRPr="00924855">
        <w:t xml:space="preserve"> </w:t>
      </w:r>
      <w:proofErr w:type="spellStart"/>
      <w:r w:rsidRPr="00924855">
        <w:t>Freizügigkeit</w:t>
      </w:r>
      <w:proofErr w:type="spellEnd"/>
      <w:r w:rsidRPr="00924855">
        <w:t xml:space="preserve"> </w:t>
      </w:r>
      <w:proofErr w:type="spellStart"/>
      <w:r w:rsidRPr="00924855">
        <w:t>nicht</w:t>
      </w:r>
      <w:proofErr w:type="spellEnd"/>
      <w:r w:rsidRPr="00924855">
        <w:t xml:space="preserve"> </w:t>
      </w:r>
      <w:proofErr w:type="spellStart"/>
      <w:r w:rsidRPr="00924855">
        <w:t>erwerbstätiger</w:t>
      </w:r>
      <w:proofErr w:type="spellEnd"/>
      <w:r w:rsidRPr="00924855">
        <w:t xml:space="preserve"> </w:t>
      </w:r>
      <w:proofErr w:type="spellStart"/>
      <w:r w:rsidRPr="00924855">
        <w:t>Unionsbürgerinnen</w:t>
      </w:r>
      <w:proofErr w:type="spellEnd"/>
      <w:r w:rsidRPr="00924855">
        <w:t xml:space="preserve"> und </w:t>
      </w:r>
      <w:proofErr w:type="spellStart"/>
      <w:r w:rsidRPr="00924855">
        <w:t>Unionsbürger</w:t>
      </w:r>
      <w:proofErr w:type="spellEnd"/>
      <w:r w:rsidRPr="00924855">
        <w:t xml:space="preserve"> post </w:t>
      </w:r>
      <w:proofErr w:type="spellStart"/>
      <w:r w:rsidRPr="00924855">
        <w:t>Dano</w:t>
      </w:r>
      <w:proofErr w:type="spellEnd"/>
      <w:r w:rsidRPr="00924855">
        <w:t xml:space="preserve">”, (2021) </w:t>
      </w:r>
      <w:proofErr w:type="gramStart"/>
      <w:r w:rsidRPr="00924855">
        <w:t xml:space="preserve">18,  </w:t>
      </w:r>
      <w:proofErr w:type="spellStart"/>
      <w:r w:rsidRPr="00924855">
        <w:rPr>
          <w:i/>
          <w:iCs/>
        </w:rPr>
        <w:t>Zur</w:t>
      </w:r>
      <w:proofErr w:type="spellEnd"/>
      <w:proofErr w:type="gramEnd"/>
      <w:r w:rsidRPr="00924855">
        <w:rPr>
          <w:i/>
          <w:iCs/>
        </w:rPr>
        <w:t xml:space="preserve"> </w:t>
      </w:r>
      <w:proofErr w:type="spellStart"/>
      <w:r w:rsidRPr="00924855">
        <w:rPr>
          <w:i/>
          <w:iCs/>
        </w:rPr>
        <w:t>Rechtsprechung</w:t>
      </w:r>
      <w:proofErr w:type="spellEnd"/>
      <w:r w:rsidRPr="00924855">
        <w:t>, 795.</w:t>
      </w:r>
    </w:p>
  </w:footnote>
  <w:footnote w:id="74">
    <w:p w14:paraId="5B06D540" w14:textId="3E2BEBBD" w:rsidR="00392EEF" w:rsidRPr="00924855" w:rsidRDefault="00C53291" w:rsidP="00116BFF">
      <w:pPr>
        <w:pStyle w:val="FootnoteText"/>
        <w:jc w:val="both"/>
      </w:pPr>
      <w:r w:rsidRPr="00924855">
        <w:rPr>
          <w:rStyle w:val="FootnoteReference"/>
        </w:rPr>
        <w:footnoteRef/>
      </w:r>
      <w:r w:rsidRPr="00924855">
        <w:t xml:space="preserve"> </w:t>
      </w:r>
      <w:r w:rsidR="00392EEF" w:rsidRPr="00924855">
        <w:t>In Germany and Austria “increasingly, EU migrants are being tolerated as residents with precarious status without access to minimum subsistence benefits”</w:t>
      </w:r>
      <w:r w:rsidR="00834B38" w:rsidRPr="00924855">
        <w:t xml:space="preserve"> A. </w:t>
      </w:r>
      <w:proofErr w:type="spellStart"/>
      <w:r w:rsidR="00834B38" w:rsidRPr="00924855">
        <w:t>H</w:t>
      </w:r>
      <w:r w:rsidR="00392EEF" w:rsidRPr="00924855">
        <w:t>eindlmaier</w:t>
      </w:r>
      <w:proofErr w:type="spellEnd"/>
      <w:r w:rsidR="00392EEF" w:rsidRPr="00924855">
        <w:t xml:space="preserve"> &amp; M. </w:t>
      </w:r>
      <w:proofErr w:type="spellStart"/>
      <w:r w:rsidR="00392EEF" w:rsidRPr="00924855">
        <w:t>Blauberger</w:t>
      </w:r>
      <w:proofErr w:type="spellEnd"/>
      <w:r w:rsidR="00392EEF" w:rsidRPr="00924855">
        <w:t>, “Enter at your own risk: free movement of EU citizens in practice”, (2017), 40(6), West European Politics, 1198.</w:t>
      </w:r>
    </w:p>
  </w:footnote>
  <w:footnote w:id="75">
    <w:p w14:paraId="04614D9D" w14:textId="0361011C" w:rsidR="00392EEF" w:rsidRPr="00924855" w:rsidRDefault="00392EEF" w:rsidP="00116BFF">
      <w:pPr>
        <w:pStyle w:val="FootnoteText"/>
        <w:jc w:val="both"/>
      </w:pPr>
      <w:r w:rsidRPr="00924855">
        <w:rPr>
          <w:rStyle w:val="FootnoteReference"/>
        </w:rPr>
        <w:footnoteRef/>
      </w:r>
      <w:r w:rsidRPr="00924855">
        <w:t xml:space="preserve"> </w:t>
      </w:r>
      <w:r w:rsidRPr="00924855">
        <w:rPr>
          <w:i/>
          <w:iCs/>
        </w:rPr>
        <w:t xml:space="preserve">HC </w:t>
      </w:r>
      <w:r w:rsidRPr="00924855">
        <w:t xml:space="preserve">v. </w:t>
      </w:r>
      <w:r w:rsidRPr="00924855">
        <w:rPr>
          <w:i/>
          <w:iCs/>
        </w:rPr>
        <w:t xml:space="preserve">SSWP </w:t>
      </w:r>
      <w:r w:rsidRPr="00924855">
        <w:t>[2017] UKSC 73.</w:t>
      </w:r>
    </w:p>
  </w:footnote>
  <w:footnote w:id="76">
    <w:p w14:paraId="37C6F9C3" w14:textId="587C5134" w:rsidR="00C53291" w:rsidRPr="00924855" w:rsidRDefault="00C53291" w:rsidP="00116BFF">
      <w:pPr>
        <w:pStyle w:val="FootnoteText"/>
        <w:jc w:val="both"/>
      </w:pPr>
      <w:r w:rsidRPr="00924855">
        <w:rPr>
          <w:rStyle w:val="FootnoteReference"/>
        </w:rPr>
        <w:footnoteRef/>
      </w:r>
      <w:r w:rsidRPr="00924855">
        <w:t xml:space="preserve"> </w:t>
      </w:r>
      <w:r w:rsidR="00392EEF" w:rsidRPr="00924855">
        <w:t>C. O’Brien, “</w:t>
      </w:r>
      <w:proofErr w:type="spellStart"/>
      <w:r w:rsidR="00392EEF" w:rsidRPr="00924855">
        <w:rPr>
          <w:i/>
          <w:iCs/>
        </w:rPr>
        <w:t>Acte</w:t>
      </w:r>
      <w:proofErr w:type="spellEnd"/>
      <w:r w:rsidR="00392EEF" w:rsidRPr="00924855">
        <w:rPr>
          <w:i/>
          <w:iCs/>
        </w:rPr>
        <w:t xml:space="preserve"> </w:t>
      </w:r>
      <w:proofErr w:type="spellStart"/>
      <w:r w:rsidR="00392EEF" w:rsidRPr="00924855">
        <w:rPr>
          <w:i/>
          <w:iCs/>
        </w:rPr>
        <w:t>cryptique</w:t>
      </w:r>
      <w:proofErr w:type="spellEnd"/>
      <w:r w:rsidR="00392EEF" w:rsidRPr="00924855">
        <w:t xml:space="preserve">? </w:t>
      </w:r>
      <w:r w:rsidR="00392EEF" w:rsidRPr="00924855">
        <w:rPr>
          <w:i/>
          <w:iCs/>
        </w:rPr>
        <w:t>Zambrano</w:t>
      </w:r>
      <w:r w:rsidR="00392EEF" w:rsidRPr="00924855">
        <w:t>, welfare rights, and underclass citizenship in the tale of the missing preliminary reference”, (2019), 56(6), 1697.</w:t>
      </w:r>
    </w:p>
  </w:footnote>
  <w:footnote w:id="77">
    <w:p w14:paraId="66A09407" w14:textId="0A6FE5F0" w:rsidR="00A45701" w:rsidRPr="00924855" w:rsidRDefault="00A45701" w:rsidP="00116BFF">
      <w:pPr>
        <w:pStyle w:val="FootnoteText"/>
        <w:jc w:val="both"/>
      </w:pPr>
      <w:r w:rsidRPr="00924855">
        <w:rPr>
          <w:rStyle w:val="FootnoteReference"/>
        </w:rPr>
        <w:footnoteRef/>
      </w:r>
      <w:r w:rsidRPr="00924855">
        <w:t xml:space="preserve"> “Parents’ experiences of the assessment process were often negative, even where the decision was to put s17 services in place. They reported being told to return to abusive partners, to go back to their ‘own country’ and that they feared they would be separated from their children.”</w:t>
      </w:r>
      <w:r w:rsidR="00A903A8" w:rsidRPr="00924855">
        <w:t xml:space="preserve"> J. Price &amp; S. Spencer, “Safeguarding Children from Destitution: Local Authority Responses to Families with ‘No Recourse to Public funds’”, COMPAS Report, (Oxford, June 2015), 39. &lt;https://www.compas.ox.ac.uk/wp-content/uploads/PR-2015-No_Recourse_Public_Funds_LAs.pdf&gt;.</w:t>
      </w:r>
    </w:p>
  </w:footnote>
  <w:footnote w:id="78">
    <w:p w14:paraId="5892AD6F" w14:textId="20D595A3" w:rsidR="00D519E5" w:rsidRPr="00924855" w:rsidRDefault="00D519E5" w:rsidP="00116BFF">
      <w:pPr>
        <w:pStyle w:val="FootnoteText"/>
        <w:jc w:val="both"/>
      </w:pPr>
      <w:r w:rsidRPr="00924855">
        <w:rPr>
          <w:rStyle w:val="FootnoteReference"/>
        </w:rPr>
        <w:footnoteRef/>
      </w:r>
      <w:r w:rsidRPr="00924855">
        <w:t xml:space="preserve"> </w:t>
      </w:r>
      <w:r w:rsidR="00A903A8" w:rsidRPr="00924855">
        <w:t xml:space="preserve">Ibid, 44. </w:t>
      </w:r>
    </w:p>
  </w:footnote>
  <w:footnote w:id="79">
    <w:p w14:paraId="0D3D6138" w14:textId="6377CB62" w:rsidR="0027534C" w:rsidRPr="00924855" w:rsidRDefault="0027534C">
      <w:pPr>
        <w:pStyle w:val="FootnoteText"/>
        <w:rPr>
          <w:lang w:val="en-US"/>
        </w:rPr>
      </w:pPr>
      <w:r w:rsidRPr="00924855">
        <w:rPr>
          <w:rStyle w:val="FootnoteReference"/>
        </w:rPr>
        <w:footnoteRef/>
      </w:r>
      <w:r w:rsidRPr="00924855">
        <w:t xml:space="preserve"> </w:t>
      </w:r>
      <w:r w:rsidRPr="00924855">
        <w:rPr>
          <w:lang w:val="en-US"/>
        </w:rPr>
        <w:t>Art 51(2) CFR.</w:t>
      </w:r>
    </w:p>
  </w:footnote>
  <w:footnote w:id="80">
    <w:p w14:paraId="045F8402" w14:textId="694150BA" w:rsidR="00A903A8" w:rsidRPr="00924855" w:rsidRDefault="00A903A8" w:rsidP="00116BFF">
      <w:pPr>
        <w:pStyle w:val="FootnoteText"/>
        <w:jc w:val="both"/>
      </w:pPr>
      <w:r w:rsidRPr="00924855">
        <w:rPr>
          <w:rStyle w:val="FootnoteReference"/>
        </w:rPr>
        <w:footnoteRef/>
      </w:r>
      <w:r w:rsidRPr="00924855">
        <w:t xml:space="preserve"> Protocol (No 30) on the Application of the Charter of Fundamental Rights of the European Union to Poland and to the United Kingdom OJ [2016] C 202/312.</w:t>
      </w:r>
    </w:p>
  </w:footnote>
  <w:footnote w:id="81">
    <w:p w14:paraId="26258CC6" w14:textId="4E32CF99" w:rsidR="00A2373D" w:rsidRPr="00924855" w:rsidRDefault="00A2373D" w:rsidP="00116BFF">
      <w:pPr>
        <w:pStyle w:val="FootnoteText"/>
        <w:jc w:val="both"/>
      </w:pPr>
      <w:r w:rsidRPr="00924855">
        <w:rPr>
          <w:rStyle w:val="FootnoteReference"/>
        </w:rPr>
        <w:footnoteRef/>
      </w:r>
      <w:r w:rsidRPr="00924855">
        <w:t xml:space="preserve"> Art 3 UNCRC.</w:t>
      </w:r>
    </w:p>
  </w:footnote>
  <w:footnote w:id="82">
    <w:p w14:paraId="4C0B7858" w14:textId="4418BA9A" w:rsidR="00C53291" w:rsidRPr="00924855" w:rsidRDefault="00C53291" w:rsidP="00116BFF">
      <w:pPr>
        <w:pStyle w:val="FootnoteText"/>
        <w:jc w:val="both"/>
      </w:pPr>
      <w:r w:rsidRPr="00924855">
        <w:rPr>
          <w:rStyle w:val="FootnoteReference"/>
        </w:rPr>
        <w:footnoteRef/>
      </w:r>
      <w:r w:rsidRPr="00924855">
        <w:t xml:space="preserve"> </w:t>
      </w:r>
      <w:r w:rsidR="00A2373D" w:rsidRPr="00924855">
        <w:rPr>
          <w:i/>
          <w:iCs/>
        </w:rPr>
        <w:t xml:space="preserve">SC, CB and 8 children, R. (on the application of) v Secretary of State for Work and Pensions &amp; </w:t>
      </w:r>
      <w:proofErr w:type="spellStart"/>
      <w:r w:rsidR="00A2373D" w:rsidRPr="00924855">
        <w:rPr>
          <w:i/>
          <w:iCs/>
        </w:rPr>
        <w:t>Ors</w:t>
      </w:r>
      <w:proofErr w:type="spellEnd"/>
      <w:r w:rsidR="00A2373D" w:rsidRPr="00924855">
        <w:t xml:space="preserve"> [2021] UKSC 26, 84</w:t>
      </w:r>
      <w:r w:rsidR="004B0A2D" w:rsidRPr="00924855">
        <w:t>.</w:t>
      </w:r>
    </w:p>
  </w:footnote>
  <w:footnote w:id="83">
    <w:p w14:paraId="68C4E573" w14:textId="1874019F" w:rsidR="004B0A2D" w:rsidRPr="00924855" w:rsidRDefault="004B0A2D" w:rsidP="004B0A2D">
      <w:pPr>
        <w:pStyle w:val="FootnoteText"/>
        <w:jc w:val="both"/>
      </w:pPr>
      <w:r w:rsidRPr="00924855">
        <w:rPr>
          <w:rStyle w:val="FootnoteReference"/>
        </w:rPr>
        <w:footnoteRef/>
      </w:r>
      <w:r w:rsidRPr="00924855">
        <w:t xml:space="preserve"> European Union (Withdrawal) Act 2018, s.5(4).</w:t>
      </w:r>
    </w:p>
  </w:footnote>
  <w:footnote w:id="84">
    <w:p w14:paraId="4AC513E0" w14:textId="628E049D" w:rsidR="00F56CE3" w:rsidRPr="00F56CE3" w:rsidRDefault="00F56CE3">
      <w:pPr>
        <w:pStyle w:val="FootnoteText"/>
      </w:pPr>
      <w:r>
        <w:rPr>
          <w:rStyle w:val="FootnoteReference"/>
        </w:rPr>
        <w:footnoteRef/>
      </w:r>
      <w:r>
        <w:t xml:space="preserve"> </w:t>
      </w:r>
      <w:r>
        <w:rPr>
          <w:i/>
          <w:iCs/>
        </w:rPr>
        <w:t xml:space="preserve">CG </w:t>
      </w:r>
      <w:r>
        <w:t>judgment, 42-44.</w:t>
      </w:r>
    </w:p>
  </w:footnote>
  <w:footnote w:id="85">
    <w:p w14:paraId="2FFD4E30" w14:textId="67CF4F8A" w:rsidR="00BC2E24" w:rsidRPr="00924855" w:rsidRDefault="00BC2E24" w:rsidP="00116BFF">
      <w:pPr>
        <w:pStyle w:val="FootnoteText"/>
        <w:jc w:val="both"/>
      </w:pPr>
      <w:r w:rsidRPr="00924855">
        <w:rPr>
          <w:rStyle w:val="FootnoteReference"/>
        </w:rPr>
        <w:footnoteRef/>
      </w:r>
      <w:r w:rsidRPr="00924855">
        <w:t xml:space="preserve"> </w:t>
      </w:r>
      <w:r w:rsidR="00F2399E" w:rsidRPr="00924855">
        <w:rPr>
          <w:i/>
          <w:iCs/>
        </w:rPr>
        <w:t xml:space="preserve">Harrison (Jamaica) </w:t>
      </w:r>
      <w:r w:rsidR="00F2399E" w:rsidRPr="00924855">
        <w:t xml:space="preserve">v. </w:t>
      </w:r>
      <w:r w:rsidR="00F2399E" w:rsidRPr="00924855">
        <w:rPr>
          <w:i/>
          <w:iCs/>
        </w:rPr>
        <w:t xml:space="preserve">Secretary of State for the Home Department </w:t>
      </w:r>
      <w:r w:rsidR="00F2399E" w:rsidRPr="00924855">
        <w:t xml:space="preserve">[2012] EWCA </w:t>
      </w:r>
      <w:proofErr w:type="spellStart"/>
      <w:r w:rsidR="00F2399E" w:rsidRPr="00924855">
        <w:t>Civ</w:t>
      </w:r>
      <w:proofErr w:type="spellEnd"/>
      <w:r w:rsidR="00F2399E" w:rsidRPr="00924855">
        <w:t xml:space="preserve"> 1736, 67.</w:t>
      </w:r>
    </w:p>
  </w:footnote>
  <w:footnote w:id="86">
    <w:p w14:paraId="32780553" w14:textId="425C16AA" w:rsidR="00BC2E24" w:rsidRPr="00924855" w:rsidRDefault="00BC2E24" w:rsidP="00116BFF">
      <w:pPr>
        <w:pStyle w:val="FootnoteText"/>
        <w:jc w:val="both"/>
      </w:pPr>
      <w:r w:rsidRPr="00924855">
        <w:rPr>
          <w:rStyle w:val="FootnoteReference"/>
        </w:rPr>
        <w:footnoteRef/>
      </w:r>
      <w:r w:rsidRPr="00924855">
        <w:t xml:space="preserve"> </w:t>
      </w:r>
      <w:r w:rsidR="00F2399E" w:rsidRPr="00924855">
        <w:rPr>
          <w:i/>
          <w:iCs/>
        </w:rPr>
        <w:t xml:space="preserve">Sanneh &amp; </w:t>
      </w:r>
      <w:proofErr w:type="spellStart"/>
      <w:r w:rsidR="00F2399E" w:rsidRPr="00924855">
        <w:rPr>
          <w:i/>
          <w:iCs/>
        </w:rPr>
        <w:t>Ors</w:t>
      </w:r>
      <w:proofErr w:type="spellEnd"/>
      <w:r w:rsidR="00F2399E" w:rsidRPr="00924855">
        <w:rPr>
          <w:i/>
          <w:iCs/>
        </w:rPr>
        <w:t xml:space="preserve"> v Secretary of State for Work and Pensions </w:t>
      </w:r>
      <w:r w:rsidR="00F2399E" w:rsidRPr="00924855">
        <w:t xml:space="preserve">[2015] EWCA </w:t>
      </w:r>
      <w:proofErr w:type="spellStart"/>
      <w:r w:rsidR="00F2399E" w:rsidRPr="00924855">
        <w:t>Civ</w:t>
      </w:r>
      <w:proofErr w:type="spellEnd"/>
      <w:r w:rsidR="00F2399E" w:rsidRPr="00924855">
        <w:t xml:space="preserve"> 49, 171.</w:t>
      </w:r>
    </w:p>
  </w:footnote>
  <w:footnote w:id="87">
    <w:p w14:paraId="6A54FFF7" w14:textId="7B75CC0F" w:rsidR="00BC2E24" w:rsidRPr="00924855" w:rsidRDefault="00BC2E24" w:rsidP="00116BFF">
      <w:pPr>
        <w:pStyle w:val="FootnoteText"/>
        <w:jc w:val="both"/>
      </w:pPr>
      <w:r w:rsidRPr="00924855">
        <w:rPr>
          <w:rStyle w:val="FootnoteReference"/>
        </w:rPr>
        <w:footnoteRef/>
      </w:r>
      <w:r w:rsidRPr="00924855">
        <w:t xml:space="preserve"> </w:t>
      </w:r>
      <w:r w:rsidR="00D47F10" w:rsidRPr="00924855">
        <w:t>Above, n.</w:t>
      </w:r>
      <w:r w:rsidR="00D47F10" w:rsidRPr="00924855">
        <w:fldChar w:fldCharType="begin"/>
      </w:r>
      <w:r w:rsidR="00D47F10" w:rsidRPr="00924855">
        <w:instrText xml:space="preserve"> NOTEREF _Ref84335471 \h </w:instrText>
      </w:r>
      <w:r w:rsidR="00116BFF" w:rsidRPr="00924855">
        <w:instrText xml:space="preserve"> \* MERGEFORMAT </w:instrText>
      </w:r>
      <w:r w:rsidR="00D47F10" w:rsidRPr="00924855">
        <w:fldChar w:fldCharType="separate"/>
      </w:r>
      <w:r w:rsidR="00924855">
        <w:t>75</w:t>
      </w:r>
      <w:r w:rsidR="00D47F10" w:rsidRPr="00924855">
        <w:fldChar w:fldCharType="end"/>
      </w:r>
      <w:r w:rsidR="00D47F10" w:rsidRPr="00924855">
        <w:t>, 15.</w:t>
      </w:r>
    </w:p>
  </w:footnote>
  <w:footnote w:id="88">
    <w:p w14:paraId="7C126EEC" w14:textId="1D65B12D" w:rsidR="000619F4" w:rsidRPr="00924855" w:rsidRDefault="000619F4">
      <w:pPr>
        <w:pStyle w:val="FootnoteText"/>
      </w:pPr>
      <w:r w:rsidRPr="00924855">
        <w:rPr>
          <w:rStyle w:val="FootnoteReference"/>
        </w:rPr>
        <w:footnoteRef/>
      </w:r>
      <w:r w:rsidRPr="00924855">
        <w:t xml:space="preserve"> </w:t>
      </w:r>
      <w:r w:rsidRPr="00924855">
        <w:rPr>
          <w:lang w:val="en-US"/>
        </w:rPr>
        <w:t xml:space="preserve">Case C-34/09 </w:t>
      </w:r>
      <w:r w:rsidRPr="00924855">
        <w:rPr>
          <w:i/>
          <w:iCs/>
          <w:lang w:val="en-US"/>
        </w:rPr>
        <w:t>Zambrano</w:t>
      </w:r>
      <w:r w:rsidRPr="00924855">
        <w:rPr>
          <w:lang w:val="en-US"/>
        </w:rPr>
        <w:t xml:space="preserve"> </w:t>
      </w:r>
      <w:r w:rsidRPr="00924855">
        <w:t>EU:</w:t>
      </w:r>
      <w:proofErr w:type="gramStart"/>
      <w:r w:rsidRPr="00924855">
        <w:t>C:2011:124</w:t>
      </w:r>
      <w:proofErr w:type="gramEnd"/>
      <w:r w:rsidRPr="00924855">
        <w:t>.</w:t>
      </w:r>
    </w:p>
  </w:footnote>
  <w:footnote w:id="89">
    <w:p w14:paraId="643B004F" w14:textId="62665C0A" w:rsidR="00D47F10" w:rsidRPr="00924855" w:rsidRDefault="00D47F10" w:rsidP="00116BFF">
      <w:pPr>
        <w:pStyle w:val="FootnoteText"/>
        <w:jc w:val="both"/>
      </w:pPr>
      <w:r w:rsidRPr="00924855">
        <w:rPr>
          <w:rStyle w:val="FootnoteReference"/>
        </w:rPr>
        <w:footnoteRef/>
      </w:r>
      <w:r w:rsidRPr="00924855">
        <w:t xml:space="preserve"> </w:t>
      </w:r>
      <w:r w:rsidRPr="00924855">
        <w:rPr>
          <w:i/>
          <w:iCs/>
        </w:rPr>
        <w:t>CG</w:t>
      </w:r>
      <w:r w:rsidRPr="00924855">
        <w:t>, judgment, 69.</w:t>
      </w:r>
    </w:p>
  </w:footnote>
  <w:footnote w:id="90">
    <w:p w14:paraId="60F70293" w14:textId="36329830" w:rsidR="00586497" w:rsidRPr="00924855" w:rsidRDefault="00586497" w:rsidP="00116BFF">
      <w:pPr>
        <w:pStyle w:val="FootnoteText"/>
        <w:jc w:val="both"/>
      </w:pPr>
      <w:r w:rsidRPr="00924855">
        <w:rPr>
          <w:rStyle w:val="FootnoteReference"/>
        </w:rPr>
        <w:footnoteRef/>
      </w:r>
      <w:r w:rsidRPr="00924855">
        <w:t xml:space="preserve"> Art 4(1) WA</w:t>
      </w:r>
      <w:r w:rsidR="00D47F10" w:rsidRPr="00924855">
        <w:t>.</w:t>
      </w:r>
    </w:p>
  </w:footnote>
  <w:footnote w:id="91">
    <w:p w14:paraId="3D7D5E61" w14:textId="4EB0CD78" w:rsidR="00586497" w:rsidRPr="00924855" w:rsidRDefault="00586497" w:rsidP="00116BFF">
      <w:pPr>
        <w:pStyle w:val="FootnoteText"/>
        <w:jc w:val="both"/>
      </w:pPr>
      <w:r w:rsidRPr="00924855">
        <w:rPr>
          <w:rStyle w:val="FootnoteReference"/>
        </w:rPr>
        <w:footnoteRef/>
      </w:r>
      <w:r w:rsidRPr="00924855">
        <w:t xml:space="preserve"> S. 5, inserting s 7A into the European Union (Withdrawal) Act 2018. </w:t>
      </w:r>
    </w:p>
  </w:footnote>
  <w:footnote w:id="92">
    <w:p w14:paraId="7D046351" w14:textId="4E0535F0" w:rsidR="004639DF" w:rsidRPr="00924855" w:rsidRDefault="004639DF" w:rsidP="00116BFF">
      <w:pPr>
        <w:pStyle w:val="FootnoteText"/>
        <w:jc w:val="both"/>
      </w:pPr>
      <w:r w:rsidRPr="00924855">
        <w:rPr>
          <w:rStyle w:val="FootnoteReference"/>
        </w:rPr>
        <w:footnoteRef/>
      </w:r>
      <w:r w:rsidRPr="00924855">
        <w:t xml:space="preserve"> Art 39 WA</w:t>
      </w:r>
      <w:r w:rsidR="00D47F10" w:rsidRPr="00924855">
        <w:t>.</w:t>
      </w:r>
    </w:p>
  </w:footnote>
  <w:footnote w:id="93">
    <w:p w14:paraId="272CF20F" w14:textId="1DDBB5DB" w:rsidR="00F56CE3" w:rsidRPr="00F56CE3" w:rsidRDefault="00F56CE3">
      <w:pPr>
        <w:pStyle w:val="FootnoteText"/>
      </w:pPr>
      <w:r>
        <w:rPr>
          <w:rStyle w:val="FootnoteReference"/>
        </w:rPr>
        <w:footnoteRef/>
      </w:r>
      <w:r>
        <w:t xml:space="preserve"> </w:t>
      </w:r>
      <w:r>
        <w:rPr>
          <w:i/>
          <w:iCs/>
        </w:rPr>
        <w:t>CG</w:t>
      </w:r>
      <w:r>
        <w:t xml:space="preserve"> judgment, 42-44; 92.</w:t>
      </w:r>
    </w:p>
  </w:footnote>
  <w:footnote w:id="94">
    <w:p w14:paraId="51C1C0EA" w14:textId="6ED23679" w:rsidR="00C3399D" w:rsidRPr="00924855" w:rsidRDefault="00C3399D" w:rsidP="00116BFF">
      <w:pPr>
        <w:pStyle w:val="FootnoteText"/>
        <w:jc w:val="both"/>
        <w:rPr>
          <w:lang w:val="en-US"/>
        </w:rPr>
      </w:pPr>
      <w:r w:rsidRPr="00924855">
        <w:rPr>
          <w:rStyle w:val="FootnoteReference"/>
        </w:rPr>
        <w:footnoteRef/>
      </w:r>
      <w:r w:rsidRPr="00924855">
        <w:t xml:space="preserve"> </w:t>
      </w:r>
      <w:r w:rsidRPr="00924855">
        <w:rPr>
          <w:lang w:val="en-US"/>
        </w:rPr>
        <w:t xml:space="preserve">With the odd notable exception: </w:t>
      </w:r>
      <w:r w:rsidR="00C62D2B" w:rsidRPr="00924855">
        <w:rPr>
          <w:lang w:val="en-US"/>
        </w:rPr>
        <w:t xml:space="preserve">Case C-308/14 </w:t>
      </w:r>
      <w:r w:rsidRPr="00924855">
        <w:rPr>
          <w:i/>
          <w:iCs/>
        </w:rPr>
        <w:t>Commission v UK</w:t>
      </w:r>
      <w:r w:rsidR="00C62D2B" w:rsidRPr="00924855">
        <w:rPr>
          <w:i/>
          <w:iCs/>
        </w:rPr>
        <w:t>.</w:t>
      </w:r>
    </w:p>
  </w:footnote>
  <w:footnote w:id="95">
    <w:p w14:paraId="258C1570" w14:textId="694CE9D0" w:rsidR="00BD2DF2" w:rsidRPr="00924855" w:rsidRDefault="00BD2DF2" w:rsidP="00116BFF">
      <w:pPr>
        <w:pStyle w:val="FootnoteText"/>
        <w:jc w:val="both"/>
        <w:rPr>
          <w:lang w:val="en-US"/>
        </w:rPr>
      </w:pPr>
      <w:r w:rsidRPr="00924855">
        <w:rPr>
          <w:rStyle w:val="FootnoteReference"/>
        </w:rPr>
        <w:footnoteRef/>
      </w:r>
      <w:r w:rsidRPr="00924855">
        <w:t xml:space="preserve"> </w:t>
      </w:r>
      <w:r w:rsidR="00C62D2B" w:rsidRPr="00924855">
        <w:rPr>
          <w:lang w:val="en-US"/>
        </w:rPr>
        <w:t xml:space="preserve">It can mean any number of things; Clements notes a “Delphic” tendency of judgments that fail to define indignity: </w:t>
      </w:r>
      <w:r w:rsidR="00C62D2B" w:rsidRPr="00924855">
        <w:t xml:space="preserve">L. Clements, ‘Disability, Dignity and the Cri de Coeur’ (2011) 6 </w:t>
      </w:r>
      <w:r w:rsidR="00C62D2B" w:rsidRPr="00924855">
        <w:rPr>
          <w:i/>
          <w:iCs/>
        </w:rPr>
        <w:t xml:space="preserve">European Human Rights Law Review </w:t>
      </w:r>
      <w:r w:rsidR="00C62D2B" w:rsidRPr="00924855">
        <w:t>675.</w:t>
      </w:r>
    </w:p>
  </w:footnote>
  <w:footnote w:id="96">
    <w:p w14:paraId="42937A92" w14:textId="071CFED6" w:rsidR="009C3E82" w:rsidRPr="00924855" w:rsidRDefault="009C3E82" w:rsidP="009C3E82">
      <w:pPr>
        <w:pStyle w:val="FootnoteText"/>
      </w:pPr>
      <w:r w:rsidRPr="00924855">
        <w:rPr>
          <w:rStyle w:val="FootnoteReference"/>
        </w:rPr>
        <w:footnoteRef/>
      </w:r>
      <w:r w:rsidRPr="00924855">
        <w:t xml:space="preserve"> On the Brexit legal landscape, see M. Dougan “The UK's Withdrawal from the EU: A Legal Analysis”, (Oxford: OUP, 2021).</w:t>
      </w:r>
    </w:p>
    <w:p w14:paraId="31D3EF12" w14:textId="2ED21832" w:rsidR="009C3E82" w:rsidRPr="00924855" w:rsidRDefault="009C3E82">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F5484"/>
    <w:multiLevelType w:val="multilevel"/>
    <w:tmpl w:val="4A484214"/>
    <w:lvl w:ilvl="0">
      <w:start w:val="9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B7526C"/>
    <w:multiLevelType w:val="multilevel"/>
    <w:tmpl w:val="956264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EC1458"/>
    <w:multiLevelType w:val="multilevel"/>
    <w:tmpl w:val="4AA2AC7C"/>
    <w:lvl w:ilvl="0">
      <w:start w:val="10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F75E44"/>
    <w:multiLevelType w:val="hybridMultilevel"/>
    <w:tmpl w:val="F9B2E96E"/>
    <w:lvl w:ilvl="0" w:tplc="24146AC2">
      <w:start w:val="84"/>
      <w:numFmt w:val="bullet"/>
      <w:lvlText w:val="-"/>
      <w:lvlJc w:val="left"/>
      <w:pPr>
        <w:ind w:left="420" w:hanging="360"/>
      </w:pPr>
      <w:rPr>
        <w:rFonts w:ascii="Calibri" w:eastAsiaTheme="minorHAnsi" w:hAnsi="Calibri" w:cs="Calibr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4" w15:restartNumberingAfterBreak="0">
    <w:nsid w:val="32C918BF"/>
    <w:multiLevelType w:val="multilevel"/>
    <w:tmpl w:val="0E483D58"/>
    <w:lvl w:ilvl="0">
      <w:start w:val="5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560BF1"/>
    <w:multiLevelType w:val="multilevel"/>
    <w:tmpl w:val="0409001F"/>
    <w:lvl w:ilvl="0">
      <w:start w:val="1"/>
      <w:numFmt w:val="decimal"/>
      <w:lvlText w:val="%1."/>
      <w:lvlJc w:val="left"/>
      <w:pPr>
        <w:ind w:left="360" w:hanging="360"/>
      </w:pPr>
      <w:rPr>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EBB4107"/>
    <w:multiLevelType w:val="multilevel"/>
    <w:tmpl w:val="B19A0994"/>
    <w:lvl w:ilvl="0">
      <w:start w:val="10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8702B55"/>
    <w:multiLevelType w:val="multilevel"/>
    <w:tmpl w:val="1CBE2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CE541F0"/>
    <w:multiLevelType w:val="multilevel"/>
    <w:tmpl w:val="1CBE2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5"/>
  </w:num>
  <w:num w:numId="3">
    <w:abstractNumId w:val="7"/>
    <w:lvlOverride w:ilvl="0">
      <w:startOverride w:val="36"/>
    </w:lvlOverride>
  </w:num>
  <w:num w:numId="4">
    <w:abstractNumId w:val="8"/>
  </w:num>
  <w:num w:numId="5">
    <w:abstractNumId w:val="0"/>
  </w:num>
  <w:num w:numId="6">
    <w:abstractNumId w:val="1"/>
  </w:num>
  <w:num w:numId="7">
    <w:abstractNumId w:val="4"/>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3AA"/>
    <w:rsid w:val="00006195"/>
    <w:rsid w:val="000105D3"/>
    <w:rsid w:val="000141E3"/>
    <w:rsid w:val="000311D8"/>
    <w:rsid w:val="0003372D"/>
    <w:rsid w:val="00035A0E"/>
    <w:rsid w:val="00056310"/>
    <w:rsid w:val="000573EC"/>
    <w:rsid w:val="000619F4"/>
    <w:rsid w:val="00073A2E"/>
    <w:rsid w:val="00085059"/>
    <w:rsid w:val="00086B48"/>
    <w:rsid w:val="000B339B"/>
    <w:rsid w:val="000C0538"/>
    <w:rsid w:val="000C4346"/>
    <w:rsid w:val="000D008F"/>
    <w:rsid w:val="000E44EE"/>
    <w:rsid w:val="000F262C"/>
    <w:rsid w:val="000F5256"/>
    <w:rsid w:val="000F6627"/>
    <w:rsid w:val="000F722A"/>
    <w:rsid w:val="001050DE"/>
    <w:rsid w:val="00116BFF"/>
    <w:rsid w:val="00130CF5"/>
    <w:rsid w:val="001441F5"/>
    <w:rsid w:val="001517F4"/>
    <w:rsid w:val="00161481"/>
    <w:rsid w:val="00181691"/>
    <w:rsid w:val="001877B2"/>
    <w:rsid w:val="00195E30"/>
    <w:rsid w:val="00197FCC"/>
    <w:rsid w:val="001B0D98"/>
    <w:rsid w:val="001B1DAE"/>
    <w:rsid w:val="001B571E"/>
    <w:rsid w:val="001E06DC"/>
    <w:rsid w:val="001F60FD"/>
    <w:rsid w:val="00211A99"/>
    <w:rsid w:val="00211E67"/>
    <w:rsid w:val="002434FA"/>
    <w:rsid w:val="002543AD"/>
    <w:rsid w:val="0027534C"/>
    <w:rsid w:val="0027649A"/>
    <w:rsid w:val="00285D81"/>
    <w:rsid w:val="00294E15"/>
    <w:rsid w:val="002A0000"/>
    <w:rsid w:val="002A0422"/>
    <w:rsid w:val="002B0CCD"/>
    <w:rsid w:val="002C00F3"/>
    <w:rsid w:val="002C3116"/>
    <w:rsid w:val="002E3877"/>
    <w:rsid w:val="003075C8"/>
    <w:rsid w:val="00314E3D"/>
    <w:rsid w:val="00315526"/>
    <w:rsid w:val="003246A4"/>
    <w:rsid w:val="0033105A"/>
    <w:rsid w:val="00331BD3"/>
    <w:rsid w:val="003433E2"/>
    <w:rsid w:val="003515C1"/>
    <w:rsid w:val="00357E12"/>
    <w:rsid w:val="00374AA2"/>
    <w:rsid w:val="003829D4"/>
    <w:rsid w:val="00384B35"/>
    <w:rsid w:val="0039107C"/>
    <w:rsid w:val="00392EEF"/>
    <w:rsid w:val="0039309E"/>
    <w:rsid w:val="003A17ED"/>
    <w:rsid w:val="003B17CB"/>
    <w:rsid w:val="003B6DA7"/>
    <w:rsid w:val="003C20EC"/>
    <w:rsid w:val="003C3E07"/>
    <w:rsid w:val="003C7E05"/>
    <w:rsid w:val="003D4733"/>
    <w:rsid w:val="003E1E2F"/>
    <w:rsid w:val="004025AE"/>
    <w:rsid w:val="00404DE5"/>
    <w:rsid w:val="004107C3"/>
    <w:rsid w:val="004107FF"/>
    <w:rsid w:val="00412D12"/>
    <w:rsid w:val="0042010D"/>
    <w:rsid w:val="00447147"/>
    <w:rsid w:val="004639DF"/>
    <w:rsid w:val="00463F95"/>
    <w:rsid w:val="0047103A"/>
    <w:rsid w:val="00474143"/>
    <w:rsid w:val="00477031"/>
    <w:rsid w:val="00481E6D"/>
    <w:rsid w:val="00487581"/>
    <w:rsid w:val="0049476C"/>
    <w:rsid w:val="004A477F"/>
    <w:rsid w:val="004A5384"/>
    <w:rsid w:val="004A7C8F"/>
    <w:rsid w:val="004B0A2D"/>
    <w:rsid w:val="004D19FA"/>
    <w:rsid w:val="004E1114"/>
    <w:rsid w:val="004F4E21"/>
    <w:rsid w:val="004F6BB8"/>
    <w:rsid w:val="00526F43"/>
    <w:rsid w:val="00533335"/>
    <w:rsid w:val="00545C00"/>
    <w:rsid w:val="00546FCC"/>
    <w:rsid w:val="00563902"/>
    <w:rsid w:val="00572C4E"/>
    <w:rsid w:val="00586497"/>
    <w:rsid w:val="0059538D"/>
    <w:rsid w:val="005956EB"/>
    <w:rsid w:val="005A5C7B"/>
    <w:rsid w:val="005A7E85"/>
    <w:rsid w:val="005B32A5"/>
    <w:rsid w:val="005B79C7"/>
    <w:rsid w:val="005C3BC8"/>
    <w:rsid w:val="005D046F"/>
    <w:rsid w:val="005D0692"/>
    <w:rsid w:val="005D531A"/>
    <w:rsid w:val="005E515A"/>
    <w:rsid w:val="005F7237"/>
    <w:rsid w:val="00611B74"/>
    <w:rsid w:val="0061269E"/>
    <w:rsid w:val="00612DC2"/>
    <w:rsid w:val="00623CAB"/>
    <w:rsid w:val="00624C2D"/>
    <w:rsid w:val="00635536"/>
    <w:rsid w:val="00655C0E"/>
    <w:rsid w:val="0068059E"/>
    <w:rsid w:val="00681077"/>
    <w:rsid w:val="00695685"/>
    <w:rsid w:val="006B5EA1"/>
    <w:rsid w:val="006C79AA"/>
    <w:rsid w:val="006D4E04"/>
    <w:rsid w:val="006E2B6B"/>
    <w:rsid w:val="006E6890"/>
    <w:rsid w:val="006E7B08"/>
    <w:rsid w:val="006F6FB5"/>
    <w:rsid w:val="00716695"/>
    <w:rsid w:val="00717120"/>
    <w:rsid w:val="00736DE2"/>
    <w:rsid w:val="00744725"/>
    <w:rsid w:val="00755A8A"/>
    <w:rsid w:val="00765CF1"/>
    <w:rsid w:val="0076703D"/>
    <w:rsid w:val="00767932"/>
    <w:rsid w:val="0077380F"/>
    <w:rsid w:val="0078499D"/>
    <w:rsid w:val="00792E79"/>
    <w:rsid w:val="007965C6"/>
    <w:rsid w:val="007B500E"/>
    <w:rsid w:val="007C338C"/>
    <w:rsid w:val="007F1768"/>
    <w:rsid w:val="007F264F"/>
    <w:rsid w:val="007F43EF"/>
    <w:rsid w:val="008061BE"/>
    <w:rsid w:val="00807A77"/>
    <w:rsid w:val="00815EC1"/>
    <w:rsid w:val="008170EF"/>
    <w:rsid w:val="00830DC8"/>
    <w:rsid w:val="00834B38"/>
    <w:rsid w:val="00843B81"/>
    <w:rsid w:val="008443AA"/>
    <w:rsid w:val="00852D9D"/>
    <w:rsid w:val="008566CD"/>
    <w:rsid w:val="008927C3"/>
    <w:rsid w:val="00893C8F"/>
    <w:rsid w:val="00897A49"/>
    <w:rsid w:val="008C1432"/>
    <w:rsid w:val="008D1246"/>
    <w:rsid w:val="008D27DD"/>
    <w:rsid w:val="008D45BD"/>
    <w:rsid w:val="008E6C05"/>
    <w:rsid w:val="008F45AE"/>
    <w:rsid w:val="008F4794"/>
    <w:rsid w:val="0090204C"/>
    <w:rsid w:val="00907634"/>
    <w:rsid w:val="00912941"/>
    <w:rsid w:val="00924855"/>
    <w:rsid w:val="00924A76"/>
    <w:rsid w:val="0094085E"/>
    <w:rsid w:val="009427BD"/>
    <w:rsid w:val="00945032"/>
    <w:rsid w:val="00951764"/>
    <w:rsid w:val="009534FF"/>
    <w:rsid w:val="00955B29"/>
    <w:rsid w:val="009565F6"/>
    <w:rsid w:val="009566B1"/>
    <w:rsid w:val="00991049"/>
    <w:rsid w:val="009C3E82"/>
    <w:rsid w:val="009D4B1C"/>
    <w:rsid w:val="009E62D1"/>
    <w:rsid w:val="009F2484"/>
    <w:rsid w:val="009F4CAD"/>
    <w:rsid w:val="00A04034"/>
    <w:rsid w:val="00A06560"/>
    <w:rsid w:val="00A1010C"/>
    <w:rsid w:val="00A11810"/>
    <w:rsid w:val="00A2373D"/>
    <w:rsid w:val="00A23A96"/>
    <w:rsid w:val="00A307DF"/>
    <w:rsid w:val="00A45701"/>
    <w:rsid w:val="00A46FCF"/>
    <w:rsid w:val="00A57DB2"/>
    <w:rsid w:val="00A604E6"/>
    <w:rsid w:val="00A62023"/>
    <w:rsid w:val="00A6773F"/>
    <w:rsid w:val="00A85736"/>
    <w:rsid w:val="00A903A8"/>
    <w:rsid w:val="00AA6B72"/>
    <w:rsid w:val="00AA7D8B"/>
    <w:rsid w:val="00AB05B8"/>
    <w:rsid w:val="00AB0B21"/>
    <w:rsid w:val="00AB313D"/>
    <w:rsid w:val="00AC188F"/>
    <w:rsid w:val="00AC258B"/>
    <w:rsid w:val="00AC7E43"/>
    <w:rsid w:val="00AD09B3"/>
    <w:rsid w:val="00AD646E"/>
    <w:rsid w:val="00AE1F95"/>
    <w:rsid w:val="00AE7B5E"/>
    <w:rsid w:val="00AF1342"/>
    <w:rsid w:val="00AF4D7B"/>
    <w:rsid w:val="00B3372C"/>
    <w:rsid w:val="00B33CAC"/>
    <w:rsid w:val="00B34EA5"/>
    <w:rsid w:val="00B35521"/>
    <w:rsid w:val="00B35546"/>
    <w:rsid w:val="00B358F0"/>
    <w:rsid w:val="00B4153B"/>
    <w:rsid w:val="00B45EE6"/>
    <w:rsid w:val="00B46EE0"/>
    <w:rsid w:val="00B6064F"/>
    <w:rsid w:val="00B6380A"/>
    <w:rsid w:val="00B65888"/>
    <w:rsid w:val="00B6652C"/>
    <w:rsid w:val="00B71ABA"/>
    <w:rsid w:val="00B82F26"/>
    <w:rsid w:val="00B86431"/>
    <w:rsid w:val="00BA0400"/>
    <w:rsid w:val="00BA1B73"/>
    <w:rsid w:val="00BA244B"/>
    <w:rsid w:val="00BC2E24"/>
    <w:rsid w:val="00BD2DF2"/>
    <w:rsid w:val="00BD4D96"/>
    <w:rsid w:val="00BD7364"/>
    <w:rsid w:val="00BE4DB1"/>
    <w:rsid w:val="00BF4487"/>
    <w:rsid w:val="00BF4F44"/>
    <w:rsid w:val="00C07363"/>
    <w:rsid w:val="00C13691"/>
    <w:rsid w:val="00C215C6"/>
    <w:rsid w:val="00C3399D"/>
    <w:rsid w:val="00C50F92"/>
    <w:rsid w:val="00C53291"/>
    <w:rsid w:val="00C539DD"/>
    <w:rsid w:val="00C62D2B"/>
    <w:rsid w:val="00C91A0B"/>
    <w:rsid w:val="00C96C46"/>
    <w:rsid w:val="00C9709F"/>
    <w:rsid w:val="00CD26D1"/>
    <w:rsid w:val="00CE6014"/>
    <w:rsid w:val="00CE7E91"/>
    <w:rsid w:val="00CF6375"/>
    <w:rsid w:val="00D024BB"/>
    <w:rsid w:val="00D049CC"/>
    <w:rsid w:val="00D15C7D"/>
    <w:rsid w:val="00D27F36"/>
    <w:rsid w:val="00D34EA8"/>
    <w:rsid w:val="00D37AD3"/>
    <w:rsid w:val="00D37FCC"/>
    <w:rsid w:val="00D42083"/>
    <w:rsid w:val="00D4500B"/>
    <w:rsid w:val="00D450D5"/>
    <w:rsid w:val="00D47CB9"/>
    <w:rsid w:val="00D47F10"/>
    <w:rsid w:val="00D519E5"/>
    <w:rsid w:val="00D51DD7"/>
    <w:rsid w:val="00D63B96"/>
    <w:rsid w:val="00D7230B"/>
    <w:rsid w:val="00D90A9D"/>
    <w:rsid w:val="00DA200A"/>
    <w:rsid w:val="00DB3130"/>
    <w:rsid w:val="00DC465E"/>
    <w:rsid w:val="00DC47C0"/>
    <w:rsid w:val="00DD17A6"/>
    <w:rsid w:val="00DE0A4E"/>
    <w:rsid w:val="00DF25C2"/>
    <w:rsid w:val="00DF7CBA"/>
    <w:rsid w:val="00E01D56"/>
    <w:rsid w:val="00E1458F"/>
    <w:rsid w:val="00E16C4A"/>
    <w:rsid w:val="00E238CC"/>
    <w:rsid w:val="00E260B0"/>
    <w:rsid w:val="00E3553B"/>
    <w:rsid w:val="00E41091"/>
    <w:rsid w:val="00E47974"/>
    <w:rsid w:val="00E62036"/>
    <w:rsid w:val="00E65978"/>
    <w:rsid w:val="00E83B46"/>
    <w:rsid w:val="00E84E61"/>
    <w:rsid w:val="00E92171"/>
    <w:rsid w:val="00E93214"/>
    <w:rsid w:val="00E94C56"/>
    <w:rsid w:val="00E9530D"/>
    <w:rsid w:val="00EA7D58"/>
    <w:rsid w:val="00EE2B89"/>
    <w:rsid w:val="00EE6A25"/>
    <w:rsid w:val="00EF3711"/>
    <w:rsid w:val="00F0013A"/>
    <w:rsid w:val="00F017A3"/>
    <w:rsid w:val="00F0367B"/>
    <w:rsid w:val="00F14DA4"/>
    <w:rsid w:val="00F172EE"/>
    <w:rsid w:val="00F22FAB"/>
    <w:rsid w:val="00F2399E"/>
    <w:rsid w:val="00F26FE7"/>
    <w:rsid w:val="00F47B73"/>
    <w:rsid w:val="00F56CE3"/>
    <w:rsid w:val="00F727C1"/>
    <w:rsid w:val="00F829A0"/>
    <w:rsid w:val="00F8433A"/>
    <w:rsid w:val="00F91E90"/>
    <w:rsid w:val="00F9527B"/>
    <w:rsid w:val="00F9693D"/>
    <w:rsid w:val="00FB411A"/>
    <w:rsid w:val="00FB789E"/>
    <w:rsid w:val="00FC61A9"/>
    <w:rsid w:val="00FC7736"/>
    <w:rsid w:val="00FD280B"/>
    <w:rsid w:val="00FD41FE"/>
    <w:rsid w:val="00FF061C"/>
    <w:rsid w:val="00FF4C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152F3F9"/>
  <w15:docId w15:val="{7E6D2DC2-BFCC-B649-A595-5E6105CD2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FCC"/>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0F525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F45A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3711"/>
    <w:rPr>
      <w:color w:val="0563C1" w:themeColor="hyperlink"/>
      <w:u w:val="single"/>
    </w:rPr>
  </w:style>
  <w:style w:type="character" w:styleId="UnresolvedMention">
    <w:name w:val="Unresolved Mention"/>
    <w:basedOn w:val="DefaultParagraphFont"/>
    <w:uiPriority w:val="99"/>
    <w:semiHidden/>
    <w:unhideWhenUsed/>
    <w:rsid w:val="00EF3711"/>
    <w:rPr>
      <w:color w:val="605E5C"/>
      <w:shd w:val="clear" w:color="auto" w:fill="E1DFDD"/>
    </w:rPr>
  </w:style>
  <w:style w:type="paragraph" w:styleId="ListParagraph">
    <w:name w:val="List Paragraph"/>
    <w:basedOn w:val="Normal"/>
    <w:uiPriority w:val="34"/>
    <w:qFormat/>
    <w:rsid w:val="001517F4"/>
    <w:pPr>
      <w:ind w:left="720"/>
      <w:contextualSpacing/>
    </w:pPr>
  </w:style>
  <w:style w:type="paragraph" w:styleId="FootnoteText">
    <w:name w:val="footnote text"/>
    <w:basedOn w:val="Normal"/>
    <w:link w:val="FootnoteTextChar"/>
    <w:uiPriority w:val="99"/>
    <w:unhideWhenUsed/>
    <w:rsid w:val="008D1246"/>
    <w:rPr>
      <w:sz w:val="20"/>
      <w:szCs w:val="20"/>
    </w:rPr>
  </w:style>
  <w:style w:type="character" w:customStyle="1" w:styleId="FootnoteTextChar">
    <w:name w:val="Footnote Text Char"/>
    <w:basedOn w:val="DefaultParagraphFont"/>
    <w:link w:val="FootnoteText"/>
    <w:uiPriority w:val="99"/>
    <w:rsid w:val="008D1246"/>
    <w:rPr>
      <w:sz w:val="20"/>
      <w:szCs w:val="20"/>
    </w:rPr>
  </w:style>
  <w:style w:type="character" w:styleId="FootnoteReference">
    <w:name w:val="footnote reference"/>
    <w:basedOn w:val="DefaultParagraphFont"/>
    <w:uiPriority w:val="99"/>
    <w:semiHidden/>
    <w:unhideWhenUsed/>
    <w:rsid w:val="008D1246"/>
    <w:rPr>
      <w:vertAlign w:val="superscript"/>
    </w:rPr>
  </w:style>
  <w:style w:type="paragraph" w:styleId="Footer">
    <w:name w:val="footer"/>
    <w:basedOn w:val="Normal"/>
    <w:link w:val="FooterChar"/>
    <w:uiPriority w:val="99"/>
    <w:unhideWhenUsed/>
    <w:rsid w:val="00E3553B"/>
    <w:pPr>
      <w:tabs>
        <w:tab w:val="center" w:pos="4680"/>
        <w:tab w:val="right" w:pos="9360"/>
      </w:tabs>
    </w:pPr>
  </w:style>
  <w:style w:type="character" w:customStyle="1" w:styleId="FooterChar">
    <w:name w:val="Footer Char"/>
    <w:basedOn w:val="DefaultParagraphFont"/>
    <w:link w:val="Footer"/>
    <w:uiPriority w:val="99"/>
    <w:rsid w:val="00E3553B"/>
  </w:style>
  <w:style w:type="character" w:styleId="PageNumber">
    <w:name w:val="page number"/>
    <w:basedOn w:val="DefaultParagraphFont"/>
    <w:uiPriority w:val="99"/>
    <w:semiHidden/>
    <w:unhideWhenUsed/>
    <w:rsid w:val="00E3553B"/>
  </w:style>
  <w:style w:type="paragraph" w:styleId="Header">
    <w:name w:val="header"/>
    <w:basedOn w:val="Normal"/>
    <w:link w:val="HeaderChar"/>
    <w:uiPriority w:val="99"/>
    <w:unhideWhenUsed/>
    <w:rsid w:val="00FF4CDF"/>
    <w:pPr>
      <w:tabs>
        <w:tab w:val="center" w:pos="4680"/>
        <w:tab w:val="right" w:pos="9360"/>
      </w:tabs>
    </w:pPr>
  </w:style>
  <w:style w:type="character" w:customStyle="1" w:styleId="HeaderChar">
    <w:name w:val="Header Char"/>
    <w:basedOn w:val="DefaultParagraphFont"/>
    <w:link w:val="Header"/>
    <w:uiPriority w:val="99"/>
    <w:rsid w:val="00FF4CDF"/>
  </w:style>
  <w:style w:type="character" w:styleId="FollowedHyperlink">
    <w:name w:val="FollowedHyperlink"/>
    <w:basedOn w:val="DefaultParagraphFont"/>
    <w:uiPriority w:val="99"/>
    <w:semiHidden/>
    <w:unhideWhenUsed/>
    <w:rsid w:val="00A45701"/>
    <w:rPr>
      <w:color w:val="954F72" w:themeColor="followedHyperlink"/>
      <w:u w:val="single"/>
    </w:rPr>
  </w:style>
  <w:style w:type="paragraph" w:styleId="NormalWeb">
    <w:name w:val="Normal (Web)"/>
    <w:basedOn w:val="Normal"/>
    <w:uiPriority w:val="99"/>
    <w:semiHidden/>
    <w:unhideWhenUsed/>
    <w:rsid w:val="00681077"/>
  </w:style>
  <w:style w:type="character" w:customStyle="1" w:styleId="Heading1Char">
    <w:name w:val="Heading 1 Char"/>
    <w:basedOn w:val="DefaultParagraphFont"/>
    <w:link w:val="Heading1"/>
    <w:uiPriority w:val="9"/>
    <w:rsid w:val="000F5256"/>
    <w:rPr>
      <w:rFonts w:asciiTheme="majorHAnsi" w:eastAsiaTheme="majorEastAsia" w:hAnsiTheme="majorHAnsi" w:cstheme="majorBidi"/>
      <w:color w:val="2F5496" w:themeColor="accent1" w:themeShade="BF"/>
      <w:sz w:val="32"/>
      <w:szCs w:val="32"/>
      <w:lang w:eastAsia="en-GB"/>
    </w:rPr>
  </w:style>
  <w:style w:type="character" w:customStyle="1" w:styleId="Heading3Char">
    <w:name w:val="Heading 3 Char"/>
    <w:basedOn w:val="DefaultParagraphFont"/>
    <w:link w:val="Heading3"/>
    <w:uiPriority w:val="9"/>
    <w:semiHidden/>
    <w:rsid w:val="008F45AE"/>
    <w:rPr>
      <w:rFonts w:asciiTheme="majorHAnsi" w:eastAsiaTheme="majorEastAsia" w:hAnsiTheme="majorHAnsi" w:cstheme="majorBidi"/>
      <w:color w:val="1F3763" w:themeColor="accent1" w:themeShade="7F"/>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1838">
      <w:bodyDiv w:val="1"/>
      <w:marLeft w:val="0"/>
      <w:marRight w:val="0"/>
      <w:marTop w:val="0"/>
      <w:marBottom w:val="0"/>
      <w:divBdr>
        <w:top w:val="none" w:sz="0" w:space="0" w:color="auto"/>
        <w:left w:val="none" w:sz="0" w:space="0" w:color="auto"/>
        <w:bottom w:val="none" w:sz="0" w:space="0" w:color="auto"/>
        <w:right w:val="none" w:sz="0" w:space="0" w:color="auto"/>
      </w:divBdr>
    </w:div>
    <w:div w:id="29308924">
      <w:bodyDiv w:val="1"/>
      <w:marLeft w:val="0"/>
      <w:marRight w:val="0"/>
      <w:marTop w:val="0"/>
      <w:marBottom w:val="0"/>
      <w:divBdr>
        <w:top w:val="none" w:sz="0" w:space="0" w:color="auto"/>
        <w:left w:val="none" w:sz="0" w:space="0" w:color="auto"/>
        <w:bottom w:val="none" w:sz="0" w:space="0" w:color="auto"/>
        <w:right w:val="none" w:sz="0" w:space="0" w:color="auto"/>
      </w:divBdr>
    </w:div>
    <w:div w:id="35812601">
      <w:bodyDiv w:val="1"/>
      <w:marLeft w:val="0"/>
      <w:marRight w:val="0"/>
      <w:marTop w:val="0"/>
      <w:marBottom w:val="0"/>
      <w:divBdr>
        <w:top w:val="none" w:sz="0" w:space="0" w:color="auto"/>
        <w:left w:val="none" w:sz="0" w:space="0" w:color="auto"/>
        <w:bottom w:val="none" w:sz="0" w:space="0" w:color="auto"/>
        <w:right w:val="none" w:sz="0" w:space="0" w:color="auto"/>
      </w:divBdr>
    </w:div>
    <w:div w:id="111246462">
      <w:bodyDiv w:val="1"/>
      <w:marLeft w:val="0"/>
      <w:marRight w:val="0"/>
      <w:marTop w:val="0"/>
      <w:marBottom w:val="0"/>
      <w:divBdr>
        <w:top w:val="none" w:sz="0" w:space="0" w:color="auto"/>
        <w:left w:val="none" w:sz="0" w:space="0" w:color="auto"/>
        <w:bottom w:val="none" w:sz="0" w:space="0" w:color="auto"/>
        <w:right w:val="none" w:sz="0" w:space="0" w:color="auto"/>
      </w:divBdr>
    </w:div>
    <w:div w:id="120340960">
      <w:bodyDiv w:val="1"/>
      <w:marLeft w:val="0"/>
      <w:marRight w:val="0"/>
      <w:marTop w:val="0"/>
      <w:marBottom w:val="0"/>
      <w:divBdr>
        <w:top w:val="none" w:sz="0" w:space="0" w:color="auto"/>
        <w:left w:val="none" w:sz="0" w:space="0" w:color="auto"/>
        <w:bottom w:val="none" w:sz="0" w:space="0" w:color="auto"/>
        <w:right w:val="none" w:sz="0" w:space="0" w:color="auto"/>
      </w:divBdr>
    </w:div>
    <w:div w:id="128330717">
      <w:bodyDiv w:val="1"/>
      <w:marLeft w:val="0"/>
      <w:marRight w:val="0"/>
      <w:marTop w:val="0"/>
      <w:marBottom w:val="0"/>
      <w:divBdr>
        <w:top w:val="none" w:sz="0" w:space="0" w:color="auto"/>
        <w:left w:val="none" w:sz="0" w:space="0" w:color="auto"/>
        <w:bottom w:val="none" w:sz="0" w:space="0" w:color="auto"/>
        <w:right w:val="none" w:sz="0" w:space="0" w:color="auto"/>
      </w:divBdr>
      <w:divsChild>
        <w:div w:id="190609400">
          <w:marLeft w:val="0"/>
          <w:marRight w:val="0"/>
          <w:marTop w:val="0"/>
          <w:marBottom w:val="0"/>
          <w:divBdr>
            <w:top w:val="none" w:sz="0" w:space="0" w:color="auto"/>
            <w:left w:val="none" w:sz="0" w:space="0" w:color="auto"/>
            <w:bottom w:val="none" w:sz="0" w:space="0" w:color="auto"/>
            <w:right w:val="none" w:sz="0" w:space="0" w:color="auto"/>
          </w:divBdr>
          <w:divsChild>
            <w:div w:id="801653148">
              <w:marLeft w:val="0"/>
              <w:marRight w:val="0"/>
              <w:marTop w:val="0"/>
              <w:marBottom w:val="0"/>
              <w:divBdr>
                <w:top w:val="none" w:sz="0" w:space="0" w:color="auto"/>
                <w:left w:val="none" w:sz="0" w:space="0" w:color="auto"/>
                <w:bottom w:val="none" w:sz="0" w:space="0" w:color="auto"/>
                <w:right w:val="none" w:sz="0" w:space="0" w:color="auto"/>
              </w:divBdr>
              <w:divsChild>
                <w:div w:id="297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91768">
      <w:bodyDiv w:val="1"/>
      <w:marLeft w:val="0"/>
      <w:marRight w:val="0"/>
      <w:marTop w:val="0"/>
      <w:marBottom w:val="0"/>
      <w:divBdr>
        <w:top w:val="none" w:sz="0" w:space="0" w:color="auto"/>
        <w:left w:val="none" w:sz="0" w:space="0" w:color="auto"/>
        <w:bottom w:val="none" w:sz="0" w:space="0" w:color="auto"/>
        <w:right w:val="none" w:sz="0" w:space="0" w:color="auto"/>
      </w:divBdr>
      <w:divsChild>
        <w:div w:id="1541894075">
          <w:marLeft w:val="0"/>
          <w:marRight w:val="0"/>
          <w:marTop w:val="0"/>
          <w:marBottom w:val="0"/>
          <w:divBdr>
            <w:top w:val="none" w:sz="0" w:space="0" w:color="auto"/>
            <w:left w:val="none" w:sz="0" w:space="0" w:color="auto"/>
            <w:bottom w:val="none" w:sz="0" w:space="0" w:color="auto"/>
            <w:right w:val="none" w:sz="0" w:space="0" w:color="auto"/>
          </w:divBdr>
          <w:divsChild>
            <w:div w:id="1658415310">
              <w:marLeft w:val="0"/>
              <w:marRight w:val="0"/>
              <w:marTop w:val="0"/>
              <w:marBottom w:val="0"/>
              <w:divBdr>
                <w:top w:val="none" w:sz="0" w:space="0" w:color="auto"/>
                <w:left w:val="none" w:sz="0" w:space="0" w:color="auto"/>
                <w:bottom w:val="none" w:sz="0" w:space="0" w:color="auto"/>
                <w:right w:val="none" w:sz="0" w:space="0" w:color="auto"/>
              </w:divBdr>
              <w:divsChild>
                <w:div w:id="61914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50687">
      <w:bodyDiv w:val="1"/>
      <w:marLeft w:val="0"/>
      <w:marRight w:val="0"/>
      <w:marTop w:val="0"/>
      <w:marBottom w:val="0"/>
      <w:divBdr>
        <w:top w:val="none" w:sz="0" w:space="0" w:color="auto"/>
        <w:left w:val="none" w:sz="0" w:space="0" w:color="auto"/>
        <w:bottom w:val="none" w:sz="0" w:space="0" w:color="auto"/>
        <w:right w:val="none" w:sz="0" w:space="0" w:color="auto"/>
      </w:divBdr>
    </w:div>
    <w:div w:id="214200474">
      <w:bodyDiv w:val="1"/>
      <w:marLeft w:val="0"/>
      <w:marRight w:val="0"/>
      <w:marTop w:val="0"/>
      <w:marBottom w:val="0"/>
      <w:divBdr>
        <w:top w:val="none" w:sz="0" w:space="0" w:color="auto"/>
        <w:left w:val="none" w:sz="0" w:space="0" w:color="auto"/>
        <w:bottom w:val="none" w:sz="0" w:space="0" w:color="auto"/>
        <w:right w:val="none" w:sz="0" w:space="0" w:color="auto"/>
      </w:divBdr>
    </w:div>
    <w:div w:id="219488218">
      <w:bodyDiv w:val="1"/>
      <w:marLeft w:val="0"/>
      <w:marRight w:val="0"/>
      <w:marTop w:val="0"/>
      <w:marBottom w:val="0"/>
      <w:divBdr>
        <w:top w:val="none" w:sz="0" w:space="0" w:color="auto"/>
        <w:left w:val="none" w:sz="0" w:space="0" w:color="auto"/>
        <w:bottom w:val="none" w:sz="0" w:space="0" w:color="auto"/>
        <w:right w:val="none" w:sz="0" w:space="0" w:color="auto"/>
      </w:divBdr>
    </w:div>
    <w:div w:id="222060954">
      <w:bodyDiv w:val="1"/>
      <w:marLeft w:val="0"/>
      <w:marRight w:val="0"/>
      <w:marTop w:val="0"/>
      <w:marBottom w:val="0"/>
      <w:divBdr>
        <w:top w:val="none" w:sz="0" w:space="0" w:color="auto"/>
        <w:left w:val="none" w:sz="0" w:space="0" w:color="auto"/>
        <w:bottom w:val="none" w:sz="0" w:space="0" w:color="auto"/>
        <w:right w:val="none" w:sz="0" w:space="0" w:color="auto"/>
      </w:divBdr>
    </w:div>
    <w:div w:id="227886091">
      <w:bodyDiv w:val="1"/>
      <w:marLeft w:val="0"/>
      <w:marRight w:val="0"/>
      <w:marTop w:val="0"/>
      <w:marBottom w:val="0"/>
      <w:divBdr>
        <w:top w:val="none" w:sz="0" w:space="0" w:color="auto"/>
        <w:left w:val="none" w:sz="0" w:space="0" w:color="auto"/>
        <w:bottom w:val="none" w:sz="0" w:space="0" w:color="auto"/>
        <w:right w:val="none" w:sz="0" w:space="0" w:color="auto"/>
      </w:divBdr>
    </w:div>
    <w:div w:id="251549769">
      <w:bodyDiv w:val="1"/>
      <w:marLeft w:val="0"/>
      <w:marRight w:val="0"/>
      <w:marTop w:val="0"/>
      <w:marBottom w:val="0"/>
      <w:divBdr>
        <w:top w:val="none" w:sz="0" w:space="0" w:color="auto"/>
        <w:left w:val="none" w:sz="0" w:space="0" w:color="auto"/>
        <w:bottom w:val="none" w:sz="0" w:space="0" w:color="auto"/>
        <w:right w:val="none" w:sz="0" w:space="0" w:color="auto"/>
      </w:divBdr>
    </w:div>
    <w:div w:id="261452759">
      <w:bodyDiv w:val="1"/>
      <w:marLeft w:val="0"/>
      <w:marRight w:val="0"/>
      <w:marTop w:val="0"/>
      <w:marBottom w:val="0"/>
      <w:divBdr>
        <w:top w:val="none" w:sz="0" w:space="0" w:color="auto"/>
        <w:left w:val="none" w:sz="0" w:space="0" w:color="auto"/>
        <w:bottom w:val="none" w:sz="0" w:space="0" w:color="auto"/>
        <w:right w:val="none" w:sz="0" w:space="0" w:color="auto"/>
      </w:divBdr>
    </w:div>
    <w:div w:id="267855770">
      <w:bodyDiv w:val="1"/>
      <w:marLeft w:val="0"/>
      <w:marRight w:val="0"/>
      <w:marTop w:val="0"/>
      <w:marBottom w:val="0"/>
      <w:divBdr>
        <w:top w:val="none" w:sz="0" w:space="0" w:color="auto"/>
        <w:left w:val="none" w:sz="0" w:space="0" w:color="auto"/>
        <w:bottom w:val="none" w:sz="0" w:space="0" w:color="auto"/>
        <w:right w:val="none" w:sz="0" w:space="0" w:color="auto"/>
      </w:divBdr>
    </w:div>
    <w:div w:id="270286422">
      <w:bodyDiv w:val="1"/>
      <w:marLeft w:val="0"/>
      <w:marRight w:val="0"/>
      <w:marTop w:val="0"/>
      <w:marBottom w:val="0"/>
      <w:divBdr>
        <w:top w:val="none" w:sz="0" w:space="0" w:color="auto"/>
        <w:left w:val="none" w:sz="0" w:space="0" w:color="auto"/>
        <w:bottom w:val="none" w:sz="0" w:space="0" w:color="auto"/>
        <w:right w:val="none" w:sz="0" w:space="0" w:color="auto"/>
      </w:divBdr>
    </w:div>
    <w:div w:id="281428313">
      <w:bodyDiv w:val="1"/>
      <w:marLeft w:val="0"/>
      <w:marRight w:val="0"/>
      <w:marTop w:val="0"/>
      <w:marBottom w:val="0"/>
      <w:divBdr>
        <w:top w:val="none" w:sz="0" w:space="0" w:color="auto"/>
        <w:left w:val="none" w:sz="0" w:space="0" w:color="auto"/>
        <w:bottom w:val="none" w:sz="0" w:space="0" w:color="auto"/>
        <w:right w:val="none" w:sz="0" w:space="0" w:color="auto"/>
      </w:divBdr>
    </w:div>
    <w:div w:id="288240593">
      <w:bodyDiv w:val="1"/>
      <w:marLeft w:val="0"/>
      <w:marRight w:val="0"/>
      <w:marTop w:val="0"/>
      <w:marBottom w:val="0"/>
      <w:divBdr>
        <w:top w:val="none" w:sz="0" w:space="0" w:color="auto"/>
        <w:left w:val="none" w:sz="0" w:space="0" w:color="auto"/>
        <w:bottom w:val="none" w:sz="0" w:space="0" w:color="auto"/>
        <w:right w:val="none" w:sz="0" w:space="0" w:color="auto"/>
      </w:divBdr>
    </w:div>
    <w:div w:id="294288347">
      <w:bodyDiv w:val="1"/>
      <w:marLeft w:val="0"/>
      <w:marRight w:val="0"/>
      <w:marTop w:val="0"/>
      <w:marBottom w:val="0"/>
      <w:divBdr>
        <w:top w:val="none" w:sz="0" w:space="0" w:color="auto"/>
        <w:left w:val="none" w:sz="0" w:space="0" w:color="auto"/>
        <w:bottom w:val="none" w:sz="0" w:space="0" w:color="auto"/>
        <w:right w:val="none" w:sz="0" w:space="0" w:color="auto"/>
      </w:divBdr>
    </w:div>
    <w:div w:id="327056383">
      <w:bodyDiv w:val="1"/>
      <w:marLeft w:val="0"/>
      <w:marRight w:val="0"/>
      <w:marTop w:val="0"/>
      <w:marBottom w:val="0"/>
      <w:divBdr>
        <w:top w:val="none" w:sz="0" w:space="0" w:color="auto"/>
        <w:left w:val="none" w:sz="0" w:space="0" w:color="auto"/>
        <w:bottom w:val="none" w:sz="0" w:space="0" w:color="auto"/>
        <w:right w:val="none" w:sz="0" w:space="0" w:color="auto"/>
      </w:divBdr>
    </w:div>
    <w:div w:id="331683940">
      <w:bodyDiv w:val="1"/>
      <w:marLeft w:val="0"/>
      <w:marRight w:val="0"/>
      <w:marTop w:val="0"/>
      <w:marBottom w:val="0"/>
      <w:divBdr>
        <w:top w:val="none" w:sz="0" w:space="0" w:color="auto"/>
        <w:left w:val="none" w:sz="0" w:space="0" w:color="auto"/>
        <w:bottom w:val="none" w:sz="0" w:space="0" w:color="auto"/>
        <w:right w:val="none" w:sz="0" w:space="0" w:color="auto"/>
      </w:divBdr>
    </w:div>
    <w:div w:id="346177448">
      <w:bodyDiv w:val="1"/>
      <w:marLeft w:val="0"/>
      <w:marRight w:val="0"/>
      <w:marTop w:val="0"/>
      <w:marBottom w:val="0"/>
      <w:divBdr>
        <w:top w:val="none" w:sz="0" w:space="0" w:color="auto"/>
        <w:left w:val="none" w:sz="0" w:space="0" w:color="auto"/>
        <w:bottom w:val="none" w:sz="0" w:space="0" w:color="auto"/>
        <w:right w:val="none" w:sz="0" w:space="0" w:color="auto"/>
      </w:divBdr>
    </w:div>
    <w:div w:id="369453106">
      <w:bodyDiv w:val="1"/>
      <w:marLeft w:val="0"/>
      <w:marRight w:val="0"/>
      <w:marTop w:val="0"/>
      <w:marBottom w:val="0"/>
      <w:divBdr>
        <w:top w:val="none" w:sz="0" w:space="0" w:color="auto"/>
        <w:left w:val="none" w:sz="0" w:space="0" w:color="auto"/>
        <w:bottom w:val="none" w:sz="0" w:space="0" w:color="auto"/>
        <w:right w:val="none" w:sz="0" w:space="0" w:color="auto"/>
      </w:divBdr>
    </w:div>
    <w:div w:id="373819350">
      <w:bodyDiv w:val="1"/>
      <w:marLeft w:val="0"/>
      <w:marRight w:val="0"/>
      <w:marTop w:val="0"/>
      <w:marBottom w:val="0"/>
      <w:divBdr>
        <w:top w:val="none" w:sz="0" w:space="0" w:color="auto"/>
        <w:left w:val="none" w:sz="0" w:space="0" w:color="auto"/>
        <w:bottom w:val="none" w:sz="0" w:space="0" w:color="auto"/>
        <w:right w:val="none" w:sz="0" w:space="0" w:color="auto"/>
      </w:divBdr>
    </w:div>
    <w:div w:id="382487351">
      <w:bodyDiv w:val="1"/>
      <w:marLeft w:val="0"/>
      <w:marRight w:val="0"/>
      <w:marTop w:val="0"/>
      <w:marBottom w:val="0"/>
      <w:divBdr>
        <w:top w:val="none" w:sz="0" w:space="0" w:color="auto"/>
        <w:left w:val="none" w:sz="0" w:space="0" w:color="auto"/>
        <w:bottom w:val="none" w:sz="0" w:space="0" w:color="auto"/>
        <w:right w:val="none" w:sz="0" w:space="0" w:color="auto"/>
      </w:divBdr>
    </w:div>
    <w:div w:id="384069168">
      <w:bodyDiv w:val="1"/>
      <w:marLeft w:val="0"/>
      <w:marRight w:val="0"/>
      <w:marTop w:val="0"/>
      <w:marBottom w:val="0"/>
      <w:divBdr>
        <w:top w:val="none" w:sz="0" w:space="0" w:color="auto"/>
        <w:left w:val="none" w:sz="0" w:space="0" w:color="auto"/>
        <w:bottom w:val="none" w:sz="0" w:space="0" w:color="auto"/>
        <w:right w:val="none" w:sz="0" w:space="0" w:color="auto"/>
      </w:divBdr>
    </w:div>
    <w:div w:id="404229837">
      <w:bodyDiv w:val="1"/>
      <w:marLeft w:val="0"/>
      <w:marRight w:val="0"/>
      <w:marTop w:val="0"/>
      <w:marBottom w:val="0"/>
      <w:divBdr>
        <w:top w:val="none" w:sz="0" w:space="0" w:color="auto"/>
        <w:left w:val="none" w:sz="0" w:space="0" w:color="auto"/>
        <w:bottom w:val="none" w:sz="0" w:space="0" w:color="auto"/>
        <w:right w:val="none" w:sz="0" w:space="0" w:color="auto"/>
      </w:divBdr>
      <w:divsChild>
        <w:div w:id="1695962806">
          <w:marLeft w:val="0"/>
          <w:marRight w:val="0"/>
          <w:marTop w:val="0"/>
          <w:marBottom w:val="0"/>
          <w:divBdr>
            <w:top w:val="none" w:sz="0" w:space="0" w:color="auto"/>
            <w:left w:val="none" w:sz="0" w:space="0" w:color="auto"/>
            <w:bottom w:val="none" w:sz="0" w:space="0" w:color="auto"/>
            <w:right w:val="none" w:sz="0" w:space="0" w:color="auto"/>
          </w:divBdr>
          <w:divsChild>
            <w:div w:id="714544546">
              <w:marLeft w:val="0"/>
              <w:marRight w:val="0"/>
              <w:marTop w:val="0"/>
              <w:marBottom w:val="0"/>
              <w:divBdr>
                <w:top w:val="none" w:sz="0" w:space="0" w:color="auto"/>
                <w:left w:val="none" w:sz="0" w:space="0" w:color="auto"/>
                <w:bottom w:val="none" w:sz="0" w:space="0" w:color="auto"/>
                <w:right w:val="none" w:sz="0" w:space="0" w:color="auto"/>
              </w:divBdr>
              <w:divsChild>
                <w:div w:id="57193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810679">
      <w:bodyDiv w:val="1"/>
      <w:marLeft w:val="0"/>
      <w:marRight w:val="0"/>
      <w:marTop w:val="0"/>
      <w:marBottom w:val="0"/>
      <w:divBdr>
        <w:top w:val="none" w:sz="0" w:space="0" w:color="auto"/>
        <w:left w:val="none" w:sz="0" w:space="0" w:color="auto"/>
        <w:bottom w:val="none" w:sz="0" w:space="0" w:color="auto"/>
        <w:right w:val="none" w:sz="0" w:space="0" w:color="auto"/>
      </w:divBdr>
    </w:div>
    <w:div w:id="445391763">
      <w:bodyDiv w:val="1"/>
      <w:marLeft w:val="0"/>
      <w:marRight w:val="0"/>
      <w:marTop w:val="0"/>
      <w:marBottom w:val="0"/>
      <w:divBdr>
        <w:top w:val="none" w:sz="0" w:space="0" w:color="auto"/>
        <w:left w:val="none" w:sz="0" w:space="0" w:color="auto"/>
        <w:bottom w:val="none" w:sz="0" w:space="0" w:color="auto"/>
        <w:right w:val="none" w:sz="0" w:space="0" w:color="auto"/>
      </w:divBdr>
    </w:div>
    <w:div w:id="519318764">
      <w:bodyDiv w:val="1"/>
      <w:marLeft w:val="0"/>
      <w:marRight w:val="0"/>
      <w:marTop w:val="0"/>
      <w:marBottom w:val="0"/>
      <w:divBdr>
        <w:top w:val="none" w:sz="0" w:space="0" w:color="auto"/>
        <w:left w:val="none" w:sz="0" w:space="0" w:color="auto"/>
        <w:bottom w:val="none" w:sz="0" w:space="0" w:color="auto"/>
        <w:right w:val="none" w:sz="0" w:space="0" w:color="auto"/>
      </w:divBdr>
    </w:div>
    <w:div w:id="537859622">
      <w:bodyDiv w:val="1"/>
      <w:marLeft w:val="0"/>
      <w:marRight w:val="0"/>
      <w:marTop w:val="0"/>
      <w:marBottom w:val="0"/>
      <w:divBdr>
        <w:top w:val="none" w:sz="0" w:space="0" w:color="auto"/>
        <w:left w:val="none" w:sz="0" w:space="0" w:color="auto"/>
        <w:bottom w:val="none" w:sz="0" w:space="0" w:color="auto"/>
        <w:right w:val="none" w:sz="0" w:space="0" w:color="auto"/>
      </w:divBdr>
    </w:div>
    <w:div w:id="538510663">
      <w:bodyDiv w:val="1"/>
      <w:marLeft w:val="0"/>
      <w:marRight w:val="0"/>
      <w:marTop w:val="0"/>
      <w:marBottom w:val="0"/>
      <w:divBdr>
        <w:top w:val="none" w:sz="0" w:space="0" w:color="auto"/>
        <w:left w:val="none" w:sz="0" w:space="0" w:color="auto"/>
        <w:bottom w:val="none" w:sz="0" w:space="0" w:color="auto"/>
        <w:right w:val="none" w:sz="0" w:space="0" w:color="auto"/>
      </w:divBdr>
    </w:div>
    <w:div w:id="539974516">
      <w:bodyDiv w:val="1"/>
      <w:marLeft w:val="0"/>
      <w:marRight w:val="0"/>
      <w:marTop w:val="0"/>
      <w:marBottom w:val="0"/>
      <w:divBdr>
        <w:top w:val="none" w:sz="0" w:space="0" w:color="auto"/>
        <w:left w:val="none" w:sz="0" w:space="0" w:color="auto"/>
        <w:bottom w:val="none" w:sz="0" w:space="0" w:color="auto"/>
        <w:right w:val="none" w:sz="0" w:space="0" w:color="auto"/>
      </w:divBdr>
    </w:div>
    <w:div w:id="549075030">
      <w:bodyDiv w:val="1"/>
      <w:marLeft w:val="0"/>
      <w:marRight w:val="0"/>
      <w:marTop w:val="0"/>
      <w:marBottom w:val="0"/>
      <w:divBdr>
        <w:top w:val="none" w:sz="0" w:space="0" w:color="auto"/>
        <w:left w:val="none" w:sz="0" w:space="0" w:color="auto"/>
        <w:bottom w:val="none" w:sz="0" w:space="0" w:color="auto"/>
        <w:right w:val="none" w:sz="0" w:space="0" w:color="auto"/>
      </w:divBdr>
    </w:div>
    <w:div w:id="568619203">
      <w:bodyDiv w:val="1"/>
      <w:marLeft w:val="0"/>
      <w:marRight w:val="0"/>
      <w:marTop w:val="0"/>
      <w:marBottom w:val="0"/>
      <w:divBdr>
        <w:top w:val="none" w:sz="0" w:space="0" w:color="auto"/>
        <w:left w:val="none" w:sz="0" w:space="0" w:color="auto"/>
        <w:bottom w:val="none" w:sz="0" w:space="0" w:color="auto"/>
        <w:right w:val="none" w:sz="0" w:space="0" w:color="auto"/>
      </w:divBdr>
    </w:div>
    <w:div w:id="568728191">
      <w:bodyDiv w:val="1"/>
      <w:marLeft w:val="0"/>
      <w:marRight w:val="0"/>
      <w:marTop w:val="0"/>
      <w:marBottom w:val="0"/>
      <w:divBdr>
        <w:top w:val="none" w:sz="0" w:space="0" w:color="auto"/>
        <w:left w:val="none" w:sz="0" w:space="0" w:color="auto"/>
        <w:bottom w:val="none" w:sz="0" w:space="0" w:color="auto"/>
        <w:right w:val="none" w:sz="0" w:space="0" w:color="auto"/>
      </w:divBdr>
    </w:div>
    <w:div w:id="577594728">
      <w:bodyDiv w:val="1"/>
      <w:marLeft w:val="0"/>
      <w:marRight w:val="0"/>
      <w:marTop w:val="0"/>
      <w:marBottom w:val="0"/>
      <w:divBdr>
        <w:top w:val="none" w:sz="0" w:space="0" w:color="auto"/>
        <w:left w:val="none" w:sz="0" w:space="0" w:color="auto"/>
        <w:bottom w:val="none" w:sz="0" w:space="0" w:color="auto"/>
        <w:right w:val="none" w:sz="0" w:space="0" w:color="auto"/>
      </w:divBdr>
    </w:div>
    <w:div w:id="589392220">
      <w:bodyDiv w:val="1"/>
      <w:marLeft w:val="0"/>
      <w:marRight w:val="0"/>
      <w:marTop w:val="0"/>
      <w:marBottom w:val="0"/>
      <w:divBdr>
        <w:top w:val="none" w:sz="0" w:space="0" w:color="auto"/>
        <w:left w:val="none" w:sz="0" w:space="0" w:color="auto"/>
        <w:bottom w:val="none" w:sz="0" w:space="0" w:color="auto"/>
        <w:right w:val="none" w:sz="0" w:space="0" w:color="auto"/>
      </w:divBdr>
    </w:div>
    <w:div w:id="608203161">
      <w:bodyDiv w:val="1"/>
      <w:marLeft w:val="0"/>
      <w:marRight w:val="0"/>
      <w:marTop w:val="0"/>
      <w:marBottom w:val="0"/>
      <w:divBdr>
        <w:top w:val="none" w:sz="0" w:space="0" w:color="auto"/>
        <w:left w:val="none" w:sz="0" w:space="0" w:color="auto"/>
        <w:bottom w:val="none" w:sz="0" w:space="0" w:color="auto"/>
        <w:right w:val="none" w:sz="0" w:space="0" w:color="auto"/>
      </w:divBdr>
    </w:div>
    <w:div w:id="609360329">
      <w:bodyDiv w:val="1"/>
      <w:marLeft w:val="0"/>
      <w:marRight w:val="0"/>
      <w:marTop w:val="0"/>
      <w:marBottom w:val="0"/>
      <w:divBdr>
        <w:top w:val="none" w:sz="0" w:space="0" w:color="auto"/>
        <w:left w:val="none" w:sz="0" w:space="0" w:color="auto"/>
        <w:bottom w:val="none" w:sz="0" w:space="0" w:color="auto"/>
        <w:right w:val="none" w:sz="0" w:space="0" w:color="auto"/>
      </w:divBdr>
    </w:div>
    <w:div w:id="632639766">
      <w:bodyDiv w:val="1"/>
      <w:marLeft w:val="0"/>
      <w:marRight w:val="0"/>
      <w:marTop w:val="0"/>
      <w:marBottom w:val="0"/>
      <w:divBdr>
        <w:top w:val="none" w:sz="0" w:space="0" w:color="auto"/>
        <w:left w:val="none" w:sz="0" w:space="0" w:color="auto"/>
        <w:bottom w:val="none" w:sz="0" w:space="0" w:color="auto"/>
        <w:right w:val="none" w:sz="0" w:space="0" w:color="auto"/>
      </w:divBdr>
    </w:div>
    <w:div w:id="636491488">
      <w:bodyDiv w:val="1"/>
      <w:marLeft w:val="0"/>
      <w:marRight w:val="0"/>
      <w:marTop w:val="0"/>
      <w:marBottom w:val="0"/>
      <w:divBdr>
        <w:top w:val="none" w:sz="0" w:space="0" w:color="auto"/>
        <w:left w:val="none" w:sz="0" w:space="0" w:color="auto"/>
        <w:bottom w:val="none" w:sz="0" w:space="0" w:color="auto"/>
        <w:right w:val="none" w:sz="0" w:space="0" w:color="auto"/>
      </w:divBdr>
      <w:divsChild>
        <w:div w:id="2085644249">
          <w:marLeft w:val="0"/>
          <w:marRight w:val="0"/>
          <w:marTop w:val="0"/>
          <w:marBottom w:val="0"/>
          <w:divBdr>
            <w:top w:val="none" w:sz="0" w:space="0" w:color="auto"/>
            <w:left w:val="none" w:sz="0" w:space="0" w:color="auto"/>
            <w:bottom w:val="none" w:sz="0" w:space="0" w:color="auto"/>
            <w:right w:val="none" w:sz="0" w:space="0" w:color="auto"/>
          </w:divBdr>
          <w:divsChild>
            <w:div w:id="1455900293">
              <w:marLeft w:val="0"/>
              <w:marRight w:val="0"/>
              <w:marTop w:val="0"/>
              <w:marBottom w:val="0"/>
              <w:divBdr>
                <w:top w:val="none" w:sz="0" w:space="0" w:color="auto"/>
                <w:left w:val="none" w:sz="0" w:space="0" w:color="auto"/>
                <w:bottom w:val="none" w:sz="0" w:space="0" w:color="auto"/>
                <w:right w:val="none" w:sz="0" w:space="0" w:color="auto"/>
              </w:divBdr>
              <w:divsChild>
                <w:div w:id="181687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088135">
      <w:bodyDiv w:val="1"/>
      <w:marLeft w:val="0"/>
      <w:marRight w:val="0"/>
      <w:marTop w:val="0"/>
      <w:marBottom w:val="0"/>
      <w:divBdr>
        <w:top w:val="none" w:sz="0" w:space="0" w:color="auto"/>
        <w:left w:val="none" w:sz="0" w:space="0" w:color="auto"/>
        <w:bottom w:val="none" w:sz="0" w:space="0" w:color="auto"/>
        <w:right w:val="none" w:sz="0" w:space="0" w:color="auto"/>
      </w:divBdr>
    </w:div>
    <w:div w:id="657197141">
      <w:bodyDiv w:val="1"/>
      <w:marLeft w:val="0"/>
      <w:marRight w:val="0"/>
      <w:marTop w:val="0"/>
      <w:marBottom w:val="0"/>
      <w:divBdr>
        <w:top w:val="none" w:sz="0" w:space="0" w:color="auto"/>
        <w:left w:val="none" w:sz="0" w:space="0" w:color="auto"/>
        <w:bottom w:val="none" w:sz="0" w:space="0" w:color="auto"/>
        <w:right w:val="none" w:sz="0" w:space="0" w:color="auto"/>
      </w:divBdr>
    </w:div>
    <w:div w:id="662897765">
      <w:bodyDiv w:val="1"/>
      <w:marLeft w:val="0"/>
      <w:marRight w:val="0"/>
      <w:marTop w:val="0"/>
      <w:marBottom w:val="0"/>
      <w:divBdr>
        <w:top w:val="none" w:sz="0" w:space="0" w:color="auto"/>
        <w:left w:val="none" w:sz="0" w:space="0" w:color="auto"/>
        <w:bottom w:val="none" w:sz="0" w:space="0" w:color="auto"/>
        <w:right w:val="none" w:sz="0" w:space="0" w:color="auto"/>
      </w:divBdr>
    </w:div>
    <w:div w:id="669253760">
      <w:bodyDiv w:val="1"/>
      <w:marLeft w:val="0"/>
      <w:marRight w:val="0"/>
      <w:marTop w:val="0"/>
      <w:marBottom w:val="0"/>
      <w:divBdr>
        <w:top w:val="none" w:sz="0" w:space="0" w:color="auto"/>
        <w:left w:val="none" w:sz="0" w:space="0" w:color="auto"/>
        <w:bottom w:val="none" w:sz="0" w:space="0" w:color="auto"/>
        <w:right w:val="none" w:sz="0" w:space="0" w:color="auto"/>
      </w:divBdr>
    </w:div>
    <w:div w:id="735708351">
      <w:bodyDiv w:val="1"/>
      <w:marLeft w:val="0"/>
      <w:marRight w:val="0"/>
      <w:marTop w:val="0"/>
      <w:marBottom w:val="0"/>
      <w:divBdr>
        <w:top w:val="none" w:sz="0" w:space="0" w:color="auto"/>
        <w:left w:val="none" w:sz="0" w:space="0" w:color="auto"/>
        <w:bottom w:val="none" w:sz="0" w:space="0" w:color="auto"/>
        <w:right w:val="none" w:sz="0" w:space="0" w:color="auto"/>
      </w:divBdr>
    </w:div>
    <w:div w:id="742803369">
      <w:bodyDiv w:val="1"/>
      <w:marLeft w:val="0"/>
      <w:marRight w:val="0"/>
      <w:marTop w:val="0"/>
      <w:marBottom w:val="0"/>
      <w:divBdr>
        <w:top w:val="none" w:sz="0" w:space="0" w:color="auto"/>
        <w:left w:val="none" w:sz="0" w:space="0" w:color="auto"/>
        <w:bottom w:val="none" w:sz="0" w:space="0" w:color="auto"/>
        <w:right w:val="none" w:sz="0" w:space="0" w:color="auto"/>
      </w:divBdr>
    </w:div>
    <w:div w:id="758719214">
      <w:bodyDiv w:val="1"/>
      <w:marLeft w:val="0"/>
      <w:marRight w:val="0"/>
      <w:marTop w:val="0"/>
      <w:marBottom w:val="0"/>
      <w:divBdr>
        <w:top w:val="none" w:sz="0" w:space="0" w:color="auto"/>
        <w:left w:val="none" w:sz="0" w:space="0" w:color="auto"/>
        <w:bottom w:val="none" w:sz="0" w:space="0" w:color="auto"/>
        <w:right w:val="none" w:sz="0" w:space="0" w:color="auto"/>
      </w:divBdr>
    </w:div>
    <w:div w:id="764111209">
      <w:bodyDiv w:val="1"/>
      <w:marLeft w:val="0"/>
      <w:marRight w:val="0"/>
      <w:marTop w:val="0"/>
      <w:marBottom w:val="0"/>
      <w:divBdr>
        <w:top w:val="none" w:sz="0" w:space="0" w:color="auto"/>
        <w:left w:val="none" w:sz="0" w:space="0" w:color="auto"/>
        <w:bottom w:val="none" w:sz="0" w:space="0" w:color="auto"/>
        <w:right w:val="none" w:sz="0" w:space="0" w:color="auto"/>
      </w:divBdr>
    </w:div>
    <w:div w:id="777794291">
      <w:bodyDiv w:val="1"/>
      <w:marLeft w:val="0"/>
      <w:marRight w:val="0"/>
      <w:marTop w:val="0"/>
      <w:marBottom w:val="0"/>
      <w:divBdr>
        <w:top w:val="none" w:sz="0" w:space="0" w:color="auto"/>
        <w:left w:val="none" w:sz="0" w:space="0" w:color="auto"/>
        <w:bottom w:val="none" w:sz="0" w:space="0" w:color="auto"/>
        <w:right w:val="none" w:sz="0" w:space="0" w:color="auto"/>
      </w:divBdr>
    </w:div>
    <w:div w:id="787360920">
      <w:bodyDiv w:val="1"/>
      <w:marLeft w:val="0"/>
      <w:marRight w:val="0"/>
      <w:marTop w:val="0"/>
      <w:marBottom w:val="0"/>
      <w:divBdr>
        <w:top w:val="none" w:sz="0" w:space="0" w:color="auto"/>
        <w:left w:val="none" w:sz="0" w:space="0" w:color="auto"/>
        <w:bottom w:val="none" w:sz="0" w:space="0" w:color="auto"/>
        <w:right w:val="none" w:sz="0" w:space="0" w:color="auto"/>
      </w:divBdr>
    </w:div>
    <w:div w:id="791945707">
      <w:bodyDiv w:val="1"/>
      <w:marLeft w:val="0"/>
      <w:marRight w:val="0"/>
      <w:marTop w:val="0"/>
      <w:marBottom w:val="0"/>
      <w:divBdr>
        <w:top w:val="none" w:sz="0" w:space="0" w:color="auto"/>
        <w:left w:val="none" w:sz="0" w:space="0" w:color="auto"/>
        <w:bottom w:val="none" w:sz="0" w:space="0" w:color="auto"/>
        <w:right w:val="none" w:sz="0" w:space="0" w:color="auto"/>
      </w:divBdr>
    </w:div>
    <w:div w:id="802624514">
      <w:bodyDiv w:val="1"/>
      <w:marLeft w:val="0"/>
      <w:marRight w:val="0"/>
      <w:marTop w:val="0"/>
      <w:marBottom w:val="0"/>
      <w:divBdr>
        <w:top w:val="none" w:sz="0" w:space="0" w:color="auto"/>
        <w:left w:val="none" w:sz="0" w:space="0" w:color="auto"/>
        <w:bottom w:val="none" w:sz="0" w:space="0" w:color="auto"/>
        <w:right w:val="none" w:sz="0" w:space="0" w:color="auto"/>
      </w:divBdr>
      <w:divsChild>
        <w:div w:id="651639376">
          <w:marLeft w:val="0"/>
          <w:marRight w:val="0"/>
          <w:marTop w:val="0"/>
          <w:marBottom w:val="0"/>
          <w:divBdr>
            <w:top w:val="none" w:sz="0" w:space="0" w:color="auto"/>
            <w:left w:val="none" w:sz="0" w:space="0" w:color="auto"/>
            <w:bottom w:val="none" w:sz="0" w:space="0" w:color="auto"/>
            <w:right w:val="none" w:sz="0" w:space="0" w:color="auto"/>
          </w:divBdr>
          <w:divsChild>
            <w:div w:id="215628745">
              <w:marLeft w:val="0"/>
              <w:marRight w:val="0"/>
              <w:marTop w:val="0"/>
              <w:marBottom w:val="0"/>
              <w:divBdr>
                <w:top w:val="none" w:sz="0" w:space="0" w:color="auto"/>
                <w:left w:val="none" w:sz="0" w:space="0" w:color="auto"/>
                <w:bottom w:val="none" w:sz="0" w:space="0" w:color="auto"/>
                <w:right w:val="none" w:sz="0" w:space="0" w:color="auto"/>
              </w:divBdr>
              <w:divsChild>
                <w:div w:id="59011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374149">
      <w:bodyDiv w:val="1"/>
      <w:marLeft w:val="0"/>
      <w:marRight w:val="0"/>
      <w:marTop w:val="0"/>
      <w:marBottom w:val="0"/>
      <w:divBdr>
        <w:top w:val="none" w:sz="0" w:space="0" w:color="auto"/>
        <w:left w:val="none" w:sz="0" w:space="0" w:color="auto"/>
        <w:bottom w:val="none" w:sz="0" w:space="0" w:color="auto"/>
        <w:right w:val="none" w:sz="0" w:space="0" w:color="auto"/>
      </w:divBdr>
      <w:divsChild>
        <w:div w:id="261687394">
          <w:marLeft w:val="0"/>
          <w:marRight w:val="0"/>
          <w:marTop w:val="0"/>
          <w:marBottom w:val="0"/>
          <w:divBdr>
            <w:top w:val="none" w:sz="0" w:space="0" w:color="auto"/>
            <w:left w:val="none" w:sz="0" w:space="0" w:color="auto"/>
            <w:bottom w:val="none" w:sz="0" w:space="0" w:color="auto"/>
            <w:right w:val="none" w:sz="0" w:space="0" w:color="auto"/>
          </w:divBdr>
          <w:divsChild>
            <w:div w:id="903296604">
              <w:marLeft w:val="0"/>
              <w:marRight w:val="0"/>
              <w:marTop w:val="0"/>
              <w:marBottom w:val="0"/>
              <w:divBdr>
                <w:top w:val="none" w:sz="0" w:space="0" w:color="auto"/>
                <w:left w:val="none" w:sz="0" w:space="0" w:color="auto"/>
                <w:bottom w:val="none" w:sz="0" w:space="0" w:color="auto"/>
                <w:right w:val="none" w:sz="0" w:space="0" w:color="auto"/>
              </w:divBdr>
              <w:divsChild>
                <w:div w:id="4733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000721">
      <w:bodyDiv w:val="1"/>
      <w:marLeft w:val="0"/>
      <w:marRight w:val="0"/>
      <w:marTop w:val="0"/>
      <w:marBottom w:val="0"/>
      <w:divBdr>
        <w:top w:val="none" w:sz="0" w:space="0" w:color="auto"/>
        <w:left w:val="none" w:sz="0" w:space="0" w:color="auto"/>
        <w:bottom w:val="none" w:sz="0" w:space="0" w:color="auto"/>
        <w:right w:val="none" w:sz="0" w:space="0" w:color="auto"/>
      </w:divBdr>
      <w:divsChild>
        <w:div w:id="1513448953">
          <w:marLeft w:val="0"/>
          <w:marRight w:val="0"/>
          <w:marTop w:val="0"/>
          <w:marBottom w:val="0"/>
          <w:divBdr>
            <w:top w:val="none" w:sz="0" w:space="0" w:color="auto"/>
            <w:left w:val="none" w:sz="0" w:space="0" w:color="auto"/>
            <w:bottom w:val="none" w:sz="0" w:space="0" w:color="auto"/>
            <w:right w:val="none" w:sz="0" w:space="0" w:color="auto"/>
          </w:divBdr>
          <w:divsChild>
            <w:div w:id="2075816036">
              <w:marLeft w:val="0"/>
              <w:marRight w:val="0"/>
              <w:marTop w:val="0"/>
              <w:marBottom w:val="0"/>
              <w:divBdr>
                <w:top w:val="none" w:sz="0" w:space="0" w:color="auto"/>
                <w:left w:val="none" w:sz="0" w:space="0" w:color="auto"/>
                <w:bottom w:val="none" w:sz="0" w:space="0" w:color="auto"/>
                <w:right w:val="none" w:sz="0" w:space="0" w:color="auto"/>
              </w:divBdr>
              <w:divsChild>
                <w:div w:id="201006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333587">
      <w:bodyDiv w:val="1"/>
      <w:marLeft w:val="0"/>
      <w:marRight w:val="0"/>
      <w:marTop w:val="0"/>
      <w:marBottom w:val="0"/>
      <w:divBdr>
        <w:top w:val="none" w:sz="0" w:space="0" w:color="auto"/>
        <w:left w:val="none" w:sz="0" w:space="0" w:color="auto"/>
        <w:bottom w:val="none" w:sz="0" w:space="0" w:color="auto"/>
        <w:right w:val="none" w:sz="0" w:space="0" w:color="auto"/>
      </w:divBdr>
      <w:divsChild>
        <w:div w:id="483160780">
          <w:marLeft w:val="0"/>
          <w:marRight w:val="0"/>
          <w:marTop w:val="0"/>
          <w:marBottom w:val="0"/>
          <w:divBdr>
            <w:top w:val="none" w:sz="0" w:space="0" w:color="auto"/>
            <w:left w:val="none" w:sz="0" w:space="0" w:color="auto"/>
            <w:bottom w:val="none" w:sz="0" w:space="0" w:color="auto"/>
            <w:right w:val="none" w:sz="0" w:space="0" w:color="auto"/>
          </w:divBdr>
          <w:divsChild>
            <w:div w:id="1097170617">
              <w:marLeft w:val="0"/>
              <w:marRight w:val="0"/>
              <w:marTop w:val="0"/>
              <w:marBottom w:val="0"/>
              <w:divBdr>
                <w:top w:val="none" w:sz="0" w:space="0" w:color="auto"/>
                <w:left w:val="none" w:sz="0" w:space="0" w:color="auto"/>
                <w:bottom w:val="none" w:sz="0" w:space="0" w:color="auto"/>
                <w:right w:val="none" w:sz="0" w:space="0" w:color="auto"/>
              </w:divBdr>
              <w:divsChild>
                <w:div w:id="780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022013">
      <w:bodyDiv w:val="1"/>
      <w:marLeft w:val="0"/>
      <w:marRight w:val="0"/>
      <w:marTop w:val="0"/>
      <w:marBottom w:val="0"/>
      <w:divBdr>
        <w:top w:val="none" w:sz="0" w:space="0" w:color="auto"/>
        <w:left w:val="none" w:sz="0" w:space="0" w:color="auto"/>
        <w:bottom w:val="none" w:sz="0" w:space="0" w:color="auto"/>
        <w:right w:val="none" w:sz="0" w:space="0" w:color="auto"/>
      </w:divBdr>
    </w:div>
    <w:div w:id="854803661">
      <w:bodyDiv w:val="1"/>
      <w:marLeft w:val="0"/>
      <w:marRight w:val="0"/>
      <w:marTop w:val="0"/>
      <w:marBottom w:val="0"/>
      <w:divBdr>
        <w:top w:val="none" w:sz="0" w:space="0" w:color="auto"/>
        <w:left w:val="none" w:sz="0" w:space="0" w:color="auto"/>
        <w:bottom w:val="none" w:sz="0" w:space="0" w:color="auto"/>
        <w:right w:val="none" w:sz="0" w:space="0" w:color="auto"/>
      </w:divBdr>
    </w:div>
    <w:div w:id="858007763">
      <w:bodyDiv w:val="1"/>
      <w:marLeft w:val="0"/>
      <w:marRight w:val="0"/>
      <w:marTop w:val="0"/>
      <w:marBottom w:val="0"/>
      <w:divBdr>
        <w:top w:val="none" w:sz="0" w:space="0" w:color="auto"/>
        <w:left w:val="none" w:sz="0" w:space="0" w:color="auto"/>
        <w:bottom w:val="none" w:sz="0" w:space="0" w:color="auto"/>
        <w:right w:val="none" w:sz="0" w:space="0" w:color="auto"/>
      </w:divBdr>
      <w:divsChild>
        <w:div w:id="1720201317">
          <w:marLeft w:val="0"/>
          <w:marRight w:val="0"/>
          <w:marTop w:val="0"/>
          <w:marBottom w:val="0"/>
          <w:divBdr>
            <w:top w:val="none" w:sz="0" w:space="0" w:color="auto"/>
            <w:left w:val="none" w:sz="0" w:space="0" w:color="auto"/>
            <w:bottom w:val="none" w:sz="0" w:space="0" w:color="auto"/>
            <w:right w:val="none" w:sz="0" w:space="0" w:color="auto"/>
          </w:divBdr>
          <w:divsChild>
            <w:div w:id="1485313308">
              <w:marLeft w:val="0"/>
              <w:marRight w:val="0"/>
              <w:marTop w:val="0"/>
              <w:marBottom w:val="0"/>
              <w:divBdr>
                <w:top w:val="none" w:sz="0" w:space="0" w:color="auto"/>
                <w:left w:val="none" w:sz="0" w:space="0" w:color="auto"/>
                <w:bottom w:val="none" w:sz="0" w:space="0" w:color="auto"/>
                <w:right w:val="none" w:sz="0" w:space="0" w:color="auto"/>
              </w:divBdr>
              <w:divsChild>
                <w:div w:id="89963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417506">
      <w:bodyDiv w:val="1"/>
      <w:marLeft w:val="0"/>
      <w:marRight w:val="0"/>
      <w:marTop w:val="0"/>
      <w:marBottom w:val="0"/>
      <w:divBdr>
        <w:top w:val="none" w:sz="0" w:space="0" w:color="auto"/>
        <w:left w:val="none" w:sz="0" w:space="0" w:color="auto"/>
        <w:bottom w:val="none" w:sz="0" w:space="0" w:color="auto"/>
        <w:right w:val="none" w:sz="0" w:space="0" w:color="auto"/>
      </w:divBdr>
      <w:divsChild>
        <w:div w:id="1207445284">
          <w:marLeft w:val="0"/>
          <w:marRight w:val="0"/>
          <w:marTop w:val="0"/>
          <w:marBottom w:val="0"/>
          <w:divBdr>
            <w:top w:val="none" w:sz="0" w:space="0" w:color="auto"/>
            <w:left w:val="none" w:sz="0" w:space="0" w:color="auto"/>
            <w:bottom w:val="none" w:sz="0" w:space="0" w:color="auto"/>
            <w:right w:val="none" w:sz="0" w:space="0" w:color="auto"/>
          </w:divBdr>
          <w:divsChild>
            <w:div w:id="1462066835">
              <w:marLeft w:val="0"/>
              <w:marRight w:val="0"/>
              <w:marTop w:val="0"/>
              <w:marBottom w:val="0"/>
              <w:divBdr>
                <w:top w:val="none" w:sz="0" w:space="0" w:color="auto"/>
                <w:left w:val="none" w:sz="0" w:space="0" w:color="auto"/>
                <w:bottom w:val="none" w:sz="0" w:space="0" w:color="auto"/>
                <w:right w:val="none" w:sz="0" w:space="0" w:color="auto"/>
              </w:divBdr>
              <w:divsChild>
                <w:div w:id="140923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609250">
      <w:bodyDiv w:val="1"/>
      <w:marLeft w:val="0"/>
      <w:marRight w:val="0"/>
      <w:marTop w:val="0"/>
      <w:marBottom w:val="0"/>
      <w:divBdr>
        <w:top w:val="none" w:sz="0" w:space="0" w:color="auto"/>
        <w:left w:val="none" w:sz="0" w:space="0" w:color="auto"/>
        <w:bottom w:val="none" w:sz="0" w:space="0" w:color="auto"/>
        <w:right w:val="none" w:sz="0" w:space="0" w:color="auto"/>
      </w:divBdr>
    </w:div>
    <w:div w:id="884833817">
      <w:bodyDiv w:val="1"/>
      <w:marLeft w:val="0"/>
      <w:marRight w:val="0"/>
      <w:marTop w:val="0"/>
      <w:marBottom w:val="0"/>
      <w:divBdr>
        <w:top w:val="none" w:sz="0" w:space="0" w:color="auto"/>
        <w:left w:val="none" w:sz="0" w:space="0" w:color="auto"/>
        <w:bottom w:val="none" w:sz="0" w:space="0" w:color="auto"/>
        <w:right w:val="none" w:sz="0" w:space="0" w:color="auto"/>
      </w:divBdr>
    </w:div>
    <w:div w:id="898786110">
      <w:bodyDiv w:val="1"/>
      <w:marLeft w:val="0"/>
      <w:marRight w:val="0"/>
      <w:marTop w:val="0"/>
      <w:marBottom w:val="0"/>
      <w:divBdr>
        <w:top w:val="none" w:sz="0" w:space="0" w:color="auto"/>
        <w:left w:val="none" w:sz="0" w:space="0" w:color="auto"/>
        <w:bottom w:val="none" w:sz="0" w:space="0" w:color="auto"/>
        <w:right w:val="none" w:sz="0" w:space="0" w:color="auto"/>
      </w:divBdr>
    </w:div>
    <w:div w:id="907573118">
      <w:bodyDiv w:val="1"/>
      <w:marLeft w:val="0"/>
      <w:marRight w:val="0"/>
      <w:marTop w:val="0"/>
      <w:marBottom w:val="0"/>
      <w:divBdr>
        <w:top w:val="none" w:sz="0" w:space="0" w:color="auto"/>
        <w:left w:val="none" w:sz="0" w:space="0" w:color="auto"/>
        <w:bottom w:val="none" w:sz="0" w:space="0" w:color="auto"/>
        <w:right w:val="none" w:sz="0" w:space="0" w:color="auto"/>
      </w:divBdr>
    </w:div>
    <w:div w:id="942956323">
      <w:bodyDiv w:val="1"/>
      <w:marLeft w:val="0"/>
      <w:marRight w:val="0"/>
      <w:marTop w:val="0"/>
      <w:marBottom w:val="0"/>
      <w:divBdr>
        <w:top w:val="none" w:sz="0" w:space="0" w:color="auto"/>
        <w:left w:val="none" w:sz="0" w:space="0" w:color="auto"/>
        <w:bottom w:val="none" w:sz="0" w:space="0" w:color="auto"/>
        <w:right w:val="none" w:sz="0" w:space="0" w:color="auto"/>
      </w:divBdr>
    </w:div>
    <w:div w:id="961765645">
      <w:bodyDiv w:val="1"/>
      <w:marLeft w:val="0"/>
      <w:marRight w:val="0"/>
      <w:marTop w:val="0"/>
      <w:marBottom w:val="0"/>
      <w:divBdr>
        <w:top w:val="none" w:sz="0" w:space="0" w:color="auto"/>
        <w:left w:val="none" w:sz="0" w:space="0" w:color="auto"/>
        <w:bottom w:val="none" w:sz="0" w:space="0" w:color="auto"/>
        <w:right w:val="none" w:sz="0" w:space="0" w:color="auto"/>
      </w:divBdr>
    </w:div>
    <w:div w:id="1004169305">
      <w:bodyDiv w:val="1"/>
      <w:marLeft w:val="0"/>
      <w:marRight w:val="0"/>
      <w:marTop w:val="0"/>
      <w:marBottom w:val="0"/>
      <w:divBdr>
        <w:top w:val="none" w:sz="0" w:space="0" w:color="auto"/>
        <w:left w:val="none" w:sz="0" w:space="0" w:color="auto"/>
        <w:bottom w:val="none" w:sz="0" w:space="0" w:color="auto"/>
        <w:right w:val="none" w:sz="0" w:space="0" w:color="auto"/>
      </w:divBdr>
    </w:div>
    <w:div w:id="1012612864">
      <w:bodyDiv w:val="1"/>
      <w:marLeft w:val="0"/>
      <w:marRight w:val="0"/>
      <w:marTop w:val="0"/>
      <w:marBottom w:val="0"/>
      <w:divBdr>
        <w:top w:val="none" w:sz="0" w:space="0" w:color="auto"/>
        <w:left w:val="none" w:sz="0" w:space="0" w:color="auto"/>
        <w:bottom w:val="none" w:sz="0" w:space="0" w:color="auto"/>
        <w:right w:val="none" w:sz="0" w:space="0" w:color="auto"/>
      </w:divBdr>
    </w:div>
    <w:div w:id="1019162496">
      <w:bodyDiv w:val="1"/>
      <w:marLeft w:val="0"/>
      <w:marRight w:val="0"/>
      <w:marTop w:val="0"/>
      <w:marBottom w:val="0"/>
      <w:divBdr>
        <w:top w:val="none" w:sz="0" w:space="0" w:color="auto"/>
        <w:left w:val="none" w:sz="0" w:space="0" w:color="auto"/>
        <w:bottom w:val="none" w:sz="0" w:space="0" w:color="auto"/>
        <w:right w:val="none" w:sz="0" w:space="0" w:color="auto"/>
      </w:divBdr>
    </w:div>
    <w:div w:id="1048994042">
      <w:bodyDiv w:val="1"/>
      <w:marLeft w:val="0"/>
      <w:marRight w:val="0"/>
      <w:marTop w:val="0"/>
      <w:marBottom w:val="0"/>
      <w:divBdr>
        <w:top w:val="none" w:sz="0" w:space="0" w:color="auto"/>
        <w:left w:val="none" w:sz="0" w:space="0" w:color="auto"/>
        <w:bottom w:val="none" w:sz="0" w:space="0" w:color="auto"/>
        <w:right w:val="none" w:sz="0" w:space="0" w:color="auto"/>
      </w:divBdr>
      <w:divsChild>
        <w:div w:id="296420868">
          <w:marLeft w:val="0"/>
          <w:marRight w:val="0"/>
          <w:marTop w:val="0"/>
          <w:marBottom w:val="0"/>
          <w:divBdr>
            <w:top w:val="none" w:sz="0" w:space="0" w:color="auto"/>
            <w:left w:val="none" w:sz="0" w:space="0" w:color="auto"/>
            <w:bottom w:val="none" w:sz="0" w:space="0" w:color="auto"/>
            <w:right w:val="none" w:sz="0" w:space="0" w:color="auto"/>
          </w:divBdr>
          <w:divsChild>
            <w:div w:id="612833989">
              <w:marLeft w:val="0"/>
              <w:marRight w:val="0"/>
              <w:marTop w:val="0"/>
              <w:marBottom w:val="0"/>
              <w:divBdr>
                <w:top w:val="none" w:sz="0" w:space="0" w:color="auto"/>
                <w:left w:val="none" w:sz="0" w:space="0" w:color="auto"/>
                <w:bottom w:val="none" w:sz="0" w:space="0" w:color="auto"/>
                <w:right w:val="none" w:sz="0" w:space="0" w:color="auto"/>
              </w:divBdr>
              <w:divsChild>
                <w:div w:id="55058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067450">
      <w:bodyDiv w:val="1"/>
      <w:marLeft w:val="0"/>
      <w:marRight w:val="0"/>
      <w:marTop w:val="0"/>
      <w:marBottom w:val="0"/>
      <w:divBdr>
        <w:top w:val="none" w:sz="0" w:space="0" w:color="auto"/>
        <w:left w:val="none" w:sz="0" w:space="0" w:color="auto"/>
        <w:bottom w:val="none" w:sz="0" w:space="0" w:color="auto"/>
        <w:right w:val="none" w:sz="0" w:space="0" w:color="auto"/>
      </w:divBdr>
    </w:div>
    <w:div w:id="1057627607">
      <w:bodyDiv w:val="1"/>
      <w:marLeft w:val="0"/>
      <w:marRight w:val="0"/>
      <w:marTop w:val="0"/>
      <w:marBottom w:val="0"/>
      <w:divBdr>
        <w:top w:val="none" w:sz="0" w:space="0" w:color="auto"/>
        <w:left w:val="none" w:sz="0" w:space="0" w:color="auto"/>
        <w:bottom w:val="none" w:sz="0" w:space="0" w:color="auto"/>
        <w:right w:val="none" w:sz="0" w:space="0" w:color="auto"/>
      </w:divBdr>
    </w:div>
    <w:div w:id="1086998708">
      <w:bodyDiv w:val="1"/>
      <w:marLeft w:val="0"/>
      <w:marRight w:val="0"/>
      <w:marTop w:val="0"/>
      <w:marBottom w:val="0"/>
      <w:divBdr>
        <w:top w:val="none" w:sz="0" w:space="0" w:color="auto"/>
        <w:left w:val="none" w:sz="0" w:space="0" w:color="auto"/>
        <w:bottom w:val="none" w:sz="0" w:space="0" w:color="auto"/>
        <w:right w:val="none" w:sz="0" w:space="0" w:color="auto"/>
      </w:divBdr>
    </w:div>
    <w:div w:id="1099909461">
      <w:bodyDiv w:val="1"/>
      <w:marLeft w:val="0"/>
      <w:marRight w:val="0"/>
      <w:marTop w:val="0"/>
      <w:marBottom w:val="0"/>
      <w:divBdr>
        <w:top w:val="none" w:sz="0" w:space="0" w:color="auto"/>
        <w:left w:val="none" w:sz="0" w:space="0" w:color="auto"/>
        <w:bottom w:val="none" w:sz="0" w:space="0" w:color="auto"/>
        <w:right w:val="none" w:sz="0" w:space="0" w:color="auto"/>
      </w:divBdr>
    </w:div>
    <w:div w:id="1118110791">
      <w:bodyDiv w:val="1"/>
      <w:marLeft w:val="0"/>
      <w:marRight w:val="0"/>
      <w:marTop w:val="0"/>
      <w:marBottom w:val="0"/>
      <w:divBdr>
        <w:top w:val="none" w:sz="0" w:space="0" w:color="auto"/>
        <w:left w:val="none" w:sz="0" w:space="0" w:color="auto"/>
        <w:bottom w:val="none" w:sz="0" w:space="0" w:color="auto"/>
        <w:right w:val="none" w:sz="0" w:space="0" w:color="auto"/>
      </w:divBdr>
    </w:div>
    <w:div w:id="1141314473">
      <w:bodyDiv w:val="1"/>
      <w:marLeft w:val="0"/>
      <w:marRight w:val="0"/>
      <w:marTop w:val="0"/>
      <w:marBottom w:val="0"/>
      <w:divBdr>
        <w:top w:val="none" w:sz="0" w:space="0" w:color="auto"/>
        <w:left w:val="none" w:sz="0" w:space="0" w:color="auto"/>
        <w:bottom w:val="none" w:sz="0" w:space="0" w:color="auto"/>
        <w:right w:val="none" w:sz="0" w:space="0" w:color="auto"/>
      </w:divBdr>
    </w:div>
    <w:div w:id="1144933169">
      <w:bodyDiv w:val="1"/>
      <w:marLeft w:val="0"/>
      <w:marRight w:val="0"/>
      <w:marTop w:val="0"/>
      <w:marBottom w:val="0"/>
      <w:divBdr>
        <w:top w:val="none" w:sz="0" w:space="0" w:color="auto"/>
        <w:left w:val="none" w:sz="0" w:space="0" w:color="auto"/>
        <w:bottom w:val="none" w:sz="0" w:space="0" w:color="auto"/>
        <w:right w:val="none" w:sz="0" w:space="0" w:color="auto"/>
      </w:divBdr>
    </w:div>
    <w:div w:id="1179543656">
      <w:bodyDiv w:val="1"/>
      <w:marLeft w:val="0"/>
      <w:marRight w:val="0"/>
      <w:marTop w:val="0"/>
      <w:marBottom w:val="0"/>
      <w:divBdr>
        <w:top w:val="none" w:sz="0" w:space="0" w:color="auto"/>
        <w:left w:val="none" w:sz="0" w:space="0" w:color="auto"/>
        <w:bottom w:val="none" w:sz="0" w:space="0" w:color="auto"/>
        <w:right w:val="none" w:sz="0" w:space="0" w:color="auto"/>
      </w:divBdr>
    </w:div>
    <w:div w:id="1183324925">
      <w:bodyDiv w:val="1"/>
      <w:marLeft w:val="0"/>
      <w:marRight w:val="0"/>
      <w:marTop w:val="0"/>
      <w:marBottom w:val="0"/>
      <w:divBdr>
        <w:top w:val="none" w:sz="0" w:space="0" w:color="auto"/>
        <w:left w:val="none" w:sz="0" w:space="0" w:color="auto"/>
        <w:bottom w:val="none" w:sz="0" w:space="0" w:color="auto"/>
        <w:right w:val="none" w:sz="0" w:space="0" w:color="auto"/>
      </w:divBdr>
    </w:div>
    <w:div w:id="1189416514">
      <w:bodyDiv w:val="1"/>
      <w:marLeft w:val="0"/>
      <w:marRight w:val="0"/>
      <w:marTop w:val="0"/>
      <w:marBottom w:val="0"/>
      <w:divBdr>
        <w:top w:val="none" w:sz="0" w:space="0" w:color="auto"/>
        <w:left w:val="none" w:sz="0" w:space="0" w:color="auto"/>
        <w:bottom w:val="none" w:sz="0" w:space="0" w:color="auto"/>
        <w:right w:val="none" w:sz="0" w:space="0" w:color="auto"/>
      </w:divBdr>
    </w:div>
    <w:div w:id="1255822555">
      <w:bodyDiv w:val="1"/>
      <w:marLeft w:val="0"/>
      <w:marRight w:val="0"/>
      <w:marTop w:val="0"/>
      <w:marBottom w:val="0"/>
      <w:divBdr>
        <w:top w:val="none" w:sz="0" w:space="0" w:color="auto"/>
        <w:left w:val="none" w:sz="0" w:space="0" w:color="auto"/>
        <w:bottom w:val="none" w:sz="0" w:space="0" w:color="auto"/>
        <w:right w:val="none" w:sz="0" w:space="0" w:color="auto"/>
      </w:divBdr>
      <w:divsChild>
        <w:div w:id="1479613083">
          <w:marLeft w:val="0"/>
          <w:marRight w:val="0"/>
          <w:marTop w:val="0"/>
          <w:marBottom w:val="0"/>
          <w:divBdr>
            <w:top w:val="none" w:sz="0" w:space="0" w:color="auto"/>
            <w:left w:val="none" w:sz="0" w:space="0" w:color="auto"/>
            <w:bottom w:val="none" w:sz="0" w:space="0" w:color="auto"/>
            <w:right w:val="none" w:sz="0" w:space="0" w:color="auto"/>
          </w:divBdr>
          <w:divsChild>
            <w:div w:id="1466465057">
              <w:marLeft w:val="0"/>
              <w:marRight w:val="0"/>
              <w:marTop w:val="0"/>
              <w:marBottom w:val="0"/>
              <w:divBdr>
                <w:top w:val="none" w:sz="0" w:space="0" w:color="auto"/>
                <w:left w:val="none" w:sz="0" w:space="0" w:color="auto"/>
                <w:bottom w:val="none" w:sz="0" w:space="0" w:color="auto"/>
                <w:right w:val="none" w:sz="0" w:space="0" w:color="auto"/>
              </w:divBdr>
              <w:divsChild>
                <w:div w:id="147294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219812">
      <w:bodyDiv w:val="1"/>
      <w:marLeft w:val="0"/>
      <w:marRight w:val="0"/>
      <w:marTop w:val="0"/>
      <w:marBottom w:val="0"/>
      <w:divBdr>
        <w:top w:val="none" w:sz="0" w:space="0" w:color="auto"/>
        <w:left w:val="none" w:sz="0" w:space="0" w:color="auto"/>
        <w:bottom w:val="none" w:sz="0" w:space="0" w:color="auto"/>
        <w:right w:val="none" w:sz="0" w:space="0" w:color="auto"/>
      </w:divBdr>
      <w:divsChild>
        <w:div w:id="1789815681">
          <w:marLeft w:val="0"/>
          <w:marRight w:val="0"/>
          <w:marTop w:val="0"/>
          <w:marBottom w:val="0"/>
          <w:divBdr>
            <w:top w:val="none" w:sz="0" w:space="0" w:color="auto"/>
            <w:left w:val="none" w:sz="0" w:space="0" w:color="auto"/>
            <w:bottom w:val="none" w:sz="0" w:space="0" w:color="auto"/>
            <w:right w:val="none" w:sz="0" w:space="0" w:color="auto"/>
          </w:divBdr>
          <w:divsChild>
            <w:div w:id="2132085203">
              <w:marLeft w:val="0"/>
              <w:marRight w:val="0"/>
              <w:marTop w:val="0"/>
              <w:marBottom w:val="0"/>
              <w:divBdr>
                <w:top w:val="none" w:sz="0" w:space="0" w:color="auto"/>
                <w:left w:val="none" w:sz="0" w:space="0" w:color="auto"/>
                <w:bottom w:val="none" w:sz="0" w:space="0" w:color="auto"/>
                <w:right w:val="none" w:sz="0" w:space="0" w:color="auto"/>
              </w:divBdr>
              <w:divsChild>
                <w:div w:id="183698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611469">
      <w:bodyDiv w:val="1"/>
      <w:marLeft w:val="0"/>
      <w:marRight w:val="0"/>
      <w:marTop w:val="0"/>
      <w:marBottom w:val="0"/>
      <w:divBdr>
        <w:top w:val="none" w:sz="0" w:space="0" w:color="auto"/>
        <w:left w:val="none" w:sz="0" w:space="0" w:color="auto"/>
        <w:bottom w:val="none" w:sz="0" w:space="0" w:color="auto"/>
        <w:right w:val="none" w:sz="0" w:space="0" w:color="auto"/>
      </w:divBdr>
    </w:div>
    <w:div w:id="1285040067">
      <w:bodyDiv w:val="1"/>
      <w:marLeft w:val="0"/>
      <w:marRight w:val="0"/>
      <w:marTop w:val="0"/>
      <w:marBottom w:val="0"/>
      <w:divBdr>
        <w:top w:val="none" w:sz="0" w:space="0" w:color="auto"/>
        <w:left w:val="none" w:sz="0" w:space="0" w:color="auto"/>
        <w:bottom w:val="none" w:sz="0" w:space="0" w:color="auto"/>
        <w:right w:val="none" w:sz="0" w:space="0" w:color="auto"/>
      </w:divBdr>
    </w:div>
    <w:div w:id="1292052113">
      <w:bodyDiv w:val="1"/>
      <w:marLeft w:val="0"/>
      <w:marRight w:val="0"/>
      <w:marTop w:val="0"/>
      <w:marBottom w:val="0"/>
      <w:divBdr>
        <w:top w:val="none" w:sz="0" w:space="0" w:color="auto"/>
        <w:left w:val="none" w:sz="0" w:space="0" w:color="auto"/>
        <w:bottom w:val="none" w:sz="0" w:space="0" w:color="auto"/>
        <w:right w:val="none" w:sz="0" w:space="0" w:color="auto"/>
      </w:divBdr>
      <w:divsChild>
        <w:div w:id="444082684">
          <w:marLeft w:val="0"/>
          <w:marRight w:val="0"/>
          <w:marTop w:val="0"/>
          <w:marBottom w:val="0"/>
          <w:divBdr>
            <w:top w:val="none" w:sz="0" w:space="0" w:color="auto"/>
            <w:left w:val="none" w:sz="0" w:space="0" w:color="auto"/>
            <w:bottom w:val="none" w:sz="0" w:space="0" w:color="auto"/>
            <w:right w:val="none" w:sz="0" w:space="0" w:color="auto"/>
          </w:divBdr>
          <w:divsChild>
            <w:div w:id="415902467">
              <w:marLeft w:val="0"/>
              <w:marRight w:val="0"/>
              <w:marTop w:val="0"/>
              <w:marBottom w:val="0"/>
              <w:divBdr>
                <w:top w:val="none" w:sz="0" w:space="0" w:color="auto"/>
                <w:left w:val="none" w:sz="0" w:space="0" w:color="auto"/>
                <w:bottom w:val="none" w:sz="0" w:space="0" w:color="auto"/>
                <w:right w:val="none" w:sz="0" w:space="0" w:color="auto"/>
              </w:divBdr>
              <w:divsChild>
                <w:div w:id="190031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638483">
      <w:bodyDiv w:val="1"/>
      <w:marLeft w:val="0"/>
      <w:marRight w:val="0"/>
      <w:marTop w:val="0"/>
      <w:marBottom w:val="0"/>
      <w:divBdr>
        <w:top w:val="none" w:sz="0" w:space="0" w:color="auto"/>
        <w:left w:val="none" w:sz="0" w:space="0" w:color="auto"/>
        <w:bottom w:val="none" w:sz="0" w:space="0" w:color="auto"/>
        <w:right w:val="none" w:sz="0" w:space="0" w:color="auto"/>
      </w:divBdr>
    </w:div>
    <w:div w:id="1302349788">
      <w:bodyDiv w:val="1"/>
      <w:marLeft w:val="0"/>
      <w:marRight w:val="0"/>
      <w:marTop w:val="0"/>
      <w:marBottom w:val="0"/>
      <w:divBdr>
        <w:top w:val="none" w:sz="0" w:space="0" w:color="auto"/>
        <w:left w:val="none" w:sz="0" w:space="0" w:color="auto"/>
        <w:bottom w:val="none" w:sz="0" w:space="0" w:color="auto"/>
        <w:right w:val="none" w:sz="0" w:space="0" w:color="auto"/>
      </w:divBdr>
      <w:divsChild>
        <w:div w:id="1794134934">
          <w:marLeft w:val="0"/>
          <w:marRight w:val="0"/>
          <w:marTop w:val="0"/>
          <w:marBottom w:val="0"/>
          <w:divBdr>
            <w:top w:val="none" w:sz="0" w:space="0" w:color="auto"/>
            <w:left w:val="none" w:sz="0" w:space="0" w:color="auto"/>
            <w:bottom w:val="none" w:sz="0" w:space="0" w:color="auto"/>
            <w:right w:val="none" w:sz="0" w:space="0" w:color="auto"/>
          </w:divBdr>
          <w:divsChild>
            <w:div w:id="211698569">
              <w:marLeft w:val="0"/>
              <w:marRight w:val="0"/>
              <w:marTop w:val="0"/>
              <w:marBottom w:val="0"/>
              <w:divBdr>
                <w:top w:val="none" w:sz="0" w:space="0" w:color="auto"/>
                <w:left w:val="none" w:sz="0" w:space="0" w:color="auto"/>
                <w:bottom w:val="none" w:sz="0" w:space="0" w:color="auto"/>
                <w:right w:val="none" w:sz="0" w:space="0" w:color="auto"/>
              </w:divBdr>
              <w:divsChild>
                <w:div w:id="45449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527061">
      <w:bodyDiv w:val="1"/>
      <w:marLeft w:val="0"/>
      <w:marRight w:val="0"/>
      <w:marTop w:val="0"/>
      <w:marBottom w:val="0"/>
      <w:divBdr>
        <w:top w:val="none" w:sz="0" w:space="0" w:color="auto"/>
        <w:left w:val="none" w:sz="0" w:space="0" w:color="auto"/>
        <w:bottom w:val="none" w:sz="0" w:space="0" w:color="auto"/>
        <w:right w:val="none" w:sz="0" w:space="0" w:color="auto"/>
      </w:divBdr>
    </w:div>
    <w:div w:id="1340697130">
      <w:bodyDiv w:val="1"/>
      <w:marLeft w:val="0"/>
      <w:marRight w:val="0"/>
      <w:marTop w:val="0"/>
      <w:marBottom w:val="0"/>
      <w:divBdr>
        <w:top w:val="none" w:sz="0" w:space="0" w:color="auto"/>
        <w:left w:val="none" w:sz="0" w:space="0" w:color="auto"/>
        <w:bottom w:val="none" w:sz="0" w:space="0" w:color="auto"/>
        <w:right w:val="none" w:sz="0" w:space="0" w:color="auto"/>
      </w:divBdr>
    </w:div>
    <w:div w:id="1351562417">
      <w:bodyDiv w:val="1"/>
      <w:marLeft w:val="0"/>
      <w:marRight w:val="0"/>
      <w:marTop w:val="0"/>
      <w:marBottom w:val="0"/>
      <w:divBdr>
        <w:top w:val="none" w:sz="0" w:space="0" w:color="auto"/>
        <w:left w:val="none" w:sz="0" w:space="0" w:color="auto"/>
        <w:bottom w:val="none" w:sz="0" w:space="0" w:color="auto"/>
        <w:right w:val="none" w:sz="0" w:space="0" w:color="auto"/>
      </w:divBdr>
    </w:div>
    <w:div w:id="1361127131">
      <w:bodyDiv w:val="1"/>
      <w:marLeft w:val="0"/>
      <w:marRight w:val="0"/>
      <w:marTop w:val="0"/>
      <w:marBottom w:val="0"/>
      <w:divBdr>
        <w:top w:val="none" w:sz="0" w:space="0" w:color="auto"/>
        <w:left w:val="none" w:sz="0" w:space="0" w:color="auto"/>
        <w:bottom w:val="none" w:sz="0" w:space="0" w:color="auto"/>
        <w:right w:val="none" w:sz="0" w:space="0" w:color="auto"/>
      </w:divBdr>
    </w:div>
    <w:div w:id="1382634500">
      <w:bodyDiv w:val="1"/>
      <w:marLeft w:val="0"/>
      <w:marRight w:val="0"/>
      <w:marTop w:val="0"/>
      <w:marBottom w:val="0"/>
      <w:divBdr>
        <w:top w:val="none" w:sz="0" w:space="0" w:color="auto"/>
        <w:left w:val="none" w:sz="0" w:space="0" w:color="auto"/>
        <w:bottom w:val="none" w:sz="0" w:space="0" w:color="auto"/>
        <w:right w:val="none" w:sz="0" w:space="0" w:color="auto"/>
      </w:divBdr>
    </w:div>
    <w:div w:id="1414862569">
      <w:bodyDiv w:val="1"/>
      <w:marLeft w:val="0"/>
      <w:marRight w:val="0"/>
      <w:marTop w:val="0"/>
      <w:marBottom w:val="0"/>
      <w:divBdr>
        <w:top w:val="none" w:sz="0" w:space="0" w:color="auto"/>
        <w:left w:val="none" w:sz="0" w:space="0" w:color="auto"/>
        <w:bottom w:val="none" w:sz="0" w:space="0" w:color="auto"/>
        <w:right w:val="none" w:sz="0" w:space="0" w:color="auto"/>
      </w:divBdr>
    </w:div>
    <w:div w:id="1422874970">
      <w:bodyDiv w:val="1"/>
      <w:marLeft w:val="0"/>
      <w:marRight w:val="0"/>
      <w:marTop w:val="0"/>
      <w:marBottom w:val="0"/>
      <w:divBdr>
        <w:top w:val="none" w:sz="0" w:space="0" w:color="auto"/>
        <w:left w:val="none" w:sz="0" w:space="0" w:color="auto"/>
        <w:bottom w:val="none" w:sz="0" w:space="0" w:color="auto"/>
        <w:right w:val="none" w:sz="0" w:space="0" w:color="auto"/>
      </w:divBdr>
    </w:div>
    <w:div w:id="1432236631">
      <w:bodyDiv w:val="1"/>
      <w:marLeft w:val="0"/>
      <w:marRight w:val="0"/>
      <w:marTop w:val="0"/>
      <w:marBottom w:val="0"/>
      <w:divBdr>
        <w:top w:val="none" w:sz="0" w:space="0" w:color="auto"/>
        <w:left w:val="none" w:sz="0" w:space="0" w:color="auto"/>
        <w:bottom w:val="none" w:sz="0" w:space="0" w:color="auto"/>
        <w:right w:val="none" w:sz="0" w:space="0" w:color="auto"/>
      </w:divBdr>
      <w:divsChild>
        <w:div w:id="1979996675">
          <w:marLeft w:val="0"/>
          <w:marRight w:val="0"/>
          <w:marTop w:val="0"/>
          <w:marBottom w:val="0"/>
          <w:divBdr>
            <w:top w:val="none" w:sz="0" w:space="0" w:color="auto"/>
            <w:left w:val="none" w:sz="0" w:space="0" w:color="auto"/>
            <w:bottom w:val="none" w:sz="0" w:space="0" w:color="auto"/>
            <w:right w:val="none" w:sz="0" w:space="0" w:color="auto"/>
          </w:divBdr>
          <w:divsChild>
            <w:div w:id="458494486">
              <w:marLeft w:val="0"/>
              <w:marRight w:val="0"/>
              <w:marTop w:val="0"/>
              <w:marBottom w:val="0"/>
              <w:divBdr>
                <w:top w:val="none" w:sz="0" w:space="0" w:color="auto"/>
                <w:left w:val="none" w:sz="0" w:space="0" w:color="auto"/>
                <w:bottom w:val="none" w:sz="0" w:space="0" w:color="auto"/>
                <w:right w:val="none" w:sz="0" w:space="0" w:color="auto"/>
              </w:divBdr>
              <w:divsChild>
                <w:div w:id="1953129883">
                  <w:marLeft w:val="0"/>
                  <w:marRight w:val="0"/>
                  <w:marTop w:val="0"/>
                  <w:marBottom w:val="0"/>
                  <w:divBdr>
                    <w:top w:val="none" w:sz="0" w:space="0" w:color="auto"/>
                    <w:left w:val="none" w:sz="0" w:space="0" w:color="auto"/>
                    <w:bottom w:val="none" w:sz="0" w:space="0" w:color="auto"/>
                    <w:right w:val="none" w:sz="0" w:space="0" w:color="auto"/>
                  </w:divBdr>
                </w:div>
              </w:divsChild>
            </w:div>
            <w:div w:id="1171875193">
              <w:marLeft w:val="0"/>
              <w:marRight w:val="0"/>
              <w:marTop w:val="0"/>
              <w:marBottom w:val="0"/>
              <w:divBdr>
                <w:top w:val="none" w:sz="0" w:space="0" w:color="auto"/>
                <w:left w:val="none" w:sz="0" w:space="0" w:color="auto"/>
                <w:bottom w:val="none" w:sz="0" w:space="0" w:color="auto"/>
                <w:right w:val="none" w:sz="0" w:space="0" w:color="auto"/>
              </w:divBdr>
              <w:divsChild>
                <w:div w:id="1369988551">
                  <w:marLeft w:val="0"/>
                  <w:marRight w:val="0"/>
                  <w:marTop w:val="0"/>
                  <w:marBottom w:val="0"/>
                  <w:divBdr>
                    <w:top w:val="none" w:sz="0" w:space="0" w:color="auto"/>
                    <w:left w:val="none" w:sz="0" w:space="0" w:color="auto"/>
                    <w:bottom w:val="none" w:sz="0" w:space="0" w:color="auto"/>
                    <w:right w:val="none" w:sz="0" w:space="0" w:color="auto"/>
                  </w:divBdr>
                </w:div>
              </w:divsChild>
            </w:div>
            <w:div w:id="1066337480">
              <w:marLeft w:val="0"/>
              <w:marRight w:val="0"/>
              <w:marTop w:val="0"/>
              <w:marBottom w:val="0"/>
              <w:divBdr>
                <w:top w:val="none" w:sz="0" w:space="0" w:color="auto"/>
                <w:left w:val="none" w:sz="0" w:space="0" w:color="auto"/>
                <w:bottom w:val="none" w:sz="0" w:space="0" w:color="auto"/>
                <w:right w:val="none" w:sz="0" w:space="0" w:color="auto"/>
              </w:divBdr>
              <w:divsChild>
                <w:div w:id="19451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459315">
      <w:bodyDiv w:val="1"/>
      <w:marLeft w:val="0"/>
      <w:marRight w:val="0"/>
      <w:marTop w:val="0"/>
      <w:marBottom w:val="0"/>
      <w:divBdr>
        <w:top w:val="none" w:sz="0" w:space="0" w:color="auto"/>
        <w:left w:val="none" w:sz="0" w:space="0" w:color="auto"/>
        <w:bottom w:val="none" w:sz="0" w:space="0" w:color="auto"/>
        <w:right w:val="none" w:sz="0" w:space="0" w:color="auto"/>
      </w:divBdr>
    </w:div>
    <w:div w:id="1462919508">
      <w:bodyDiv w:val="1"/>
      <w:marLeft w:val="0"/>
      <w:marRight w:val="0"/>
      <w:marTop w:val="0"/>
      <w:marBottom w:val="0"/>
      <w:divBdr>
        <w:top w:val="none" w:sz="0" w:space="0" w:color="auto"/>
        <w:left w:val="none" w:sz="0" w:space="0" w:color="auto"/>
        <w:bottom w:val="none" w:sz="0" w:space="0" w:color="auto"/>
        <w:right w:val="none" w:sz="0" w:space="0" w:color="auto"/>
      </w:divBdr>
    </w:div>
    <w:div w:id="1480615781">
      <w:bodyDiv w:val="1"/>
      <w:marLeft w:val="0"/>
      <w:marRight w:val="0"/>
      <w:marTop w:val="0"/>
      <w:marBottom w:val="0"/>
      <w:divBdr>
        <w:top w:val="none" w:sz="0" w:space="0" w:color="auto"/>
        <w:left w:val="none" w:sz="0" w:space="0" w:color="auto"/>
        <w:bottom w:val="none" w:sz="0" w:space="0" w:color="auto"/>
        <w:right w:val="none" w:sz="0" w:space="0" w:color="auto"/>
      </w:divBdr>
      <w:divsChild>
        <w:div w:id="1440954911">
          <w:marLeft w:val="0"/>
          <w:marRight w:val="0"/>
          <w:marTop w:val="0"/>
          <w:marBottom w:val="0"/>
          <w:divBdr>
            <w:top w:val="none" w:sz="0" w:space="0" w:color="auto"/>
            <w:left w:val="none" w:sz="0" w:space="0" w:color="auto"/>
            <w:bottom w:val="none" w:sz="0" w:space="0" w:color="auto"/>
            <w:right w:val="none" w:sz="0" w:space="0" w:color="auto"/>
          </w:divBdr>
          <w:divsChild>
            <w:div w:id="513767388">
              <w:marLeft w:val="0"/>
              <w:marRight w:val="0"/>
              <w:marTop w:val="0"/>
              <w:marBottom w:val="0"/>
              <w:divBdr>
                <w:top w:val="none" w:sz="0" w:space="0" w:color="auto"/>
                <w:left w:val="none" w:sz="0" w:space="0" w:color="auto"/>
                <w:bottom w:val="none" w:sz="0" w:space="0" w:color="auto"/>
                <w:right w:val="none" w:sz="0" w:space="0" w:color="auto"/>
              </w:divBdr>
              <w:divsChild>
                <w:div w:id="77660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727232">
      <w:bodyDiv w:val="1"/>
      <w:marLeft w:val="0"/>
      <w:marRight w:val="0"/>
      <w:marTop w:val="0"/>
      <w:marBottom w:val="0"/>
      <w:divBdr>
        <w:top w:val="none" w:sz="0" w:space="0" w:color="auto"/>
        <w:left w:val="none" w:sz="0" w:space="0" w:color="auto"/>
        <w:bottom w:val="none" w:sz="0" w:space="0" w:color="auto"/>
        <w:right w:val="none" w:sz="0" w:space="0" w:color="auto"/>
      </w:divBdr>
    </w:div>
    <w:div w:id="1496073169">
      <w:bodyDiv w:val="1"/>
      <w:marLeft w:val="0"/>
      <w:marRight w:val="0"/>
      <w:marTop w:val="0"/>
      <w:marBottom w:val="0"/>
      <w:divBdr>
        <w:top w:val="none" w:sz="0" w:space="0" w:color="auto"/>
        <w:left w:val="none" w:sz="0" w:space="0" w:color="auto"/>
        <w:bottom w:val="none" w:sz="0" w:space="0" w:color="auto"/>
        <w:right w:val="none" w:sz="0" w:space="0" w:color="auto"/>
      </w:divBdr>
    </w:div>
    <w:div w:id="1498230226">
      <w:bodyDiv w:val="1"/>
      <w:marLeft w:val="0"/>
      <w:marRight w:val="0"/>
      <w:marTop w:val="0"/>
      <w:marBottom w:val="0"/>
      <w:divBdr>
        <w:top w:val="none" w:sz="0" w:space="0" w:color="auto"/>
        <w:left w:val="none" w:sz="0" w:space="0" w:color="auto"/>
        <w:bottom w:val="none" w:sz="0" w:space="0" w:color="auto"/>
        <w:right w:val="none" w:sz="0" w:space="0" w:color="auto"/>
      </w:divBdr>
    </w:div>
    <w:div w:id="1498618468">
      <w:bodyDiv w:val="1"/>
      <w:marLeft w:val="0"/>
      <w:marRight w:val="0"/>
      <w:marTop w:val="0"/>
      <w:marBottom w:val="0"/>
      <w:divBdr>
        <w:top w:val="none" w:sz="0" w:space="0" w:color="auto"/>
        <w:left w:val="none" w:sz="0" w:space="0" w:color="auto"/>
        <w:bottom w:val="none" w:sz="0" w:space="0" w:color="auto"/>
        <w:right w:val="none" w:sz="0" w:space="0" w:color="auto"/>
      </w:divBdr>
    </w:div>
    <w:div w:id="1527981807">
      <w:bodyDiv w:val="1"/>
      <w:marLeft w:val="0"/>
      <w:marRight w:val="0"/>
      <w:marTop w:val="0"/>
      <w:marBottom w:val="0"/>
      <w:divBdr>
        <w:top w:val="none" w:sz="0" w:space="0" w:color="auto"/>
        <w:left w:val="none" w:sz="0" w:space="0" w:color="auto"/>
        <w:bottom w:val="none" w:sz="0" w:space="0" w:color="auto"/>
        <w:right w:val="none" w:sz="0" w:space="0" w:color="auto"/>
      </w:divBdr>
      <w:divsChild>
        <w:div w:id="779879392">
          <w:marLeft w:val="0"/>
          <w:marRight w:val="0"/>
          <w:marTop w:val="0"/>
          <w:marBottom w:val="0"/>
          <w:divBdr>
            <w:top w:val="none" w:sz="0" w:space="0" w:color="auto"/>
            <w:left w:val="none" w:sz="0" w:space="0" w:color="auto"/>
            <w:bottom w:val="none" w:sz="0" w:space="0" w:color="auto"/>
            <w:right w:val="none" w:sz="0" w:space="0" w:color="auto"/>
          </w:divBdr>
          <w:divsChild>
            <w:div w:id="1968192801">
              <w:marLeft w:val="0"/>
              <w:marRight w:val="0"/>
              <w:marTop w:val="0"/>
              <w:marBottom w:val="0"/>
              <w:divBdr>
                <w:top w:val="none" w:sz="0" w:space="0" w:color="auto"/>
                <w:left w:val="none" w:sz="0" w:space="0" w:color="auto"/>
                <w:bottom w:val="none" w:sz="0" w:space="0" w:color="auto"/>
                <w:right w:val="none" w:sz="0" w:space="0" w:color="auto"/>
              </w:divBdr>
            </w:div>
          </w:divsChild>
        </w:div>
        <w:div w:id="711659557">
          <w:marLeft w:val="0"/>
          <w:marRight w:val="0"/>
          <w:marTop w:val="0"/>
          <w:marBottom w:val="0"/>
          <w:divBdr>
            <w:top w:val="none" w:sz="0" w:space="0" w:color="auto"/>
            <w:left w:val="none" w:sz="0" w:space="0" w:color="auto"/>
            <w:bottom w:val="none" w:sz="0" w:space="0" w:color="auto"/>
            <w:right w:val="none" w:sz="0" w:space="0" w:color="auto"/>
          </w:divBdr>
        </w:div>
      </w:divsChild>
    </w:div>
    <w:div w:id="1534884983">
      <w:bodyDiv w:val="1"/>
      <w:marLeft w:val="0"/>
      <w:marRight w:val="0"/>
      <w:marTop w:val="0"/>
      <w:marBottom w:val="0"/>
      <w:divBdr>
        <w:top w:val="none" w:sz="0" w:space="0" w:color="auto"/>
        <w:left w:val="none" w:sz="0" w:space="0" w:color="auto"/>
        <w:bottom w:val="none" w:sz="0" w:space="0" w:color="auto"/>
        <w:right w:val="none" w:sz="0" w:space="0" w:color="auto"/>
      </w:divBdr>
    </w:div>
    <w:div w:id="1552300193">
      <w:bodyDiv w:val="1"/>
      <w:marLeft w:val="0"/>
      <w:marRight w:val="0"/>
      <w:marTop w:val="0"/>
      <w:marBottom w:val="0"/>
      <w:divBdr>
        <w:top w:val="none" w:sz="0" w:space="0" w:color="auto"/>
        <w:left w:val="none" w:sz="0" w:space="0" w:color="auto"/>
        <w:bottom w:val="none" w:sz="0" w:space="0" w:color="auto"/>
        <w:right w:val="none" w:sz="0" w:space="0" w:color="auto"/>
      </w:divBdr>
      <w:divsChild>
        <w:div w:id="1566262533">
          <w:marLeft w:val="0"/>
          <w:marRight w:val="0"/>
          <w:marTop w:val="0"/>
          <w:marBottom w:val="0"/>
          <w:divBdr>
            <w:top w:val="none" w:sz="0" w:space="0" w:color="auto"/>
            <w:left w:val="none" w:sz="0" w:space="0" w:color="auto"/>
            <w:bottom w:val="none" w:sz="0" w:space="0" w:color="auto"/>
            <w:right w:val="none" w:sz="0" w:space="0" w:color="auto"/>
          </w:divBdr>
          <w:divsChild>
            <w:div w:id="754280805">
              <w:marLeft w:val="0"/>
              <w:marRight w:val="0"/>
              <w:marTop w:val="0"/>
              <w:marBottom w:val="0"/>
              <w:divBdr>
                <w:top w:val="none" w:sz="0" w:space="0" w:color="auto"/>
                <w:left w:val="none" w:sz="0" w:space="0" w:color="auto"/>
                <w:bottom w:val="none" w:sz="0" w:space="0" w:color="auto"/>
                <w:right w:val="none" w:sz="0" w:space="0" w:color="auto"/>
              </w:divBdr>
              <w:divsChild>
                <w:div w:id="102329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047050">
      <w:bodyDiv w:val="1"/>
      <w:marLeft w:val="0"/>
      <w:marRight w:val="0"/>
      <w:marTop w:val="0"/>
      <w:marBottom w:val="0"/>
      <w:divBdr>
        <w:top w:val="none" w:sz="0" w:space="0" w:color="auto"/>
        <w:left w:val="none" w:sz="0" w:space="0" w:color="auto"/>
        <w:bottom w:val="none" w:sz="0" w:space="0" w:color="auto"/>
        <w:right w:val="none" w:sz="0" w:space="0" w:color="auto"/>
      </w:divBdr>
    </w:div>
    <w:div w:id="1575159846">
      <w:bodyDiv w:val="1"/>
      <w:marLeft w:val="0"/>
      <w:marRight w:val="0"/>
      <w:marTop w:val="0"/>
      <w:marBottom w:val="0"/>
      <w:divBdr>
        <w:top w:val="none" w:sz="0" w:space="0" w:color="auto"/>
        <w:left w:val="none" w:sz="0" w:space="0" w:color="auto"/>
        <w:bottom w:val="none" w:sz="0" w:space="0" w:color="auto"/>
        <w:right w:val="none" w:sz="0" w:space="0" w:color="auto"/>
      </w:divBdr>
    </w:div>
    <w:div w:id="1576357065">
      <w:bodyDiv w:val="1"/>
      <w:marLeft w:val="0"/>
      <w:marRight w:val="0"/>
      <w:marTop w:val="0"/>
      <w:marBottom w:val="0"/>
      <w:divBdr>
        <w:top w:val="none" w:sz="0" w:space="0" w:color="auto"/>
        <w:left w:val="none" w:sz="0" w:space="0" w:color="auto"/>
        <w:bottom w:val="none" w:sz="0" w:space="0" w:color="auto"/>
        <w:right w:val="none" w:sz="0" w:space="0" w:color="auto"/>
      </w:divBdr>
    </w:div>
    <w:div w:id="1588727713">
      <w:bodyDiv w:val="1"/>
      <w:marLeft w:val="0"/>
      <w:marRight w:val="0"/>
      <w:marTop w:val="0"/>
      <w:marBottom w:val="0"/>
      <w:divBdr>
        <w:top w:val="none" w:sz="0" w:space="0" w:color="auto"/>
        <w:left w:val="none" w:sz="0" w:space="0" w:color="auto"/>
        <w:bottom w:val="none" w:sz="0" w:space="0" w:color="auto"/>
        <w:right w:val="none" w:sz="0" w:space="0" w:color="auto"/>
      </w:divBdr>
      <w:divsChild>
        <w:div w:id="2096709365">
          <w:marLeft w:val="0"/>
          <w:marRight w:val="0"/>
          <w:marTop w:val="0"/>
          <w:marBottom w:val="0"/>
          <w:divBdr>
            <w:top w:val="none" w:sz="0" w:space="0" w:color="auto"/>
            <w:left w:val="none" w:sz="0" w:space="0" w:color="auto"/>
            <w:bottom w:val="none" w:sz="0" w:space="0" w:color="auto"/>
            <w:right w:val="none" w:sz="0" w:space="0" w:color="auto"/>
          </w:divBdr>
          <w:divsChild>
            <w:div w:id="917717293">
              <w:marLeft w:val="0"/>
              <w:marRight w:val="0"/>
              <w:marTop w:val="0"/>
              <w:marBottom w:val="0"/>
              <w:divBdr>
                <w:top w:val="none" w:sz="0" w:space="0" w:color="auto"/>
                <w:left w:val="none" w:sz="0" w:space="0" w:color="auto"/>
                <w:bottom w:val="none" w:sz="0" w:space="0" w:color="auto"/>
                <w:right w:val="none" w:sz="0" w:space="0" w:color="auto"/>
              </w:divBdr>
              <w:divsChild>
                <w:div w:id="145047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561823">
      <w:bodyDiv w:val="1"/>
      <w:marLeft w:val="0"/>
      <w:marRight w:val="0"/>
      <w:marTop w:val="0"/>
      <w:marBottom w:val="0"/>
      <w:divBdr>
        <w:top w:val="none" w:sz="0" w:space="0" w:color="auto"/>
        <w:left w:val="none" w:sz="0" w:space="0" w:color="auto"/>
        <w:bottom w:val="none" w:sz="0" w:space="0" w:color="auto"/>
        <w:right w:val="none" w:sz="0" w:space="0" w:color="auto"/>
      </w:divBdr>
    </w:div>
    <w:div w:id="1606838878">
      <w:bodyDiv w:val="1"/>
      <w:marLeft w:val="0"/>
      <w:marRight w:val="0"/>
      <w:marTop w:val="0"/>
      <w:marBottom w:val="0"/>
      <w:divBdr>
        <w:top w:val="none" w:sz="0" w:space="0" w:color="auto"/>
        <w:left w:val="none" w:sz="0" w:space="0" w:color="auto"/>
        <w:bottom w:val="none" w:sz="0" w:space="0" w:color="auto"/>
        <w:right w:val="none" w:sz="0" w:space="0" w:color="auto"/>
      </w:divBdr>
    </w:div>
    <w:div w:id="1609969619">
      <w:bodyDiv w:val="1"/>
      <w:marLeft w:val="0"/>
      <w:marRight w:val="0"/>
      <w:marTop w:val="0"/>
      <w:marBottom w:val="0"/>
      <w:divBdr>
        <w:top w:val="none" w:sz="0" w:space="0" w:color="auto"/>
        <w:left w:val="none" w:sz="0" w:space="0" w:color="auto"/>
        <w:bottom w:val="none" w:sz="0" w:space="0" w:color="auto"/>
        <w:right w:val="none" w:sz="0" w:space="0" w:color="auto"/>
      </w:divBdr>
    </w:div>
    <w:div w:id="1632058130">
      <w:bodyDiv w:val="1"/>
      <w:marLeft w:val="0"/>
      <w:marRight w:val="0"/>
      <w:marTop w:val="0"/>
      <w:marBottom w:val="0"/>
      <w:divBdr>
        <w:top w:val="none" w:sz="0" w:space="0" w:color="auto"/>
        <w:left w:val="none" w:sz="0" w:space="0" w:color="auto"/>
        <w:bottom w:val="none" w:sz="0" w:space="0" w:color="auto"/>
        <w:right w:val="none" w:sz="0" w:space="0" w:color="auto"/>
      </w:divBdr>
    </w:div>
    <w:div w:id="1643074867">
      <w:bodyDiv w:val="1"/>
      <w:marLeft w:val="0"/>
      <w:marRight w:val="0"/>
      <w:marTop w:val="0"/>
      <w:marBottom w:val="0"/>
      <w:divBdr>
        <w:top w:val="none" w:sz="0" w:space="0" w:color="auto"/>
        <w:left w:val="none" w:sz="0" w:space="0" w:color="auto"/>
        <w:bottom w:val="none" w:sz="0" w:space="0" w:color="auto"/>
        <w:right w:val="none" w:sz="0" w:space="0" w:color="auto"/>
      </w:divBdr>
    </w:div>
    <w:div w:id="1669018648">
      <w:bodyDiv w:val="1"/>
      <w:marLeft w:val="0"/>
      <w:marRight w:val="0"/>
      <w:marTop w:val="0"/>
      <w:marBottom w:val="0"/>
      <w:divBdr>
        <w:top w:val="none" w:sz="0" w:space="0" w:color="auto"/>
        <w:left w:val="none" w:sz="0" w:space="0" w:color="auto"/>
        <w:bottom w:val="none" w:sz="0" w:space="0" w:color="auto"/>
        <w:right w:val="none" w:sz="0" w:space="0" w:color="auto"/>
      </w:divBdr>
    </w:div>
    <w:div w:id="1694072370">
      <w:bodyDiv w:val="1"/>
      <w:marLeft w:val="0"/>
      <w:marRight w:val="0"/>
      <w:marTop w:val="0"/>
      <w:marBottom w:val="0"/>
      <w:divBdr>
        <w:top w:val="none" w:sz="0" w:space="0" w:color="auto"/>
        <w:left w:val="none" w:sz="0" w:space="0" w:color="auto"/>
        <w:bottom w:val="none" w:sz="0" w:space="0" w:color="auto"/>
        <w:right w:val="none" w:sz="0" w:space="0" w:color="auto"/>
      </w:divBdr>
    </w:div>
    <w:div w:id="1699427123">
      <w:bodyDiv w:val="1"/>
      <w:marLeft w:val="0"/>
      <w:marRight w:val="0"/>
      <w:marTop w:val="0"/>
      <w:marBottom w:val="0"/>
      <w:divBdr>
        <w:top w:val="none" w:sz="0" w:space="0" w:color="auto"/>
        <w:left w:val="none" w:sz="0" w:space="0" w:color="auto"/>
        <w:bottom w:val="none" w:sz="0" w:space="0" w:color="auto"/>
        <w:right w:val="none" w:sz="0" w:space="0" w:color="auto"/>
      </w:divBdr>
    </w:div>
    <w:div w:id="1724210671">
      <w:bodyDiv w:val="1"/>
      <w:marLeft w:val="0"/>
      <w:marRight w:val="0"/>
      <w:marTop w:val="0"/>
      <w:marBottom w:val="0"/>
      <w:divBdr>
        <w:top w:val="none" w:sz="0" w:space="0" w:color="auto"/>
        <w:left w:val="none" w:sz="0" w:space="0" w:color="auto"/>
        <w:bottom w:val="none" w:sz="0" w:space="0" w:color="auto"/>
        <w:right w:val="none" w:sz="0" w:space="0" w:color="auto"/>
      </w:divBdr>
    </w:div>
    <w:div w:id="1747386533">
      <w:bodyDiv w:val="1"/>
      <w:marLeft w:val="0"/>
      <w:marRight w:val="0"/>
      <w:marTop w:val="0"/>
      <w:marBottom w:val="0"/>
      <w:divBdr>
        <w:top w:val="none" w:sz="0" w:space="0" w:color="auto"/>
        <w:left w:val="none" w:sz="0" w:space="0" w:color="auto"/>
        <w:bottom w:val="none" w:sz="0" w:space="0" w:color="auto"/>
        <w:right w:val="none" w:sz="0" w:space="0" w:color="auto"/>
      </w:divBdr>
    </w:div>
    <w:div w:id="1748458544">
      <w:bodyDiv w:val="1"/>
      <w:marLeft w:val="0"/>
      <w:marRight w:val="0"/>
      <w:marTop w:val="0"/>
      <w:marBottom w:val="0"/>
      <w:divBdr>
        <w:top w:val="none" w:sz="0" w:space="0" w:color="auto"/>
        <w:left w:val="none" w:sz="0" w:space="0" w:color="auto"/>
        <w:bottom w:val="none" w:sz="0" w:space="0" w:color="auto"/>
        <w:right w:val="none" w:sz="0" w:space="0" w:color="auto"/>
      </w:divBdr>
    </w:div>
    <w:div w:id="1756630537">
      <w:bodyDiv w:val="1"/>
      <w:marLeft w:val="0"/>
      <w:marRight w:val="0"/>
      <w:marTop w:val="0"/>
      <w:marBottom w:val="0"/>
      <w:divBdr>
        <w:top w:val="none" w:sz="0" w:space="0" w:color="auto"/>
        <w:left w:val="none" w:sz="0" w:space="0" w:color="auto"/>
        <w:bottom w:val="none" w:sz="0" w:space="0" w:color="auto"/>
        <w:right w:val="none" w:sz="0" w:space="0" w:color="auto"/>
      </w:divBdr>
    </w:div>
    <w:div w:id="1772625072">
      <w:bodyDiv w:val="1"/>
      <w:marLeft w:val="0"/>
      <w:marRight w:val="0"/>
      <w:marTop w:val="0"/>
      <w:marBottom w:val="0"/>
      <w:divBdr>
        <w:top w:val="none" w:sz="0" w:space="0" w:color="auto"/>
        <w:left w:val="none" w:sz="0" w:space="0" w:color="auto"/>
        <w:bottom w:val="none" w:sz="0" w:space="0" w:color="auto"/>
        <w:right w:val="none" w:sz="0" w:space="0" w:color="auto"/>
      </w:divBdr>
    </w:div>
    <w:div w:id="1795783778">
      <w:bodyDiv w:val="1"/>
      <w:marLeft w:val="0"/>
      <w:marRight w:val="0"/>
      <w:marTop w:val="0"/>
      <w:marBottom w:val="0"/>
      <w:divBdr>
        <w:top w:val="none" w:sz="0" w:space="0" w:color="auto"/>
        <w:left w:val="none" w:sz="0" w:space="0" w:color="auto"/>
        <w:bottom w:val="none" w:sz="0" w:space="0" w:color="auto"/>
        <w:right w:val="none" w:sz="0" w:space="0" w:color="auto"/>
      </w:divBdr>
    </w:div>
    <w:div w:id="1796175157">
      <w:bodyDiv w:val="1"/>
      <w:marLeft w:val="0"/>
      <w:marRight w:val="0"/>
      <w:marTop w:val="0"/>
      <w:marBottom w:val="0"/>
      <w:divBdr>
        <w:top w:val="none" w:sz="0" w:space="0" w:color="auto"/>
        <w:left w:val="none" w:sz="0" w:space="0" w:color="auto"/>
        <w:bottom w:val="none" w:sz="0" w:space="0" w:color="auto"/>
        <w:right w:val="none" w:sz="0" w:space="0" w:color="auto"/>
      </w:divBdr>
    </w:div>
    <w:div w:id="1799492394">
      <w:bodyDiv w:val="1"/>
      <w:marLeft w:val="0"/>
      <w:marRight w:val="0"/>
      <w:marTop w:val="0"/>
      <w:marBottom w:val="0"/>
      <w:divBdr>
        <w:top w:val="none" w:sz="0" w:space="0" w:color="auto"/>
        <w:left w:val="none" w:sz="0" w:space="0" w:color="auto"/>
        <w:bottom w:val="none" w:sz="0" w:space="0" w:color="auto"/>
        <w:right w:val="none" w:sz="0" w:space="0" w:color="auto"/>
      </w:divBdr>
    </w:div>
    <w:div w:id="1809281735">
      <w:bodyDiv w:val="1"/>
      <w:marLeft w:val="0"/>
      <w:marRight w:val="0"/>
      <w:marTop w:val="0"/>
      <w:marBottom w:val="0"/>
      <w:divBdr>
        <w:top w:val="none" w:sz="0" w:space="0" w:color="auto"/>
        <w:left w:val="none" w:sz="0" w:space="0" w:color="auto"/>
        <w:bottom w:val="none" w:sz="0" w:space="0" w:color="auto"/>
        <w:right w:val="none" w:sz="0" w:space="0" w:color="auto"/>
      </w:divBdr>
    </w:div>
    <w:div w:id="1818959920">
      <w:bodyDiv w:val="1"/>
      <w:marLeft w:val="0"/>
      <w:marRight w:val="0"/>
      <w:marTop w:val="0"/>
      <w:marBottom w:val="0"/>
      <w:divBdr>
        <w:top w:val="none" w:sz="0" w:space="0" w:color="auto"/>
        <w:left w:val="none" w:sz="0" w:space="0" w:color="auto"/>
        <w:bottom w:val="none" w:sz="0" w:space="0" w:color="auto"/>
        <w:right w:val="none" w:sz="0" w:space="0" w:color="auto"/>
      </w:divBdr>
      <w:divsChild>
        <w:div w:id="2009625391">
          <w:marLeft w:val="0"/>
          <w:marRight w:val="0"/>
          <w:marTop w:val="0"/>
          <w:marBottom w:val="0"/>
          <w:divBdr>
            <w:top w:val="none" w:sz="0" w:space="0" w:color="auto"/>
            <w:left w:val="none" w:sz="0" w:space="0" w:color="auto"/>
            <w:bottom w:val="none" w:sz="0" w:space="0" w:color="auto"/>
            <w:right w:val="none" w:sz="0" w:space="0" w:color="auto"/>
          </w:divBdr>
          <w:divsChild>
            <w:div w:id="2056194976">
              <w:marLeft w:val="0"/>
              <w:marRight w:val="0"/>
              <w:marTop w:val="0"/>
              <w:marBottom w:val="0"/>
              <w:divBdr>
                <w:top w:val="none" w:sz="0" w:space="0" w:color="auto"/>
                <w:left w:val="none" w:sz="0" w:space="0" w:color="auto"/>
                <w:bottom w:val="none" w:sz="0" w:space="0" w:color="auto"/>
                <w:right w:val="none" w:sz="0" w:space="0" w:color="auto"/>
              </w:divBdr>
              <w:divsChild>
                <w:div w:id="154031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252757">
      <w:bodyDiv w:val="1"/>
      <w:marLeft w:val="0"/>
      <w:marRight w:val="0"/>
      <w:marTop w:val="0"/>
      <w:marBottom w:val="0"/>
      <w:divBdr>
        <w:top w:val="none" w:sz="0" w:space="0" w:color="auto"/>
        <w:left w:val="none" w:sz="0" w:space="0" w:color="auto"/>
        <w:bottom w:val="none" w:sz="0" w:space="0" w:color="auto"/>
        <w:right w:val="none" w:sz="0" w:space="0" w:color="auto"/>
      </w:divBdr>
      <w:divsChild>
        <w:div w:id="272176633">
          <w:marLeft w:val="0"/>
          <w:marRight w:val="0"/>
          <w:marTop w:val="0"/>
          <w:marBottom w:val="0"/>
          <w:divBdr>
            <w:top w:val="none" w:sz="0" w:space="0" w:color="auto"/>
            <w:left w:val="none" w:sz="0" w:space="0" w:color="auto"/>
            <w:bottom w:val="none" w:sz="0" w:space="0" w:color="auto"/>
            <w:right w:val="none" w:sz="0" w:space="0" w:color="auto"/>
          </w:divBdr>
          <w:divsChild>
            <w:div w:id="1465584971">
              <w:marLeft w:val="0"/>
              <w:marRight w:val="0"/>
              <w:marTop w:val="0"/>
              <w:marBottom w:val="0"/>
              <w:divBdr>
                <w:top w:val="none" w:sz="0" w:space="0" w:color="auto"/>
                <w:left w:val="none" w:sz="0" w:space="0" w:color="auto"/>
                <w:bottom w:val="none" w:sz="0" w:space="0" w:color="auto"/>
                <w:right w:val="none" w:sz="0" w:space="0" w:color="auto"/>
              </w:divBdr>
              <w:divsChild>
                <w:div w:id="39396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351153">
      <w:bodyDiv w:val="1"/>
      <w:marLeft w:val="0"/>
      <w:marRight w:val="0"/>
      <w:marTop w:val="0"/>
      <w:marBottom w:val="0"/>
      <w:divBdr>
        <w:top w:val="none" w:sz="0" w:space="0" w:color="auto"/>
        <w:left w:val="none" w:sz="0" w:space="0" w:color="auto"/>
        <w:bottom w:val="none" w:sz="0" w:space="0" w:color="auto"/>
        <w:right w:val="none" w:sz="0" w:space="0" w:color="auto"/>
      </w:divBdr>
    </w:div>
    <w:div w:id="1863585843">
      <w:bodyDiv w:val="1"/>
      <w:marLeft w:val="0"/>
      <w:marRight w:val="0"/>
      <w:marTop w:val="0"/>
      <w:marBottom w:val="0"/>
      <w:divBdr>
        <w:top w:val="none" w:sz="0" w:space="0" w:color="auto"/>
        <w:left w:val="none" w:sz="0" w:space="0" w:color="auto"/>
        <w:bottom w:val="none" w:sz="0" w:space="0" w:color="auto"/>
        <w:right w:val="none" w:sz="0" w:space="0" w:color="auto"/>
      </w:divBdr>
    </w:div>
    <w:div w:id="1867137684">
      <w:bodyDiv w:val="1"/>
      <w:marLeft w:val="0"/>
      <w:marRight w:val="0"/>
      <w:marTop w:val="0"/>
      <w:marBottom w:val="0"/>
      <w:divBdr>
        <w:top w:val="none" w:sz="0" w:space="0" w:color="auto"/>
        <w:left w:val="none" w:sz="0" w:space="0" w:color="auto"/>
        <w:bottom w:val="none" w:sz="0" w:space="0" w:color="auto"/>
        <w:right w:val="none" w:sz="0" w:space="0" w:color="auto"/>
      </w:divBdr>
    </w:div>
    <w:div w:id="1900700090">
      <w:bodyDiv w:val="1"/>
      <w:marLeft w:val="0"/>
      <w:marRight w:val="0"/>
      <w:marTop w:val="0"/>
      <w:marBottom w:val="0"/>
      <w:divBdr>
        <w:top w:val="none" w:sz="0" w:space="0" w:color="auto"/>
        <w:left w:val="none" w:sz="0" w:space="0" w:color="auto"/>
        <w:bottom w:val="none" w:sz="0" w:space="0" w:color="auto"/>
        <w:right w:val="none" w:sz="0" w:space="0" w:color="auto"/>
      </w:divBdr>
    </w:div>
    <w:div w:id="1926643110">
      <w:bodyDiv w:val="1"/>
      <w:marLeft w:val="0"/>
      <w:marRight w:val="0"/>
      <w:marTop w:val="0"/>
      <w:marBottom w:val="0"/>
      <w:divBdr>
        <w:top w:val="none" w:sz="0" w:space="0" w:color="auto"/>
        <w:left w:val="none" w:sz="0" w:space="0" w:color="auto"/>
        <w:bottom w:val="none" w:sz="0" w:space="0" w:color="auto"/>
        <w:right w:val="none" w:sz="0" w:space="0" w:color="auto"/>
      </w:divBdr>
    </w:div>
    <w:div w:id="1945261604">
      <w:bodyDiv w:val="1"/>
      <w:marLeft w:val="0"/>
      <w:marRight w:val="0"/>
      <w:marTop w:val="0"/>
      <w:marBottom w:val="0"/>
      <w:divBdr>
        <w:top w:val="none" w:sz="0" w:space="0" w:color="auto"/>
        <w:left w:val="none" w:sz="0" w:space="0" w:color="auto"/>
        <w:bottom w:val="none" w:sz="0" w:space="0" w:color="auto"/>
        <w:right w:val="none" w:sz="0" w:space="0" w:color="auto"/>
      </w:divBdr>
    </w:div>
    <w:div w:id="1955211449">
      <w:bodyDiv w:val="1"/>
      <w:marLeft w:val="0"/>
      <w:marRight w:val="0"/>
      <w:marTop w:val="0"/>
      <w:marBottom w:val="0"/>
      <w:divBdr>
        <w:top w:val="none" w:sz="0" w:space="0" w:color="auto"/>
        <w:left w:val="none" w:sz="0" w:space="0" w:color="auto"/>
        <w:bottom w:val="none" w:sz="0" w:space="0" w:color="auto"/>
        <w:right w:val="none" w:sz="0" w:space="0" w:color="auto"/>
      </w:divBdr>
    </w:div>
    <w:div w:id="1961914280">
      <w:bodyDiv w:val="1"/>
      <w:marLeft w:val="0"/>
      <w:marRight w:val="0"/>
      <w:marTop w:val="0"/>
      <w:marBottom w:val="0"/>
      <w:divBdr>
        <w:top w:val="none" w:sz="0" w:space="0" w:color="auto"/>
        <w:left w:val="none" w:sz="0" w:space="0" w:color="auto"/>
        <w:bottom w:val="none" w:sz="0" w:space="0" w:color="auto"/>
        <w:right w:val="none" w:sz="0" w:space="0" w:color="auto"/>
      </w:divBdr>
    </w:div>
    <w:div w:id="1995374738">
      <w:bodyDiv w:val="1"/>
      <w:marLeft w:val="0"/>
      <w:marRight w:val="0"/>
      <w:marTop w:val="0"/>
      <w:marBottom w:val="0"/>
      <w:divBdr>
        <w:top w:val="none" w:sz="0" w:space="0" w:color="auto"/>
        <w:left w:val="none" w:sz="0" w:space="0" w:color="auto"/>
        <w:bottom w:val="none" w:sz="0" w:space="0" w:color="auto"/>
        <w:right w:val="none" w:sz="0" w:space="0" w:color="auto"/>
      </w:divBdr>
      <w:divsChild>
        <w:div w:id="179513693">
          <w:marLeft w:val="0"/>
          <w:marRight w:val="0"/>
          <w:marTop w:val="0"/>
          <w:marBottom w:val="0"/>
          <w:divBdr>
            <w:top w:val="none" w:sz="0" w:space="0" w:color="auto"/>
            <w:left w:val="none" w:sz="0" w:space="0" w:color="auto"/>
            <w:bottom w:val="none" w:sz="0" w:space="0" w:color="auto"/>
            <w:right w:val="none" w:sz="0" w:space="0" w:color="auto"/>
          </w:divBdr>
          <w:divsChild>
            <w:div w:id="342517534">
              <w:marLeft w:val="0"/>
              <w:marRight w:val="0"/>
              <w:marTop w:val="0"/>
              <w:marBottom w:val="0"/>
              <w:divBdr>
                <w:top w:val="none" w:sz="0" w:space="0" w:color="auto"/>
                <w:left w:val="none" w:sz="0" w:space="0" w:color="auto"/>
                <w:bottom w:val="none" w:sz="0" w:space="0" w:color="auto"/>
                <w:right w:val="none" w:sz="0" w:space="0" w:color="auto"/>
              </w:divBdr>
              <w:divsChild>
                <w:div w:id="91581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357109">
      <w:bodyDiv w:val="1"/>
      <w:marLeft w:val="0"/>
      <w:marRight w:val="0"/>
      <w:marTop w:val="0"/>
      <w:marBottom w:val="0"/>
      <w:divBdr>
        <w:top w:val="none" w:sz="0" w:space="0" w:color="auto"/>
        <w:left w:val="none" w:sz="0" w:space="0" w:color="auto"/>
        <w:bottom w:val="none" w:sz="0" w:space="0" w:color="auto"/>
        <w:right w:val="none" w:sz="0" w:space="0" w:color="auto"/>
      </w:divBdr>
    </w:div>
    <w:div w:id="2060275036">
      <w:bodyDiv w:val="1"/>
      <w:marLeft w:val="0"/>
      <w:marRight w:val="0"/>
      <w:marTop w:val="0"/>
      <w:marBottom w:val="0"/>
      <w:divBdr>
        <w:top w:val="none" w:sz="0" w:space="0" w:color="auto"/>
        <w:left w:val="none" w:sz="0" w:space="0" w:color="auto"/>
        <w:bottom w:val="none" w:sz="0" w:space="0" w:color="auto"/>
        <w:right w:val="none" w:sz="0" w:space="0" w:color="auto"/>
      </w:divBdr>
    </w:div>
    <w:div w:id="2074505480">
      <w:bodyDiv w:val="1"/>
      <w:marLeft w:val="0"/>
      <w:marRight w:val="0"/>
      <w:marTop w:val="0"/>
      <w:marBottom w:val="0"/>
      <w:divBdr>
        <w:top w:val="none" w:sz="0" w:space="0" w:color="auto"/>
        <w:left w:val="none" w:sz="0" w:space="0" w:color="auto"/>
        <w:bottom w:val="none" w:sz="0" w:space="0" w:color="auto"/>
        <w:right w:val="none" w:sz="0" w:space="0" w:color="auto"/>
      </w:divBdr>
    </w:div>
    <w:div w:id="2086299091">
      <w:bodyDiv w:val="1"/>
      <w:marLeft w:val="0"/>
      <w:marRight w:val="0"/>
      <w:marTop w:val="0"/>
      <w:marBottom w:val="0"/>
      <w:divBdr>
        <w:top w:val="none" w:sz="0" w:space="0" w:color="auto"/>
        <w:left w:val="none" w:sz="0" w:space="0" w:color="auto"/>
        <w:bottom w:val="none" w:sz="0" w:space="0" w:color="auto"/>
        <w:right w:val="none" w:sz="0" w:space="0" w:color="auto"/>
      </w:divBdr>
    </w:div>
    <w:div w:id="2092658344">
      <w:bodyDiv w:val="1"/>
      <w:marLeft w:val="0"/>
      <w:marRight w:val="0"/>
      <w:marTop w:val="0"/>
      <w:marBottom w:val="0"/>
      <w:divBdr>
        <w:top w:val="none" w:sz="0" w:space="0" w:color="auto"/>
        <w:left w:val="none" w:sz="0" w:space="0" w:color="auto"/>
        <w:bottom w:val="none" w:sz="0" w:space="0" w:color="auto"/>
        <w:right w:val="none" w:sz="0" w:space="0" w:color="auto"/>
      </w:divBdr>
    </w:div>
    <w:div w:id="2108842649">
      <w:bodyDiv w:val="1"/>
      <w:marLeft w:val="0"/>
      <w:marRight w:val="0"/>
      <w:marTop w:val="0"/>
      <w:marBottom w:val="0"/>
      <w:divBdr>
        <w:top w:val="none" w:sz="0" w:space="0" w:color="auto"/>
        <w:left w:val="none" w:sz="0" w:space="0" w:color="auto"/>
        <w:bottom w:val="none" w:sz="0" w:space="0" w:color="auto"/>
        <w:right w:val="none" w:sz="0" w:space="0" w:color="auto"/>
      </w:divBdr>
    </w:div>
    <w:div w:id="2121949693">
      <w:bodyDiv w:val="1"/>
      <w:marLeft w:val="0"/>
      <w:marRight w:val="0"/>
      <w:marTop w:val="0"/>
      <w:marBottom w:val="0"/>
      <w:divBdr>
        <w:top w:val="none" w:sz="0" w:space="0" w:color="auto"/>
        <w:left w:val="none" w:sz="0" w:space="0" w:color="auto"/>
        <w:bottom w:val="none" w:sz="0" w:space="0" w:color="auto"/>
        <w:right w:val="none" w:sz="0" w:space="0" w:color="auto"/>
      </w:divBdr>
    </w:div>
    <w:div w:id="2132504955">
      <w:bodyDiv w:val="1"/>
      <w:marLeft w:val="0"/>
      <w:marRight w:val="0"/>
      <w:marTop w:val="0"/>
      <w:marBottom w:val="0"/>
      <w:divBdr>
        <w:top w:val="none" w:sz="0" w:space="0" w:color="auto"/>
        <w:left w:val="none" w:sz="0" w:space="0" w:color="auto"/>
        <w:bottom w:val="none" w:sz="0" w:space="0" w:color="auto"/>
        <w:right w:val="none" w:sz="0" w:space="0" w:color="auto"/>
      </w:divBdr>
    </w:div>
    <w:div w:id="2134248633">
      <w:bodyDiv w:val="1"/>
      <w:marLeft w:val="0"/>
      <w:marRight w:val="0"/>
      <w:marTop w:val="0"/>
      <w:marBottom w:val="0"/>
      <w:divBdr>
        <w:top w:val="none" w:sz="0" w:space="0" w:color="auto"/>
        <w:left w:val="none" w:sz="0" w:space="0" w:color="auto"/>
        <w:bottom w:val="none" w:sz="0" w:space="0" w:color="auto"/>
        <w:right w:val="none" w:sz="0" w:space="0" w:color="auto"/>
      </w:divBdr>
    </w:div>
    <w:div w:id="21406044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8952</Words>
  <Characters>51027</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O'Brien</dc:creator>
  <cp:keywords/>
  <dc:description/>
  <cp:lastModifiedBy>Charlotte O'Brien</cp:lastModifiedBy>
  <cp:revision>2</cp:revision>
  <dcterms:created xsi:type="dcterms:W3CDTF">2021-10-06T09:27:00Z</dcterms:created>
  <dcterms:modified xsi:type="dcterms:W3CDTF">2021-10-06T09:27:00Z</dcterms:modified>
</cp:coreProperties>
</file>