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4153" w14:textId="476EDB4E" w:rsidR="00883E13" w:rsidRPr="002A68EC" w:rsidRDefault="00C2411C" w:rsidP="0056184C">
      <w:pPr>
        <w:pStyle w:val="Heading1"/>
        <w:spacing w:before="0" w:beforeAutospacing="0" w:after="120" w:afterAutospacing="0"/>
        <w:jc w:val="both"/>
        <w:rPr>
          <w:sz w:val="24"/>
          <w:szCs w:val="24"/>
          <w:u w:val="single"/>
        </w:rPr>
      </w:pPr>
      <w:r>
        <w:rPr>
          <w:sz w:val="24"/>
          <w:szCs w:val="24"/>
        </w:rPr>
        <w:t>A</w:t>
      </w:r>
      <w:r w:rsidR="00D66E25">
        <w:rPr>
          <w:sz w:val="24"/>
          <w:szCs w:val="24"/>
        </w:rPr>
        <w:t xml:space="preserve"> genuine chance of free movement?</w:t>
      </w:r>
      <w:r w:rsidR="00C53632">
        <w:rPr>
          <w:sz w:val="24"/>
          <w:szCs w:val="24"/>
        </w:rPr>
        <w:t xml:space="preserve"> Clarifying the ‘reasonable </w:t>
      </w:r>
      <w:proofErr w:type="gramStart"/>
      <w:r w:rsidR="00C53632">
        <w:rPr>
          <w:sz w:val="24"/>
          <w:szCs w:val="24"/>
        </w:rPr>
        <w:t>period</w:t>
      </w:r>
      <w:r w:rsidR="00E910BE">
        <w:rPr>
          <w:sz w:val="24"/>
          <w:szCs w:val="24"/>
        </w:rPr>
        <w:t xml:space="preserve"> of time</w:t>
      </w:r>
      <w:proofErr w:type="gramEnd"/>
      <w:r w:rsidR="00C53632">
        <w:rPr>
          <w:sz w:val="24"/>
          <w:szCs w:val="24"/>
        </w:rPr>
        <w:t xml:space="preserve">’ and residence conditions </w:t>
      </w:r>
      <w:r>
        <w:rPr>
          <w:sz w:val="24"/>
          <w:szCs w:val="24"/>
        </w:rPr>
        <w:t xml:space="preserve">for jobseekers </w:t>
      </w:r>
      <w:r w:rsidR="00C53632">
        <w:rPr>
          <w:sz w:val="24"/>
          <w:szCs w:val="24"/>
        </w:rPr>
        <w:t xml:space="preserve">in </w:t>
      </w:r>
      <w:r w:rsidR="00C53632" w:rsidRPr="00C53632">
        <w:rPr>
          <w:i/>
          <w:iCs/>
          <w:sz w:val="24"/>
          <w:szCs w:val="24"/>
        </w:rPr>
        <w:t>G. M. A.</w:t>
      </w:r>
    </w:p>
    <w:p w14:paraId="79C469BC" w14:textId="783EDCD9" w:rsidR="00883E13" w:rsidRDefault="00883E13" w:rsidP="0056184C">
      <w:pPr>
        <w:shd w:val="clear" w:color="auto" w:fill="FFFFFF"/>
        <w:spacing w:after="120"/>
        <w:ind w:right="-52"/>
        <w:jc w:val="both"/>
        <w:rPr>
          <w:rFonts w:cs="Calibri"/>
          <w:u w:val="single"/>
        </w:rPr>
      </w:pPr>
    </w:p>
    <w:p w14:paraId="5B6E5058" w14:textId="086ABFE3" w:rsidR="003A14EA" w:rsidRPr="003A14EA" w:rsidRDefault="001204A5" w:rsidP="0056184C">
      <w:pPr>
        <w:shd w:val="clear" w:color="auto" w:fill="FFFFFF"/>
        <w:spacing w:after="120"/>
        <w:ind w:right="-52"/>
        <w:jc w:val="both"/>
        <w:rPr>
          <w:rFonts w:cs="Calibri"/>
        </w:rPr>
      </w:pPr>
      <w:r w:rsidRPr="001204A5">
        <w:rPr>
          <w:rFonts w:cs="Calibri"/>
        </w:rPr>
        <w:t>Case C‑710/19</w:t>
      </w:r>
      <w:r w:rsidR="003A14EA" w:rsidRPr="003A14EA">
        <w:rPr>
          <w:rFonts w:cs="Calibri"/>
        </w:rPr>
        <w:t xml:space="preserve">, </w:t>
      </w:r>
      <w:r w:rsidRPr="001204A5">
        <w:rPr>
          <w:rFonts w:cs="Calibri"/>
          <w:i/>
          <w:iCs/>
        </w:rPr>
        <w:t>G. M. A.</w:t>
      </w:r>
      <w:r w:rsidR="003A14EA" w:rsidRPr="001204A5">
        <w:rPr>
          <w:rFonts w:cs="Calibri"/>
          <w:i/>
          <w:iCs/>
        </w:rPr>
        <w:t xml:space="preserve"> v. </w:t>
      </w:r>
      <w:r w:rsidRPr="001204A5">
        <w:rPr>
          <w:rFonts w:cs="Calibri"/>
          <w:i/>
          <w:iCs/>
        </w:rPr>
        <w:t xml:space="preserve">État </w:t>
      </w:r>
      <w:proofErr w:type="spellStart"/>
      <w:r w:rsidRPr="001204A5">
        <w:rPr>
          <w:rFonts w:cs="Calibri"/>
          <w:i/>
          <w:iCs/>
        </w:rPr>
        <w:t>belge</w:t>
      </w:r>
      <w:proofErr w:type="spellEnd"/>
      <w:r>
        <w:rPr>
          <w:rFonts w:cs="Calibri"/>
        </w:rPr>
        <w:t>,</w:t>
      </w:r>
      <w:r w:rsidRPr="001204A5">
        <w:t xml:space="preserve"> </w:t>
      </w:r>
      <w:r w:rsidRPr="001204A5">
        <w:rPr>
          <w:rFonts w:cs="Calibri"/>
        </w:rPr>
        <w:t>Judgment of the Court (First Chamber) of 17 December 2020</w:t>
      </w:r>
      <w:r w:rsidR="003A14EA" w:rsidRPr="003A14EA">
        <w:rPr>
          <w:rFonts w:cs="Calibri"/>
        </w:rPr>
        <w:t xml:space="preserve">, </w:t>
      </w:r>
      <w:r w:rsidRPr="001204A5">
        <w:rPr>
          <w:rFonts w:cs="Calibri"/>
        </w:rPr>
        <w:t>EU:C:2020:1037</w:t>
      </w:r>
    </w:p>
    <w:p w14:paraId="7232E1B2" w14:textId="2A87C96A" w:rsidR="007230BD" w:rsidRPr="002A68EC" w:rsidRDefault="007230BD" w:rsidP="0056184C">
      <w:pPr>
        <w:shd w:val="clear" w:color="auto" w:fill="FFFFFF"/>
        <w:spacing w:after="120"/>
        <w:ind w:right="-52"/>
        <w:jc w:val="both"/>
        <w:rPr>
          <w:rFonts w:cs="Calibri"/>
        </w:rPr>
      </w:pPr>
      <w:r w:rsidRPr="002A68EC">
        <w:rPr>
          <w:rFonts w:cs="Calibri"/>
          <w:lang w:val="en-US"/>
        </w:rPr>
        <w:t> </w:t>
      </w:r>
    </w:p>
    <w:p w14:paraId="2509557D" w14:textId="5086C3C9" w:rsidR="007230BD" w:rsidRPr="002A68EC" w:rsidRDefault="00F47031" w:rsidP="0056184C">
      <w:pPr>
        <w:pStyle w:val="Heading2"/>
        <w:spacing w:before="0" w:after="120"/>
        <w:jc w:val="both"/>
        <w:rPr>
          <w:rFonts w:ascii="Times New Roman" w:hAnsi="Times New Roman" w:cs="Times New Roman"/>
          <w:b/>
          <w:bCs/>
          <w:color w:val="auto"/>
          <w:sz w:val="24"/>
          <w:szCs w:val="24"/>
          <w:lang w:val="en-US"/>
        </w:rPr>
      </w:pPr>
      <w:r w:rsidRPr="002A68EC">
        <w:rPr>
          <w:rFonts w:ascii="Times New Roman" w:hAnsi="Times New Roman" w:cs="Times New Roman"/>
          <w:b/>
          <w:bCs/>
          <w:color w:val="auto"/>
          <w:sz w:val="24"/>
          <w:szCs w:val="24"/>
          <w:lang w:val="en-US"/>
        </w:rPr>
        <w:t xml:space="preserve">1. </w:t>
      </w:r>
      <w:r w:rsidR="0064598F" w:rsidRPr="002A68EC">
        <w:rPr>
          <w:rFonts w:ascii="Times New Roman" w:hAnsi="Times New Roman" w:cs="Times New Roman"/>
          <w:b/>
          <w:bCs/>
          <w:color w:val="auto"/>
          <w:sz w:val="24"/>
          <w:szCs w:val="24"/>
          <w:lang w:val="en-US"/>
        </w:rPr>
        <w:t>Introduction</w:t>
      </w:r>
    </w:p>
    <w:p w14:paraId="6F6C1367" w14:textId="07B21357" w:rsidR="00371290" w:rsidRDefault="00790889" w:rsidP="0056184C">
      <w:pPr>
        <w:shd w:val="clear" w:color="auto" w:fill="FFFFFF"/>
        <w:spacing w:after="120"/>
        <w:ind w:right="-52"/>
        <w:jc w:val="both"/>
        <w:rPr>
          <w:rFonts w:cs="Calibri"/>
          <w:lang w:val="en-US"/>
        </w:rPr>
      </w:pPr>
      <w:r>
        <w:rPr>
          <w:rFonts w:cs="Calibri"/>
          <w:lang w:val="en-US"/>
        </w:rPr>
        <w:t xml:space="preserve">Jobseekers are best thought of as </w:t>
      </w:r>
      <w:r w:rsidR="001C213E">
        <w:rPr>
          <w:rFonts w:cs="Calibri"/>
          <w:lang w:val="en-US"/>
        </w:rPr>
        <w:t xml:space="preserve">having </w:t>
      </w:r>
      <w:r>
        <w:rPr>
          <w:rFonts w:cs="Calibri"/>
          <w:lang w:val="en-US"/>
        </w:rPr>
        <w:t xml:space="preserve">a </w:t>
      </w:r>
      <w:r w:rsidR="00B46278">
        <w:rPr>
          <w:rFonts w:cs="Calibri"/>
          <w:lang w:val="en-US"/>
        </w:rPr>
        <w:t xml:space="preserve">hybrid status in EU free movement law. </w:t>
      </w:r>
      <w:r w:rsidR="00102051">
        <w:rPr>
          <w:rFonts w:cs="Calibri"/>
          <w:lang w:val="en-US"/>
        </w:rPr>
        <w:t xml:space="preserve">They are not afforded the </w:t>
      </w:r>
      <w:r w:rsidR="00615F46">
        <w:rPr>
          <w:rFonts w:cs="Calibri"/>
          <w:lang w:val="en-US"/>
        </w:rPr>
        <w:t xml:space="preserve">full </w:t>
      </w:r>
      <w:r w:rsidR="00102051">
        <w:rPr>
          <w:rFonts w:cs="Calibri"/>
          <w:lang w:val="en-US"/>
        </w:rPr>
        <w:t>privileges associated with worker status,</w:t>
      </w:r>
      <w:bookmarkStart w:id="0" w:name="_Ref71022853"/>
      <w:r w:rsidR="00615F46">
        <w:rPr>
          <w:rStyle w:val="FootnoteReference"/>
          <w:rFonts w:cs="Calibri"/>
          <w:lang w:val="en-US"/>
        </w:rPr>
        <w:footnoteReference w:id="1"/>
      </w:r>
      <w:bookmarkEnd w:id="0"/>
      <w:r w:rsidR="00102051">
        <w:rPr>
          <w:rFonts w:cs="Calibri"/>
          <w:lang w:val="en-US"/>
        </w:rPr>
        <w:t xml:space="preserve"> but their intention to find work is </w:t>
      </w:r>
      <w:r w:rsidR="001020E0">
        <w:rPr>
          <w:rFonts w:cs="Calibri"/>
          <w:lang w:val="en-US"/>
        </w:rPr>
        <w:t>re</w:t>
      </w:r>
      <w:r w:rsidR="00102051">
        <w:rPr>
          <w:rFonts w:cs="Calibri"/>
          <w:lang w:val="en-US"/>
        </w:rPr>
        <w:t>warded by granting</w:t>
      </w:r>
      <w:r w:rsidR="001020E0">
        <w:rPr>
          <w:rFonts w:cs="Calibri"/>
          <w:lang w:val="en-US"/>
        </w:rPr>
        <w:t xml:space="preserve"> them</w:t>
      </w:r>
      <w:r w:rsidR="00102051">
        <w:rPr>
          <w:rFonts w:cs="Calibri"/>
          <w:lang w:val="en-US"/>
        </w:rPr>
        <w:t xml:space="preserve"> more protection than</w:t>
      </w:r>
      <w:r w:rsidR="00615F46">
        <w:rPr>
          <w:rFonts w:cs="Calibri"/>
          <w:lang w:val="en-US"/>
        </w:rPr>
        <w:t xml:space="preserve"> those deemed to be</w:t>
      </w:r>
      <w:r w:rsidR="00102051">
        <w:rPr>
          <w:rFonts w:cs="Calibri"/>
          <w:lang w:val="en-US"/>
        </w:rPr>
        <w:t xml:space="preserve"> economically inactive.</w:t>
      </w:r>
      <w:r w:rsidR="001020E0">
        <w:rPr>
          <w:rFonts w:cs="Calibri"/>
          <w:lang w:val="en-US"/>
        </w:rPr>
        <w:t xml:space="preserve"> </w:t>
      </w:r>
      <w:r w:rsidR="00E415CF" w:rsidRPr="00E936D9">
        <w:t xml:space="preserve">AG </w:t>
      </w:r>
      <w:proofErr w:type="spellStart"/>
      <w:r w:rsidR="00E415CF" w:rsidRPr="00E936D9">
        <w:t>Colomer</w:t>
      </w:r>
      <w:proofErr w:type="spellEnd"/>
      <w:r w:rsidR="00E415CF" w:rsidRPr="00E936D9">
        <w:t xml:space="preserve"> described </w:t>
      </w:r>
      <w:r w:rsidR="00E415CF">
        <w:t>them</w:t>
      </w:r>
      <w:r w:rsidR="00E415CF" w:rsidRPr="00E936D9">
        <w:t xml:space="preserve">, in his opinion in </w:t>
      </w:r>
      <w:proofErr w:type="spellStart"/>
      <w:r w:rsidR="00E415CF" w:rsidRPr="00E936D9">
        <w:rPr>
          <w:i/>
          <w:iCs/>
        </w:rPr>
        <w:t>Vatsouras</w:t>
      </w:r>
      <w:proofErr w:type="spellEnd"/>
      <w:r w:rsidR="00E415CF" w:rsidRPr="00E936D9">
        <w:rPr>
          <w:i/>
          <w:iCs/>
        </w:rPr>
        <w:t xml:space="preserve"> and </w:t>
      </w:r>
      <w:proofErr w:type="spellStart"/>
      <w:r w:rsidR="00E415CF" w:rsidRPr="00E936D9">
        <w:rPr>
          <w:i/>
          <w:iCs/>
        </w:rPr>
        <w:t>Koupatantze</w:t>
      </w:r>
      <w:proofErr w:type="spellEnd"/>
      <w:r w:rsidR="00E415CF" w:rsidRPr="00E936D9">
        <w:t>, as being ‘midway between being engaged in economic activity and not being so engaged’.</w:t>
      </w:r>
      <w:r w:rsidR="00E415CF" w:rsidRPr="00E936D9">
        <w:rPr>
          <w:rStyle w:val="FootnoteReference"/>
        </w:rPr>
        <w:t xml:space="preserve"> </w:t>
      </w:r>
      <w:r w:rsidR="00E415CF" w:rsidRPr="00E936D9">
        <w:rPr>
          <w:rStyle w:val="FootnoteReference"/>
        </w:rPr>
        <w:footnoteReference w:id="2"/>
      </w:r>
      <w:r w:rsidR="00102051">
        <w:t xml:space="preserve"> </w:t>
      </w:r>
      <w:r w:rsidR="001020E0">
        <w:rPr>
          <w:rFonts w:cs="Calibri"/>
          <w:lang w:val="en-US"/>
        </w:rPr>
        <w:t>After all, the free movement of workers is unlikely</w:t>
      </w:r>
      <w:r>
        <w:rPr>
          <w:rFonts w:cs="Calibri"/>
          <w:lang w:val="en-US"/>
        </w:rPr>
        <w:t xml:space="preserve"> to be effective i</w:t>
      </w:r>
      <w:r w:rsidR="001020E0">
        <w:rPr>
          <w:rFonts w:cs="Calibri"/>
          <w:lang w:val="en-US"/>
        </w:rPr>
        <w:t xml:space="preserve">f </w:t>
      </w:r>
      <w:r>
        <w:rPr>
          <w:rFonts w:cs="Calibri"/>
          <w:lang w:val="en-US"/>
        </w:rPr>
        <w:t xml:space="preserve">those workers are forced to conduct their search for suitable employment </w:t>
      </w:r>
      <w:r w:rsidR="001C213E">
        <w:rPr>
          <w:rFonts w:cs="Calibri"/>
          <w:lang w:val="en-US"/>
        </w:rPr>
        <w:t>from</w:t>
      </w:r>
      <w:r>
        <w:rPr>
          <w:rFonts w:cs="Calibri"/>
          <w:lang w:val="en-US"/>
        </w:rPr>
        <w:t xml:space="preserve"> a different country. The right to move and stay in a host Member State for this purpose </w:t>
      </w:r>
      <w:r w:rsidR="002417D6">
        <w:rPr>
          <w:rFonts w:cs="Calibri"/>
          <w:lang w:val="en-US"/>
        </w:rPr>
        <w:t>h</w:t>
      </w:r>
      <w:r w:rsidR="00846791">
        <w:rPr>
          <w:rFonts w:cs="Calibri"/>
          <w:lang w:val="en-US"/>
        </w:rPr>
        <w:t>a</w:t>
      </w:r>
      <w:r>
        <w:rPr>
          <w:rFonts w:cs="Calibri"/>
          <w:lang w:val="en-US"/>
        </w:rPr>
        <w:t xml:space="preserve">s therefore </w:t>
      </w:r>
      <w:r w:rsidR="00A75D0B">
        <w:rPr>
          <w:rFonts w:cs="Calibri"/>
          <w:lang w:val="en-US"/>
        </w:rPr>
        <w:t xml:space="preserve">been </w:t>
      </w:r>
      <w:r>
        <w:rPr>
          <w:rFonts w:cs="Calibri"/>
          <w:lang w:val="en-US"/>
        </w:rPr>
        <w:t>protected</w:t>
      </w:r>
      <w:r w:rsidR="00A75D0B">
        <w:rPr>
          <w:rFonts w:cs="Calibri"/>
          <w:lang w:val="en-US"/>
        </w:rPr>
        <w:t xml:space="preserve"> </w:t>
      </w:r>
      <w:r w:rsidR="00AE7A04">
        <w:rPr>
          <w:rFonts w:cs="Calibri"/>
          <w:lang w:val="en-US"/>
        </w:rPr>
        <w:t xml:space="preserve">under the umbrella of </w:t>
      </w:r>
      <w:r w:rsidR="00EB01B0">
        <w:rPr>
          <w:rFonts w:cs="Calibri"/>
          <w:lang w:val="en-US"/>
        </w:rPr>
        <w:t>the free movement of workers in Article 45 TFEU</w:t>
      </w:r>
      <w:r w:rsidR="00846791">
        <w:rPr>
          <w:rFonts w:cs="Calibri"/>
          <w:lang w:val="en-US"/>
        </w:rPr>
        <w:t>.</w:t>
      </w:r>
      <w:r w:rsidR="00390706">
        <w:rPr>
          <w:rStyle w:val="FootnoteReference"/>
          <w:rFonts w:cs="Calibri"/>
          <w:lang w:val="en-US"/>
        </w:rPr>
        <w:footnoteReference w:id="3"/>
      </w:r>
      <w:r w:rsidR="00A75D0B">
        <w:rPr>
          <w:rFonts w:cs="Calibri"/>
          <w:lang w:val="en-US"/>
        </w:rPr>
        <w:t xml:space="preserve"> </w:t>
      </w:r>
      <w:r w:rsidR="00911F12">
        <w:rPr>
          <w:rFonts w:cs="Calibri"/>
          <w:lang w:val="en-US"/>
        </w:rPr>
        <w:t>The right of residence for jobseekers has since been codified in Article 14(4)(b) Directive 2004/38</w:t>
      </w:r>
      <w:r w:rsidR="002417D6">
        <w:rPr>
          <w:rFonts w:cs="Calibri"/>
          <w:lang w:val="en-US"/>
        </w:rPr>
        <w:t xml:space="preserve"> and </w:t>
      </w:r>
      <w:r w:rsidR="0097468C">
        <w:rPr>
          <w:rFonts w:cs="Calibri"/>
          <w:lang w:val="en-US"/>
        </w:rPr>
        <w:t>exists independently</w:t>
      </w:r>
      <w:r w:rsidR="002417D6">
        <w:rPr>
          <w:rFonts w:cs="Calibri"/>
          <w:lang w:val="en-US"/>
        </w:rPr>
        <w:t xml:space="preserve"> from more standard residence rights in Articles 6, 7 and 16 of the same Directive.</w:t>
      </w:r>
      <w:r w:rsidR="00911F12">
        <w:rPr>
          <w:rStyle w:val="FootnoteReference"/>
          <w:rFonts w:cs="Calibri"/>
          <w:lang w:val="en-US"/>
        </w:rPr>
        <w:footnoteReference w:id="4"/>
      </w:r>
      <w:r w:rsidR="00911F12">
        <w:rPr>
          <w:rFonts w:cs="Calibri"/>
          <w:lang w:val="en-US"/>
        </w:rPr>
        <w:t xml:space="preserve"> </w:t>
      </w:r>
      <w:r w:rsidR="002417D6">
        <w:rPr>
          <w:rFonts w:cs="Calibri"/>
          <w:lang w:val="en-US"/>
        </w:rPr>
        <w:t xml:space="preserve">It </w:t>
      </w:r>
      <w:r w:rsidR="00911F12">
        <w:rPr>
          <w:rFonts w:cs="Calibri"/>
          <w:lang w:val="en-US"/>
        </w:rPr>
        <w:t>is not bound by the more standard t</w:t>
      </w:r>
      <w:r w:rsidR="00D155EA">
        <w:rPr>
          <w:rFonts w:cs="Calibri"/>
          <w:lang w:val="en-US"/>
        </w:rPr>
        <w:t>ime</w:t>
      </w:r>
      <w:r w:rsidR="00911F12">
        <w:rPr>
          <w:rFonts w:cs="Calibri"/>
          <w:lang w:val="en-US"/>
        </w:rPr>
        <w:t xml:space="preserve"> framework of </w:t>
      </w:r>
      <w:r w:rsidR="0097468C">
        <w:rPr>
          <w:rFonts w:cs="Calibri"/>
          <w:lang w:val="en-US"/>
        </w:rPr>
        <w:t xml:space="preserve">rights under the Directive: </w:t>
      </w:r>
      <w:r w:rsidR="00911F12">
        <w:rPr>
          <w:rFonts w:cs="Calibri"/>
          <w:lang w:val="en-US"/>
        </w:rPr>
        <w:t xml:space="preserve">Article 6 (right of residence for up to three months), Article 7 (right of residence for more than three months) and Article 16 (permanent residence). Nevertheless, residence as a jobseeker </w:t>
      </w:r>
      <w:r w:rsidR="00A75D0B">
        <w:rPr>
          <w:rFonts w:cs="Calibri"/>
          <w:lang w:val="en-US"/>
        </w:rPr>
        <w:t xml:space="preserve">is not indefinite and instead relies on </w:t>
      </w:r>
      <w:r w:rsidR="000215CC">
        <w:rPr>
          <w:rFonts w:cs="Calibri"/>
          <w:lang w:val="en-US"/>
        </w:rPr>
        <w:t xml:space="preserve">host </w:t>
      </w:r>
      <w:r w:rsidR="00A75D0B">
        <w:rPr>
          <w:rFonts w:cs="Calibri"/>
          <w:lang w:val="en-US"/>
        </w:rPr>
        <w:t>Member States</w:t>
      </w:r>
      <w:r w:rsidR="000215CC">
        <w:rPr>
          <w:rFonts w:cs="Calibri"/>
          <w:lang w:val="en-US"/>
        </w:rPr>
        <w:t xml:space="preserve"> to </w:t>
      </w:r>
      <w:r w:rsidR="00AE7A04">
        <w:rPr>
          <w:rFonts w:cs="Calibri"/>
          <w:lang w:val="en-US"/>
        </w:rPr>
        <w:t>provide</w:t>
      </w:r>
      <w:r w:rsidR="000215CC">
        <w:rPr>
          <w:rFonts w:cs="Calibri"/>
          <w:lang w:val="en-US"/>
        </w:rPr>
        <w:t xml:space="preserve"> </w:t>
      </w:r>
      <w:r w:rsidR="00A75D0B">
        <w:rPr>
          <w:rFonts w:cs="Calibri"/>
          <w:lang w:val="en-US"/>
        </w:rPr>
        <w:t>jobseekers a ‘reasonable period</w:t>
      </w:r>
      <w:r w:rsidR="00E910BE">
        <w:rPr>
          <w:rFonts w:cs="Calibri"/>
          <w:lang w:val="en-US"/>
        </w:rPr>
        <w:t xml:space="preserve"> of time</w:t>
      </w:r>
      <w:r w:rsidR="00A75D0B">
        <w:rPr>
          <w:rFonts w:cs="Calibri"/>
          <w:lang w:val="en-US"/>
        </w:rPr>
        <w:t xml:space="preserve">’ to acquaint themselves with suitable employment opportunities </w:t>
      </w:r>
      <w:r w:rsidR="000215CC">
        <w:rPr>
          <w:rFonts w:cs="Calibri"/>
          <w:lang w:val="en-US"/>
        </w:rPr>
        <w:t>or longer if they can demonstrate a ‘genuine chance of being engaged’.</w:t>
      </w:r>
      <w:r w:rsidR="000215CC">
        <w:rPr>
          <w:rStyle w:val="FootnoteReference"/>
          <w:rFonts w:cs="Calibri"/>
          <w:lang w:val="en-US"/>
        </w:rPr>
        <w:footnoteReference w:id="5"/>
      </w:r>
      <w:r w:rsidR="000215CC">
        <w:rPr>
          <w:rFonts w:cs="Calibri"/>
          <w:lang w:val="en-US"/>
        </w:rPr>
        <w:t xml:space="preserve"> The precise limits of </w:t>
      </w:r>
      <w:r w:rsidR="00E07FC2">
        <w:rPr>
          <w:rFonts w:cs="Calibri"/>
          <w:lang w:val="en-US"/>
        </w:rPr>
        <w:t>this right</w:t>
      </w:r>
      <w:r w:rsidR="000215CC">
        <w:rPr>
          <w:rFonts w:cs="Calibri"/>
          <w:lang w:val="en-US"/>
        </w:rPr>
        <w:t xml:space="preserve"> of residence</w:t>
      </w:r>
      <w:r w:rsidR="00E07FC2">
        <w:rPr>
          <w:rFonts w:cs="Calibri"/>
          <w:lang w:val="en-US"/>
        </w:rPr>
        <w:t xml:space="preserve"> and what a ‘reasonable period</w:t>
      </w:r>
      <w:r w:rsidR="00E910BE">
        <w:rPr>
          <w:rFonts w:cs="Calibri"/>
          <w:lang w:val="en-US"/>
        </w:rPr>
        <w:t xml:space="preserve"> of time</w:t>
      </w:r>
      <w:r w:rsidR="00E07FC2">
        <w:rPr>
          <w:rFonts w:cs="Calibri"/>
          <w:lang w:val="en-US"/>
        </w:rPr>
        <w:t xml:space="preserve">’ or </w:t>
      </w:r>
      <w:r w:rsidR="002417D6">
        <w:rPr>
          <w:rFonts w:cs="Calibri"/>
          <w:lang w:val="en-US"/>
        </w:rPr>
        <w:t xml:space="preserve">a </w:t>
      </w:r>
      <w:r w:rsidR="00E07FC2">
        <w:rPr>
          <w:rFonts w:cs="Calibri"/>
          <w:lang w:val="en-US"/>
        </w:rPr>
        <w:t>‘genuine chance of being engaged’ means</w:t>
      </w:r>
      <w:r w:rsidR="000215CC">
        <w:rPr>
          <w:rFonts w:cs="Calibri"/>
          <w:lang w:val="en-US"/>
        </w:rPr>
        <w:t xml:space="preserve"> have always been, perhaps deliberately, a bit </w:t>
      </w:r>
      <w:r w:rsidR="009D4E73">
        <w:rPr>
          <w:rFonts w:cs="Calibri"/>
          <w:lang w:val="en-US"/>
        </w:rPr>
        <w:t>murky</w:t>
      </w:r>
      <w:r w:rsidR="000215CC">
        <w:rPr>
          <w:rFonts w:cs="Calibri"/>
          <w:lang w:val="en-US"/>
        </w:rPr>
        <w:t>.</w:t>
      </w:r>
      <w:r w:rsidR="00E07FC2">
        <w:rPr>
          <w:rFonts w:cs="Calibri"/>
          <w:lang w:val="en-US"/>
        </w:rPr>
        <w:t xml:space="preserve"> </w:t>
      </w:r>
    </w:p>
    <w:p w14:paraId="42402964" w14:textId="7C7290BD" w:rsidR="00BA3AA8" w:rsidRDefault="001349BC" w:rsidP="0056184C">
      <w:pPr>
        <w:shd w:val="clear" w:color="auto" w:fill="FFFFFF"/>
        <w:spacing w:after="120"/>
        <w:ind w:right="-52"/>
        <w:jc w:val="both"/>
        <w:rPr>
          <w:rFonts w:cs="Calibri"/>
          <w:lang w:val="en-US"/>
        </w:rPr>
      </w:pPr>
      <w:r>
        <w:rPr>
          <w:rFonts w:cs="Calibri"/>
          <w:lang w:val="en-US"/>
        </w:rPr>
        <w:t>T</w:t>
      </w:r>
      <w:r w:rsidR="001C213E">
        <w:rPr>
          <w:rFonts w:cs="Calibri"/>
          <w:lang w:val="en-US"/>
        </w:rPr>
        <w:t>he t</w:t>
      </w:r>
      <w:r>
        <w:rPr>
          <w:rFonts w:cs="Calibri"/>
          <w:lang w:val="en-US"/>
        </w:rPr>
        <w:t xml:space="preserve">reatment of jobseekers’ residence rights </w:t>
      </w:r>
      <w:r w:rsidR="00102051">
        <w:rPr>
          <w:rFonts w:cs="Calibri"/>
          <w:lang w:val="en-US"/>
        </w:rPr>
        <w:t>differ</w:t>
      </w:r>
      <w:r>
        <w:rPr>
          <w:rFonts w:cs="Calibri"/>
          <w:lang w:val="en-US"/>
        </w:rPr>
        <w:t>s greatly between Member States.</w:t>
      </w:r>
      <w:bookmarkStart w:id="1" w:name="_Ref71023187"/>
      <w:r>
        <w:rPr>
          <w:rStyle w:val="FootnoteReference"/>
          <w:rFonts w:cs="Calibri"/>
          <w:lang w:val="en-US"/>
        </w:rPr>
        <w:footnoteReference w:id="6"/>
      </w:r>
      <w:bookmarkEnd w:id="1"/>
      <w:r w:rsidR="00102051">
        <w:rPr>
          <w:rFonts w:cs="Calibri"/>
          <w:lang w:val="en-US"/>
        </w:rPr>
        <w:t xml:space="preserve"> There are variations in</w:t>
      </w:r>
      <w:r w:rsidR="00E910BE">
        <w:rPr>
          <w:rFonts w:cs="Calibri"/>
          <w:lang w:val="en-US"/>
        </w:rPr>
        <w:t xml:space="preserve"> both</w:t>
      </w:r>
      <w:r w:rsidR="00102051">
        <w:rPr>
          <w:rFonts w:cs="Calibri"/>
          <w:lang w:val="en-US"/>
        </w:rPr>
        <w:t xml:space="preserve"> temporal limitations and in the conditions </w:t>
      </w:r>
      <w:r w:rsidR="00E910BE">
        <w:rPr>
          <w:rFonts w:cs="Calibri"/>
          <w:lang w:val="en-US"/>
        </w:rPr>
        <w:t xml:space="preserve">set </w:t>
      </w:r>
      <w:r w:rsidR="00102051">
        <w:rPr>
          <w:rFonts w:cs="Calibri"/>
          <w:lang w:val="en-US"/>
        </w:rPr>
        <w:t xml:space="preserve">to acquire status as a jobseeker. </w:t>
      </w:r>
      <w:r w:rsidR="00BA3AA8">
        <w:rPr>
          <w:rFonts w:cs="Calibri"/>
          <w:lang w:val="en-US"/>
        </w:rPr>
        <w:t>It is important to note first that, w</w:t>
      </w:r>
      <w:proofErr w:type="spellStart"/>
      <w:r w:rsidR="00BA3AA8">
        <w:t>hile</w:t>
      </w:r>
      <w:proofErr w:type="spellEnd"/>
      <w:r w:rsidR="00BA3AA8">
        <w:t xml:space="preserve"> j</w:t>
      </w:r>
      <w:proofErr w:type="spellStart"/>
      <w:r w:rsidR="00BA3AA8">
        <w:rPr>
          <w:rFonts w:cs="Calibri"/>
          <w:lang w:val="en-US"/>
        </w:rPr>
        <w:t>obseekers</w:t>
      </w:r>
      <w:proofErr w:type="spellEnd"/>
      <w:r w:rsidR="00BA3AA8">
        <w:rPr>
          <w:rFonts w:cs="Calibri"/>
          <w:lang w:val="en-US"/>
        </w:rPr>
        <w:t xml:space="preserve"> are entitled to equal treatment</w:t>
      </w:r>
      <w:r w:rsidR="00BA3AA8">
        <w:rPr>
          <w:rStyle w:val="FootnoteReference"/>
          <w:rFonts w:cs="Calibri"/>
          <w:lang w:val="en-US"/>
        </w:rPr>
        <w:footnoteReference w:id="7"/>
      </w:r>
      <w:r w:rsidR="00BA3AA8">
        <w:rPr>
          <w:rFonts w:cs="Calibri"/>
          <w:lang w:val="en-US"/>
        </w:rPr>
        <w:t xml:space="preserve"> and benefits intended to facilitate access to the </w:t>
      </w:r>
      <w:proofErr w:type="spellStart"/>
      <w:r w:rsidR="00BA3AA8">
        <w:rPr>
          <w:rFonts w:cs="Calibri"/>
          <w:lang w:val="en-US"/>
        </w:rPr>
        <w:t>labour</w:t>
      </w:r>
      <w:proofErr w:type="spellEnd"/>
      <w:r w:rsidR="00BA3AA8">
        <w:rPr>
          <w:rFonts w:cs="Calibri"/>
          <w:lang w:val="en-US"/>
        </w:rPr>
        <w:t xml:space="preserve"> market,</w:t>
      </w:r>
      <w:r w:rsidR="00BA3AA8">
        <w:rPr>
          <w:rStyle w:val="FootnoteReference"/>
          <w:rFonts w:cs="Calibri"/>
          <w:lang w:val="en-US"/>
        </w:rPr>
        <w:footnoteReference w:id="8"/>
      </w:r>
      <w:r w:rsidR="00BA3AA8">
        <w:rPr>
          <w:rFonts w:cs="Calibri"/>
          <w:lang w:val="en-US"/>
        </w:rPr>
        <w:t xml:space="preserve"> this entitlement under EU law does not extend to entitlement to social assistance, or benefits intended to ensure a minimum subsistence,</w:t>
      </w:r>
      <w:r w:rsidR="00BA3AA8">
        <w:rPr>
          <w:rStyle w:val="FootnoteReference"/>
          <w:rFonts w:cs="Calibri"/>
          <w:lang w:val="en-US"/>
        </w:rPr>
        <w:footnoteReference w:id="9"/>
      </w:r>
      <w:r w:rsidR="00BA3AA8">
        <w:rPr>
          <w:rFonts w:cs="Calibri"/>
          <w:lang w:val="en-US"/>
        </w:rPr>
        <w:t xml:space="preserve"> which Member States can withhold under Article 24(2) Directive 2004/38.</w:t>
      </w:r>
      <w:r w:rsidR="00BA3AA8">
        <w:rPr>
          <w:rStyle w:val="FootnoteReference"/>
          <w:rFonts w:cs="Calibri"/>
          <w:lang w:val="en-US"/>
        </w:rPr>
        <w:footnoteReference w:id="10"/>
      </w:r>
      <w:r w:rsidR="00BA3AA8">
        <w:rPr>
          <w:rFonts w:cs="Calibri"/>
          <w:lang w:val="en-US"/>
        </w:rPr>
        <w:t xml:space="preserve"> </w:t>
      </w:r>
      <w:r w:rsidR="00D155EA">
        <w:rPr>
          <w:rFonts w:cs="Calibri"/>
          <w:lang w:val="en-US"/>
        </w:rPr>
        <w:t>While t</w:t>
      </w:r>
      <w:r w:rsidR="00BA3AA8">
        <w:rPr>
          <w:rFonts w:cs="Calibri"/>
          <w:lang w:val="en-US"/>
        </w:rPr>
        <w:t xml:space="preserve">he judgment in </w:t>
      </w:r>
      <w:r w:rsidR="00BA3AA8" w:rsidRPr="00184FFE">
        <w:rPr>
          <w:rFonts w:cs="Calibri"/>
          <w:i/>
          <w:iCs/>
          <w:lang w:val="en-US"/>
        </w:rPr>
        <w:t>G. M. A.</w:t>
      </w:r>
      <w:r w:rsidR="00BA3AA8">
        <w:rPr>
          <w:rFonts w:cs="Calibri"/>
          <w:lang w:val="en-US"/>
        </w:rPr>
        <w:t xml:space="preserve"> concerns jobseekers’ rights to continue to reside in a host State, not to the more controversial topic of access to a host Member States’ social assistance </w:t>
      </w:r>
      <w:r w:rsidR="00BA3AA8">
        <w:rPr>
          <w:rFonts w:cs="Calibri"/>
          <w:lang w:val="en-US"/>
        </w:rPr>
        <w:lastRenderedPageBreak/>
        <w:t>system</w:t>
      </w:r>
      <w:r w:rsidR="00D155EA">
        <w:rPr>
          <w:rFonts w:cs="Calibri"/>
          <w:lang w:val="en-US"/>
        </w:rPr>
        <w:t xml:space="preserve">, the </w:t>
      </w:r>
      <w:r w:rsidR="00DF3C18">
        <w:rPr>
          <w:rFonts w:cs="Calibri"/>
          <w:lang w:val="en-US"/>
        </w:rPr>
        <w:t xml:space="preserve">restrictions to </w:t>
      </w:r>
      <w:r w:rsidR="00A55DBF">
        <w:rPr>
          <w:rFonts w:cs="Calibri"/>
          <w:lang w:val="en-US"/>
        </w:rPr>
        <w:t xml:space="preserve">financial </w:t>
      </w:r>
      <w:r w:rsidR="00DF3C18">
        <w:rPr>
          <w:rFonts w:cs="Calibri"/>
          <w:lang w:val="en-US"/>
        </w:rPr>
        <w:t xml:space="preserve">support </w:t>
      </w:r>
      <w:r w:rsidR="00A55DBF">
        <w:rPr>
          <w:rFonts w:cs="Calibri"/>
          <w:lang w:val="en-US"/>
        </w:rPr>
        <w:t>can play an important role in the experience of mobile EU jobseekers</w:t>
      </w:r>
      <w:r w:rsidR="00BA3AA8">
        <w:rPr>
          <w:rFonts w:cs="Calibri"/>
          <w:lang w:val="en-US"/>
        </w:rPr>
        <w:t xml:space="preserve">.  </w:t>
      </w:r>
    </w:p>
    <w:p w14:paraId="15BFF266" w14:textId="34E6FD01" w:rsidR="001E3D51" w:rsidRPr="001E3D51" w:rsidRDefault="00102051" w:rsidP="0056184C">
      <w:pPr>
        <w:shd w:val="clear" w:color="auto" w:fill="FFFFFF"/>
        <w:spacing w:after="120"/>
        <w:ind w:right="-52"/>
        <w:jc w:val="both"/>
        <w:rPr>
          <w:rFonts w:cs="Calibri"/>
          <w:lang w:val="en-US"/>
        </w:rPr>
      </w:pPr>
      <w:r>
        <w:rPr>
          <w:rFonts w:cs="Calibri"/>
          <w:lang w:val="en-US"/>
        </w:rPr>
        <w:t>I</w:t>
      </w:r>
      <w:r w:rsidR="001552B1">
        <w:rPr>
          <w:rFonts w:cs="Calibri"/>
          <w:lang w:val="en-US"/>
        </w:rPr>
        <w:t xml:space="preserve">n </w:t>
      </w:r>
      <w:r w:rsidR="001552B1" w:rsidRPr="00184FFE">
        <w:rPr>
          <w:rFonts w:cs="Calibri"/>
          <w:i/>
          <w:iCs/>
          <w:lang w:val="en-US"/>
        </w:rPr>
        <w:t>G. M. A.</w:t>
      </w:r>
      <w:r w:rsidR="00715CC3">
        <w:rPr>
          <w:rFonts w:cs="Calibri"/>
          <w:lang w:val="en-US"/>
        </w:rPr>
        <w:t>,</w:t>
      </w:r>
      <w:r w:rsidR="001552B1">
        <w:rPr>
          <w:rFonts w:cs="Calibri"/>
          <w:lang w:val="en-US"/>
        </w:rPr>
        <w:t xml:space="preserve"> the Court </w:t>
      </w:r>
      <w:r w:rsidR="00715CC3">
        <w:rPr>
          <w:rFonts w:cs="Calibri"/>
          <w:lang w:val="en-US"/>
        </w:rPr>
        <w:t>found that six months</w:t>
      </w:r>
      <w:r w:rsidR="00BA3AA8">
        <w:rPr>
          <w:rFonts w:cs="Calibri"/>
          <w:lang w:val="en-US"/>
        </w:rPr>
        <w:t>,</w:t>
      </w:r>
      <w:r w:rsidR="00715CC3">
        <w:rPr>
          <w:rFonts w:cs="Calibri"/>
          <w:lang w:val="en-US"/>
        </w:rPr>
        <w:t xml:space="preserve"> from the point of registration as a jobseeker</w:t>
      </w:r>
      <w:r w:rsidR="00BA3AA8">
        <w:rPr>
          <w:rFonts w:cs="Calibri"/>
          <w:lang w:val="en-US"/>
        </w:rPr>
        <w:t>,</w:t>
      </w:r>
      <w:r w:rsidR="00715CC3">
        <w:rPr>
          <w:rFonts w:cs="Calibri"/>
          <w:lang w:val="en-US"/>
        </w:rPr>
        <w:t xml:space="preserve"> would not appear</w:t>
      </w:r>
      <w:r w:rsidR="00BA3AA8">
        <w:rPr>
          <w:rFonts w:cs="Calibri"/>
          <w:lang w:val="en-US"/>
        </w:rPr>
        <w:t xml:space="preserve"> </w:t>
      </w:r>
      <w:r w:rsidR="00715CC3">
        <w:rPr>
          <w:rFonts w:cs="Calibri"/>
          <w:lang w:val="en-US"/>
        </w:rPr>
        <w:t xml:space="preserve">to be insufficient for </w:t>
      </w:r>
      <w:r w:rsidR="00BA3AA8">
        <w:rPr>
          <w:rFonts w:cs="Calibri"/>
          <w:lang w:val="en-US"/>
        </w:rPr>
        <w:t>newly arrived jobseekers to have a</w:t>
      </w:r>
      <w:r w:rsidR="00715CC3">
        <w:rPr>
          <w:rFonts w:cs="Calibri"/>
          <w:lang w:val="en-US"/>
        </w:rPr>
        <w:t xml:space="preserve"> ‘reasonable </w:t>
      </w:r>
      <w:proofErr w:type="gramStart"/>
      <w:r w:rsidR="00715CC3">
        <w:rPr>
          <w:rFonts w:cs="Calibri"/>
          <w:lang w:val="en-US"/>
        </w:rPr>
        <w:t>period of time</w:t>
      </w:r>
      <w:proofErr w:type="gramEnd"/>
      <w:r w:rsidR="00715CC3">
        <w:rPr>
          <w:rFonts w:cs="Calibri"/>
          <w:lang w:val="en-US"/>
        </w:rPr>
        <w:t>’</w:t>
      </w:r>
      <w:r w:rsidR="00BA3AA8">
        <w:rPr>
          <w:rFonts w:cs="Calibri"/>
          <w:lang w:val="en-US"/>
        </w:rPr>
        <w:t xml:space="preserve"> to acquaint themselves with suitable employment</w:t>
      </w:r>
      <w:r w:rsidR="00715CC3">
        <w:rPr>
          <w:rFonts w:cs="Calibri"/>
          <w:lang w:val="en-US"/>
        </w:rPr>
        <w:t>.</w:t>
      </w:r>
      <w:r w:rsidR="00BA3AA8">
        <w:rPr>
          <w:rFonts w:cs="Calibri"/>
          <w:lang w:val="en-US"/>
        </w:rPr>
        <w:t xml:space="preserve"> The judgment also </w:t>
      </w:r>
      <w:r w:rsidR="00CB0ABF">
        <w:rPr>
          <w:rFonts w:cs="Calibri"/>
          <w:lang w:val="en-US"/>
        </w:rPr>
        <w:t xml:space="preserve">established </w:t>
      </w:r>
      <w:r w:rsidR="00BA3AA8">
        <w:rPr>
          <w:rFonts w:cs="Calibri"/>
          <w:lang w:val="en-US"/>
        </w:rPr>
        <w:t xml:space="preserve">that Member States could only impose the ‘genuine chance of being engaged’ condition on jobseekers after this reasonable </w:t>
      </w:r>
      <w:proofErr w:type="gramStart"/>
      <w:r w:rsidR="00BA3AA8">
        <w:rPr>
          <w:rFonts w:cs="Calibri"/>
          <w:lang w:val="en-US"/>
        </w:rPr>
        <w:t>period of time</w:t>
      </w:r>
      <w:proofErr w:type="gramEnd"/>
      <w:r w:rsidR="00BA3AA8">
        <w:rPr>
          <w:rFonts w:cs="Calibri"/>
          <w:lang w:val="en-US"/>
        </w:rPr>
        <w:t xml:space="preserve"> and provided some guidance of what should be considered as part of this test. </w:t>
      </w:r>
      <w:r w:rsidR="009E505F">
        <w:rPr>
          <w:rFonts w:cs="Calibri"/>
          <w:lang w:val="en-US"/>
        </w:rPr>
        <w:t xml:space="preserve">This case note will </w:t>
      </w:r>
      <w:r w:rsidR="00BA3AA8">
        <w:rPr>
          <w:rFonts w:cs="Calibri"/>
          <w:lang w:val="en-US"/>
        </w:rPr>
        <w:t xml:space="preserve">consider these key findings and the </w:t>
      </w:r>
      <w:r w:rsidR="009E505F">
        <w:rPr>
          <w:rFonts w:cs="Calibri"/>
          <w:lang w:val="en-US"/>
        </w:rPr>
        <w:t xml:space="preserve">potential for this </w:t>
      </w:r>
      <w:r w:rsidR="00715CC3">
        <w:rPr>
          <w:rFonts w:cs="Calibri"/>
          <w:lang w:val="en-US"/>
        </w:rPr>
        <w:t>judgment</w:t>
      </w:r>
      <w:r w:rsidR="009E505F">
        <w:rPr>
          <w:rFonts w:cs="Calibri"/>
          <w:lang w:val="en-US"/>
        </w:rPr>
        <w:t xml:space="preserve"> to harmonize Member State approaches</w:t>
      </w:r>
      <w:r w:rsidR="00BA3AA8">
        <w:rPr>
          <w:rFonts w:cs="Calibri"/>
          <w:lang w:val="en-US"/>
        </w:rPr>
        <w:t xml:space="preserve"> to </w:t>
      </w:r>
      <w:proofErr w:type="gramStart"/>
      <w:r w:rsidR="00BA3AA8">
        <w:rPr>
          <w:rFonts w:cs="Calibri"/>
          <w:lang w:val="en-US"/>
        </w:rPr>
        <w:t>jobseekers</w:t>
      </w:r>
      <w:proofErr w:type="gramEnd"/>
      <w:r w:rsidR="00BA3AA8">
        <w:rPr>
          <w:rFonts w:cs="Calibri"/>
          <w:lang w:val="en-US"/>
        </w:rPr>
        <w:t xml:space="preserve"> residence rights. It will </w:t>
      </w:r>
      <w:r w:rsidR="00CB0ABF">
        <w:rPr>
          <w:rFonts w:cs="Calibri"/>
          <w:lang w:val="en-US"/>
        </w:rPr>
        <w:t xml:space="preserve">also </w:t>
      </w:r>
      <w:r w:rsidR="00BA3AA8">
        <w:rPr>
          <w:rFonts w:cs="Calibri"/>
          <w:lang w:val="en-US"/>
        </w:rPr>
        <w:t xml:space="preserve">consider what the judgment </w:t>
      </w:r>
      <w:r w:rsidR="001E3D51">
        <w:rPr>
          <w:rFonts w:cs="Calibri"/>
          <w:lang w:val="en-US"/>
        </w:rPr>
        <w:t>contributes</w:t>
      </w:r>
      <w:r w:rsidR="00BA3AA8">
        <w:rPr>
          <w:rFonts w:cs="Calibri"/>
          <w:lang w:val="en-US"/>
        </w:rPr>
        <w:t xml:space="preserve"> to the effectiveness of free movement </w:t>
      </w:r>
      <w:r w:rsidR="001E3D51">
        <w:rPr>
          <w:rFonts w:cs="Calibri"/>
          <w:lang w:val="en-US"/>
        </w:rPr>
        <w:t xml:space="preserve">rights </w:t>
      </w:r>
      <w:r w:rsidR="00BA3AA8">
        <w:rPr>
          <w:rFonts w:cs="Calibri"/>
          <w:lang w:val="en-US"/>
        </w:rPr>
        <w:t>for jobseek</w:t>
      </w:r>
      <w:r w:rsidR="00435E0A">
        <w:rPr>
          <w:rFonts w:cs="Calibri"/>
          <w:lang w:val="en-US"/>
        </w:rPr>
        <w:t>ers</w:t>
      </w:r>
      <w:r w:rsidR="00CB0ABF">
        <w:rPr>
          <w:rFonts w:cs="Calibri"/>
          <w:lang w:val="en-US"/>
        </w:rPr>
        <w:t xml:space="preserve">. </w:t>
      </w:r>
      <w:r w:rsidR="00227BFD">
        <w:rPr>
          <w:rFonts w:cs="Calibri"/>
          <w:lang w:val="en-US"/>
        </w:rPr>
        <w:t xml:space="preserve">Regardless of the protections established in </w:t>
      </w:r>
      <w:r w:rsidR="00227BFD" w:rsidRPr="00184FFE">
        <w:rPr>
          <w:rFonts w:cs="Calibri"/>
          <w:i/>
          <w:iCs/>
          <w:lang w:val="en-US"/>
        </w:rPr>
        <w:t>G. M. A.</w:t>
      </w:r>
      <w:r w:rsidR="00227BFD">
        <w:rPr>
          <w:rFonts w:cs="Calibri"/>
          <w:lang w:val="en-US"/>
        </w:rPr>
        <w:t>, b</w:t>
      </w:r>
      <w:r w:rsidR="00435E0A">
        <w:rPr>
          <w:rFonts w:cs="Calibri"/>
          <w:lang w:val="en-US"/>
        </w:rPr>
        <w:t xml:space="preserve">arriers </w:t>
      </w:r>
      <w:proofErr w:type="gramStart"/>
      <w:r w:rsidR="00227BFD">
        <w:rPr>
          <w:rFonts w:cs="Calibri"/>
          <w:lang w:val="en-US"/>
        </w:rPr>
        <w:t xml:space="preserve">still </w:t>
      </w:r>
      <w:r w:rsidR="00435E0A">
        <w:rPr>
          <w:rFonts w:cs="Calibri"/>
          <w:lang w:val="en-US"/>
        </w:rPr>
        <w:t>remain</w:t>
      </w:r>
      <w:proofErr w:type="gramEnd"/>
      <w:r w:rsidR="00227BFD">
        <w:rPr>
          <w:rFonts w:cs="Calibri"/>
          <w:lang w:val="en-US"/>
        </w:rPr>
        <w:t xml:space="preserve"> </w:t>
      </w:r>
      <w:r w:rsidR="00435E0A">
        <w:rPr>
          <w:rFonts w:cs="Calibri"/>
          <w:lang w:val="en-US"/>
        </w:rPr>
        <w:t>for</w:t>
      </w:r>
      <w:r w:rsidR="001E3D51">
        <w:rPr>
          <w:rFonts w:cs="Calibri"/>
          <w:lang w:val="en-US"/>
        </w:rPr>
        <w:t xml:space="preserve"> migrant</w:t>
      </w:r>
      <w:r w:rsidR="00435E0A">
        <w:rPr>
          <w:rFonts w:cs="Calibri"/>
          <w:lang w:val="en-US"/>
        </w:rPr>
        <w:t xml:space="preserve"> jobseekers </w:t>
      </w:r>
      <w:r w:rsidR="001E3D51">
        <w:rPr>
          <w:rFonts w:cs="Calibri"/>
          <w:lang w:val="en-US"/>
        </w:rPr>
        <w:t xml:space="preserve">who experience </w:t>
      </w:r>
      <w:r w:rsidR="00435E0A">
        <w:rPr>
          <w:rFonts w:cs="Calibri"/>
          <w:lang w:val="en-US"/>
        </w:rPr>
        <w:t xml:space="preserve">structural discrimination </w:t>
      </w:r>
      <w:r w:rsidR="001E3D51">
        <w:rPr>
          <w:rFonts w:cs="Calibri"/>
          <w:lang w:val="en-US"/>
        </w:rPr>
        <w:t xml:space="preserve">in the </w:t>
      </w:r>
      <w:proofErr w:type="spellStart"/>
      <w:r w:rsidR="00435E0A">
        <w:rPr>
          <w:rFonts w:cs="Calibri"/>
          <w:lang w:val="en-US"/>
        </w:rPr>
        <w:t>labour</w:t>
      </w:r>
      <w:proofErr w:type="spellEnd"/>
      <w:r w:rsidR="00435E0A">
        <w:rPr>
          <w:rFonts w:cs="Calibri"/>
          <w:lang w:val="en-US"/>
        </w:rPr>
        <w:t xml:space="preserve"> marke</w:t>
      </w:r>
      <w:r w:rsidR="001E3D51">
        <w:rPr>
          <w:rFonts w:cs="Calibri"/>
          <w:lang w:val="en-US"/>
        </w:rPr>
        <w:t>t or who are unable to afford an extended period of job seeking without access to social assistance</w:t>
      </w:r>
      <w:r w:rsidR="00227BFD">
        <w:rPr>
          <w:rFonts w:cs="Calibri"/>
          <w:lang w:val="en-US"/>
        </w:rPr>
        <w:t>.</w:t>
      </w:r>
    </w:p>
    <w:p w14:paraId="0D318B91" w14:textId="6700F82B" w:rsidR="00475D27" w:rsidRPr="002A68EC" w:rsidRDefault="00F47031" w:rsidP="0056184C">
      <w:pPr>
        <w:pStyle w:val="Heading2"/>
        <w:spacing w:before="0" w:after="120"/>
        <w:jc w:val="both"/>
        <w:rPr>
          <w:rFonts w:ascii="Times New Roman" w:hAnsi="Times New Roman"/>
          <w:color w:val="auto"/>
          <w:sz w:val="24"/>
          <w:lang w:val="en-US"/>
        </w:rPr>
      </w:pPr>
      <w:r w:rsidRPr="003A14EA">
        <w:rPr>
          <w:rFonts w:ascii="Times New Roman" w:hAnsi="Times New Roman"/>
          <w:b/>
          <w:bCs/>
          <w:color w:val="auto"/>
          <w:sz w:val="24"/>
          <w:lang w:val="en-US"/>
        </w:rPr>
        <w:t>2.</w:t>
      </w:r>
      <w:r w:rsidRPr="002A68EC">
        <w:rPr>
          <w:rFonts w:ascii="Times New Roman" w:hAnsi="Times New Roman"/>
          <w:color w:val="auto"/>
          <w:sz w:val="24"/>
          <w:lang w:val="en-US"/>
        </w:rPr>
        <w:t xml:space="preserve"> </w:t>
      </w:r>
      <w:r w:rsidR="003A14EA">
        <w:rPr>
          <w:rFonts w:ascii="Times New Roman" w:hAnsi="Times New Roman"/>
          <w:b/>
          <w:bCs/>
          <w:color w:val="auto"/>
          <w:sz w:val="24"/>
          <w:lang w:val="en-US"/>
        </w:rPr>
        <w:t>The facts of the case</w:t>
      </w:r>
      <w:r w:rsidR="00583916" w:rsidRPr="002A68EC">
        <w:rPr>
          <w:rFonts w:ascii="Times New Roman" w:hAnsi="Times New Roman"/>
          <w:color w:val="auto"/>
          <w:sz w:val="24"/>
          <w:lang w:val="en-US"/>
        </w:rPr>
        <w:t xml:space="preserve"> </w:t>
      </w:r>
    </w:p>
    <w:p w14:paraId="2CED5EA8" w14:textId="2C2CCF0F" w:rsidR="005B6AAB" w:rsidRDefault="00CD25F3" w:rsidP="0056184C">
      <w:pPr>
        <w:shd w:val="clear" w:color="auto" w:fill="FFFFFF"/>
        <w:spacing w:after="120"/>
        <w:ind w:right="-52"/>
        <w:jc w:val="both"/>
        <w:rPr>
          <w:rFonts w:cs="Calibri"/>
          <w:lang w:val="en-US"/>
        </w:rPr>
      </w:pPr>
      <w:r>
        <w:rPr>
          <w:rFonts w:cs="Calibri"/>
          <w:lang w:val="en-US"/>
        </w:rPr>
        <w:t xml:space="preserve">The case concerned a Greek national </w:t>
      </w:r>
      <w:r w:rsidR="00B528CF">
        <w:rPr>
          <w:rFonts w:cs="Calibri"/>
          <w:lang w:val="en-US"/>
        </w:rPr>
        <w:t xml:space="preserve">(G. M. A.) </w:t>
      </w:r>
      <w:r>
        <w:rPr>
          <w:rFonts w:cs="Calibri"/>
          <w:lang w:val="en-US"/>
        </w:rPr>
        <w:t>who had moved to Belgium to seek employment</w:t>
      </w:r>
      <w:r w:rsidR="00135EBF">
        <w:rPr>
          <w:rFonts w:cs="Calibri"/>
          <w:lang w:val="en-US"/>
        </w:rPr>
        <w:t xml:space="preserve"> and who had </w:t>
      </w:r>
      <w:r w:rsidR="00B528CF">
        <w:rPr>
          <w:rFonts w:cs="Calibri"/>
          <w:lang w:val="en-US"/>
        </w:rPr>
        <w:t xml:space="preserve">made an application for a certificate of residence as a jobseeker from the </w:t>
      </w:r>
      <w:r w:rsidR="00B528CF" w:rsidRPr="00B528CF">
        <w:rPr>
          <w:rFonts w:cs="Calibri"/>
          <w:lang w:val="en-US"/>
        </w:rPr>
        <w:t>Office des étrangers</w:t>
      </w:r>
      <w:r w:rsidR="00B528CF">
        <w:rPr>
          <w:rFonts w:cs="Calibri"/>
          <w:lang w:val="en-US"/>
        </w:rPr>
        <w:t xml:space="preserve"> in October 2015. This certificate was required to confer a right of residence for more than three months. The </w:t>
      </w:r>
      <w:r w:rsidR="00B528CF" w:rsidRPr="00B528CF">
        <w:rPr>
          <w:rFonts w:cs="Calibri"/>
          <w:lang w:val="en-US"/>
        </w:rPr>
        <w:t>Office des étrangers</w:t>
      </w:r>
      <w:r w:rsidR="00B528CF">
        <w:rPr>
          <w:rFonts w:cs="Calibri"/>
          <w:lang w:val="en-US"/>
        </w:rPr>
        <w:t xml:space="preserve"> rejected the application in March 2016 on the basis that G. M. A. had not met the requirements for a right of residence beyond three months as a jobseeker as he had failed to demonstrate a ‘genuine chance of being engaged’. </w:t>
      </w:r>
      <w:r w:rsidR="001976C5">
        <w:rPr>
          <w:rFonts w:cs="Calibri"/>
          <w:lang w:val="en-US"/>
        </w:rPr>
        <w:t xml:space="preserve">This rejection also triggered the Office </w:t>
      </w:r>
      <w:r w:rsidR="001976C5" w:rsidRPr="005B6AAB">
        <w:rPr>
          <w:rFonts w:cs="Calibri"/>
          <w:lang w:val="en-US"/>
        </w:rPr>
        <w:t>des étrangers</w:t>
      </w:r>
      <w:r w:rsidR="001976C5">
        <w:rPr>
          <w:rFonts w:cs="Calibri"/>
          <w:lang w:val="en-US"/>
        </w:rPr>
        <w:t xml:space="preserve"> to instruct that </w:t>
      </w:r>
      <w:r w:rsidR="005B6AAB">
        <w:rPr>
          <w:rFonts w:cs="Calibri"/>
          <w:lang w:val="en-US"/>
        </w:rPr>
        <w:t xml:space="preserve">G. M. A. leave Belgium within 30 days. </w:t>
      </w:r>
      <w:r w:rsidR="00E7520B">
        <w:rPr>
          <w:rFonts w:cs="Calibri"/>
          <w:lang w:val="en-US"/>
        </w:rPr>
        <w:t>G. M. A. appealed the refusal to issue and residence certificate and, i</w:t>
      </w:r>
      <w:r w:rsidR="00FB06EA">
        <w:rPr>
          <w:rFonts w:cs="Calibri"/>
          <w:lang w:val="en-US"/>
        </w:rPr>
        <w:t>n June 2018, t</w:t>
      </w:r>
      <w:r w:rsidR="005B6AAB">
        <w:rPr>
          <w:rFonts w:cs="Calibri"/>
          <w:lang w:val="en-US"/>
        </w:rPr>
        <w:t xml:space="preserve">he </w:t>
      </w:r>
      <w:r w:rsidR="001976C5" w:rsidRPr="001976C5">
        <w:rPr>
          <w:rFonts w:cs="Calibri"/>
          <w:lang w:val="en-US"/>
        </w:rPr>
        <w:t xml:space="preserve">Conseil du </w:t>
      </w:r>
      <w:proofErr w:type="spellStart"/>
      <w:r w:rsidR="001976C5" w:rsidRPr="001976C5">
        <w:rPr>
          <w:rFonts w:cs="Calibri"/>
          <w:lang w:val="en-US"/>
        </w:rPr>
        <w:t>contentieux</w:t>
      </w:r>
      <w:proofErr w:type="spellEnd"/>
      <w:r w:rsidR="001976C5" w:rsidRPr="001976C5">
        <w:rPr>
          <w:rFonts w:cs="Calibri"/>
          <w:lang w:val="en-US"/>
        </w:rPr>
        <w:t xml:space="preserve"> des étrangers</w:t>
      </w:r>
      <w:r w:rsidR="00B01F52">
        <w:rPr>
          <w:rFonts w:cs="Calibri"/>
          <w:lang w:val="en-US"/>
        </w:rPr>
        <w:t xml:space="preserve"> (The CCE), </w:t>
      </w:r>
      <w:r w:rsidR="001976C5">
        <w:rPr>
          <w:rFonts w:cs="Calibri"/>
          <w:lang w:val="en-US"/>
        </w:rPr>
        <w:t xml:space="preserve">the </w:t>
      </w:r>
      <w:r w:rsidR="005B6AAB">
        <w:rPr>
          <w:rFonts w:cs="Calibri"/>
          <w:lang w:val="en-US"/>
        </w:rPr>
        <w:t>first instance court for</w:t>
      </w:r>
      <w:r w:rsidR="00E910BE">
        <w:rPr>
          <w:rFonts w:cs="Calibri"/>
          <w:lang w:val="en-US"/>
        </w:rPr>
        <w:t xml:space="preserve"> challenging these</w:t>
      </w:r>
      <w:r w:rsidR="005B6AAB">
        <w:rPr>
          <w:rFonts w:cs="Calibri"/>
          <w:lang w:val="en-US"/>
        </w:rPr>
        <w:t xml:space="preserve"> decision</w:t>
      </w:r>
      <w:r w:rsidR="00E910BE">
        <w:rPr>
          <w:rFonts w:cs="Calibri"/>
          <w:lang w:val="en-US"/>
        </w:rPr>
        <w:t>s</w:t>
      </w:r>
      <w:r w:rsidR="00B01F52">
        <w:rPr>
          <w:rFonts w:cs="Calibri"/>
          <w:lang w:val="en-US"/>
        </w:rPr>
        <w:t>,</w:t>
      </w:r>
      <w:r w:rsidR="001976C5">
        <w:rPr>
          <w:rFonts w:cs="Calibri"/>
          <w:lang w:val="en-US"/>
        </w:rPr>
        <w:t xml:space="preserve"> dismissed the appeal</w:t>
      </w:r>
      <w:r w:rsidR="00E7520B">
        <w:rPr>
          <w:rFonts w:cs="Calibri"/>
          <w:lang w:val="en-US"/>
        </w:rPr>
        <w:t>.</w:t>
      </w:r>
    </w:p>
    <w:p w14:paraId="540FEBF3" w14:textId="699D0351" w:rsidR="00135EBF" w:rsidRDefault="005B6AAB" w:rsidP="0056184C">
      <w:pPr>
        <w:shd w:val="clear" w:color="auto" w:fill="FFFFFF"/>
        <w:spacing w:after="120"/>
        <w:ind w:right="-52"/>
        <w:jc w:val="both"/>
        <w:rPr>
          <w:rFonts w:cs="Calibri"/>
          <w:lang w:val="en-US"/>
        </w:rPr>
      </w:pPr>
      <w:r>
        <w:rPr>
          <w:rFonts w:cs="Calibri"/>
          <w:lang w:val="en-US"/>
        </w:rPr>
        <w:t>An a</w:t>
      </w:r>
      <w:r w:rsidRPr="005B6AAB">
        <w:rPr>
          <w:rFonts w:cs="Calibri"/>
          <w:lang w:val="en-US"/>
        </w:rPr>
        <w:t xml:space="preserve">ppeal </w:t>
      </w:r>
      <w:r>
        <w:rPr>
          <w:rFonts w:cs="Calibri"/>
          <w:lang w:val="en-US"/>
        </w:rPr>
        <w:t xml:space="preserve">was then </w:t>
      </w:r>
      <w:r w:rsidRPr="005B6AAB">
        <w:rPr>
          <w:rFonts w:cs="Calibri"/>
          <w:lang w:val="en-US"/>
        </w:rPr>
        <w:t xml:space="preserve">lodged on a point of law before Conseil </w:t>
      </w:r>
      <w:proofErr w:type="spellStart"/>
      <w:r w:rsidRPr="005B6AAB">
        <w:rPr>
          <w:rFonts w:cs="Calibri"/>
          <w:lang w:val="en-US"/>
        </w:rPr>
        <w:t>d’État</w:t>
      </w:r>
      <w:proofErr w:type="spellEnd"/>
      <w:r w:rsidRPr="005B6AAB">
        <w:rPr>
          <w:rFonts w:cs="Calibri"/>
          <w:lang w:val="en-US"/>
        </w:rPr>
        <w:t xml:space="preserve"> (Council of State, Belgium)</w:t>
      </w:r>
      <w:r w:rsidR="001976C5">
        <w:rPr>
          <w:rFonts w:cs="Calibri"/>
          <w:lang w:val="en-US"/>
        </w:rPr>
        <w:t xml:space="preserve">, </w:t>
      </w:r>
      <w:r w:rsidR="001976C5" w:rsidRPr="005B6AAB">
        <w:rPr>
          <w:rFonts w:cs="Calibri"/>
          <w:lang w:val="en-US"/>
        </w:rPr>
        <w:t>the referring court</w:t>
      </w:r>
      <w:r>
        <w:rPr>
          <w:rFonts w:cs="Calibri"/>
          <w:lang w:val="en-US"/>
        </w:rPr>
        <w:t xml:space="preserve">. G. M. A. argued that </w:t>
      </w:r>
      <w:r w:rsidRPr="005B6AAB">
        <w:rPr>
          <w:rFonts w:cs="Calibri"/>
          <w:lang w:val="en-US"/>
        </w:rPr>
        <w:t>Article 45 TFEU</w:t>
      </w:r>
      <w:r w:rsidR="001976C5">
        <w:rPr>
          <w:rFonts w:cs="Calibri"/>
          <w:lang w:val="en-US"/>
        </w:rPr>
        <w:t>,</w:t>
      </w:r>
      <w:r w:rsidRPr="005B6AAB">
        <w:rPr>
          <w:rFonts w:cs="Calibri"/>
          <w:lang w:val="en-US"/>
        </w:rPr>
        <w:t xml:space="preserve"> when read </w:t>
      </w:r>
      <w:proofErr w:type="gramStart"/>
      <w:r w:rsidRPr="005B6AAB">
        <w:rPr>
          <w:rFonts w:cs="Calibri"/>
          <w:lang w:val="en-US"/>
        </w:rPr>
        <w:t>in light of</w:t>
      </w:r>
      <w:proofErr w:type="gramEnd"/>
      <w:r w:rsidRPr="005B6AAB">
        <w:rPr>
          <w:rFonts w:cs="Calibri"/>
          <w:lang w:val="en-US"/>
        </w:rPr>
        <w:t xml:space="preserve"> the </w:t>
      </w:r>
      <w:r w:rsidR="00E910BE">
        <w:rPr>
          <w:rFonts w:cs="Calibri"/>
          <w:lang w:val="en-US"/>
        </w:rPr>
        <w:t xml:space="preserve">judgment in </w:t>
      </w:r>
      <w:r w:rsidRPr="005B6AAB">
        <w:rPr>
          <w:rFonts w:cs="Calibri"/>
          <w:lang w:val="en-US"/>
        </w:rPr>
        <w:t xml:space="preserve">C-292/89 </w:t>
      </w:r>
      <w:proofErr w:type="spellStart"/>
      <w:r w:rsidRPr="005B6AAB">
        <w:rPr>
          <w:rFonts w:cs="Calibri"/>
          <w:i/>
          <w:iCs/>
          <w:lang w:val="en-US"/>
        </w:rPr>
        <w:t>Antonissen</w:t>
      </w:r>
      <w:proofErr w:type="spellEnd"/>
      <w:r w:rsidR="001976C5">
        <w:rPr>
          <w:rFonts w:cs="Calibri"/>
          <w:i/>
          <w:iCs/>
          <w:lang w:val="en-US"/>
        </w:rPr>
        <w:t>,</w:t>
      </w:r>
      <w:r w:rsidR="00D22CF0" w:rsidRPr="00D22CF0">
        <w:rPr>
          <w:rStyle w:val="FootnoteReference"/>
          <w:rFonts w:cs="Calibri"/>
          <w:lang w:val="en-US"/>
        </w:rPr>
        <w:footnoteReference w:id="11"/>
      </w:r>
      <w:r w:rsidRPr="00D22CF0">
        <w:rPr>
          <w:rFonts w:cs="Calibri"/>
          <w:lang w:val="en-US"/>
        </w:rPr>
        <w:t xml:space="preserve"> </w:t>
      </w:r>
      <w:r>
        <w:rPr>
          <w:rFonts w:cs="Calibri"/>
          <w:lang w:val="en-US"/>
        </w:rPr>
        <w:t xml:space="preserve">meant </w:t>
      </w:r>
      <w:r w:rsidRPr="005B6AAB">
        <w:rPr>
          <w:rFonts w:cs="Calibri"/>
          <w:lang w:val="en-US"/>
        </w:rPr>
        <w:t xml:space="preserve">that Member States are </w:t>
      </w:r>
      <w:r w:rsidR="001976C5">
        <w:rPr>
          <w:rFonts w:cs="Calibri"/>
          <w:lang w:val="en-US"/>
        </w:rPr>
        <w:t>o</w:t>
      </w:r>
      <w:r w:rsidRPr="005B6AAB">
        <w:rPr>
          <w:rFonts w:cs="Calibri"/>
          <w:lang w:val="en-US"/>
        </w:rPr>
        <w:t xml:space="preserve">bliged to grant </w:t>
      </w:r>
      <w:r w:rsidR="00135EBF">
        <w:rPr>
          <w:rFonts w:cs="Calibri"/>
          <w:lang w:val="en-US"/>
        </w:rPr>
        <w:t xml:space="preserve">jobseekers </w:t>
      </w:r>
      <w:r w:rsidRPr="005B6AAB">
        <w:rPr>
          <w:rFonts w:cs="Calibri"/>
          <w:lang w:val="en-US"/>
        </w:rPr>
        <w:t xml:space="preserve">a ‘reasonable period of time’ to acquaint themselves </w:t>
      </w:r>
      <w:r w:rsidR="00135EBF">
        <w:rPr>
          <w:rFonts w:cs="Calibri"/>
          <w:lang w:val="en-US"/>
        </w:rPr>
        <w:t xml:space="preserve">with potentially suitable employment opportunities </w:t>
      </w:r>
      <w:r w:rsidR="00135EBF" w:rsidRPr="00135EBF">
        <w:rPr>
          <w:rFonts w:cs="Calibri"/>
          <w:lang w:val="en-US"/>
        </w:rPr>
        <w:t>and take the measures necessary to be engaged</w:t>
      </w:r>
      <w:r w:rsidRPr="005B6AAB">
        <w:rPr>
          <w:rFonts w:cs="Calibri"/>
          <w:lang w:val="en-US"/>
        </w:rPr>
        <w:t xml:space="preserve">. </w:t>
      </w:r>
      <w:r w:rsidR="00135EBF">
        <w:rPr>
          <w:rFonts w:cs="Calibri"/>
          <w:lang w:val="en-US"/>
        </w:rPr>
        <w:t>Secondly, he argued that this</w:t>
      </w:r>
      <w:r w:rsidRPr="005B6AAB">
        <w:rPr>
          <w:rFonts w:cs="Calibri"/>
          <w:lang w:val="en-US"/>
        </w:rPr>
        <w:t xml:space="preserve"> period </w:t>
      </w:r>
      <w:r w:rsidR="00135EBF">
        <w:rPr>
          <w:rFonts w:cs="Calibri"/>
          <w:lang w:val="en-US"/>
        </w:rPr>
        <w:t xml:space="preserve">of time </w:t>
      </w:r>
      <w:r w:rsidRPr="005B6AAB">
        <w:rPr>
          <w:rFonts w:cs="Calibri"/>
          <w:lang w:val="en-US"/>
        </w:rPr>
        <w:t>cannot in any circumstance be less than six months</w:t>
      </w:r>
      <w:r w:rsidR="00135EBF">
        <w:rPr>
          <w:rFonts w:cs="Calibri"/>
          <w:lang w:val="en-US"/>
        </w:rPr>
        <w:t xml:space="preserve"> and that there must be no requirement to prove a ‘genuine chance of being engaged’ during </w:t>
      </w:r>
      <w:proofErr w:type="gramStart"/>
      <w:r w:rsidR="00135EBF">
        <w:rPr>
          <w:rFonts w:cs="Calibri"/>
          <w:lang w:val="en-US"/>
        </w:rPr>
        <w:t>this six months</w:t>
      </w:r>
      <w:proofErr w:type="gramEnd"/>
      <w:r w:rsidR="00135EBF">
        <w:rPr>
          <w:rFonts w:cs="Calibri"/>
          <w:lang w:val="en-US"/>
        </w:rPr>
        <w:t xml:space="preserve">. </w:t>
      </w:r>
    </w:p>
    <w:p w14:paraId="286D90AD" w14:textId="02F9E1BF" w:rsidR="00F24FC2" w:rsidRPr="005B6AAB" w:rsidRDefault="005B6AAB" w:rsidP="0056184C">
      <w:pPr>
        <w:shd w:val="clear" w:color="auto" w:fill="FFFFFF"/>
        <w:spacing w:after="120"/>
        <w:ind w:right="-52"/>
        <w:jc w:val="both"/>
        <w:rPr>
          <w:rFonts w:cs="Calibri"/>
          <w:lang w:val="en-US"/>
        </w:rPr>
      </w:pPr>
      <w:r w:rsidRPr="005B6AAB">
        <w:rPr>
          <w:rFonts w:cs="Calibri"/>
          <w:lang w:val="en-US"/>
        </w:rPr>
        <w:t>He also argued that</w:t>
      </w:r>
      <w:r w:rsidR="001976C5">
        <w:rPr>
          <w:rFonts w:cs="Calibri"/>
          <w:lang w:val="en-US"/>
        </w:rPr>
        <w:t xml:space="preserve">, since he had been recruited by the European parliament as a probationer in </w:t>
      </w:r>
      <w:r w:rsidR="00135EBF">
        <w:rPr>
          <w:rFonts w:cs="Calibri"/>
          <w:lang w:val="en-US"/>
        </w:rPr>
        <w:t>April 2016</w:t>
      </w:r>
      <w:r w:rsidR="001976C5">
        <w:rPr>
          <w:rFonts w:cs="Calibri"/>
          <w:lang w:val="en-US"/>
        </w:rPr>
        <w:t>, the facts</w:t>
      </w:r>
      <w:r w:rsidRPr="005B6AAB">
        <w:rPr>
          <w:rFonts w:cs="Calibri"/>
          <w:lang w:val="en-US"/>
        </w:rPr>
        <w:t xml:space="preserve"> show</w:t>
      </w:r>
      <w:r w:rsidR="00135EBF">
        <w:rPr>
          <w:rFonts w:cs="Calibri"/>
          <w:lang w:val="en-US"/>
        </w:rPr>
        <w:t xml:space="preserve"> that he could demonstrate that he had </w:t>
      </w:r>
      <w:r w:rsidRPr="005B6AAB">
        <w:rPr>
          <w:rFonts w:cs="Calibri"/>
          <w:lang w:val="en-US"/>
        </w:rPr>
        <w:t>a genuine chance of being engaged</w:t>
      </w:r>
      <w:r w:rsidR="00135EBF">
        <w:rPr>
          <w:rFonts w:cs="Calibri"/>
          <w:lang w:val="en-US"/>
        </w:rPr>
        <w:t xml:space="preserve"> for the </w:t>
      </w:r>
      <w:proofErr w:type="gramStart"/>
      <w:r w:rsidR="00135EBF">
        <w:rPr>
          <w:rFonts w:cs="Calibri"/>
          <w:lang w:val="en-US"/>
        </w:rPr>
        <w:t>period of time</w:t>
      </w:r>
      <w:proofErr w:type="gramEnd"/>
      <w:r w:rsidR="00135EBF">
        <w:rPr>
          <w:rFonts w:cs="Calibri"/>
          <w:lang w:val="en-US"/>
        </w:rPr>
        <w:t xml:space="preserve"> he was </w:t>
      </w:r>
      <w:proofErr w:type="spellStart"/>
      <w:r w:rsidR="00135EBF">
        <w:rPr>
          <w:rFonts w:cs="Calibri"/>
          <w:lang w:val="en-US"/>
        </w:rPr>
        <w:t>jobseeking</w:t>
      </w:r>
      <w:proofErr w:type="spellEnd"/>
      <w:r w:rsidR="001976C5">
        <w:rPr>
          <w:rFonts w:cs="Calibri"/>
          <w:lang w:val="en-US"/>
        </w:rPr>
        <w:t xml:space="preserve">. While these facts occurred after the initial decision </w:t>
      </w:r>
      <w:r w:rsidR="00135EBF">
        <w:rPr>
          <w:rFonts w:cs="Calibri"/>
          <w:lang w:val="en-US"/>
        </w:rPr>
        <w:t xml:space="preserve">of the </w:t>
      </w:r>
      <w:r w:rsidR="00135EBF" w:rsidRPr="00B528CF">
        <w:rPr>
          <w:rFonts w:cs="Calibri"/>
          <w:lang w:val="en-US"/>
        </w:rPr>
        <w:t>Office des étrangers</w:t>
      </w:r>
      <w:r w:rsidR="00135EBF">
        <w:rPr>
          <w:rFonts w:cs="Calibri"/>
          <w:lang w:val="en-US"/>
        </w:rPr>
        <w:t xml:space="preserve"> </w:t>
      </w:r>
      <w:r w:rsidR="001976C5">
        <w:rPr>
          <w:rFonts w:cs="Calibri"/>
          <w:lang w:val="en-US"/>
        </w:rPr>
        <w:t xml:space="preserve">to refuse the certificate of residence, G. M. A. argued that </w:t>
      </w:r>
      <w:r w:rsidR="00B01F52">
        <w:rPr>
          <w:rFonts w:cs="Calibri"/>
          <w:lang w:val="en-US"/>
        </w:rPr>
        <w:t xml:space="preserve">the CCE </w:t>
      </w:r>
      <w:r w:rsidR="005A42A9">
        <w:rPr>
          <w:rFonts w:cs="Calibri"/>
          <w:lang w:val="en-US"/>
        </w:rPr>
        <w:t>had a duty to carry out an exhaustive examination of all the relevant circumstances and to consider all factual matters, even when those matters occur after the decision at issue.</w:t>
      </w:r>
      <w:r w:rsidR="007E69EB">
        <w:rPr>
          <w:rStyle w:val="FootnoteReference"/>
          <w:rFonts w:cs="Calibri"/>
          <w:lang w:val="en-US"/>
        </w:rPr>
        <w:footnoteReference w:id="12"/>
      </w:r>
      <w:r w:rsidR="007E69EB">
        <w:rPr>
          <w:rFonts w:cs="Calibri"/>
          <w:lang w:val="en-US"/>
        </w:rPr>
        <w:t xml:space="preserve"> </w:t>
      </w:r>
      <w:r w:rsidR="006D3CA6">
        <w:rPr>
          <w:rFonts w:cs="Calibri"/>
          <w:lang w:val="en-US"/>
        </w:rPr>
        <w:t xml:space="preserve"> </w:t>
      </w:r>
      <w:r w:rsidR="005A42A9">
        <w:rPr>
          <w:rFonts w:cs="Calibri"/>
          <w:lang w:val="en-US"/>
        </w:rPr>
        <w:t xml:space="preserve">He argued that the CCE should have therefore </w:t>
      </w:r>
      <w:r w:rsidR="00B01F52">
        <w:rPr>
          <w:rFonts w:cs="Calibri"/>
          <w:lang w:val="en-US"/>
        </w:rPr>
        <w:t>taken his engagement</w:t>
      </w:r>
      <w:r w:rsidR="00C223AD">
        <w:rPr>
          <w:rFonts w:cs="Calibri"/>
          <w:lang w:val="en-US"/>
        </w:rPr>
        <w:t xml:space="preserve">, just one month after he was found to not have a genuine chance of being engaged, </w:t>
      </w:r>
      <w:r w:rsidR="00B01F52">
        <w:rPr>
          <w:rFonts w:cs="Calibri"/>
          <w:lang w:val="en-US"/>
        </w:rPr>
        <w:t xml:space="preserve">into account during the first instance appeal. This argument relied on </w:t>
      </w:r>
      <w:r w:rsidR="001976C5">
        <w:rPr>
          <w:rFonts w:cs="Calibri"/>
          <w:lang w:val="en-US"/>
        </w:rPr>
        <w:t>Art</w:t>
      </w:r>
      <w:r w:rsidR="00B01F52">
        <w:rPr>
          <w:rFonts w:cs="Calibri"/>
          <w:lang w:val="en-US"/>
        </w:rPr>
        <w:t>icles 15 and 31 of Directive 2004/38, which concern</w:t>
      </w:r>
      <w:r w:rsidR="00D22CF0">
        <w:rPr>
          <w:rFonts w:cs="Calibri"/>
          <w:lang w:val="en-US"/>
        </w:rPr>
        <w:t xml:space="preserve"> procedural safeguards and access to appropriate redress, </w:t>
      </w:r>
      <w:r w:rsidR="00B01F52">
        <w:rPr>
          <w:rFonts w:cs="Calibri"/>
          <w:lang w:val="en-US"/>
        </w:rPr>
        <w:t>and Article 41 and 47 of the Charter of Fundamental Rights of the European Union (The Charter)</w:t>
      </w:r>
      <w:r w:rsidR="00D22CF0">
        <w:rPr>
          <w:rFonts w:cs="Calibri"/>
          <w:lang w:val="en-US"/>
        </w:rPr>
        <w:t xml:space="preserve">, on the right to good </w:t>
      </w:r>
      <w:r w:rsidR="00D22CF0">
        <w:rPr>
          <w:rFonts w:cs="Calibri"/>
          <w:lang w:val="en-US"/>
        </w:rPr>
        <w:lastRenderedPageBreak/>
        <w:t xml:space="preserve">administration, fair </w:t>
      </w:r>
      <w:proofErr w:type="gramStart"/>
      <w:r w:rsidR="00D22CF0">
        <w:rPr>
          <w:rFonts w:cs="Calibri"/>
          <w:lang w:val="en-US"/>
        </w:rPr>
        <w:t>trials</w:t>
      </w:r>
      <w:proofErr w:type="gramEnd"/>
      <w:r w:rsidR="00D22CF0">
        <w:rPr>
          <w:rFonts w:cs="Calibri"/>
          <w:lang w:val="en-US"/>
        </w:rPr>
        <w:t xml:space="preserve"> and effective remedies</w:t>
      </w:r>
      <w:r w:rsidR="00B01F52">
        <w:rPr>
          <w:rFonts w:cs="Calibri"/>
          <w:lang w:val="en-US"/>
        </w:rPr>
        <w:t>.</w:t>
      </w:r>
      <w:r w:rsidR="00B50BBC">
        <w:rPr>
          <w:rFonts w:cs="Calibri"/>
          <w:lang w:val="en-US"/>
        </w:rPr>
        <w:t xml:space="preserve"> </w:t>
      </w:r>
      <w:r w:rsidR="00D74135">
        <w:rPr>
          <w:rFonts w:cs="Calibri"/>
          <w:lang w:val="en-US"/>
        </w:rPr>
        <w:t>Since</w:t>
      </w:r>
      <w:r w:rsidR="00BC247D">
        <w:rPr>
          <w:rFonts w:cs="Calibri"/>
          <w:lang w:val="en-US"/>
        </w:rPr>
        <w:t xml:space="preserve"> G. M. A. was engaged in work in April 2016,</w:t>
      </w:r>
      <w:r w:rsidR="00D74135">
        <w:rPr>
          <w:rFonts w:cs="Calibri"/>
          <w:lang w:val="en-US"/>
        </w:rPr>
        <w:t xml:space="preserve"> he made </w:t>
      </w:r>
      <w:r w:rsidR="00BC247D">
        <w:rPr>
          <w:rFonts w:cs="Calibri"/>
          <w:lang w:val="en-US"/>
        </w:rPr>
        <w:t>a fresh application</w:t>
      </w:r>
      <w:r w:rsidR="00D74135">
        <w:rPr>
          <w:rFonts w:cs="Calibri"/>
          <w:lang w:val="en-US"/>
        </w:rPr>
        <w:t xml:space="preserve"> and</w:t>
      </w:r>
      <w:r w:rsidR="00BC247D">
        <w:rPr>
          <w:rFonts w:cs="Calibri"/>
          <w:lang w:val="en-US"/>
        </w:rPr>
        <w:t xml:space="preserve"> was provided </w:t>
      </w:r>
      <w:r w:rsidR="00D74135">
        <w:rPr>
          <w:rFonts w:cs="Calibri"/>
          <w:lang w:val="en-US"/>
        </w:rPr>
        <w:t xml:space="preserve">with </w:t>
      </w:r>
      <w:r w:rsidR="00BC247D">
        <w:rPr>
          <w:rFonts w:cs="Calibri"/>
          <w:lang w:val="en-US"/>
        </w:rPr>
        <w:t>a certificate of residence on 6 May 2017 confirm</w:t>
      </w:r>
      <w:r w:rsidR="00D74135">
        <w:rPr>
          <w:rFonts w:cs="Calibri"/>
          <w:lang w:val="en-US"/>
        </w:rPr>
        <w:t>ing</w:t>
      </w:r>
      <w:r w:rsidR="00BC247D">
        <w:rPr>
          <w:rFonts w:cs="Calibri"/>
          <w:lang w:val="en-US"/>
        </w:rPr>
        <w:t xml:space="preserve"> his right to stay in Belgium</w:t>
      </w:r>
      <w:r w:rsidR="00D74135">
        <w:rPr>
          <w:rFonts w:cs="Calibri"/>
          <w:lang w:val="en-US"/>
        </w:rPr>
        <w:t xml:space="preserve"> as a worker</w:t>
      </w:r>
      <w:r w:rsidR="00BC247D">
        <w:rPr>
          <w:rFonts w:cs="Calibri"/>
          <w:lang w:val="en-US"/>
        </w:rPr>
        <w:t xml:space="preserve">. Nevertheless, the decision that he did not have a right of residence as a jobseeker for the time before </w:t>
      </w:r>
      <w:r w:rsidR="00BC247D" w:rsidRPr="00B50BBC">
        <w:rPr>
          <w:rFonts w:cs="Calibri"/>
          <w:lang w:val="en-US"/>
        </w:rPr>
        <w:t>this would effectively restart the clock for a future claim of establishing a right to permanent residence.</w:t>
      </w:r>
      <w:r w:rsidR="00BC247D" w:rsidRPr="00B50BBC">
        <w:rPr>
          <w:rStyle w:val="FootnoteReference"/>
          <w:rFonts w:cs="Calibri"/>
          <w:lang w:val="en-US"/>
        </w:rPr>
        <w:footnoteReference w:id="13"/>
      </w:r>
      <w:r w:rsidR="00BC247D" w:rsidRPr="00B50BBC">
        <w:rPr>
          <w:rFonts w:cs="Calibri"/>
          <w:lang w:val="en-US"/>
        </w:rPr>
        <w:t xml:space="preserve"> It was therefore </w:t>
      </w:r>
      <w:r w:rsidR="00D74135">
        <w:rPr>
          <w:rFonts w:cs="Calibri"/>
          <w:lang w:val="en-US"/>
        </w:rPr>
        <w:t xml:space="preserve">in G. M. A.’s interest that the decision to not award him </w:t>
      </w:r>
      <w:r w:rsidR="00BC247D" w:rsidRPr="00B50BBC">
        <w:rPr>
          <w:rFonts w:cs="Calibri"/>
          <w:lang w:val="en-US"/>
        </w:rPr>
        <w:t>status as a jobseeker was properly scrutinized</w:t>
      </w:r>
      <w:r w:rsidR="00D74135">
        <w:rPr>
          <w:rFonts w:cs="Calibri"/>
          <w:lang w:val="en-US"/>
        </w:rPr>
        <w:t xml:space="preserve">. </w:t>
      </w:r>
    </w:p>
    <w:p w14:paraId="680E456A" w14:textId="18DF3A09" w:rsidR="000F2C86" w:rsidRDefault="00B50BBC" w:rsidP="0056184C">
      <w:pPr>
        <w:shd w:val="clear" w:color="auto" w:fill="FFFFFF"/>
        <w:spacing w:after="120"/>
        <w:ind w:right="-52"/>
        <w:jc w:val="both"/>
        <w:rPr>
          <w:rFonts w:cs="Calibri"/>
          <w:highlight w:val="yellow"/>
          <w:lang w:val="en-US"/>
        </w:rPr>
      </w:pPr>
      <w:r w:rsidRPr="008661E0">
        <w:rPr>
          <w:rFonts w:cs="Calibri"/>
          <w:lang w:val="en-US"/>
        </w:rPr>
        <w:t xml:space="preserve">The </w:t>
      </w:r>
      <w:r w:rsidR="005B6AAB" w:rsidRPr="008661E0">
        <w:rPr>
          <w:rFonts w:cs="Calibri"/>
          <w:lang w:val="en-US"/>
        </w:rPr>
        <w:t>Council of State</w:t>
      </w:r>
      <w:r w:rsidRPr="008661E0">
        <w:rPr>
          <w:rFonts w:cs="Calibri"/>
          <w:lang w:val="en-US"/>
        </w:rPr>
        <w:t xml:space="preserve"> </w:t>
      </w:r>
      <w:r w:rsidR="005B6AAB" w:rsidRPr="008661E0">
        <w:rPr>
          <w:rFonts w:cs="Calibri"/>
          <w:lang w:val="en-US"/>
        </w:rPr>
        <w:t>decided to stay the proceedings and to refer</w:t>
      </w:r>
      <w:r w:rsidRPr="008661E0">
        <w:rPr>
          <w:rFonts w:cs="Calibri"/>
          <w:lang w:val="en-US"/>
        </w:rPr>
        <w:t xml:space="preserve"> </w:t>
      </w:r>
      <w:r w:rsidR="008661E0" w:rsidRPr="008661E0">
        <w:rPr>
          <w:rFonts w:cs="Calibri"/>
          <w:lang w:val="en-US"/>
        </w:rPr>
        <w:t xml:space="preserve">two </w:t>
      </w:r>
      <w:r w:rsidR="005B6AAB" w:rsidRPr="008661E0">
        <w:rPr>
          <w:rFonts w:cs="Calibri"/>
          <w:lang w:val="en-US"/>
        </w:rPr>
        <w:t xml:space="preserve">questions to the </w:t>
      </w:r>
      <w:r w:rsidR="007E094A">
        <w:rPr>
          <w:rFonts w:cs="Calibri"/>
          <w:lang w:val="en-US"/>
        </w:rPr>
        <w:t>ECJ</w:t>
      </w:r>
      <w:r w:rsidR="008661E0" w:rsidRPr="008661E0">
        <w:rPr>
          <w:rFonts w:cs="Calibri"/>
          <w:lang w:val="en-US"/>
        </w:rPr>
        <w:t>. The</w:t>
      </w:r>
      <w:r w:rsidR="008661E0">
        <w:rPr>
          <w:rFonts w:cs="Calibri"/>
          <w:lang w:val="en-US"/>
        </w:rPr>
        <w:t xml:space="preserve"> first question</w:t>
      </w:r>
      <w:r w:rsidR="00D74135">
        <w:rPr>
          <w:rFonts w:cs="Calibri"/>
          <w:lang w:val="en-US"/>
        </w:rPr>
        <w:t xml:space="preserve"> asked</w:t>
      </w:r>
      <w:r w:rsidR="008661E0">
        <w:rPr>
          <w:rFonts w:cs="Calibri"/>
          <w:lang w:val="en-US"/>
        </w:rPr>
        <w:t xml:space="preserve"> whether </w:t>
      </w:r>
      <w:r w:rsidR="001C08C4">
        <w:rPr>
          <w:rFonts w:cs="Calibri"/>
          <w:lang w:val="en-US"/>
        </w:rPr>
        <w:t xml:space="preserve">Article 45 </w:t>
      </w:r>
      <w:r w:rsidR="00D74135">
        <w:rPr>
          <w:rFonts w:cs="Calibri"/>
          <w:lang w:val="en-US"/>
        </w:rPr>
        <w:t xml:space="preserve">TFEU </w:t>
      </w:r>
      <w:r w:rsidR="001C08C4">
        <w:rPr>
          <w:rFonts w:cs="Calibri"/>
          <w:lang w:val="en-US"/>
        </w:rPr>
        <w:t xml:space="preserve">requires Member States to allow jobseekers a reasonable </w:t>
      </w:r>
      <w:proofErr w:type="gramStart"/>
      <w:r w:rsidR="001C08C4">
        <w:rPr>
          <w:rFonts w:cs="Calibri"/>
          <w:lang w:val="en-US"/>
        </w:rPr>
        <w:t>period of time</w:t>
      </w:r>
      <w:proofErr w:type="gramEnd"/>
      <w:r w:rsidR="001C08C4">
        <w:rPr>
          <w:rFonts w:cs="Calibri"/>
          <w:lang w:val="en-US"/>
        </w:rPr>
        <w:t xml:space="preserve"> to find suitable work and whether this period of time should be no less than six months and cannot be conditional on proving a real chance of </w:t>
      </w:r>
      <w:r w:rsidR="008661E0">
        <w:rPr>
          <w:rFonts w:cs="Calibri"/>
          <w:lang w:val="en-US"/>
        </w:rPr>
        <w:t xml:space="preserve">finding employment. </w:t>
      </w:r>
      <w:r w:rsidR="00F83544">
        <w:rPr>
          <w:rFonts w:cs="Calibri"/>
          <w:lang w:val="en-US"/>
        </w:rPr>
        <w:t>The second question</w:t>
      </w:r>
      <w:r w:rsidR="00001FF1">
        <w:rPr>
          <w:rFonts w:cs="Calibri"/>
          <w:lang w:val="en-US"/>
        </w:rPr>
        <w:t>, which was</w:t>
      </w:r>
      <w:r w:rsidR="00D74135">
        <w:rPr>
          <w:rFonts w:cs="Calibri"/>
          <w:lang w:val="en-US"/>
        </w:rPr>
        <w:t xml:space="preserve"> unfortunately</w:t>
      </w:r>
      <w:r w:rsidR="00001FF1">
        <w:rPr>
          <w:rFonts w:cs="Calibri"/>
          <w:lang w:val="en-US"/>
        </w:rPr>
        <w:t xml:space="preserve"> not considered by the </w:t>
      </w:r>
      <w:r w:rsidR="00D74135">
        <w:rPr>
          <w:rFonts w:cs="Calibri"/>
          <w:lang w:val="en-US"/>
        </w:rPr>
        <w:t>ECJ</w:t>
      </w:r>
      <w:r w:rsidR="00001FF1">
        <w:rPr>
          <w:rFonts w:cs="Calibri"/>
          <w:lang w:val="en-US"/>
        </w:rPr>
        <w:t xml:space="preserve">, asked whether a joint reading of Articles 15 and 31 of Directive 2004/38 and Articles 41 and 47 </w:t>
      </w:r>
      <w:r w:rsidR="00001FF1" w:rsidRPr="000F2C86">
        <w:rPr>
          <w:rFonts w:cs="Calibri"/>
          <w:lang w:val="en-US"/>
        </w:rPr>
        <w:t xml:space="preserve">of </w:t>
      </w:r>
      <w:r w:rsidR="00D37AD1" w:rsidRPr="000F2C86">
        <w:rPr>
          <w:rFonts w:cs="Calibri"/>
          <w:lang w:val="en-US"/>
        </w:rPr>
        <w:t>t</w:t>
      </w:r>
      <w:r w:rsidR="00001FF1" w:rsidRPr="000F2C86">
        <w:rPr>
          <w:rFonts w:cs="Calibri"/>
          <w:lang w:val="en-US"/>
        </w:rPr>
        <w:t>he Charter</w:t>
      </w:r>
      <w:r w:rsidR="00D37AD1" w:rsidRPr="000F2C86">
        <w:rPr>
          <w:rFonts w:cs="Calibri"/>
          <w:lang w:val="en-US"/>
        </w:rPr>
        <w:t>,</w:t>
      </w:r>
      <w:r w:rsidR="00001FF1" w:rsidRPr="000F2C86">
        <w:rPr>
          <w:rFonts w:cs="Calibri"/>
          <w:lang w:val="en-US"/>
        </w:rPr>
        <w:t xml:space="preserve"> alongside the general principles of EU law and effectiveness of directives</w:t>
      </w:r>
      <w:r w:rsidR="00D37AD1" w:rsidRPr="000F2C86">
        <w:rPr>
          <w:rFonts w:cs="Calibri"/>
          <w:lang w:val="en-US"/>
        </w:rPr>
        <w:t>,</w:t>
      </w:r>
      <w:r w:rsidR="00001FF1" w:rsidRPr="000F2C86">
        <w:rPr>
          <w:rFonts w:cs="Calibri"/>
          <w:lang w:val="en-US"/>
        </w:rPr>
        <w:t xml:space="preserve"> mean</w:t>
      </w:r>
      <w:r w:rsidR="00D74135">
        <w:rPr>
          <w:rFonts w:cs="Calibri"/>
          <w:lang w:val="en-US"/>
        </w:rPr>
        <w:t>t</w:t>
      </w:r>
      <w:r w:rsidR="00001FF1" w:rsidRPr="000F2C86">
        <w:rPr>
          <w:rFonts w:cs="Calibri"/>
          <w:lang w:val="en-US"/>
        </w:rPr>
        <w:t xml:space="preserve"> that national courts must have regard to new facts arising after </w:t>
      </w:r>
      <w:r w:rsidR="00D37AD1" w:rsidRPr="000F2C86">
        <w:rPr>
          <w:rFonts w:cs="Calibri"/>
          <w:lang w:val="en-US"/>
        </w:rPr>
        <w:t>a</w:t>
      </w:r>
      <w:r w:rsidR="00001FF1" w:rsidRPr="000F2C86">
        <w:rPr>
          <w:rFonts w:cs="Calibri"/>
          <w:lang w:val="en-US"/>
        </w:rPr>
        <w:t xml:space="preserve"> decision refusing to recognize a right of residence where such facts could alter the permissibility of the restriction of their right of residence. </w:t>
      </w:r>
    </w:p>
    <w:p w14:paraId="774BA896" w14:textId="77777777" w:rsidR="003326B5" w:rsidRPr="002A68EC" w:rsidRDefault="003326B5" w:rsidP="003326B5">
      <w:pPr>
        <w:pStyle w:val="Heading2"/>
        <w:spacing w:after="120"/>
        <w:jc w:val="both"/>
        <w:rPr>
          <w:rFonts w:ascii="Times New Roman" w:hAnsi="Times New Roman"/>
          <w:color w:val="auto"/>
          <w:sz w:val="24"/>
          <w:lang w:val="en-US"/>
        </w:rPr>
      </w:pPr>
      <w:r w:rsidRPr="001204A5">
        <w:rPr>
          <w:rFonts w:ascii="Times New Roman" w:hAnsi="Times New Roman"/>
          <w:b/>
          <w:bCs/>
          <w:color w:val="auto"/>
          <w:sz w:val="24"/>
          <w:lang w:val="en-US"/>
        </w:rPr>
        <w:t xml:space="preserve">3. The </w:t>
      </w:r>
      <w:r>
        <w:rPr>
          <w:rFonts w:ascii="Times New Roman" w:hAnsi="Times New Roman"/>
          <w:b/>
          <w:bCs/>
          <w:color w:val="auto"/>
          <w:sz w:val="24"/>
          <w:lang w:val="en-US"/>
        </w:rPr>
        <w:t>o</w:t>
      </w:r>
      <w:r w:rsidRPr="001204A5">
        <w:rPr>
          <w:rFonts w:ascii="Times New Roman" w:hAnsi="Times New Roman"/>
          <w:b/>
          <w:bCs/>
          <w:color w:val="auto"/>
          <w:sz w:val="24"/>
          <w:lang w:val="en-US"/>
        </w:rPr>
        <w:t>pinion of Advocate General</w:t>
      </w:r>
      <w:r>
        <w:rPr>
          <w:rFonts w:ascii="Times New Roman" w:hAnsi="Times New Roman"/>
          <w:b/>
          <w:bCs/>
          <w:color w:val="auto"/>
          <w:sz w:val="24"/>
          <w:lang w:val="en-US"/>
        </w:rPr>
        <w:t xml:space="preserve"> </w:t>
      </w:r>
      <w:proofErr w:type="spellStart"/>
      <w:r>
        <w:rPr>
          <w:rFonts w:ascii="Times New Roman" w:hAnsi="Times New Roman"/>
          <w:b/>
          <w:bCs/>
          <w:color w:val="auto"/>
          <w:sz w:val="24"/>
          <w:lang w:val="en-US"/>
        </w:rPr>
        <w:t>Szpunar</w:t>
      </w:r>
      <w:proofErr w:type="spellEnd"/>
      <w:r w:rsidRPr="001204A5">
        <w:rPr>
          <w:rFonts w:ascii="Times New Roman" w:hAnsi="Times New Roman"/>
          <w:b/>
          <w:bCs/>
          <w:color w:val="auto"/>
          <w:sz w:val="24"/>
          <w:lang w:val="en-US"/>
        </w:rPr>
        <w:t xml:space="preserve"> </w:t>
      </w:r>
    </w:p>
    <w:p w14:paraId="2C8F8552" w14:textId="67DECAAA" w:rsidR="003326B5" w:rsidRDefault="003326B5" w:rsidP="003326B5">
      <w:pPr>
        <w:pStyle w:val="Default"/>
        <w:spacing w:after="120"/>
        <w:jc w:val="both"/>
        <w:rPr>
          <w:rFonts w:ascii="Times New Roman" w:hAnsi="Times New Roman"/>
          <w:color w:val="auto"/>
          <w:szCs w:val="22"/>
        </w:rPr>
      </w:pPr>
      <w:r>
        <w:rPr>
          <w:rFonts w:ascii="Times New Roman" w:hAnsi="Times New Roman"/>
          <w:color w:val="auto"/>
          <w:szCs w:val="22"/>
        </w:rPr>
        <w:t xml:space="preserve">The AG opinion begins by </w:t>
      </w:r>
      <w:r w:rsidRPr="005242ED">
        <w:rPr>
          <w:rFonts w:ascii="Times New Roman" w:hAnsi="Times New Roman"/>
          <w:color w:val="auto"/>
          <w:szCs w:val="22"/>
          <w:lang w:val="en-GB"/>
        </w:rPr>
        <w:t>analysing</w:t>
      </w:r>
      <w:r>
        <w:rPr>
          <w:rFonts w:ascii="Times New Roman" w:hAnsi="Times New Roman"/>
          <w:color w:val="auto"/>
          <w:szCs w:val="22"/>
        </w:rPr>
        <w:t xml:space="preserve"> the rights of jobseekers under Article 45 TFEU</w:t>
      </w:r>
      <w:r w:rsidR="00183045">
        <w:rPr>
          <w:rFonts w:ascii="Times New Roman" w:hAnsi="Times New Roman"/>
          <w:color w:val="auto"/>
          <w:szCs w:val="22"/>
        </w:rPr>
        <w:t xml:space="preserve"> and</w:t>
      </w:r>
      <w:r>
        <w:rPr>
          <w:rFonts w:ascii="Times New Roman" w:hAnsi="Times New Roman"/>
          <w:color w:val="auto"/>
          <w:szCs w:val="22"/>
        </w:rPr>
        <w:t xml:space="preserve"> how this has been interpreted by the ECJ in previous judgments</w:t>
      </w:r>
      <w:r w:rsidR="00183045">
        <w:rPr>
          <w:rFonts w:ascii="Times New Roman" w:hAnsi="Times New Roman"/>
          <w:color w:val="auto"/>
          <w:szCs w:val="22"/>
        </w:rPr>
        <w:t>.</w:t>
      </w:r>
      <w:r>
        <w:rPr>
          <w:rStyle w:val="FootnoteReference"/>
          <w:rFonts w:ascii="Times New Roman" w:hAnsi="Times New Roman"/>
          <w:color w:val="auto"/>
          <w:szCs w:val="22"/>
        </w:rPr>
        <w:footnoteReference w:id="14"/>
      </w:r>
      <w:r w:rsidR="00DE4260">
        <w:rPr>
          <w:rFonts w:ascii="Times New Roman" w:hAnsi="Times New Roman"/>
          <w:color w:val="auto"/>
          <w:szCs w:val="22"/>
        </w:rPr>
        <w:t xml:space="preserve"> </w:t>
      </w:r>
      <w:r>
        <w:rPr>
          <w:rFonts w:ascii="Times New Roman" w:hAnsi="Times New Roman"/>
          <w:color w:val="auto"/>
          <w:szCs w:val="22"/>
        </w:rPr>
        <w:t xml:space="preserve">The opinion recites how a right of residence for jobseekers was identified, by the Court in </w:t>
      </w:r>
      <w:r>
        <w:rPr>
          <w:rFonts w:ascii="Times New Roman" w:hAnsi="Times New Roman"/>
          <w:i/>
          <w:iCs/>
          <w:color w:val="auto"/>
          <w:szCs w:val="22"/>
        </w:rPr>
        <w:t xml:space="preserve">Royer, </w:t>
      </w:r>
      <w:r>
        <w:rPr>
          <w:rFonts w:ascii="Times New Roman" w:hAnsi="Times New Roman"/>
          <w:color w:val="auto"/>
          <w:szCs w:val="22"/>
        </w:rPr>
        <w:t>as being conferred directly by Article 45 TFEU (then Article 48 EEC).</w:t>
      </w:r>
      <w:r>
        <w:rPr>
          <w:rStyle w:val="FootnoteReference"/>
          <w:rFonts w:ascii="Times New Roman" w:hAnsi="Times New Roman"/>
          <w:color w:val="auto"/>
          <w:szCs w:val="22"/>
        </w:rPr>
        <w:footnoteReference w:id="15"/>
      </w:r>
      <w:r>
        <w:rPr>
          <w:rFonts w:ascii="Times New Roman" w:hAnsi="Times New Roman"/>
          <w:color w:val="auto"/>
          <w:szCs w:val="22"/>
        </w:rPr>
        <w:t xml:space="preserve"> The right to free movement for workers was found to entail the right to move freely within the territory of the Member States and to stay there for the purposes of seeking employment. The free movement of workers in Article 45 TFEU therefore requires a broad interpretation to avoid the right from becoming ineffective, for example if jobseekers were only permitted such a short a period of residence that would make finding work unlikely.</w:t>
      </w:r>
      <w:r>
        <w:rPr>
          <w:rStyle w:val="FootnoteReference"/>
          <w:rFonts w:ascii="Times New Roman" w:hAnsi="Times New Roman"/>
          <w:color w:val="auto"/>
          <w:szCs w:val="22"/>
        </w:rPr>
        <w:footnoteReference w:id="16"/>
      </w:r>
      <w:r>
        <w:rPr>
          <w:rFonts w:ascii="Times New Roman" w:hAnsi="Times New Roman"/>
          <w:color w:val="auto"/>
          <w:szCs w:val="22"/>
        </w:rPr>
        <w:t xml:space="preserve"> The AG then turn</w:t>
      </w:r>
      <w:r w:rsidR="00AE3AE4">
        <w:rPr>
          <w:rFonts w:ascii="Times New Roman" w:hAnsi="Times New Roman"/>
          <w:color w:val="auto"/>
          <w:szCs w:val="22"/>
        </w:rPr>
        <w:t>ed</w:t>
      </w:r>
      <w:r>
        <w:rPr>
          <w:rFonts w:ascii="Times New Roman" w:hAnsi="Times New Roman"/>
          <w:color w:val="auto"/>
          <w:szCs w:val="22"/>
        </w:rPr>
        <w:t xml:space="preserve"> to the key judgment in </w:t>
      </w:r>
      <w:proofErr w:type="spellStart"/>
      <w:r w:rsidRPr="00F63FD0">
        <w:rPr>
          <w:rFonts w:ascii="Times New Roman" w:hAnsi="Times New Roman"/>
          <w:i/>
          <w:iCs/>
          <w:color w:val="auto"/>
          <w:szCs w:val="22"/>
        </w:rPr>
        <w:t>Antonissen</w:t>
      </w:r>
      <w:proofErr w:type="spellEnd"/>
      <w:r>
        <w:rPr>
          <w:rFonts w:ascii="Times New Roman" w:hAnsi="Times New Roman"/>
          <w:color w:val="auto"/>
          <w:szCs w:val="22"/>
        </w:rPr>
        <w:t>, where it was confirmed that the amount of time in a host Member State for those seeking employment could be limited but that a strict period of three months, without the possibility of extension is not appropriate.</w:t>
      </w:r>
      <w:r>
        <w:rPr>
          <w:rStyle w:val="FootnoteReference"/>
          <w:rFonts w:ascii="Times New Roman" w:hAnsi="Times New Roman"/>
          <w:color w:val="auto"/>
          <w:szCs w:val="22"/>
        </w:rPr>
        <w:footnoteReference w:id="17"/>
      </w:r>
      <w:r>
        <w:rPr>
          <w:rFonts w:ascii="Times New Roman" w:hAnsi="Times New Roman"/>
          <w:color w:val="auto"/>
          <w:szCs w:val="22"/>
        </w:rPr>
        <w:t xml:space="preserve"> It was </w:t>
      </w:r>
      <w:r w:rsidRPr="005242ED">
        <w:rPr>
          <w:rFonts w:ascii="Times New Roman" w:hAnsi="Times New Roman"/>
          <w:color w:val="auto"/>
          <w:szCs w:val="22"/>
          <w:lang w:val="en-GB"/>
        </w:rPr>
        <w:t>recognised</w:t>
      </w:r>
      <w:r>
        <w:rPr>
          <w:rFonts w:ascii="Times New Roman" w:hAnsi="Times New Roman"/>
          <w:color w:val="auto"/>
          <w:szCs w:val="22"/>
        </w:rPr>
        <w:t xml:space="preserve"> that a reasonable period of time should be given to jobseekers ‘i</w:t>
      </w:r>
      <w:r w:rsidRPr="00A1043F">
        <w:rPr>
          <w:rFonts w:ascii="Times New Roman" w:hAnsi="Times New Roman"/>
          <w:color w:val="auto"/>
          <w:szCs w:val="22"/>
        </w:rPr>
        <w:t>n which to apprise themselves, in the territory of the Member State concerned, of offers of employment corresponding to their occupational qualifications and to take, where appropriate, the necessary steps in order to be engaged.</w:t>
      </w:r>
      <w:r>
        <w:rPr>
          <w:rFonts w:ascii="Times New Roman" w:hAnsi="Times New Roman"/>
          <w:color w:val="auto"/>
          <w:szCs w:val="22"/>
        </w:rPr>
        <w:t>’</w:t>
      </w:r>
      <w:r>
        <w:rPr>
          <w:rStyle w:val="FootnoteReference"/>
          <w:rFonts w:ascii="Times New Roman" w:hAnsi="Times New Roman"/>
          <w:color w:val="auto"/>
          <w:szCs w:val="22"/>
        </w:rPr>
        <w:footnoteReference w:id="18"/>
      </w:r>
      <w:r>
        <w:rPr>
          <w:rFonts w:ascii="Times New Roman" w:hAnsi="Times New Roman"/>
          <w:color w:val="auto"/>
          <w:szCs w:val="22"/>
        </w:rPr>
        <w:t xml:space="preserve"> The AG notes that the ECJ, in </w:t>
      </w:r>
      <w:proofErr w:type="spellStart"/>
      <w:r w:rsidRPr="00F63FD0">
        <w:rPr>
          <w:rFonts w:ascii="Times New Roman" w:hAnsi="Times New Roman"/>
          <w:i/>
          <w:iCs/>
          <w:color w:val="auto"/>
          <w:szCs w:val="22"/>
        </w:rPr>
        <w:t>Antonissen</w:t>
      </w:r>
      <w:proofErr w:type="spellEnd"/>
      <w:r>
        <w:rPr>
          <w:rFonts w:ascii="Times New Roman" w:hAnsi="Times New Roman"/>
          <w:color w:val="auto"/>
          <w:szCs w:val="22"/>
        </w:rPr>
        <w:t>, did not go so far as a to fix a period of time that would be sufficient. Instead, opting to suggest that, in the absence of a prescribed time, six months would not appear to be insufficient and should not jeopardize the effectiveness of free movement rights.</w:t>
      </w:r>
      <w:r>
        <w:rPr>
          <w:rStyle w:val="FootnoteReference"/>
          <w:rFonts w:ascii="Times New Roman" w:hAnsi="Times New Roman"/>
          <w:color w:val="auto"/>
          <w:szCs w:val="22"/>
        </w:rPr>
        <w:footnoteReference w:id="19"/>
      </w:r>
      <w:r>
        <w:rPr>
          <w:rFonts w:ascii="Times New Roman" w:hAnsi="Times New Roman"/>
          <w:color w:val="auto"/>
          <w:szCs w:val="22"/>
        </w:rPr>
        <w:t xml:space="preserve"> Paragraph 21 of this judgment also clarified that after a sufficient period of time, should the jobseeker show evidence </w:t>
      </w:r>
      <w:r w:rsidR="00DE4260">
        <w:rPr>
          <w:rFonts w:ascii="Times New Roman" w:hAnsi="Times New Roman"/>
          <w:color w:val="auto"/>
          <w:szCs w:val="22"/>
        </w:rPr>
        <w:t xml:space="preserve">that they are continuing to seek employment and </w:t>
      </w:r>
      <w:r>
        <w:rPr>
          <w:rFonts w:ascii="Times New Roman" w:hAnsi="Times New Roman"/>
          <w:color w:val="auto"/>
          <w:szCs w:val="22"/>
        </w:rPr>
        <w:t xml:space="preserve">that they have a genuine chance of being engaged, they should not be required to leave the Member State. </w:t>
      </w:r>
    </w:p>
    <w:p w14:paraId="18FA53F6" w14:textId="68117902" w:rsidR="003326B5" w:rsidRDefault="003326B5" w:rsidP="003326B5">
      <w:pPr>
        <w:pStyle w:val="Default"/>
        <w:spacing w:after="120"/>
        <w:jc w:val="both"/>
        <w:rPr>
          <w:rFonts w:ascii="Times New Roman" w:hAnsi="Times New Roman"/>
          <w:color w:val="auto"/>
          <w:szCs w:val="22"/>
        </w:rPr>
      </w:pPr>
      <w:r>
        <w:rPr>
          <w:rFonts w:ascii="Times New Roman" w:hAnsi="Times New Roman"/>
          <w:color w:val="auto"/>
          <w:szCs w:val="22"/>
        </w:rPr>
        <w:lastRenderedPageBreak/>
        <w:t xml:space="preserve">This judgment has been partly codified in Article 14(4)(b) Directive 2004/38, protecting residence rights for jobseekers by precluding their expulsion from a host Member State for as long as they can provide evidence that they are continuing to seek employment and have a genuine chance of being engaged. AG </w:t>
      </w:r>
      <w:proofErr w:type="spellStart"/>
      <w:r>
        <w:rPr>
          <w:rFonts w:ascii="Times New Roman" w:hAnsi="Times New Roman"/>
          <w:color w:val="auto"/>
          <w:szCs w:val="22"/>
        </w:rPr>
        <w:t>Szpunar</w:t>
      </w:r>
      <w:proofErr w:type="spellEnd"/>
      <w:r>
        <w:rPr>
          <w:rFonts w:ascii="Times New Roman" w:hAnsi="Times New Roman"/>
          <w:color w:val="auto"/>
          <w:szCs w:val="22"/>
        </w:rPr>
        <w:t xml:space="preserve"> notes that this provision omits some key factors of the </w:t>
      </w:r>
      <w:proofErr w:type="spellStart"/>
      <w:r w:rsidRPr="00F63FD0">
        <w:rPr>
          <w:rFonts w:ascii="Times New Roman" w:hAnsi="Times New Roman"/>
          <w:i/>
          <w:iCs/>
          <w:color w:val="auto"/>
          <w:szCs w:val="22"/>
        </w:rPr>
        <w:t>Antonissen</w:t>
      </w:r>
      <w:proofErr w:type="spellEnd"/>
      <w:r>
        <w:rPr>
          <w:rFonts w:ascii="Times New Roman" w:hAnsi="Times New Roman"/>
          <w:i/>
          <w:iCs/>
          <w:color w:val="auto"/>
          <w:szCs w:val="22"/>
        </w:rPr>
        <w:t xml:space="preserve"> </w:t>
      </w:r>
      <w:r>
        <w:rPr>
          <w:rFonts w:ascii="Times New Roman" w:hAnsi="Times New Roman"/>
          <w:color w:val="auto"/>
          <w:szCs w:val="22"/>
        </w:rPr>
        <w:t>judgment as it does not mention a ‘reasonable period of time’ or the suggested ‘reasonable’ period of six months for jobseekers to acquaint themselves with suitable employment opportunities.</w:t>
      </w:r>
      <w:r>
        <w:rPr>
          <w:rStyle w:val="FootnoteReference"/>
          <w:rFonts w:ascii="Times New Roman" w:hAnsi="Times New Roman"/>
          <w:color w:val="auto"/>
          <w:szCs w:val="22"/>
        </w:rPr>
        <w:footnoteReference w:id="20"/>
      </w:r>
      <w:r>
        <w:rPr>
          <w:rFonts w:ascii="Times New Roman" w:hAnsi="Times New Roman"/>
          <w:color w:val="auto"/>
          <w:szCs w:val="22"/>
        </w:rPr>
        <w:t xml:space="preserve"> The AG conclude</w:t>
      </w:r>
      <w:r w:rsidR="00AE3AE4">
        <w:rPr>
          <w:rFonts w:ascii="Times New Roman" w:hAnsi="Times New Roman"/>
          <w:color w:val="auto"/>
          <w:szCs w:val="22"/>
        </w:rPr>
        <w:t>d</w:t>
      </w:r>
      <w:r>
        <w:rPr>
          <w:rFonts w:ascii="Times New Roman" w:hAnsi="Times New Roman"/>
          <w:color w:val="auto"/>
          <w:szCs w:val="22"/>
        </w:rPr>
        <w:t xml:space="preserve"> from these summaries that it remains the case that Member States must provide jobseekers with a ‘reasonable period of time’ to acquaint themselves with suitable </w:t>
      </w:r>
      <w:r w:rsidRPr="00D242D6">
        <w:rPr>
          <w:rFonts w:ascii="Times New Roman" w:hAnsi="Times New Roman"/>
          <w:color w:val="auto"/>
          <w:szCs w:val="22"/>
        </w:rPr>
        <w:t>employment otherwise the effectiveness of Art 45 TFEU would be jeopardized.</w:t>
      </w:r>
      <w:r>
        <w:rPr>
          <w:rFonts w:ascii="Times New Roman" w:hAnsi="Times New Roman"/>
          <w:color w:val="auto"/>
          <w:szCs w:val="22"/>
        </w:rPr>
        <w:t xml:space="preserve"> </w:t>
      </w:r>
    </w:p>
    <w:p w14:paraId="5673CE8C" w14:textId="77777777" w:rsidR="003326B5" w:rsidRPr="004D3941" w:rsidRDefault="003326B5" w:rsidP="003326B5">
      <w:pPr>
        <w:pStyle w:val="Default"/>
        <w:spacing w:after="120"/>
        <w:jc w:val="both"/>
        <w:rPr>
          <w:rFonts w:ascii="Times New Roman" w:hAnsi="Times New Roman"/>
          <w:i/>
          <w:iCs/>
          <w:color w:val="auto"/>
          <w:szCs w:val="22"/>
        </w:rPr>
      </w:pPr>
      <w:r>
        <w:rPr>
          <w:rFonts w:ascii="Times New Roman" w:hAnsi="Times New Roman"/>
          <w:i/>
          <w:iCs/>
          <w:color w:val="auto"/>
          <w:szCs w:val="22"/>
        </w:rPr>
        <w:t>Conditions for a right of residence as a jobseeker</w:t>
      </w:r>
    </w:p>
    <w:p w14:paraId="33C7A3F5" w14:textId="167B9A61" w:rsidR="003326B5" w:rsidRDefault="003326B5" w:rsidP="00770941">
      <w:pPr>
        <w:pStyle w:val="Default"/>
        <w:spacing w:after="120"/>
        <w:jc w:val="both"/>
        <w:rPr>
          <w:rFonts w:ascii="Times New Roman" w:hAnsi="Times New Roman"/>
          <w:color w:val="auto"/>
          <w:szCs w:val="22"/>
        </w:rPr>
      </w:pPr>
      <w:r>
        <w:rPr>
          <w:rFonts w:ascii="Times New Roman" w:hAnsi="Times New Roman"/>
          <w:color w:val="auto"/>
          <w:szCs w:val="22"/>
        </w:rPr>
        <w:t>Turning to the next issue, the AG consider</w:t>
      </w:r>
      <w:r w:rsidR="00AE3AE4">
        <w:rPr>
          <w:rFonts w:ascii="Times New Roman" w:hAnsi="Times New Roman"/>
          <w:color w:val="auto"/>
          <w:szCs w:val="22"/>
        </w:rPr>
        <w:t>ed</w:t>
      </w:r>
      <w:r>
        <w:rPr>
          <w:rFonts w:ascii="Times New Roman" w:hAnsi="Times New Roman"/>
          <w:color w:val="auto"/>
          <w:szCs w:val="22"/>
        </w:rPr>
        <w:t xml:space="preserve"> whether Article 14(4)(b) Directive 2004/38</w:t>
      </w:r>
      <w:r w:rsidR="004A70CE">
        <w:rPr>
          <w:rFonts w:ascii="Times New Roman" w:hAnsi="Times New Roman"/>
          <w:color w:val="auto"/>
          <w:szCs w:val="22"/>
        </w:rPr>
        <w:t>,</w:t>
      </w:r>
      <w:r>
        <w:rPr>
          <w:rFonts w:ascii="Times New Roman" w:hAnsi="Times New Roman"/>
          <w:color w:val="auto"/>
          <w:szCs w:val="22"/>
        </w:rPr>
        <w:t xml:space="preserve"> read in light of Article 45 TFEU and the judgments of the ECJ</w:t>
      </w:r>
      <w:r w:rsidR="004A70CE">
        <w:rPr>
          <w:rFonts w:ascii="Times New Roman" w:hAnsi="Times New Roman"/>
          <w:color w:val="auto"/>
          <w:szCs w:val="22"/>
        </w:rPr>
        <w:t>,</w:t>
      </w:r>
      <w:r>
        <w:rPr>
          <w:rFonts w:ascii="Times New Roman" w:hAnsi="Times New Roman"/>
          <w:color w:val="auto"/>
          <w:szCs w:val="22"/>
        </w:rPr>
        <w:t xml:space="preserve"> requires Member States to give a jobseeker a ‘reasonable period of time’</w:t>
      </w:r>
      <w:r w:rsidR="00770941" w:rsidRPr="00770941">
        <w:rPr>
          <w:rFonts w:ascii="Times New Roman" w:hAnsi="Times New Roman"/>
          <w:color w:val="auto"/>
          <w:szCs w:val="22"/>
        </w:rPr>
        <w:t>, during which they are not obliged to provide evidence that they</w:t>
      </w:r>
      <w:r w:rsidR="00770941">
        <w:rPr>
          <w:rFonts w:ascii="Times New Roman" w:hAnsi="Times New Roman"/>
          <w:color w:val="auto"/>
          <w:szCs w:val="22"/>
        </w:rPr>
        <w:t xml:space="preserve"> </w:t>
      </w:r>
      <w:r w:rsidR="00770941" w:rsidRPr="00770941">
        <w:rPr>
          <w:rFonts w:ascii="Times New Roman" w:hAnsi="Times New Roman"/>
          <w:color w:val="auto"/>
          <w:szCs w:val="22"/>
        </w:rPr>
        <w:t>are seeking work and have a genuine chance of being engaged</w:t>
      </w:r>
      <w:r>
        <w:rPr>
          <w:rFonts w:ascii="Times New Roman" w:hAnsi="Times New Roman"/>
          <w:color w:val="auto"/>
          <w:szCs w:val="22"/>
        </w:rPr>
        <w:t>.</w:t>
      </w:r>
      <w:r>
        <w:rPr>
          <w:rStyle w:val="FootnoteReference"/>
          <w:rFonts w:ascii="Times New Roman" w:hAnsi="Times New Roman"/>
          <w:color w:val="auto"/>
          <w:szCs w:val="22"/>
        </w:rPr>
        <w:footnoteReference w:id="21"/>
      </w:r>
      <w:r>
        <w:rPr>
          <w:rFonts w:ascii="Times New Roman" w:hAnsi="Times New Roman"/>
          <w:color w:val="auto"/>
          <w:szCs w:val="22"/>
        </w:rPr>
        <w:t xml:space="preserve"> </w:t>
      </w:r>
      <w:r w:rsidRPr="0028448D">
        <w:rPr>
          <w:rFonts w:ascii="Times New Roman" w:hAnsi="Times New Roman"/>
          <w:color w:val="auto"/>
          <w:szCs w:val="22"/>
        </w:rPr>
        <w:t>While G. M. A. and the Commission argue</w:t>
      </w:r>
      <w:r>
        <w:rPr>
          <w:rFonts w:ascii="Times New Roman" w:hAnsi="Times New Roman"/>
          <w:color w:val="auto"/>
          <w:szCs w:val="22"/>
        </w:rPr>
        <w:t>d</w:t>
      </w:r>
      <w:r w:rsidRPr="0028448D">
        <w:rPr>
          <w:rFonts w:ascii="Times New Roman" w:hAnsi="Times New Roman"/>
          <w:color w:val="auto"/>
          <w:szCs w:val="22"/>
        </w:rPr>
        <w:t xml:space="preserve"> this to be the case, it</w:t>
      </w:r>
      <w:r>
        <w:rPr>
          <w:rFonts w:ascii="Times New Roman" w:hAnsi="Times New Roman"/>
          <w:color w:val="auto"/>
          <w:szCs w:val="22"/>
        </w:rPr>
        <w:t xml:space="preserve"> was the view of the Belgian, Danish and United Kingdom Governments that jobseekers must prove a genuine chance of being engaged throughout the ‘reasonable period of time’. AG </w:t>
      </w:r>
      <w:proofErr w:type="spellStart"/>
      <w:r>
        <w:rPr>
          <w:rFonts w:ascii="Times New Roman" w:hAnsi="Times New Roman"/>
          <w:color w:val="auto"/>
          <w:szCs w:val="22"/>
        </w:rPr>
        <w:t>Szpunar</w:t>
      </w:r>
      <w:proofErr w:type="spellEnd"/>
      <w:r>
        <w:rPr>
          <w:rFonts w:ascii="Times New Roman" w:hAnsi="Times New Roman"/>
          <w:color w:val="auto"/>
          <w:szCs w:val="22"/>
        </w:rPr>
        <w:t xml:space="preserve"> sets out that he does not completely agree with either interpretation. Instead, he argue</w:t>
      </w:r>
      <w:r w:rsidR="00AE3AE4">
        <w:rPr>
          <w:rFonts w:ascii="Times New Roman" w:hAnsi="Times New Roman"/>
          <w:color w:val="auto"/>
          <w:szCs w:val="22"/>
        </w:rPr>
        <w:t>d</w:t>
      </w:r>
      <w:r>
        <w:rPr>
          <w:rFonts w:ascii="Times New Roman" w:hAnsi="Times New Roman"/>
          <w:color w:val="auto"/>
          <w:szCs w:val="22"/>
        </w:rPr>
        <w:t xml:space="preserve"> that the requirement for a jobseeker to prove that they are seeking work applies during the reasonable period, but the right of residence only becomes conditional on proving a ‘genuine chance of being engaged’ after the reasonable </w:t>
      </w:r>
      <w:proofErr w:type="gramStart"/>
      <w:r>
        <w:rPr>
          <w:rFonts w:ascii="Times New Roman" w:hAnsi="Times New Roman"/>
          <w:color w:val="auto"/>
          <w:szCs w:val="22"/>
        </w:rPr>
        <w:t>period of time</w:t>
      </w:r>
      <w:proofErr w:type="gramEnd"/>
      <w:r>
        <w:rPr>
          <w:rFonts w:ascii="Times New Roman" w:hAnsi="Times New Roman"/>
          <w:color w:val="auto"/>
          <w:szCs w:val="22"/>
        </w:rPr>
        <w:t xml:space="preserve"> has expired.</w:t>
      </w:r>
      <w:r>
        <w:rPr>
          <w:rStyle w:val="FootnoteReference"/>
          <w:rFonts w:ascii="Times New Roman" w:hAnsi="Times New Roman"/>
          <w:color w:val="auto"/>
          <w:szCs w:val="22"/>
        </w:rPr>
        <w:footnoteReference w:id="22"/>
      </w:r>
      <w:r>
        <w:rPr>
          <w:rFonts w:ascii="Times New Roman" w:hAnsi="Times New Roman"/>
          <w:color w:val="auto"/>
          <w:szCs w:val="22"/>
        </w:rPr>
        <w:t xml:space="preserve"> The logic behind this finding comes from an examination of the purpose and origin of Article 14(4)(b) Directive 2004/38 and the wording of the </w:t>
      </w:r>
      <w:proofErr w:type="spellStart"/>
      <w:r w:rsidRPr="00F63FD0">
        <w:rPr>
          <w:rFonts w:ascii="Times New Roman" w:hAnsi="Times New Roman"/>
          <w:i/>
          <w:iCs/>
          <w:color w:val="auto"/>
          <w:szCs w:val="22"/>
        </w:rPr>
        <w:t>Antonissen</w:t>
      </w:r>
      <w:proofErr w:type="spellEnd"/>
      <w:r>
        <w:rPr>
          <w:rFonts w:ascii="Times New Roman" w:hAnsi="Times New Roman"/>
          <w:color w:val="auto"/>
          <w:szCs w:val="22"/>
        </w:rPr>
        <w:t xml:space="preserve"> judgment. When examining the former,</w:t>
      </w:r>
      <w:r>
        <w:rPr>
          <w:rStyle w:val="FootnoteReference"/>
          <w:rFonts w:ascii="Times New Roman" w:hAnsi="Times New Roman"/>
          <w:color w:val="auto"/>
          <w:szCs w:val="22"/>
        </w:rPr>
        <w:footnoteReference w:id="23"/>
      </w:r>
      <w:r>
        <w:rPr>
          <w:rFonts w:ascii="Times New Roman" w:hAnsi="Times New Roman"/>
          <w:color w:val="auto"/>
          <w:szCs w:val="22"/>
        </w:rPr>
        <w:t xml:space="preserve"> AG </w:t>
      </w:r>
      <w:proofErr w:type="spellStart"/>
      <w:r>
        <w:rPr>
          <w:rFonts w:ascii="Times New Roman" w:hAnsi="Times New Roman"/>
          <w:color w:val="auto"/>
          <w:szCs w:val="22"/>
        </w:rPr>
        <w:t>Szpunar</w:t>
      </w:r>
      <w:proofErr w:type="spellEnd"/>
      <w:r>
        <w:rPr>
          <w:rFonts w:ascii="Times New Roman" w:hAnsi="Times New Roman"/>
          <w:color w:val="auto"/>
          <w:szCs w:val="22"/>
        </w:rPr>
        <w:t xml:space="preserve"> found that both recital 9 of the Directive and Council of the European Union amendments to previous iterations of the initial right to reside of three months (Art 6 Directive 2004/38)</w:t>
      </w:r>
      <w:r>
        <w:rPr>
          <w:rStyle w:val="FootnoteReference"/>
          <w:rFonts w:ascii="Times New Roman" w:hAnsi="Times New Roman"/>
          <w:color w:val="auto"/>
          <w:szCs w:val="22"/>
        </w:rPr>
        <w:footnoteReference w:id="24"/>
      </w:r>
      <w:r>
        <w:rPr>
          <w:rFonts w:ascii="Times New Roman" w:hAnsi="Times New Roman"/>
          <w:color w:val="auto"/>
          <w:szCs w:val="22"/>
        </w:rPr>
        <w:t xml:space="preserve"> refer to the intention to give jobseekers more </w:t>
      </w:r>
      <w:proofErr w:type="spellStart"/>
      <w:r>
        <w:rPr>
          <w:rFonts w:ascii="Times New Roman" w:hAnsi="Times New Roman"/>
          <w:color w:val="auto"/>
          <w:szCs w:val="22"/>
        </w:rPr>
        <w:t>favourable</w:t>
      </w:r>
      <w:proofErr w:type="spellEnd"/>
      <w:r>
        <w:rPr>
          <w:rFonts w:ascii="Times New Roman" w:hAnsi="Times New Roman"/>
          <w:color w:val="auto"/>
          <w:szCs w:val="22"/>
        </w:rPr>
        <w:t xml:space="preserve"> treatment and recognize the ECJ case law which confirms this. For AG </w:t>
      </w:r>
      <w:proofErr w:type="spellStart"/>
      <w:r>
        <w:rPr>
          <w:rFonts w:ascii="Times New Roman" w:hAnsi="Times New Roman"/>
          <w:color w:val="auto"/>
          <w:szCs w:val="22"/>
        </w:rPr>
        <w:t>Szpunar</w:t>
      </w:r>
      <w:proofErr w:type="spellEnd"/>
      <w:r>
        <w:rPr>
          <w:rFonts w:ascii="Times New Roman" w:hAnsi="Times New Roman"/>
          <w:color w:val="auto"/>
          <w:szCs w:val="22"/>
        </w:rPr>
        <w:t>, this shows an intention to strengthen the status of jobseeker and</w:t>
      </w:r>
      <w:r w:rsidRPr="000C33EC">
        <w:rPr>
          <w:rFonts w:ascii="Times New Roman" w:hAnsi="Times New Roman"/>
          <w:i/>
          <w:iCs/>
          <w:color w:val="auto"/>
          <w:szCs w:val="22"/>
        </w:rPr>
        <w:t xml:space="preserve"> </w:t>
      </w:r>
      <w:r>
        <w:rPr>
          <w:rFonts w:ascii="Times New Roman" w:hAnsi="Times New Roman"/>
          <w:color w:val="auto"/>
          <w:szCs w:val="22"/>
        </w:rPr>
        <w:t xml:space="preserve">means that any of the conditions in Article 14(4)(b) cannot be imposed during the first 3 months of residence. However, the AG believes that the reference to the judgment in </w:t>
      </w:r>
      <w:proofErr w:type="spellStart"/>
      <w:r w:rsidRPr="00F63FD0">
        <w:rPr>
          <w:rFonts w:ascii="Times New Roman" w:hAnsi="Times New Roman"/>
          <w:i/>
          <w:iCs/>
          <w:color w:val="auto"/>
          <w:szCs w:val="22"/>
        </w:rPr>
        <w:t>Antonissen</w:t>
      </w:r>
      <w:proofErr w:type="spellEnd"/>
      <w:r>
        <w:rPr>
          <w:rFonts w:ascii="Times New Roman" w:hAnsi="Times New Roman"/>
          <w:color w:val="auto"/>
          <w:szCs w:val="22"/>
        </w:rPr>
        <w:t xml:space="preserve"> does not suggest an intent to codify a six-month minimum right of residence for jobseekers. </w:t>
      </w:r>
    </w:p>
    <w:p w14:paraId="0CE9B258" w14:textId="7E6B7EDC" w:rsidR="003326B5" w:rsidRDefault="006B40C6" w:rsidP="003326B5">
      <w:pPr>
        <w:pStyle w:val="Default"/>
        <w:spacing w:after="120"/>
        <w:jc w:val="both"/>
        <w:rPr>
          <w:rFonts w:ascii="Times New Roman" w:hAnsi="Times New Roman"/>
          <w:color w:val="auto"/>
          <w:szCs w:val="22"/>
        </w:rPr>
      </w:pPr>
      <w:r>
        <w:rPr>
          <w:rFonts w:ascii="Times New Roman" w:hAnsi="Times New Roman"/>
          <w:color w:val="auto"/>
          <w:szCs w:val="22"/>
        </w:rPr>
        <w:t xml:space="preserve">The key paragraph in the </w:t>
      </w:r>
      <w:proofErr w:type="spellStart"/>
      <w:r w:rsidRPr="00F63FD0">
        <w:rPr>
          <w:rFonts w:ascii="Times New Roman" w:hAnsi="Times New Roman"/>
          <w:i/>
          <w:iCs/>
          <w:color w:val="auto"/>
          <w:szCs w:val="22"/>
        </w:rPr>
        <w:t>Antonissen</w:t>
      </w:r>
      <w:proofErr w:type="spellEnd"/>
      <w:r>
        <w:rPr>
          <w:rFonts w:ascii="Times New Roman" w:hAnsi="Times New Roman"/>
          <w:i/>
          <w:iCs/>
          <w:color w:val="auto"/>
          <w:szCs w:val="22"/>
        </w:rPr>
        <w:t xml:space="preserve"> </w:t>
      </w:r>
      <w:r w:rsidRPr="00BC4C99">
        <w:rPr>
          <w:rFonts w:ascii="Times New Roman" w:hAnsi="Times New Roman"/>
          <w:color w:val="auto"/>
          <w:szCs w:val="22"/>
        </w:rPr>
        <w:t>judgment</w:t>
      </w:r>
      <w:r>
        <w:rPr>
          <w:rFonts w:ascii="Times New Roman" w:hAnsi="Times New Roman"/>
          <w:color w:val="auto"/>
          <w:szCs w:val="22"/>
        </w:rPr>
        <w:t xml:space="preserve"> states that ‘…</w:t>
      </w:r>
      <w:r w:rsidRPr="006B40C6">
        <w:rPr>
          <w:rFonts w:ascii="Times New Roman" w:hAnsi="Times New Roman"/>
          <w:color w:val="auto"/>
          <w:szCs w:val="22"/>
        </w:rPr>
        <w:t>if after the expiry of that period the person concerned provides evidence that he is continuing to seek employment and that he has genuine chances of being engaged, he cannot be required to leave the territory of the host Member State</w:t>
      </w:r>
      <w:r>
        <w:rPr>
          <w:rFonts w:ascii="Times New Roman" w:hAnsi="Times New Roman"/>
          <w:color w:val="auto"/>
          <w:szCs w:val="22"/>
        </w:rPr>
        <w:t>’.</w:t>
      </w:r>
      <w:r>
        <w:rPr>
          <w:rStyle w:val="FootnoteReference"/>
          <w:rFonts w:ascii="Times New Roman" w:hAnsi="Times New Roman"/>
          <w:color w:val="auto"/>
          <w:szCs w:val="22"/>
        </w:rPr>
        <w:footnoteReference w:id="25"/>
      </w:r>
      <w:r>
        <w:rPr>
          <w:rFonts w:ascii="Times New Roman" w:hAnsi="Times New Roman"/>
          <w:color w:val="auto"/>
          <w:szCs w:val="22"/>
        </w:rPr>
        <w:t xml:space="preserve"> The confusion here lies with the word ‘continuing’. It is not entirely clear whether it requires jobseekers to be continuing to seek employment </w:t>
      </w:r>
      <w:r w:rsidRPr="006B40C6">
        <w:rPr>
          <w:rFonts w:ascii="Times New Roman" w:hAnsi="Times New Roman"/>
          <w:i/>
          <w:iCs/>
          <w:color w:val="auto"/>
          <w:szCs w:val="22"/>
        </w:rPr>
        <w:t>and</w:t>
      </w:r>
      <w:r>
        <w:rPr>
          <w:rFonts w:ascii="Times New Roman" w:hAnsi="Times New Roman"/>
          <w:color w:val="auto"/>
          <w:szCs w:val="22"/>
        </w:rPr>
        <w:t xml:space="preserve"> continuing to have a genuine chance of being engaged. The implication of which would allow Member States to impose the ‘genuine chance of being engaged’ condition on jobseekers during the ‘reasonable </w:t>
      </w:r>
      <w:r>
        <w:rPr>
          <w:rFonts w:ascii="Times New Roman" w:hAnsi="Times New Roman"/>
          <w:color w:val="auto"/>
          <w:szCs w:val="22"/>
        </w:rPr>
        <w:lastRenderedPageBreak/>
        <w:t xml:space="preserve">period’. When looking to the wording of paragraph 21 of the </w:t>
      </w:r>
      <w:proofErr w:type="spellStart"/>
      <w:r w:rsidRPr="00F63FD0">
        <w:rPr>
          <w:rFonts w:ascii="Times New Roman" w:hAnsi="Times New Roman"/>
          <w:i/>
          <w:iCs/>
          <w:color w:val="auto"/>
          <w:szCs w:val="22"/>
        </w:rPr>
        <w:t>Antonissen</w:t>
      </w:r>
      <w:proofErr w:type="spellEnd"/>
      <w:r>
        <w:rPr>
          <w:rFonts w:ascii="Times New Roman" w:hAnsi="Times New Roman"/>
          <w:i/>
          <w:iCs/>
          <w:color w:val="auto"/>
          <w:szCs w:val="22"/>
        </w:rPr>
        <w:t xml:space="preserve"> </w:t>
      </w:r>
      <w:r w:rsidRPr="00BC4C99">
        <w:rPr>
          <w:rFonts w:ascii="Times New Roman" w:hAnsi="Times New Roman"/>
          <w:color w:val="auto"/>
          <w:szCs w:val="22"/>
        </w:rPr>
        <w:t>judgment</w:t>
      </w:r>
      <w:r>
        <w:rPr>
          <w:rFonts w:ascii="Times New Roman" w:hAnsi="Times New Roman"/>
          <w:color w:val="auto"/>
          <w:szCs w:val="22"/>
        </w:rPr>
        <w:t xml:space="preserve">, the AG relies on the </w:t>
      </w:r>
      <w:r w:rsidR="001909A0">
        <w:rPr>
          <w:rFonts w:ascii="Times New Roman" w:hAnsi="Times New Roman"/>
          <w:color w:val="auto"/>
          <w:szCs w:val="22"/>
        </w:rPr>
        <w:t xml:space="preserve">separation of the two conditions and the </w:t>
      </w:r>
      <w:r>
        <w:rPr>
          <w:rFonts w:ascii="Times New Roman" w:hAnsi="Times New Roman"/>
          <w:color w:val="auto"/>
          <w:szCs w:val="22"/>
        </w:rPr>
        <w:t xml:space="preserve">distinction </w:t>
      </w:r>
      <w:r w:rsidR="001428D8">
        <w:rPr>
          <w:rFonts w:ascii="Times New Roman" w:hAnsi="Times New Roman"/>
          <w:color w:val="auto"/>
          <w:szCs w:val="22"/>
        </w:rPr>
        <w:t xml:space="preserve">of </w:t>
      </w:r>
      <w:r w:rsidR="001909A0">
        <w:rPr>
          <w:rFonts w:ascii="Times New Roman" w:hAnsi="Times New Roman"/>
          <w:color w:val="auto"/>
          <w:szCs w:val="22"/>
        </w:rPr>
        <w:t xml:space="preserve">the Court’s </w:t>
      </w:r>
      <w:r w:rsidR="001428D8">
        <w:rPr>
          <w:rFonts w:ascii="Times New Roman" w:hAnsi="Times New Roman"/>
          <w:color w:val="auto"/>
          <w:szCs w:val="22"/>
        </w:rPr>
        <w:t>wording</w:t>
      </w:r>
      <w:r w:rsidR="001909A0">
        <w:rPr>
          <w:rFonts w:ascii="Times New Roman" w:hAnsi="Times New Roman"/>
          <w:color w:val="auto"/>
          <w:szCs w:val="22"/>
        </w:rPr>
        <w:t xml:space="preserve"> for each</w:t>
      </w:r>
      <w:r>
        <w:rPr>
          <w:rFonts w:ascii="Times New Roman" w:hAnsi="Times New Roman"/>
          <w:color w:val="auto"/>
          <w:szCs w:val="22"/>
        </w:rPr>
        <w:t>. The AG highlight</w:t>
      </w:r>
      <w:r w:rsidR="00AE3AE4">
        <w:rPr>
          <w:rFonts w:ascii="Times New Roman" w:hAnsi="Times New Roman"/>
          <w:color w:val="auto"/>
          <w:szCs w:val="22"/>
        </w:rPr>
        <w:t>ed</w:t>
      </w:r>
      <w:r>
        <w:rPr>
          <w:rFonts w:ascii="Times New Roman" w:hAnsi="Times New Roman"/>
          <w:color w:val="auto"/>
          <w:szCs w:val="22"/>
        </w:rPr>
        <w:t xml:space="preserve"> the Court’s choice to state that</w:t>
      </w:r>
      <w:r w:rsidR="003326B5">
        <w:rPr>
          <w:rFonts w:ascii="Times New Roman" w:hAnsi="Times New Roman"/>
          <w:color w:val="auto"/>
          <w:szCs w:val="22"/>
        </w:rPr>
        <w:t xml:space="preserve"> ‘</w:t>
      </w:r>
      <w:r w:rsidR="003326B5">
        <w:rPr>
          <w:rFonts w:ascii="Times New Roman" w:hAnsi="Times New Roman"/>
          <w:i/>
          <w:iCs/>
          <w:color w:val="auto"/>
          <w:szCs w:val="22"/>
        </w:rPr>
        <w:t>if after the expiry of that period</w:t>
      </w:r>
      <w:r w:rsidR="003326B5">
        <w:rPr>
          <w:rFonts w:ascii="Times New Roman" w:hAnsi="Times New Roman"/>
          <w:color w:val="auto"/>
          <w:szCs w:val="22"/>
        </w:rPr>
        <w:t xml:space="preserve">’ the jobseeker can demonstrate that they have a genuine chance of being engaged then they cannot be required to leave the host Member State. Following this wording, AG </w:t>
      </w:r>
      <w:proofErr w:type="spellStart"/>
      <w:r w:rsidR="003326B5">
        <w:rPr>
          <w:rFonts w:ascii="Times New Roman" w:hAnsi="Times New Roman"/>
          <w:color w:val="auto"/>
          <w:szCs w:val="22"/>
        </w:rPr>
        <w:t>Szpunar</w:t>
      </w:r>
      <w:proofErr w:type="spellEnd"/>
      <w:r w:rsidR="003326B5">
        <w:rPr>
          <w:rFonts w:ascii="Times New Roman" w:hAnsi="Times New Roman"/>
          <w:color w:val="auto"/>
          <w:szCs w:val="22"/>
        </w:rPr>
        <w:t xml:space="preserve"> argue</w:t>
      </w:r>
      <w:r w:rsidR="00AE3AE4">
        <w:rPr>
          <w:rFonts w:ascii="Times New Roman" w:hAnsi="Times New Roman"/>
          <w:color w:val="auto"/>
          <w:szCs w:val="22"/>
        </w:rPr>
        <w:t>d</w:t>
      </w:r>
      <w:r w:rsidR="003326B5">
        <w:rPr>
          <w:rFonts w:ascii="Times New Roman" w:hAnsi="Times New Roman"/>
          <w:color w:val="auto"/>
          <w:szCs w:val="22"/>
        </w:rPr>
        <w:t xml:space="preserve"> that it can only follow that </w:t>
      </w:r>
      <w:r w:rsidR="003326B5" w:rsidRPr="003901D7">
        <w:rPr>
          <w:rFonts w:ascii="Times New Roman" w:hAnsi="Times New Roman"/>
          <w:i/>
          <w:iCs/>
          <w:color w:val="auto"/>
          <w:szCs w:val="22"/>
        </w:rPr>
        <w:t>before</w:t>
      </w:r>
      <w:r w:rsidR="003326B5">
        <w:rPr>
          <w:rFonts w:ascii="Times New Roman" w:hAnsi="Times New Roman"/>
          <w:color w:val="auto"/>
          <w:szCs w:val="22"/>
        </w:rPr>
        <w:t xml:space="preserve"> the expiry of that reasonable period, it is not necessary to demonstrate a genuine chance of being engaged. In contrast, the </w:t>
      </w:r>
      <w:proofErr w:type="spellStart"/>
      <w:r w:rsidR="003326B5" w:rsidRPr="00F63FD0">
        <w:rPr>
          <w:rFonts w:ascii="Times New Roman" w:hAnsi="Times New Roman"/>
          <w:i/>
          <w:iCs/>
          <w:color w:val="auto"/>
          <w:szCs w:val="22"/>
        </w:rPr>
        <w:t>Antonissen</w:t>
      </w:r>
      <w:proofErr w:type="spellEnd"/>
      <w:r w:rsidR="003326B5">
        <w:rPr>
          <w:rFonts w:ascii="Times New Roman" w:hAnsi="Times New Roman"/>
          <w:color w:val="auto"/>
          <w:szCs w:val="22"/>
        </w:rPr>
        <w:t xml:space="preserve"> judgment and language in Directive 2004/38 requires that ‘</w:t>
      </w:r>
      <w:r w:rsidR="003326B5" w:rsidRPr="003128D0">
        <w:rPr>
          <w:rFonts w:ascii="Times New Roman" w:hAnsi="Times New Roman"/>
          <w:color w:val="auto"/>
          <w:szCs w:val="22"/>
        </w:rPr>
        <w:t>after the expiry of that period’</w:t>
      </w:r>
      <w:r w:rsidR="003326B5" w:rsidRPr="001440CC">
        <w:rPr>
          <w:rFonts w:ascii="Times New Roman" w:hAnsi="Times New Roman"/>
          <w:color w:val="auto"/>
          <w:szCs w:val="22"/>
        </w:rPr>
        <w:t xml:space="preserve"> </w:t>
      </w:r>
      <w:r w:rsidR="003326B5">
        <w:rPr>
          <w:rFonts w:ascii="Times New Roman" w:hAnsi="Times New Roman"/>
          <w:color w:val="auto"/>
          <w:szCs w:val="22"/>
        </w:rPr>
        <w:t xml:space="preserve">a jobseeker must provide evidence that they are </w:t>
      </w:r>
      <w:r w:rsidR="003326B5" w:rsidRPr="003128D0">
        <w:rPr>
          <w:rFonts w:ascii="Times New Roman" w:hAnsi="Times New Roman"/>
          <w:i/>
          <w:iCs/>
          <w:color w:val="auto"/>
          <w:szCs w:val="22"/>
        </w:rPr>
        <w:t xml:space="preserve">continuing </w:t>
      </w:r>
      <w:r w:rsidR="003326B5">
        <w:rPr>
          <w:rFonts w:ascii="Times New Roman" w:hAnsi="Times New Roman"/>
          <w:color w:val="auto"/>
          <w:szCs w:val="22"/>
        </w:rPr>
        <w:t xml:space="preserve">to seek employment to retain their right of residence. For AG </w:t>
      </w:r>
      <w:proofErr w:type="spellStart"/>
      <w:r w:rsidR="003326B5">
        <w:rPr>
          <w:rFonts w:ascii="Times New Roman" w:hAnsi="Times New Roman"/>
          <w:color w:val="auto"/>
          <w:szCs w:val="22"/>
        </w:rPr>
        <w:t>Szpunar</w:t>
      </w:r>
      <w:proofErr w:type="spellEnd"/>
      <w:r w:rsidR="003326B5">
        <w:rPr>
          <w:rFonts w:ascii="Times New Roman" w:hAnsi="Times New Roman"/>
          <w:color w:val="auto"/>
          <w:szCs w:val="22"/>
        </w:rPr>
        <w:t xml:space="preserve">, this implies that jobseekers must initially demonstrate that they had been seeking employment during the reasonable </w:t>
      </w:r>
      <w:proofErr w:type="gramStart"/>
      <w:r w:rsidR="003326B5">
        <w:rPr>
          <w:rFonts w:ascii="Times New Roman" w:hAnsi="Times New Roman"/>
          <w:color w:val="auto"/>
          <w:szCs w:val="22"/>
        </w:rPr>
        <w:t>period of time</w:t>
      </w:r>
      <w:proofErr w:type="gramEnd"/>
      <w:r w:rsidR="003326B5">
        <w:rPr>
          <w:rFonts w:ascii="Times New Roman" w:hAnsi="Times New Roman"/>
          <w:color w:val="auto"/>
          <w:szCs w:val="22"/>
        </w:rPr>
        <w:t xml:space="preserve">. </w:t>
      </w:r>
    </w:p>
    <w:p w14:paraId="7C6B8041" w14:textId="77777777" w:rsidR="003326B5" w:rsidRPr="004D3941" w:rsidRDefault="003326B5" w:rsidP="003326B5">
      <w:pPr>
        <w:pStyle w:val="Default"/>
        <w:spacing w:after="120"/>
        <w:jc w:val="both"/>
        <w:rPr>
          <w:rFonts w:ascii="Times New Roman" w:hAnsi="Times New Roman"/>
          <w:i/>
          <w:iCs/>
          <w:color w:val="auto"/>
          <w:szCs w:val="22"/>
        </w:rPr>
      </w:pPr>
      <w:r>
        <w:rPr>
          <w:rFonts w:ascii="Times New Roman" w:hAnsi="Times New Roman"/>
          <w:i/>
          <w:iCs/>
          <w:color w:val="auto"/>
          <w:szCs w:val="22"/>
        </w:rPr>
        <w:t>A fixed minimum period of six months?</w:t>
      </w:r>
    </w:p>
    <w:p w14:paraId="432436D9" w14:textId="0A346265" w:rsidR="003326B5" w:rsidRDefault="003326B5" w:rsidP="003326B5">
      <w:pPr>
        <w:pStyle w:val="Default"/>
        <w:spacing w:after="120"/>
        <w:jc w:val="both"/>
        <w:rPr>
          <w:rFonts w:ascii="Times New Roman" w:hAnsi="Times New Roman"/>
          <w:color w:val="auto"/>
          <w:szCs w:val="22"/>
        </w:rPr>
      </w:pPr>
      <w:r>
        <w:rPr>
          <w:rFonts w:ascii="Times New Roman" w:hAnsi="Times New Roman"/>
          <w:color w:val="auto"/>
          <w:szCs w:val="22"/>
        </w:rPr>
        <w:t xml:space="preserve">Turning to whether the ‘reasonable </w:t>
      </w:r>
      <w:proofErr w:type="gramStart"/>
      <w:r>
        <w:rPr>
          <w:rFonts w:ascii="Times New Roman" w:hAnsi="Times New Roman"/>
          <w:color w:val="auto"/>
          <w:szCs w:val="22"/>
        </w:rPr>
        <w:t>period of time</w:t>
      </w:r>
      <w:proofErr w:type="gramEnd"/>
      <w:r>
        <w:rPr>
          <w:rFonts w:ascii="Times New Roman" w:hAnsi="Times New Roman"/>
          <w:color w:val="auto"/>
          <w:szCs w:val="22"/>
        </w:rPr>
        <w:t xml:space="preserve">’ given to jobseekers must be for a minimum period of six months, the AG </w:t>
      </w:r>
      <w:r w:rsidR="00AE3AE4">
        <w:rPr>
          <w:rFonts w:ascii="Times New Roman" w:hAnsi="Times New Roman"/>
          <w:color w:val="auto"/>
          <w:szCs w:val="22"/>
        </w:rPr>
        <w:t xml:space="preserve">first </w:t>
      </w:r>
      <w:r>
        <w:rPr>
          <w:rFonts w:ascii="Times New Roman" w:hAnsi="Times New Roman"/>
          <w:color w:val="auto"/>
          <w:szCs w:val="22"/>
        </w:rPr>
        <w:t xml:space="preserve">reaffirmed the ruling in </w:t>
      </w:r>
      <w:proofErr w:type="spellStart"/>
      <w:r w:rsidRPr="00F63FD0">
        <w:rPr>
          <w:rFonts w:ascii="Times New Roman" w:hAnsi="Times New Roman"/>
          <w:i/>
          <w:iCs/>
          <w:color w:val="auto"/>
          <w:szCs w:val="22"/>
        </w:rPr>
        <w:t>Antonissen</w:t>
      </w:r>
      <w:proofErr w:type="spellEnd"/>
      <w:r>
        <w:rPr>
          <w:rFonts w:ascii="Times New Roman" w:hAnsi="Times New Roman"/>
          <w:i/>
          <w:iCs/>
          <w:color w:val="auto"/>
          <w:szCs w:val="22"/>
        </w:rPr>
        <w:t xml:space="preserve"> </w:t>
      </w:r>
      <w:r>
        <w:rPr>
          <w:rFonts w:ascii="Times New Roman" w:hAnsi="Times New Roman"/>
          <w:color w:val="auto"/>
          <w:szCs w:val="22"/>
        </w:rPr>
        <w:t>that six months would not appear to be insufficient.</w:t>
      </w:r>
      <w:r w:rsidR="00AE3AE4">
        <w:rPr>
          <w:rFonts w:ascii="Times New Roman" w:hAnsi="Times New Roman"/>
          <w:color w:val="auto"/>
          <w:szCs w:val="22"/>
        </w:rPr>
        <w:t xml:space="preserve"> </w:t>
      </w:r>
      <w:proofErr w:type="spellStart"/>
      <w:r w:rsidR="00AE3AE4">
        <w:rPr>
          <w:rFonts w:ascii="Times New Roman" w:hAnsi="Times New Roman"/>
          <w:color w:val="auto"/>
          <w:szCs w:val="22"/>
        </w:rPr>
        <w:t>R</w:t>
      </w:r>
      <w:r>
        <w:rPr>
          <w:rFonts w:ascii="Times New Roman" w:hAnsi="Times New Roman"/>
          <w:color w:val="auto"/>
          <w:szCs w:val="22"/>
        </w:rPr>
        <w:t>ecogni</w:t>
      </w:r>
      <w:r w:rsidR="00AE3AE4">
        <w:rPr>
          <w:rFonts w:ascii="Times New Roman" w:hAnsi="Times New Roman"/>
          <w:color w:val="auto"/>
          <w:szCs w:val="22"/>
        </w:rPr>
        <w:t>s</w:t>
      </w:r>
      <w:r>
        <w:rPr>
          <w:rFonts w:ascii="Times New Roman" w:hAnsi="Times New Roman"/>
          <w:color w:val="auto"/>
          <w:szCs w:val="22"/>
        </w:rPr>
        <w:t>ing</w:t>
      </w:r>
      <w:proofErr w:type="spellEnd"/>
      <w:r>
        <w:rPr>
          <w:rFonts w:ascii="Times New Roman" w:hAnsi="Times New Roman"/>
          <w:color w:val="auto"/>
          <w:szCs w:val="22"/>
        </w:rPr>
        <w:t xml:space="preserve"> that jobseekers should be given more </w:t>
      </w:r>
      <w:proofErr w:type="spellStart"/>
      <w:r>
        <w:rPr>
          <w:rFonts w:ascii="Times New Roman" w:hAnsi="Times New Roman"/>
          <w:color w:val="auto"/>
          <w:szCs w:val="22"/>
        </w:rPr>
        <w:t>favourable</w:t>
      </w:r>
      <w:proofErr w:type="spellEnd"/>
      <w:r>
        <w:rPr>
          <w:rFonts w:ascii="Times New Roman" w:hAnsi="Times New Roman"/>
          <w:color w:val="auto"/>
          <w:szCs w:val="22"/>
        </w:rPr>
        <w:t xml:space="preserve"> treatment and should therefore not lose the benefits of unconditional residence for the first three months, </w:t>
      </w:r>
      <w:r w:rsidR="00AE3AE4">
        <w:rPr>
          <w:rFonts w:ascii="Times New Roman" w:hAnsi="Times New Roman"/>
          <w:color w:val="auto"/>
          <w:szCs w:val="22"/>
        </w:rPr>
        <w:t xml:space="preserve">the AG </w:t>
      </w:r>
      <w:r>
        <w:rPr>
          <w:rFonts w:ascii="Times New Roman" w:hAnsi="Times New Roman"/>
          <w:color w:val="auto"/>
          <w:szCs w:val="22"/>
        </w:rPr>
        <w:t>argue</w:t>
      </w:r>
      <w:r w:rsidR="00AE3AE4">
        <w:rPr>
          <w:rFonts w:ascii="Times New Roman" w:hAnsi="Times New Roman"/>
          <w:color w:val="auto"/>
          <w:szCs w:val="22"/>
        </w:rPr>
        <w:t>d</w:t>
      </w:r>
      <w:r>
        <w:rPr>
          <w:rFonts w:ascii="Times New Roman" w:hAnsi="Times New Roman"/>
          <w:color w:val="auto"/>
          <w:szCs w:val="22"/>
        </w:rPr>
        <w:t xml:space="preserve"> that ‘</w:t>
      </w:r>
      <w:r w:rsidRPr="000C33EC">
        <w:rPr>
          <w:rFonts w:ascii="Times New Roman" w:hAnsi="Times New Roman"/>
          <w:color w:val="auto"/>
          <w:szCs w:val="22"/>
        </w:rPr>
        <w:t>a period of three months from the end of the initial three-month period of legal residence</w:t>
      </w:r>
      <w:r>
        <w:rPr>
          <w:rFonts w:ascii="Times New Roman" w:hAnsi="Times New Roman"/>
          <w:color w:val="auto"/>
          <w:szCs w:val="22"/>
        </w:rPr>
        <w:t>’</w:t>
      </w:r>
      <w:r w:rsidRPr="000C33EC">
        <w:rPr>
          <w:rFonts w:ascii="Times New Roman" w:hAnsi="Times New Roman"/>
          <w:color w:val="auto"/>
          <w:szCs w:val="22"/>
        </w:rPr>
        <w:t xml:space="preserve"> does not seem</w:t>
      </w:r>
      <w:r>
        <w:rPr>
          <w:rFonts w:ascii="Times New Roman" w:hAnsi="Times New Roman"/>
          <w:color w:val="auto"/>
          <w:szCs w:val="22"/>
        </w:rPr>
        <w:t xml:space="preserve"> to be</w:t>
      </w:r>
      <w:r w:rsidRPr="000C33EC">
        <w:rPr>
          <w:rFonts w:ascii="Times New Roman" w:hAnsi="Times New Roman"/>
          <w:color w:val="auto"/>
          <w:szCs w:val="22"/>
        </w:rPr>
        <w:t xml:space="preserve"> unreasonable</w:t>
      </w:r>
      <w:r>
        <w:rPr>
          <w:rFonts w:ascii="Times New Roman" w:hAnsi="Times New Roman"/>
          <w:color w:val="auto"/>
          <w:szCs w:val="22"/>
        </w:rPr>
        <w:t>.</w:t>
      </w:r>
      <w:r>
        <w:rPr>
          <w:rStyle w:val="FootnoteReference"/>
          <w:rFonts w:ascii="Times New Roman" w:hAnsi="Times New Roman"/>
          <w:color w:val="auto"/>
          <w:szCs w:val="22"/>
        </w:rPr>
        <w:footnoteReference w:id="26"/>
      </w:r>
      <w:r>
        <w:rPr>
          <w:rFonts w:ascii="Times New Roman" w:hAnsi="Times New Roman"/>
          <w:color w:val="auto"/>
          <w:szCs w:val="22"/>
        </w:rPr>
        <w:t xml:space="preserve"> For the AG, where a jobseekers’ reasonable period of time overlaps with their Article 6 right of residence, their initial three months of residence in a host Member State should remain unconditional</w:t>
      </w:r>
      <w:r w:rsidR="00AE3AE4">
        <w:rPr>
          <w:rFonts w:ascii="Times New Roman" w:hAnsi="Times New Roman"/>
          <w:color w:val="auto"/>
          <w:szCs w:val="22"/>
        </w:rPr>
        <w:t>, it should also not trigger the countdown for a ‘reasonable period’ of residence</w:t>
      </w:r>
      <w:r>
        <w:rPr>
          <w:rFonts w:ascii="Times New Roman" w:hAnsi="Times New Roman"/>
          <w:color w:val="auto"/>
          <w:szCs w:val="22"/>
        </w:rPr>
        <w:t>.</w:t>
      </w:r>
      <w:r>
        <w:rPr>
          <w:rStyle w:val="FootnoteReference"/>
          <w:rFonts w:ascii="Times New Roman" w:hAnsi="Times New Roman"/>
          <w:color w:val="auto"/>
          <w:szCs w:val="22"/>
        </w:rPr>
        <w:footnoteReference w:id="27"/>
      </w:r>
      <w:r>
        <w:rPr>
          <w:rFonts w:ascii="Times New Roman" w:hAnsi="Times New Roman"/>
          <w:color w:val="auto"/>
          <w:szCs w:val="22"/>
        </w:rPr>
        <w:t xml:space="preserve"> </w:t>
      </w:r>
      <w:r w:rsidR="00AE3AE4">
        <w:rPr>
          <w:rFonts w:ascii="Times New Roman" w:hAnsi="Times New Roman"/>
          <w:color w:val="auto"/>
          <w:szCs w:val="22"/>
        </w:rPr>
        <w:t>Instead, i</w:t>
      </w:r>
      <w:r>
        <w:rPr>
          <w:rFonts w:ascii="Times New Roman" w:hAnsi="Times New Roman"/>
          <w:color w:val="auto"/>
          <w:szCs w:val="22"/>
        </w:rPr>
        <w:t>t is only after the end of the initial three months</w:t>
      </w:r>
      <w:r w:rsidR="00AE3AE4">
        <w:rPr>
          <w:rFonts w:ascii="Times New Roman" w:hAnsi="Times New Roman"/>
          <w:color w:val="auto"/>
          <w:szCs w:val="22"/>
        </w:rPr>
        <w:t xml:space="preserve"> that the clock should start for the ‘reasonable period’ of a jobseekers residence</w:t>
      </w:r>
      <w:r>
        <w:rPr>
          <w:rFonts w:ascii="Times New Roman" w:hAnsi="Times New Roman"/>
          <w:color w:val="auto"/>
          <w:szCs w:val="22"/>
        </w:rPr>
        <w:t>. Following this suggestion, should registration as a jobseeker occur after the initial three months residence,</w:t>
      </w:r>
      <w:r w:rsidR="0000787E">
        <w:rPr>
          <w:rFonts w:ascii="Times New Roman" w:hAnsi="Times New Roman"/>
          <w:color w:val="auto"/>
          <w:szCs w:val="22"/>
        </w:rPr>
        <w:t xml:space="preserve"> the AG finds that</w:t>
      </w:r>
      <w:r>
        <w:rPr>
          <w:rFonts w:ascii="Times New Roman" w:hAnsi="Times New Roman"/>
          <w:color w:val="auto"/>
          <w:szCs w:val="22"/>
        </w:rPr>
        <w:t xml:space="preserve"> a period of just three months could still be sufficient as the entire ‘reasonable </w:t>
      </w:r>
      <w:proofErr w:type="gramStart"/>
      <w:r>
        <w:rPr>
          <w:rFonts w:ascii="Times New Roman" w:hAnsi="Times New Roman"/>
          <w:color w:val="auto"/>
          <w:szCs w:val="22"/>
        </w:rPr>
        <w:t>period of time</w:t>
      </w:r>
      <w:proofErr w:type="gramEnd"/>
      <w:r>
        <w:rPr>
          <w:rFonts w:ascii="Times New Roman" w:hAnsi="Times New Roman"/>
          <w:color w:val="auto"/>
          <w:szCs w:val="22"/>
        </w:rPr>
        <w:t xml:space="preserve">’ to seek employment for a first-time jobseeker. </w:t>
      </w:r>
    </w:p>
    <w:p w14:paraId="5F58F8C6" w14:textId="737892A9" w:rsidR="003326B5" w:rsidRDefault="00544B67" w:rsidP="003326B5">
      <w:pPr>
        <w:pStyle w:val="Default"/>
        <w:spacing w:after="120"/>
        <w:jc w:val="both"/>
        <w:rPr>
          <w:rFonts w:ascii="Times New Roman" w:hAnsi="Times New Roman"/>
          <w:color w:val="auto"/>
          <w:szCs w:val="22"/>
        </w:rPr>
      </w:pPr>
      <w:r>
        <w:rPr>
          <w:rFonts w:ascii="Times New Roman" w:hAnsi="Times New Roman"/>
          <w:color w:val="auto"/>
          <w:szCs w:val="22"/>
        </w:rPr>
        <w:t>In f</w:t>
      </w:r>
      <w:r w:rsidR="003326B5">
        <w:rPr>
          <w:rFonts w:ascii="Times New Roman" w:hAnsi="Times New Roman"/>
          <w:color w:val="auto"/>
          <w:szCs w:val="22"/>
        </w:rPr>
        <w:t>inal remarks on this issue</w:t>
      </w:r>
      <w:r>
        <w:rPr>
          <w:rFonts w:ascii="Times New Roman" w:hAnsi="Times New Roman"/>
          <w:color w:val="auto"/>
          <w:szCs w:val="22"/>
        </w:rPr>
        <w:t xml:space="preserve">, AG </w:t>
      </w:r>
      <w:proofErr w:type="spellStart"/>
      <w:r>
        <w:rPr>
          <w:rFonts w:ascii="Times New Roman" w:hAnsi="Times New Roman"/>
          <w:color w:val="auto"/>
          <w:szCs w:val="22"/>
        </w:rPr>
        <w:t>Szpunar</w:t>
      </w:r>
      <w:proofErr w:type="spellEnd"/>
      <w:r w:rsidR="003326B5">
        <w:rPr>
          <w:rFonts w:ascii="Times New Roman" w:hAnsi="Times New Roman"/>
          <w:color w:val="auto"/>
          <w:szCs w:val="22"/>
        </w:rPr>
        <w:t xml:space="preserve"> express</w:t>
      </w:r>
      <w:r>
        <w:rPr>
          <w:rFonts w:ascii="Times New Roman" w:hAnsi="Times New Roman"/>
          <w:color w:val="auto"/>
          <w:szCs w:val="22"/>
        </w:rPr>
        <w:t>ed</w:t>
      </w:r>
      <w:r w:rsidR="003326B5">
        <w:rPr>
          <w:rFonts w:ascii="Times New Roman" w:hAnsi="Times New Roman"/>
          <w:color w:val="auto"/>
          <w:szCs w:val="22"/>
        </w:rPr>
        <w:t xml:space="preserve"> his desire for a fixed </w:t>
      </w:r>
      <w:proofErr w:type="gramStart"/>
      <w:r w:rsidR="003326B5">
        <w:rPr>
          <w:rFonts w:ascii="Times New Roman" w:hAnsi="Times New Roman"/>
          <w:color w:val="auto"/>
          <w:szCs w:val="22"/>
        </w:rPr>
        <w:t>period of time</w:t>
      </w:r>
      <w:proofErr w:type="gramEnd"/>
      <w:r w:rsidR="003326B5">
        <w:rPr>
          <w:rFonts w:ascii="Times New Roman" w:hAnsi="Times New Roman"/>
          <w:color w:val="auto"/>
          <w:szCs w:val="22"/>
        </w:rPr>
        <w:t xml:space="preserve"> to be established for jobseekers to provide more legal certainty and transparency for EU citizens.</w:t>
      </w:r>
      <w:r w:rsidR="003326B5">
        <w:rPr>
          <w:rStyle w:val="FootnoteReference"/>
          <w:rFonts w:ascii="Times New Roman" w:hAnsi="Times New Roman"/>
          <w:color w:val="auto"/>
          <w:szCs w:val="22"/>
        </w:rPr>
        <w:footnoteReference w:id="28"/>
      </w:r>
      <w:r w:rsidR="003326B5">
        <w:rPr>
          <w:rFonts w:ascii="Times New Roman" w:hAnsi="Times New Roman"/>
          <w:color w:val="auto"/>
          <w:szCs w:val="22"/>
        </w:rPr>
        <w:t xml:space="preserve"> However, he also recognizes that it would not be appropriate for the Court to set this and that it should be left to the EU legislature.</w:t>
      </w:r>
      <w:r w:rsidR="003326B5">
        <w:rPr>
          <w:rStyle w:val="FootnoteReference"/>
          <w:rFonts w:ascii="Times New Roman" w:hAnsi="Times New Roman"/>
          <w:color w:val="auto"/>
          <w:szCs w:val="22"/>
        </w:rPr>
        <w:footnoteReference w:id="29"/>
      </w:r>
      <w:r w:rsidR="003326B5">
        <w:rPr>
          <w:rFonts w:ascii="Times New Roman" w:hAnsi="Times New Roman"/>
          <w:color w:val="auto"/>
          <w:szCs w:val="22"/>
        </w:rPr>
        <w:t xml:space="preserve"> </w:t>
      </w:r>
    </w:p>
    <w:p w14:paraId="734CAAE1" w14:textId="1A5BE6B3" w:rsidR="003326B5" w:rsidRDefault="003326B5" w:rsidP="003326B5">
      <w:pPr>
        <w:spacing w:after="120"/>
        <w:jc w:val="both"/>
      </w:pPr>
      <w:r>
        <w:rPr>
          <w:szCs w:val="22"/>
        </w:rPr>
        <w:t>Additionally, the AG considers the</w:t>
      </w:r>
      <w:r w:rsidR="00544B67">
        <w:rPr>
          <w:szCs w:val="22"/>
        </w:rPr>
        <w:t xml:space="preserve"> substance of the</w:t>
      </w:r>
      <w:r>
        <w:rPr>
          <w:szCs w:val="22"/>
        </w:rPr>
        <w:t xml:space="preserve"> condition for jobseekers to </w:t>
      </w:r>
      <w:r w:rsidR="00544B67">
        <w:rPr>
          <w:szCs w:val="22"/>
        </w:rPr>
        <w:t>demonstrate</w:t>
      </w:r>
      <w:r>
        <w:rPr>
          <w:szCs w:val="22"/>
        </w:rPr>
        <w:t xml:space="preserve"> a genuine chance of being engaged to continue to reside in a host Member State after the reasonable period for seeking employment is up. Here, the AG offers guidance on potentially relevant factors for national authorities to consider when making an assessment of a genuine chance of being engaged including </w:t>
      </w:r>
      <w:r>
        <w:t>whether the citizen is registered as a jobseeker, has been periodically sending applications or attending interviews and the average time taken to find employment in their national labour market corresponding to the occupational qualifications of the jobseeker.</w:t>
      </w:r>
      <w:r>
        <w:rPr>
          <w:rStyle w:val="FootnoteReference"/>
        </w:rPr>
        <w:footnoteReference w:id="30"/>
      </w:r>
      <w:r>
        <w:t xml:space="preserve"> The AG also identifies </w:t>
      </w:r>
      <w:r w:rsidR="00544B67">
        <w:t xml:space="preserve">that factors such as </w:t>
      </w:r>
      <w:r>
        <w:t xml:space="preserve">a jobseeker never </w:t>
      </w:r>
      <w:r w:rsidR="00544B67">
        <w:t xml:space="preserve">having </w:t>
      </w:r>
      <w:r>
        <w:t>worked in that national labour market before or refus</w:t>
      </w:r>
      <w:r w:rsidR="00544B67">
        <w:t>ing</w:t>
      </w:r>
      <w:r>
        <w:t xml:space="preserve"> an offer of employment that does not correspond to their level of occupational qualifications should </w:t>
      </w:r>
      <w:r w:rsidRPr="00B50489">
        <w:t>not be used as a basis for finding that they do not have a genuine chance of being engaged.</w:t>
      </w:r>
      <w:r w:rsidRPr="00B50489">
        <w:rPr>
          <w:rStyle w:val="FootnoteReference"/>
        </w:rPr>
        <w:footnoteReference w:id="31"/>
      </w:r>
      <w:r w:rsidRPr="00B50489">
        <w:t xml:space="preserve"> This guidance offers quite a broad interpretation of what could fall into the ‘genuine chance of being engaged’ condition </w:t>
      </w:r>
      <w:r w:rsidRPr="00B50489">
        <w:lastRenderedPageBreak/>
        <w:t xml:space="preserve">and could help more jobseekers make use of Article 14(4)(b) to extend their right of residence beyond the reasonable period.  </w:t>
      </w:r>
    </w:p>
    <w:p w14:paraId="5F44699B" w14:textId="77777777" w:rsidR="003326B5" w:rsidRDefault="003326B5" w:rsidP="003326B5">
      <w:pPr>
        <w:spacing w:after="120"/>
        <w:jc w:val="both"/>
      </w:pPr>
      <w:r>
        <w:t>Overall, the AG concludes that: (</w:t>
      </w:r>
      <w:proofErr w:type="spellStart"/>
      <w:r>
        <w:t>i</w:t>
      </w:r>
      <w:proofErr w:type="spellEnd"/>
      <w:r>
        <w:t xml:space="preserve">) Member States must not impose any conditions on jobseekers during their initial three months of residence, (ii) jobseekers must be allowed a reasonable period to seek employment, during which they can only be required to demonstrate that they are seeking employment, (iii) The condition to have a ‘genuine chance of being engaged’ must only apply upon expiry of that reasonable period, and (iv) a period of three months from the end of the initial three-month period of legal residence does not appear to be unreasonable for jobseekers. </w:t>
      </w:r>
    </w:p>
    <w:p w14:paraId="5E94407D" w14:textId="51619816" w:rsidR="003326B5" w:rsidRDefault="003326B5" w:rsidP="003326B5">
      <w:pPr>
        <w:pStyle w:val="Heading2"/>
        <w:spacing w:after="120"/>
        <w:jc w:val="both"/>
        <w:rPr>
          <w:rFonts w:ascii="Times New Roman" w:hAnsi="Times New Roman"/>
          <w:b/>
          <w:bCs/>
          <w:color w:val="auto"/>
          <w:sz w:val="24"/>
          <w:lang w:val="en-US"/>
        </w:rPr>
      </w:pPr>
      <w:r>
        <w:rPr>
          <w:rFonts w:ascii="Times New Roman" w:hAnsi="Times New Roman"/>
          <w:b/>
          <w:bCs/>
          <w:color w:val="auto"/>
          <w:sz w:val="24"/>
          <w:lang w:val="en-US"/>
        </w:rPr>
        <w:t>4</w:t>
      </w:r>
      <w:r w:rsidRPr="001204A5">
        <w:rPr>
          <w:rFonts w:ascii="Times New Roman" w:hAnsi="Times New Roman"/>
          <w:b/>
          <w:bCs/>
          <w:color w:val="auto"/>
          <w:sz w:val="24"/>
          <w:lang w:val="en-US"/>
        </w:rPr>
        <w:t xml:space="preserve">. The </w:t>
      </w:r>
      <w:r>
        <w:rPr>
          <w:rFonts w:ascii="Times New Roman" w:hAnsi="Times New Roman"/>
          <w:b/>
          <w:bCs/>
          <w:color w:val="auto"/>
          <w:sz w:val="24"/>
          <w:lang w:val="en-US"/>
        </w:rPr>
        <w:t>judgment of the Court</w:t>
      </w:r>
    </w:p>
    <w:p w14:paraId="787AEBCD" w14:textId="4C089FA7" w:rsidR="003326B5" w:rsidRDefault="003326B5" w:rsidP="003326B5">
      <w:pPr>
        <w:rPr>
          <w:lang w:val="en-US"/>
        </w:rPr>
      </w:pPr>
      <w:r>
        <w:rPr>
          <w:lang w:val="en-US"/>
        </w:rPr>
        <w:t xml:space="preserve">The Court’s judgment in </w:t>
      </w:r>
      <w:r>
        <w:rPr>
          <w:i/>
          <w:iCs/>
          <w:lang w:val="en-US"/>
        </w:rPr>
        <w:t xml:space="preserve">G. M. A. </w:t>
      </w:r>
      <w:r>
        <w:rPr>
          <w:lang w:val="en-US"/>
        </w:rPr>
        <w:t>broadly follows the line of argument as the AG’s opinion</w:t>
      </w:r>
      <w:r w:rsidR="00544B67">
        <w:rPr>
          <w:lang w:val="en-US"/>
        </w:rPr>
        <w:t>, beginning</w:t>
      </w:r>
      <w:r>
        <w:rPr>
          <w:lang w:val="en-US"/>
        </w:rPr>
        <w:t xml:space="preserve"> with a consideration of whether Member States must provide jobseekers with a ‘reasonable </w:t>
      </w:r>
      <w:proofErr w:type="gramStart"/>
      <w:r>
        <w:rPr>
          <w:lang w:val="en-US"/>
        </w:rPr>
        <w:t>period of time</w:t>
      </w:r>
      <w:proofErr w:type="gramEnd"/>
      <w:r>
        <w:rPr>
          <w:lang w:val="en-US"/>
        </w:rPr>
        <w:t>’. The Court, like the AG, notes that the free movement of workers under Article 45 TFEU and the provisions that establish this freedom must not be interpreted narrowly and must include jobseekers.</w:t>
      </w:r>
      <w:r>
        <w:rPr>
          <w:rStyle w:val="FootnoteReference"/>
          <w:lang w:val="en-US"/>
        </w:rPr>
        <w:footnoteReference w:id="32"/>
      </w:r>
      <w:r>
        <w:rPr>
          <w:lang w:val="en-US"/>
        </w:rPr>
        <w:t xml:space="preserve"> Relying on the judgment in </w:t>
      </w:r>
      <w:proofErr w:type="spellStart"/>
      <w:r w:rsidRPr="00F63FD0">
        <w:rPr>
          <w:i/>
          <w:iCs/>
          <w:szCs w:val="22"/>
        </w:rPr>
        <w:t>Antonissen</w:t>
      </w:r>
      <w:proofErr w:type="spellEnd"/>
      <w:r>
        <w:rPr>
          <w:szCs w:val="22"/>
        </w:rPr>
        <w:t xml:space="preserve">, </w:t>
      </w:r>
      <w:proofErr w:type="spellStart"/>
      <w:r>
        <w:rPr>
          <w:szCs w:val="22"/>
        </w:rPr>
        <w:t>i</w:t>
      </w:r>
      <w:proofErr w:type="spellEnd"/>
      <w:r>
        <w:rPr>
          <w:lang w:val="en-US"/>
        </w:rPr>
        <w:t xml:space="preserve">t is </w:t>
      </w:r>
      <w:r w:rsidR="00045157">
        <w:rPr>
          <w:lang w:val="en-US"/>
        </w:rPr>
        <w:t>reiterated</w:t>
      </w:r>
      <w:r>
        <w:rPr>
          <w:lang w:val="en-US"/>
        </w:rPr>
        <w:t xml:space="preserve"> that providing EU citizens with a right to enter a Member State to seek employment and to stay there for a ‘reasonable time’ is necessary to ensure the effectiveness of Article 45 TFEU is not jeopardized.</w:t>
      </w:r>
      <w:r>
        <w:rPr>
          <w:rStyle w:val="FootnoteReference"/>
          <w:lang w:val="en-US"/>
        </w:rPr>
        <w:footnoteReference w:id="33"/>
      </w:r>
      <w:r>
        <w:rPr>
          <w:lang w:val="en-US"/>
        </w:rPr>
        <w:t xml:space="preserve"> </w:t>
      </w:r>
    </w:p>
    <w:p w14:paraId="1EB502FF" w14:textId="77777777" w:rsidR="003326B5" w:rsidRDefault="003326B5" w:rsidP="003326B5">
      <w:pPr>
        <w:rPr>
          <w:lang w:val="en-US"/>
        </w:rPr>
      </w:pPr>
    </w:p>
    <w:p w14:paraId="2140BD4A" w14:textId="158C842E" w:rsidR="003326B5" w:rsidRDefault="003326B5" w:rsidP="003326B5">
      <w:pPr>
        <w:rPr>
          <w:szCs w:val="22"/>
        </w:rPr>
      </w:pPr>
      <w:r>
        <w:rPr>
          <w:lang w:val="en-US"/>
        </w:rPr>
        <w:t>Next the Court consider</w:t>
      </w:r>
      <w:r w:rsidR="00045157">
        <w:rPr>
          <w:lang w:val="en-US"/>
        </w:rPr>
        <w:t>ed</w:t>
      </w:r>
      <w:r>
        <w:rPr>
          <w:lang w:val="en-US"/>
        </w:rPr>
        <w:t xml:space="preserve"> the length of the ‘reasonable period’ provided to jobseekers to acquaint themselves with suitable employment. First, however, the Court tackle</w:t>
      </w:r>
      <w:r w:rsidR="00045157">
        <w:rPr>
          <w:lang w:val="en-US"/>
        </w:rPr>
        <w:t>d</w:t>
      </w:r>
      <w:r>
        <w:rPr>
          <w:lang w:val="en-US"/>
        </w:rPr>
        <w:t xml:space="preserve"> the question of when the ‘reasonable period’ should begin. It is noted that if an EU citizen begins </w:t>
      </w:r>
      <w:proofErr w:type="spellStart"/>
      <w:r>
        <w:rPr>
          <w:lang w:val="en-US"/>
        </w:rPr>
        <w:t>jobseeking</w:t>
      </w:r>
      <w:proofErr w:type="spellEnd"/>
      <w:r>
        <w:rPr>
          <w:lang w:val="en-US"/>
        </w:rPr>
        <w:t xml:space="preserve"> during the first three months in a host Member State, their right of residence will be covered by both the initial right of residence in Article 6 Directive 2004/38 and as a jobseeker under Article 45 TFEU as it has been interpreted by the ECJ in </w:t>
      </w:r>
      <w:proofErr w:type="spellStart"/>
      <w:r w:rsidRPr="00F63FD0">
        <w:rPr>
          <w:i/>
          <w:iCs/>
          <w:szCs w:val="22"/>
        </w:rPr>
        <w:t>Antonissen</w:t>
      </w:r>
      <w:proofErr w:type="spellEnd"/>
      <w:r>
        <w:rPr>
          <w:lang w:val="en-US"/>
        </w:rPr>
        <w:t xml:space="preserve"> (and then codified into Article 14(4)(b) of the Directive).</w:t>
      </w:r>
      <w:r>
        <w:rPr>
          <w:rStyle w:val="FootnoteReference"/>
          <w:lang w:val="en-US"/>
        </w:rPr>
        <w:footnoteReference w:id="34"/>
      </w:r>
      <w:r>
        <w:rPr>
          <w:lang w:val="en-US"/>
        </w:rPr>
        <w:t xml:space="preserve"> As such, it is found that the ‘reasonable period’ starts to run at the point when a Union citizen decides to register as a jobseeker, rather than on arrival or, as the AG suggested after the initial three months of residence.</w:t>
      </w:r>
      <w:r>
        <w:rPr>
          <w:rStyle w:val="FootnoteReference"/>
          <w:lang w:val="en-US"/>
        </w:rPr>
        <w:footnoteReference w:id="35"/>
      </w:r>
      <w:r>
        <w:rPr>
          <w:lang w:val="en-US"/>
        </w:rPr>
        <w:t xml:space="preserve"> </w:t>
      </w:r>
      <w:r>
        <w:rPr>
          <w:szCs w:val="22"/>
        </w:rPr>
        <w:t>This is the main point at which the Court judgment diverges from the AG opinion and changes how the duration of the ‘reasonable period’ should be calculated. The Court does not agree with the AG that ‘</w:t>
      </w:r>
      <w:r w:rsidRPr="000C33EC">
        <w:rPr>
          <w:szCs w:val="22"/>
        </w:rPr>
        <w:t>a period of three months from the end of the initial three-month period of legal residence</w:t>
      </w:r>
      <w:r>
        <w:rPr>
          <w:szCs w:val="22"/>
        </w:rPr>
        <w:t xml:space="preserve">’ would suffice for the ‘reasonable </w:t>
      </w:r>
      <w:proofErr w:type="gramStart"/>
      <w:r>
        <w:rPr>
          <w:szCs w:val="22"/>
        </w:rPr>
        <w:t>period of time</w:t>
      </w:r>
      <w:proofErr w:type="gramEnd"/>
      <w:r>
        <w:rPr>
          <w:szCs w:val="22"/>
        </w:rPr>
        <w:t>’ available to jobseekers. Instead, as the reasonable period starts to run from the point of registration and can therefore overlap with the initial three months, the judgment considers what duration could be reasonable whether it falls within Article 6 residence or not. T</w:t>
      </w:r>
      <w:r>
        <w:rPr>
          <w:lang w:val="en-US"/>
        </w:rPr>
        <w:t>he Court highlight</w:t>
      </w:r>
      <w:r w:rsidR="008315AC">
        <w:rPr>
          <w:lang w:val="en-US"/>
        </w:rPr>
        <w:t>ed</w:t>
      </w:r>
      <w:r>
        <w:rPr>
          <w:lang w:val="en-US"/>
        </w:rPr>
        <w:t xml:space="preserve"> that </w:t>
      </w:r>
      <w:r w:rsidRPr="00736437">
        <w:rPr>
          <w:lang w:val="en-US"/>
        </w:rPr>
        <w:t>Article 14(4)(b) of Directive 2004/38 does not contain any indication</w:t>
      </w:r>
      <w:r>
        <w:rPr>
          <w:lang w:val="en-US"/>
        </w:rPr>
        <w:t xml:space="preserve"> of a minimum duration but that the duration must ensure that the effectiveness of Article 45 TFEU.</w:t>
      </w:r>
      <w:r>
        <w:rPr>
          <w:rStyle w:val="FootnoteReference"/>
          <w:lang w:val="en-US"/>
        </w:rPr>
        <w:footnoteReference w:id="36"/>
      </w:r>
      <w:r>
        <w:rPr>
          <w:lang w:val="en-US"/>
        </w:rPr>
        <w:t xml:space="preserve"> Despite referring to the purpose of Directive 2004/38 to be the facilitation of free movement rights, the Court refers back to the judgment in </w:t>
      </w:r>
      <w:proofErr w:type="spellStart"/>
      <w:r w:rsidRPr="00F63FD0">
        <w:rPr>
          <w:i/>
          <w:iCs/>
          <w:szCs w:val="22"/>
        </w:rPr>
        <w:t>Antonissen</w:t>
      </w:r>
      <w:proofErr w:type="spellEnd"/>
      <w:r>
        <w:rPr>
          <w:i/>
          <w:iCs/>
          <w:szCs w:val="22"/>
        </w:rPr>
        <w:t xml:space="preserve"> </w:t>
      </w:r>
      <w:r>
        <w:rPr>
          <w:szCs w:val="22"/>
        </w:rPr>
        <w:t xml:space="preserve">to determine </w:t>
      </w:r>
      <w:r w:rsidR="008315AC">
        <w:rPr>
          <w:szCs w:val="22"/>
        </w:rPr>
        <w:t xml:space="preserve">again </w:t>
      </w:r>
      <w:r>
        <w:rPr>
          <w:szCs w:val="22"/>
        </w:rPr>
        <w:t xml:space="preserve">that ‘a period of six months </w:t>
      </w:r>
      <w:r w:rsidRPr="00736437">
        <w:rPr>
          <w:szCs w:val="22"/>
        </w:rPr>
        <w:t>does not appear, in principle, to be insufficient and does not call into question the effectiveness of Article 45 TFEU</w:t>
      </w:r>
      <w:r>
        <w:rPr>
          <w:szCs w:val="22"/>
        </w:rPr>
        <w:t>’</w:t>
      </w:r>
      <w:r w:rsidRPr="003326B5">
        <w:rPr>
          <w:szCs w:val="22"/>
        </w:rPr>
        <w:t>.</w:t>
      </w:r>
      <w:r w:rsidRPr="003326B5">
        <w:rPr>
          <w:rStyle w:val="FootnoteReference"/>
          <w:szCs w:val="22"/>
        </w:rPr>
        <w:footnoteReference w:id="37"/>
      </w:r>
      <w:r w:rsidRPr="003326B5">
        <w:rPr>
          <w:szCs w:val="22"/>
        </w:rPr>
        <w:t xml:space="preserve"> This finding goes no further than </w:t>
      </w:r>
      <w:proofErr w:type="spellStart"/>
      <w:r w:rsidRPr="003326B5">
        <w:rPr>
          <w:i/>
          <w:iCs/>
          <w:szCs w:val="22"/>
        </w:rPr>
        <w:t>Antonissen</w:t>
      </w:r>
      <w:proofErr w:type="spellEnd"/>
      <w:r w:rsidRPr="003326B5">
        <w:rPr>
          <w:i/>
          <w:iCs/>
          <w:szCs w:val="22"/>
        </w:rPr>
        <w:t xml:space="preserve"> </w:t>
      </w:r>
      <w:r w:rsidR="007C1FCE">
        <w:rPr>
          <w:szCs w:val="22"/>
        </w:rPr>
        <w:t>to setting the duration of the reasonable period, only adding that it should be</w:t>
      </w:r>
      <w:r w:rsidR="008315AC">
        <w:rPr>
          <w:szCs w:val="22"/>
        </w:rPr>
        <w:t>gin</w:t>
      </w:r>
      <w:r w:rsidR="007C1FCE">
        <w:rPr>
          <w:szCs w:val="22"/>
        </w:rPr>
        <w:t xml:space="preserve"> at the point of registration as a jobseeker. F</w:t>
      </w:r>
      <w:r w:rsidRPr="003326B5">
        <w:rPr>
          <w:szCs w:val="22"/>
        </w:rPr>
        <w:t xml:space="preserve">or now, at least, we are still left with what the Court suggests </w:t>
      </w:r>
      <w:r w:rsidRPr="003326B5">
        <w:rPr>
          <w:i/>
          <w:iCs/>
          <w:szCs w:val="22"/>
        </w:rPr>
        <w:lastRenderedPageBreak/>
        <w:t>could</w:t>
      </w:r>
      <w:r w:rsidRPr="003326B5">
        <w:rPr>
          <w:szCs w:val="22"/>
        </w:rPr>
        <w:t xml:space="preserve"> be sufficient, rather than a clear view of what </w:t>
      </w:r>
      <w:proofErr w:type="gramStart"/>
      <w:r w:rsidRPr="003326B5">
        <w:rPr>
          <w:szCs w:val="22"/>
        </w:rPr>
        <w:t>actually would</w:t>
      </w:r>
      <w:proofErr w:type="gramEnd"/>
      <w:r w:rsidRPr="003326B5">
        <w:rPr>
          <w:szCs w:val="22"/>
        </w:rPr>
        <w:t xml:space="preserve"> be insufficient. This may require further clarity from the legislature in the future.</w:t>
      </w:r>
      <w:r>
        <w:rPr>
          <w:szCs w:val="22"/>
        </w:rPr>
        <w:t xml:space="preserve"> </w:t>
      </w:r>
    </w:p>
    <w:p w14:paraId="4BAA92C1" w14:textId="77777777" w:rsidR="003326B5" w:rsidRPr="00736437" w:rsidRDefault="003326B5" w:rsidP="003326B5">
      <w:pPr>
        <w:rPr>
          <w:lang w:val="en-US"/>
        </w:rPr>
      </w:pPr>
    </w:p>
    <w:p w14:paraId="69CCCBE7" w14:textId="3EAC3F79" w:rsidR="003326B5" w:rsidRDefault="003326B5" w:rsidP="003326B5">
      <w:pPr>
        <w:rPr>
          <w:lang w:val="en-US"/>
        </w:rPr>
      </w:pPr>
      <w:r>
        <w:rPr>
          <w:lang w:val="en-US"/>
        </w:rPr>
        <w:t xml:space="preserve">The third focus of the Court in </w:t>
      </w:r>
      <w:r>
        <w:rPr>
          <w:i/>
          <w:iCs/>
          <w:lang w:val="en-US"/>
        </w:rPr>
        <w:t xml:space="preserve">G. M. A. </w:t>
      </w:r>
      <w:r w:rsidRPr="00482B8A">
        <w:rPr>
          <w:lang w:val="en-US"/>
        </w:rPr>
        <w:t>concerns the relevant conditions Member States can impose on jobseekers during the difference periods of their residence</w:t>
      </w:r>
      <w:r w:rsidR="007C1FCE">
        <w:rPr>
          <w:lang w:val="en-US"/>
        </w:rPr>
        <w:t xml:space="preserve"> and subsequently how paragraph 21 of </w:t>
      </w:r>
      <w:proofErr w:type="spellStart"/>
      <w:r w:rsidR="007C1FCE" w:rsidRPr="003326B5">
        <w:rPr>
          <w:i/>
          <w:iCs/>
          <w:szCs w:val="22"/>
        </w:rPr>
        <w:t>Antonissen</w:t>
      </w:r>
      <w:proofErr w:type="spellEnd"/>
      <w:r w:rsidR="007C1FCE">
        <w:rPr>
          <w:i/>
          <w:iCs/>
          <w:szCs w:val="22"/>
        </w:rPr>
        <w:t xml:space="preserve"> </w:t>
      </w:r>
      <w:r w:rsidR="007C1FCE">
        <w:rPr>
          <w:szCs w:val="22"/>
        </w:rPr>
        <w:t>and Article 14(4)(b) Directive 2004/38 should be interpreted</w:t>
      </w:r>
      <w:r w:rsidRPr="00482B8A">
        <w:rPr>
          <w:lang w:val="en-US"/>
        </w:rPr>
        <w:t>.</w:t>
      </w:r>
      <w:r>
        <w:rPr>
          <w:lang w:val="en-US"/>
        </w:rPr>
        <w:t xml:space="preserve"> Here, t</w:t>
      </w:r>
      <w:r>
        <w:rPr>
          <w:szCs w:val="22"/>
        </w:rPr>
        <w:t>he Court sets a timeline for when certain conditions should be applied at three different points of residence for first-time jobseekers: (</w:t>
      </w:r>
      <w:proofErr w:type="spellStart"/>
      <w:r>
        <w:rPr>
          <w:szCs w:val="22"/>
        </w:rPr>
        <w:t>i</w:t>
      </w:r>
      <w:proofErr w:type="spellEnd"/>
      <w:r>
        <w:rPr>
          <w:szCs w:val="22"/>
        </w:rPr>
        <w:t xml:space="preserve">) the initial three months residence under Article 6 Directive 2004/38, (ii) the reasonable </w:t>
      </w:r>
      <w:proofErr w:type="gramStart"/>
      <w:r>
        <w:rPr>
          <w:szCs w:val="22"/>
        </w:rPr>
        <w:t>period of time</w:t>
      </w:r>
      <w:proofErr w:type="gramEnd"/>
      <w:r>
        <w:rPr>
          <w:szCs w:val="22"/>
        </w:rPr>
        <w:t xml:space="preserve"> spent </w:t>
      </w:r>
      <w:proofErr w:type="spellStart"/>
      <w:r>
        <w:rPr>
          <w:szCs w:val="22"/>
        </w:rPr>
        <w:t>jobseeking</w:t>
      </w:r>
      <w:proofErr w:type="spellEnd"/>
      <w:r>
        <w:rPr>
          <w:szCs w:val="22"/>
        </w:rPr>
        <w:t xml:space="preserve"> separate to or after residence under Article 6; and (iii) after that reasonable period. During the initial three months of residence, should an EU citizen register as a jobseeker, they will fall within both Article 6 and Article 14(4)(b) of the Directive. As jobseekers should have a more </w:t>
      </w:r>
      <w:r w:rsidRPr="00A563DA">
        <w:rPr>
          <w:szCs w:val="22"/>
        </w:rPr>
        <w:t>favourable</w:t>
      </w:r>
      <w:r>
        <w:rPr>
          <w:szCs w:val="22"/>
        </w:rPr>
        <w:t xml:space="preserve"> treatment, </w:t>
      </w:r>
      <w:r w:rsidRPr="00731F13">
        <w:rPr>
          <w:szCs w:val="22"/>
        </w:rPr>
        <w:t>the Court found that the unconditional</w:t>
      </w:r>
      <w:r>
        <w:rPr>
          <w:szCs w:val="22"/>
        </w:rPr>
        <w:t xml:space="preserve"> right of residence in Article 6 should not be undermined by conditions for jobseekers. As such, during the first three months of residence, </w:t>
      </w:r>
      <w:r w:rsidR="00211FED">
        <w:rPr>
          <w:szCs w:val="22"/>
        </w:rPr>
        <w:t xml:space="preserve">a jobseeker </w:t>
      </w:r>
      <w:r>
        <w:rPr>
          <w:szCs w:val="22"/>
        </w:rPr>
        <w:t>cannot be required to prove either that they are seeking employment or have a genuine chance of being engaged.</w:t>
      </w:r>
      <w:r>
        <w:rPr>
          <w:rStyle w:val="FootnoteReference"/>
          <w:szCs w:val="22"/>
        </w:rPr>
        <w:footnoteReference w:id="38"/>
      </w:r>
      <w:r>
        <w:rPr>
          <w:szCs w:val="22"/>
        </w:rPr>
        <w:t xml:space="preserve"> Turning next to the conditions that can be imposed on jobseekers during the ‘reasonable period of time’, where it does not overlap with the Article 6 initial right of residence, </w:t>
      </w:r>
      <w:r w:rsidR="001428D8">
        <w:rPr>
          <w:szCs w:val="22"/>
        </w:rPr>
        <w:t xml:space="preserve">the Court also </w:t>
      </w:r>
      <w:r>
        <w:rPr>
          <w:szCs w:val="22"/>
        </w:rPr>
        <w:t xml:space="preserve">relies on the wording of Article 14(4)(b) and the </w:t>
      </w:r>
      <w:r w:rsidRPr="00F64CDA">
        <w:rPr>
          <w:szCs w:val="22"/>
        </w:rPr>
        <w:t xml:space="preserve">judgment in </w:t>
      </w:r>
      <w:proofErr w:type="spellStart"/>
      <w:r w:rsidRPr="00F64CDA">
        <w:rPr>
          <w:i/>
          <w:iCs/>
          <w:szCs w:val="22"/>
        </w:rPr>
        <w:t>Antonissen</w:t>
      </w:r>
      <w:proofErr w:type="spellEnd"/>
      <w:r w:rsidRPr="00F64CDA">
        <w:rPr>
          <w:szCs w:val="22"/>
        </w:rPr>
        <w:t>.</w:t>
      </w:r>
      <w:r>
        <w:rPr>
          <w:szCs w:val="22"/>
        </w:rPr>
        <w:t xml:space="preserve"> Inferring from the statement that a jobseeker must ‘continue’ to seek employment to extend their right of residence beyond the ‘reasonable period’ under Article 14(4)(b) Directive 2004/38, the Court finds that host Member State can require a jobseeker to seek employment during the ‘reasonable period of time’ but cannot require that they have a ‘genuine chance of being engaged’.</w:t>
      </w:r>
      <w:r>
        <w:rPr>
          <w:rStyle w:val="FootnoteReference"/>
          <w:szCs w:val="22"/>
        </w:rPr>
        <w:footnoteReference w:id="39"/>
      </w:r>
      <w:r>
        <w:rPr>
          <w:szCs w:val="22"/>
        </w:rPr>
        <w:t xml:space="preserve"> The Court </w:t>
      </w:r>
      <w:r w:rsidR="003E2574">
        <w:rPr>
          <w:szCs w:val="22"/>
        </w:rPr>
        <w:t>also finds that this interpretation is supported by the purpose of the ‘reasonable period’ to allow jobseekers to apprise themselves with the national labour market and take the necessary steps in order to be engaged. Therefore, during the reasonable period it would be, in the Court’s view, too early for national authorities to be capable of assessing whether a jobseeker has a ‘genuine chance of being engaged’.</w:t>
      </w:r>
      <w:r w:rsidR="003E2574">
        <w:rPr>
          <w:rStyle w:val="FootnoteReference"/>
          <w:szCs w:val="22"/>
        </w:rPr>
        <w:footnoteReference w:id="40"/>
      </w:r>
      <w:r w:rsidR="003E2574">
        <w:rPr>
          <w:szCs w:val="22"/>
        </w:rPr>
        <w:t xml:space="preserve"> </w:t>
      </w:r>
      <w:r w:rsidR="00211FED">
        <w:rPr>
          <w:szCs w:val="22"/>
        </w:rPr>
        <w:t xml:space="preserve">The Court therefore </w:t>
      </w:r>
      <w:r w:rsidR="003E2574">
        <w:rPr>
          <w:szCs w:val="22"/>
        </w:rPr>
        <w:t xml:space="preserve">found that </w:t>
      </w:r>
      <w:r>
        <w:rPr>
          <w:szCs w:val="22"/>
        </w:rPr>
        <w:t>‘</w:t>
      </w:r>
      <w:r w:rsidRPr="003F2C20">
        <w:rPr>
          <w:szCs w:val="22"/>
        </w:rPr>
        <w:t>it is only after the reasonable period of time has elapsed that the jobseeker is required to provide evidence not only that he or she is continuing to seek employment but also that he or she has a genuine chance of being engaged</w:t>
      </w:r>
      <w:r>
        <w:rPr>
          <w:szCs w:val="22"/>
        </w:rPr>
        <w:t>’.</w:t>
      </w:r>
      <w:r>
        <w:rPr>
          <w:rStyle w:val="FootnoteReference"/>
          <w:szCs w:val="22"/>
        </w:rPr>
        <w:footnoteReference w:id="41"/>
      </w:r>
    </w:p>
    <w:p w14:paraId="70B75C4B" w14:textId="77777777" w:rsidR="003326B5" w:rsidRDefault="003326B5" w:rsidP="003326B5">
      <w:pPr>
        <w:rPr>
          <w:szCs w:val="22"/>
        </w:rPr>
      </w:pPr>
    </w:p>
    <w:p w14:paraId="20878AD0" w14:textId="1EAE8F16" w:rsidR="00426FC8" w:rsidRDefault="003326B5" w:rsidP="003326B5">
      <w:r>
        <w:rPr>
          <w:szCs w:val="22"/>
        </w:rPr>
        <w:t xml:space="preserve">The Court </w:t>
      </w:r>
      <w:r w:rsidR="001428D8">
        <w:rPr>
          <w:szCs w:val="22"/>
        </w:rPr>
        <w:t xml:space="preserve">also </w:t>
      </w:r>
      <w:r>
        <w:rPr>
          <w:szCs w:val="22"/>
        </w:rPr>
        <w:t>provide</w:t>
      </w:r>
      <w:r w:rsidR="00211FED">
        <w:rPr>
          <w:szCs w:val="22"/>
        </w:rPr>
        <w:t>d</w:t>
      </w:r>
      <w:r>
        <w:rPr>
          <w:szCs w:val="22"/>
        </w:rPr>
        <w:t xml:space="preserve"> a little more detail on the </w:t>
      </w:r>
      <w:r w:rsidR="00211FED">
        <w:rPr>
          <w:szCs w:val="22"/>
        </w:rPr>
        <w:t xml:space="preserve">substance </w:t>
      </w:r>
      <w:r>
        <w:rPr>
          <w:szCs w:val="22"/>
        </w:rPr>
        <w:t xml:space="preserve">of the test to determine whether a jobseeker has a ‘genuine chance of being engaged’. It is first recognised that national authorities must </w:t>
      </w:r>
      <w:r w:rsidRPr="00420901">
        <w:rPr>
          <w:szCs w:val="22"/>
        </w:rPr>
        <w:t>carry out an overall assessment of all relevant factors</w:t>
      </w:r>
      <w:r>
        <w:rPr>
          <w:szCs w:val="22"/>
        </w:rPr>
        <w:t xml:space="preserve"> to decide if a jobseeker meets these conditions.</w:t>
      </w:r>
      <w:r>
        <w:rPr>
          <w:rStyle w:val="FootnoteReference"/>
          <w:szCs w:val="22"/>
        </w:rPr>
        <w:footnoteReference w:id="42"/>
      </w:r>
      <w:r>
        <w:rPr>
          <w:szCs w:val="22"/>
        </w:rPr>
        <w:t xml:space="preserve"> After this the Court refers to AG </w:t>
      </w:r>
      <w:proofErr w:type="spellStart"/>
      <w:r>
        <w:rPr>
          <w:szCs w:val="22"/>
        </w:rPr>
        <w:t>Szpunar’s</w:t>
      </w:r>
      <w:proofErr w:type="spellEnd"/>
      <w:r>
        <w:rPr>
          <w:szCs w:val="22"/>
        </w:rPr>
        <w:t xml:space="preserve"> suggestions as examples of the relevant factors national institutions will need to consider and where factors are irrelevant. </w:t>
      </w:r>
      <w:r w:rsidR="00426FC8">
        <w:t>The Court repeated all but one of the factors identified by the Advocate General, which suggests that the Court agrees with their incorporation in the “overall assessment” taken by Member States. The judgment does not say that a jobseeker having never worked in that Member State before is irrelevant to this assessment, as the Advocate General suggested.</w:t>
      </w:r>
    </w:p>
    <w:p w14:paraId="57DA2DA8" w14:textId="77777777" w:rsidR="00B1576C" w:rsidRDefault="00B1576C" w:rsidP="003326B5">
      <w:pPr>
        <w:rPr>
          <w:szCs w:val="22"/>
        </w:rPr>
      </w:pPr>
    </w:p>
    <w:p w14:paraId="0DA7007F" w14:textId="7D888ABF" w:rsidR="003326B5" w:rsidRDefault="003326B5" w:rsidP="003326B5">
      <w:r>
        <w:rPr>
          <w:szCs w:val="22"/>
        </w:rPr>
        <w:t>Finally, b</w:t>
      </w:r>
      <w:r>
        <w:t xml:space="preserve">ased on this analysis the Court decided that G. M. A. had not been given a reasonable </w:t>
      </w:r>
      <w:proofErr w:type="gramStart"/>
      <w:r>
        <w:t>period of time</w:t>
      </w:r>
      <w:proofErr w:type="gramEnd"/>
      <w:r>
        <w:t xml:space="preserve"> to acquaint himself with suitable employment opportunities, as </w:t>
      </w:r>
      <w:r>
        <w:lastRenderedPageBreak/>
        <w:t>such he should not yet have been exposed to the requirement to demonstrate that he has a ‘genuine chance of being engaged’.</w:t>
      </w:r>
      <w:r>
        <w:rPr>
          <w:rStyle w:val="FootnoteReference"/>
        </w:rPr>
        <w:footnoteReference w:id="43"/>
      </w:r>
      <w:r>
        <w:t xml:space="preserve"> </w:t>
      </w:r>
    </w:p>
    <w:p w14:paraId="7A3FBC1E" w14:textId="77777777" w:rsidR="00B1576C" w:rsidRDefault="00B1576C" w:rsidP="003326B5"/>
    <w:p w14:paraId="2D3BF6D7" w14:textId="33CD4165" w:rsidR="003326B5" w:rsidRPr="003326B5" w:rsidRDefault="003326B5" w:rsidP="003326B5">
      <w:pPr>
        <w:rPr>
          <w:rFonts w:cs="Calibri"/>
          <w:lang w:val="en-US"/>
        </w:rPr>
      </w:pPr>
      <w:r w:rsidRPr="000F2C86">
        <w:rPr>
          <w:rFonts w:cs="Calibri"/>
          <w:lang w:val="en-US"/>
        </w:rPr>
        <w:t>The second question referred was, unfortunately, not dealt with</w:t>
      </w:r>
      <w:r>
        <w:rPr>
          <w:rFonts w:cs="Calibri"/>
          <w:lang w:val="en-US"/>
        </w:rPr>
        <w:t xml:space="preserve"> by the Court </w:t>
      </w:r>
      <w:r w:rsidRPr="000F2C86">
        <w:rPr>
          <w:rFonts w:cs="Calibri"/>
          <w:lang w:val="en-US"/>
        </w:rPr>
        <w:t xml:space="preserve">as the matter was resolved through the first question alone. Although G. M. A. received a residence card due to their employment and could therefore stay in Belgium, a decision refusing jobseeker status could break continuity of lawful residence and restart the clock on acquiring the right of permanent residence. This was noted by AG </w:t>
      </w:r>
      <w:proofErr w:type="spellStart"/>
      <w:r w:rsidRPr="000F2C86">
        <w:rPr>
          <w:rFonts w:cs="Calibri"/>
          <w:lang w:val="en-US"/>
        </w:rPr>
        <w:t>Szpun</w:t>
      </w:r>
      <w:r>
        <w:rPr>
          <w:rFonts w:cs="Calibri"/>
          <w:lang w:val="en-US"/>
        </w:rPr>
        <w:t>a</w:t>
      </w:r>
      <w:r w:rsidRPr="000F2C86">
        <w:rPr>
          <w:rFonts w:cs="Calibri"/>
          <w:lang w:val="en-US"/>
        </w:rPr>
        <w:t>r</w:t>
      </w:r>
      <w:proofErr w:type="spellEnd"/>
      <w:r w:rsidRPr="000F2C86">
        <w:rPr>
          <w:rFonts w:cs="Calibri"/>
          <w:lang w:val="en-US"/>
        </w:rPr>
        <w:t>.</w:t>
      </w:r>
      <w:r w:rsidRPr="000F2C86">
        <w:rPr>
          <w:rStyle w:val="FootnoteReference"/>
          <w:szCs w:val="22"/>
        </w:rPr>
        <w:footnoteReference w:id="44"/>
      </w:r>
      <w:r w:rsidRPr="000F2C86">
        <w:rPr>
          <w:szCs w:val="22"/>
        </w:rPr>
        <w:t xml:space="preserve"> </w:t>
      </w:r>
      <w:r w:rsidRPr="000F2C86">
        <w:rPr>
          <w:rFonts w:cs="Calibri"/>
          <w:lang w:val="en-US"/>
        </w:rPr>
        <w:t xml:space="preserve">It is foreseeable that a jobseeker who fails to retain their right of residence as a jobseeker may need this decision </w:t>
      </w:r>
      <w:r>
        <w:rPr>
          <w:rFonts w:cs="Calibri"/>
          <w:lang w:val="en-US"/>
        </w:rPr>
        <w:t xml:space="preserve">to be </w:t>
      </w:r>
      <w:r w:rsidRPr="000F2C86">
        <w:rPr>
          <w:rFonts w:cs="Calibri"/>
          <w:lang w:val="en-US"/>
        </w:rPr>
        <w:t xml:space="preserve">overturned for the purpose of a permanent residence application. </w:t>
      </w:r>
      <w:r>
        <w:rPr>
          <w:rFonts w:cs="Calibri"/>
          <w:lang w:val="en-US"/>
        </w:rPr>
        <w:t xml:space="preserve">Whether national courts have a </w:t>
      </w:r>
      <w:r w:rsidRPr="000F2C86">
        <w:rPr>
          <w:rFonts w:cs="Calibri"/>
          <w:lang w:val="en-US"/>
        </w:rPr>
        <w:t>duty to consider facts occurring after the decision that clearly demonstrate that the jobseeker</w:t>
      </w:r>
      <w:r w:rsidRPr="000F2C86">
        <w:rPr>
          <w:rFonts w:cs="Calibri"/>
          <w:i/>
          <w:iCs/>
          <w:lang w:val="en-US"/>
        </w:rPr>
        <w:t xml:space="preserve"> should </w:t>
      </w:r>
      <w:r w:rsidRPr="000F2C86">
        <w:rPr>
          <w:rFonts w:cs="Calibri"/>
          <w:lang w:val="en-US"/>
        </w:rPr>
        <w:t>have been found to have a genuine chance of being engaged, for example being engaged in employment shortly after, remains to be seen.</w:t>
      </w:r>
    </w:p>
    <w:p w14:paraId="70795EEF" w14:textId="77777777" w:rsidR="003326B5" w:rsidRPr="00D242D6" w:rsidRDefault="003326B5" w:rsidP="003326B5">
      <w:pPr>
        <w:rPr>
          <w:szCs w:val="22"/>
        </w:rPr>
      </w:pPr>
    </w:p>
    <w:p w14:paraId="35DCAD1F" w14:textId="307D44C2" w:rsidR="002977BC" w:rsidRPr="002A68EC" w:rsidRDefault="003326B5" w:rsidP="0056184C">
      <w:pPr>
        <w:pStyle w:val="Heading2"/>
        <w:spacing w:before="0" w:after="120"/>
        <w:jc w:val="both"/>
        <w:rPr>
          <w:rFonts w:ascii="Times New Roman" w:hAnsi="Times New Roman"/>
          <w:b/>
          <w:bCs/>
          <w:color w:val="auto"/>
          <w:sz w:val="24"/>
        </w:rPr>
      </w:pPr>
      <w:r>
        <w:rPr>
          <w:rFonts w:ascii="Times New Roman" w:hAnsi="Times New Roman"/>
          <w:b/>
          <w:bCs/>
          <w:color w:val="auto"/>
          <w:sz w:val="24"/>
        </w:rPr>
        <w:t>5</w:t>
      </w:r>
      <w:r w:rsidR="00B50BBC">
        <w:rPr>
          <w:rFonts w:ascii="Times New Roman" w:hAnsi="Times New Roman"/>
          <w:b/>
          <w:bCs/>
          <w:color w:val="auto"/>
          <w:sz w:val="24"/>
        </w:rPr>
        <w:t xml:space="preserve">. </w:t>
      </w:r>
      <w:r w:rsidR="00250FCC">
        <w:rPr>
          <w:rFonts w:ascii="Times New Roman" w:hAnsi="Times New Roman"/>
          <w:b/>
          <w:bCs/>
          <w:color w:val="auto"/>
          <w:sz w:val="24"/>
        </w:rPr>
        <w:t>Comment</w:t>
      </w:r>
      <w:r w:rsidR="00D571A7" w:rsidRPr="002A68EC">
        <w:rPr>
          <w:rFonts w:ascii="Times New Roman" w:hAnsi="Times New Roman"/>
          <w:b/>
          <w:bCs/>
          <w:color w:val="auto"/>
          <w:sz w:val="24"/>
        </w:rPr>
        <w:t xml:space="preserve"> </w:t>
      </w:r>
    </w:p>
    <w:p w14:paraId="10356295" w14:textId="4290C646" w:rsidR="00393638" w:rsidRDefault="00916EB1" w:rsidP="0056184C">
      <w:pPr>
        <w:jc w:val="both"/>
      </w:pPr>
      <w:r w:rsidRPr="00E936D9">
        <w:t xml:space="preserve">The judgment in </w:t>
      </w:r>
      <w:r w:rsidRPr="00184FFE">
        <w:rPr>
          <w:i/>
          <w:iCs/>
        </w:rPr>
        <w:t>G. M. A.</w:t>
      </w:r>
      <w:r w:rsidRPr="00E936D9">
        <w:t xml:space="preserve"> offers some welcome clarity to the residence rights of jobseekers, a group which sits at an interesting crossroads in EU citizenship and</w:t>
      </w:r>
      <w:r w:rsidR="001929E0">
        <w:t xml:space="preserve"> a</w:t>
      </w:r>
      <w:r w:rsidRPr="00E936D9">
        <w:t xml:space="preserve"> free movement law</w:t>
      </w:r>
      <w:r w:rsidR="008455D0">
        <w:t>, where t</w:t>
      </w:r>
      <w:r w:rsidR="00406BE0">
        <w:t>hose who can prove their economic credentials have a much stronger claim to equal treatment than those who are deemed economically inactive</w:t>
      </w:r>
      <w:r w:rsidRPr="00E936D9">
        <w:t>.</w:t>
      </w:r>
      <w:bookmarkStart w:id="2" w:name="_Ref71025235"/>
      <w:r w:rsidRPr="00E936D9">
        <w:rPr>
          <w:rStyle w:val="FootnoteReference"/>
        </w:rPr>
        <w:footnoteReference w:id="45"/>
      </w:r>
      <w:bookmarkEnd w:id="2"/>
      <w:r w:rsidRPr="00E936D9">
        <w:t xml:space="preserve"> </w:t>
      </w:r>
      <w:r w:rsidR="00E415CF">
        <w:t>Jobseekers are</w:t>
      </w:r>
      <w:r w:rsidRPr="00E936D9">
        <w:t xml:space="preserve">, for the most part, not economically active </w:t>
      </w:r>
      <w:r w:rsidRPr="00E936D9">
        <w:rPr>
          <w:i/>
          <w:iCs/>
        </w:rPr>
        <w:t>yet</w:t>
      </w:r>
      <w:r w:rsidRPr="00E936D9">
        <w:t xml:space="preserve">. They may not ever be economically active. Instead, they occupy a space where their aspiration to join the internal labour market and to become a ‘good’ market citizen is recognised and </w:t>
      </w:r>
      <w:r w:rsidR="006338A8">
        <w:t>re</w:t>
      </w:r>
      <w:r w:rsidRPr="00E936D9">
        <w:t>warded with strengthened residence rights, if not necessarily with equal treatment to social assistance.</w:t>
      </w:r>
      <w:bookmarkStart w:id="3" w:name="_Ref71025361"/>
      <w:r w:rsidRPr="00E936D9">
        <w:rPr>
          <w:rStyle w:val="FootnoteReference"/>
        </w:rPr>
        <w:footnoteReference w:id="46"/>
      </w:r>
      <w:bookmarkEnd w:id="3"/>
      <w:r w:rsidRPr="00E936D9">
        <w:t xml:space="preserve"> This case did not concern access to welfare benefits in Belgium, only the ability for </w:t>
      </w:r>
      <w:r w:rsidR="008455D0">
        <w:t xml:space="preserve">a </w:t>
      </w:r>
      <w:r w:rsidRPr="00E936D9">
        <w:t xml:space="preserve">jobseeker to continue residing </w:t>
      </w:r>
      <w:r w:rsidR="008455D0">
        <w:t xml:space="preserve">lawfully </w:t>
      </w:r>
      <w:r w:rsidRPr="00E936D9">
        <w:t xml:space="preserve">in a host Member State and not face expulsion. </w:t>
      </w:r>
      <w:r w:rsidRPr="00465FB1">
        <w:t xml:space="preserve">The judgment in </w:t>
      </w:r>
      <w:r w:rsidRPr="00184FFE">
        <w:rPr>
          <w:i/>
          <w:iCs/>
        </w:rPr>
        <w:t>G. M. A.</w:t>
      </w:r>
      <w:r w:rsidRPr="00465FB1">
        <w:t xml:space="preserve"> </w:t>
      </w:r>
      <w:r w:rsidR="006338A8" w:rsidRPr="00465FB1">
        <w:t xml:space="preserve">demonstrates </w:t>
      </w:r>
      <w:r w:rsidRPr="00465FB1">
        <w:t xml:space="preserve">a recognition of this midway status and </w:t>
      </w:r>
      <w:r w:rsidR="006338A8" w:rsidRPr="00465FB1">
        <w:t>a</w:t>
      </w:r>
      <w:r w:rsidRPr="00465FB1">
        <w:t xml:space="preserve"> willingness</w:t>
      </w:r>
      <w:r w:rsidR="008455D0">
        <w:t xml:space="preserve"> of the ECJ</w:t>
      </w:r>
      <w:r w:rsidRPr="00465FB1">
        <w:t xml:space="preserve"> to strengthen and </w:t>
      </w:r>
      <w:r w:rsidR="00250FCC" w:rsidRPr="00465FB1">
        <w:t xml:space="preserve">reinforce </w:t>
      </w:r>
      <w:r w:rsidRPr="00465FB1">
        <w:t>the residence rights of jobseekers</w:t>
      </w:r>
      <w:r w:rsidR="006338A8" w:rsidRPr="00465FB1">
        <w:t>, provided they do not need to draw upon a host Member State’s social assistance system</w:t>
      </w:r>
      <w:r w:rsidRPr="00465FB1">
        <w:t xml:space="preserve">. </w:t>
      </w:r>
    </w:p>
    <w:p w14:paraId="623549DA" w14:textId="1B2EBC35" w:rsidR="00465FB1" w:rsidRPr="00C3147B" w:rsidRDefault="006338A8" w:rsidP="0056184C">
      <w:pPr>
        <w:spacing w:before="240" w:after="240"/>
        <w:jc w:val="both"/>
      </w:pPr>
      <w:r w:rsidRPr="00465FB1">
        <w:t>Nevertheless, the judgment establishes some important protections for jobseekers</w:t>
      </w:r>
      <w:r w:rsidR="00393638">
        <w:t>,</w:t>
      </w:r>
      <w:r w:rsidR="00B26AF0">
        <w:t xml:space="preserve"> it</w:t>
      </w:r>
      <w:r w:rsidR="00393638">
        <w:t xml:space="preserve"> reinforc</w:t>
      </w:r>
      <w:r w:rsidR="00B26AF0">
        <w:t>es</w:t>
      </w:r>
      <w:r w:rsidR="00393638">
        <w:t xml:space="preserve"> their residence rights</w:t>
      </w:r>
      <w:r w:rsidR="00FA5364">
        <w:t xml:space="preserve">, </w:t>
      </w:r>
      <w:r w:rsidR="00393638">
        <w:t>provid</w:t>
      </w:r>
      <w:r w:rsidR="00B26AF0">
        <w:t>es</w:t>
      </w:r>
      <w:r w:rsidR="00393638">
        <w:t xml:space="preserve"> greater clarity and legal </w:t>
      </w:r>
      <w:proofErr w:type="gramStart"/>
      <w:r w:rsidR="00393638">
        <w:t>certainty</w:t>
      </w:r>
      <w:proofErr w:type="gramEnd"/>
      <w:r w:rsidR="00FA5364">
        <w:t xml:space="preserve"> and</w:t>
      </w:r>
      <w:r w:rsidR="00465FB1">
        <w:t xml:space="preserve"> raises </w:t>
      </w:r>
      <w:r w:rsidR="00061984">
        <w:t>three</w:t>
      </w:r>
      <w:r w:rsidR="00465FB1">
        <w:t xml:space="preserve"> key issues which are worth exploring further. First, </w:t>
      </w:r>
      <w:r w:rsidR="00B26AF0">
        <w:t xml:space="preserve">the potential </w:t>
      </w:r>
      <w:r w:rsidR="00C3147B">
        <w:t>impact</w:t>
      </w:r>
      <w:r w:rsidR="00FA5364">
        <w:t xml:space="preserve"> </w:t>
      </w:r>
      <w:r w:rsidR="00B26AF0">
        <w:t xml:space="preserve">of </w:t>
      </w:r>
      <w:r w:rsidR="00061984">
        <w:t xml:space="preserve">a more precise timetable of residence rights and conditions </w:t>
      </w:r>
      <w:r w:rsidR="00C3147B">
        <w:t xml:space="preserve">on Member State practices, </w:t>
      </w:r>
      <w:r w:rsidR="00596446">
        <w:t>and which aspects of these rules remain uncertain</w:t>
      </w:r>
      <w:r w:rsidR="00C3147B">
        <w:t xml:space="preserve">. </w:t>
      </w:r>
      <w:r w:rsidR="00465FB1">
        <w:t xml:space="preserve">Second, </w:t>
      </w:r>
      <w:r w:rsidR="00BB20A6">
        <w:t>did the Court miss an opportunity</w:t>
      </w:r>
      <w:r w:rsidR="00BB20A6">
        <w:t xml:space="preserve"> </w:t>
      </w:r>
      <w:r w:rsidR="0069678B">
        <w:t>to improve the effectiveness of free movement rights for jobseekers by neglecting</w:t>
      </w:r>
      <w:r w:rsidR="00A431A0">
        <w:t xml:space="preserve"> </w:t>
      </w:r>
      <w:r w:rsidR="00465FB1">
        <w:t>to include a</w:t>
      </w:r>
      <w:r w:rsidR="00393638">
        <w:t xml:space="preserve"> recognition of </w:t>
      </w:r>
      <w:r w:rsidR="00C3147B">
        <w:t xml:space="preserve">the </w:t>
      </w:r>
      <w:r w:rsidR="00393638">
        <w:t>structural barriers</w:t>
      </w:r>
      <w:r w:rsidR="00C3147B">
        <w:t xml:space="preserve"> which inhibit access to the labour market for groups already experiencing discrimination. </w:t>
      </w:r>
      <w:r w:rsidR="00061984" w:rsidRPr="0069678B">
        <w:t xml:space="preserve">Finally, whether </w:t>
      </w:r>
      <w:r w:rsidR="00C3147B" w:rsidRPr="0069678B">
        <w:t xml:space="preserve">the issue of access to social assistance makes </w:t>
      </w:r>
      <w:r w:rsidR="0069678B" w:rsidRPr="0069678B">
        <w:t>the protection</w:t>
      </w:r>
      <w:r w:rsidR="00AC555C">
        <w:t xml:space="preserve"> of</w:t>
      </w:r>
      <w:r w:rsidR="0069678B" w:rsidRPr="0069678B">
        <w:t xml:space="preserve"> </w:t>
      </w:r>
      <w:proofErr w:type="gramStart"/>
      <w:r w:rsidR="0069678B" w:rsidRPr="0069678B">
        <w:t>jobseekers</w:t>
      </w:r>
      <w:proofErr w:type="gramEnd"/>
      <w:r w:rsidR="00AC555C">
        <w:t xml:space="preserve"> residence rights</w:t>
      </w:r>
      <w:r w:rsidR="0069678B" w:rsidRPr="0069678B">
        <w:t xml:space="preserve">, reinforced in </w:t>
      </w:r>
      <w:r w:rsidR="0069678B" w:rsidRPr="0069678B">
        <w:rPr>
          <w:i/>
          <w:iCs/>
        </w:rPr>
        <w:t>G. M. A.</w:t>
      </w:r>
      <w:r w:rsidR="0069678B" w:rsidRPr="0069678B">
        <w:t>,</w:t>
      </w:r>
      <w:r w:rsidR="0069678B" w:rsidRPr="0069678B">
        <w:rPr>
          <w:i/>
          <w:iCs/>
        </w:rPr>
        <w:t xml:space="preserve"> </w:t>
      </w:r>
      <w:r w:rsidR="00C3147B" w:rsidRPr="0069678B">
        <w:t xml:space="preserve">unaffordable </w:t>
      </w:r>
      <w:r w:rsidR="0069678B" w:rsidRPr="0069678B">
        <w:t>for many EU citizens</w:t>
      </w:r>
      <w:r w:rsidR="00C3147B" w:rsidRPr="0069678B">
        <w:t>.</w:t>
      </w:r>
    </w:p>
    <w:p w14:paraId="359EDECE" w14:textId="27F6C054" w:rsidR="00916EB1" w:rsidRPr="00E936D9" w:rsidRDefault="00393638" w:rsidP="0056184C">
      <w:pPr>
        <w:spacing w:after="120"/>
        <w:jc w:val="both"/>
        <w:rPr>
          <w:i/>
          <w:iCs/>
        </w:rPr>
      </w:pPr>
      <w:r>
        <w:rPr>
          <w:i/>
          <w:iCs/>
        </w:rPr>
        <w:t xml:space="preserve">Clarifications and </w:t>
      </w:r>
      <w:r w:rsidR="00B42D33">
        <w:rPr>
          <w:i/>
          <w:iCs/>
        </w:rPr>
        <w:t>harmonising</w:t>
      </w:r>
      <w:r w:rsidR="00916EB1" w:rsidRPr="00E936D9">
        <w:rPr>
          <w:i/>
          <w:iCs/>
        </w:rPr>
        <w:t xml:space="preserve"> the approach to jobseekers</w:t>
      </w:r>
    </w:p>
    <w:p w14:paraId="585CEDE1" w14:textId="03EEAAE1" w:rsidR="006B11FF" w:rsidRPr="00EC71EA" w:rsidRDefault="00916EB1" w:rsidP="0056184C">
      <w:pPr>
        <w:spacing w:after="120"/>
        <w:jc w:val="both"/>
      </w:pPr>
      <w:r w:rsidRPr="00D32592">
        <w:lastRenderedPageBreak/>
        <w:t xml:space="preserve">The judgment </w:t>
      </w:r>
      <w:r w:rsidR="005453A3" w:rsidRPr="00D32592">
        <w:t xml:space="preserve">in </w:t>
      </w:r>
      <w:r w:rsidR="005453A3" w:rsidRPr="00184FFE">
        <w:rPr>
          <w:i/>
          <w:iCs/>
        </w:rPr>
        <w:t>G. M. A.</w:t>
      </w:r>
      <w:r w:rsidR="005453A3" w:rsidRPr="00D32592">
        <w:t xml:space="preserve"> </w:t>
      </w:r>
      <w:r w:rsidR="00EC71EA">
        <w:t>has clearly established that a Member State can only require jobseekers to evidence their chances of finding work after they have had a reasonable period of acquaint themselves with the national labour market and employment opportunities. Th</w:t>
      </w:r>
      <w:r w:rsidR="00C2003D">
        <w:t>is reasonable period s</w:t>
      </w:r>
      <w:r w:rsidR="00EC71EA">
        <w:t>hould</w:t>
      </w:r>
      <w:r w:rsidR="00C2003D">
        <w:t xml:space="preserve"> only</w:t>
      </w:r>
      <w:r w:rsidR="00EC71EA">
        <w:t xml:space="preserve"> begin at the point of registration as a jobseeker, not on arrival to a </w:t>
      </w:r>
      <w:r w:rsidR="00B42D33">
        <w:t xml:space="preserve">host </w:t>
      </w:r>
      <w:r w:rsidR="00EC71EA">
        <w:t xml:space="preserve">Member State. </w:t>
      </w:r>
      <w:r w:rsidR="00CD0720">
        <w:t xml:space="preserve">The judgment also provides guidance on what factors may be relevant for assessing a ‘genuine chance of being engaged’. </w:t>
      </w:r>
      <w:r w:rsidR="00B42D33">
        <w:t xml:space="preserve">These findings provide greater </w:t>
      </w:r>
      <w:r w:rsidR="00B42D33" w:rsidRPr="00D32592">
        <w:t xml:space="preserve">legal certainty and transparency for EU citizens who choose to move to another Member State to seek employment. </w:t>
      </w:r>
      <w:r w:rsidR="00B42D33">
        <w:t>This section explore</w:t>
      </w:r>
      <w:r w:rsidR="00CD0720">
        <w:t>s</w:t>
      </w:r>
      <w:r w:rsidR="00B42D33">
        <w:t xml:space="preserve"> how this judgment has tightened up some of the edges of residence for jobseekers and whether it will encourage harmonisation among Member State practices</w:t>
      </w:r>
      <w:r w:rsidR="00AB7BF8">
        <w:t xml:space="preserve"> which currently diverge considerably</w:t>
      </w:r>
      <w:r w:rsidR="00D32592">
        <w:t>.</w:t>
      </w:r>
      <w:r w:rsidR="00D32592">
        <w:rPr>
          <w:rStyle w:val="FootnoteReference"/>
        </w:rPr>
        <w:footnoteReference w:id="47"/>
      </w:r>
      <w:r w:rsidR="00D32592">
        <w:t xml:space="preserve"> </w:t>
      </w:r>
      <w:r w:rsidR="00237B7B">
        <w:t>It</w:t>
      </w:r>
      <w:r w:rsidR="00D32592" w:rsidRPr="00D32592">
        <w:t xml:space="preserve"> will then</w:t>
      </w:r>
      <w:r w:rsidR="00621B82" w:rsidRPr="00D32592">
        <w:t xml:space="preserve"> look briefly at a remaining issue left </w:t>
      </w:r>
      <w:r w:rsidR="004423D5">
        <w:t>open</w:t>
      </w:r>
      <w:r w:rsidR="00D32592" w:rsidRPr="00D32592">
        <w:t xml:space="preserve">: what counts as a ‘reasonable </w:t>
      </w:r>
      <w:proofErr w:type="gramStart"/>
      <w:r w:rsidR="00D32592" w:rsidRPr="00D32592">
        <w:t>period</w:t>
      </w:r>
      <w:r w:rsidR="00E910BE">
        <w:t xml:space="preserve"> of time</w:t>
      </w:r>
      <w:proofErr w:type="gramEnd"/>
      <w:r w:rsidR="00D32592" w:rsidRPr="00D32592">
        <w:t xml:space="preserve">’ for </w:t>
      </w:r>
      <w:proofErr w:type="spellStart"/>
      <w:r w:rsidR="00D32592" w:rsidRPr="00D32592">
        <w:t>jobseeking</w:t>
      </w:r>
      <w:proofErr w:type="spellEnd"/>
      <w:r w:rsidR="00D32592" w:rsidRPr="00D32592">
        <w:t>?</w:t>
      </w:r>
    </w:p>
    <w:p w14:paraId="7A20C55D" w14:textId="530E1DD3" w:rsidR="00916EB1" w:rsidRDefault="00ED0038" w:rsidP="0056184C">
      <w:pPr>
        <w:pStyle w:val="Default"/>
        <w:spacing w:after="120"/>
        <w:jc w:val="both"/>
        <w:rPr>
          <w:rFonts w:ascii="Times New Roman" w:hAnsi="Times New Roman" w:cs="Times New Roman"/>
          <w:color w:val="auto"/>
        </w:rPr>
      </w:pPr>
      <w:r w:rsidRPr="00E936D9">
        <w:rPr>
          <w:rFonts w:ascii="Times New Roman" w:hAnsi="Times New Roman" w:cs="Times New Roman"/>
          <w:color w:val="auto"/>
        </w:rPr>
        <w:t xml:space="preserve">The </w:t>
      </w:r>
      <w:r>
        <w:rPr>
          <w:rFonts w:ascii="Times New Roman" w:hAnsi="Times New Roman" w:cs="Times New Roman"/>
          <w:color w:val="auto"/>
        </w:rPr>
        <w:t xml:space="preserve">Court’s </w:t>
      </w:r>
      <w:r w:rsidRPr="00E936D9">
        <w:rPr>
          <w:rFonts w:ascii="Times New Roman" w:hAnsi="Times New Roman" w:cs="Times New Roman"/>
          <w:color w:val="auto"/>
        </w:rPr>
        <w:t xml:space="preserve">first </w:t>
      </w:r>
      <w:r>
        <w:rPr>
          <w:rFonts w:ascii="Times New Roman" w:hAnsi="Times New Roman" w:cs="Times New Roman"/>
          <w:color w:val="auto"/>
        </w:rPr>
        <w:t>key finding</w:t>
      </w:r>
      <w:r w:rsidR="008A042C">
        <w:rPr>
          <w:rFonts w:ascii="Times New Roman" w:hAnsi="Times New Roman" w:cs="Times New Roman"/>
          <w:color w:val="auto"/>
        </w:rPr>
        <w:t xml:space="preserve"> relates to when a reasonable period of residence for jobseekers should begin and confirms this should be at the </w:t>
      </w:r>
      <w:r w:rsidR="00916EB1" w:rsidRPr="00E936D9">
        <w:rPr>
          <w:rFonts w:ascii="Times New Roman" w:hAnsi="Times New Roman" w:cs="Times New Roman"/>
          <w:color w:val="auto"/>
        </w:rPr>
        <w:t>at the point of registration as a jobseeker</w:t>
      </w:r>
      <w:r w:rsidR="008A042C">
        <w:rPr>
          <w:rFonts w:ascii="Times New Roman" w:hAnsi="Times New Roman" w:cs="Times New Roman"/>
          <w:color w:val="auto"/>
        </w:rPr>
        <w:t xml:space="preserve"> regardless of whether this coincides with residence under Article 6 Directive 2004/38</w:t>
      </w:r>
      <w:r w:rsidR="00916EB1" w:rsidRPr="00E936D9">
        <w:rPr>
          <w:rFonts w:ascii="Times New Roman" w:hAnsi="Times New Roman" w:cs="Times New Roman"/>
          <w:color w:val="auto"/>
        </w:rPr>
        <w:t>. The Court also found that th</w:t>
      </w:r>
      <w:r w:rsidR="00465A90">
        <w:rPr>
          <w:rFonts w:ascii="Times New Roman" w:hAnsi="Times New Roman" w:cs="Times New Roman"/>
          <w:color w:val="auto"/>
        </w:rPr>
        <w:t>e length of the</w:t>
      </w:r>
      <w:r w:rsidR="00916EB1" w:rsidRPr="00E936D9">
        <w:rPr>
          <w:rFonts w:ascii="Times New Roman" w:hAnsi="Times New Roman" w:cs="Times New Roman"/>
          <w:color w:val="auto"/>
        </w:rPr>
        <w:t xml:space="preserve"> reasonable </w:t>
      </w:r>
      <w:proofErr w:type="gramStart"/>
      <w:r w:rsidR="00916EB1" w:rsidRPr="00E936D9">
        <w:rPr>
          <w:rFonts w:ascii="Times New Roman" w:hAnsi="Times New Roman" w:cs="Times New Roman"/>
          <w:color w:val="auto"/>
        </w:rPr>
        <w:t>period of time</w:t>
      </w:r>
      <w:proofErr w:type="gramEnd"/>
      <w:r w:rsidR="00916EB1" w:rsidRPr="00E936D9">
        <w:rPr>
          <w:rFonts w:ascii="Times New Roman" w:hAnsi="Times New Roman" w:cs="Times New Roman"/>
          <w:color w:val="auto"/>
        </w:rPr>
        <w:t xml:space="preserve"> </w:t>
      </w:r>
      <w:r w:rsidR="00465A90">
        <w:rPr>
          <w:rFonts w:ascii="Times New Roman" w:hAnsi="Times New Roman" w:cs="Times New Roman"/>
          <w:color w:val="auto"/>
        </w:rPr>
        <w:t xml:space="preserve">available to jobseekers </w:t>
      </w:r>
      <w:r w:rsidR="00916EB1" w:rsidRPr="00E936D9">
        <w:rPr>
          <w:rFonts w:ascii="Times New Roman" w:hAnsi="Times New Roman" w:cs="Times New Roman"/>
          <w:color w:val="auto"/>
        </w:rPr>
        <w:t>should be the same</w:t>
      </w:r>
      <w:r w:rsidR="00465A90">
        <w:rPr>
          <w:rFonts w:ascii="Times New Roman" w:hAnsi="Times New Roman" w:cs="Times New Roman"/>
          <w:color w:val="auto"/>
        </w:rPr>
        <w:t xml:space="preserve"> </w:t>
      </w:r>
      <w:r w:rsidR="00916EB1" w:rsidRPr="00E936D9">
        <w:rPr>
          <w:rFonts w:ascii="Times New Roman" w:hAnsi="Times New Roman" w:cs="Times New Roman"/>
          <w:color w:val="auto"/>
        </w:rPr>
        <w:t xml:space="preserve">irrespective of whether an EU citizen registers as a jobseeker on arrival in a host Member State or at </w:t>
      </w:r>
      <w:r w:rsidR="00465A90">
        <w:rPr>
          <w:rFonts w:ascii="Times New Roman" w:hAnsi="Times New Roman" w:cs="Times New Roman"/>
          <w:color w:val="auto"/>
        </w:rPr>
        <w:t>a later point of their residence</w:t>
      </w:r>
      <w:r w:rsidR="00916EB1" w:rsidRPr="00E936D9">
        <w:rPr>
          <w:rFonts w:ascii="Times New Roman" w:hAnsi="Times New Roman" w:cs="Times New Roman"/>
          <w:color w:val="auto"/>
        </w:rPr>
        <w:t xml:space="preserve">. </w:t>
      </w:r>
      <w:r w:rsidR="00465A90">
        <w:rPr>
          <w:rFonts w:ascii="Times New Roman" w:hAnsi="Times New Roman" w:cs="Times New Roman"/>
          <w:color w:val="auto"/>
        </w:rPr>
        <w:t xml:space="preserve">Previously, some Member States would treat a right to reside under Article 6 and a jobseeker-specific reasonable period of residence as entirely separate </w:t>
      </w:r>
      <w:r w:rsidR="00237B7B">
        <w:rPr>
          <w:rFonts w:ascii="Times New Roman" w:hAnsi="Times New Roman" w:cs="Times New Roman"/>
          <w:color w:val="auto"/>
        </w:rPr>
        <w:t xml:space="preserve">stages </w:t>
      </w:r>
      <w:r w:rsidR="00465A90">
        <w:rPr>
          <w:rFonts w:ascii="Times New Roman" w:hAnsi="Times New Roman" w:cs="Times New Roman"/>
          <w:color w:val="auto"/>
        </w:rPr>
        <w:t>that would not overlap. N</w:t>
      </w:r>
      <w:r w:rsidR="00465A90" w:rsidRPr="00E936D9">
        <w:rPr>
          <w:rFonts w:ascii="Times New Roman" w:hAnsi="Times New Roman" w:cs="Times New Roman"/>
          <w:color w:val="auto"/>
        </w:rPr>
        <w:t>ew arrivals</w:t>
      </w:r>
      <w:r w:rsidR="00465A90">
        <w:rPr>
          <w:rFonts w:ascii="Times New Roman" w:hAnsi="Times New Roman" w:cs="Times New Roman"/>
          <w:color w:val="auto"/>
        </w:rPr>
        <w:t xml:space="preserve"> in these Member States</w:t>
      </w:r>
      <w:r w:rsidR="00465A90" w:rsidRPr="00E936D9">
        <w:rPr>
          <w:rFonts w:ascii="Times New Roman" w:hAnsi="Times New Roman" w:cs="Times New Roman"/>
          <w:color w:val="auto"/>
        </w:rPr>
        <w:t xml:space="preserve"> could rely on their initial </w:t>
      </w:r>
      <w:r w:rsidR="00465A90">
        <w:rPr>
          <w:rFonts w:ascii="Times New Roman" w:hAnsi="Times New Roman" w:cs="Times New Roman"/>
          <w:color w:val="auto"/>
        </w:rPr>
        <w:t>three</w:t>
      </w:r>
      <w:r w:rsidR="00465A90" w:rsidRPr="00E936D9">
        <w:rPr>
          <w:rFonts w:ascii="Times New Roman" w:hAnsi="Times New Roman" w:cs="Times New Roman"/>
          <w:color w:val="auto"/>
        </w:rPr>
        <w:t xml:space="preserve"> months of residence provided in Article 6 to </w:t>
      </w:r>
      <w:r w:rsidR="00156EEA">
        <w:rPr>
          <w:rFonts w:ascii="Times New Roman" w:hAnsi="Times New Roman" w:cs="Times New Roman"/>
          <w:color w:val="auto"/>
        </w:rPr>
        <w:t xml:space="preserve">begin job hunting </w:t>
      </w:r>
      <w:r w:rsidR="00465A90" w:rsidRPr="00E936D9">
        <w:rPr>
          <w:rFonts w:ascii="Times New Roman" w:hAnsi="Times New Roman" w:cs="Times New Roman"/>
          <w:color w:val="auto"/>
        </w:rPr>
        <w:t xml:space="preserve">before running down the clock on the ‘reasonable </w:t>
      </w:r>
      <w:proofErr w:type="gramStart"/>
      <w:r w:rsidR="00465A90" w:rsidRPr="00E936D9">
        <w:rPr>
          <w:rFonts w:ascii="Times New Roman" w:hAnsi="Times New Roman" w:cs="Times New Roman"/>
          <w:color w:val="auto"/>
        </w:rPr>
        <w:t>period</w:t>
      </w:r>
      <w:r w:rsidR="00465A90">
        <w:rPr>
          <w:rFonts w:ascii="Times New Roman" w:hAnsi="Times New Roman" w:cs="Times New Roman"/>
          <w:color w:val="auto"/>
        </w:rPr>
        <w:t xml:space="preserve"> of time</w:t>
      </w:r>
      <w:proofErr w:type="gramEnd"/>
      <w:r w:rsidR="00465A90" w:rsidRPr="00E936D9">
        <w:rPr>
          <w:rFonts w:ascii="Times New Roman" w:hAnsi="Times New Roman" w:cs="Times New Roman"/>
          <w:color w:val="auto"/>
        </w:rPr>
        <w:t>’</w:t>
      </w:r>
      <w:r w:rsidR="00156EEA">
        <w:rPr>
          <w:rFonts w:ascii="Times New Roman" w:hAnsi="Times New Roman" w:cs="Times New Roman"/>
          <w:color w:val="auto"/>
        </w:rPr>
        <w:t xml:space="preserve">, </w:t>
      </w:r>
      <w:r w:rsidR="00156EEA" w:rsidRPr="00E936D9">
        <w:rPr>
          <w:rFonts w:ascii="Times New Roman" w:hAnsi="Times New Roman" w:cs="Times New Roman"/>
          <w:color w:val="auto"/>
        </w:rPr>
        <w:t>extend</w:t>
      </w:r>
      <w:r w:rsidR="00156EEA">
        <w:rPr>
          <w:rFonts w:ascii="Times New Roman" w:hAnsi="Times New Roman" w:cs="Times New Roman"/>
          <w:color w:val="auto"/>
        </w:rPr>
        <w:t>ing</w:t>
      </w:r>
      <w:r w:rsidR="00156EEA" w:rsidRPr="00E936D9">
        <w:rPr>
          <w:rFonts w:ascii="Times New Roman" w:hAnsi="Times New Roman" w:cs="Times New Roman"/>
          <w:color w:val="auto"/>
        </w:rPr>
        <w:t xml:space="preserve"> the </w:t>
      </w:r>
      <w:r w:rsidR="00156EEA">
        <w:rPr>
          <w:rFonts w:ascii="Times New Roman" w:hAnsi="Times New Roman" w:cs="Times New Roman"/>
          <w:color w:val="auto"/>
        </w:rPr>
        <w:t xml:space="preserve">overall period of lawful residence to spend </w:t>
      </w:r>
      <w:proofErr w:type="spellStart"/>
      <w:r w:rsidR="00156EEA">
        <w:rPr>
          <w:rFonts w:ascii="Times New Roman" w:hAnsi="Times New Roman" w:cs="Times New Roman"/>
          <w:color w:val="auto"/>
        </w:rPr>
        <w:t>jobseeking</w:t>
      </w:r>
      <w:proofErr w:type="spellEnd"/>
      <w:r w:rsidR="00465A90" w:rsidRPr="00E936D9">
        <w:rPr>
          <w:rFonts w:ascii="Times New Roman" w:hAnsi="Times New Roman" w:cs="Times New Roman"/>
          <w:color w:val="auto"/>
        </w:rPr>
        <w:t xml:space="preserve">. </w:t>
      </w:r>
      <w:r w:rsidR="00465A90">
        <w:rPr>
          <w:rFonts w:ascii="Times New Roman" w:hAnsi="Times New Roman" w:cs="Times New Roman"/>
          <w:color w:val="auto"/>
        </w:rPr>
        <w:t>This application of the rules</w:t>
      </w:r>
      <w:r w:rsidR="007E094A">
        <w:rPr>
          <w:rFonts w:ascii="Times New Roman" w:hAnsi="Times New Roman" w:cs="Times New Roman"/>
          <w:color w:val="auto"/>
        </w:rPr>
        <w:t xml:space="preserve"> would</w:t>
      </w:r>
      <w:r w:rsidR="00916EB1" w:rsidRPr="00E936D9">
        <w:rPr>
          <w:rFonts w:ascii="Times New Roman" w:hAnsi="Times New Roman" w:cs="Times New Roman"/>
          <w:color w:val="auto"/>
        </w:rPr>
        <w:t xml:space="preserve">, as O’Brien recognizes as the case in the UK, ‘counterintuitively treat people who have worked and then become jobseekers (without retaining worker status) less </w:t>
      </w:r>
      <w:proofErr w:type="spellStart"/>
      <w:r w:rsidR="00916EB1" w:rsidRPr="00E936D9">
        <w:rPr>
          <w:rFonts w:ascii="Times New Roman" w:hAnsi="Times New Roman" w:cs="Times New Roman"/>
          <w:color w:val="auto"/>
        </w:rPr>
        <w:t>favourably</w:t>
      </w:r>
      <w:proofErr w:type="spellEnd"/>
      <w:r w:rsidR="00916EB1" w:rsidRPr="00E936D9">
        <w:rPr>
          <w:rFonts w:ascii="Times New Roman" w:hAnsi="Times New Roman" w:cs="Times New Roman"/>
          <w:color w:val="auto"/>
        </w:rPr>
        <w:t xml:space="preserve"> than newly arrived jobseekers.’</w:t>
      </w:r>
      <w:bookmarkStart w:id="4" w:name="_Ref71027007"/>
      <w:r w:rsidR="00916EB1" w:rsidRPr="00E936D9">
        <w:rPr>
          <w:rStyle w:val="FootnoteReference"/>
          <w:rFonts w:ascii="Times New Roman" w:hAnsi="Times New Roman" w:cs="Times New Roman"/>
          <w:color w:val="auto"/>
        </w:rPr>
        <w:footnoteReference w:id="48"/>
      </w:r>
      <w:bookmarkEnd w:id="4"/>
      <w:r w:rsidR="00916EB1" w:rsidRPr="00E936D9">
        <w:rPr>
          <w:rFonts w:ascii="Times New Roman" w:hAnsi="Times New Roman" w:cs="Times New Roman"/>
          <w:color w:val="auto"/>
        </w:rPr>
        <w:t xml:space="preserve"> The judgment in </w:t>
      </w:r>
      <w:r w:rsidR="00916EB1" w:rsidRPr="00184FFE">
        <w:rPr>
          <w:rFonts w:ascii="Times New Roman" w:hAnsi="Times New Roman" w:cs="Times New Roman"/>
          <w:i/>
          <w:iCs/>
          <w:color w:val="auto"/>
        </w:rPr>
        <w:t xml:space="preserve">G. M. A. </w:t>
      </w:r>
      <w:r w:rsidR="00916EB1" w:rsidRPr="00E936D9">
        <w:rPr>
          <w:rFonts w:ascii="Times New Roman" w:hAnsi="Times New Roman" w:cs="Times New Roman"/>
          <w:color w:val="auto"/>
        </w:rPr>
        <w:t xml:space="preserve">ends this </w:t>
      </w:r>
      <w:r w:rsidR="00916EB1">
        <w:rPr>
          <w:rFonts w:ascii="Times New Roman" w:hAnsi="Times New Roman" w:cs="Times New Roman"/>
          <w:color w:val="auto"/>
        </w:rPr>
        <w:t>privileged treatment</w:t>
      </w:r>
      <w:r w:rsidR="00916EB1" w:rsidRPr="00E936D9">
        <w:rPr>
          <w:rFonts w:ascii="Times New Roman" w:hAnsi="Times New Roman" w:cs="Times New Roman"/>
          <w:color w:val="auto"/>
        </w:rPr>
        <w:t xml:space="preserve">, </w:t>
      </w:r>
      <w:r w:rsidR="00465A90">
        <w:rPr>
          <w:rFonts w:ascii="Times New Roman" w:hAnsi="Times New Roman" w:cs="Times New Roman"/>
          <w:color w:val="auto"/>
        </w:rPr>
        <w:t xml:space="preserve">as the reasonable period of time should now begin at the point of registration as a jobseeker regardless of whether this registration occurs in the first three months of residence in the host Member State. </w:t>
      </w:r>
    </w:p>
    <w:p w14:paraId="56408B7A" w14:textId="4A0152C5" w:rsidR="00916EB1" w:rsidRPr="008A042C" w:rsidRDefault="00AA3096" w:rsidP="0056184C">
      <w:pPr>
        <w:pStyle w:val="Default"/>
        <w:spacing w:after="120"/>
        <w:jc w:val="both"/>
        <w:rPr>
          <w:rFonts w:ascii="Times New Roman" w:hAnsi="Times New Roman" w:cs="Times New Roman"/>
        </w:rPr>
      </w:pPr>
      <w:r>
        <w:rPr>
          <w:rFonts w:ascii="Times New Roman" w:hAnsi="Times New Roman" w:cs="Times New Roman"/>
          <w:color w:val="auto"/>
        </w:rPr>
        <w:t xml:space="preserve">The Court’s second key finding </w:t>
      </w:r>
      <w:r w:rsidR="00CF617D">
        <w:rPr>
          <w:rFonts w:ascii="Times New Roman" w:hAnsi="Times New Roman" w:cs="Times New Roman"/>
          <w:color w:val="auto"/>
        </w:rPr>
        <w:t xml:space="preserve">focuses on the conditions of residence and </w:t>
      </w:r>
      <w:r w:rsidR="008A042C">
        <w:rPr>
          <w:rFonts w:ascii="Times New Roman" w:hAnsi="Times New Roman" w:cs="Times New Roman"/>
          <w:color w:val="auto"/>
        </w:rPr>
        <w:t xml:space="preserve">sets when, in the </w:t>
      </w:r>
      <w:proofErr w:type="spellStart"/>
      <w:r w:rsidR="008A042C">
        <w:rPr>
          <w:rFonts w:ascii="Times New Roman" w:hAnsi="Times New Roman" w:cs="Times New Roman"/>
          <w:color w:val="auto"/>
        </w:rPr>
        <w:t>jobseeking</w:t>
      </w:r>
      <w:proofErr w:type="spellEnd"/>
      <w:r w:rsidR="008A042C">
        <w:rPr>
          <w:rFonts w:ascii="Times New Roman" w:hAnsi="Times New Roman" w:cs="Times New Roman"/>
          <w:color w:val="auto"/>
        </w:rPr>
        <w:t xml:space="preserve"> timeline, Member States can impose</w:t>
      </w:r>
      <w:r w:rsidR="00CF617D">
        <w:rPr>
          <w:rFonts w:ascii="Times New Roman" w:hAnsi="Times New Roman" w:cs="Times New Roman"/>
          <w:color w:val="auto"/>
        </w:rPr>
        <w:t xml:space="preserve"> these</w:t>
      </w:r>
      <w:r w:rsidR="008A042C">
        <w:rPr>
          <w:rFonts w:ascii="Times New Roman" w:hAnsi="Times New Roman" w:cs="Times New Roman"/>
          <w:color w:val="auto"/>
        </w:rPr>
        <w:t xml:space="preserve"> specific conditions. </w:t>
      </w:r>
      <w:r w:rsidR="00916EB1" w:rsidRPr="0070200D">
        <w:rPr>
          <w:rFonts w:ascii="Times New Roman" w:hAnsi="Times New Roman" w:cs="Times New Roman"/>
        </w:rPr>
        <w:t xml:space="preserve">First that jobseekers must prove that they are, in fact, looking for employment. Member States </w:t>
      </w:r>
      <w:r w:rsidR="00916EB1" w:rsidRPr="00167CE3">
        <w:rPr>
          <w:rFonts w:ascii="Times New Roman" w:hAnsi="Times New Roman" w:cs="Times New Roman"/>
        </w:rPr>
        <w:t xml:space="preserve">can </w:t>
      </w:r>
      <w:r w:rsidR="007A4C74" w:rsidRPr="00167CE3">
        <w:rPr>
          <w:rFonts w:ascii="Times New Roman" w:hAnsi="Times New Roman" w:cs="Times New Roman"/>
        </w:rPr>
        <w:t>impose</w:t>
      </w:r>
      <w:r w:rsidR="00167CE3" w:rsidRPr="00167CE3">
        <w:rPr>
          <w:rFonts w:ascii="Times New Roman" w:hAnsi="Times New Roman" w:cs="Times New Roman"/>
        </w:rPr>
        <w:t xml:space="preserve"> this requirement</w:t>
      </w:r>
      <w:r w:rsidR="008A042C">
        <w:rPr>
          <w:rFonts w:ascii="Times New Roman" w:hAnsi="Times New Roman" w:cs="Times New Roman"/>
        </w:rPr>
        <w:t xml:space="preserve"> </w:t>
      </w:r>
      <w:r w:rsidR="00167CE3" w:rsidRPr="00167CE3">
        <w:rPr>
          <w:rFonts w:ascii="Times New Roman" w:hAnsi="Times New Roman" w:cs="Times New Roman"/>
        </w:rPr>
        <w:t>on jobseekers</w:t>
      </w:r>
      <w:r w:rsidR="007A4C74" w:rsidRPr="00167CE3">
        <w:rPr>
          <w:rFonts w:ascii="Times New Roman" w:hAnsi="Times New Roman" w:cs="Times New Roman"/>
        </w:rPr>
        <w:t xml:space="preserve"> </w:t>
      </w:r>
      <w:r w:rsidR="00916EB1" w:rsidRPr="0070200D">
        <w:rPr>
          <w:rFonts w:ascii="Times New Roman" w:hAnsi="Times New Roman" w:cs="Times New Roman"/>
        </w:rPr>
        <w:t>during the ‘reasonable period’</w:t>
      </w:r>
      <w:r w:rsidR="008A042C">
        <w:rPr>
          <w:rFonts w:ascii="Times New Roman" w:hAnsi="Times New Roman" w:cs="Times New Roman"/>
        </w:rPr>
        <w:t>. This will be at the beginning of an EU citizens’ residence as a jobseeker,</w:t>
      </w:r>
      <w:r w:rsidR="00916EB1" w:rsidRPr="0070200D">
        <w:rPr>
          <w:rFonts w:ascii="Times New Roman" w:hAnsi="Times New Roman" w:cs="Times New Roman"/>
        </w:rPr>
        <w:t xml:space="preserve"> with an exception for when this period coincides with the initial 3 months of residence under Article 6 Directive 2004/38</w:t>
      </w:r>
      <w:r w:rsidR="008A042C">
        <w:rPr>
          <w:rFonts w:ascii="Times New Roman" w:hAnsi="Times New Roman" w:cs="Times New Roman"/>
        </w:rPr>
        <w:t xml:space="preserve"> as this right of unconditional residence should not be undermined. </w:t>
      </w:r>
      <w:r w:rsidR="00916EB1" w:rsidRPr="0070200D">
        <w:rPr>
          <w:rFonts w:ascii="Times New Roman" w:hAnsi="Times New Roman" w:cs="Times New Roman"/>
        </w:rPr>
        <w:t xml:space="preserve">The second condition, only triggered after the reasonable </w:t>
      </w:r>
      <w:proofErr w:type="gramStart"/>
      <w:r w:rsidR="00916EB1" w:rsidRPr="0070200D">
        <w:rPr>
          <w:rFonts w:ascii="Times New Roman" w:hAnsi="Times New Roman" w:cs="Times New Roman"/>
        </w:rPr>
        <w:t>period</w:t>
      </w:r>
      <w:r w:rsidR="00E910BE">
        <w:rPr>
          <w:rFonts w:ascii="Times New Roman" w:hAnsi="Times New Roman" w:cs="Times New Roman"/>
        </w:rPr>
        <w:t xml:space="preserve"> of time</w:t>
      </w:r>
      <w:proofErr w:type="gramEnd"/>
      <w:r w:rsidR="00916EB1" w:rsidRPr="0070200D">
        <w:rPr>
          <w:rFonts w:ascii="Times New Roman" w:hAnsi="Times New Roman" w:cs="Times New Roman"/>
        </w:rPr>
        <w:t xml:space="preserve"> is over, is that a jobseeker must prove that they have a ‘genuine chance of being engaged’. No judgment can be made on an E</w:t>
      </w:r>
      <w:r w:rsidR="00916EB1">
        <w:rPr>
          <w:rFonts w:ascii="Times New Roman" w:hAnsi="Times New Roman" w:cs="Times New Roman"/>
        </w:rPr>
        <w:t>U</w:t>
      </w:r>
      <w:r w:rsidR="00916EB1" w:rsidRPr="0070200D">
        <w:rPr>
          <w:rFonts w:ascii="Times New Roman" w:hAnsi="Times New Roman" w:cs="Times New Roman"/>
        </w:rPr>
        <w:t xml:space="preserve"> citizens</w:t>
      </w:r>
      <w:r w:rsidR="00916EB1">
        <w:rPr>
          <w:rFonts w:ascii="Times New Roman" w:hAnsi="Times New Roman" w:cs="Times New Roman"/>
        </w:rPr>
        <w:t>’</w:t>
      </w:r>
      <w:r w:rsidR="00916EB1" w:rsidRPr="0070200D">
        <w:rPr>
          <w:rFonts w:ascii="Times New Roman" w:hAnsi="Times New Roman" w:cs="Times New Roman"/>
        </w:rPr>
        <w:t xml:space="preserve"> chances of being engaged until they have had their reasonable period of residence. </w:t>
      </w:r>
      <w:r w:rsidR="00916EB1">
        <w:rPr>
          <w:rFonts w:ascii="Times New Roman" w:hAnsi="Times New Roman" w:cs="Times New Roman"/>
        </w:rPr>
        <w:t xml:space="preserve">This is an important step and could contradict the approach of ‘quite a number of Member States’ who </w:t>
      </w:r>
      <w:proofErr w:type="spellStart"/>
      <w:r w:rsidR="00916EB1" w:rsidRPr="0006476A">
        <w:rPr>
          <w:rFonts w:ascii="Times New Roman" w:hAnsi="Times New Roman" w:cs="Times New Roman"/>
        </w:rPr>
        <w:t>Wollenschläger</w:t>
      </w:r>
      <w:proofErr w:type="spellEnd"/>
      <w:r w:rsidR="00916EB1">
        <w:rPr>
          <w:rFonts w:ascii="Times New Roman" w:hAnsi="Times New Roman" w:cs="Times New Roman"/>
        </w:rPr>
        <w:t xml:space="preserve"> and Rickets found to be checking whether there are ‘reasonable chances of employment’ for periods of residence between thr</w:t>
      </w:r>
      <w:r w:rsidR="00916EB1" w:rsidRPr="00301AC5">
        <w:rPr>
          <w:rFonts w:ascii="Times New Roman" w:hAnsi="Times New Roman" w:cs="Times New Roman"/>
        </w:rPr>
        <w:t>ee and six months.</w:t>
      </w:r>
      <w:r w:rsidR="00916EB1" w:rsidRPr="00301AC5">
        <w:rPr>
          <w:rStyle w:val="FootnoteReference"/>
          <w:rFonts w:ascii="Times New Roman" w:hAnsi="Times New Roman" w:cs="Times New Roman"/>
        </w:rPr>
        <w:footnoteReference w:id="49"/>
      </w:r>
      <w:r w:rsidR="00916EB1" w:rsidRPr="00301AC5">
        <w:rPr>
          <w:rFonts w:ascii="Times New Roman" w:hAnsi="Times New Roman" w:cs="Times New Roman"/>
        </w:rPr>
        <w:t xml:space="preserve"> It also bolsters the </w:t>
      </w:r>
      <w:r w:rsidR="00916EB1" w:rsidRPr="00301AC5">
        <w:rPr>
          <w:rFonts w:ascii="Times New Roman" w:hAnsi="Times New Roman" w:cs="Times New Roman"/>
        </w:rPr>
        <w:lastRenderedPageBreak/>
        <w:t>argument that Member States should be prevented from introducing, or at the very least delay the application of, new national tests which increas</w:t>
      </w:r>
      <w:r w:rsidR="004423D5">
        <w:rPr>
          <w:rFonts w:ascii="Times New Roman" w:hAnsi="Times New Roman" w:cs="Times New Roman"/>
        </w:rPr>
        <w:t>e</w:t>
      </w:r>
      <w:r w:rsidR="00916EB1" w:rsidRPr="00301AC5">
        <w:rPr>
          <w:rFonts w:ascii="Times New Roman" w:hAnsi="Times New Roman" w:cs="Times New Roman"/>
        </w:rPr>
        <w:t xml:space="preserve"> </w:t>
      </w:r>
      <w:r w:rsidR="004423D5">
        <w:rPr>
          <w:rFonts w:ascii="Times New Roman" w:hAnsi="Times New Roman" w:cs="Times New Roman"/>
        </w:rPr>
        <w:t>t</w:t>
      </w:r>
      <w:r w:rsidR="00916EB1" w:rsidRPr="00301AC5">
        <w:rPr>
          <w:rFonts w:ascii="Times New Roman" w:hAnsi="Times New Roman" w:cs="Times New Roman"/>
        </w:rPr>
        <w:t xml:space="preserve">he </w:t>
      </w:r>
      <w:r w:rsidR="004423D5">
        <w:rPr>
          <w:rFonts w:ascii="Times New Roman" w:hAnsi="Times New Roman" w:cs="Times New Roman"/>
        </w:rPr>
        <w:t>conditions imposed upon</w:t>
      </w:r>
      <w:r w:rsidR="00916EB1" w:rsidRPr="00301AC5">
        <w:rPr>
          <w:rFonts w:ascii="Times New Roman" w:hAnsi="Times New Roman" w:cs="Times New Roman"/>
        </w:rPr>
        <w:t xml:space="preserve"> jobseekers, for example the UK’s requirement for ‘compelling evidence’ of prospects of work after just 91 days</w:t>
      </w:r>
      <w:bookmarkStart w:id="5" w:name="_Ref71027111"/>
      <w:r w:rsidR="00916EB1" w:rsidRPr="00301AC5">
        <w:rPr>
          <w:rStyle w:val="FootnoteReference"/>
          <w:rFonts w:ascii="Times New Roman" w:hAnsi="Times New Roman" w:cs="Times New Roman"/>
        </w:rPr>
        <w:footnoteReference w:id="50"/>
      </w:r>
      <w:bookmarkEnd w:id="5"/>
      <w:r w:rsidR="00916EB1" w:rsidRPr="00301AC5">
        <w:rPr>
          <w:rFonts w:ascii="Times New Roman" w:hAnsi="Times New Roman" w:cs="Times New Roman"/>
        </w:rPr>
        <w:t xml:space="preserve"> or </w:t>
      </w:r>
      <w:r w:rsidR="004423D5">
        <w:rPr>
          <w:rFonts w:ascii="Times New Roman" w:hAnsi="Times New Roman" w:cs="Times New Roman"/>
        </w:rPr>
        <w:t xml:space="preserve">the practice in </w:t>
      </w:r>
      <w:r w:rsidR="00916EB1" w:rsidRPr="00301AC5">
        <w:rPr>
          <w:rFonts w:ascii="Times New Roman" w:hAnsi="Times New Roman" w:cs="Times New Roman"/>
        </w:rPr>
        <w:t>Member States, such as Belgium, Luxembourg and the UK,</w:t>
      </w:r>
      <w:r w:rsidR="004423D5">
        <w:rPr>
          <w:rFonts w:ascii="Times New Roman" w:hAnsi="Times New Roman" w:cs="Times New Roman"/>
        </w:rPr>
        <w:t xml:space="preserve"> of</w:t>
      </w:r>
      <w:r w:rsidR="00916EB1" w:rsidRPr="00301AC5">
        <w:rPr>
          <w:rFonts w:ascii="Times New Roman" w:hAnsi="Times New Roman" w:cs="Times New Roman"/>
        </w:rPr>
        <w:t xml:space="preserve"> treat</w:t>
      </w:r>
      <w:r w:rsidR="004423D5">
        <w:rPr>
          <w:rFonts w:ascii="Times New Roman" w:hAnsi="Times New Roman" w:cs="Times New Roman"/>
        </w:rPr>
        <w:t>ing</w:t>
      </w:r>
      <w:r w:rsidR="00916EB1" w:rsidRPr="00301AC5">
        <w:rPr>
          <w:rFonts w:ascii="Times New Roman" w:hAnsi="Times New Roman" w:cs="Times New Roman"/>
        </w:rPr>
        <w:t xml:space="preserve"> periods of residence</w:t>
      </w:r>
      <w:r w:rsidR="00C359B8">
        <w:rPr>
          <w:rFonts w:ascii="Times New Roman" w:hAnsi="Times New Roman" w:cs="Times New Roman"/>
        </w:rPr>
        <w:t xml:space="preserve"> beyond three months</w:t>
      </w:r>
      <w:r w:rsidR="00916EB1" w:rsidRPr="00301AC5">
        <w:rPr>
          <w:rFonts w:ascii="Times New Roman" w:hAnsi="Times New Roman" w:cs="Times New Roman"/>
        </w:rPr>
        <w:t xml:space="preserve"> as ‘an indication that the person has no chance of being employed’.</w:t>
      </w:r>
      <w:r w:rsidR="00916EB1" w:rsidRPr="00301AC5">
        <w:rPr>
          <w:rStyle w:val="FootnoteReference"/>
          <w:rFonts w:ascii="Times New Roman" w:hAnsi="Times New Roman" w:cs="Times New Roman"/>
        </w:rPr>
        <w:footnoteReference w:id="51"/>
      </w:r>
      <w:r w:rsidR="00916EB1" w:rsidRPr="00301AC5">
        <w:rPr>
          <w:rFonts w:ascii="Times New Roman" w:hAnsi="Times New Roman" w:cs="Times New Roman"/>
        </w:rPr>
        <w:t xml:space="preserve"> It is illogical for Member States to apply harder tests at this point, as it is only the at the end of the ‘reasonable period</w:t>
      </w:r>
      <w:r w:rsidR="00894487">
        <w:rPr>
          <w:rFonts w:ascii="Times New Roman" w:hAnsi="Times New Roman" w:cs="Times New Roman"/>
        </w:rPr>
        <w:t xml:space="preserve"> of time</w:t>
      </w:r>
      <w:r w:rsidR="00916EB1" w:rsidRPr="00301AC5">
        <w:rPr>
          <w:rFonts w:ascii="Times New Roman" w:hAnsi="Times New Roman" w:cs="Times New Roman"/>
        </w:rPr>
        <w:t xml:space="preserve">’ that any assessment of a genuine chance of being engaged can </w:t>
      </w:r>
      <w:r w:rsidR="00117C9D">
        <w:rPr>
          <w:rFonts w:ascii="Times New Roman" w:hAnsi="Times New Roman" w:cs="Times New Roman"/>
        </w:rPr>
        <w:t xml:space="preserve">even </w:t>
      </w:r>
      <w:r w:rsidR="00916EB1" w:rsidRPr="00301AC5">
        <w:rPr>
          <w:rFonts w:ascii="Times New Roman" w:hAnsi="Times New Roman" w:cs="Times New Roman"/>
          <w:i/>
          <w:iCs/>
        </w:rPr>
        <w:t>begin</w:t>
      </w:r>
      <w:r w:rsidR="00916EB1" w:rsidRPr="00301AC5">
        <w:rPr>
          <w:rFonts w:ascii="Times New Roman" w:hAnsi="Times New Roman" w:cs="Times New Roman"/>
        </w:rPr>
        <w:t xml:space="preserve"> to be undertaken. </w:t>
      </w:r>
      <w:r w:rsidR="00916EB1">
        <w:rPr>
          <w:rFonts w:ascii="Times New Roman" w:hAnsi="Times New Roman" w:cs="Times New Roman"/>
        </w:rPr>
        <w:t xml:space="preserve"> </w:t>
      </w:r>
    </w:p>
    <w:p w14:paraId="0533A98E" w14:textId="5C0FFA6C" w:rsidR="00916EB1" w:rsidRDefault="00916EB1" w:rsidP="0056184C">
      <w:pPr>
        <w:spacing w:after="120"/>
        <w:jc w:val="both"/>
      </w:pPr>
      <w:r>
        <w:t>Thirdly</w:t>
      </w:r>
      <w:r w:rsidRPr="006456C0">
        <w:t xml:space="preserve">, the AG and the Court offered further guidance on the </w:t>
      </w:r>
      <w:r w:rsidR="00237B7B">
        <w:t>substance</w:t>
      </w:r>
      <w:r w:rsidRPr="006456C0">
        <w:t xml:space="preserve"> of the ‘genuine chan</w:t>
      </w:r>
      <w:r w:rsidR="00237B7B">
        <w:t>c</w:t>
      </w:r>
      <w:r w:rsidRPr="006456C0">
        <w:t xml:space="preserve">es of being engaged’ condition attached to the ability of jobseekers </w:t>
      </w:r>
      <w:r>
        <w:t xml:space="preserve">to </w:t>
      </w:r>
      <w:r w:rsidRPr="006456C0">
        <w:t xml:space="preserve">extend their lawful residence in a host Member State </w:t>
      </w:r>
      <w:r>
        <w:t xml:space="preserve">and be protected from expulsion </w:t>
      </w:r>
      <w:r w:rsidRPr="006456C0">
        <w:t xml:space="preserve">under Article 14(4)(b) Directive 2004/38. </w:t>
      </w:r>
      <w:r>
        <w:t xml:space="preserve">Member States have previously been left to unravel how a genuine chance of being engaged could be measured, a concept which is, in </w:t>
      </w:r>
      <w:proofErr w:type="spellStart"/>
      <w:r>
        <w:t>Thym’s</w:t>
      </w:r>
      <w:proofErr w:type="spellEnd"/>
      <w:r>
        <w:t xml:space="preserve"> words, rarely crystal clear.</w:t>
      </w:r>
      <w:r w:rsidRPr="00E936D9">
        <w:rPr>
          <w:rStyle w:val="FootnoteReference"/>
        </w:rPr>
        <w:footnoteReference w:id="52"/>
      </w:r>
      <w:r>
        <w:t xml:space="preserve"> </w:t>
      </w:r>
      <w:r w:rsidR="008A7022">
        <w:t>The ECJ, in the context of worker status, has warned against permitting Member States to unilaterally fix or modify EU concepts to ‘</w:t>
      </w:r>
      <w:r w:rsidR="008A7022" w:rsidRPr="00D11839">
        <w:t>eliminate at will the protection afforded by the Treaty to certain categories of person’.</w:t>
      </w:r>
      <w:r w:rsidR="008A7022">
        <w:rPr>
          <w:rStyle w:val="FootnoteReference"/>
        </w:rPr>
        <w:footnoteReference w:id="53"/>
      </w:r>
      <w:r w:rsidR="008A7022">
        <w:t xml:space="preserve"> Arguably, the same logic should apply to jobseekers and the concept of a ‘genuine chance of being engaged’. Without some uniform interpretation or limitations set, Member States could wilfully set a restrictive test curbing the rights of jobseekers</w:t>
      </w:r>
      <w:r w:rsidR="0069405B">
        <w:t>. A</w:t>
      </w:r>
      <w:r>
        <w:t xml:space="preserve">nalysis of Member State practice has shown that </w:t>
      </w:r>
      <w:r w:rsidR="008A7022">
        <w:t>this can</w:t>
      </w:r>
      <w:r w:rsidRPr="00E936D9">
        <w:t xml:space="preserve"> </w:t>
      </w:r>
      <w:r>
        <w:t xml:space="preserve">result in </w:t>
      </w:r>
      <w:r w:rsidRPr="00E936D9">
        <w:t>a significant narrowing of EU free movement rights.</w:t>
      </w:r>
      <w:r w:rsidRPr="00E936D9">
        <w:rPr>
          <w:rStyle w:val="FootnoteReference"/>
        </w:rPr>
        <w:footnoteReference w:id="54"/>
      </w:r>
      <w:r w:rsidRPr="00E936D9">
        <w:t xml:space="preserve"> For jobseekers, a narrow interpretation of what is considered a ‘genuine chance of being engaged’ may result in the ‘reasonable </w:t>
      </w:r>
      <w:proofErr w:type="gramStart"/>
      <w:r w:rsidRPr="00E936D9">
        <w:t>period</w:t>
      </w:r>
      <w:r w:rsidR="00894487">
        <w:t xml:space="preserve"> of time</w:t>
      </w:r>
      <w:proofErr w:type="gramEnd"/>
      <w:r w:rsidRPr="00E936D9">
        <w:t xml:space="preserve">’ being treated as, essentially, a hard limit. </w:t>
      </w:r>
      <w:r w:rsidRPr="002A1769">
        <w:t xml:space="preserve">This has been the case in the UK, where the requirement for ‘compelling evidence’ of a genuine prospect of work is exacerbated by the </w:t>
      </w:r>
      <w:r w:rsidR="000D40CA">
        <w:t xml:space="preserve">interpretation in the </w:t>
      </w:r>
      <w:r w:rsidRPr="002A1769">
        <w:t xml:space="preserve">decision maker guidance that </w:t>
      </w:r>
      <w:r w:rsidR="000D40CA">
        <w:t>this</w:t>
      </w:r>
      <w:r w:rsidRPr="002A1769">
        <w:t xml:space="preserve"> can only be evidenced with either an offer of work due to start within the next three months, or a change of circumstances such that a jobseekers prospects of employment have increased and are awaiting the outcome of job offers.</w:t>
      </w:r>
      <w:r w:rsidRPr="002A1769">
        <w:rPr>
          <w:rStyle w:val="FootnoteReference"/>
        </w:rPr>
        <w:footnoteReference w:id="55"/>
      </w:r>
      <w:r w:rsidRPr="00E936D9">
        <w:t xml:space="preserve"> </w:t>
      </w:r>
      <w:r>
        <w:t>O’Brien argues</w:t>
      </w:r>
      <w:r w:rsidR="000D40CA">
        <w:t xml:space="preserve"> </w:t>
      </w:r>
      <w:r w:rsidR="006C5F2D">
        <w:t>this test</w:t>
      </w:r>
      <w:r w:rsidR="000D40CA">
        <w:t xml:space="preserve"> appear</w:t>
      </w:r>
      <w:r w:rsidR="006C5F2D">
        <w:t>s</w:t>
      </w:r>
      <w:r>
        <w:t xml:space="preserve"> to be in direct conflict with the judgment in  </w:t>
      </w:r>
      <w:proofErr w:type="spellStart"/>
      <w:r w:rsidRPr="006200F6">
        <w:rPr>
          <w:i/>
          <w:iCs/>
        </w:rPr>
        <w:t>Antonissen</w:t>
      </w:r>
      <w:proofErr w:type="spellEnd"/>
      <w:r w:rsidR="000D40CA">
        <w:t xml:space="preserve"> as, in th</w:t>
      </w:r>
      <w:r w:rsidR="001D3A67">
        <w:t xml:space="preserve">e UK’s </w:t>
      </w:r>
      <w:r w:rsidR="000D40CA">
        <w:t>guidance,</w:t>
      </w:r>
      <w:r>
        <w:t xml:space="preserve"> continuing to seek work can be seen as evidence that a jobseeker does not have a genuine chance of being engaged after 91 days.</w:t>
      </w:r>
      <w:r>
        <w:rPr>
          <w:rStyle w:val="FootnoteReference"/>
        </w:rPr>
        <w:footnoteReference w:id="56"/>
      </w:r>
      <w:r>
        <w:t xml:space="preserve"> Additionally, </w:t>
      </w:r>
      <w:r w:rsidR="000D40CA">
        <w:t>poor application of the ‘genuine chances of being engaged’ condition could have lasting relevance many years later for an individual looking to secure their residence rights in a Member State. A</w:t>
      </w:r>
      <w:r>
        <w:t xml:space="preserve"> failure to extend a right of residence as a jobseeker</w:t>
      </w:r>
      <w:r w:rsidR="000D40CA">
        <w:t xml:space="preserve"> through Article 14(4)(b) of the Directive </w:t>
      </w:r>
      <w:r>
        <w:t>would likely result in a gap in lawful residence</w:t>
      </w:r>
      <w:r w:rsidR="00FD7E90">
        <w:t>,</w:t>
      </w:r>
      <w:r>
        <w:t xml:space="preserve"> triggering the clock to be re-set on the five years continuous lawful residence required </w:t>
      </w:r>
      <w:r w:rsidR="00FD7E90">
        <w:t>for</w:t>
      </w:r>
      <w:r w:rsidRPr="006456C0">
        <w:t xml:space="preserve"> </w:t>
      </w:r>
      <w:r w:rsidR="00FD7E90">
        <w:t xml:space="preserve">a </w:t>
      </w:r>
      <w:r w:rsidRPr="006456C0">
        <w:lastRenderedPageBreak/>
        <w:t xml:space="preserve">permanent </w:t>
      </w:r>
      <w:r w:rsidR="00FD7E90">
        <w:t>right to reside</w:t>
      </w:r>
      <w:r w:rsidRPr="006456C0">
        <w:t>.</w:t>
      </w:r>
      <w:r w:rsidRPr="006456C0">
        <w:rPr>
          <w:rStyle w:val="FootnoteReference"/>
        </w:rPr>
        <w:footnoteReference w:id="57"/>
      </w:r>
      <w:r>
        <w:t xml:space="preserve"> </w:t>
      </w:r>
      <w:r w:rsidR="000D40CA">
        <w:t xml:space="preserve">As such, </w:t>
      </w:r>
      <w:r w:rsidR="00FD7E90">
        <w:t>the suggestion from the Court that national authorities ‘</w:t>
      </w:r>
      <w:r w:rsidR="00FD7E90" w:rsidRPr="00FD7E90">
        <w:t>carry out an overall assessment of all relevant factors</w:t>
      </w:r>
      <w:r w:rsidR="00FD7E90">
        <w:t>’ including the suggestions from the AG,</w:t>
      </w:r>
      <w:r w:rsidR="00FD7E90">
        <w:rPr>
          <w:rStyle w:val="FootnoteReference"/>
        </w:rPr>
        <w:footnoteReference w:id="58"/>
      </w:r>
      <w:r w:rsidR="00FD7E90">
        <w:t xml:space="preserve"> could help prevent the ‘genuine chance of being engaged’ condition being applied so restrictively that </w:t>
      </w:r>
      <w:r w:rsidR="0000670A">
        <w:t>very few EU jobseekers can rely on Article 14(4)(b) Directive 2004/38 to protect them from expulsion. Practically, such guidance</w:t>
      </w:r>
      <w:r w:rsidR="00EB33F6">
        <w:t xml:space="preserve"> could </w:t>
      </w:r>
      <w:r w:rsidR="000D40CA">
        <w:t>protec</w:t>
      </w:r>
      <w:r w:rsidR="00EB33F6">
        <w:t>t</w:t>
      </w:r>
      <w:r w:rsidR="000D40CA">
        <w:t xml:space="preserve"> EU citizens from having their work seeking unfairly curtailed </w:t>
      </w:r>
      <w:r w:rsidR="00EB33F6">
        <w:t>or</w:t>
      </w:r>
      <w:r w:rsidR="000D40CA">
        <w:t xml:space="preserve"> previous lawful residence discounted when looking to establish permanent residence. </w:t>
      </w:r>
    </w:p>
    <w:p w14:paraId="44D860B4" w14:textId="3AEFBFE9" w:rsidR="00856A08" w:rsidRDefault="00FD7E90" w:rsidP="0056184C">
      <w:pPr>
        <w:spacing w:after="120"/>
        <w:jc w:val="both"/>
      </w:pPr>
      <w:r>
        <w:t>T</w:t>
      </w:r>
      <w:r w:rsidR="00916EB1">
        <w:t>he</w:t>
      </w:r>
      <w:r w:rsidR="008424C6">
        <w:t xml:space="preserve"> Court’s inclusion of relevant factors to determine a genuine chance of being engaged provide some, </w:t>
      </w:r>
      <w:r w:rsidR="00916EB1">
        <w:t xml:space="preserve">quite </w:t>
      </w:r>
      <w:r w:rsidR="00916EB1" w:rsidRPr="00220AA5">
        <w:t>expansive, indications of what could be appropriate considerations</w:t>
      </w:r>
      <w:r w:rsidR="00916EB1">
        <w:t xml:space="preserve">, covering a simple check on whether periodic applications are being made </w:t>
      </w:r>
      <w:r w:rsidR="00916EB1" w:rsidRPr="00220AA5">
        <w:rPr>
          <w:i/>
          <w:iCs/>
        </w:rPr>
        <w:t>or</w:t>
      </w:r>
      <w:r w:rsidR="00916EB1">
        <w:t xml:space="preserve"> interviews attended and contextual comparisons with national labour markets</w:t>
      </w:r>
      <w:r w:rsidR="00916EB1" w:rsidRPr="00220AA5">
        <w:t>.</w:t>
      </w:r>
      <w:r w:rsidR="00916EB1">
        <w:t xml:space="preserve"> I</w:t>
      </w:r>
      <w:r w:rsidR="00916EB1" w:rsidRPr="00220AA5">
        <w:t xml:space="preserve">mportantly, </w:t>
      </w:r>
      <w:r w:rsidR="00916EB1">
        <w:t>t</w:t>
      </w:r>
      <w:r w:rsidR="008424C6">
        <w:t xml:space="preserve">he Court also includes </w:t>
      </w:r>
      <w:r w:rsidR="00F10E5D">
        <w:t xml:space="preserve">two </w:t>
      </w:r>
      <w:r w:rsidR="00916EB1" w:rsidRPr="00220AA5">
        <w:t xml:space="preserve">inappropriate </w:t>
      </w:r>
      <w:r w:rsidR="00916EB1">
        <w:t xml:space="preserve">factors; that a jobseeker has never worked in that Member State before and if a job offer has been refused that does not </w:t>
      </w:r>
      <w:r w:rsidR="00916EB1" w:rsidRPr="00220AA5">
        <w:t>correspond to their level of occupational qualifications.</w:t>
      </w:r>
      <w:r w:rsidR="00916EB1">
        <w:t xml:space="preserve"> </w:t>
      </w:r>
      <w:r w:rsidR="00916EB1" w:rsidRPr="00033D1D">
        <w:t>These are helpful indicators which may encourage Member States to address and reconfigure current overly restrictive approaches.</w:t>
      </w:r>
      <w:r w:rsidR="008A7022">
        <w:t xml:space="preserve"> </w:t>
      </w:r>
      <w:r w:rsidR="00916EB1" w:rsidRPr="00033D1D">
        <w:t>It is important that the</w:t>
      </w:r>
      <w:r w:rsidR="00550993">
        <w:t xml:space="preserve"> list of relevant</w:t>
      </w:r>
      <w:r w:rsidR="00916EB1" w:rsidRPr="00033D1D">
        <w:t xml:space="preserve"> </w:t>
      </w:r>
      <w:r w:rsidR="00550993">
        <w:t xml:space="preserve">criteria </w:t>
      </w:r>
      <w:r w:rsidR="001D3A67" w:rsidRPr="00033D1D">
        <w:t>is</w:t>
      </w:r>
      <w:r w:rsidR="00916EB1" w:rsidRPr="00033D1D">
        <w:t xml:space="preserve"> not treated as exhaustive. The AG note</w:t>
      </w:r>
      <w:r w:rsidR="00D5750D">
        <w:t>d, in his opinion,</w:t>
      </w:r>
      <w:r w:rsidR="00916EB1" w:rsidRPr="00033D1D">
        <w:t xml:space="preserve"> that the considerations</w:t>
      </w:r>
      <w:r w:rsidR="00D5750D">
        <w:t xml:space="preserve"> listed</w:t>
      </w:r>
      <w:r w:rsidR="00916EB1" w:rsidRPr="00033D1D">
        <w:t xml:space="preserve"> should be ‘among others’,</w:t>
      </w:r>
      <w:r w:rsidR="00916EB1" w:rsidRPr="00033D1D">
        <w:rPr>
          <w:rStyle w:val="FootnoteReference"/>
        </w:rPr>
        <w:footnoteReference w:id="59"/>
      </w:r>
      <w:r w:rsidR="00916EB1" w:rsidRPr="00033D1D">
        <w:t xml:space="preserve"> and there are some notable omissions. For example, the AG and Court did not addre</w:t>
      </w:r>
      <w:r w:rsidR="00550993">
        <w:t xml:space="preserve">ss whether longer periods of </w:t>
      </w:r>
      <w:proofErr w:type="spellStart"/>
      <w:r w:rsidR="00550993">
        <w:t>jobseeking</w:t>
      </w:r>
      <w:proofErr w:type="spellEnd"/>
      <w:r w:rsidR="00550993">
        <w:t xml:space="preserve">, even if applications are sent periodically, should be treated as an indication of not having a genuine chance of being engaged, as is the practice in </w:t>
      </w:r>
      <w:r w:rsidR="00550993" w:rsidRPr="00301AC5">
        <w:t xml:space="preserve">Belgium, </w:t>
      </w:r>
      <w:proofErr w:type="gramStart"/>
      <w:r w:rsidR="00550993" w:rsidRPr="00301AC5">
        <w:t>Luxembourg</w:t>
      </w:r>
      <w:proofErr w:type="gramEnd"/>
      <w:r w:rsidR="00550993" w:rsidRPr="00301AC5">
        <w:t xml:space="preserve"> and the UK</w:t>
      </w:r>
      <w:r w:rsidR="00550993">
        <w:t xml:space="preserve">. </w:t>
      </w:r>
      <w:r w:rsidR="00916EB1" w:rsidRPr="00033D1D">
        <w:t xml:space="preserve">Nor does the Court </w:t>
      </w:r>
      <w:r w:rsidR="00550993">
        <w:t xml:space="preserve">give any detail on whether </w:t>
      </w:r>
      <w:r w:rsidR="005C5487">
        <w:t>Member States should consider the varying average time required to find work for different demographics, to take account of</w:t>
      </w:r>
      <w:r w:rsidR="007F18F8">
        <w:t xml:space="preserve"> the</w:t>
      </w:r>
      <w:r w:rsidR="00550993">
        <w:t xml:space="preserve"> structural barriers </w:t>
      </w:r>
      <w:r w:rsidR="005C5487">
        <w:t>facing some EU citizens from accessing the labour market</w:t>
      </w:r>
      <w:r w:rsidR="00550993">
        <w:t xml:space="preserve">. </w:t>
      </w:r>
    </w:p>
    <w:p w14:paraId="52BEAED2" w14:textId="604AF45F" w:rsidR="00916EB1" w:rsidRPr="00EF4F0F" w:rsidRDefault="00916EB1" w:rsidP="0056184C">
      <w:pPr>
        <w:spacing w:after="120"/>
        <w:jc w:val="both"/>
        <w:rPr>
          <w:i/>
          <w:iCs/>
        </w:rPr>
      </w:pPr>
      <w:r>
        <w:rPr>
          <w:i/>
          <w:iCs/>
        </w:rPr>
        <w:t>A fixed period for jobseekers</w:t>
      </w:r>
      <w:r w:rsidR="00EB33F6">
        <w:rPr>
          <w:i/>
          <w:iCs/>
        </w:rPr>
        <w:t>?</w:t>
      </w:r>
    </w:p>
    <w:p w14:paraId="7845801C" w14:textId="5F67F937" w:rsidR="00916EB1" w:rsidRPr="00ED0C58" w:rsidRDefault="00916EB1" w:rsidP="0056184C">
      <w:pPr>
        <w:spacing w:after="120"/>
        <w:jc w:val="both"/>
      </w:pPr>
      <w:r>
        <w:t xml:space="preserve">One issue that remains unclear is what length of time is </w:t>
      </w:r>
      <w:r w:rsidR="00192C51">
        <w:t>appropriate</w:t>
      </w:r>
      <w:r>
        <w:t xml:space="preserve"> for the ‘reasonable period’</w:t>
      </w:r>
      <w:r w:rsidR="00EB33F6">
        <w:t xml:space="preserve"> available to</w:t>
      </w:r>
      <w:r>
        <w:t xml:space="preserve"> jobseekers to acquaint themselves with the local labour market and suitable employment. </w:t>
      </w:r>
      <w:r w:rsidRPr="002B4708">
        <w:t xml:space="preserve">The </w:t>
      </w:r>
      <w:r w:rsidR="00E327C3">
        <w:t>Court</w:t>
      </w:r>
      <w:r w:rsidRPr="002B4708">
        <w:t xml:space="preserve"> was asked whether jobseekers should be given a fixed minimum period of six months to look for employment in a host Member State. </w:t>
      </w:r>
      <w:r w:rsidR="00283661">
        <w:t>Given that residence under Article 14(4)(b) is considered to exist independently of Articles 6, 7 and 16 of the Directive,</w:t>
      </w:r>
      <w:r w:rsidR="00283661">
        <w:rPr>
          <w:rStyle w:val="FootnoteReference"/>
        </w:rPr>
        <w:footnoteReference w:id="60"/>
      </w:r>
      <w:r w:rsidR="00283661">
        <w:t xml:space="preserve"> it could have been useful for the Court to introduce a precise </w:t>
      </w:r>
      <w:r w:rsidR="00D5750D">
        <w:t xml:space="preserve">duration </w:t>
      </w:r>
      <w:r w:rsidR="00283661">
        <w:t xml:space="preserve">that would be suitable for that residence, or alternatively a minimum period, before it is conditional on demonstrating a ‘genuine chance of being engaged’. </w:t>
      </w:r>
      <w:r w:rsidR="0071718E">
        <w:t xml:space="preserve">Rather than setting a final duration, the judgment simply confirmed the finding in </w:t>
      </w:r>
      <w:proofErr w:type="spellStart"/>
      <w:r w:rsidR="0071718E" w:rsidRPr="0071718E">
        <w:rPr>
          <w:i/>
          <w:iCs/>
        </w:rPr>
        <w:t>Antonissen</w:t>
      </w:r>
      <w:proofErr w:type="spellEnd"/>
      <w:r w:rsidRPr="002B4708">
        <w:rPr>
          <w:i/>
          <w:iCs/>
        </w:rPr>
        <w:t xml:space="preserve">, </w:t>
      </w:r>
      <w:r w:rsidRPr="002B4708">
        <w:t xml:space="preserve">that six months would not appear to be insufficient. </w:t>
      </w:r>
      <w:r w:rsidR="006D0995">
        <w:t>T</w:t>
      </w:r>
      <w:r w:rsidR="006D0995" w:rsidRPr="002B4708">
        <w:t xml:space="preserve">he Court’s </w:t>
      </w:r>
      <w:r w:rsidR="006D0995">
        <w:t>choice</w:t>
      </w:r>
      <w:r w:rsidR="006D0995" w:rsidRPr="002B4708">
        <w:t xml:space="preserve"> to </w:t>
      </w:r>
      <w:r w:rsidR="006D0995">
        <w:t xml:space="preserve">not </w:t>
      </w:r>
      <w:r w:rsidR="006D0995" w:rsidRPr="002B4708">
        <w:t xml:space="preserve">clearly set out what would be ‘insufficient’ as a reasonable </w:t>
      </w:r>
      <w:proofErr w:type="gramStart"/>
      <w:r w:rsidR="006D0995" w:rsidRPr="002B4708">
        <w:t>period</w:t>
      </w:r>
      <w:r w:rsidR="006D0995">
        <w:t xml:space="preserve"> of time</w:t>
      </w:r>
      <w:proofErr w:type="gramEnd"/>
      <w:r w:rsidR="006D0995" w:rsidRPr="002B4708">
        <w:t xml:space="preserve"> could</w:t>
      </w:r>
      <w:r w:rsidR="006D0995">
        <w:t xml:space="preserve"> provide </w:t>
      </w:r>
      <w:r w:rsidR="006D0995" w:rsidRPr="002B4708">
        <w:t xml:space="preserve">Member States </w:t>
      </w:r>
      <w:r w:rsidR="006D0995">
        <w:t xml:space="preserve">the opportunity to </w:t>
      </w:r>
      <w:r w:rsidR="006D0995" w:rsidRPr="002B4708">
        <w:t>limit the rights of jobseekers</w:t>
      </w:r>
      <w:r w:rsidR="006D0995">
        <w:t xml:space="preserve"> should they wish to</w:t>
      </w:r>
      <w:r w:rsidR="006D0995" w:rsidRPr="002B4708">
        <w:t xml:space="preserve">. </w:t>
      </w:r>
      <w:r w:rsidR="006D0995">
        <w:t xml:space="preserve">It was under this same wording of the </w:t>
      </w:r>
      <w:proofErr w:type="spellStart"/>
      <w:r w:rsidR="006D0995" w:rsidRPr="002B4708">
        <w:rPr>
          <w:i/>
          <w:iCs/>
        </w:rPr>
        <w:t>Antonissen</w:t>
      </w:r>
      <w:proofErr w:type="spellEnd"/>
      <w:r w:rsidR="006D0995" w:rsidRPr="002B4708">
        <w:t xml:space="preserve"> </w:t>
      </w:r>
      <w:r w:rsidR="006D0995">
        <w:t>judgment that t</w:t>
      </w:r>
      <w:r w:rsidR="006D0995" w:rsidRPr="002B4708">
        <w:t>he UK introduced a 91 day limit of residence rights as a jobseeker</w:t>
      </w:r>
      <w:r w:rsidR="006D0995">
        <w:t>, which could only be extended where there was ‘compelling evidence’ of a genuine chance of being engaged,</w:t>
      </w:r>
      <w:r w:rsidR="006D0995" w:rsidRPr="002B4708">
        <w:t>.</w:t>
      </w:r>
      <w:r w:rsidR="006D0995" w:rsidRPr="002B4708">
        <w:rPr>
          <w:rStyle w:val="FootnoteReference"/>
        </w:rPr>
        <w:footnoteReference w:id="61"/>
      </w:r>
      <w:r w:rsidR="006D0995" w:rsidRPr="002B4708">
        <w:t xml:space="preserve"> However, given the tightening of residence rights </w:t>
      </w:r>
      <w:r w:rsidR="006D0995">
        <w:t>beyond</w:t>
      </w:r>
      <w:r w:rsidR="006D0995" w:rsidRPr="002B4708">
        <w:t xml:space="preserve"> Directive </w:t>
      </w:r>
      <w:r w:rsidR="006D0995" w:rsidRPr="002B4708">
        <w:lastRenderedPageBreak/>
        <w:t xml:space="preserve">2004/38 seen in </w:t>
      </w:r>
      <w:r w:rsidR="006D0995">
        <w:t xml:space="preserve">some </w:t>
      </w:r>
      <w:r w:rsidR="006D0995" w:rsidRPr="002B4708">
        <w:t>more recent case</w:t>
      </w:r>
      <w:r w:rsidR="006D0995">
        <w:t xml:space="preserve"> law</w:t>
      </w:r>
      <w:r w:rsidR="006D0995" w:rsidRPr="002B4708">
        <w:t>,</w:t>
      </w:r>
      <w:r w:rsidR="006D0995" w:rsidRPr="002B4708">
        <w:rPr>
          <w:rStyle w:val="FootnoteReference"/>
        </w:rPr>
        <w:footnoteReference w:id="62"/>
      </w:r>
      <w:r w:rsidR="006D0995" w:rsidRPr="002B4708">
        <w:t xml:space="preserve"> and in light of some Member States imposing the criteria of Article 14(4)(b) after just 3 months,</w:t>
      </w:r>
      <w:r w:rsidR="006D0995" w:rsidRPr="002B4708">
        <w:rPr>
          <w:rStyle w:val="FootnoteReference"/>
        </w:rPr>
        <w:footnoteReference w:id="63"/>
      </w:r>
      <w:r w:rsidR="006D0995" w:rsidRPr="002B4708">
        <w:t xml:space="preserve"> </w:t>
      </w:r>
      <w:r w:rsidR="006D0995">
        <w:t xml:space="preserve">a position which was not explicitly rejected in </w:t>
      </w:r>
      <w:r w:rsidR="006D0995">
        <w:rPr>
          <w:i/>
          <w:iCs/>
        </w:rPr>
        <w:t>Commission v Belgium,</w:t>
      </w:r>
      <w:r w:rsidR="006D0995">
        <w:rPr>
          <w:rStyle w:val="FootnoteReference"/>
        </w:rPr>
        <w:footnoteReference w:id="64"/>
      </w:r>
      <w:r w:rsidR="006D0995">
        <w:rPr>
          <w:i/>
          <w:iCs/>
        </w:rPr>
        <w:t xml:space="preserve"> </w:t>
      </w:r>
      <w:r w:rsidR="006D0995" w:rsidRPr="002B4708">
        <w:t xml:space="preserve">the Court’s </w:t>
      </w:r>
      <w:r w:rsidR="006D0995">
        <w:t>affirmation</w:t>
      </w:r>
      <w:r w:rsidR="006D0995" w:rsidRPr="002B4708">
        <w:t xml:space="preserve"> that </w:t>
      </w:r>
      <w:r w:rsidR="006D0995">
        <w:t>a ‘</w:t>
      </w:r>
      <w:r w:rsidR="006D0995" w:rsidRPr="002B4708">
        <w:t>reasonable period</w:t>
      </w:r>
      <w:r w:rsidR="006D0995">
        <w:t xml:space="preserve"> of time’ for a jobseeker might be six months, c</w:t>
      </w:r>
      <w:r w:rsidR="006D0995" w:rsidRPr="008A7952">
        <w:t xml:space="preserve">ould be interpreted as </w:t>
      </w:r>
      <w:r w:rsidR="006D0995">
        <w:t xml:space="preserve">something of a push-back against restrictive trends. </w:t>
      </w:r>
      <w:r w:rsidRPr="002B4708">
        <w:t xml:space="preserve">It may also have </w:t>
      </w:r>
      <w:r>
        <w:t>felt improper for the Court to go any further</w:t>
      </w:r>
      <w:r w:rsidR="00D5750D">
        <w:t>. T</w:t>
      </w:r>
      <w:r w:rsidR="003B3609" w:rsidRPr="002B4708">
        <w:t>he task for setting a fixed minimum period of residence for jobseekers</w:t>
      </w:r>
      <w:r w:rsidR="00D5750D">
        <w:t xml:space="preserve"> may</w:t>
      </w:r>
      <w:r w:rsidR="003B3609" w:rsidRPr="002B4708">
        <w:t xml:space="preserve"> fall</w:t>
      </w:r>
      <w:r w:rsidR="00D5750D">
        <w:t xml:space="preserve">, as </w:t>
      </w:r>
      <w:r w:rsidR="00D5750D" w:rsidRPr="002B4708">
        <w:t xml:space="preserve">AG </w:t>
      </w:r>
      <w:proofErr w:type="spellStart"/>
      <w:r w:rsidR="00D5750D" w:rsidRPr="002B4708">
        <w:t>Szpun</w:t>
      </w:r>
      <w:r w:rsidR="00D5750D">
        <w:t>a</w:t>
      </w:r>
      <w:r w:rsidR="00D5750D" w:rsidRPr="002B4708">
        <w:t>r</w:t>
      </w:r>
      <w:proofErr w:type="spellEnd"/>
      <w:r w:rsidR="00D5750D" w:rsidRPr="002B4708">
        <w:t xml:space="preserve"> indicates</w:t>
      </w:r>
      <w:r w:rsidR="00D5750D">
        <w:t>,</w:t>
      </w:r>
      <w:r w:rsidR="003B3609" w:rsidRPr="002B4708">
        <w:t xml:space="preserve"> most suitably to the EU legislature.</w:t>
      </w:r>
      <w:r w:rsidR="003B3609" w:rsidRPr="002B4708">
        <w:rPr>
          <w:rStyle w:val="FootnoteReference"/>
        </w:rPr>
        <w:footnoteReference w:id="65"/>
      </w:r>
      <w:r w:rsidR="003B3609">
        <w:t xml:space="preserve">. A </w:t>
      </w:r>
      <w:r w:rsidR="00682008">
        <w:t xml:space="preserve">previous call for </w:t>
      </w:r>
      <w:r w:rsidR="00682008" w:rsidRPr="002B4708">
        <w:t>a hard three-month limit to the residence of jobseekers</w:t>
      </w:r>
      <w:r w:rsidR="003B3609">
        <w:t>,</w:t>
      </w:r>
      <w:r w:rsidR="003B3609" w:rsidRPr="002B4708">
        <w:t xml:space="preserve"> recorded in the Council minutes regarding the adoption of Regulation No 1612/68 and of Council Directive 68/360/EEC</w:t>
      </w:r>
      <w:r w:rsidR="003B3609">
        <w:t xml:space="preserve">, was dismissed by the ECJ in </w:t>
      </w:r>
      <w:proofErr w:type="spellStart"/>
      <w:r w:rsidR="003B3609" w:rsidRPr="002B4708">
        <w:rPr>
          <w:i/>
          <w:iCs/>
        </w:rPr>
        <w:t>Antonissen</w:t>
      </w:r>
      <w:proofErr w:type="spellEnd"/>
      <w:r w:rsidR="003B3609" w:rsidRPr="002B4708">
        <w:t xml:space="preserve"> as irrelevant to the interpretation of secondary legislation where ‘no reference is made to the content of the declaration in the wording of the provision in question’.</w:t>
      </w:r>
      <w:r w:rsidR="003B3609" w:rsidRPr="002B4708">
        <w:rPr>
          <w:rStyle w:val="FootnoteReference"/>
        </w:rPr>
        <w:footnoteReference w:id="66"/>
      </w:r>
      <w:r w:rsidR="003B3609">
        <w:t xml:space="preserve"> </w:t>
      </w:r>
      <w:r w:rsidR="006D0995">
        <w:t>It may therefore be necessary for the EU Legislature to return to this issue and address it in the future.</w:t>
      </w:r>
      <w:r w:rsidR="00682008">
        <w:t xml:space="preserve"> Should it be </w:t>
      </w:r>
      <w:r w:rsidR="00682008" w:rsidRPr="00AA2105">
        <w:t xml:space="preserve">addressed, the Courts </w:t>
      </w:r>
      <w:r w:rsidR="00AA2105">
        <w:t>a</w:t>
      </w:r>
      <w:r w:rsidR="00682008" w:rsidRPr="00AA2105">
        <w:t xml:space="preserve">cceptance that a jobseeker should have more favourable treatment in </w:t>
      </w:r>
      <w:r w:rsidR="00682008" w:rsidRPr="00AA2105">
        <w:rPr>
          <w:i/>
          <w:iCs/>
        </w:rPr>
        <w:t>G. M. A.</w:t>
      </w:r>
      <w:r w:rsidR="00AA2105">
        <w:t xml:space="preserve"> </w:t>
      </w:r>
      <w:r w:rsidR="00682008" w:rsidRPr="00AA2105">
        <w:t>suggests</w:t>
      </w:r>
      <w:r w:rsidR="00682008">
        <w:t xml:space="preserve"> that it may no longer be justifiable to limit the ‘reasonable period’ of residence to the same three months granted to all EU citizens under Article 6</w:t>
      </w:r>
      <w:r w:rsidR="00AA2105">
        <w:t xml:space="preserve"> Directive 2004/38</w:t>
      </w:r>
      <w:r w:rsidR="00682008">
        <w:t>. Additionally, s</w:t>
      </w:r>
      <w:r>
        <w:t xml:space="preserve">hould a fixed period for jobseekers’ residence be </w:t>
      </w:r>
      <w:r w:rsidR="00344097">
        <w:t>introduced</w:t>
      </w:r>
      <w:r>
        <w:t xml:space="preserve">, it is vital that the mechanism to extend this period in Article 14(4)(b) remains available and is effective in recognising the lawful </w:t>
      </w:r>
      <w:r w:rsidRPr="008A7952">
        <w:t xml:space="preserve">residence of those with a genuine chance of being engaged </w:t>
      </w:r>
      <w:r w:rsidR="00E327C3">
        <w:t>and</w:t>
      </w:r>
      <w:r w:rsidRPr="008A7952">
        <w:t xml:space="preserve"> in recognition of personal circumstances which may justify a longer </w:t>
      </w:r>
      <w:proofErr w:type="gramStart"/>
      <w:r>
        <w:t xml:space="preserve">period of </w:t>
      </w:r>
      <w:r w:rsidRPr="008A7952">
        <w:t>time</w:t>
      </w:r>
      <w:proofErr w:type="gramEnd"/>
      <w:r w:rsidRPr="008A7952">
        <w:t xml:space="preserve"> for seeking employment.</w:t>
      </w:r>
      <w:r>
        <w:t xml:space="preserve"> </w:t>
      </w:r>
    </w:p>
    <w:p w14:paraId="1D509980" w14:textId="4335A491" w:rsidR="00916EB1" w:rsidRPr="00E936D9" w:rsidRDefault="00916EB1" w:rsidP="0056184C">
      <w:pPr>
        <w:pStyle w:val="Default"/>
        <w:spacing w:after="120"/>
        <w:jc w:val="both"/>
        <w:rPr>
          <w:rFonts w:ascii="Times New Roman" w:hAnsi="Times New Roman" w:cs="Times New Roman"/>
          <w:i/>
          <w:iCs/>
          <w:color w:val="auto"/>
        </w:rPr>
      </w:pPr>
      <w:r w:rsidRPr="00D32592">
        <w:rPr>
          <w:rFonts w:ascii="Times New Roman" w:hAnsi="Times New Roman" w:cs="Times New Roman"/>
          <w:i/>
          <w:iCs/>
        </w:rPr>
        <w:t xml:space="preserve">A missed opportunity for </w:t>
      </w:r>
      <w:r w:rsidR="00ED211D">
        <w:rPr>
          <w:rFonts w:ascii="Times New Roman" w:hAnsi="Times New Roman" w:cs="Times New Roman"/>
          <w:i/>
          <w:iCs/>
        </w:rPr>
        <w:t xml:space="preserve">more </w:t>
      </w:r>
      <w:r w:rsidRPr="00D32592">
        <w:rPr>
          <w:rFonts w:ascii="Times New Roman" w:hAnsi="Times New Roman" w:cs="Times New Roman"/>
          <w:i/>
          <w:iCs/>
        </w:rPr>
        <w:t xml:space="preserve">equal access </w:t>
      </w:r>
      <w:r w:rsidR="002F772F" w:rsidRPr="00D32592">
        <w:rPr>
          <w:rFonts w:ascii="Times New Roman" w:hAnsi="Times New Roman" w:cs="Times New Roman"/>
          <w:i/>
          <w:iCs/>
        </w:rPr>
        <w:t xml:space="preserve">to </w:t>
      </w:r>
      <w:r w:rsidRPr="00D32592">
        <w:rPr>
          <w:rFonts w:ascii="Times New Roman" w:hAnsi="Times New Roman" w:cs="Times New Roman"/>
          <w:i/>
          <w:iCs/>
        </w:rPr>
        <w:t xml:space="preserve">the </w:t>
      </w:r>
      <w:proofErr w:type="spellStart"/>
      <w:r w:rsidRPr="00D32592">
        <w:rPr>
          <w:rFonts w:ascii="Times New Roman" w:hAnsi="Times New Roman" w:cs="Times New Roman"/>
          <w:i/>
          <w:iCs/>
        </w:rPr>
        <w:t>labour</w:t>
      </w:r>
      <w:proofErr w:type="spellEnd"/>
      <w:r w:rsidRPr="00D32592">
        <w:rPr>
          <w:rFonts w:ascii="Times New Roman" w:hAnsi="Times New Roman" w:cs="Times New Roman"/>
          <w:i/>
          <w:iCs/>
        </w:rPr>
        <w:t xml:space="preserve"> market</w:t>
      </w:r>
      <w:r w:rsidR="00D32592" w:rsidRPr="00D32592">
        <w:rPr>
          <w:rFonts w:ascii="Times New Roman" w:hAnsi="Times New Roman" w:cs="Times New Roman"/>
          <w:i/>
          <w:iCs/>
        </w:rPr>
        <w:t>?</w:t>
      </w:r>
      <w:r w:rsidRPr="00D32592">
        <w:rPr>
          <w:rFonts w:ascii="Times New Roman" w:hAnsi="Times New Roman" w:cs="Times New Roman"/>
          <w:i/>
          <w:iCs/>
        </w:rPr>
        <w:t xml:space="preserve"> </w:t>
      </w:r>
    </w:p>
    <w:p w14:paraId="381D898F" w14:textId="14C5DC18" w:rsidR="00916EB1" w:rsidRDefault="00916EB1" w:rsidP="0056184C">
      <w:pPr>
        <w:pStyle w:val="Default"/>
        <w:spacing w:after="120"/>
        <w:jc w:val="both"/>
        <w:rPr>
          <w:rFonts w:ascii="Times New Roman" w:hAnsi="Times New Roman" w:cs="Times New Roman"/>
          <w:color w:val="auto"/>
        </w:rPr>
      </w:pPr>
      <w:r w:rsidRPr="00E936D9">
        <w:rPr>
          <w:rFonts w:ascii="Times New Roman" w:hAnsi="Times New Roman" w:cs="Times New Roman"/>
          <w:color w:val="auto"/>
        </w:rPr>
        <w:t xml:space="preserve">The judgment </w:t>
      </w:r>
      <w:r>
        <w:rPr>
          <w:rFonts w:ascii="Times New Roman" w:hAnsi="Times New Roman" w:cs="Times New Roman"/>
          <w:color w:val="auto"/>
        </w:rPr>
        <w:t xml:space="preserve">in </w:t>
      </w:r>
      <w:r w:rsidRPr="00184FFE">
        <w:rPr>
          <w:rFonts w:ascii="Times New Roman" w:hAnsi="Times New Roman" w:cs="Times New Roman"/>
          <w:i/>
          <w:iCs/>
          <w:color w:val="auto"/>
        </w:rPr>
        <w:t>G. M. A.</w:t>
      </w:r>
      <w:r>
        <w:rPr>
          <w:rFonts w:ascii="Times New Roman" w:hAnsi="Times New Roman" w:cs="Times New Roman"/>
          <w:color w:val="auto"/>
        </w:rPr>
        <w:t xml:space="preserve"> contributes a number of clarifications to</w:t>
      </w:r>
      <w:r w:rsidRPr="00E936D9">
        <w:rPr>
          <w:rFonts w:ascii="Times New Roman" w:hAnsi="Times New Roman" w:cs="Times New Roman"/>
          <w:color w:val="auto"/>
        </w:rPr>
        <w:t xml:space="preserve"> the outer edges of jobseeker residence rights, </w:t>
      </w:r>
      <w:r>
        <w:rPr>
          <w:rFonts w:ascii="Times New Roman" w:hAnsi="Times New Roman" w:cs="Times New Roman"/>
          <w:color w:val="auto"/>
        </w:rPr>
        <w:t xml:space="preserve">repeating the sentiment in </w:t>
      </w:r>
      <w:proofErr w:type="spellStart"/>
      <w:r w:rsidRPr="002B4708">
        <w:rPr>
          <w:rFonts w:ascii="Times New Roman" w:hAnsi="Times New Roman" w:cs="Times New Roman"/>
          <w:i/>
          <w:iCs/>
        </w:rPr>
        <w:t>Antonissen</w:t>
      </w:r>
      <w:proofErr w:type="spellEnd"/>
      <w:r>
        <w:rPr>
          <w:rFonts w:ascii="Times New Roman" w:hAnsi="Times New Roman" w:cs="Times New Roman"/>
          <w:i/>
          <w:iCs/>
        </w:rPr>
        <w:t xml:space="preserve"> </w:t>
      </w:r>
      <w:r>
        <w:rPr>
          <w:rFonts w:ascii="Times New Roman" w:hAnsi="Times New Roman" w:cs="Times New Roman"/>
        </w:rPr>
        <w:t xml:space="preserve">that a failure to provide a reasonable amount of time to jobseekers would </w:t>
      </w:r>
      <w:proofErr w:type="spellStart"/>
      <w:r>
        <w:rPr>
          <w:rFonts w:ascii="Times New Roman" w:hAnsi="Times New Roman" w:cs="Times New Roman"/>
        </w:rPr>
        <w:t>jeopardise</w:t>
      </w:r>
      <w:proofErr w:type="spellEnd"/>
      <w:r>
        <w:rPr>
          <w:rFonts w:ascii="Times New Roman" w:hAnsi="Times New Roman" w:cs="Times New Roman"/>
        </w:rPr>
        <w:t xml:space="preserve"> </w:t>
      </w:r>
      <w:r w:rsidRPr="00E936D9">
        <w:rPr>
          <w:rFonts w:ascii="Times New Roman" w:hAnsi="Times New Roman" w:cs="Times New Roman"/>
          <w:color w:val="auto"/>
        </w:rPr>
        <w:t>the effectiveness of Article 45</w:t>
      </w:r>
      <w:r>
        <w:rPr>
          <w:rFonts w:ascii="Times New Roman" w:hAnsi="Times New Roman" w:cs="Times New Roman"/>
          <w:color w:val="auto"/>
        </w:rPr>
        <w:t xml:space="preserve"> TFEU</w:t>
      </w:r>
      <w:r w:rsidRPr="00E936D9">
        <w:rPr>
          <w:rFonts w:ascii="Times New Roman" w:hAnsi="Times New Roman" w:cs="Times New Roman"/>
          <w:color w:val="auto"/>
        </w:rPr>
        <w:t>.</w:t>
      </w:r>
      <w:r>
        <w:rPr>
          <w:rStyle w:val="FootnoteReference"/>
          <w:rFonts w:ascii="Times New Roman" w:hAnsi="Times New Roman" w:cs="Times New Roman"/>
          <w:color w:val="auto"/>
        </w:rPr>
        <w:footnoteReference w:id="67"/>
      </w:r>
      <w:r w:rsidRPr="00E936D9">
        <w:rPr>
          <w:rFonts w:ascii="Times New Roman" w:hAnsi="Times New Roman" w:cs="Times New Roman"/>
          <w:color w:val="auto"/>
        </w:rPr>
        <w:t xml:space="preserve"> </w:t>
      </w:r>
      <w:r>
        <w:rPr>
          <w:rFonts w:ascii="Times New Roman" w:hAnsi="Times New Roman" w:cs="Times New Roman"/>
          <w:color w:val="auto"/>
        </w:rPr>
        <w:t xml:space="preserve">However, this discussion is limited to </w:t>
      </w:r>
      <w:r w:rsidR="00AA2105">
        <w:rPr>
          <w:rFonts w:ascii="Times New Roman" w:hAnsi="Times New Roman" w:cs="Times New Roman"/>
          <w:color w:val="auto"/>
        </w:rPr>
        <w:t xml:space="preserve">the </w:t>
      </w:r>
      <w:r>
        <w:rPr>
          <w:rFonts w:ascii="Times New Roman" w:hAnsi="Times New Roman" w:cs="Times New Roman"/>
          <w:color w:val="auto"/>
        </w:rPr>
        <w:t xml:space="preserve">idea of a ‘standard’ jobseeker and fails to engage with how some EU citizens, particularly those from </w:t>
      </w:r>
      <w:r w:rsidR="002D6343">
        <w:rPr>
          <w:rFonts w:ascii="Times New Roman" w:hAnsi="Times New Roman" w:cs="Times New Roman"/>
          <w:color w:val="auto"/>
        </w:rPr>
        <w:t>groups already experiencing discrimination</w:t>
      </w:r>
      <w:r>
        <w:rPr>
          <w:rFonts w:ascii="Times New Roman" w:hAnsi="Times New Roman" w:cs="Times New Roman"/>
          <w:color w:val="auto"/>
        </w:rPr>
        <w:t xml:space="preserve">, may face significant barriers when trying to exercise their right to move to a host Member State and seek employment. The effectiveness of Article 45 for some of these citizens may be jeopardized if the analysis of residence rights for those seeking employment, particularly the ability to extend a period of residence, does not include a recognition of </w:t>
      </w:r>
      <w:r w:rsidR="00D73A57">
        <w:rPr>
          <w:rFonts w:ascii="Times New Roman" w:hAnsi="Times New Roman" w:cs="Times New Roman"/>
          <w:color w:val="auto"/>
        </w:rPr>
        <w:t xml:space="preserve">these </w:t>
      </w:r>
      <w:r>
        <w:rPr>
          <w:rFonts w:ascii="Times New Roman" w:hAnsi="Times New Roman" w:cs="Times New Roman"/>
          <w:color w:val="auto"/>
        </w:rPr>
        <w:t xml:space="preserve">personal circumstances and barriers to </w:t>
      </w:r>
      <w:r w:rsidR="00D73A57">
        <w:rPr>
          <w:rFonts w:ascii="Times New Roman" w:hAnsi="Times New Roman" w:cs="Times New Roman"/>
          <w:color w:val="auto"/>
        </w:rPr>
        <w:t xml:space="preserve">finding </w:t>
      </w:r>
      <w:r>
        <w:rPr>
          <w:rFonts w:ascii="Times New Roman" w:hAnsi="Times New Roman" w:cs="Times New Roman"/>
          <w:color w:val="auto"/>
        </w:rPr>
        <w:t xml:space="preserve">work. </w:t>
      </w:r>
    </w:p>
    <w:p w14:paraId="6033066B" w14:textId="3DA6BCB7" w:rsidR="00916EB1" w:rsidRDefault="00916EB1" w:rsidP="0056184C">
      <w:pPr>
        <w:pStyle w:val="Default"/>
        <w:spacing w:after="120"/>
        <w:jc w:val="both"/>
        <w:rPr>
          <w:rFonts w:ascii="Times New Roman" w:hAnsi="Times New Roman" w:cs="Times New Roman"/>
          <w:color w:val="auto"/>
        </w:rPr>
      </w:pPr>
      <w:r w:rsidRPr="00E936D9">
        <w:rPr>
          <w:rFonts w:ascii="Times New Roman" w:hAnsi="Times New Roman" w:cs="Times New Roman"/>
          <w:color w:val="auto"/>
        </w:rPr>
        <w:t xml:space="preserve">While it is true that the length of time required to find employment will usually involve some amount of </w:t>
      </w:r>
      <w:r w:rsidR="00344097">
        <w:rPr>
          <w:rFonts w:ascii="Times New Roman" w:hAnsi="Times New Roman" w:cs="Times New Roman"/>
          <w:color w:val="auto"/>
        </w:rPr>
        <w:t>fortuity</w:t>
      </w:r>
      <w:r w:rsidR="00D73A57">
        <w:rPr>
          <w:rFonts w:ascii="Times New Roman" w:hAnsi="Times New Roman" w:cs="Times New Roman"/>
          <w:color w:val="auto"/>
        </w:rPr>
        <w:t xml:space="preserve"> for everyone</w:t>
      </w:r>
      <w:r w:rsidRPr="00E936D9">
        <w:rPr>
          <w:rFonts w:ascii="Times New Roman" w:hAnsi="Times New Roman" w:cs="Times New Roman"/>
          <w:color w:val="auto"/>
        </w:rPr>
        <w:t xml:space="preserve">, </w:t>
      </w:r>
      <w:r>
        <w:rPr>
          <w:rFonts w:ascii="Times New Roman" w:hAnsi="Times New Roman" w:cs="Times New Roman"/>
          <w:color w:val="auto"/>
        </w:rPr>
        <w:t xml:space="preserve">there are some groups who will face systemic barriers </w:t>
      </w:r>
      <w:r w:rsidRPr="00E936D9">
        <w:rPr>
          <w:rFonts w:ascii="Times New Roman" w:hAnsi="Times New Roman" w:cs="Times New Roman"/>
          <w:color w:val="auto"/>
        </w:rPr>
        <w:t>that can make the process</w:t>
      </w:r>
      <w:r>
        <w:rPr>
          <w:rFonts w:ascii="Times New Roman" w:hAnsi="Times New Roman" w:cs="Times New Roman"/>
          <w:color w:val="auto"/>
        </w:rPr>
        <w:t xml:space="preserve"> of seeking employment more complex a</w:t>
      </w:r>
      <w:r w:rsidRPr="00E936D9">
        <w:rPr>
          <w:rFonts w:ascii="Times New Roman" w:hAnsi="Times New Roman" w:cs="Times New Roman"/>
          <w:color w:val="auto"/>
        </w:rPr>
        <w:t xml:space="preserve">nd </w:t>
      </w:r>
      <w:r>
        <w:rPr>
          <w:rFonts w:ascii="Times New Roman" w:hAnsi="Times New Roman" w:cs="Times New Roman"/>
          <w:color w:val="auto"/>
        </w:rPr>
        <w:t>time consuming</w:t>
      </w:r>
      <w:r w:rsidRPr="00E936D9">
        <w:rPr>
          <w:rFonts w:ascii="Times New Roman" w:hAnsi="Times New Roman" w:cs="Times New Roman"/>
          <w:color w:val="auto"/>
        </w:rPr>
        <w:t xml:space="preserve">. </w:t>
      </w:r>
      <w:r>
        <w:rPr>
          <w:rFonts w:ascii="Times New Roman" w:hAnsi="Times New Roman" w:cs="Times New Roman"/>
          <w:color w:val="auto"/>
        </w:rPr>
        <w:t>Work arrangements must sometimes fit around or be balanced with childcare</w:t>
      </w:r>
      <w:r>
        <w:rPr>
          <w:rStyle w:val="FootnoteReference"/>
          <w:rFonts w:ascii="Times New Roman" w:hAnsi="Times New Roman" w:cs="Times New Roman"/>
          <w:color w:val="auto"/>
        </w:rPr>
        <w:footnoteReference w:id="68"/>
      </w:r>
      <w:r>
        <w:rPr>
          <w:rFonts w:ascii="Times New Roman" w:hAnsi="Times New Roman" w:cs="Times New Roman"/>
          <w:color w:val="auto"/>
        </w:rPr>
        <w:t xml:space="preserve"> and other informal </w:t>
      </w:r>
      <w:r>
        <w:rPr>
          <w:rFonts w:ascii="Times New Roman" w:hAnsi="Times New Roman" w:cs="Times New Roman"/>
          <w:color w:val="auto"/>
        </w:rPr>
        <w:lastRenderedPageBreak/>
        <w:t>care responsibilities,</w:t>
      </w:r>
      <w:r>
        <w:rPr>
          <w:rStyle w:val="FootnoteReference"/>
          <w:rFonts w:ascii="Times New Roman" w:hAnsi="Times New Roman" w:cs="Times New Roman"/>
          <w:color w:val="auto"/>
        </w:rPr>
        <w:footnoteReference w:id="69"/>
      </w:r>
      <w:r>
        <w:rPr>
          <w:rFonts w:ascii="Times New Roman" w:hAnsi="Times New Roman" w:cs="Times New Roman"/>
          <w:color w:val="auto"/>
        </w:rPr>
        <w:t xml:space="preserve"> both of which are roles </w:t>
      </w:r>
      <w:proofErr w:type="gramStart"/>
      <w:r>
        <w:rPr>
          <w:rFonts w:ascii="Times New Roman" w:hAnsi="Times New Roman" w:cs="Times New Roman"/>
          <w:color w:val="auto"/>
        </w:rPr>
        <w:t>most commonly held</w:t>
      </w:r>
      <w:proofErr w:type="gramEnd"/>
      <w:r>
        <w:rPr>
          <w:rFonts w:ascii="Times New Roman" w:hAnsi="Times New Roman" w:cs="Times New Roman"/>
          <w:color w:val="auto"/>
        </w:rPr>
        <w:t xml:space="preserve"> by women.</w:t>
      </w:r>
      <w:r>
        <w:rPr>
          <w:rStyle w:val="FootnoteReference"/>
          <w:rFonts w:ascii="Times New Roman" w:hAnsi="Times New Roman" w:cs="Times New Roman"/>
          <w:color w:val="auto"/>
        </w:rPr>
        <w:footnoteReference w:id="70"/>
      </w:r>
      <w:r>
        <w:rPr>
          <w:rFonts w:ascii="Times New Roman" w:hAnsi="Times New Roman" w:cs="Times New Roman"/>
          <w:color w:val="auto"/>
        </w:rPr>
        <w:t xml:space="preserve"> Suitable employment may also be harder to come by for disabled workers.</w:t>
      </w:r>
      <w:r>
        <w:rPr>
          <w:rStyle w:val="FootnoteReference"/>
          <w:rFonts w:ascii="Times New Roman" w:hAnsi="Times New Roman" w:cs="Times New Roman"/>
          <w:color w:val="auto"/>
        </w:rPr>
        <w:footnoteReference w:id="71"/>
      </w:r>
      <w:r>
        <w:rPr>
          <w:rFonts w:ascii="Times New Roman" w:hAnsi="Times New Roman" w:cs="Times New Roman"/>
          <w:color w:val="auto"/>
        </w:rPr>
        <w:t xml:space="preserve"> The availability of suitable employment opportunities and the time to spend on job searching activities may be significantly reduced for these groups. </w:t>
      </w:r>
      <w:r w:rsidRPr="00DB5E43">
        <w:rPr>
          <w:rFonts w:ascii="Times New Roman" w:hAnsi="Times New Roman" w:cs="Times New Roman"/>
          <w:color w:val="auto"/>
        </w:rPr>
        <w:t>Moreover, these experiences can also be compounded by further structural discrimination in the workplace or bias from recruiters</w:t>
      </w:r>
      <w:r w:rsidR="00B6563C">
        <w:rPr>
          <w:rFonts w:ascii="Times New Roman" w:hAnsi="Times New Roman" w:cs="Times New Roman"/>
          <w:color w:val="auto"/>
        </w:rPr>
        <w:t xml:space="preserve">, unconscious or otherwise, </w:t>
      </w:r>
      <w:proofErr w:type="gramStart"/>
      <w:r w:rsidRPr="00DB5E43">
        <w:rPr>
          <w:rFonts w:ascii="Times New Roman" w:hAnsi="Times New Roman" w:cs="Times New Roman"/>
          <w:color w:val="auto"/>
        </w:rPr>
        <w:t>on the basis of</w:t>
      </w:r>
      <w:proofErr w:type="gramEnd"/>
      <w:r w:rsidRPr="00DB5E43">
        <w:rPr>
          <w:rFonts w:ascii="Times New Roman" w:hAnsi="Times New Roman" w:cs="Times New Roman"/>
          <w:color w:val="auto"/>
        </w:rPr>
        <w:t xml:space="preserve"> gender, disability</w:t>
      </w:r>
      <w:r w:rsidR="00344097">
        <w:rPr>
          <w:rFonts w:ascii="Times New Roman" w:hAnsi="Times New Roman" w:cs="Times New Roman"/>
          <w:color w:val="auto"/>
        </w:rPr>
        <w:t>, age</w:t>
      </w:r>
      <w:r w:rsidRPr="00DB5E43">
        <w:rPr>
          <w:rFonts w:ascii="Times New Roman" w:hAnsi="Times New Roman" w:cs="Times New Roman"/>
          <w:color w:val="auto"/>
        </w:rPr>
        <w:t xml:space="preserve"> or nationality. </w:t>
      </w:r>
      <w:r w:rsidR="00AA2105">
        <w:rPr>
          <w:rFonts w:ascii="Times New Roman" w:hAnsi="Times New Roman" w:cs="Times New Roman"/>
          <w:color w:val="auto"/>
        </w:rPr>
        <w:t>A</w:t>
      </w:r>
      <w:r w:rsidRPr="00E936D9">
        <w:rPr>
          <w:rFonts w:ascii="Times New Roman" w:hAnsi="Times New Roman" w:cs="Times New Roman"/>
          <w:color w:val="auto"/>
        </w:rPr>
        <w:t xml:space="preserve"> reasonable </w:t>
      </w:r>
      <w:proofErr w:type="gramStart"/>
      <w:r w:rsidRPr="00E936D9">
        <w:rPr>
          <w:rFonts w:ascii="Times New Roman" w:hAnsi="Times New Roman" w:cs="Times New Roman"/>
          <w:color w:val="auto"/>
        </w:rPr>
        <w:t>period</w:t>
      </w:r>
      <w:r w:rsidR="00894487">
        <w:rPr>
          <w:rFonts w:ascii="Times New Roman" w:hAnsi="Times New Roman" w:cs="Times New Roman"/>
          <w:color w:val="auto"/>
        </w:rPr>
        <w:t xml:space="preserve"> of time</w:t>
      </w:r>
      <w:proofErr w:type="gramEnd"/>
      <w:r w:rsidRPr="00E936D9">
        <w:rPr>
          <w:rFonts w:ascii="Times New Roman" w:hAnsi="Times New Roman" w:cs="Times New Roman"/>
          <w:color w:val="auto"/>
        </w:rPr>
        <w:t xml:space="preserve"> for one jobseeker </w:t>
      </w:r>
      <w:r>
        <w:rPr>
          <w:rFonts w:ascii="Times New Roman" w:hAnsi="Times New Roman" w:cs="Times New Roman"/>
          <w:color w:val="auto"/>
        </w:rPr>
        <w:t xml:space="preserve">to find suitable employment </w:t>
      </w:r>
      <w:r w:rsidRPr="00E936D9">
        <w:rPr>
          <w:rFonts w:ascii="Times New Roman" w:hAnsi="Times New Roman" w:cs="Times New Roman"/>
          <w:color w:val="auto"/>
        </w:rPr>
        <w:t>could be entirely unreasonable for another.</w:t>
      </w:r>
      <w:r>
        <w:rPr>
          <w:rFonts w:ascii="Times New Roman" w:hAnsi="Times New Roman" w:cs="Times New Roman"/>
          <w:color w:val="auto"/>
        </w:rPr>
        <w:t xml:space="preserve"> The AG and Court did not mention any need to consider the personal </w:t>
      </w:r>
      <w:r w:rsidRPr="00D73A57">
        <w:rPr>
          <w:rFonts w:ascii="Times New Roman" w:hAnsi="Times New Roman" w:cs="Times New Roman"/>
          <w:color w:val="auto"/>
        </w:rPr>
        <w:t xml:space="preserve">circumstances of jobseekers, </w:t>
      </w:r>
      <w:r w:rsidR="00AA2105">
        <w:rPr>
          <w:rFonts w:ascii="Times New Roman" w:hAnsi="Times New Roman" w:cs="Times New Roman"/>
          <w:color w:val="auto"/>
        </w:rPr>
        <w:t xml:space="preserve">possibly because it was not directly </w:t>
      </w:r>
      <w:r w:rsidRPr="00D73A57">
        <w:rPr>
          <w:rFonts w:ascii="Times New Roman" w:hAnsi="Times New Roman" w:cs="Times New Roman"/>
          <w:color w:val="auto"/>
        </w:rPr>
        <w:t>relevant to the specific facts of the case.</w:t>
      </w:r>
      <w:r w:rsidR="00D73A57">
        <w:rPr>
          <w:rFonts w:ascii="Times New Roman" w:hAnsi="Times New Roman" w:cs="Times New Roman"/>
          <w:color w:val="auto"/>
        </w:rPr>
        <w:t xml:space="preserve">  </w:t>
      </w:r>
      <w:r w:rsidR="00AA1A85" w:rsidRPr="00AA1A85">
        <w:rPr>
          <w:rFonts w:ascii="Times New Roman" w:hAnsi="Times New Roman" w:cs="Times New Roman"/>
          <w:color w:val="auto"/>
        </w:rPr>
        <w:t xml:space="preserve">However, a recognition of structural barriers could have been included in the list of relevant factors when determining a jobseekers’ “genuine chance of being engaged” to ensure that Member States do not further restrict opportunities to accessing the </w:t>
      </w:r>
      <w:proofErr w:type="spellStart"/>
      <w:r w:rsidR="00AA1A85" w:rsidRPr="00AA1A85">
        <w:rPr>
          <w:rFonts w:ascii="Times New Roman" w:hAnsi="Times New Roman" w:cs="Times New Roman"/>
          <w:color w:val="auto"/>
        </w:rPr>
        <w:t>labour</w:t>
      </w:r>
      <w:proofErr w:type="spellEnd"/>
      <w:r w:rsidR="00AA1A85" w:rsidRPr="00AA1A85">
        <w:rPr>
          <w:rFonts w:ascii="Times New Roman" w:hAnsi="Times New Roman" w:cs="Times New Roman"/>
          <w:color w:val="auto"/>
        </w:rPr>
        <w:t xml:space="preserve"> market</w:t>
      </w:r>
      <w:r>
        <w:rPr>
          <w:rFonts w:ascii="Times New Roman" w:hAnsi="Times New Roman" w:cs="Times New Roman"/>
          <w:color w:val="auto"/>
        </w:rPr>
        <w:t xml:space="preserve">. </w:t>
      </w:r>
      <w:r w:rsidR="00D73A57" w:rsidRPr="00D73A57">
        <w:rPr>
          <w:rFonts w:ascii="Times New Roman" w:hAnsi="Times New Roman" w:cs="Times New Roman"/>
          <w:color w:val="auto"/>
        </w:rPr>
        <w:t xml:space="preserve">While the AG suggested that a contextual analysis of average times for finding work in a national </w:t>
      </w:r>
      <w:proofErr w:type="spellStart"/>
      <w:r w:rsidR="00D73A57" w:rsidRPr="00D73A57">
        <w:rPr>
          <w:rFonts w:ascii="Times New Roman" w:hAnsi="Times New Roman" w:cs="Times New Roman"/>
          <w:color w:val="auto"/>
        </w:rPr>
        <w:t>labour</w:t>
      </w:r>
      <w:proofErr w:type="spellEnd"/>
      <w:r w:rsidR="00D73A57" w:rsidRPr="00D73A57">
        <w:rPr>
          <w:rFonts w:ascii="Times New Roman" w:hAnsi="Times New Roman" w:cs="Times New Roman"/>
          <w:color w:val="auto"/>
        </w:rPr>
        <w:t xml:space="preserve"> market could be relevant</w:t>
      </w:r>
      <w:r w:rsidR="00FD3AED">
        <w:rPr>
          <w:rFonts w:ascii="Times New Roman" w:hAnsi="Times New Roman" w:cs="Times New Roman"/>
          <w:color w:val="auto"/>
        </w:rPr>
        <w:t xml:space="preserve"> </w:t>
      </w:r>
      <w:r w:rsidR="00FD3AED" w:rsidRPr="00FD3AED">
        <w:rPr>
          <w:rFonts w:ascii="Times New Roman" w:hAnsi="Times New Roman" w:cs="Times New Roman"/>
          <w:color w:val="auto"/>
        </w:rPr>
        <w:t>corresponding to the occupational qualifications of the jobseeker</w:t>
      </w:r>
      <w:r w:rsidR="00D73A57" w:rsidRPr="00D73A57">
        <w:rPr>
          <w:rFonts w:ascii="Times New Roman" w:hAnsi="Times New Roman" w:cs="Times New Roman"/>
          <w:color w:val="auto"/>
        </w:rPr>
        <w:t xml:space="preserve">, there was no mention of adapting these averages to </w:t>
      </w:r>
      <w:r w:rsidR="00FD3AED">
        <w:rPr>
          <w:rFonts w:ascii="Times New Roman" w:hAnsi="Times New Roman" w:cs="Times New Roman"/>
          <w:color w:val="auto"/>
        </w:rPr>
        <w:t>correspond to</w:t>
      </w:r>
      <w:r w:rsidR="00D73A57" w:rsidRPr="00D73A57">
        <w:rPr>
          <w:rFonts w:ascii="Times New Roman" w:hAnsi="Times New Roman" w:cs="Times New Roman"/>
          <w:color w:val="auto"/>
        </w:rPr>
        <w:t xml:space="preserve"> the personal circumstances of the work seeker</w:t>
      </w:r>
      <w:r w:rsidR="00D73A57">
        <w:rPr>
          <w:rFonts w:ascii="Times New Roman" w:hAnsi="Times New Roman" w:cs="Times New Roman"/>
          <w:color w:val="auto"/>
        </w:rPr>
        <w:t>. This was a missed opportunity</w:t>
      </w:r>
      <w:r w:rsidR="00FD3AED">
        <w:rPr>
          <w:rFonts w:ascii="Times New Roman" w:hAnsi="Times New Roman" w:cs="Times New Roman"/>
          <w:color w:val="auto"/>
        </w:rPr>
        <w:t>,</w:t>
      </w:r>
      <w:r w:rsidR="0010368D">
        <w:rPr>
          <w:rFonts w:ascii="Times New Roman" w:hAnsi="Times New Roman" w:cs="Times New Roman"/>
          <w:color w:val="auto"/>
        </w:rPr>
        <w:t xml:space="preserve"> especially when </w:t>
      </w:r>
      <w:r w:rsidR="00FD3AED">
        <w:rPr>
          <w:rFonts w:ascii="Times New Roman" w:hAnsi="Times New Roman" w:cs="Times New Roman"/>
          <w:color w:val="auto"/>
        </w:rPr>
        <w:t xml:space="preserve">the European Pillar of Social Rights </w:t>
      </w:r>
      <w:r w:rsidR="0010368D">
        <w:rPr>
          <w:rFonts w:ascii="Times New Roman" w:hAnsi="Times New Roman" w:cs="Times New Roman"/>
          <w:color w:val="auto"/>
        </w:rPr>
        <w:t>c</w:t>
      </w:r>
      <w:r>
        <w:rPr>
          <w:rFonts w:ascii="Times New Roman" w:hAnsi="Times New Roman" w:cs="Times New Roman"/>
          <w:color w:val="auto"/>
        </w:rPr>
        <w:t>ommi</w:t>
      </w:r>
      <w:r w:rsidR="00FD3AED">
        <w:rPr>
          <w:rFonts w:ascii="Times New Roman" w:hAnsi="Times New Roman" w:cs="Times New Roman"/>
          <w:color w:val="auto"/>
        </w:rPr>
        <w:t>t</w:t>
      </w:r>
      <w:r>
        <w:rPr>
          <w:rFonts w:ascii="Times New Roman" w:hAnsi="Times New Roman" w:cs="Times New Roman"/>
          <w:color w:val="auto"/>
        </w:rPr>
        <w:t xml:space="preserve">s to equal opportunities to employment </w:t>
      </w:r>
      <w:r w:rsidR="00FD3AED">
        <w:rPr>
          <w:rFonts w:ascii="Times New Roman" w:hAnsi="Times New Roman" w:cs="Times New Roman"/>
          <w:color w:val="auto"/>
        </w:rPr>
        <w:t xml:space="preserve">and </w:t>
      </w:r>
      <w:r>
        <w:rPr>
          <w:rFonts w:ascii="Times New Roman" w:hAnsi="Times New Roman" w:cs="Times New Roman"/>
          <w:color w:val="auto"/>
        </w:rPr>
        <w:t xml:space="preserve">aims to promote ‘inclusion and participation of under-represented groups in the </w:t>
      </w:r>
      <w:proofErr w:type="spellStart"/>
      <w:r>
        <w:rPr>
          <w:rFonts w:ascii="Times New Roman" w:hAnsi="Times New Roman" w:cs="Times New Roman"/>
          <w:color w:val="auto"/>
        </w:rPr>
        <w:t>labour</w:t>
      </w:r>
      <w:proofErr w:type="spellEnd"/>
      <w:r>
        <w:rPr>
          <w:rFonts w:ascii="Times New Roman" w:hAnsi="Times New Roman" w:cs="Times New Roman"/>
          <w:color w:val="auto"/>
        </w:rPr>
        <w:t xml:space="preserve"> market and society’.</w:t>
      </w:r>
      <w:r>
        <w:rPr>
          <w:rStyle w:val="FootnoteReference"/>
          <w:rFonts w:ascii="Times New Roman" w:hAnsi="Times New Roman" w:cs="Times New Roman"/>
          <w:color w:val="auto"/>
        </w:rPr>
        <w:footnoteReference w:id="72"/>
      </w:r>
      <w:r>
        <w:rPr>
          <w:rFonts w:ascii="Times New Roman" w:hAnsi="Times New Roman" w:cs="Times New Roman"/>
          <w:color w:val="auto"/>
        </w:rPr>
        <w:t xml:space="preserve"> Moving forward, it would be useful for the Court to embrace this commitment when facing free movement rules. For the residence rights of jobseekers, any ‘reasonable </w:t>
      </w:r>
      <w:proofErr w:type="gramStart"/>
      <w:r>
        <w:rPr>
          <w:rFonts w:ascii="Times New Roman" w:hAnsi="Times New Roman" w:cs="Times New Roman"/>
          <w:color w:val="auto"/>
        </w:rPr>
        <w:t>period</w:t>
      </w:r>
      <w:r w:rsidR="00894487">
        <w:rPr>
          <w:rFonts w:ascii="Times New Roman" w:hAnsi="Times New Roman" w:cs="Times New Roman"/>
          <w:color w:val="auto"/>
        </w:rPr>
        <w:t xml:space="preserve"> of time</w:t>
      </w:r>
      <w:proofErr w:type="gramEnd"/>
      <w:r>
        <w:rPr>
          <w:rFonts w:ascii="Times New Roman" w:hAnsi="Times New Roman" w:cs="Times New Roman"/>
          <w:color w:val="auto"/>
        </w:rPr>
        <w:t xml:space="preserve">’ or </w:t>
      </w:r>
      <w:r w:rsidRPr="00E936D9">
        <w:rPr>
          <w:rFonts w:ascii="Times New Roman" w:hAnsi="Times New Roman" w:cs="Times New Roman"/>
          <w:color w:val="auto"/>
        </w:rPr>
        <w:t xml:space="preserve">test to see if the period can be extended, should </w:t>
      </w:r>
      <w:r w:rsidR="00E53176">
        <w:rPr>
          <w:rFonts w:ascii="Times New Roman" w:hAnsi="Times New Roman" w:cs="Times New Roman"/>
          <w:color w:val="auto"/>
        </w:rPr>
        <w:t>include</w:t>
      </w:r>
      <w:r w:rsidRPr="00E936D9">
        <w:rPr>
          <w:rFonts w:ascii="Times New Roman" w:hAnsi="Times New Roman" w:cs="Times New Roman"/>
          <w:color w:val="auto"/>
        </w:rPr>
        <w:t xml:space="preserve"> a full examination of the</w:t>
      </w:r>
      <w:r w:rsidR="00FD3AED">
        <w:rPr>
          <w:rFonts w:ascii="Times New Roman" w:hAnsi="Times New Roman" w:cs="Times New Roman"/>
          <w:color w:val="auto"/>
        </w:rPr>
        <w:t xml:space="preserve"> structural barriers facing jobseekers and the</w:t>
      </w:r>
      <w:r w:rsidRPr="00E936D9">
        <w:rPr>
          <w:rFonts w:ascii="Times New Roman" w:hAnsi="Times New Roman" w:cs="Times New Roman"/>
          <w:color w:val="auto"/>
        </w:rPr>
        <w:t xml:space="preserve"> personal circumstances of the jobseeker</w:t>
      </w:r>
      <w:r>
        <w:rPr>
          <w:rFonts w:ascii="Times New Roman" w:hAnsi="Times New Roman" w:cs="Times New Roman"/>
          <w:color w:val="auto"/>
        </w:rPr>
        <w:t xml:space="preserve"> to avoid further entrenching this discrimination and jeopardizing the effectiveness of Article 45 TFEU for these EU citizens. </w:t>
      </w:r>
    </w:p>
    <w:p w14:paraId="3AC19F67" w14:textId="552A8D18" w:rsidR="00AC555C" w:rsidRPr="00AC555C" w:rsidRDefault="00AC555C" w:rsidP="0056184C">
      <w:pPr>
        <w:pStyle w:val="Default"/>
        <w:spacing w:after="120"/>
        <w:jc w:val="both"/>
        <w:rPr>
          <w:rFonts w:ascii="Times New Roman" w:hAnsi="Times New Roman" w:cs="Times New Roman"/>
          <w:i/>
          <w:iCs/>
          <w:color w:val="auto"/>
        </w:rPr>
      </w:pPr>
      <w:r>
        <w:rPr>
          <w:rFonts w:ascii="Times New Roman" w:hAnsi="Times New Roman" w:cs="Times New Roman"/>
          <w:i/>
          <w:iCs/>
          <w:color w:val="auto"/>
        </w:rPr>
        <w:t xml:space="preserve">Affordability of </w:t>
      </w:r>
      <w:r w:rsidR="00605806">
        <w:rPr>
          <w:rFonts w:ascii="Times New Roman" w:hAnsi="Times New Roman" w:cs="Times New Roman"/>
          <w:i/>
          <w:iCs/>
          <w:color w:val="auto"/>
        </w:rPr>
        <w:t>jobseekers</w:t>
      </w:r>
      <w:r w:rsidR="00B85FA3">
        <w:rPr>
          <w:rFonts w:ascii="Times New Roman" w:hAnsi="Times New Roman" w:cs="Times New Roman"/>
          <w:i/>
          <w:iCs/>
          <w:color w:val="auto"/>
        </w:rPr>
        <w:t>’</w:t>
      </w:r>
      <w:r w:rsidR="00605806">
        <w:rPr>
          <w:rFonts w:ascii="Times New Roman" w:hAnsi="Times New Roman" w:cs="Times New Roman"/>
          <w:i/>
          <w:iCs/>
          <w:color w:val="auto"/>
        </w:rPr>
        <w:t xml:space="preserve"> free movement </w:t>
      </w:r>
      <w:r>
        <w:rPr>
          <w:rFonts w:ascii="Times New Roman" w:hAnsi="Times New Roman" w:cs="Times New Roman"/>
          <w:i/>
          <w:iCs/>
          <w:color w:val="auto"/>
        </w:rPr>
        <w:t>privilege</w:t>
      </w:r>
    </w:p>
    <w:p w14:paraId="77B139A9" w14:textId="7692FFFB" w:rsidR="00B85FA3" w:rsidRPr="00FD3AED" w:rsidRDefault="00605806" w:rsidP="0056184C">
      <w:pPr>
        <w:pStyle w:val="Default"/>
        <w:spacing w:after="120"/>
        <w:jc w:val="both"/>
        <w:rPr>
          <w:rFonts w:ascii="Times New Roman" w:hAnsi="Times New Roman" w:cs="Times New Roman"/>
          <w:highlight w:val="yellow"/>
        </w:rPr>
      </w:pPr>
      <w:r>
        <w:rPr>
          <w:rFonts w:ascii="Times New Roman" w:hAnsi="Times New Roman" w:cs="Times New Roman"/>
          <w:color w:val="auto"/>
        </w:rPr>
        <w:t xml:space="preserve">While the judgment did not address a jobseekers’ access to welfare benefits in a host Member State, the </w:t>
      </w:r>
      <w:r w:rsidR="006507B3" w:rsidRPr="00AC555C">
        <w:rPr>
          <w:rFonts w:ascii="Times New Roman" w:hAnsi="Times New Roman" w:cs="Times New Roman"/>
          <w:color w:val="auto"/>
        </w:rPr>
        <w:t>effectiveness of jobseekers</w:t>
      </w:r>
      <w:r w:rsidR="000D0224">
        <w:rPr>
          <w:rFonts w:ascii="Times New Roman" w:hAnsi="Times New Roman" w:cs="Times New Roman"/>
          <w:color w:val="auto"/>
        </w:rPr>
        <w:t>’</w:t>
      </w:r>
      <w:r w:rsidR="006507B3" w:rsidRPr="00AC555C">
        <w:rPr>
          <w:rFonts w:ascii="Times New Roman" w:hAnsi="Times New Roman" w:cs="Times New Roman"/>
          <w:color w:val="auto"/>
        </w:rPr>
        <w:t xml:space="preserve"> residence rights</w:t>
      </w:r>
      <w:r>
        <w:rPr>
          <w:rFonts w:ascii="Times New Roman" w:hAnsi="Times New Roman" w:cs="Times New Roman"/>
          <w:color w:val="auto"/>
        </w:rPr>
        <w:t xml:space="preserve"> cannot be analyzed in isolation of this. </w:t>
      </w:r>
      <w:r w:rsidRPr="00AC555C">
        <w:rPr>
          <w:rFonts w:ascii="Times New Roman" w:hAnsi="Times New Roman" w:cs="Times New Roman"/>
        </w:rPr>
        <w:t xml:space="preserve">As </w:t>
      </w:r>
      <w:proofErr w:type="spellStart"/>
      <w:r w:rsidRPr="00AC555C">
        <w:rPr>
          <w:rFonts w:ascii="Times New Roman" w:hAnsi="Times New Roman" w:cs="Times New Roman"/>
        </w:rPr>
        <w:t>Wollenschläger</w:t>
      </w:r>
      <w:proofErr w:type="spellEnd"/>
      <w:r w:rsidRPr="00AC555C">
        <w:rPr>
          <w:rFonts w:ascii="Times New Roman" w:hAnsi="Times New Roman" w:cs="Times New Roman"/>
        </w:rPr>
        <w:t xml:space="preserve"> puts it, jobseekers have a price to pay for their ‘privileged’ residence </w:t>
      </w:r>
      <w:r w:rsidRPr="00AC555C">
        <w:rPr>
          <w:rFonts w:ascii="Times New Roman" w:hAnsi="Times New Roman" w:cs="Times New Roman"/>
        </w:rPr>
        <w:lastRenderedPageBreak/>
        <w:t>status.</w:t>
      </w:r>
      <w:bookmarkStart w:id="6" w:name="_Ref71652746"/>
      <w:r w:rsidRPr="00AC555C">
        <w:rPr>
          <w:rStyle w:val="FootnoteReference"/>
          <w:rFonts w:ascii="Times New Roman" w:hAnsi="Times New Roman" w:cs="Times New Roman"/>
        </w:rPr>
        <w:footnoteReference w:id="73"/>
      </w:r>
      <w:bookmarkEnd w:id="6"/>
      <w:r w:rsidRPr="00AC555C">
        <w:rPr>
          <w:rFonts w:ascii="Times New Roman" w:hAnsi="Times New Roman" w:cs="Times New Roman"/>
        </w:rPr>
        <w:t xml:space="preserve"> </w:t>
      </w:r>
      <w:r w:rsidR="008129A3">
        <w:rPr>
          <w:rFonts w:ascii="Times New Roman" w:hAnsi="Times New Roman" w:cs="Times New Roman"/>
        </w:rPr>
        <w:t>A jobseeker</w:t>
      </w:r>
      <w:r w:rsidR="00FD3AED">
        <w:rPr>
          <w:rFonts w:ascii="Times New Roman" w:hAnsi="Times New Roman" w:cs="Times New Roman"/>
        </w:rPr>
        <w:t>’s</w:t>
      </w:r>
      <w:r w:rsidR="00346D2C">
        <w:rPr>
          <w:rFonts w:ascii="Times New Roman" w:hAnsi="Times New Roman" w:cs="Times New Roman"/>
        </w:rPr>
        <w:t xml:space="preserve"> free movement rights are protected in Article 45 TFEU which also entitles them to equal treatment rights. </w:t>
      </w:r>
      <w:r w:rsidR="008129A3">
        <w:rPr>
          <w:rFonts w:ascii="Times New Roman" w:hAnsi="Times New Roman" w:cs="Times New Roman"/>
        </w:rPr>
        <w:t xml:space="preserve">However, </w:t>
      </w:r>
      <w:r w:rsidR="00373A67">
        <w:rPr>
          <w:rFonts w:ascii="Times New Roman" w:hAnsi="Times New Roman" w:cs="Times New Roman"/>
        </w:rPr>
        <w:t xml:space="preserve">the judgment in </w:t>
      </w:r>
      <w:r w:rsidR="00373A67">
        <w:rPr>
          <w:rFonts w:ascii="Times New Roman" w:hAnsi="Times New Roman" w:cs="Times New Roman"/>
          <w:i/>
          <w:iCs/>
        </w:rPr>
        <w:t xml:space="preserve">Collins </w:t>
      </w:r>
      <w:r w:rsidR="008129A3">
        <w:rPr>
          <w:rFonts w:ascii="Times New Roman" w:hAnsi="Times New Roman" w:cs="Times New Roman"/>
        </w:rPr>
        <w:t xml:space="preserve">permitted Member States to require that a jobseeker has a ‘real link’ with the national </w:t>
      </w:r>
      <w:proofErr w:type="spellStart"/>
      <w:r w:rsidR="008129A3">
        <w:rPr>
          <w:rFonts w:ascii="Times New Roman" w:hAnsi="Times New Roman" w:cs="Times New Roman"/>
        </w:rPr>
        <w:t>labour</w:t>
      </w:r>
      <w:proofErr w:type="spellEnd"/>
      <w:r w:rsidR="008129A3">
        <w:rPr>
          <w:rFonts w:ascii="Times New Roman" w:hAnsi="Times New Roman" w:cs="Times New Roman"/>
        </w:rPr>
        <w:t xml:space="preserve"> market before granting them equal access to their social assistance system.</w:t>
      </w:r>
      <w:r w:rsidR="008129A3">
        <w:rPr>
          <w:rStyle w:val="FootnoteReference"/>
          <w:rFonts w:ascii="Times New Roman" w:hAnsi="Times New Roman" w:cs="Times New Roman"/>
        </w:rPr>
        <w:footnoteReference w:id="74"/>
      </w:r>
      <w:r w:rsidR="008129A3">
        <w:rPr>
          <w:rFonts w:ascii="Times New Roman" w:hAnsi="Times New Roman" w:cs="Times New Roman"/>
        </w:rPr>
        <w:t xml:space="preserve"> </w:t>
      </w:r>
      <w:r w:rsidR="00373A67">
        <w:rPr>
          <w:rFonts w:ascii="Times New Roman" w:hAnsi="Times New Roman" w:cs="Times New Roman"/>
        </w:rPr>
        <w:t xml:space="preserve">After the exclusion from social assistance in </w:t>
      </w:r>
      <w:r w:rsidR="008129A3">
        <w:rPr>
          <w:rFonts w:ascii="Times New Roman" w:hAnsi="Times New Roman" w:cs="Times New Roman"/>
        </w:rPr>
        <w:t xml:space="preserve">Article 24(2) </w:t>
      </w:r>
      <w:r w:rsidR="00373A67">
        <w:rPr>
          <w:rFonts w:ascii="Times New Roman" w:hAnsi="Times New Roman" w:cs="Times New Roman"/>
        </w:rPr>
        <w:t xml:space="preserve">Directive 2004/38, </w:t>
      </w:r>
      <w:r w:rsidR="008129A3">
        <w:rPr>
          <w:rFonts w:ascii="Times New Roman" w:hAnsi="Times New Roman" w:cs="Times New Roman"/>
        </w:rPr>
        <w:t>the Court</w:t>
      </w:r>
      <w:r w:rsidR="00373A67">
        <w:rPr>
          <w:rFonts w:ascii="Times New Roman" w:hAnsi="Times New Roman" w:cs="Times New Roman"/>
        </w:rPr>
        <w:t xml:space="preserve"> in </w:t>
      </w:r>
      <w:proofErr w:type="spellStart"/>
      <w:r w:rsidR="00373A67" w:rsidRPr="000D0224">
        <w:rPr>
          <w:rFonts w:ascii="Times New Roman" w:hAnsi="Times New Roman" w:cs="Times New Roman"/>
          <w:i/>
          <w:iCs/>
        </w:rPr>
        <w:t>Vatsouras</w:t>
      </w:r>
      <w:proofErr w:type="spellEnd"/>
      <w:r w:rsidR="00373A67">
        <w:rPr>
          <w:rFonts w:ascii="Times New Roman" w:hAnsi="Times New Roman" w:cs="Times New Roman"/>
        </w:rPr>
        <w:t>, distinguish</w:t>
      </w:r>
      <w:r w:rsidR="008129A3">
        <w:rPr>
          <w:rFonts w:ascii="Times New Roman" w:hAnsi="Times New Roman" w:cs="Times New Roman"/>
        </w:rPr>
        <w:t>ed</w:t>
      </w:r>
      <w:r w:rsidR="00373A67">
        <w:rPr>
          <w:rFonts w:ascii="Times New Roman" w:hAnsi="Times New Roman" w:cs="Times New Roman"/>
        </w:rPr>
        <w:t xml:space="preserve"> between benefits which facilitate access to the </w:t>
      </w:r>
      <w:proofErr w:type="spellStart"/>
      <w:r w:rsidR="00373A67">
        <w:rPr>
          <w:rFonts w:ascii="Times New Roman" w:hAnsi="Times New Roman" w:cs="Times New Roman"/>
        </w:rPr>
        <w:t>labour</w:t>
      </w:r>
      <w:proofErr w:type="spellEnd"/>
      <w:r w:rsidR="00373A67">
        <w:rPr>
          <w:rFonts w:ascii="Times New Roman" w:hAnsi="Times New Roman" w:cs="Times New Roman"/>
        </w:rPr>
        <w:t xml:space="preserve"> market, which jobseekers </w:t>
      </w:r>
      <w:r w:rsidR="008129A3">
        <w:rPr>
          <w:rFonts w:ascii="Times New Roman" w:hAnsi="Times New Roman" w:cs="Times New Roman"/>
        </w:rPr>
        <w:t>a</w:t>
      </w:r>
      <w:r w:rsidR="00373A67">
        <w:rPr>
          <w:rFonts w:ascii="Times New Roman" w:hAnsi="Times New Roman" w:cs="Times New Roman"/>
        </w:rPr>
        <w:t xml:space="preserve">re entitled to, and social assistance, which they </w:t>
      </w:r>
      <w:r w:rsidR="008129A3">
        <w:rPr>
          <w:rFonts w:ascii="Times New Roman" w:hAnsi="Times New Roman" w:cs="Times New Roman"/>
        </w:rPr>
        <w:t>a</w:t>
      </w:r>
      <w:r w:rsidR="00373A67">
        <w:rPr>
          <w:rFonts w:ascii="Times New Roman" w:hAnsi="Times New Roman" w:cs="Times New Roman"/>
        </w:rPr>
        <w:t>re not.</w:t>
      </w:r>
      <w:r w:rsidR="00C24945">
        <w:rPr>
          <w:rStyle w:val="FootnoteReference"/>
          <w:rFonts w:ascii="Times New Roman" w:hAnsi="Times New Roman" w:cs="Times New Roman"/>
        </w:rPr>
        <w:footnoteReference w:id="75"/>
      </w:r>
      <w:r w:rsidR="00373A67">
        <w:rPr>
          <w:rFonts w:ascii="Times New Roman" w:hAnsi="Times New Roman" w:cs="Times New Roman"/>
        </w:rPr>
        <w:t xml:space="preserve"> In </w:t>
      </w:r>
      <w:proofErr w:type="spellStart"/>
      <w:r w:rsidR="00373A67" w:rsidRPr="000D0224">
        <w:rPr>
          <w:rFonts w:ascii="Times New Roman" w:hAnsi="Times New Roman" w:cs="Times New Roman"/>
          <w:i/>
          <w:iCs/>
        </w:rPr>
        <w:t>Alimanovic</w:t>
      </w:r>
      <w:proofErr w:type="spellEnd"/>
      <w:r w:rsidR="00373A67">
        <w:rPr>
          <w:rFonts w:ascii="Times New Roman" w:hAnsi="Times New Roman" w:cs="Times New Roman"/>
        </w:rPr>
        <w:t xml:space="preserve">, however, the ECJ </w:t>
      </w:r>
      <w:r w:rsidR="008129A3">
        <w:rPr>
          <w:rFonts w:ascii="Times New Roman" w:hAnsi="Times New Roman" w:cs="Times New Roman"/>
        </w:rPr>
        <w:t>determined that i</w:t>
      </w:r>
      <w:r w:rsidR="00DA7F0E">
        <w:rPr>
          <w:rFonts w:ascii="Times New Roman" w:hAnsi="Times New Roman" w:cs="Times New Roman"/>
        </w:rPr>
        <w:t>f</w:t>
      </w:r>
      <w:r w:rsidR="008129A3">
        <w:rPr>
          <w:rFonts w:ascii="Times New Roman" w:hAnsi="Times New Roman" w:cs="Times New Roman"/>
        </w:rPr>
        <w:t xml:space="preserve"> the predominant feature of a benefit is to ensure minimum subsistence, then this must be considered social assistance.</w:t>
      </w:r>
      <w:r w:rsidR="00DA7F0E">
        <w:rPr>
          <w:rStyle w:val="FootnoteReference"/>
          <w:rFonts w:ascii="Times New Roman" w:hAnsi="Times New Roman" w:cs="Times New Roman"/>
        </w:rPr>
        <w:footnoteReference w:id="76"/>
      </w:r>
      <w:r w:rsidR="008129A3">
        <w:rPr>
          <w:rFonts w:ascii="Times New Roman" w:hAnsi="Times New Roman" w:cs="Times New Roman"/>
        </w:rPr>
        <w:t xml:space="preserve"> </w:t>
      </w:r>
      <w:r w:rsidR="00DA7F0E">
        <w:rPr>
          <w:rFonts w:ascii="Times New Roman" w:hAnsi="Times New Roman" w:cs="Times New Roman"/>
        </w:rPr>
        <w:t>This significantly curtails the financial support available to jobseekers as effectively any</w:t>
      </w:r>
      <w:r w:rsidR="00346D2C">
        <w:rPr>
          <w:rFonts w:ascii="Times New Roman" w:hAnsi="Times New Roman" w:cs="Times New Roman"/>
        </w:rPr>
        <w:t xml:space="preserve"> </w:t>
      </w:r>
      <w:r w:rsidR="00373A67">
        <w:rPr>
          <w:rFonts w:ascii="Times New Roman" w:hAnsi="Times New Roman" w:cs="Times New Roman"/>
        </w:rPr>
        <w:t>benefit which ensure</w:t>
      </w:r>
      <w:r w:rsidR="00DA7F0E">
        <w:rPr>
          <w:rFonts w:ascii="Times New Roman" w:hAnsi="Times New Roman" w:cs="Times New Roman"/>
        </w:rPr>
        <w:t>s</w:t>
      </w:r>
      <w:r w:rsidR="00373A67">
        <w:rPr>
          <w:rFonts w:ascii="Times New Roman" w:hAnsi="Times New Roman" w:cs="Times New Roman"/>
        </w:rPr>
        <w:t xml:space="preserve"> a minimum subsistence</w:t>
      </w:r>
      <w:r w:rsidR="00DA7F0E">
        <w:rPr>
          <w:rFonts w:ascii="Times New Roman" w:hAnsi="Times New Roman" w:cs="Times New Roman"/>
        </w:rPr>
        <w:t>, even when that subsistence is provided to support the activity of seeking employment,</w:t>
      </w:r>
      <w:r w:rsidR="00520332">
        <w:rPr>
          <w:rFonts w:ascii="Times New Roman" w:hAnsi="Times New Roman" w:cs="Times New Roman"/>
        </w:rPr>
        <w:t xml:space="preserve"> </w:t>
      </w:r>
      <w:r w:rsidR="00DA7F0E">
        <w:rPr>
          <w:rFonts w:ascii="Times New Roman" w:hAnsi="Times New Roman" w:cs="Times New Roman"/>
        </w:rPr>
        <w:t>can be</w:t>
      </w:r>
      <w:r w:rsidR="00520332">
        <w:rPr>
          <w:rFonts w:ascii="Times New Roman" w:hAnsi="Times New Roman" w:cs="Times New Roman"/>
        </w:rPr>
        <w:t xml:space="preserve"> considered to be social assistance</w:t>
      </w:r>
      <w:r w:rsidR="00DA7F0E">
        <w:rPr>
          <w:rFonts w:ascii="Times New Roman" w:hAnsi="Times New Roman" w:cs="Times New Roman"/>
        </w:rPr>
        <w:t xml:space="preserve"> and withheld from migrant jobseekers.</w:t>
      </w:r>
      <w:r w:rsidR="00346D2C">
        <w:rPr>
          <w:rFonts w:ascii="Times New Roman" w:hAnsi="Times New Roman" w:cs="Times New Roman"/>
        </w:rPr>
        <w:t xml:space="preserve"> </w:t>
      </w:r>
      <w:r w:rsidR="00C362D7">
        <w:rPr>
          <w:rFonts w:ascii="Times New Roman" w:hAnsi="Times New Roman" w:cs="Times New Roman"/>
        </w:rPr>
        <w:t xml:space="preserve">For example, </w:t>
      </w:r>
      <w:r w:rsidR="00346D2C">
        <w:rPr>
          <w:rFonts w:ascii="Times New Roman" w:hAnsi="Times New Roman" w:cs="Times New Roman"/>
        </w:rPr>
        <w:t xml:space="preserve">the main job seeking benefit </w:t>
      </w:r>
      <w:r w:rsidR="00C362D7">
        <w:rPr>
          <w:rFonts w:ascii="Times New Roman" w:hAnsi="Times New Roman" w:cs="Times New Roman"/>
        </w:rPr>
        <w:t xml:space="preserve">in the UK </w:t>
      </w:r>
      <w:r w:rsidR="00346D2C">
        <w:rPr>
          <w:rFonts w:ascii="Times New Roman" w:hAnsi="Times New Roman" w:cs="Times New Roman"/>
        </w:rPr>
        <w:t>– Universal Credit – is categorized as social assistanc</w:t>
      </w:r>
      <w:r w:rsidR="00C362D7">
        <w:rPr>
          <w:rFonts w:ascii="Times New Roman" w:hAnsi="Times New Roman" w:cs="Times New Roman"/>
        </w:rPr>
        <w:t xml:space="preserve">e and excludes claims from </w:t>
      </w:r>
      <w:r w:rsidR="00346D2C">
        <w:rPr>
          <w:rFonts w:ascii="Times New Roman" w:hAnsi="Times New Roman" w:cs="Times New Roman"/>
        </w:rPr>
        <w:t>EU jobseekers.</w:t>
      </w:r>
      <w:r w:rsidR="00C362D7">
        <w:rPr>
          <w:rStyle w:val="FootnoteReference"/>
          <w:rFonts w:ascii="Times New Roman" w:hAnsi="Times New Roman" w:cs="Times New Roman"/>
        </w:rPr>
        <w:footnoteReference w:id="77"/>
      </w:r>
      <w:r w:rsidR="00346D2C">
        <w:rPr>
          <w:rFonts w:ascii="Times New Roman" w:hAnsi="Times New Roman" w:cs="Times New Roman"/>
        </w:rPr>
        <w:t xml:space="preserve"> </w:t>
      </w:r>
      <w:r w:rsidR="00C362D7">
        <w:rPr>
          <w:rFonts w:ascii="Times New Roman" w:hAnsi="Times New Roman" w:cs="Times New Roman"/>
        </w:rPr>
        <w:t xml:space="preserve">In lieu of access to this benefit, the only remaining options for financial support is to be eligible for contributory based job seeking benefits or </w:t>
      </w:r>
      <w:r w:rsidR="00B85FA3">
        <w:rPr>
          <w:rFonts w:ascii="Times New Roman" w:hAnsi="Times New Roman" w:cs="Times New Roman"/>
        </w:rPr>
        <w:t>exporting</w:t>
      </w:r>
      <w:r w:rsidR="00C362D7">
        <w:rPr>
          <w:rFonts w:ascii="Times New Roman" w:hAnsi="Times New Roman" w:cs="Times New Roman"/>
        </w:rPr>
        <w:t xml:space="preserve"> an unemployment benefit from another Member State</w:t>
      </w:r>
      <w:r w:rsidR="00B85FA3">
        <w:rPr>
          <w:rFonts w:ascii="Times New Roman" w:hAnsi="Times New Roman" w:cs="Times New Roman"/>
        </w:rPr>
        <w:t>,</w:t>
      </w:r>
      <w:r w:rsidR="00C362D7">
        <w:rPr>
          <w:rStyle w:val="FootnoteReference"/>
          <w:rFonts w:ascii="Times New Roman" w:hAnsi="Times New Roman" w:cs="Times New Roman"/>
        </w:rPr>
        <w:footnoteReference w:id="78"/>
      </w:r>
      <w:r w:rsidR="00B85FA3">
        <w:rPr>
          <w:rFonts w:ascii="Times New Roman" w:hAnsi="Times New Roman" w:cs="Times New Roman"/>
        </w:rPr>
        <w:t xml:space="preserve"> the latter of which </w:t>
      </w:r>
      <w:r w:rsidR="003F33C7">
        <w:rPr>
          <w:rFonts w:ascii="Times New Roman" w:hAnsi="Times New Roman" w:cs="Times New Roman"/>
        </w:rPr>
        <w:t>is</w:t>
      </w:r>
      <w:r w:rsidR="00B85FA3">
        <w:rPr>
          <w:rFonts w:ascii="Times New Roman" w:hAnsi="Times New Roman" w:cs="Times New Roman"/>
        </w:rPr>
        <w:t xml:space="preserve"> </w:t>
      </w:r>
      <w:r w:rsidR="003F33C7">
        <w:rPr>
          <w:rFonts w:ascii="Times New Roman" w:hAnsi="Times New Roman" w:cs="Times New Roman"/>
        </w:rPr>
        <w:t>fraught with</w:t>
      </w:r>
      <w:r w:rsidR="00B85FA3">
        <w:rPr>
          <w:rFonts w:ascii="Times New Roman" w:hAnsi="Times New Roman" w:cs="Times New Roman"/>
        </w:rPr>
        <w:t xml:space="preserve"> low awareness, time limitations and</w:t>
      </w:r>
      <w:r w:rsidR="003F33C7">
        <w:rPr>
          <w:rFonts w:ascii="Times New Roman" w:hAnsi="Times New Roman" w:cs="Times New Roman"/>
        </w:rPr>
        <w:t xml:space="preserve"> its own </w:t>
      </w:r>
      <w:r w:rsidR="00B85FA3">
        <w:rPr>
          <w:rFonts w:ascii="Times New Roman" w:hAnsi="Times New Roman" w:cs="Times New Roman"/>
        </w:rPr>
        <w:t xml:space="preserve">administrative </w:t>
      </w:r>
      <w:r w:rsidR="003F33C7">
        <w:rPr>
          <w:rFonts w:ascii="Times New Roman" w:hAnsi="Times New Roman" w:cs="Times New Roman"/>
        </w:rPr>
        <w:t>obstacles</w:t>
      </w:r>
      <w:r w:rsidR="003F33C7" w:rsidRPr="00B85FA3">
        <w:rPr>
          <w:rFonts w:ascii="Times New Roman" w:hAnsi="Times New Roman" w:cs="Times New Roman"/>
        </w:rPr>
        <w:t>.</w:t>
      </w:r>
      <w:r w:rsidR="003F33C7" w:rsidRPr="00B85FA3">
        <w:rPr>
          <w:rStyle w:val="FootnoteReference"/>
          <w:rFonts w:ascii="Times New Roman" w:hAnsi="Times New Roman" w:cs="Times New Roman"/>
        </w:rPr>
        <w:footnoteReference w:id="79"/>
      </w:r>
      <w:r w:rsidR="003F33C7" w:rsidRPr="00B85FA3">
        <w:rPr>
          <w:rFonts w:ascii="Times New Roman" w:hAnsi="Times New Roman" w:cs="Times New Roman"/>
        </w:rPr>
        <w:t xml:space="preserve"> </w:t>
      </w:r>
      <w:r w:rsidR="005E50C4" w:rsidRPr="00B85FA3">
        <w:rPr>
          <w:rFonts w:ascii="Times New Roman" w:hAnsi="Times New Roman" w:cs="Times New Roman"/>
        </w:rPr>
        <w:t>It is</w:t>
      </w:r>
      <w:r w:rsidR="00346D2C" w:rsidRPr="00B85FA3">
        <w:rPr>
          <w:rFonts w:ascii="Times New Roman" w:hAnsi="Times New Roman" w:cs="Times New Roman"/>
        </w:rPr>
        <w:t>, therefore,</w:t>
      </w:r>
      <w:r w:rsidR="005E50C4" w:rsidRPr="00B85FA3">
        <w:rPr>
          <w:rFonts w:ascii="Times New Roman" w:hAnsi="Times New Roman" w:cs="Times New Roman"/>
        </w:rPr>
        <w:t xml:space="preserve"> </w:t>
      </w:r>
      <w:r w:rsidR="00FD3AED">
        <w:rPr>
          <w:rFonts w:ascii="Times New Roman" w:hAnsi="Times New Roman" w:cs="Times New Roman"/>
        </w:rPr>
        <w:t>only</w:t>
      </w:r>
      <w:r w:rsidR="005E50C4" w:rsidRPr="00B85FA3">
        <w:rPr>
          <w:rFonts w:ascii="Times New Roman" w:hAnsi="Times New Roman" w:cs="Times New Roman"/>
        </w:rPr>
        <w:t xml:space="preserve"> those jobseekers who can afford the extension of residence without the financial support of a host Member State who </w:t>
      </w:r>
      <w:r w:rsidR="00B85FA3" w:rsidRPr="00B85FA3">
        <w:rPr>
          <w:rFonts w:ascii="Times New Roman" w:hAnsi="Times New Roman" w:cs="Times New Roman"/>
        </w:rPr>
        <w:t>are likely to</w:t>
      </w:r>
      <w:r w:rsidR="005E50C4" w:rsidRPr="00B85FA3">
        <w:rPr>
          <w:rFonts w:ascii="Times New Roman" w:hAnsi="Times New Roman" w:cs="Times New Roman"/>
        </w:rPr>
        <w:t xml:space="preserve"> truly benefit from th</w:t>
      </w:r>
      <w:r w:rsidR="00373A67" w:rsidRPr="00B85FA3">
        <w:rPr>
          <w:rFonts w:ascii="Times New Roman" w:hAnsi="Times New Roman" w:cs="Times New Roman"/>
        </w:rPr>
        <w:t xml:space="preserve">e judgment in </w:t>
      </w:r>
      <w:r w:rsidR="00373A67" w:rsidRPr="00B85FA3">
        <w:rPr>
          <w:rFonts w:ascii="Times New Roman" w:hAnsi="Times New Roman" w:cs="Times New Roman"/>
          <w:i/>
          <w:iCs/>
        </w:rPr>
        <w:t>G. M. A.</w:t>
      </w:r>
      <w:r w:rsidR="005E50C4" w:rsidRPr="00B85FA3">
        <w:rPr>
          <w:rFonts w:ascii="Times New Roman" w:hAnsi="Times New Roman" w:cs="Times New Roman"/>
        </w:rPr>
        <w:t xml:space="preserve">. While the </w:t>
      </w:r>
      <w:r w:rsidR="00373A67" w:rsidRPr="00B85FA3">
        <w:rPr>
          <w:rFonts w:ascii="Times New Roman" w:hAnsi="Times New Roman" w:cs="Times New Roman"/>
        </w:rPr>
        <w:t xml:space="preserve">ECJ in this case </w:t>
      </w:r>
      <w:r w:rsidR="005E50C4" w:rsidRPr="00B85FA3">
        <w:rPr>
          <w:rFonts w:ascii="Times New Roman" w:hAnsi="Times New Roman" w:cs="Times New Roman"/>
        </w:rPr>
        <w:t xml:space="preserve">and </w:t>
      </w:r>
      <w:proofErr w:type="spellStart"/>
      <w:r w:rsidR="005E50C4" w:rsidRPr="00B85FA3">
        <w:rPr>
          <w:rFonts w:ascii="Times New Roman" w:hAnsi="Times New Roman" w:cs="Times New Roman"/>
          <w:i/>
          <w:iCs/>
        </w:rPr>
        <w:t>Antonissen</w:t>
      </w:r>
      <w:proofErr w:type="spellEnd"/>
      <w:r w:rsidR="005E50C4" w:rsidRPr="00B85FA3">
        <w:rPr>
          <w:rFonts w:ascii="Times New Roman" w:hAnsi="Times New Roman" w:cs="Times New Roman"/>
        </w:rPr>
        <w:t xml:space="preserve"> relied on ensuring the effectiveness of the free movement of workers and jobseekers,</w:t>
      </w:r>
      <w:r w:rsidR="005E50C4" w:rsidRPr="00B85FA3">
        <w:rPr>
          <w:rStyle w:val="FootnoteReference"/>
          <w:rFonts w:ascii="Times New Roman" w:hAnsi="Times New Roman" w:cs="Times New Roman"/>
        </w:rPr>
        <w:footnoteReference w:id="80"/>
      </w:r>
      <w:r w:rsidR="005E50C4" w:rsidRPr="00B85FA3">
        <w:rPr>
          <w:rFonts w:ascii="Times New Roman" w:hAnsi="Times New Roman" w:cs="Times New Roman"/>
        </w:rPr>
        <w:t xml:space="preserve"> it begs the question, for whom are the rules effective? </w:t>
      </w:r>
      <w:r w:rsidR="00B85FA3" w:rsidRPr="00B85FA3">
        <w:rPr>
          <w:rFonts w:ascii="Times New Roman" w:hAnsi="Times New Roman" w:cs="Times New Roman"/>
        </w:rPr>
        <w:t xml:space="preserve">For many, </w:t>
      </w:r>
      <w:r w:rsidR="00CE55EE">
        <w:rPr>
          <w:rFonts w:ascii="Times New Roman" w:hAnsi="Times New Roman" w:cs="Times New Roman"/>
        </w:rPr>
        <w:t>it</w:t>
      </w:r>
      <w:r w:rsidR="00B85FA3" w:rsidRPr="00B85FA3">
        <w:rPr>
          <w:rFonts w:ascii="Times New Roman" w:hAnsi="Times New Roman" w:cs="Times New Roman"/>
        </w:rPr>
        <w:t xml:space="preserve"> is likely </w:t>
      </w:r>
      <w:r w:rsidR="00B85FA3">
        <w:rPr>
          <w:rFonts w:ascii="Times New Roman" w:hAnsi="Times New Roman" w:cs="Times New Roman"/>
        </w:rPr>
        <w:t>that a lack of unemployment benefits will b</w:t>
      </w:r>
      <w:r w:rsidR="00B85FA3" w:rsidRPr="00B85FA3">
        <w:rPr>
          <w:rFonts w:ascii="Times New Roman" w:hAnsi="Times New Roman" w:cs="Times New Roman"/>
        </w:rPr>
        <w:t xml:space="preserve">e a barrier that is just as prohibitive to free movement than an early exposure to the ‘genuine chances of being engaged’ condition. </w:t>
      </w:r>
      <w:r w:rsidR="00D95193" w:rsidRPr="00B77C17">
        <w:rPr>
          <w:rFonts w:ascii="Times New Roman" w:hAnsi="Times New Roman" w:cs="Times New Roman"/>
        </w:rPr>
        <w:t xml:space="preserve">A limited access to financial support </w:t>
      </w:r>
      <w:r w:rsidR="00D722B3" w:rsidRPr="00B77C17">
        <w:rPr>
          <w:rFonts w:ascii="Times New Roman" w:hAnsi="Times New Roman" w:cs="Times New Roman"/>
        </w:rPr>
        <w:t>will also</w:t>
      </w:r>
      <w:r w:rsidR="00FD3AED" w:rsidRPr="00B77C17">
        <w:rPr>
          <w:rFonts w:ascii="Times New Roman" w:hAnsi="Times New Roman" w:cs="Times New Roman"/>
        </w:rPr>
        <w:t xml:space="preserve"> likely have a disproportionate impact on </w:t>
      </w:r>
      <w:r w:rsidR="00D722B3" w:rsidRPr="00B77C17">
        <w:rPr>
          <w:rFonts w:ascii="Times New Roman" w:hAnsi="Times New Roman" w:cs="Times New Roman"/>
        </w:rPr>
        <w:t xml:space="preserve">disabled </w:t>
      </w:r>
      <w:r w:rsidR="00FD3AED" w:rsidRPr="00B77C17">
        <w:rPr>
          <w:rFonts w:ascii="Times New Roman" w:hAnsi="Times New Roman" w:cs="Times New Roman"/>
        </w:rPr>
        <w:t>jobseekers</w:t>
      </w:r>
      <w:r w:rsidR="00D722B3" w:rsidRPr="00B77C17">
        <w:rPr>
          <w:rFonts w:ascii="Times New Roman" w:hAnsi="Times New Roman" w:cs="Times New Roman"/>
        </w:rPr>
        <w:t xml:space="preserve">, </w:t>
      </w:r>
      <w:proofErr w:type="spellStart"/>
      <w:r w:rsidR="00D722B3" w:rsidRPr="00B77C17">
        <w:rPr>
          <w:rFonts w:ascii="Times New Roman" w:hAnsi="Times New Roman" w:cs="Times New Roman"/>
        </w:rPr>
        <w:t>carers</w:t>
      </w:r>
      <w:proofErr w:type="spellEnd"/>
      <w:r w:rsidR="00FC2DB8" w:rsidRPr="00B77C17">
        <w:rPr>
          <w:rFonts w:ascii="Times New Roman" w:hAnsi="Times New Roman" w:cs="Times New Roman"/>
        </w:rPr>
        <w:t xml:space="preserve"> and</w:t>
      </w:r>
      <w:r w:rsidR="00D722B3" w:rsidRPr="00B77C17">
        <w:rPr>
          <w:rFonts w:ascii="Times New Roman" w:hAnsi="Times New Roman" w:cs="Times New Roman"/>
        </w:rPr>
        <w:t xml:space="preserve"> lone-parents</w:t>
      </w:r>
      <w:r w:rsidR="00D95193" w:rsidRPr="00B77C17">
        <w:rPr>
          <w:rFonts w:ascii="Times New Roman" w:hAnsi="Times New Roman" w:cs="Times New Roman"/>
        </w:rPr>
        <w:t xml:space="preserve"> as</w:t>
      </w:r>
      <w:r w:rsidR="00BC649D" w:rsidRPr="00B77C17">
        <w:rPr>
          <w:rFonts w:ascii="Times New Roman" w:hAnsi="Times New Roman" w:cs="Times New Roman"/>
        </w:rPr>
        <w:t xml:space="preserve"> minimum living costs for these groups can be higher</w:t>
      </w:r>
      <w:r w:rsidR="00FD3AED" w:rsidRPr="00B77C17">
        <w:rPr>
          <w:rFonts w:ascii="Times New Roman" w:hAnsi="Times New Roman" w:cs="Times New Roman"/>
        </w:rPr>
        <w:t>.</w:t>
      </w:r>
      <w:r w:rsidR="00B77C17" w:rsidRPr="00B77C17">
        <w:rPr>
          <w:rFonts w:ascii="Times New Roman" w:hAnsi="Times New Roman" w:cs="Times New Roman"/>
        </w:rPr>
        <w:t xml:space="preserve"> It therefore </w:t>
      </w:r>
      <w:r w:rsidR="00FD3AED" w:rsidRPr="00B77C17">
        <w:rPr>
          <w:rFonts w:ascii="Times New Roman" w:hAnsi="Times New Roman" w:cs="Times New Roman"/>
        </w:rPr>
        <w:t>risk</w:t>
      </w:r>
      <w:r w:rsidR="00B77C17" w:rsidRPr="00B77C17">
        <w:rPr>
          <w:rFonts w:ascii="Times New Roman" w:hAnsi="Times New Roman" w:cs="Times New Roman"/>
        </w:rPr>
        <w:t>s</w:t>
      </w:r>
      <w:r w:rsidR="00FD3AED" w:rsidRPr="00B77C17">
        <w:rPr>
          <w:rFonts w:ascii="Times New Roman" w:hAnsi="Times New Roman" w:cs="Times New Roman"/>
        </w:rPr>
        <w:t xml:space="preserve"> exacerbating the structural obstacles faced by</w:t>
      </w:r>
      <w:r w:rsidR="00BC649D" w:rsidRPr="00B77C17">
        <w:rPr>
          <w:rFonts w:ascii="Times New Roman" w:hAnsi="Times New Roman" w:cs="Times New Roman"/>
        </w:rPr>
        <w:t xml:space="preserve"> </w:t>
      </w:r>
      <w:r w:rsidR="00B77C17" w:rsidRPr="00B77C17">
        <w:rPr>
          <w:rFonts w:ascii="Times New Roman" w:hAnsi="Times New Roman" w:cs="Times New Roman"/>
        </w:rPr>
        <w:t>these groups</w:t>
      </w:r>
      <w:r w:rsidR="00B63A96" w:rsidRPr="00B77C17">
        <w:rPr>
          <w:rFonts w:ascii="Times New Roman" w:hAnsi="Times New Roman" w:cs="Times New Roman"/>
        </w:rPr>
        <w:t>.</w:t>
      </w:r>
      <w:r w:rsidR="00BC649D">
        <w:rPr>
          <w:rFonts w:ascii="Times New Roman" w:hAnsi="Times New Roman" w:cs="Times New Roman"/>
        </w:rPr>
        <w:t xml:space="preserve"> </w:t>
      </w:r>
      <w:r w:rsidR="005E50C4" w:rsidRPr="00B85FA3">
        <w:rPr>
          <w:rFonts w:ascii="Times New Roman" w:hAnsi="Times New Roman" w:cs="Times New Roman"/>
        </w:rPr>
        <w:t xml:space="preserve">When the ability to look for employment in another Member State may rely on having enough financial security to live without income from employment for potentially six months, it starts to look like quite an exclusive ‘right’. </w:t>
      </w:r>
    </w:p>
    <w:p w14:paraId="477CF8EB" w14:textId="7B6B9AC9" w:rsidR="001029E3" w:rsidRPr="002A68EC" w:rsidRDefault="003326B5" w:rsidP="0056184C">
      <w:pPr>
        <w:pStyle w:val="Heading2"/>
        <w:spacing w:before="0" w:after="120"/>
        <w:jc w:val="both"/>
        <w:rPr>
          <w:rFonts w:ascii="Times New Roman" w:hAnsi="Times New Roman"/>
          <w:b/>
          <w:bCs/>
          <w:color w:val="auto"/>
          <w:sz w:val="24"/>
        </w:rPr>
      </w:pPr>
      <w:r>
        <w:rPr>
          <w:rFonts w:ascii="Times New Roman" w:hAnsi="Times New Roman"/>
          <w:b/>
          <w:bCs/>
          <w:color w:val="auto"/>
          <w:sz w:val="24"/>
        </w:rPr>
        <w:t>6</w:t>
      </w:r>
      <w:r w:rsidR="00F47031" w:rsidRPr="001204A5">
        <w:rPr>
          <w:rFonts w:ascii="Times New Roman" w:hAnsi="Times New Roman"/>
          <w:b/>
          <w:bCs/>
          <w:color w:val="auto"/>
          <w:sz w:val="24"/>
        </w:rPr>
        <w:t>.</w:t>
      </w:r>
      <w:r w:rsidR="00F47031" w:rsidRPr="002A68EC">
        <w:rPr>
          <w:rFonts w:ascii="Times New Roman" w:hAnsi="Times New Roman"/>
          <w:color w:val="auto"/>
          <w:sz w:val="24"/>
        </w:rPr>
        <w:t xml:space="preserve"> </w:t>
      </w:r>
      <w:r w:rsidR="001204A5">
        <w:rPr>
          <w:rFonts w:ascii="Times New Roman" w:hAnsi="Times New Roman"/>
          <w:b/>
          <w:bCs/>
          <w:color w:val="auto"/>
          <w:sz w:val="24"/>
        </w:rPr>
        <w:t>Final Remarks</w:t>
      </w:r>
    </w:p>
    <w:p w14:paraId="53A8E352" w14:textId="3CF705C1" w:rsidR="00A20DBF" w:rsidRDefault="00FE3569" w:rsidP="0056184C">
      <w:pPr>
        <w:jc w:val="both"/>
      </w:pPr>
      <w:r w:rsidRPr="009B7515">
        <w:t>T</w:t>
      </w:r>
      <w:r w:rsidR="001929E0" w:rsidRPr="009B7515">
        <w:t xml:space="preserve">he judgment in </w:t>
      </w:r>
      <w:r w:rsidR="001929E0" w:rsidRPr="00184FFE">
        <w:rPr>
          <w:i/>
          <w:iCs/>
        </w:rPr>
        <w:t>G. M. A.</w:t>
      </w:r>
      <w:r w:rsidR="00E35866" w:rsidRPr="009B7515">
        <w:t xml:space="preserve"> </w:t>
      </w:r>
      <w:r w:rsidR="006B11FF">
        <w:t xml:space="preserve">established a clear </w:t>
      </w:r>
      <w:r w:rsidR="00DB083E">
        <w:t>timeline for the rights</w:t>
      </w:r>
      <w:r w:rsidR="006B11FF">
        <w:t xml:space="preserve"> of jobseekers and when certain conditions can be required for their lawful residence in a host Member State. </w:t>
      </w:r>
      <w:r w:rsidR="009B7515" w:rsidRPr="009B7515">
        <w:t>It smooths out where rights overlap with Article 6 Directive 2004/38,</w:t>
      </w:r>
      <w:r w:rsidR="00824FFC">
        <w:t xml:space="preserve"> establishes </w:t>
      </w:r>
      <w:r w:rsidR="009B7515" w:rsidRPr="009B7515">
        <w:t xml:space="preserve">when a reasonable </w:t>
      </w:r>
      <w:proofErr w:type="gramStart"/>
      <w:r w:rsidR="009B7515" w:rsidRPr="009B7515">
        <w:t>period</w:t>
      </w:r>
      <w:r w:rsidR="00894487">
        <w:t xml:space="preserve"> of time</w:t>
      </w:r>
      <w:proofErr w:type="gramEnd"/>
      <w:r w:rsidR="009B7515" w:rsidRPr="009B7515">
        <w:t xml:space="preserve"> for </w:t>
      </w:r>
      <w:proofErr w:type="spellStart"/>
      <w:r w:rsidR="009B7515" w:rsidRPr="009B7515">
        <w:t>jobseeking</w:t>
      </w:r>
      <w:proofErr w:type="spellEnd"/>
      <w:r w:rsidR="009B7515" w:rsidRPr="009B7515">
        <w:t xml:space="preserve"> should </w:t>
      </w:r>
      <w:r w:rsidR="00824FFC">
        <w:t xml:space="preserve">be deemed to have begun, </w:t>
      </w:r>
      <w:r w:rsidR="009B7515" w:rsidRPr="009B7515">
        <w:t xml:space="preserve">and </w:t>
      </w:r>
      <w:r w:rsidR="00824FFC">
        <w:t xml:space="preserve">indicates </w:t>
      </w:r>
      <w:r w:rsidR="009B7515" w:rsidRPr="009B7515">
        <w:t xml:space="preserve">what </w:t>
      </w:r>
      <w:r w:rsidR="00824FFC">
        <w:t>conditions of lawful residence Member States can impose upon</w:t>
      </w:r>
      <w:r w:rsidR="009B7515" w:rsidRPr="009B7515">
        <w:t xml:space="preserve"> jobseekers. </w:t>
      </w:r>
      <w:r w:rsidR="00E35866" w:rsidRPr="009B7515">
        <w:t>Perhaps most importantly, the judgment reinforced a jobseekers’</w:t>
      </w:r>
      <w:r w:rsidRPr="009B7515">
        <w:t xml:space="preserve"> ability to stay in a Member State for a </w:t>
      </w:r>
      <w:r w:rsidRPr="009B7515">
        <w:lastRenderedPageBreak/>
        <w:t xml:space="preserve">reasonable </w:t>
      </w:r>
      <w:proofErr w:type="gramStart"/>
      <w:r w:rsidRPr="009B7515">
        <w:t>period</w:t>
      </w:r>
      <w:r w:rsidR="00894487">
        <w:t xml:space="preserve"> of time</w:t>
      </w:r>
      <w:proofErr w:type="gramEnd"/>
      <w:r w:rsidRPr="009B7515">
        <w:t xml:space="preserve"> without being exposed to</w:t>
      </w:r>
      <w:r w:rsidR="00BC2D2F" w:rsidRPr="009B7515">
        <w:t xml:space="preserve"> the</w:t>
      </w:r>
      <w:r w:rsidR="00E35866" w:rsidRPr="009B7515">
        <w:t xml:space="preserve"> </w:t>
      </w:r>
      <w:r w:rsidR="00824FFC">
        <w:t>extra precarity</w:t>
      </w:r>
      <w:r w:rsidR="00824FFC" w:rsidRPr="009B7515">
        <w:t xml:space="preserve"> </w:t>
      </w:r>
      <w:r w:rsidR="00BC2D2F" w:rsidRPr="009B7515">
        <w:t xml:space="preserve">of </w:t>
      </w:r>
      <w:r w:rsidR="00E35866" w:rsidRPr="009B7515">
        <w:t xml:space="preserve">subjective </w:t>
      </w:r>
      <w:r w:rsidRPr="009B7515">
        <w:t>condition</w:t>
      </w:r>
      <w:r w:rsidR="00BC2D2F" w:rsidRPr="009B7515">
        <w:t xml:space="preserve">s </w:t>
      </w:r>
      <w:r w:rsidRPr="009B7515">
        <w:t>designed and delivered at a national level.</w:t>
      </w:r>
      <w:r w:rsidR="00BC2D2F" w:rsidRPr="009B7515">
        <w:t xml:space="preserve"> This should ensure that, at least for </w:t>
      </w:r>
      <w:r w:rsidR="00894487">
        <w:t>the ‘</w:t>
      </w:r>
      <w:r w:rsidR="00BC2D2F" w:rsidRPr="009B7515">
        <w:t xml:space="preserve">reasonable </w:t>
      </w:r>
      <w:proofErr w:type="gramStart"/>
      <w:r w:rsidR="00BC2D2F" w:rsidRPr="009B7515">
        <w:t>period</w:t>
      </w:r>
      <w:r w:rsidR="00894487">
        <w:t xml:space="preserve"> of time</w:t>
      </w:r>
      <w:proofErr w:type="gramEnd"/>
      <w:r w:rsidR="00894487">
        <w:t>’</w:t>
      </w:r>
      <w:r w:rsidR="00BC2D2F" w:rsidRPr="009B7515">
        <w:t>, jobseekers will be free to seek suitable employment</w:t>
      </w:r>
      <w:r w:rsidR="00BC2D2F">
        <w:t xml:space="preserve"> without the </w:t>
      </w:r>
      <w:r w:rsidR="009B7515">
        <w:t xml:space="preserve">burden of proving that they have a ‘genuine chance of being engaged’ or the </w:t>
      </w:r>
      <w:r w:rsidR="00BC2D2F">
        <w:t>threat of losing status as a lawful resident</w:t>
      </w:r>
      <w:r w:rsidR="009B7515">
        <w:t xml:space="preserve">. </w:t>
      </w:r>
      <w:r w:rsidR="00824FFC">
        <w:t>Beyond</w:t>
      </w:r>
      <w:r w:rsidR="009B7515">
        <w:t xml:space="preserve"> this reasonable period, </w:t>
      </w:r>
      <w:r w:rsidR="00824FFC">
        <w:t xml:space="preserve">the Court’s </w:t>
      </w:r>
      <w:r w:rsidR="009B7515">
        <w:t xml:space="preserve">guidance </w:t>
      </w:r>
      <w:r w:rsidR="00824FFC">
        <w:t xml:space="preserve">given here </w:t>
      </w:r>
      <w:r w:rsidR="009B7515">
        <w:t xml:space="preserve">on </w:t>
      </w:r>
      <w:r w:rsidR="00E15869">
        <w:t>what could be</w:t>
      </w:r>
      <w:r w:rsidR="009B7515">
        <w:t xml:space="preserve"> relevant, or irrelevant</w:t>
      </w:r>
      <w:r w:rsidR="00E15869">
        <w:t>,</w:t>
      </w:r>
      <w:r w:rsidR="009B7515">
        <w:t xml:space="preserve"> factors for an assessment of whether someone has a genuine chance of being engaged </w:t>
      </w:r>
      <w:r w:rsidR="00E15869">
        <w:t xml:space="preserve">are a helpful reminder to Member States that such a test should </w:t>
      </w:r>
      <w:r w:rsidR="008A7022">
        <w:t xml:space="preserve">not </w:t>
      </w:r>
      <w:r w:rsidR="00E15869">
        <w:t>be overly restrictive</w:t>
      </w:r>
      <w:r w:rsidR="00A20DBF">
        <w:t>.</w:t>
      </w:r>
    </w:p>
    <w:p w14:paraId="6C67701D" w14:textId="77777777" w:rsidR="00A20DBF" w:rsidRDefault="00A20DBF" w:rsidP="0056184C">
      <w:pPr>
        <w:jc w:val="both"/>
      </w:pPr>
    </w:p>
    <w:p w14:paraId="185BFDE6" w14:textId="1E00D0A9" w:rsidR="00AD60D1" w:rsidRPr="00184FFE" w:rsidRDefault="00A20DBF" w:rsidP="0056184C">
      <w:pPr>
        <w:jc w:val="both"/>
      </w:pPr>
      <w:r w:rsidRPr="003621E2">
        <w:rPr>
          <w:rFonts w:cs="Calibri"/>
          <w:lang w:val="en-US"/>
        </w:rPr>
        <w:t xml:space="preserve">Collectively, these findings will help ensure that the free movement rights of jobseekers are more effective, at least in theory. </w:t>
      </w:r>
      <w:r w:rsidR="003621E2" w:rsidRPr="003621E2">
        <w:rPr>
          <w:rFonts w:cs="Calibri"/>
          <w:lang w:val="en-US"/>
        </w:rPr>
        <w:t>Nevertheless, t</w:t>
      </w:r>
      <w:r w:rsidRPr="003621E2">
        <w:rPr>
          <w:rFonts w:cs="Calibri"/>
          <w:lang w:val="en-US"/>
        </w:rPr>
        <w:t>here are still aspects of the rules</w:t>
      </w:r>
      <w:r w:rsidR="003621E2" w:rsidRPr="003621E2">
        <w:rPr>
          <w:rFonts w:cs="Calibri"/>
          <w:lang w:val="en-US"/>
        </w:rPr>
        <w:t xml:space="preserve"> for jobseekers</w:t>
      </w:r>
      <w:r w:rsidRPr="003621E2">
        <w:rPr>
          <w:rFonts w:cs="Calibri"/>
          <w:lang w:val="en-US"/>
        </w:rPr>
        <w:t xml:space="preserve"> which remain </w:t>
      </w:r>
      <w:r w:rsidR="00D1682E" w:rsidRPr="003621E2">
        <w:rPr>
          <w:rFonts w:cs="Calibri"/>
          <w:lang w:val="en-US"/>
        </w:rPr>
        <w:t>e</w:t>
      </w:r>
      <w:r w:rsidRPr="003621E2">
        <w:rPr>
          <w:rFonts w:cs="Calibri"/>
          <w:lang w:val="en-US"/>
        </w:rPr>
        <w:t>ither unclear</w:t>
      </w:r>
      <w:r w:rsidR="00D1682E" w:rsidRPr="003621E2">
        <w:rPr>
          <w:rFonts w:cs="Calibri"/>
          <w:lang w:val="en-US"/>
        </w:rPr>
        <w:t xml:space="preserve">, such as what the </w:t>
      </w:r>
      <w:r w:rsidR="00B77C17">
        <w:rPr>
          <w:rFonts w:cs="Calibri"/>
          <w:lang w:val="en-US"/>
        </w:rPr>
        <w:t>duration of the</w:t>
      </w:r>
      <w:r w:rsidR="00D1682E" w:rsidRPr="003621E2">
        <w:rPr>
          <w:rFonts w:cs="Calibri"/>
          <w:lang w:val="en-US"/>
        </w:rPr>
        <w:t xml:space="preserve"> ‘reasonable </w:t>
      </w:r>
      <w:proofErr w:type="gramStart"/>
      <w:r w:rsidR="00D1682E" w:rsidRPr="003621E2">
        <w:rPr>
          <w:rFonts w:cs="Calibri"/>
          <w:lang w:val="en-US"/>
        </w:rPr>
        <w:t>period of time</w:t>
      </w:r>
      <w:proofErr w:type="gramEnd"/>
      <w:r w:rsidR="00D1682E" w:rsidRPr="003621E2">
        <w:rPr>
          <w:rFonts w:cs="Calibri"/>
          <w:lang w:val="en-US"/>
        </w:rPr>
        <w:t>’ should be,</w:t>
      </w:r>
      <w:r w:rsidR="003621E2" w:rsidRPr="003621E2">
        <w:rPr>
          <w:rFonts w:cs="Calibri"/>
          <w:lang w:val="en-US"/>
        </w:rPr>
        <w:t xml:space="preserve"> </w:t>
      </w:r>
      <w:r w:rsidRPr="003621E2">
        <w:rPr>
          <w:rFonts w:cs="Calibri"/>
          <w:lang w:val="en-US"/>
        </w:rPr>
        <w:t xml:space="preserve">or risk entrenching discrimination. </w:t>
      </w:r>
      <w:r w:rsidR="00D1682E" w:rsidRPr="003621E2">
        <w:rPr>
          <w:rFonts w:cs="Calibri"/>
          <w:lang w:val="en-US"/>
        </w:rPr>
        <w:t>The Court’s failure to con</w:t>
      </w:r>
      <w:r w:rsidR="00ED3B54" w:rsidRPr="003621E2">
        <w:rPr>
          <w:rFonts w:cs="Calibri"/>
          <w:lang w:val="en-US"/>
        </w:rPr>
        <w:t>s</w:t>
      </w:r>
      <w:r w:rsidR="00D1682E" w:rsidRPr="003621E2">
        <w:rPr>
          <w:rFonts w:cs="Calibri"/>
          <w:lang w:val="en-US"/>
        </w:rPr>
        <w:t>i</w:t>
      </w:r>
      <w:r w:rsidR="00ED3B54" w:rsidRPr="003621E2">
        <w:rPr>
          <w:rFonts w:cs="Calibri"/>
          <w:lang w:val="en-US"/>
        </w:rPr>
        <w:t xml:space="preserve">der </w:t>
      </w:r>
      <w:r w:rsidR="00D1682E" w:rsidRPr="003621E2">
        <w:rPr>
          <w:rFonts w:cs="Calibri"/>
          <w:lang w:val="en-US"/>
        </w:rPr>
        <w:t xml:space="preserve">the </w:t>
      </w:r>
      <w:r w:rsidR="00ED3B54" w:rsidRPr="003621E2">
        <w:rPr>
          <w:rFonts w:cs="Calibri"/>
          <w:lang w:val="en-US"/>
        </w:rPr>
        <w:t xml:space="preserve">structural barriers to the </w:t>
      </w:r>
      <w:proofErr w:type="spellStart"/>
      <w:r w:rsidR="00ED3B54" w:rsidRPr="003621E2">
        <w:rPr>
          <w:rFonts w:cs="Calibri"/>
          <w:lang w:val="en-US"/>
        </w:rPr>
        <w:t>labour</w:t>
      </w:r>
      <w:proofErr w:type="spellEnd"/>
      <w:r w:rsidR="00ED3B54" w:rsidRPr="003621E2">
        <w:rPr>
          <w:rFonts w:cs="Calibri"/>
          <w:lang w:val="en-US"/>
        </w:rPr>
        <w:t xml:space="preserve"> market and</w:t>
      </w:r>
      <w:r w:rsidR="00D1682E" w:rsidRPr="003621E2">
        <w:rPr>
          <w:rFonts w:cs="Calibri"/>
          <w:lang w:val="en-US"/>
        </w:rPr>
        <w:t xml:space="preserve">, more broadly, the impact of excluding jobseekers from social </w:t>
      </w:r>
      <w:r w:rsidR="003621E2" w:rsidRPr="003621E2">
        <w:rPr>
          <w:rFonts w:cs="Calibri"/>
          <w:lang w:val="en-US"/>
        </w:rPr>
        <w:t>assistance</w:t>
      </w:r>
      <w:r w:rsidR="00D1682E" w:rsidRPr="003621E2">
        <w:rPr>
          <w:rFonts w:cs="Calibri"/>
          <w:lang w:val="en-US"/>
        </w:rPr>
        <w:t xml:space="preserve"> </w:t>
      </w:r>
      <w:r w:rsidR="003621E2" w:rsidRPr="003621E2">
        <w:rPr>
          <w:rFonts w:cs="Calibri"/>
          <w:lang w:val="en-US"/>
        </w:rPr>
        <w:t xml:space="preserve">limits the effectiveness of these free movement rules significantly for EU citizens who already experience discrimination or simply cannot afford the ‘price’ of moving as a jobseeker. </w:t>
      </w:r>
      <w:r w:rsidR="003C68DF" w:rsidRPr="003621E2">
        <w:t xml:space="preserve">The judgment in </w:t>
      </w:r>
      <w:r w:rsidR="003C68DF" w:rsidRPr="003621E2">
        <w:rPr>
          <w:i/>
          <w:iCs/>
        </w:rPr>
        <w:t>G. M. A.</w:t>
      </w:r>
      <w:r w:rsidR="003C68DF" w:rsidRPr="003621E2">
        <w:t xml:space="preserve"> appears to only add weight to </w:t>
      </w:r>
      <w:r w:rsidR="00397EE9">
        <w:t xml:space="preserve">the argument that </w:t>
      </w:r>
      <w:r w:rsidR="007C444A">
        <w:t xml:space="preserve">the entitlements of jobseekers, or lack of, reflect the duplicitous or misleading nature of the status. </w:t>
      </w:r>
      <w:r w:rsidR="00BE46D1" w:rsidRPr="003621E2">
        <w:t xml:space="preserve">It bolsters the </w:t>
      </w:r>
      <w:r w:rsidR="00751310" w:rsidRPr="003621E2">
        <w:t xml:space="preserve">theoretical </w:t>
      </w:r>
      <w:r w:rsidR="00BE46D1" w:rsidRPr="003621E2">
        <w:t xml:space="preserve">reward for ambitious would-be market citizens but does nothing about the price </w:t>
      </w:r>
      <w:r w:rsidR="002F772F" w:rsidRPr="003621E2">
        <w:t>affixed to</w:t>
      </w:r>
      <w:r w:rsidR="00BE46D1" w:rsidRPr="003621E2">
        <w:t xml:space="preserve"> these rights.</w:t>
      </w:r>
      <w:r w:rsidR="003621E2" w:rsidRPr="003621E2">
        <w:t xml:space="preserve"> </w:t>
      </w:r>
      <w:r w:rsidR="00824FFC" w:rsidRPr="003621E2">
        <w:t>J</w:t>
      </w:r>
      <w:r w:rsidR="001929E0" w:rsidRPr="003621E2">
        <w:t xml:space="preserve">obseekers’ free movement remains </w:t>
      </w:r>
      <w:r w:rsidR="00824FFC" w:rsidRPr="003621E2">
        <w:t>a</w:t>
      </w:r>
      <w:r w:rsidR="001929E0" w:rsidRPr="003621E2">
        <w:t xml:space="preserve"> tolerated</w:t>
      </w:r>
      <w:r w:rsidR="00824FFC" w:rsidRPr="003621E2">
        <w:t xml:space="preserve"> privilege</w:t>
      </w:r>
      <w:r w:rsidR="001C0AAC" w:rsidRPr="003621E2">
        <w:t>,</w:t>
      </w:r>
      <w:r w:rsidR="001929E0" w:rsidRPr="003621E2">
        <w:t xml:space="preserve"> rather than </w:t>
      </w:r>
      <w:r w:rsidR="00824FFC" w:rsidRPr="003621E2">
        <w:t xml:space="preserve">a </w:t>
      </w:r>
      <w:r w:rsidR="001C0AAC" w:rsidRPr="003621E2">
        <w:t>welcomed</w:t>
      </w:r>
      <w:r w:rsidR="00824FFC" w:rsidRPr="003621E2">
        <w:t xml:space="preserve"> right</w:t>
      </w:r>
      <w:r w:rsidR="001929E0" w:rsidRPr="003621E2">
        <w:t>.</w:t>
      </w:r>
    </w:p>
    <w:p w14:paraId="4D01D5A0" w14:textId="77777777" w:rsidR="00AD60D1" w:rsidRDefault="00AD60D1" w:rsidP="0056184C">
      <w:pPr>
        <w:shd w:val="clear" w:color="auto" w:fill="FFFFFF"/>
        <w:spacing w:after="120"/>
        <w:ind w:right="-52"/>
        <w:jc w:val="both"/>
        <w:rPr>
          <w:rFonts w:cs="Calibri"/>
          <w:lang w:val="en-US"/>
        </w:rPr>
      </w:pPr>
    </w:p>
    <w:p w14:paraId="0AE076E6" w14:textId="3D92A9DC" w:rsidR="000015A7" w:rsidRPr="004C0643" w:rsidRDefault="001204A5" w:rsidP="00B77745">
      <w:pPr>
        <w:shd w:val="clear" w:color="auto" w:fill="FFFFFF"/>
        <w:spacing w:after="120"/>
        <w:ind w:right="-52"/>
        <w:jc w:val="right"/>
        <w:rPr>
          <w:rFonts w:cs="Calibri"/>
        </w:rPr>
      </w:pPr>
      <w:r>
        <w:rPr>
          <w:rFonts w:cs="Calibri"/>
          <w:lang w:val="en-US"/>
        </w:rPr>
        <w:t>Alice Welsh</w:t>
      </w:r>
      <w:r w:rsidR="00B56EED">
        <w:rPr>
          <w:rStyle w:val="FootnoteReference"/>
          <w:rFonts w:cs="Calibri"/>
          <w:lang w:val="en-US"/>
        </w:rPr>
        <w:footnoteReference w:customMarkFollows="1" w:id="81"/>
        <w:t>*</w:t>
      </w:r>
    </w:p>
    <w:sectPr w:rsidR="000015A7" w:rsidRPr="004C0643" w:rsidSect="00A476CD">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E2CB" w14:textId="77777777" w:rsidR="00525F75" w:rsidRDefault="00525F75" w:rsidP="00430BB7">
      <w:r>
        <w:separator/>
      </w:r>
    </w:p>
  </w:endnote>
  <w:endnote w:type="continuationSeparator" w:id="0">
    <w:p w14:paraId="013D35B5" w14:textId="77777777" w:rsidR="00525F75" w:rsidRDefault="00525F75" w:rsidP="0043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5932284"/>
      <w:docPartObj>
        <w:docPartGallery w:val="Page Numbers (Bottom of Page)"/>
        <w:docPartUnique/>
      </w:docPartObj>
    </w:sdtPr>
    <w:sdtEndPr>
      <w:rPr>
        <w:rStyle w:val="PageNumber"/>
      </w:rPr>
    </w:sdtEndPr>
    <w:sdtContent>
      <w:p w14:paraId="003858A2" w14:textId="63859EEB" w:rsidR="006B11FF" w:rsidRDefault="006B11FF" w:rsidP="006F69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38A2B" w14:textId="77777777" w:rsidR="006B11FF" w:rsidRDefault="006B11FF" w:rsidP="00CD75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6578460"/>
      <w:docPartObj>
        <w:docPartGallery w:val="Page Numbers (Bottom of Page)"/>
        <w:docPartUnique/>
      </w:docPartObj>
    </w:sdtPr>
    <w:sdtEndPr>
      <w:rPr>
        <w:rStyle w:val="PageNumber"/>
      </w:rPr>
    </w:sdtEndPr>
    <w:sdtContent>
      <w:p w14:paraId="0C9D59B4" w14:textId="7A0D11EB" w:rsidR="006B11FF" w:rsidRDefault="006B11FF" w:rsidP="006F69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F1858D" w14:textId="59900AA7" w:rsidR="006B11FF" w:rsidRDefault="006B11FF" w:rsidP="00CD75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BB52C" w14:textId="77777777" w:rsidR="00525F75" w:rsidRDefault="00525F75" w:rsidP="00430BB7">
      <w:r>
        <w:separator/>
      </w:r>
    </w:p>
  </w:footnote>
  <w:footnote w:type="continuationSeparator" w:id="0">
    <w:p w14:paraId="5C8C3B07" w14:textId="77777777" w:rsidR="00525F75" w:rsidRDefault="00525F75" w:rsidP="00430BB7">
      <w:r>
        <w:continuationSeparator/>
      </w:r>
    </w:p>
  </w:footnote>
  <w:footnote w:id="1">
    <w:p w14:paraId="4166F912" w14:textId="71B4F1C1" w:rsidR="006B11FF" w:rsidRDefault="006B11FF">
      <w:pPr>
        <w:pStyle w:val="FootnoteText"/>
      </w:pPr>
      <w:r>
        <w:rPr>
          <w:rStyle w:val="FootnoteReference"/>
        </w:rPr>
        <w:footnoteRef/>
      </w:r>
      <w:r>
        <w:t xml:space="preserve"> </w:t>
      </w:r>
      <w:proofErr w:type="spellStart"/>
      <w:r w:rsidRPr="00401AC9">
        <w:t>Verschueren</w:t>
      </w:r>
      <w:proofErr w:type="spellEnd"/>
      <w:r>
        <w:t>, ‘</w:t>
      </w:r>
      <w:r w:rsidRPr="006F5F4D">
        <w:t>Being Economically Active: How it Still Matters</w:t>
      </w:r>
      <w:r>
        <w:t>’</w:t>
      </w:r>
      <w:r w:rsidRPr="006F5F4D">
        <w:t xml:space="preserve"> </w:t>
      </w:r>
      <w:r>
        <w:t xml:space="preserve">in </w:t>
      </w:r>
      <w:proofErr w:type="spellStart"/>
      <w:r w:rsidRPr="00401AC9">
        <w:t>Verschueren</w:t>
      </w:r>
      <w:proofErr w:type="spellEnd"/>
      <w:r w:rsidRPr="00401AC9">
        <w:t xml:space="preserve"> (</w:t>
      </w:r>
      <w:r>
        <w:t>E</w:t>
      </w:r>
      <w:r w:rsidRPr="00401AC9">
        <w:t xml:space="preserve">d.) </w:t>
      </w:r>
      <w:r w:rsidRPr="006F5F4D">
        <w:rPr>
          <w:i/>
          <w:iCs/>
        </w:rPr>
        <w:t>Residence, Employment and Social Rights of Mobile Persons: On how EU Law defines where they belong</w:t>
      </w:r>
      <w:r w:rsidRPr="00401AC9">
        <w:t xml:space="preserve"> (</w:t>
      </w:r>
      <w:proofErr w:type="spellStart"/>
      <w:r w:rsidRPr="00401AC9">
        <w:t>Intersentia</w:t>
      </w:r>
      <w:proofErr w:type="spellEnd"/>
      <w:r w:rsidRPr="00401AC9">
        <w:t>, 2016)</w:t>
      </w:r>
      <w:r>
        <w:t xml:space="preserve"> p. 187.</w:t>
      </w:r>
    </w:p>
  </w:footnote>
  <w:footnote w:id="2">
    <w:p w14:paraId="7B0176E0" w14:textId="6D9D7C65" w:rsidR="006B11FF" w:rsidRDefault="006B11FF" w:rsidP="00E415CF">
      <w:pPr>
        <w:pStyle w:val="FootnoteText"/>
      </w:pPr>
      <w:r>
        <w:rPr>
          <w:rStyle w:val="FootnoteReference"/>
        </w:rPr>
        <w:footnoteRef/>
      </w:r>
      <w:r>
        <w:t xml:space="preserve"> Opinion of AG </w:t>
      </w:r>
      <w:proofErr w:type="spellStart"/>
      <w:r>
        <w:t>Colomer</w:t>
      </w:r>
      <w:proofErr w:type="spellEnd"/>
      <w:r>
        <w:t>, Case C-22/08 and C-23/08,</w:t>
      </w:r>
      <w:r w:rsidRPr="00F10750">
        <w:t xml:space="preserve"> </w:t>
      </w:r>
      <w:proofErr w:type="spellStart"/>
      <w:r w:rsidRPr="00F10750">
        <w:rPr>
          <w:i/>
          <w:iCs/>
        </w:rPr>
        <w:t>Vatsouras</w:t>
      </w:r>
      <w:proofErr w:type="spellEnd"/>
      <w:r w:rsidRPr="00F10750">
        <w:rPr>
          <w:i/>
          <w:iCs/>
        </w:rPr>
        <w:t xml:space="preserve"> and </w:t>
      </w:r>
      <w:proofErr w:type="spellStart"/>
      <w:r w:rsidRPr="00F10750">
        <w:rPr>
          <w:i/>
          <w:iCs/>
        </w:rPr>
        <w:t>Koupatantze</w:t>
      </w:r>
      <w:proofErr w:type="spellEnd"/>
      <w:r>
        <w:t xml:space="preserve">, </w:t>
      </w:r>
      <w:r w:rsidRPr="00F10750">
        <w:t>EU:C:2009:150</w:t>
      </w:r>
      <w:r>
        <w:t>, para 55.</w:t>
      </w:r>
    </w:p>
  </w:footnote>
  <w:footnote w:id="3">
    <w:p w14:paraId="0A0851C3" w14:textId="1842FB4F" w:rsidR="006B11FF" w:rsidRDefault="006B11FF">
      <w:pPr>
        <w:pStyle w:val="FootnoteText"/>
      </w:pPr>
      <w:r>
        <w:rPr>
          <w:rStyle w:val="FootnoteReference"/>
        </w:rPr>
        <w:footnoteRef/>
      </w:r>
      <w:r>
        <w:t xml:space="preserve"> </w:t>
      </w:r>
      <w:r w:rsidRPr="00D22CF0">
        <w:t xml:space="preserve">Case C-292/89, </w:t>
      </w:r>
      <w:proofErr w:type="spellStart"/>
      <w:r w:rsidRPr="00D22CF0">
        <w:rPr>
          <w:i/>
          <w:iCs/>
        </w:rPr>
        <w:t>Antonissen</w:t>
      </w:r>
      <w:proofErr w:type="spellEnd"/>
      <w:r w:rsidRPr="00D22CF0">
        <w:t>, EU:C:1991:80</w:t>
      </w:r>
      <w:r>
        <w:t>.</w:t>
      </w:r>
    </w:p>
  </w:footnote>
  <w:footnote w:id="4">
    <w:p w14:paraId="577FD499" w14:textId="5D5F4455" w:rsidR="00911F12" w:rsidRDefault="00911F12">
      <w:pPr>
        <w:pStyle w:val="FootnoteText"/>
      </w:pPr>
      <w:r>
        <w:rPr>
          <w:rStyle w:val="FootnoteReference"/>
        </w:rPr>
        <w:footnoteRef/>
      </w:r>
      <w:r>
        <w:t xml:space="preserve"> Case C-67/14, </w:t>
      </w:r>
      <w:proofErr w:type="spellStart"/>
      <w:r>
        <w:rPr>
          <w:i/>
          <w:iCs/>
        </w:rPr>
        <w:t>Jobcenter</w:t>
      </w:r>
      <w:proofErr w:type="spellEnd"/>
      <w:r>
        <w:rPr>
          <w:i/>
          <w:iCs/>
        </w:rPr>
        <w:t xml:space="preserve"> Berlin </w:t>
      </w:r>
      <w:proofErr w:type="spellStart"/>
      <w:r>
        <w:rPr>
          <w:i/>
          <w:iCs/>
        </w:rPr>
        <w:t>Neukölln</w:t>
      </w:r>
      <w:proofErr w:type="spellEnd"/>
      <w:r>
        <w:rPr>
          <w:i/>
          <w:iCs/>
        </w:rPr>
        <w:t xml:space="preserve"> v </w:t>
      </w:r>
      <w:proofErr w:type="spellStart"/>
      <w:r>
        <w:rPr>
          <w:i/>
          <w:iCs/>
        </w:rPr>
        <w:t>Alimanovic</w:t>
      </w:r>
      <w:proofErr w:type="spellEnd"/>
      <w:r>
        <w:rPr>
          <w:i/>
          <w:iCs/>
        </w:rPr>
        <w:t xml:space="preserve">, </w:t>
      </w:r>
      <w:r>
        <w:t>EU:C:2015:597</w:t>
      </w:r>
      <w:r w:rsidR="00AF522A">
        <w:t>, para 52</w:t>
      </w:r>
      <w:r>
        <w:t xml:space="preserve">.  </w:t>
      </w:r>
    </w:p>
  </w:footnote>
  <w:footnote w:id="5">
    <w:p w14:paraId="4F52ADEB" w14:textId="44A2DAC7" w:rsidR="006B11FF" w:rsidRDefault="006B11FF">
      <w:pPr>
        <w:pStyle w:val="FootnoteText"/>
      </w:pPr>
      <w:r>
        <w:rPr>
          <w:rStyle w:val="FootnoteReference"/>
        </w:rPr>
        <w:footnoteRef/>
      </w:r>
      <w:r>
        <w:t xml:space="preserve"> </w:t>
      </w:r>
      <w:r w:rsidR="00956DDC" w:rsidRPr="00D22CF0">
        <w:t xml:space="preserve">Case C-292/89, </w:t>
      </w:r>
      <w:proofErr w:type="spellStart"/>
      <w:r w:rsidR="00956DDC" w:rsidRPr="00D22CF0">
        <w:rPr>
          <w:i/>
          <w:iCs/>
        </w:rPr>
        <w:t>Antonissen</w:t>
      </w:r>
      <w:proofErr w:type="spellEnd"/>
      <w:r w:rsidR="00956DDC">
        <w:t>.</w:t>
      </w:r>
    </w:p>
  </w:footnote>
  <w:footnote w:id="6">
    <w:p w14:paraId="7D347FF8" w14:textId="2D1A540B" w:rsidR="006B11FF" w:rsidRDefault="006B11FF">
      <w:pPr>
        <w:pStyle w:val="FootnoteText"/>
      </w:pPr>
      <w:r>
        <w:rPr>
          <w:rStyle w:val="FootnoteReference"/>
        </w:rPr>
        <w:footnoteRef/>
      </w:r>
      <w:r>
        <w:t xml:space="preserve"> O’Brien, </w:t>
      </w:r>
      <w:proofErr w:type="spellStart"/>
      <w:r>
        <w:t>Spaventa</w:t>
      </w:r>
      <w:proofErr w:type="spellEnd"/>
      <w:r>
        <w:t xml:space="preserve">, and De </w:t>
      </w:r>
      <w:proofErr w:type="spellStart"/>
      <w:r>
        <w:t>Coninck</w:t>
      </w:r>
      <w:proofErr w:type="spellEnd"/>
      <w:r>
        <w:t>, ‘Comparative Report 2015: The concept of worker under Article 45 TFEU and certain non-standard forms of employment’ (</w:t>
      </w:r>
      <w:proofErr w:type="spellStart"/>
      <w:r>
        <w:t>FreSsco</w:t>
      </w:r>
      <w:proofErr w:type="spellEnd"/>
      <w:r>
        <w:t>, European Commission, 2016) pp. 31-33.</w:t>
      </w:r>
    </w:p>
  </w:footnote>
  <w:footnote w:id="7">
    <w:p w14:paraId="120318CE" w14:textId="77777777" w:rsidR="00BA3AA8" w:rsidRDefault="00BA3AA8" w:rsidP="00BA3AA8">
      <w:pPr>
        <w:pStyle w:val="FootnoteText"/>
      </w:pPr>
      <w:r>
        <w:rPr>
          <w:rStyle w:val="FootnoteReference"/>
        </w:rPr>
        <w:footnoteRef/>
      </w:r>
      <w:r>
        <w:t xml:space="preserve"> Case </w:t>
      </w:r>
      <w:r w:rsidRPr="008641E2">
        <w:t>C-138/02</w:t>
      </w:r>
      <w:r>
        <w:t xml:space="preserve">, </w:t>
      </w:r>
      <w:r w:rsidRPr="008641E2">
        <w:rPr>
          <w:i/>
          <w:iCs/>
        </w:rPr>
        <w:t>Collins</w:t>
      </w:r>
      <w:r w:rsidRPr="008641E2">
        <w:t>, EU:C:2004:172.</w:t>
      </w:r>
    </w:p>
  </w:footnote>
  <w:footnote w:id="8">
    <w:p w14:paraId="1BDB44C5" w14:textId="77777777" w:rsidR="00BA3AA8" w:rsidRDefault="00BA3AA8" w:rsidP="00BA3AA8">
      <w:pPr>
        <w:pStyle w:val="FootnoteText"/>
      </w:pPr>
      <w:r>
        <w:rPr>
          <w:rStyle w:val="FootnoteReference"/>
        </w:rPr>
        <w:footnoteRef/>
      </w:r>
      <w:r>
        <w:t xml:space="preserve"> Case C-22/08 and C-23/08,</w:t>
      </w:r>
      <w:r w:rsidRPr="00236E59">
        <w:t xml:space="preserve"> </w:t>
      </w:r>
      <w:proofErr w:type="spellStart"/>
      <w:r w:rsidRPr="00236E59">
        <w:rPr>
          <w:i/>
          <w:iCs/>
        </w:rPr>
        <w:t>Vatsouras</w:t>
      </w:r>
      <w:proofErr w:type="spellEnd"/>
      <w:r w:rsidRPr="00236E59">
        <w:rPr>
          <w:i/>
          <w:iCs/>
        </w:rPr>
        <w:t xml:space="preserve"> and </w:t>
      </w:r>
      <w:proofErr w:type="spellStart"/>
      <w:r w:rsidRPr="00236E59">
        <w:rPr>
          <w:i/>
          <w:iCs/>
        </w:rPr>
        <w:t>Koupatantze</w:t>
      </w:r>
      <w:proofErr w:type="spellEnd"/>
      <w:r>
        <w:rPr>
          <w:i/>
          <w:iCs/>
        </w:rPr>
        <w:t>,</w:t>
      </w:r>
      <w:r w:rsidRPr="00236E59">
        <w:t xml:space="preserve"> EU:C:2009:344, para</w:t>
      </w:r>
      <w:r>
        <w:t>.</w:t>
      </w:r>
      <w:r w:rsidRPr="00236E59">
        <w:t xml:space="preserve"> 37.</w:t>
      </w:r>
    </w:p>
  </w:footnote>
  <w:footnote w:id="9">
    <w:p w14:paraId="45E9FA4E" w14:textId="700CDCAF" w:rsidR="00BA3AA8" w:rsidRPr="00911F12" w:rsidRDefault="00BA3AA8" w:rsidP="00BA3AA8">
      <w:pPr>
        <w:pStyle w:val="FootnoteText"/>
      </w:pPr>
      <w:r>
        <w:rPr>
          <w:rStyle w:val="FootnoteReference"/>
        </w:rPr>
        <w:footnoteRef/>
      </w:r>
      <w:r>
        <w:t xml:space="preserve"> Case C-67/14,</w:t>
      </w:r>
      <w:r w:rsidR="00911F12">
        <w:t xml:space="preserve"> </w:t>
      </w:r>
      <w:proofErr w:type="spellStart"/>
      <w:r>
        <w:rPr>
          <w:i/>
          <w:iCs/>
        </w:rPr>
        <w:t>Alimanovic</w:t>
      </w:r>
      <w:proofErr w:type="spellEnd"/>
      <w:r w:rsidR="00911F12">
        <w:t>.</w:t>
      </w:r>
    </w:p>
  </w:footnote>
  <w:footnote w:id="10">
    <w:p w14:paraId="3C3459C7" w14:textId="77777777" w:rsidR="00BA3AA8" w:rsidRDefault="00BA3AA8" w:rsidP="00BA3AA8">
      <w:pPr>
        <w:pStyle w:val="FootnoteText"/>
      </w:pPr>
      <w:r>
        <w:rPr>
          <w:rStyle w:val="FootnoteReference"/>
        </w:rPr>
        <w:footnoteRef/>
      </w:r>
      <w:r>
        <w:t xml:space="preserve"> Directive 2004/38/EC of the European Parliament and of the Council of 29 April 2004 on the right of citizens of the Union and their family members to move and reside freely within the territory of the Member States, O.J. 2004, L 158/77–123, (Directive 2004/38), Art 24(2).  </w:t>
      </w:r>
    </w:p>
  </w:footnote>
  <w:footnote w:id="11">
    <w:p w14:paraId="037F55F2" w14:textId="25F1111D" w:rsidR="006B11FF" w:rsidRDefault="006B11FF">
      <w:pPr>
        <w:pStyle w:val="FootnoteText"/>
      </w:pPr>
      <w:r>
        <w:rPr>
          <w:rStyle w:val="FootnoteReference"/>
        </w:rPr>
        <w:footnoteRef/>
      </w:r>
      <w:r>
        <w:t xml:space="preserve"> </w:t>
      </w:r>
      <w:r w:rsidRPr="00D22CF0">
        <w:t xml:space="preserve">Case C-292/89, </w:t>
      </w:r>
      <w:proofErr w:type="spellStart"/>
      <w:r w:rsidRPr="00D22CF0">
        <w:rPr>
          <w:i/>
          <w:iCs/>
        </w:rPr>
        <w:t>Antonissen</w:t>
      </w:r>
      <w:proofErr w:type="spellEnd"/>
      <w:r>
        <w:t>.</w:t>
      </w:r>
    </w:p>
  </w:footnote>
  <w:footnote w:id="12">
    <w:p w14:paraId="14BA131B" w14:textId="6EBAFC28" w:rsidR="007E69EB" w:rsidRDefault="007E69EB" w:rsidP="007E69EB">
      <w:pPr>
        <w:pStyle w:val="FootnoteText"/>
      </w:pPr>
      <w:r>
        <w:rPr>
          <w:rStyle w:val="FootnoteReference"/>
        </w:rPr>
        <w:footnoteRef/>
      </w:r>
      <w:r>
        <w:t xml:space="preserve"> This issue has been put to the UK Upper Tribunal in </w:t>
      </w:r>
      <w:r w:rsidRPr="006D3CA6">
        <w:rPr>
          <w:i/>
          <w:iCs/>
        </w:rPr>
        <w:t>OS v S</w:t>
      </w:r>
      <w:r>
        <w:rPr>
          <w:i/>
          <w:iCs/>
        </w:rPr>
        <w:t xml:space="preserve">ecretary of </w:t>
      </w:r>
      <w:r w:rsidRPr="006D3CA6">
        <w:rPr>
          <w:i/>
          <w:iCs/>
        </w:rPr>
        <w:t>S</w:t>
      </w:r>
      <w:r>
        <w:rPr>
          <w:i/>
          <w:iCs/>
        </w:rPr>
        <w:t xml:space="preserve">tate for </w:t>
      </w:r>
      <w:r w:rsidRPr="006D3CA6">
        <w:rPr>
          <w:i/>
          <w:iCs/>
        </w:rPr>
        <w:t>W</w:t>
      </w:r>
      <w:r>
        <w:rPr>
          <w:i/>
          <w:iCs/>
        </w:rPr>
        <w:t xml:space="preserve">ork and </w:t>
      </w:r>
      <w:r w:rsidRPr="006D3CA6">
        <w:rPr>
          <w:i/>
          <w:iCs/>
        </w:rPr>
        <w:t>P</w:t>
      </w:r>
      <w:r>
        <w:rPr>
          <w:i/>
          <w:iCs/>
        </w:rPr>
        <w:t>ensions</w:t>
      </w:r>
      <w:r>
        <w:t xml:space="preserve"> (JSA) [2017] UKUT 107 (AAC), para. 7. The Upper Tribunal found that ‘a genuine chance of being engaged can be evidenced from the furtherance of the claimant’s qualifications and by the job offer which she received just 6 weeks after the date of the DWP’s decision.’. However, this decision was based on UK law and made no reference to any relevant EU provisions on the matter. </w:t>
      </w:r>
    </w:p>
  </w:footnote>
  <w:footnote w:id="13">
    <w:p w14:paraId="4BC4816D" w14:textId="77777777" w:rsidR="006B11FF" w:rsidRDefault="006B11FF" w:rsidP="00BC247D">
      <w:pPr>
        <w:pStyle w:val="FootnoteText"/>
      </w:pPr>
      <w:r>
        <w:rPr>
          <w:rStyle w:val="FootnoteReference"/>
        </w:rPr>
        <w:footnoteRef/>
      </w:r>
      <w:r>
        <w:t xml:space="preserve"> Directive 2004/38, Art. 16. </w:t>
      </w:r>
    </w:p>
  </w:footnote>
  <w:footnote w:id="14">
    <w:p w14:paraId="046D6245" w14:textId="77777777" w:rsidR="003326B5" w:rsidRDefault="003326B5" w:rsidP="003326B5">
      <w:pPr>
        <w:pStyle w:val="FootnoteText"/>
      </w:pPr>
      <w:r>
        <w:rPr>
          <w:rStyle w:val="FootnoteReference"/>
        </w:rPr>
        <w:footnoteRef/>
      </w:r>
      <w:r>
        <w:t xml:space="preserve"> Case C-48/75, </w:t>
      </w:r>
      <w:r w:rsidRPr="002A5D03">
        <w:rPr>
          <w:i/>
          <w:iCs/>
        </w:rPr>
        <w:t>Royer</w:t>
      </w:r>
      <w:r>
        <w:t xml:space="preserve">, </w:t>
      </w:r>
      <w:r w:rsidRPr="002A5D03">
        <w:t>EU:C:1976:57</w:t>
      </w:r>
      <w:r>
        <w:t xml:space="preserve">, </w:t>
      </w:r>
      <w:r w:rsidRPr="00D22CF0">
        <w:t xml:space="preserve">Case C-292/89, </w:t>
      </w:r>
      <w:proofErr w:type="spellStart"/>
      <w:r w:rsidRPr="00D22CF0">
        <w:rPr>
          <w:i/>
          <w:iCs/>
        </w:rPr>
        <w:t>Antonissen</w:t>
      </w:r>
      <w:proofErr w:type="spellEnd"/>
      <w:r>
        <w:t>.</w:t>
      </w:r>
      <w:r w:rsidRPr="00B712A6">
        <w:t xml:space="preserve"> </w:t>
      </w:r>
      <w:r>
        <w:t>Case C-344/</w:t>
      </w:r>
      <w:r w:rsidRPr="0012088C">
        <w:t xml:space="preserve">95, </w:t>
      </w:r>
      <w:r w:rsidRPr="0012088C">
        <w:rPr>
          <w:i/>
          <w:iCs/>
          <w:szCs w:val="22"/>
        </w:rPr>
        <w:t>Commission v Belgium</w:t>
      </w:r>
      <w:r w:rsidRPr="0012088C">
        <w:rPr>
          <w:szCs w:val="22"/>
        </w:rPr>
        <w:t>, EU</w:t>
      </w:r>
      <w:r w:rsidRPr="00A1043F">
        <w:rPr>
          <w:szCs w:val="22"/>
        </w:rPr>
        <w:t>:C:1997:81</w:t>
      </w:r>
      <w:r>
        <w:rPr>
          <w:szCs w:val="22"/>
        </w:rPr>
        <w:t xml:space="preserve">. </w:t>
      </w:r>
    </w:p>
  </w:footnote>
  <w:footnote w:id="15">
    <w:p w14:paraId="735FB65F" w14:textId="77777777" w:rsidR="003326B5" w:rsidRDefault="003326B5" w:rsidP="003326B5">
      <w:pPr>
        <w:pStyle w:val="FootnoteText"/>
      </w:pPr>
      <w:r>
        <w:rPr>
          <w:rStyle w:val="FootnoteReference"/>
        </w:rPr>
        <w:footnoteRef/>
      </w:r>
      <w:r>
        <w:t xml:space="preserve"> Case C-48/75, </w:t>
      </w:r>
      <w:r w:rsidRPr="002A5D03">
        <w:rPr>
          <w:i/>
          <w:iCs/>
        </w:rPr>
        <w:t>Royer</w:t>
      </w:r>
      <w:r>
        <w:t xml:space="preserve">, para 31. </w:t>
      </w:r>
    </w:p>
  </w:footnote>
  <w:footnote w:id="16">
    <w:p w14:paraId="39E45B64" w14:textId="77777777" w:rsidR="003326B5" w:rsidRDefault="003326B5" w:rsidP="003326B5">
      <w:pPr>
        <w:pStyle w:val="FootnoteText"/>
      </w:pPr>
      <w:r>
        <w:rPr>
          <w:rStyle w:val="FootnoteReference"/>
        </w:rPr>
        <w:footnoteRef/>
      </w:r>
      <w:r>
        <w:t xml:space="preserve"> </w:t>
      </w:r>
      <w:r w:rsidRPr="00D22CF0">
        <w:t xml:space="preserve">Case C-292/89, </w:t>
      </w:r>
      <w:proofErr w:type="spellStart"/>
      <w:r w:rsidRPr="00D22CF0">
        <w:rPr>
          <w:i/>
          <w:iCs/>
        </w:rPr>
        <w:t>Antonissen</w:t>
      </w:r>
      <w:proofErr w:type="spellEnd"/>
      <w:r w:rsidRPr="00D22CF0">
        <w:t xml:space="preserve">, </w:t>
      </w:r>
      <w:r>
        <w:t>paras. 11-12.</w:t>
      </w:r>
    </w:p>
  </w:footnote>
  <w:footnote w:id="17">
    <w:p w14:paraId="0892CEFE" w14:textId="77777777" w:rsidR="003326B5" w:rsidRPr="00A1043F" w:rsidRDefault="003326B5" w:rsidP="003326B5">
      <w:pPr>
        <w:pStyle w:val="FootnoteText"/>
      </w:pPr>
      <w:r>
        <w:rPr>
          <w:rStyle w:val="FootnoteReference"/>
        </w:rPr>
        <w:footnoteRef/>
      </w:r>
      <w:r>
        <w:t xml:space="preserve"> ibid.</w:t>
      </w:r>
      <w:r w:rsidRPr="00D22CF0">
        <w:t xml:space="preserve">, </w:t>
      </w:r>
      <w:r>
        <w:t>para. 20, affirmed after the introduction of EU Citizenship in Case C-344/</w:t>
      </w:r>
      <w:r w:rsidRPr="0012088C">
        <w:t xml:space="preserve">95, </w:t>
      </w:r>
      <w:r w:rsidRPr="0012088C">
        <w:rPr>
          <w:i/>
          <w:iCs/>
          <w:szCs w:val="22"/>
        </w:rPr>
        <w:t>Commission v Belgium</w:t>
      </w:r>
      <w:r>
        <w:rPr>
          <w:szCs w:val="22"/>
        </w:rPr>
        <w:t>.</w:t>
      </w:r>
    </w:p>
  </w:footnote>
  <w:footnote w:id="18">
    <w:p w14:paraId="031B9A94" w14:textId="77777777" w:rsidR="003326B5" w:rsidRDefault="003326B5" w:rsidP="003326B5">
      <w:pPr>
        <w:pStyle w:val="FootnoteText"/>
      </w:pPr>
      <w:r>
        <w:rPr>
          <w:rStyle w:val="FootnoteReference"/>
        </w:rPr>
        <w:footnoteRef/>
      </w:r>
      <w:r>
        <w:t xml:space="preserve"> </w:t>
      </w:r>
      <w:r w:rsidRPr="00D22CF0">
        <w:t xml:space="preserve">Case C-292/89, </w:t>
      </w:r>
      <w:proofErr w:type="spellStart"/>
      <w:r w:rsidRPr="00D22CF0">
        <w:rPr>
          <w:i/>
          <w:iCs/>
        </w:rPr>
        <w:t>Antonissen</w:t>
      </w:r>
      <w:proofErr w:type="spellEnd"/>
      <w:r>
        <w:t>, para. 16.</w:t>
      </w:r>
    </w:p>
  </w:footnote>
  <w:footnote w:id="19">
    <w:p w14:paraId="5505CB00" w14:textId="77777777" w:rsidR="003326B5" w:rsidRDefault="003326B5" w:rsidP="003326B5">
      <w:pPr>
        <w:pStyle w:val="FootnoteText"/>
      </w:pPr>
      <w:r>
        <w:rPr>
          <w:rStyle w:val="FootnoteReference"/>
        </w:rPr>
        <w:footnoteRef/>
      </w:r>
      <w:r>
        <w:t xml:space="preserve"> ibid.,</w:t>
      </w:r>
      <w:r w:rsidRPr="00D22CF0">
        <w:t xml:space="preserve"> </w:t>
      </w:r>
      <w:r>
        <w:t>para. 21.</w:t>
      </w:r>
    </w:p>
  </w:footnote>
  <w:footnote w:id="20">
    <w:p w14:paraId="5A49916C" w14:textId="77777777" w:rsidR="003326B5" w:rsidRDefault="003326B5" w:rsidP="003326B5">
      <w:pPr>
        <w:pStyle w:val="FootnoteText"/>
      </w:pPr>
      <w:r>
        <w:rPr>
          <w:rStyle w:val="FootnoteReference"/>
        </w:rPr>
        <w:footnoteRef/>
      </w:r>
      <w:r>
        <w:t xml:space="preserve"> Opinion of AG </w:t>
      </w:r>
      <w:proofErr w:type="spellStart"/>
      <w:r>
        <w:t>Szpunar</w:t>
      </w:r>
      <w:proofErr w:type="spellEnd"/>
      <w:r>
        <w:t xml:space="preserve">, </w:t>
      </w:r>
      <w:r w:rsidRPr="00F63FD0">
        <w:t xml:space="preserve">Case C‑710/19, </w:t>
      </w:r>
      <w:r w:rsidRPr="00F63FD0">
        <w:rPr>
          <w:i/>
          <w:iCs/>
        </w:rPr>
        <w:t xml:space="preserve">G. M. A. v. État </w:t>
      </w:r>
      <w:proofErr w:type="spellStart"/>
      <w:r w:rsidRPr="00F63FD0">
        <w:rPr>
          <w:i/>
          <w:iCs/>
        </w:rPr>
        <w:t>belge</w:t>
      </w:r>
      <w:proofErr w:type="spellEnd"/>
      <w:r>
        <w:t xml:space="preserve">, </w:t>
      </w:r>
      <w:r w:rsidRPr="00937E77">
        <w:t>EU:C:2020:739</w:t>
      </w:r>
      <w:r>
        <w:t>, paras. 42.</w:t>
      </w:r>
    </w:p>
  </w:footnote>
  <w:footnote w:id="21">
    <w:p w14:paraId="535CC595" w14:textId="5573B12C" w:rsidR="003326B5" w:rsidRDefault="003326B5" w:rsidP="003326B5">
      <w:pPr>
        <w:pStyle w:val="FootnoteText"/>
      </w:pPr>
      <w:r>
        <w:rPr>
          <w:rStyle w:val="FootnoteReference"/>
        </w:rPr>
        <w:footnoteRef/>
      </w:r>
      <w:r>
        <w:t xml:space="preserve"> </w:t>
      </w:r>
      <w:r w:rsidR="00B1576C">
        <w:t>ibid.</w:t>
      </w:r>
      <w:r>
        <w:t>, para. 4</w:t>
      </w:r>
      <w:r w:rsidR="009F372B">
        <w:t>7</w:t>
      </w:r>
      <w:r>
        <w:t>.</w:t>
      </w:r>
    </w:p>
  </w:footnote>
  <w:footnote w:id="22">
    <w:p w14:paraId="2914CDCE" w14:textId="42ED4633" w:rsidR="003326B5" w:rsidRDefault="003326B5" w:rsidP="003326B5">
      <w:pPr>
        <w:pStyle w:val="FootnoteText"/>
      </w:pPr>
      <w:r>
        <w:rPr>
          <w:rStyle w:val="FootnoteReference"/>
        </w:rPr>
        <w:footnoteRef/>
      </w:r>
      <w:r>
        <w:t xml:space="preserve"> </w:t>
      </w:r>
      <w:r w:rsidR="00B1576C">
        <w:t xml:space="preserve">ibid., paras. </w:t>
      </w:r>
      <w:r>
        <w:t>53-57.</w:t>
      </w:r>
    </w:p>
  </w:footnote>
  <w:footnote w:id="23">
    <w:p w14:paraId="1E282829" w14:textId="707115DA" w:rsidR="003326B5" w:rsidRDefault="003326B5" w:rsidP="003326B5">
      <w:pPr>
        <w:pStyle w:val="FootnoteText"/>
      </w:pPr>
      <w:r>
        <w:rPr>
          <w:rStyle w:val="FootnoteReference"/>
        </w:rPr>
        <w:footnoteRef/>
      </w:r>
      <w:r>
        <w:t xml:space="preserve"> </w:t>
      </w:r>
      <w:r w:rsidR="00B1576C">
        <w:t xml:space="preserve">ibid., paras. </w:t>
      </w:r>
      <w:r>
        <w:t>63-67.</w:t>
      </w:r>
    </w:p>
  </w:footnote>
  <w:footnote w:id="24">
    <w:p w14:paraId="05997BF3" w14:textId="77777777" w:rsidR="003326B5" w:rsidRDefault="003326B5" w:rsidP="003326B5">
      <w:pPr>
        <w:pStyle w:val="FootnoteText"/>
      </w:pPr>
      <w:r>
        <w:rPr>
          <w:rStyle w:val="FootnoteReference"/>
        </w:rPr>
        <w:footnoteRef/>
      </w:r>
      <w:r>
        <w:t xml:space="preserve"> </w:t>
      </w:r>
      <w:r w:rsidRPr="00885AED">
        <w:t xml:space="preserve">Common Position (EC) No 6/2004 of 5 December 2003 adopted by the Council </w:t>
      </w:r>
      <w:r w:rsidRPr="000B33EE">
        <w:t>acting in accordance with the procedure referred to in Article 251 of the Treaty establishing the European Community,</w:t>
      </w:r>
      <w:r w:rsidRPr="00885AED">
        <w:t xml:space="preserve"> with a view to adopting a directive of the European Parliament and of the Council on the right of citizens of the Union and their family members to move and reside freely within the territory of the Member States amending Regulation (EEC) No 1612/68 and repealing Directives 64/221/EEC, 68/360/EEC, 72/194/EEC, 73/148/EEC, 75/34/EEC, 75/35/EEC, 90/364/EEC, 90/365/EEC and 93/96/EEC</w:t>
      </w:r>
      <w:r>
        <w:t>,</w:t>
      </w:r>
      <w:r w:rsidRPr="00885AED">
        <w:t xml:space="preserve"> O</w:t>
      </w:r>
      <w:r>
        <w:t>.</w:t>
      </w:r>
      <w:r w:rsidRPr="00885AED">
        <w:t>J</w:t>
      </w:r>
      <w:r>
        <w:t>.</w:t>
      </w:r>
      <w:r w:rsidRPr="00885AED">
        <w:t xml:space="preserve"> 2004</w:t>
      </w:r>
      <w:r>
        <w:t>,</w:t>
      </w:r>
      <w:r w:rsidRPr="00885AED">
        <w:t xml:space="preserve"> C 54</w:t>
      </w:r>
      <w:r>
        <w:t>/</w:t>
      </w:r>
      <w:r w:rsidRPr="00885AED">
        <w:t>E</w:t>
      </w:r>
      <w:r>
        <w:t xml:space="preserve">-12. </w:t>
      </w:r>
    </w:p>
  </w:footnote>
  <w:footnote w:id="25">
    <w:p w14:paraId="20988167" w14:textId="1D0EB497" w:rsidR="006B40C6" w:rsidRDefault="006B40C6">
      <w:pPr>
        <w:pStyle w:val="FootnoteText"/>
      </w:pPr>
      <w:r>
        <w:rPr>
          <w:rStyle w:val="FootnoteReference"/>
        </w:rPr>
        <w:footnoteRef/>
      </w:r>
      <w:r>
        <w:t xml:space="preserve"> </w:t>
      </w:r>
      <w:r w:rsidRPr="00D22CF0">
        <w:t xml:space="preserve">Case C-292/89, </w:t>
      </w:r>
      <w:proofErr w:type="spellStart"/>
      <w:r w:rsidRPr="00D22CF0">
        <w:rPr>
          <w:i/>
          <w:iCs/>
        </w:rPr>
        <w:t>Antonissen</w:t>
      </w:r>
      <w:proofErr w:type="spellEnd"/>
      <w:r w:rsidRPr="00D22CF0">
        <w:t xml:space="preserve">, </w:t>
      </w:r>
      <w:r>
        <w:t>para 21.</w:t>
      </w:r>
    </w:p>
  </w:footnote>
  <w:footnote w:id="26">
    <w:p w14:paraId="3E80923A" w14:textId="77777777" w:rsidR="003326B5" w:rsidRDefault="003326B5" w:rsidP="003326B5">
      <w:pPr>
        <w:pStyle w:val="FootnoteText"/>
      </w:pPr>
      <w:r>
        <w:rPr>
          <w:rStyle w:val="FootnoteReference"/>
        </w:rPr>
        <w:footnoteRef/>
      </w:r>
      <w:r>
        <w:t xml:space="preserve"> Opinion, para. 72.</w:t>
      </w:r>
    </w:p>
  </w:footnote>
  <w:footnote w:id="27">
    <w:p w14:paraId="6576A026" w14:textId="5A96D529" w:rsidR="003326B5" w:rsidRDefault="003326B5" w:rsidP="003326B5">
      <w:pPr>
        <w:pStyle w:val="FootnoteText"/>
      </w:pPr>
      <w:r>
        <w:rPr>
          <w:rStyle w:val="FootnoteReference"/>
        </w:rPr>
        <w:footnoteRef/>
      </w:r>
      <w:r>
        <w:t xml:space="preserve"> </w:t>
      </w:r>
      <w:r w:rsidR="00B1576C">
        <w:t xml:space="preserve">ibid., para. </w:t>
      </w:r>
      <w:r>
        <w:t>69.</w:t>
      </w:r>
    </w:p>
  </w:footnote>
  <w:footnote w:id="28">
    <w:p w14:paraId="12EAACEC" w14:textId="323DF09D" w:rsidR="003326B5" w:rsidRDefault="003326B5" w:rsidP="003326B5">
      <w:pPr>
        <w:pStyle w:val="FootnoteText"/>
      </w:pPr>
      <w:r>
        <w:rPr>
          <w:rStyle w:val="FootnoteReference"/>
        </w:rPr>
        <w:footnoteRef/>
      </w:r>
      <w:r>
        <w:t xml:space="preserve"> </w:t>
      </w:r>
      <w:r w:rsidR="00B1576C">
        <w:t xml:space="preserve">ibid., para. </w:t>
      </w:r>
      <w:r>
        <w:t>73.</w:t>
      </w:r>
    </w:p>
  </w:footnote>
  <w:footnote w:id="29">
    <w:p w14:paraId="4FF8886A" w14:textId="0D449214" w:rsidR="003326B5" w:rsidRDefault="003326B5" w:rsidP="003326B5">
      <w:pPr>
        <w:pStyle w:val="FootnoteText"/>
      </w:pPr>
      <w:r>
        <w:rPr>
          <w:rStyle w:val="FootnoteReference"/>
        </w:rPr>
        <w:footnoteRef/>
      </w:r>
      <w:r>
        <w:t xml:space="preserve"> ibid., para. 74.</w:t>
      </w:r>
    </w:p>
  </w:footnote>
  <w:footnote w:id="30">
    <w:p w14:paraId="0C962A92" w14:textId="77777777" w:rsidR="003326B5" w:rsidRDefault="003326B5" w:rsidP="003326B5">
      <w:pPr>
        <w:pStyle w:val="FootnoteText"/>
      </w:pPr>
      <w:r>
        <w:rPr>
          <w:rStyle w:val="FootnoteReference"/>
        </w:rPr>
        <w:footnoteRef/>
      </w:r>
      <w:r>
        <w:t xml:space="preserve"> ibid., paras. 75-76.</w:t>
      </w:r>
    </w:p>
  </w:footnote>
  <w:footnote w:id="31">
    <w:p w14:paraId="77EBD144" w14:textId="77777777" w:rsidR="003326B5" w:rsidRDefault="003326B5" w:rsidP="003326B5">
      <w:pPr>
        <w:pStyle w:val="FootnoteText"/>
      </w:pPr>
      <w:r>
        <w:rPr>
          <w:rStyle w:val="FootnoteReference"/>
        </w:rPr>
        <w:footnoteRef/>
      </w:r>
      <w:r>
        <w:t xml:space="preserve"> ibid., paras. 76-77.</w:t>
      </w:r>
    </w:p>
  </w:footnote>
  <w:footnote w:id="32">
    <w:p w14:paraId="2CC820AE" w14:textId="77777777" w:rsidR="003326B5" w:rsidRDefault="003326B5" w:rsidP="003326B5">
      <w:pPr>
        <w:pStyle w:val="FootnoteText"/>
      </w:pPr>
      <w:r>
        <w:rPr>
          <w:rStyle w:val="FootnoteReference"/>
        </w:rPr>
        <w:footnoteRef/>
      </w:r>
      <w:r>
        <w:t xml:space="preserve"> </w:t>
      </w:r>
      <w:r w:rsidRPr="00F63FD0">
        <w:t xml:space="preserve">Case C‑710/19, </w:t>
      </w:r>
      <w:r w:rsidRPr="00F63FD0">
        <w:rPr>
          <w:i/>
          <w:iCs/>
        </w:rPr>
        <w:t>G. M. A</w:t>
      </w:r>
      <w:r>
        <w:rPr>
          <w:i/>
          <w:iCs/>
        </w:rPr>
        <w:t>.,</w:t>
      </w:r>
      <w:r>
        <w:t xml:space="preserve"> para. 24-27.</w:t>
      </w:r>
    </w:p>
  </w:footnote>
  <w:footnote w:id="33">
    <w:p w14:paraId="149A7A2C" w14:textId="461022EE" w:rsidR="003326B5" w:rsidRDefault="003326B5" w:rsidP="003326B5">
      <w:pPr>
        <w:pStyle w:val="FootnoteText"/>
      </w:pPr>
      <w:r>
        <w:rPr>
          <w:rStyle w:val="FootnoteReference"/>
        </w:rPr>
        <w:footnoteRef/>
      </w:r>
      <w:r>
        <w:t xml:space="preserve"> </w:t>
      </w:r>
      <w:r w:rsidR="00B1576C">
        <w:t>ibid., para</w:t>
      </w:r>
      <w:r>
        <w:t>. 26.</w:t>
      </w:r>
    </w:p>
  </w:footnote>
  <w:footnote w:id="34">
    <w:p w14:paraId="054D9DFD" w14:textId="08D832C4" w:rsidR="003326B5" w:rsidRDefault="003326B5" w:rsidP="003326B5">
      <w:pPr>
        <w:pStyle w:val="FootnoteText"/>
      </w:pPr>
      <w:r>
        <w:rPr>
          <w:rStyle w:val="FootnoteReference"/>
        </w:rPr>
        <w:footnoteRef/>
      </w:r>
      <w:r>
        <w:t xml:space="preserve"> </w:t>
      </w:r>
      <w:r w:rsidR="00B1576C">
        <w:t>ibid., paras</w:t>
      </w:r>
      <w:r>
        <w:t>. 28-35.</w:t>
      </w:r>
    </w:p>
  </w:footnote>
  <w:footnote w:id="35">
    <w:p w14:paraId="0DB2A8A3" w14:textId="46A4A3E2" w:rsidR="003326B5" w:rsidRDefault="003326B5" w:rsidP="003326B5">
      <w:pPr>
        <w:pStyle w:val="FootnoteText"/>
      </w:pPr>
      <w:r>
        <w:rPr>
          <w:rStyle w:val="FootnoteReference"/>
        </w:rPr>
        <w:footnoteRef/>
      </w:r>
      <w:r>
        <w:t xml:space="preserve"> </w:t>
      </w:r>
      <w:r w:rsidR="00B1576C">
        <w:t>ibid., para</w:t>
      </w:r>
      <w:r>
        <w:t>. 37.</w:t>
      </w:r>
    </w:p>
  </w:footnote>
  <w:footnote w:id="36">
    <w:p w14:paraId="19FC31C2" w14:textId="0B7E1EC3" w:rsidR="003326B5" w:rsidRDefault="003326B5" w:rsidP="003326B5">
      <w:pPr>
        <w:pStyle w:val="FootnoteText"/>
      </w:pPr>
      <w:r>
        <w:rPr>
          <w:rStyle w:val="FootnoteReference"/>
        </w:rPr>
        <w:footnoteRef/>
      </w:r>
      <w:r>
        <w:t xml:space="preserve"> </w:t>
      </w:r>
      <w:r w:rsidR="00B1576C">
        <w:t xml:space="preserve">ibid., paras. </w:t>
      </w:r>
      <w:r>
        <w:t>38-39.</w:t>
      </w:r>
    </w:p>
  </w:footnote>
  <w:footnote w:id="37">
    <w:p w14:paraId="7B0DB052" w14:textId="3453D872" w:rsidR="003326B5" w:rsidRDefault="003326B5" w:rsidP="003326B5">
      <w:pPr>
        <w:pStyle w:val="FootnoteText"/>
      </w:pPr>
      <w:r>
        <w:rPr>
          <w:rStyle w:val="FootnoteReference"/>
        </w:rPr>
        <w:footnoteRef/>
      </w:r>
      <w:r>
        <w:t xml:space="preserve"> </w:t>
      </w:r>
      <w:r w:rsidR="00B1576C">
        <w:t xml:space="preserve">ibid., paras. </w:t>
      </w:r>
      <w:r>
        <w:t>40-42.</w:t>
      </w:r>
    </w:p>
  </w:footnote>
  <w:footnote w:id="38">
    <w:p w14:paraId="5732399E" w14:textId="0AFC42F2" w:rsidR="003326B5" w:rsidRDefault="003326B5" w:rsidP="003326B5">
      <w:pPr>
        <w:pStyle w:val="FootnoteText"/>
      </w:pPr>
      <w:r>
        <w:rPr>
          <w:rStyle w:val="FootnoteReference"/>
        </w:rPr>
        <w:footnoteRef/>
      </w:r>
      <w:r>
        <w:t xml:space="preserve"> </w:t>
      </w:r>
      <w:r w:rsidR="00B1576C">
        <w:t xml:space="preserve">ibid., paras. </w:t>
      </w:r>
      <w:r>
        <w:t>35-36.</w:t>
      </w:r>
    </w:p>
  </w:footnote>
  <w:footnote w:id="39">
    <w:p w14:paraId="3CD937BE" w14:textId="19449CDF" w:rsidR="003326B5" w:rsidRDefault="003326B5" w:rsidP="003326B5">
      <w:pPr>
        <w:pStyle w:val="FootnoteText"/>
      </w:pPr>
      <w:r>
        <w:rPr>
          <w:rStyle w:val="FootnoteReference"/>
        </w:rPr>
        <w:footnoteRef/>
      </w:r>
      <w:r>
        <w:t xml:space="preserve"> ibid., para. 4</w:t>
      </w:r>
      <w:r w:rsidR="003E2574">
        <w:t>4</w:t>
      </w:r>
      <w:r>
        <w:t>.</w:t>
      </w:r>
    </w:p>
  </w:footnote>
  <w:footnote w:id="40">
    <w:p w14:paraId="4A6BAA0D" w14:textId="77777777" w:rsidR="003E2574" w:rsidRDefault="003E2574" w:rsidP="003E2574">
      <w:pPr>
        <w:pStyle w:val="FootnoteText"/>
      </w:pPr>
      <w:r>
        <w:rPr>
          <w:rStyle w:val="FootnoteReference"/>
        </w:rPr>
        <w:footnoteRef/>
      </w:r>
      <w:r>
        <w:t xml:space="preserve"> ibid., para. 46.</w:t>
      </w:r>
    </w:p>
  </w:footnote>
  <w:footnote w:id="41">
    <w:p w14:paraId="743C4997" w14:textId="7C472AFA" w:rsidR="003326B5" w:rsidRDefault="003326B5" w:rsidP="003326B5">
      <w:pPr>
        <w:pStyle w:val="FootnoteText"/>
      </w:pPr>
      <w:r>
        <w:rPr>
          <w:rStyle w:val="FootnoteReference"/>
        </w:rPr>
        <w:footnoteRef/>
      </w:r>
      <w:r>
        <w:t xml:space="preserve"> </w:t>
      </w:r>
      <w:r w:rsidR="00B1576C">
        <w:t>ibid</w:t>
      </w:r>
      <w:r>
        <w:t>.</w:t>
      </w:r>
    </w:p>
  </w:footnote>
  <w:footnote w:id="42">
    <w:p w14:paraId="47E01054" w14:textId="3F563F22" w:rsidR="003326B5" w:rsidRDefault="003326B5" w:rsidP="003326B5">
      <w:pPr>
        <w:pStyle w:val="FootnoteText"/>
      </w:pPr>
      <w:r>
        <w:rPr>
          <w:rStyle w:val="FootnoteReference"/>
        </w:rPr>
        <w:footnoteRef/>
      </w:r>
      <w:r>
        <w:t xml:space="preserve"> </w:t>
      </w:r>
      <w:r w:rsidR="00B1576C">
        <w:t xml:space="preserve">ibid., para. </w:t>
      </w:r>
      <w:r>
        <w:t>47.</w:t>
      </w:r>
    </w:p>
  </w:footnote>
  <w:footnote w:id="43">
    <w:p w14:paraId="79DF44B3" w14:textId="01C85599" w:rsidR="003326B5" w:rsidRDefault="003326B5" w:rsidP="003326B5">
      <w:pPr>
        <w:pStyle w:val="FootnoteText"/>
      </w:pPr>
      <w:r>
        <w:rPr>
          <w:rStyle w:val="FootnoteReference"/>
        </w:rPr>
        <w:footnoteRef/>
      </w:r>
      <w:r>
        <w:t xml:space="preserve"> </w:t>
      </w:r>
      <w:r w:rsidR="00B1576C">
        <w:t xml:space="preserve">ibid., paras. </w:t>
      </w:r>
      <w:r>
        <w:t>50.</w:t>
      </w:r>
    </w:p>
  </w:footnote>
  <w:footnote w:id="44">
    <w:p w14:paraId="055B6D3C" w14:textId="77777777" w:rsidR="003326B5" w:rsidRDefault="003326B5" w:rsidP="003326B5">
      <w:pPr>
        <w:pStyle w:val="FootnoteText"/>
      </w:pPr>
      <w:r>
        <w:rPr>
          <w:rStyle w:val="FootnoteReference"/>
        </w:rPr>
        <w:footnoteRef/>
      </w:r>
      <w:r>
        <w:t xml:space="preserve"> Opinion, paras. 23–26.</w:t>
      </w:r>
    </w:p>
  </w:footnote>
  <w:footnote w:id="45">
    <w:p w14:paraId="33935F5F" w14:textId="6616E5A3" w:rsidR="006B11FF" w:rsidRDefault="006B11FF" w:rsidP="00916EB1">
      <w:pPr>
        <w:pStyle w:val="FootnoteText"/>
      </w:pPr>
      <w:r>
        <w:rPr>
          <w:rStyle w:val="FootnoteReference"/>
        </w:rPr>
        <w:footnoteRef/>
      </w:r>
      <w:r>
        <w:t xml:space="preserve"> O’Brien, ‘</w:t>
      </w:r>
      <w:proofErr w:type="spellStart"/>
      <w:r>
        <w:t>Civis</w:t>
      </w:r>
      <w:proofErr w:type="spellEnd"/>
      <w:r>
        <w:t xml:space="preserve"> Capitalist Sum: Class as the new guiding principle of EU Free Movement Rights’, 53 CML Rev. (2016), 937-977, </w:t>
      </w:r>
      <w:proofErr w:type="spellStart"/>
      <w:r>
        <w:t>Spaventa</w:t>
      </w:r>
      <w:proofErr w:type="spellEnd"/>
      <w:r>
        <w:t xml:space="preserve">, ‘Earned Citizenship – understanding Union Citizenship through its scope’ in </w:t>
      </w:r>
      <w:proofErr w:type="spellStart"/>
      <w:r>
        <w:t>Kochenov</w:t>
      </w:r>
      <w:proofErr w:type="spellEnd"/>
      <w:r>
        <w:t xml:space="preserve"> (Ed.), </w:t>
      </w:r>
      <w:r>
        <w:rPr>
          <w:i/>
          <w:iCs/>
        </w:rPr>
        <w:t xml:space="preserve">EU Citizenship and Federalism: </w:t>
      </w:r>
      <w:proofErr w:type="gramStart"/>
      <w:r>
        <w:rPr>
          <w:i/>
          <w:iCs/>
        </w:rPr>
        <w:t>the</w:t>
      </w:r>
      <w:proofErr w:type="gramEnd"/>
      <w:r>
        <w:rPr>
          <w:i/>
          <w:iCs/>
        </w:rPr>
        <w:t xml:space="preserve"> Role of Rights </w:t>
      </w:r>
      <w:r>
        <w:t xml:space="preserve">(Cambridge University Press, 2017) p. 207, </w:t>
      </w:r>
      <w:r w:rsidRPr="002B4708">
        <w:t xml:space="preserve">Nic </w:t>
      </w:r>
      <w:proofErr w:type="spellStart"/>
      <w:r w:rsidRPr="002B4708">
        <w:t>Shuibhne</w:t>
      </w:r>
      <w:proofErr w:type="spellEnd"/>
      <w:r w:rsidRPr="002B4708">
        <w:t>, ‘Limits Rising, Duties Ascending: The Changing Legal Shape of Union Citizenship’</w:t>
      </w:r>
      <w:r>
        <w:t>,</w:t>
      </w:r>
      <w:r w:rsidRPr="002B4708">
        <w:t xml:space="preserve"> 52</w:t>
      </w:r>
      <w:r>
        <w:t xml:space="preserve"> CML Rev. (2015) </w:t>
      </w:r>
      <w:r w:rsidRPr="002B4708">
        <w:t>889</w:t>
      </w:r>
      <w:r>
        <w:t>-937</w:t>
      </w:r>
      <w:r w:rsidRPr="002B4708">
        <w:t>.</w:t>
      </w:r>
    </w:p>
  </w:footnote>
  <w:footnote w:id="46">
    <w:p w14:paraId="2510EEC0" w14:textId="6AFBF2BD" w:rsidR="006B11FF" w:rsidRDefault="006B11FF" w:rsidP="00916EB1">
      <w:pPr>
        <w:pStyle w:val="FootnoteText"/>
      </w:pPr>
      <w:r>
        <w:rPr>
          <w:rStyle w:val="FootnoteReference"/>
        </w:rPr>
        <w:footnoteRef/>
      </w:r>
      <w:r>
        <w:t xml:space="preserve"> </w:t>
      </w:r>
      <w:proofErr w:type="spellStart"/>
      <w:r w:rsidRPr="00401AC9">
        <w:t>Verschueren</w:t>
      </w:r>
      <w:proofErr w:type="spellEnd"/>
      <w:r>
        <w:t xml:space="preserve">, op. cit. supra </w:t>
      </w:r>
      <w:proofErr w:type="gramStart"/>
      <w:r>
        <w:t>note</w:t>
      </w:r>
      <w:proofErr w:type="gramEnd"/>
      <w:r>
        <w:t xml:space="preserve"> </w:t>
      </w:r>
      <w:r>
        <w:fldChar w:fldCharType="begin"/>
      </w:r>
      <w:r>
        <w:instrText xml:space="preserve"> NOTEREF _Ref71022853 \h </w:instrText>
      </w:r>
      <w:r>
        <w:fldChar w:fldCharType="separate"/>
      </w:r>
      <w:r w:rsidR="00956DDC">
        <w:t>1</w:t>
      </w:r>
      <w:r>
        <w:fldChar w:fldCharType="end"/>
      </w:r>
      <w:r>
        <w:t xml:space="preserve">, at 206, </w:t>
      </w:r>
      <w:proofErr w:type="spellStart"/>
      <w:r w:rsidRPr="00482165">
        <w:t>Wollenschläger</w:t>
      </w:r>
      <w:proofErr w:type="spellEnd"/>
      <w:r w:rsidRPr="00482165">
        <w:t xml:space="preserve"> and Ricketts, ‘Jobseekers’ Residence Rights and Access to Social Benefits: EU law and its Implementation in the Member States’</w:t>
      </w:r>
      <w:r>
        <w:t>,</w:t>
      </w:r>
      <w:r w:rsidRPr="00482165">
        <w:t xml:space="preserve"> </w:t>
      </w:r>
      <w:r>
        <w:t xml:space="preserve">7 </w:t>
      </w:r>
      <w:r w:rsidRPr="00482165">
        <w:t>Online Journal on Free Movement of Workers,</w:t>
      </w:r>
      <w:r>
        <w:t xml:space="preserve"> (2014)</w:t>
      </w:r>
      <w:r w:rsidRPr="00482165">
        <w:t xml:space="preserve">, </w:t>
      </w:r>
      <w:r>
        <w:t>at 8.</w:t>
      </w:r>
    </w:p>
  </w:footnote>
  <w:footnote w:id="47">
    <w:p w14:paraId="11D08608" w14:textId="26908D62" w:rsidR="006B11FF" w:rsidRDefault="006B11FF" w:rsidP="00D32592">
      <w:pPr>
        <w:pStyle w:val="FootnoteText"/>
      </w:pPr>
      <w:r>
        <w:rPr>
          <w:rStyle w:val="FootnoteReference"/>
        </w:rPr>
        <w:footnoteRef/>
      </w:r>
      <w:r>
        <w:t xml:space="preserve"> </w:t>
      </w:r>
      <w:proofErr w:type="spellStart"/>
      <w:r w:rsidRPr="00482165">
        <w:t>Wollenschläger</w:t>
      </w:r>
      <w:proofErr w:type="spellEnd"/>
      <w:r w:rsidRPr="00482165">
        <w:t xml:space="preserve"> and Ricketts,</w:t>
      </w:r>
      <w:r>
        <w:t xml:space="preserve"> op. cit. supra </w:t>
      </w:r>
      <w:proofErr w:type="gramStart"/>
      <w:r>
        <w:t>note</w:t>
      </w:r>
      <w:proofErr w:type="gramEnd"/>
      <w:r>
        <w:t xml:space="preserve"> </w:t>
      </w:r>
      <w:r>
        <w:fldChar w:fldCharType="begin"/>
      </w:r>
      <w:r>
        <w:instrText xml:space="preserve"> NOTEREF _Ref71025361 \h </w:instrText>
      </w:r>
      <w:r>
        <w:fldChar w:fldCharType="separate"/>
      </w:r>
      <w:r w:rsidR="00956DDC">
        <w:t>46</w:t>
      </w:r>
      <w:r>
        <w:fldChar w:fldCharType="end"/>
      </w:r>
      <w:r>
        <w:t>, at</w:t>
      </w:r>
      <w:r w:rsidRPr="00482165">
        <w:t xml:space="preserve"> </w:t>
      </w:r>
      <w:r>
        <w:t>11.</w:t>
      </w:r>
    </w:p>
  </w:footnote>
  <w:footnote w:id="48">
    <w:p w14:paraId="4FA6F884" w14:textId="76CCA783" w:rsidR="006B11FF" w:rsidRDefault="006B11FF" w:rsidP="00916EB1">
      <w:pPr>
        <w:pStyle w:val="FootnoteText"/>
      </w:pPr>
      <w:r>
        <w:rPr>
          <w:rStyle w:val="FootnoteReference"/>
        </w:rPr>
        <w:footnoteRef/>
      </w:r>
      <w:r>
        <w:t xml:space="preserve"> O’Brien, “The pillory, the precipice and the slippery slope: The profound effects of the UK’s legal reform programme targeting EU migrants”, 37 Journal of Social Welfare and Family Law (2015), 111, at 115. </w:t>
      </w:r>
      <w:r w:rsidRPr="00876CFB">
        <w:t>The Upper Tribunal in the UK has since found the UK’s genuine prospect of work test should</w:t>
      </w:r>
      <w:r>
        <w:t xml:space="preserve"> be applied to jobseekers who have retained their worker status after becoming involuntarily unemployed </w:t>
      </w:r>
      <w:r w:rsidRPr="00876CFB">
        <w:rPr>
          <w:i/>
          <w:iCs/>
        </w:rPr>
        <w:t>KH v Bury MBC and SSWP</w:t>
      </w:r>
      <w:r w:rsidRPr="00CF3701">
        <w:t xml:space="preserve"> [2020] UKUT 50 (AAC)</w:t>
      </w:r>
      <w:r>
        <w:t xml:space="preserve">. It is still possible that someone who has worked, does not retain their workers status but then begins job seeking could be treated less favourably than new arrivals under the UK’s rules, despite their previous economic contribution. </w:t>
      </w:r>
    </w:p>
  </w:footnote>
  <w:footnote w:id="49">
    <w:p w14:paraId="5398AEB4" w14:textId="38E78A72" w:rsidR="006B11FF" w:rsidRDefault="006B11FF" w:rsidP="00916EB1">
      <w:pPr>
        <w:pStyle w:val="FootnoteText"/>
      </w:pPr>
      <w:r>
        <w:rPr>
          <w:rStyle w:val="FootnoteReference"/>
        </w:rPr>
        <w:footnoteRef/>
      </w:r>
      <w:r>
        <w:t xml:space="preserve"> </w:t>
      </w:r>
      <w:proofErr w:type="spellStart"/>
      <w:r w:rsidRPr="00482165">
        <w:t>Wollenschläger</w:t>
      </w:r>
      <w:proofErr w:type="spellEnd"/>
      <w:r w:rsidRPr="00482165">
        <w:t xml:space="preserve"> and Ricketts,</w:t>
      </w:r>
      <w:r>
        <w:t xml:space="preserve"> op. cit. supra </w:t>
      </w:r>
      <w:proofErr w:type="gramStart"/>
      <w:r>
        <w:t>note</w:t>
      </w:r>
      <w:proofErr w:type="gramEnd"/>
      <w:r>
        <w:t xml:space="preserve"> </w:t>
      </w:r>
      <w:r>
        <w:fldChar w:fldCharType="begin"/>
      </w:r>
      <w:r>
        <w:instrText xml:space="preserve"> NOTEREF _Ref71025361 \h </w:instrText>
      </w:r>
      <w:r>
        <w:fldChar w:fldCharType="separate"/>
      </w:r>
      <w:r w:rsidR="00956DDC">
        <w:t>46</w:t>
      </w:r>
      <w:r>
        <w:fldChar w:fldCharType="end"/>
      </w:r>
      <w:r>
        <w:t>, at 11.</w:t>
      </w:r>
    </w:p>
  </w:footnote>
  <w:footnote w:id="50">
    <w:p w14:paraId="2373058F" w14:textId="784414CA" w:rsidR="006B11FF" w:rsidRDefault="006B11FF" w:rsidP="00916EB1">
      <w:pPr>
        <w:pStyle w:val="FootnoteText"/>
      </w:pPr>
      <w:r>
        <w:rPr>
          <w:rStyle w:val="FootnoteReference"/>
        </w:rPr>
        <w:footnoteRef/>
      </w:r>
      <w:r>
        <w:t xml:space="preserve"> Williams, ‘Kapow to the GPOW: the “Genuine Prospect of Work Test”’ (Child Poverty Action Group, April 2015) &lt;</w:t>
      </w:r>
      <w:r w:rsidRPr="00CC0D72">
        <w:t xml:space="preserve"> </w:t>
      </w:r>
      <w:hyperlink r:id="rId1" w:history="1">
        <w:r w:rsidRPr="002F4AEC">
          <w:rPr>
            <w:rStyle w:val="Hyperlink"/>
          </w:rPr>
          <w:t>https://cpag.org.uk/sites/default/files/CPAG-Kapow-GPOW-APR2015_0.pdf</w:t>
        </w:r>
      </w:hyperlink>
      <w:r>
        <w:t xml:space="preserve">&gt; (last visited 30 Apr. 2021), </w:t>
      </w:r>
      <w:r w:rsidRPr="008265DA">
        <w:t>O'Brien</w:t>
      </w:r>
      <w:r>
        <w:t xml:space="preserve"> op. cit. supra note </w:t>
      </w:r>
      <w:r>
        <w:fldChar w:fldCharType="begin"/>
      </w:r>
      <w:r>
        <w:instrText xml:space="preserve"> NOTEREF _Ref71027007 \h </w:instrText>
      </w:r>
      <w:r>
        <w:fldChar w:fldCharType="separate"/>
      </w:r>
      <w:r w:rsidR="00956DDC">
        <w:t>48</w:t>
      </w:r>
      <w:r>
        <w:fldChar w:fldCharType="end"/>
      </w:r>
      <w:r>
        <w:t>, at 115.</w:t>
      </w:r>
    </w:p>
  </w:footnote>
  <w:footnote w:id="51">
    <w:p w14:paraId="0EA91472" w14:textId="015F9C1B" w:rsidR="006B11FF" w:rsidRDefault="006B11FF" w:rsidP="00916EB1">
      <w:pPr>
        <w:pStyle w:val="FootnoteText"/>
      </w:pPr>
      <w:r>
        <w:rPr>
          <w:rStyle w:val="FootnoteReference"/>
        </w:rPr>
        <w:footnoteRef/>
      </w:r>
      <w:r>
        <w:t xml:space="preserve"> </w:t>
      </w:r>
      <w:proofErr w:type="spellStart"/>
      <w:r w:rsidRPr="00482165">
        <w:t>Wollenschläger</w:t>
      </w:r>
      <w:proofErr w:type="spellEnd"/>
      <w:r w:rsidRPr="00482165">
        <w:t xml:space="preserve"> and Ricketts,</w:t>
      </w:r>
      <w:r>
        <w:t xml:space="preserve"> op. cit. supra </w:t>
      </w:r>
      <w:proofErr w:type="gramStart"/>
      <w:r>
        <w:t>note</w:t>
      </w:r>
      <w:proofErr w:type="gramEnd"/>
      <w:r>
        <w:t xml:space="preserve"> </w:t>
      </w:r>
      <w:r>
        <w:fldChar w:fldCharType="begin"/>
      </w:r>
      <w:r>
        <w:instrText xml:space="preserve"> NOTEREF _Ref71025361 \h </w:instrText>
      </w:r>
      <w:r>
        <w:fldChar w:fldCharType="separate"/>
      </w:r>
      <w:r w:rsidR="00956DDC">
        <w:t>46</w:t>
      </w:r>
      <w:r>
        <w:fldChar w:fldCharType="end"/>
      </w:r>
      <w:r>
        <w:t>, at 11.</w:t>
      </w:r>
    </w:p>
  </w:footnote>
  <w:footnote w:id="52">
    <w:p w14:paraId="0782168F" w14:textId="09FA33CB" w:rsidR="006B11FF" w:rsidRDefault="006B11FF" w:rsidP="00916EB1">
      <w:pPr>
        <w:pStyle w:val="FootnoteText"/>
      </w:pPr>
      <w:r>
        <w:rPr>
          <w:rStyle w:val="FootnoteReference"/>
        </w:rPr>
        <w:footnoteRef/>
      </w:r>
      <w:r>
        <w:t xml:space="preserve"> </w:t>
      </w:r>
      <w:proofErr w:type="spellStart"/>
      <w:r>
        <w:t>Thym</w:t>
      </w:r>
      <w:proofErr w:type="spellEnd"/>
      <w:r>
        <w:t xml:space="preserve">, </w:t>
      </w:r>
      <w:r w:rsidRPr="00B77D79">
        <w:t>‘The elusive limits of solidarity: residence rights of and social benefits for economically inactive Union citizens’</w:t>
      </w:r>
      <w:r>
        <w:t xml:space="preserve">, 52 CML Rev. </w:t>
      </w:r>
      <w:r w:rsidRPr="00B77D79">
        <w:t>(2015)</w:t>
      </w:r>
      <w:r>
        <w:t xml:space="preserve"> 17-50, at</w:t>
      </w:r>
      <w:r w:rsidRPr="00B77D79">
        <w:t xml:space="preserve"> 42</w:t>
      </w:r>
      <w:r>
        <w:t>-43.</w:t>
      </w:r>
    </w:p>
  </w:footnote>
  <w:footnote w:id="53">
    <w:p w14:paraId="633866E7" w14:textId="77777777" w:rsidR="008A7022" w:rsidRDefault="008A7022" w:rsidP="008A7022">
      <w:pPr>
        <w:pStyle w:val="FootnoteText"/>
      </w:pPr>
      <w:r>
        <w:rPr>
          <w:rStyle w:val="FootnoteReference"/>
        </w:rPr>
        <w:footnoteRef/>
      </w:r>
      <w:r>
        <w:t xml:space="preserve"> </w:t>
      </w:r>
      <w:r w:rsidRPr="006B11FF">
        <w:t>Case C-75/63</w:t>
      </w:r>
      <w:r>
        <w:t>,</w:t>
      </w:r>
      <w:r w:rsidRPr="006B11FF">
        <w:t xml:space="preserve"> </w:t>
      </w:r>
      <w:r w:rsidRPr="006B11FF">
        <w:rPr>
          <w:i/>
          <w:iCs/>
        </w:rPr>
        <w:t>Hoekstra</w:t>
      </w:r>
      <w:r>
        <w:t>,</w:t>
      </w:r>
      <w:r w:rsidRPr="006B11FF">
        <w:rPr>
          <w:i/>
          <w:iCs/>
        </w:rPr>
        <w:t xml:space="preserve"> </w:t>
      </w:r>
      <w:r w:rsidRPr="006B11FF">
        <w:t>EU:C:1964:19</w:t>
      </w:r>
      <w:r>
        <w:t xml:space="preserve">, </w:t>
      </w:r>
      <w:r w:rsidRPr="00D11839">
        <w:t>Case C-53/81</w:t>
      </w:r>
      <w:r>
        <w:t>,</w:t>
      </w:r>
      <w:r w:rsidRPr="00D11839">
        <w:t xml:space="preserve"> </w:t>
      </w:r>
      <w:r w:rsidRPr="00D11839">
        <w:rPr>
          <w:i/>
          <w:iCs/>
        </w:rPr>
        <w:t xml:space="preserve">Levin v </w:t>
      </w:r>
      <w:proofErr w:type="spellStart"/>
      <w:r w:rsidRPr="00D11839">
        <w:rPr>
          <w:i/>
          <w:iCs/>
        </w:rPr>
        <w:t>Staatssecretaris</w:t>
      </w:r>
      <w:proofErr w:type="spellEnd"/>
      <w:r w:rsidRPr="00D11839">
        <w:rPr>
          <w:i/>
          <w:iCs/>
        </w:rPr>
        <w:t xml:space="preserve"> van </w:t>
      </w:r>
      <w:proofErr w:type="spellStart"/>
      <w:r w:rsidRPr="00D11839">
        <w:rPr>
          <w:i/>
          <w:iCs/>
        </w:rPr>
        <w:t>Justitie</w:t>
      </w:r>
      <w:proofErr w:type="spellEnd"/>
      <w:r>
        <w:t xml:space="preserve">, </w:t>
      </w:r>
      <w:r w:rsidRPr="00D11839">
        <w:t>EU:C:1982:105</w:t>
      </w:r>
      <w:r>
        <w:t>, para 11.</w:t>
      </w:r>
    </w:p>
  </w:footnote>
  <w:footnote w:id="54">
    <w:p w14:paraId="24A827D2" w14:textId="7BE13463" w:rsidR="006B11FF" w:rsidRDefault="006B11FF" w:rsidP="00916EB1">
      <w:pPr>
        <w:pStyle w:val="FootnoteText"/>
      </w:pPr>
      <w:r>
        <w:rPr>
          <w:rStyle w:val="FootnoteReference"/>
        </w:rPr>
        <w:footnoteRef/>
      </w:r>
      <w:r>
        <w:t xml:space="preserve"> See, for example, examples of narrow interpretations of ‘genuine and effective’ work and the use of income and hour thresholds in O’Brien, </w:t>
      </w:r>
      <w:proofErr w:type="spellStart"/>
      <w:r>
        <w:t>Spaventa</w:t>
      </w:r>
      <w:proofErr w:type="spellEnd"/>
      <w:r>
        <w:t xml:space="preserve">, and De </w:t>
      </w:r>
      <w:proofErr w:type="spellStart"/>
      <w:r>
        <w:t>Coninck</w:t>
      </w:r>
      <w:proofErr w:type="spellEnd"/>
      <w:r>
        <w:t xml:space="preserve">, op. cit. supra note </w:t>
      </w:r>
      <w:r>
        <w:fldChar w:fldCharType="begin"/>
      </w:r>
      <w:r>
        <w:instrText xml:space="preserve"> NOTEREF _Ref71023187 \h </w:instrText>
      </w:r>
      <w:r>
        <w:fldChar w:fldCharType="separate"/>
      </w:r>
      <w:r w:rsidR="00956DDC">
        <w:t>6</w:t>
      </w:r>
      <w:r>
        <w:fldChar w:fldCharType="end"/>
      </w:r>
      <w:r>
        <w:t xml:space="preserve">. </w:t>
      </w:r>
    </w:p>
  </w:footnote>
  <w:footnote w:id="55">
    <w:p w14:paraId="620C5BC9" w14:textId="57F5B6F8" w:rsidR="006B11FF" w:rsidRDefault="006B11FF" w:rsidP="00916EB1">
      <w:pPr>
        <w:pStyle w:val="FootnoteText"/>
      </w:pPr>
      <w:r>
        <w:rPr>
          <w:rStyle w:val="FootnoteReference"/>
        </w:rPr>
        <w:footnoteRef/>
      </w:r>
      <w:r>
        <w:t xml:space="preserve"> DWP, ‘</w:t>
      </w:r>
      <w:r w:rsidRPr="008B20B5">
        <w:t>ADM Chapter C1: Universal Credit - International Issues</w:t>
      </w:r>
      <w:r>
        <w:t>’</w:t>
      </w:r>
      <w:r w:rsidRPr="008B20B5">
        <w:t xml:space="preserve"> </w:t>
      </w:r>
      <w:r>
        <w:t>(last updated 1</w:t>
      </w:r>
      <w:r w:rsidRPr="008B20B5">
        <w:rPr>
          <w:vertAlign w:val="superscript"/>
        </w:rPr>
        <w:t>st</w:t>
      </w:r>
      <w:r>
        <w:t xml:space="preserve"> March 2021) [</w:t>
      </w:r>
      <w:r w:rsidRPr="008B20B5">
        <w:t>C1415</w:t>
      </w:r>
      <w:r>
        <w:t>], &lt;</w:t>
      </w:r>
      <w:hyperlink r:id="rId2" w:history="1">
        <w:r w:rsidRPr="002F4AEC">
          <w:rPr>
            <w:rStyle w:val="Hyperlink"/>
          </w:rPr>
          <w:t>https://assets.publishing.service.gov.uk/government/uploads/system/uploads/attachment_data/file/965499/adm-chapter-c1-universal_credit-international-issues.pdf</w:t>
        </w:r>
      </w:hyperlink>
      <w:r>
        <w:t xml:space="preserve">&gt; (last visited 30 Apr. 2021), Williams, op. cit. supra note </w:t>
      </w:r>
      <w:r>
        <w:fldChar w:fldCharType="begin"/>
      </w:r>
      <w:r>
        <w:instrText xml:space="preserve"> NOTEREF _Ref71027111 \h </w:instrText>
      </w:r>
      <w:r>
        <w:fldChar w:fldCharType="separate"/>
      </w:r>
      <w:r w:rsidR="00956DDC">
        <w:t>50</w:t>
      </w:r>
      <w:r>
        <w:fldChar w:fldCharType="end"/>
      </w:r>
      <w:r>
        <w:t>.</w:t>
      </w:r>
    </w:p>
  </w:footnote>
  <w:footnote w:id="56">
    <w:p w14:paraId="0F2A0637" w14:textId="293D2954" w:rsidR="006B11FF" w:rsidRDefault="006B11FF" w:rsidP="00916EB1">
      <w:pPr>
        <w:pStyle w:val="FootnoteText"/>
      </w:pPr>
      <w:r>
        <w:rPr>
          <w:rStyle w:val="FootnoteReference"/>
        </w:rPr>
        <w:footnoteRef/>
      </w:r>
      <w:r>
        <w:t xml:space="preserve"> </w:t>
      </w:r>
      <w:r w:rsidRPr="008265DA">
        <w:t>O'Brien</w:t>
      </w:r>
      <w:r>
        <w:t xml:space="preserve">, op. cit. supra </w:t>
      </w:r>
      <w:proofErr w:type="gramStart"/>
      <w:r>
        <w:t>note</w:t>
      </w:r>
      <w:proofErr w:type="gramEnd"/>
      <w:r>
        <w:t xml:space="preserve"> </w:t>
      </w:r>
      <w:r>
        <w:fldChar w:fldCharType="begin"/>
      </w:r>
      <w:r>
        <w:instrText xml:space="preserve"> NOTEREF _Ref71027007 \h </w:instrText>
      </w:r>
      <w:r>
        <w:fldChar w:fldCharType="separate"/>
      </w:r>
      <w:r w:rsidR="00956DDC">
        <w:t>48</w:t>
      </w:r>
      <w:r>
        <w:fldChar w:fldCharType="end"/>
      </w:r>
      <w:r>
        <w:t>, at 117.</w:t>
      </w:r>
    </w:p>
  </w:footnote>
  <w:footnote w:id="57">
    <w:p w14:paraId="5A3D1770" w14:textId="58914BEE" w:rsidR="006B11FF" w:rsidRDefault="006B11FF" w:rsidP="00916EB1">
      <w:pPr>
        <w:pStyle w:val="FootnoteText"/>
      </w:pPr>
      <w:r>
        <w:rPr>
          <w:rStyle w:val="FootnoteReference"/>
        </w:rPr>
        <w:footnoteRef/>
      </w:r>
      <w:r>
        <w:t xml:space="preserve"> Directive 2004/38, Art. 16. This won’t just impact newly arrived jobseekers; an EU citizen may have built up many years of lawful residence before having a right of residence solely as a jobseeker. For example, if a student has completed a </w:t>
      </w:r>
      <w:proofErr w:type="gramStart"/>
      <w:r>
        <w:t>3 or 4 year</w:t>
      </w:r>
      <w:proofErr w:type="gramEnd"/>
      <w:r>
        <w:t xml:space="preserve"> course in a Member State and then start seeking employment, a gap in lawful residence should it be deemed they do not have a genuine chance of being engaged after a reasonable period of job seeking will result in the loss of those previous years of lawful residence. Workers too, may not always retain their worker status, or have </w:t>
      </w:r>
      <w:proofErr w:type="gramStart"/>
      <w:r>
        <w:t>a period of time</w:t>
      </w:r>
      <w:proofErr w:type="gramEnd"/>
      <w:r>
        <w:t xml:space="preserve"> with another status and then decide to become a jobseeker.</w:t>
      </w:r>
    </w:p>
  </w:footnote>
  <w:footnote w:id="58">
    <w:p w14:paraId="5E911179" w14:textId="77777777" w:rsidR="00FD7E90" w:rsidRDefault="00FD7E90" w:rsidP="00FD7E90">
      <w:pPr>
        <w:pStyle w:val="FootnoteText"/>
      </w:pPr>
      <w:r>
        <w:rPr>
          <w:rStyle w:val="FootnoteReference"/>
        </w:rPr>
        <w:footnoteRef/>
      </w:r>
      <w:r>
        <w:t xml:space="preserve"> Opinion, paras. 75-77.</w:t>
      </w:r>
    </w:p>
  </w:footnote>
  <w:footnote w:id="59">
    <w:p w14:paraId="79E85E6F" w14:textId="56B35CBA" w:rsidR="006B11FF" w:rsidRDefault="006B11FF" w:rsidP="00916EB1">
      <w:pPr>
        <w:pStyle w:val="FootnoteText"/>
      </w:pPr>
      <w:r>
        <w:rPr>
          <w:rStyle w:val="FootnoteReference"/>
        </w:rPr>
        <w:footnoteRef/>
      </w:r>
      <w:r>
        <w:t xml:space="preserve"> ibid.</w:t>
      </w:r>
    </w:p>
  </w:footnote>
  <w:footnote w:id="60">
    <w:p w14:paraId="20E2D8F9" w14:textId="77777777" w:rsidR="00283661" w:rsidRPr="00283661" w:rsidRDefault="00283661" w:rsidP="00283661">
      <w:pPr>
        <w:pStyle w:val="FootnoteText"/>
      </w:pPr>
      <w:r>
        <w:rPr>
          <w:rStyle w:val="FootnoteReference"/>
        </w:rPr>
        <w:footnoteRef/>
      </w:r>
      <w:r>
        <w:t xml:space="preserve"> Case C-67/14, </w:t>
      </w:r>
      <w:proofErr w:type="spellStart"/>
      <w:r>
        <w:rPr>
          <w:i/>
          <w:iCs/>
        </w:rPr>
        <w:t>Alimanovic</w:t>
      </w:r>
      <w:proofErr w:type="spellEnd"/>
      <w:r>
        <w:rPr>
          <w:i/>
          <w:iCs/>
        </w:rPr>
        <w:t xml:space="preserve">, </w:t>
      </w:r>
      <w:r>
        <w:t xml:space="preserve">para. 52. </w:t>
      </w:r>
    </w:p>
  </w:footnote>
  <w:footnote w:id="61">
    <w:p w14:paraId="4B976683" w14:textId="5462CDDB" w:rsidR="006D0995" w:rsidRDefault="006D0995" w:rsidP="006D0995">
      <w:pPr>
        <w:pStyle w:val="FootnoteText"/>
      </w:pPr>
      <w:r>
        <w:rPr>
          <w:rStyle w:val="FootnoteReference"/>
        </w:rPr>
        <w:footnoteRef/>
      </w:r>
      <w:r>
        <w:t xml:space="preserve"> </w:t>
      </w:r>
      <w:r w:rsidRPr="008265DA">
        <w:t>O'Brien</w:t>
      </w:r>
      <w:r>
        <w:t xml:space="preserve"> op. cit. supra note </w:t>
      </w:r>
      <w:r>
        <w:fldChar w:fldCharType="begin"/>
      </w:r>
      <w:r>
        <w:instrText xml:space="preserve"> NOTEREF _Ref71027007 \h </w:instrText>
      </w:r>
      <w:r>
        <w:fldChar w:fldCharType="separate"/>
      </w:r>
      <w:r w:rsidR="00956DDC">
        <w:t>48</w:t>
      </w:r>
      <w:r>
        <w:fldChar w:fldCharType="end"/>
      </w:r>
      <w:r>
        <w:t>, p. 115.</w:t>
      </w:r>
    </w:p>
  </w:footnote>
  <w:footnote w:id="62">
    <w:p w14:paraId="4FC00A10" w14:textId="633720AB" w:rsidR="006D0995" w:rsidRDefault="006D0995" w:rsidP="006D0995">
      <w:pPr>
        <w:pStyle w:val="FootnoteText"/>
      </w:pPr>
      <w:r>
        <w:rPr>
          <w:rStyle w:val="FootnoteReference"/>
        </w:rPr>
        <w:footnoteRef/>
      </w:r>
      <w:r>
        <w:t xml:space="preserve"> Case C-333/13, </w:t>
      </w:r>
      <w:proofErr w:type="spellStart"/>
      <w:r>
        <w:rPr>
          <w:i/>
          <w:iCs/>
        </w:rPr>
        <w:t>Dano</w:t>
      </w:r>
      <w:proofErr w:type="spellEnd"/>
      <w:r>
        <w:rPr>
          <w:i/>
          <w:iCs/>
        </w:rPr>
        <w:t xml:space="preserve"> v </w:t>
      </w:r>
      <w:proofErr w:type="spellStart"/>
      <w:r>
        <w:rPr>
          <w:i/>
          <w:iCs/>
        </w:rPr>
        <w:t>Jobcenter</w:t>
      </w:r>
      <w:proofErr w:type="spellEnd"/>
      <w:r>
        <w:rPr>
          <w:i/>
          <w:iCs/>
        </w:rPr>
        <w:t xml:space="preserve"> Leipzig,</w:t>
      </w:r>
      <w:r>
        <w:t xml:space="preserve"> </w:t>
      </w:r>
      <w:r w:rsidRPr="008A7952">
        <w:t>EU:C:2014:2358</w:t>
      </w:r>
      <w:r>
        <w:t xml:space="preserve">; Case C-67/14, </w:t>
      </w:r>
      <w:proofErr w:type="spellStart"/>
      <w:r>
        <w:rPr>
          <w:i/>
          <w:iCs/>
        </w:rPr>
        <w:t>Alimanovic</w:t>
      </w:r>
      <w:proofErr w:type="spellEnd"/>
      <w:r>
        <w:t xml:space="preserve">; Case C-299/14, </w:t>
      </w:r>
      <w:proofErr w:type="spellStart"/>
      <w:r>
        <w:rPr>
          <w:i/>
          <w:iCs/>
        </w:rPr>
        <w:t>Vestische</w:t>
      </w:r>
      <w:proofErr w:type="spellEnd"/>
      <w:r>
        <w:rPr>
          <w:i/>
          <w:iCs/>
        </w:rPr>
        <w:t xml:space="preserve"> Arbeit </w:t>
      </w:r>
      <w:proofErr w:type="spellStart"/>
      <w:r>
        <w:rPr>
          <w:i/>
          <w:iCs/>
        </w:rPr>
        <w:t>Jobcenter</w:t>
      </w:r>
      <w:proofErr w:type="spellEnd"/>
      <w:r>
        <w:rPr>
          <w:i/>
          <w:iCs/>
        </w:rPr>
        <w:t xml:space="preserve"> Kreis Recklinghausen v García-Nieto, </w:t>
      </w:r>
      <w:r>
        <w:t xml:space="preserve">EU:C:2016:114; Case C-308/14, </w:t>
      </w:r>
      <w:r>
        <w:rPr>
          <w:i/>
          <w:iCs/>
        </w:rPr>
        <w:t xml:space="preserve">Commission v. United Kingdom, </w:t>
      </w:r>
      <w:r>
        <w:t xml:space="preserve">EU:C:2016:436.  For analysis see </w:t>
      </w:r>
      <w:proofErr w:type="spellStart"/>
      <w:r>
        <w:t>Spaventa</w:t>
      </w:r>
      <w:proofErr w:type="spellEnd"/>
      <w:r>
        <w:t xml:space="preserve">, op. cit. supra </w:t>
      </w:r>
      <w:proofErr w:type="gramStart"/>
      <w:r>
        <w:t>note</w:t>
      </w:r>
      <w:proofErr w:type="gramEnd"/>
      <w:r>
        <w:t xml:space="preserve"> </w:t>
      </w:r>
      <w:r>
        <w:fldChar w:fldCharType="begin"/>
      </w:r>
      <w:r>
        <w:instrText xml:space="preserve"> NOTEREF _Ref71025235 \h </w:instrText>
      </w:r>
      <w:r>
        <w:fldChar w:fldCharType="separate"/>
      </w:r>
      <w:r w:rsidR="00956DDC">
        <w:t>45</w:t>
      </w:r>
      <w:r>
        <w:fldChar w:fldCharType="end"/>
      </w:r>
      <w:r>
        <w:t xml:space="preserve">, at 207, </w:t>
      </w:r>
      <w:r w:rsidRPr="002B4708">
        <w:t xml:space="preserve">Nic </w:t>
      </w:r>
      <w:proofErr w:type="spellStart"/>
      <w:r w:rsidRPr="002B4708">
        <w:t>Shuibhne</w:t>
      </w:r>
      <w:proofErr w:type="spellEnd"/>
      <w:r w:rsidRPr="002B4708">
        <w:t xml:space="preserve">, </w:t>
      </w:r>
      <w:r>
        <w:t xml:space="preserve">op. cit. supra note </w:t>
      </w:r>
      <w:r>
        <w:fldChar w:fldCharType="begin"/>
      </w:r>
      <w:r>
        <w:instrText xml:space="preserve"> NOTEREF _Ref71025235 \h </w:instrText>
      </w:r>
      <w:r>
        <w:fldChar w:fldCharType="separate"/>
      </w:r>
      <w:r w:rsidR="00956DDC">
        <w:t>45</w:t>
      </w:r>
      <w:r>
        <w:fldChar w:fldCharType="end"/>
      </w:r>
      <w:r>
        <w:t xml:space="preserve">, at </w:t>
      </w:r>
      <w:r w:rsidRPr="002B4708">
        <w:t>895.</w:t>
      </w:r>
    </w:p>
  </w:footnote>
  <w:footnote w:id="63">
    <w:p w14:paraId="154EF8BB" w14:textId="2C90046A" w:rsidR="006D0995" w:rsidRDefault="006D0995" w:rsidP="006D0995">
      <w:pPr>
        <w:pStyle w:val="FootnoteText"/>
      </w:pPr>
      <w:r>
        <w:rPr>
          <w:rStyle w:val="FootnoteReference"/>
        </w:rPr>
        <w:footnoteRef/>
      </w:r>
      <w:r>
        <w:t xml:space="preserve"> See </w:t>
      </w:r>
      <w:proofErr w:type="spellStart"/>
      <w:r w:rsidRPr="00482165">
        <w:t>Wollenschläger</w:t>
      </w:r>
      <w:proofErr w:type="spellEnd"/>
      <w:r w:rsidRPr="00482165">
        <w:t xml:space="preserve"> and Ricketts,</w:t>
      </w:r>
      <w:r>
        <w:t xml:space="preserve"> op. cit. supra </w:t>
      </w:r>
      <w:proofErr w:type="gramStart"/>
      <w:r>
        <w:t>note</w:t>
      </w:r>
      <w:proofErr w:type="gramEnd"/>
      <w:r>
        <w:t xml:space="preserve"> </w:t>
      </w:r>
      <w:r>
        <w:fldChar w:fldCharType="begin"/>
      </w:r>
      <w:r>
        <w:instrText xml:space="preserve"> NOTEREF _Ref71025361 \h </w:instrText>
      </w:r>
      <w:r>
        <w:fldChar w:fldCharType="separate"/>
      </w:r>
      <w:r w:rsidR="00956DDC">
        <w:t>46</w:t>
      </w:r>
      <w:r>
        <w:fldChar w:fldCharType="end"/>
      </w:r>
      <w:r>
        <w:t>, at</w:t>
      </w:r>
      <w:r w:rsidRPr="00482165">
        <w:t xml:space="preserve"> </w:t>
      </w:r>
      <w:r>
        <w:t>11.</w:t>
      </w:r>
    </w:p>
  </w:footnote>
  <w:footnote w:id="64">
    <w:p w14:paraId="11A8ED83" w14:textId="77777777" w:rsidR="006D0995" w:rsidRDefault="006D0995" w:rsidP="006D0995">
      <w:pPr>
        <w:pStyle w:val="FootnoteText"/>
      </w:pPr>
      <w:r>
        <w:rPr>
          <w:rStyle w:val="FootnoteReference"/>
        </w:rPr>
        <w:footnoteRef/>
      </w:r>
      <w:r>
        <w:t xml:space="preserve"> Here, the Court only reiterated the requirement for Member States to allow jobseekers to extend a period of residence after they have had a reasonable period and did not comment on whether the 3 months ‘reasonable period’ applied was appropriate. C-344/</w:t>
      </w:r>
      <w:r w:rsidRPr="0012088C">
        <w:t xml:space="preserve">95, </w:t>
      </w:r>
      <w:r w:rsidRPr="0012088C">
        <w:rPr>
          <w:i/>
          <w:iCs/>
          <w:szCs w:val="22"/>
        </w:rPr>
        <w:t>Commission v Belgium</w:t>
      </w:r>
      <w:r>
        <w:rPr>
          <w:i/>
          <w:iCs/>
          <w:szCs w:val="22"/>
        </w:rPr>
        <w:t xml:space="preserve">, </w:t>
      </w:r>
      <w:r>
        <w:rPr>
          <w:szCs w:val="22"/>
        </w:rPr>
        <w:t>paras 12-19.</w:t>
      </w:r>
    </w:p>
  </w:footnote>
  <w:footnote w:id="65">
    <w:p w14:paraId="096613D1" w14:textId="77777777" w:rsidR="003B3609" w:rsidRDefault="003B3609" w:rsidP="003B3609">
      <w:pPr>
        <w:pStyle w:val="FootnoteText"/>
      </w:pPr>
      <w:r>
        <w:rPr>
          <w:rStyle w:val="FootnoteReference"/>
        </w:rPr>
        <w:footnoteRef/>
      </w:r>
      <w:r>
        <w:t xml:space="preserve"> Opinion, paras. 74.</w:t>
      </w:r>
    </w:p>
  </w:footnote>
  <w:footnote w:id="66">
    <w:p w14:paraId="33201A5F" w14:textId="25C4512D" w:rsidR="003B3609" w:rsidRDefault="003B3609" w:rsidP="003B3609">
      <w:pPr>
        <w:pStyle w:val="FootnoteText"/>
      </w:pPr>
      <w:r>
        <w:rPr>
          <w:rStyle w:val="FootnoteReference"/>
        </w:rPr>
        <w:footnoteRef/>
      </w:r>
      <w:r>
        <w:t xml:space="preserve"> </w:t>
      </w:r>
      <w:r w:rsidRPr="00D22CF0">
        <w:t xml:space="preserve">Case C-292/89, </w:t>
      </w:r>
      <w:proofErr w:type="spellStart"/>
      <w:r w:rsidRPr="00D22CF0">
        <w:rPr>
          <w:i/>
          <w:iCs/>
        </w:rPr>
        <w:t>Antonissen</w:t>
      </w:r>
      <w:proofErr w:type="spellEnd"/>
      <w:r w:rsidRPr="00D22CF0">
        <w:t xml:space="preserve">, </w:t>
      </w:r>
      <w:r>
        <w:t>para</w:t>
      </w:r>
      <w:r w:rsidR="00283661">
        <w:t>.</w:t>
      </w:r>
      <w:r>
        <w:t xml:space="preserve"> 18.</w:t>
      </w:r>
    </w:p>
  </w:footnote>
  <w:footnote w:id="67">
    <w:p w14:paraId="444F75B1" w14:textId="3A23C9FB" w:rsidR="006B11FF" w:rsidRDefault="006B11FF" w:rsidP="00916EB1">
      <w:pPr>
        <w:pStyle w:val="FootnoteText"/>
      </w:pPr>
      <w:r>
        <w:rPr>
          <w:rStyle w:val="FootnoteReference"/>
        </w:rPr>
        <w:footnoteRef/>
      </w:r>
      <w:r>
        <w:t xml:space="preserve"> </w:t>
      </w:r>
      <w:r w:rsidRPr="00F63FD0">
        <w:t xml:space="preserve">Case C‑710/19, </w:t>
      </w:r>
      <w:r w:rsidRPr="00F63FD0">
        <w:rPr>
          <w:i/>
          <w:iCs/>
        </w:rPr>
        <w:t>G. M. A</w:t>
      </w:r>
      <w:r>
        <w:rPr>
          <w:i/>
          <w:iCs/>
        </w:rPr>
        <w:t>.,</w:t>
      </w:r>
      <w:r>
        <w:t xml:space="preserve"> para. 25. </w:t>
      </w:r>
    </w:p>
  </w:footnote>
  <w:footnote w:id="68">
    <w:p w14:paraId="3762DF0B" w14:textId="7F83112A" w:rsidR="006B11FF" w:rsidRDefault="006B11FF" w:rsidP="00916EB1">
      <w:pPr>
        <w:pStyle w:val="FootnoteText"/>
      </w:pPr>
      <w:r>
        <w:rPr>
          <w:rStyle w:val="FootnoteReference"/>
        </w:rPr>
        <w:footnoteRef/>
      </w:r>
      <w:r>
        <w:t xml:space="preserve"> ‘</w:t>
      </w:r>
      <w:r w:rsidRPr="00150E4F">
        <w:t xml:space="preserve">Reconciliation of work and family life </w:t>
      </w:r>
      <w:r>
        <w:t>–</w:t>
      </w:r>
      <w:r w:rsidRPr="00150E4F">
        <w:t xml:space="preserve"> statistics</w:t>
      </w:r>
      <w:r>
        <w:t>’ (Eurostat, September 2019) &lt;</w:t>
      </w:r>
      <w:hyperlink r:id="rId3" w:anchor="Childcare_responsibilities_effect_work_arrangements" w:history="1">
        <w:r w:rsidRPr="002F4AEC">
          <w:rPr>
            <w:rStyle w:val="Hyperlink"/>
          </w:rPr>
          <w:t>https://ec.europa.eu/eurostat/statistics-explained/index.php?title=Reconciliation_of_work_and_family_life_-_statistics#Childcare_responsibilities_effect_work_arrangements</w:t>
        </w:r>
      </w:hyperlink>
      <w:r>
        <w:t>&gt; (last visited 30 Apr. 2021),  ‘Enabling working parents? The experiences of parents in the childcare market’ (Citizens Advice, 2015) &lt;</w:t>
      </w:r>
      <w:hyperlink r:id="rId4" w:history="1">
        <w:r w:rsidRPr="002F4AEC">
          <w:rPr>
            <w:rStyle w:val="Hyperlink"/>
          </w:rPr>
          <w:t>https://www.citizensadvice.org.uk/Global/CitizensAdvice/Families%20Publications/EnablingWorkingParents.pdf</w:t>
        </w:r>
      </w:hyperlink>
      <w:r>
        <w:t>&gt; (last visited 30 Apr. 2021).</w:t>
      </w:r>
    </w:p>
  </w:footnote>
  <w:footnote w:id="69">
    <w:p w14:paraId="6713775E" w14:textId="77777777" w:rsidR="006B11FF" w:rsidRDefault="006B11FF" w:rsidP="00916EB1">
      <w:pPr>
        <w:pStyle w:val="FootnoteText"/>
      </w:pPr>
      <w:r>
        <w:rPr>
          <w:rStyle w:val="FootnoteReference"/>
        </w:rPr>
        <w:footnoteRef/>
      </w:r>
      <w:r>
        <w:t xml:space="preserve"> Carers UK found that 24% of the UK employees examined offered none of the ‘carer friendly’ policies identified including flexible working, long term unpaid leave, clear policies to support those who are caring and peer network support in Carers UK, ‘Juggling work and unpaid care A growing issue’ (February 2019) 12.  </w:t>
      </w:r>
    </w:p>
  </w:footnote>
  <w:footnote w:id="70">
    <w:p w14:paraId="70D75133" w14:textId="172EA217" w:rsidR="006B11FF" w:rsidRDefault="006B11FF" w:rsidP="00916EB1">
      <w:pPr>
        <w:pStyle w:val="FootnoteText"/>
      </w:pPr>
      <w:r>
        <w:rPr>
          <w:rStyle w:val="FootnoteReference"/>
        </w:rPr>
        <w:footnoteRef/>
      </w:r>
      <w:r>
        <w:t xml:space="preserve"> ‘…over 20 million Europeans (two-thirds of whom are women) care for adult dependent persons, which prevents them from having a full-time job…’ and ‘austerity measures… [have] forced many people, mainly women, to cut their working hours or return to the home to take care of dependants, elderly people, ill people or children’ European Parliament, ‘Motion for a Parliament Resolution on Women Domestic Workers and Carers in the EU’ (2015/2094(INI)) O.J. 2015, C-66/30.</w:t>
      </w:r>
    </w:p>
  </w:footnote>
  <w:footnote w:id="71">
    <w:p w14:paraId="0F52FBA1" w14:textId="5BAA3BCA" w:rsidR="006B11FF" w:rsidRDefault="006B11FF" w:rsidP="00916EB1">
      <w:pPr>
        <w:pStyle w:val="FootnoteText"/>
      </w:pPr>
      <w:r>
        <w:rPr>
          <w:rStyle w:val="FootnoteReference"/>
        </w:rPr>
        <w:footnoteRef/>
      </w:r>
      <w:r>
        <w:t xml:space="preserve"> </w:t>
      </w:r>
      <w:r w:rsidR="004A417D">
        <w:t xml:space="preserve">van der </w:t>
      </w:r>
      <w:proofErr w:type="spellStart"/>
      <w:r w:rsidR="004A417D">
        <w:t>Zwan</w:t>
      </w:r>
      <w:proofErr w:type="spellEnd"/>
      <w:r w:rsidR="004A417D">
        <w:t xml:space="preserve"> and de Beer, ‘The disability employment gap in European countries: What is the role of labour market policy?’ 31 Journal of European Social Policy (2021), </w:t>
      </w:r>
      <w:r w:rsidR="004A417D" w:rsidRPr="004A417D">
        <w:t xml:space="preserve">Geiger, Van Der </w:t>
      </w:r>
      <w:proofErr w:type="spellStart"/>
      <w:r w:rsidR="004A417D" w:rsidRPr="004A417D">
        <w:t>Wel</w:t>
      </w:r>
      <w:proofErr w:type="spellEnd"/>
      <w:r w:rsidR="004A417D">
        <w:t xml:space="preserve"> and</w:t>
      </w:r>
      <w:r w:rsidR="004A417D" w:rsidRPr="004A417D">
        <w:t xml:space="preserve"> </w:t>
      </w:r>
      <w:proofErr w:type="spellStart"/>
      <w:r w:rsidR="004A417D" w:rsidRPr="004A417D">
        <w:t>Tøge</w:t>
      </w:r>
      <w:proofErr w:type="spellEnd"/>
      <w:r w:rsidR="004A417D">
        <w:t xml:space="preserve">, </w:t>
      </w:r>
      <w:r w:rsidR="004A417D" w:rsidRPr="004A417D">
        <w:t>‘Success and Failure in Narrowing the Disability Employment Gap: Comparing Levels and Trends Across Europe 2002–2014’,</w:t>
      </w:r>
      <w:r w:rsidR="004A417D">
        <w:t xml:space="preserve"> 17 </w:t>
      </w:r>
      <w:r w:rsidR="004A417D" w:rsidRPr="004A417D">
        <w:t xml:space="preserve">BMC Public Health </w:t>
      </w:r>
      <w:r w:rsidR="004A417D">
        <w:t>(2017)</w:t>
      </w:r>
      <w:r w:rsidR="004A417D" w:rsidRPr="004A417D">
        <w:t xml:space="preserve"> 928</w:t>
      </w:r>
      <w:r w:rsidR="004A417D">
        <w:t xml:space="preserve">, </w:t>
      </w:r>
      <w:r w:rsidR="004A417D" w:rsidRPr="004A417D">
        <w:t>Jones</w:t>
      </w:r>
      <w:r w:rsidR="004A417D">
        <w:t>,</w:t>
      </w:r>
      <w:r w:rsidR="004A417D" w:rsidRPr="004A417D">
        <w:t xml:space="preserve"> ‘Disability and the Labour Market: A Review of the Empirical Evidence’,</w:t>
      </w:r>
      <w:r w:rsidR="004A417D">
        <w:t xml:space="preserve"> 35</w:t>
      </w:r>
      <w:r w:rsidR="004A417D" w:rsidRPr="004A417D">
        <w:t xml:space="preserve"> Journal of Economic Studies </w:t>
      </w:r>
      <w:r w:rsidR="004A417D">
        <w:t>(2008),</w:t>
      </w:r>
      <w:r w:rsidR="004A417D" w:rsidRPr="004A417D">
        <w:t xml:space="preserve"> 405</w:t>
      </w:r>
      <w:r w:rsidR="004A417D">
        <w:t xml:space="preserve">, </w:t>
      </w:r>
      <w:r>
        <w:t>Eurostat statistics record that the rate of unemployment for disabled people is between 2.5% and 8&amp; higher than those who are not disabled in ‘Disability Statistics – labour market access’ (Eurostat, 3 April 2019) &lt;</w:t>
      </w:r>
      <w:hyperlink r:id="rId5" w:history="1">
        <w:r w:rsidRPr="002F4AEC">
          <w:rPr>
            <w:rStyle w:val="Hyperlink"/>
          </w:rPr>
          <w:t>https://ec.europa.eu/eurostat/statistics-explained/index.php?title=Archive:Disability_statistics_-_labour_market_access&amp;direction=next&amp;oldid=428449</w:t>
        </w:r>
      </w:hyperlink>
      <w:r>
        <w:t>&gt; (last visited 30 Apr. 2021), Bulman, ‘</w:t>
      </w:r>
      <w:r w:rsidRPr="00482BCF">
        <w:t>Disabled people have to apply for 60% more jobs than non-disabled people before finding one</w:t>
      </w:r>
      <w:r>
        <w:t>’ (The Independent, 28 September 2017) &lt;</w:t>
      </w:r>
      <w:hyperlink r:id="rId6" w:history="1">
        <w:r w:rsidRPr="002F4AEC">
          <w:rPr>
            <w:rStyle w:val="Hyperlink"/>
          </w:rPr>
          <w:t>https://www.independent.co.uk/news/uk/home-news/disabled-people-jobs-applications-more-able-bodied-stats-employment-a7970701.html</w:t>
        </w:r>
      </w:hyperlink>
      <w:r>
        <w:t>&gt; (last visited 30 Apr. 2021).</w:t>
      </w:r>
    </w:p>
  </w:footnote>
  <w:footnote w:id="72">
    <w:p w14:paraId="7D8C0AC1" w14:textId="2CC49D22" w:rsidR="006B11FF" w:rsidRDefault="006B11FF" w:rsidP="00916EB1">
      <w:pPr>
        <w:pStyle w:val="FootnoteText"/>
      </w:pPr>
      <w:r>
        <w:rPr>
          <w:rStyle w:val="FootnoteReference"/>
        </w:rPr>
        <w:footnoteRef/>
      </w:r>
      <w:r>
        <w:t xml:space="preserve"> </w:t>
      </w:r>
      <w:r w:rsidRPr="007D7AB0">
        <w:t xml:space="preserve">European Pillar of Social Rights’ (2017) </w:t>
      </w:r>
      <w:r>
        <w:t>&lt;</w:t>
      </w:r>
      <w:hyperlink r:id="rId7" w:history="1">
        <w:r w:rsidRPr="002F4AEC">
          <w:rPr>
            <w:rStyle w:val="Hyperlink"/>
          </w:rPr>
          <w:t>https://ec.europa.eu/commission/publications/european-pillar-social-rights-booklet_en</w:t>
        </w:r>
      </w:hyperlink>
      <w:r>
        <w:t xml:space="preserve">&gt; (last visited 30 Apr. 2021). </w:t>
      </w:r>
    </w:p>
  </w:footnote>
  <w:footnote w:id="73">
    <w:p w14:paraId="71C1FE6F" w14:textId="77777777" w:rsidR="00605806" w:rsidRDefault="00605806" w:rsidP="00605806">
      <w:pPr>
        <w:pStyle w:val="FootnoteText"/>
      </w:pPr>
      <w:r>
        <w:rPr>
          <w:rStyle w:val="FootnoteReference"/>
        </w:rPr>
        <w:footnoteRef/>
      </w:r>
      <w:r>
        <w:t xml:space="preserve"> </w:t>
      </w:r>
      <w:proofErr w:type="spellStart"/>
      <w:r w:rsidRPr="00482165">
        <w:t>Wollenschläger</w:t>
      </w:r>
      <w:proofErr w:type="spellEnd"/>
      <w:r>
        <w:t xml:space="preserve">, ‘The judiciary, the legislature and the evolution of Union citizenship’ in </w:t>
      </w:r>
      <w:r w:rsidRPr="000944B9">
        <w:t xml:space="preserve">Philip </w:t>
      </w:r>
      <w:proofErr w:type="spellStart"/>
      <w:r w:rsidRPr="000944B9">
        <w:t>Syrpis</w:t>
      </w:r>
      <w:proofErr w:type="spellEnd"/>
      <w:r>
        <w:t xml:space="preserve"> (ed), </w:t>
      </w:r>
      <w:r w:rsidRPr="000944B9">
        <w:rPr>
          <w:i/>
          <w:iCs/>
        </w:rPr>
        <w:t xml:space="preserve">The Judiciary, the </w:t>
      </w:r>
      <w:proofErr w:type="gramStart"/>
      <w:r w:rsidRPr="000944B9">
        <w:rPr>
          <w:i/>
          <w:iCs/>
        </w:rPr>
        <w:t>Legislature</w:t>
      </w:r>
      <w:proofErr w:type="gramEnd"/>
      <w:r w:rsidRPr="000944B9">
        <w:rPr>
          <w:i/>
          <w:iCs/>
        </w:rPr>
        <w:t xml:space="preserve"> and the EU Internal Market</w:t>
      </w:r>
      <w:r>
        <w:t xml:space="preserve"> (CUP, 2012) 302, at 321.</w:t>
      </w:r>
    </w:p>
  </w:footnote>
  <w:footnote w:id="74">
    <w:p w14:paraId="16154803" w14:textId="77777777" w:rsidR="008129A3" w:rsidRPr="000D0224" w:rsidRDefault="008129A3" w:rsidP="008129A3">
      <w:pPr>
        <w:pStyle w:val="FootnoteText"/>
      </w:pPr>
      <w:r>
        <w:rPr>
          <w:rStyle w:val="FootnoteReference"/>
        </w:rPr>
        <w:footnoteRef/>
      </w:r>
      <w:r>
        <w:t xml:space="preserve"> Case </w:t>
      </w:r>
      <w:r w:rsidRPr="008641E2">
        <w:t>C-138/02</w:t>
      </w:r>
      <w:r>
        <w:t xml:space="preserve">, </w:t>
      </w:r>
      <w:r w:rsidRPr="008641E2">
        <w:rPr>
          <w:i/>
          <w:iCs/>
        </w:rPr>
        <w:t>Collins</w:t>
      </w:r>
      <w:r>
        <w:t>.</w:t>
      </w:r>
    </w:p>
  </w:footnote>
  <w:footnote w:id="75">
    <w:p w14:paraId="4882F325" w14:textId="07D84AB3" w:rsidR="00C24945" w:rsidRPr="000D0224" w:rsidRDefault="00C24945">
      <w:pPr>
        <w:pStyle w:val="FootnoteText"/>
      </w:pPr>
      <w:r>
        <w:rPr>
          <w:rStyle w:val="FootnoteReference"/>
        </w:rPr>
        <w:footnoteRef/>
      </w:r>
      <w:r>
        <w:t xml:space="preserve"> </w:t>
      </w:r>
      <w:r w:rsidR="000D0224">
        <w:t>Case C-22/08 and C-23/08,</w:t>
      </w:r>
      <w:r w:rsidR="000D0224" w:rsidRPr="00236E59">
        <w:t xml:space="preserve"> </w:t>
      </w:r>
      <w:proofErr w:type="spellStart"/>
      <w:r w:rsidR="000D0224" w:rsidRPr="00236E59">
        <w:rPr>
          <w:i/>
          <w:iCs/>
        </w:rPr>
        <w:t>Vatsouras</w:t>
      </w:r>
      <w:proofErr w:type="spellEnd"/>
      <w:r w:rsidR="000D0224" w:rsidRPr="00236E59">
        <w:rPr>
          <w:i/>
          <w:iCs/>
        </w:rPr>
        <w:t xml:space="preserve"> and </w:t>
      </w:r>
      <w:proofErr w:type="spellStart"/>
      <w:r w:rsidR="000D0224" w:rsidRPr="00236E59">
        <w:rPr>
          <w:i/>
          <w:iCs/>
        </w:rPr>
        <w:t>Koupatantze</w:t>
      </w:r>
      <w:proofErr w:type="spellEnd"/>
      <w:r w:rsidR="000D0224">
        <w:t>.</w:t>
      </w:r>
    </w:p>
  </w:footnote>
  <w:footnote w:id="76">
    <w:p w14:paraId="26199435" w14:textId="77777777" w:rsidR="00DA7F0E" w:rsidRDefault="00DA7F0E" w:rsidP="00DA7F0E">
      <w:pPr>
        <w:pStyle w:val="FootnoteText"/>
      </w:pPr>
      <w:r>
        <w:rPr>
          <w:rStyle w:val="FootnoteReference"/>
        </w:rPr>
        <w:footnoteRef/>
      </w:r>
      <w:r>
        <w:t xml:space="preserve"> Case C-67/14, </w:t>
      </w:r>
      <w:proofErr w:type="spellStart"/>
      <w:r>
        <w:rPr>
          <w:i/>
          <w:iCs/>
        </w:rPr>
        <w:t>Alimanovic</w:t>
      </w:r>
      <w:proofErr w:type="spellEnd"/>
      <w:r>
        <w:rPr>
          <w:i/>
          <w:iCs/>
        </w:rPr>
        <w:t>.</w:t>
      </w:r>
    </w:p>
  </w:footnote>
  <w:footnote w:id="77">
    <w:p w14:paraId="04F738BE" w14:textId="0DCCF8A5" w:rsidR="00C362D7" w:rsidRDefault="00C362D7">
      <w:pPr>
        <w:pStyle w:val="FootnoteText"/>
      </w:pPr>
      <w:r>
        <w:rPr>
          <w:rStyle w:val="FootnoteReference"/>
        </w:rPr>
        <w:footnoteRef/>
      </w:r>
      <w:r>
        <w:t xml:space="preserve"> Department for Work and Pensions, ‘</w:t>
      </w:r>
      <w:r w:rsidRPr="00C362D7">
        <w:t>EU jobseekers barred from claiming Universal Credit</w:t>
      </w:r>
      <w:r>
        <w:t>’ (March 2015) &lt;</w:t>
      </w:r>
      <w:hyperlink r:id="rId8" w:history="1">
        <w:r w:rsidRPr="002F4AEC">
          <w:rPr>
            <w:rStyle w:val="Hyperlink"/>
          </w:rPr>
          <w:t>https://www.gov.uk/government/news/eu-jobseekers-barred-from-claiming-universal-credit</w:t>
        </w:r>
      </w:hyperlink>
      <w:r>
        <w:t>&gt; (last visited 6 May. 2021).</w:t>
      </w:r>
    </w:p>
  </w:footnote>
  <w:footnote w:id="78">
    <w:p w14:paraId="7E76994F" w14:textId="6F125897" w:rsidR="00C362D7" w:rsidRDefault="00C362D7">
      <w:pPr>
        <w:pStyle w:val="FootnoteText"/>
      </w:pPr>
      <w:r>
        <w:rPr>
          <w:rStyle w:val="FootnoteReference"/>
        </w:rPr>
        <w:footnoteRef/>
      </w:r>
      <w:r>
        <w:t xml:space="preserve"> Under </w:t>
      </w:r>
      <w:r w:rsidR="009F3F9C" w:rsidRPr="009F3F9C">
        <w:t>Regulation (EC) No 883/2004 of the European Parliament and of the Council of 29 April 2004 on the coordination of social security systems</w:t>
      </w:r>
      <w:r w:rsidR="009F3F9C">
        <w:t xml:space="preserve">, O.J. 2004, L 166/1-123, </w:t>
      </w:r>
      <w:r>
        <w:t>Article 64</w:t>
      </w:r>
      <w:r w:rsidR="009F3F9C">
        <w:t xml:space="preserve">. </w:t>
      </w:r>
    </w:p>
  </w:footnote>
  <w:footnote w:id="79">
    <w:p w14:paraId="2E41137A" w14:textId="2B66EDA0" w:rsidR="003F33C7" w:rsidRPr="003F33C7" w:rsidRDefault="003F33C7">
      <w:pPr>
        <w:pStyle w:val="FootnoteText"/>
        <w:rPr>
          <w:i/>
          <w:iCs/>
        </w:rPr>
      </w:pPr>
      <w:r>
        <w:rPr>
          <w:rStyle w:val="FootnoteReference"/>
        </w:rPr>
        <w:footnoteRef/>
      </w:r>
      <w:r>
        <w:t xml:space="preserve"> </w:t>
      </w:r>
      <w:r w:rsidR="008361DE" w:rsidRPr="008361DE">
        <w:t xml:space="preserve">De </w:t>
      </w:r>
      <w:proofErr w:type="spellStart"/>
      <w:r w:rsidR="008361DE" w:rsidRPr="008361DE">
        <w:t>Wispelaere</w:t>
      </w:r>
      <w:proofErr w:type="spellEnd"/>
      <w:r w:rsidR="008361DE" w:rsidRPr="008361DE">
        <w:t xml:space="preserve">, De </w:t>
      </w:r>
      <w:proofErr w:type="spellStart"/>
      <w:r w:rsidR="008361DE" w:rsidRPr="008361DE">
        <w:t>Smedt</w:t>
      </w:r>
      <w:proofErr w:type="spellEnd"/>
      <w:r w:rsidR="008361DE">
        <w:t xml:space="preserve"> and</w:t>
      </w:r>
      <w:r w:rsidR="008361DE" w:rsidRPr="008361DE">
        <w:t xml:space="preserve"> Pacolet</w:t>
      </w:r>
      <w:r w:rsidR="008361DE">
        <w:t>, ‘Export of unemployment benefits: Report on U2 Portable Documents Reference Year 2019’ (</w:t>
      </w:r>
      <w:r w:rsidR="008361DE" w:rsidRPr="008361DE">
        <w:t>Publications Office of the European Union, 202</w:t>
      </w:r>
      <w:r w:rsidR="008361DE">
        <w:t xml:space="preserve">1), for administrative obstacles see </w:t>
      </w:r>
      <w:r w:rsidRPr="003F33C7">
        <w:t xml:space="preserve">O’Brien, </w:t>
      </w:r>
      <w:r w:rsidRPr="003F33C7">
        <w:rPr>
          <w:i/>
          <w:iCs/>
        </w:rPr>
        <w:t xml:space="preserve">Unity and Adversity: EU Citizenship, Social </w:t>
      </w:r>
      <w:proofErr w:type="gramStart"/>
      <w:r w:rsidRPr="003F33C7">
        <w:rPr>
          <w:i/>
          <w:iCs/>
        </w:rPr>
        <w:t>Justice</w:t>
      </w:r>
      <w:proofErr w:type="gramEnd"/>
      <w:r w:rsidRPr="003F33C7">
        <w:rPr>
          <w:i/>
          <w:iCs/>
        </w:rPr>
        <w:t xml:space="preserve"> and the Cautionary Tale of the UK</w:t>
      </w:r>
      <w:r w:rsidRPr="003F33C7">
        <w:t xml:space="preserve"> </w:t>
      </w:r>
      <w:r>
        <w:t>(</w:t>
      </w:r>
      <w:r w:rsidRPr="003F33C7">
        <w:t>Bloomsbury, 2017)</w:t>
      </w:r>
      <w:r>
        <w:t xml:space="preserve"> pp. 183-186.</w:t>
      </w:r>
    </w:p>
  </w:footnote>
  <w:footnote w:id="80">
    <w:p w14:paraId="34B1776B" w14:textId="77777777" w:rsidR="006B11FF" w:rsidRDefault="006B11FF" w:rsidP="005E50C4">
      <w:pPr>
        <w:pStyle w:val="FootnoteText"/>
      </w:pPr>
      <w:r>
        <w:rPr>
          <w:rStyle w:val="FootnoteReference"/>
        </w:rPr>
        <w:footnoteRef/>
      </w:r>
      <w:r>
        <w:t xml:space="preserve"> </w:t>
      </w:r>
      <w:r w:rsidRPr="00F63FD0">
        <w:t xml:space="preserve">Case C‑710/19, </w:t>
      </w:r>
      <w:r w:rsidRPr="00F63FD0">
        <w:rPr>
          <w:i/>
          <w:iCs/>
        </w:rPr>
        <w:t xml:space="preserve">G. M. A. </w:t>
      </w:r>
      <w:r>
        <w:t>para. 25.</w:t>
      </w:r>
    </w:p>
  </w:footnote>
  <w:footnote w:id="81">
    <w:p w14:paraId="3E8B3962" w14:textId="6A75E1EC" w:rsidR="00B56EED" w:rsidRDefault="00B56EED">
      <w:pPr>
        <w:pStyle w:val="FootnoteText"/>
      </w:pPr>
      <w:r>
        <w:rPr>
          <w:rStyle w:val="FootnoteReference"/>
        </w:rPr>
        <w:t>*</w:t>
      </w:r>
      <w:r>
        <w:t xml:space="preserve"> </w:t>
      </w:r>
      <w:r w:rsidR="0015263F">
        <w:t>Research fellow; this research has been funded by the ESRC as part of the work of the EU Rights and Brexit Hub, (</w:t>
      </w:r>
      <w:hyperlink r:id="rId9" w:history="1">
        <w:r w:rsidR="0015263F" w:rsidRPr="00C66BBF">
          <w:rPr>
            <w:rStyle w:val="Hyperlink"/>
          </w:rPr>
          <w:t>https://www.eurightshub.york.ac.uk</w:t>
        </w:r>
      </w:hyperlink>
      <w:proofErr w:type="gramStart"/>
      <w:r w:rsidR="0015263F">
        <w:t>),York</w:t>
      </w:r>
      <w:proofErr w:type="gramEnd"/>
      <w:r w:rsidR="0015263F">
        <w:t xml:space="preserve"> Law School, University of Yor</w:t>
      </w:r>
      <w:r w:rsidR="0015263F">
        <w:t>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7BC"/>
    <w:multiLevelType w:val="multilevel"/>
    <w:tmpl w:val="97DA0C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95E9F"/>
    <w:multiLevelType w:val="multilevel"/>
    <w:tmpl w:val="00CC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7183"/>
    <w:multiLevelType w:val="multilevel"/>
    <w:tmpl w:val="DB42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E7D45"/>
    <w:multiLevelType w:val="multilevel"/>
    <w:tmpl w:val="2BDE3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A3762"/>
    <w:multiLevelType w:val="multilevel"/>
    <w:tmpl w:val="C4B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53AAF"/>
    <w:multiLevelType w:val="multilevel"/>
    <w:tmpl w:val="00CC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DC46DC"/>
    <w:multiLevelType w:val="multilevel"/>
    <w:tmpl w:val="536A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A38B5"/>
    <w:multiLevelType w:val="multilevel"/>
    <w:tmpl w:val="7898EA3C"/>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70505"/>
    <w:multiLevelType w:val="multilevel"/>
    <w:tmpl w:val="A0FA3B14"/>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D12976"/>
    <w:multiLevelType w:val="hybridMultilevel"/>
    <w:tmpl w:val="42D2C4FC"/>
    <w:lvl w:ilvl="0" w:tplc="3B5817F4">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15B66"/>
    <w:multiLevelType w:val="hybridMultilevel"/>
    <w:tmpl w:val="36526698"/>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7B7EC3"/>
    <w:multiLevelType w:val="multilevel"/>
    <w:tmpl w:val="A674459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317F72"/>
    <w:multiLevelType w:val="multilevel"/>
    <w:tmpl w:val="F526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33E5E"/>
    <w:multiLevelType w:val="hybridMultilevel"/>
    <w:tmpl w:val="E2A8CF7A"/>
    <w:lvl w:ilvl="0" w:tplc="0D34E1C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45588"/>
    <w:multiLevelType w:val="hybridMultilevel"/>
    <w:tmpl w:val="0D64F4A4"/>
    <w:lvl w:ilvl="0" w:tplc="F986510A">
      <w:start w:val="1"/>
      <w:numFmt w:val="bullet"/>
      <w:lvlText w:val="•"/>
      <w:lvlJc w:val="left"/>
      <w:pPr>
        <w:tabs>
          <w:tab w:val="num" w:pos="720"/>
        </w:tabs>
        <w:ind w:left="720" w:hanging="360"/>
      </w:pPr>
      <w:rPr>
        <w:rFonts w:ascii="Arial" w:hAnsi="Arial" w:hint="default"/>
      </w:rPr>
    </w:lvl>
    <w:lvl w:ilvl="1" w:tplc="4B56B9AE" w:tentative="1">
      <w:start w:val="1"/>
      <w:numFmt w:val="bullet"/>
      <w:lvlText w:val="•"/>
      <w:lvlJc w:val="left"/>
      <w:pPr>
        <w:tabs>
          <w:tab w:val="num" w:pos="1440"/>
        </w:tabs>
        <w:ind w:left="1440" w:hanging="360"/>
      </w:pPr>
      <w:rPr>
        <w:rFonts w:ascii="Arial" w:hAnsi="Arial" w:hint="default"/>
      </w:rPr>
    </w:lvl>
    <w:lvl w:ilvl="2" w:tplc="C5500E32" w:tentative="1">
      <w:start w:val="1"/>
      <w:numFmt w:val="bullet"/>
      <w:lvlText w:val="•"/>
      <w:lvlJc w:val="left"/>
      <w:pPr>
        <w:tabs>
          <w:tab w:val="num" w:pos="2160"/>
        </w:tabs>
        <w:ind w:left="2160" w:hanging="360"/>
      </w:pPr>
      <w:rPr>
        <w:rFonts w:ascii="Arial" w:hAnsi="Arial" w:hint="default"/>
      </w:rPr>
    </w:lvl>
    <w:lvl w:ilvl="3" w:tplc="E544FF46" w:tentative="1">
      <w:start w:val="1"/>
      <w:numFmt w:val="bullet"/>
      <w:lvlText w:val="•"/>
      <w:lvlJc w:val="left"/>
      <w:pPr>
        <w:tabs>
          <w:tab w:val="num" w:pos="2880"/>
        </w:tabs>
        <w:ind w:left="2880" w:hanging="360"/>
      </w:pPr>
      <w:rPr>
        <w:rFonts w:ascii="Arial" w:hAnsi="Arial" w:hint="default"/>
      </w:rPr>
    </w:lvl>
    <w:lvl w:ilvl="4" w:tplc="B61253E8" w:tentative="1">
      <w:start w:val="1"/>
      <w:numFmt w:val="bullet"/>
      <w:lvlText w:val="•"/>
      <w:lvlJc w:val="left"/>
      <w:pPr>
        <w:tabs>
          <w:tab w:val="num" w:pos="3600"/>
        </w:tabs>
        <w:ind w:left="3600" w:hanging="360"/>
      </w:pPr>
      <w:rPr>
        <w:rFonts w:ascii="Arial" w:hAnsi="Arial" w:hint="default"/>
      </w:rPr>
    </w:lvl>
    <w:lvl w:ilvl="5" w:tplc="7BC6B64A" w:tentative="1">
      <w:start w:val="1"/>
      <w:numFmt w:val="bullet"/>
      <w:lvlText w:val="•"/>
      <w:lvlJc w:val="left"/>
      <w:pPr>
        <w:tabs>
          <w:tab w:val="num" w:pos="4320"/>
        </w:tabs>
        <w:ind w:left="4320" w:hanging="360"/>
      </w:pPr>
      <w:rPr>
        <w:rFonts w:ascii="Arial" w:hAnsi="Arial" w:hint="default"/>
      </w:rPr>
    </w:lvl>
    <w:lvl w:ilvl="6" w:tplc="E8522972" w:tentative="1">
      <w:start w:val="1"/>
      <w:numFmt w:val="bullet"/>
      <w:lvlText w:val="•"/>
      <w:lvlJc w:val="left"/>
      <w:pPr>
        <w:tabs>
          <w:tab w:val="num" w:pos="5040"/>
        </w:tabs>
        <w:ind w:left="5040" w:hanging="360"/>
      </w:pPr>
      <w:rPr>
        <w:rFonts w:ascii="Arial" w:hAnsi="Arial" w:hint="default"/>
      </w:rPr>
    </w:lvl>
    <w:lvl w:ilvl="7" w:tplc="626AD7F8" w:tentative="1">
      <w:start w:val="1"/>
      <w:numFmt w:val="bullet"/>
      <w:lvlText w:val="•"/>
      <w:lvlJc w:val="left"/>
      <w:pPr>
        <w:tabs>
          <w:tab w:val="num" w:pos="5760"/>
        </w:tabs>
        <w:ind w:left="5760" w:hanging="360"/>
      </w:pPr>
      <w:rPr>
        <w:rFonts w:ascii="Arial" w:hAnsi="Arial" w:hint="default"/>
      </w:rPr>
    </w:lvl>
    <w:lvl w:ilvl="8" w:tplc="08609C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A37586"/>
    <w:multiLevelType w:val="multilevel"/>
    <w:tmpl w:val="AEF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B5545"/>
    <w:multiLevelType w:val="hybridMultilevel"/>
    <w:tmpl w:val="1D78F0C4"/>
    <w:lvl w:ilvl="0" w:tplc="25A8F72A">
      <w:start w:val="1"/>
      <w:numFmt w:val="bullet"/>
      <w:lvlText w:val=""/>
      <w:lvlJc w:val="left"/>
      <w:pPr>
        <w:tabs>
          <w:tab w:val="num" w:pos="720"/>
        </w:tabs>
        <w:ind w:left="720" w:hanging="360"/>
      </w:pPr>
      <w:rPr>
        <w:rFonts w:ascii="Wingdings" w:hAnsi="Wingdings" w:hint="default"/>
      </w:rPr>
    </w:lvl>
    <w:lvl w:ilvl="1" w:tplc="CC2E97D0" w:tentative="1">
      <w:start w:val="1"/>
      <w:numFmt w:val="bullet"/>
      <w:lvlText w:val=""/>
      <w:lvlJc w:val="left"/>
      <w:pPr>
        <w:tabs>
          <w:tab w:val="num" w:pos="1440"/>
        </w:tabs>
        <w:ind w:left="1440" w:hanging="360"/>
      </w:pPr>
      <w:rPr>
        <w:rFonts w:ascii="Wingdings" w:hAnsi="Wingdings" w:hint="default"/>
      </w:rPr>
    </w:lvl>
    <w:lvl w:ilvl="2" w:tplc="AC8284B4" w:tentative="1">
      <w:start w:val="1"/>
      <w:numFmt w:val="bullet"/>
      <w:lvlText w:val=""/>
      <w:lvlJc w:val="left"/>
      <w:pPr>
        <w:tabs>
          <w:tab w:val="num" w:pos="2160"/>
        </w:tabs>
        <w:ind w:left="2160" w:hanging="360"/>
      </w:pPr>
      <w:rPr>
        <w:rFonts w:ascii="Wingdings" w:hAnsi="Wingdings" w:hint="default"/>
      </w:rPr>
    </w:lvl>
    <w:lvl w:ilvl="3" w:tplc="6A5260DA" w:tentative="1">
      <w:start w:val="1"/>
      <w:numFmt w:val="bullet"/>
      <w:lvlText w:val=""/>
      <w:lvlJc w:val="left"/>
      <w:pPr>
        <w:tabs>
          <w:tab w:val="num" w:pos="2880"/>
        </w:tabs>
        <w:ind w:left="2880" w:hanging="360"/>
      </w:pPr>
      <w:rPr>
        <w:rFonts w:ascii="Wingdings" w:hAnsi="Wingdings" w:hint="default"/>
      </w:rPr>
    </w:lvl>
    <w:lvl w:ilvl="4" w:tplc="0C5471A4" w:tentative="1">
      <w:start w:val="1"/>
      <w:numFmt w:val="bullet"/>
      <w:lvlText w:val=""/>
      <w:lvlJc w:val="left"/>
      <w:pPr>
        <w:tabs>
          <w:tab w:val="num" w:pos="3600"/>
        </w:tabs>
        <w:ind w:left="3600" w:hanging="360"/>
      </w:pPr>
      <w:rPr>
        <w:rFonts w:ascii="Wingdings" w:hAnsi="Wingdings" w:hint="default"/>
      </w:rPr>
    </w:lvl>
    <w:lvl w:ilvl="5" w:tplc="077A4D76" w:tentative="1">
      <w:start w:val="1"/>
      <w:numFmt w:val="bullet"/>
      <w:lvlText w:val=""/>
      <w:lvlJc w:val="left"/>
      <w:pPr>
        <w:tabs>
          <w:tab w:val="num" w:pos="4320"/>
        </w:tabs>
        <w:ind w:left="4320" w:hanging="360"/>
      </w:pPr>
      <w:rPr>
        <w:rFonts w:ascii="Wingdings" w:hAnsi="Wingdings" w:hint="default"/>
      </w:rPr>
    </w:lvl>
    <w:lvl w:ilvl="6" w:tplc="FBEC2268" w:tentative="1">
      <w:start w:val="1"/>
      <w:numFmt w:val="bullet"/>
      <w:lvlText w:val=""/>
      <w:lvlJc w:val="left"/>
      <w:pPr>
        <w:tabs>
          <w:tab w:val="num" w:pos="5040"/>
        </w:tabs>
        <w:ind w:left="5040" w:hanging="360"/>
      </w:pPr>
      <w:rPr>
        <w:rFonts w:ascii="Wingdings" w:hAnsi="Wingdings" w:hint="default"/>
      </w:rPr>
    </w:lvl>
    <w:lvl w:ilvl="7" w:tplc="5596ECD2" w:tentative="1">
      <w:start w:val="1"/>
      <w:numFmt w:val="bullet"/>
      <w:lvlText w:val=""/>
      <w:lvlJc w:val="left"/>
      <w:pPr>
        <w:tabs>
          <w:tab w:val="num" w:pos="5760"/>
        </w:tabs>
        <w:ind w:left="5760" w:hanging="360"/>
      </w:pPr>
      <w:rPr>
        <w:rFonts w:ascii="Wingdings" w:hAnsi="Wingdings" w:hint="default"/>
      </w:rPr>
    </w:lvl>
    <w:lvl w:ilvl="8" w:tplc="FADA3C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1E57F7"/>
    <w:multiLevelType w:val="hybridMultilevel"/>
    <w:tmpl w:val="D9AE9E92"/>
    <w:lvl w:ilvl="0" w:tplc="B6205C70">
      <w:start w:val="1"/>
      <w:numFmt w:val="bullet"/>
      <w:lvlText w:val=""/>
      <w:lvlJc w:val="left"/>
      <w:pPr>
        <w:tabs>
          <w:tab w:val="num" w:pos="720"/>
        </w:tabs>
        <w:ind w:left="720" w:hanging="360"/>
      </w:pPr>
      <w:rPr>
        <w:rFonts w:ascii="Wingdings" w:hAnsi="Wingdings" w:hint="default"/>
      </w:rPr>
    </w:lvl>
    <w:lvl w:ilvl="1" w:tplc="AB0441AA" w:tentative="1">
      <w:start w:val="1"/>
      <w:numFmt w:val="bullet"/>
      <w:lvlText w:val=""/>
      <w:lvlJc w:val="left"/>
      <w:pPr>
        <w:tabs>
          <w:tab w:val="num" w:pos="1440"/>
        </w:tabs>
        <w:ind w:left="1440" w:hanging="360"/>
      </w:pPr>
      <w:rPr>
        <w:rFonts w:ascii="Wingdings" w:hAnsi="Wingdings" w:hint="default"/>
      </w:rPr>
    </w:lvl>
    <w:lvl w:ilvl="2" w:tplc="A02652C8" w:tentative="1">
      <w:start w:val="1"/>
      <w:numFmt w:val="bullet"/>
      <w:lvlText w:val=""/>
      <w:lvlJc w:val="left"/>
      <w:pPr>
        <w:tabs>
          <w:tab w:val="num" w:pos="2160"/>
        </w:tabs>
        <w:ind w:left="2160" w:hanging="360"/>
      </w:pPr>
      <w:rPr>
        <w:rFonts w:ascii="Wingdings" w:hAnsi="Wingdings" w:hint="default"/>
      </w:rPr>
    </w:lvl>
    <w:lvl w:ilvl="3" w:tplc="26340A8E" w:tentative="1">
      <w:start w:val="1"/>
      <w:numFmt w:val="bullet"/>
      <w:lvlText w:val=""/>
      <w:lvlJc w:val="left"/>
      <w:pPr>
        <w:tabs>
          <w:tab w:val="num" w:pos="2880"/>
        </w:tabs>
        <w:ind w:left="2880" w:hanging="360"/>
      </w:pPr>
      <w:rPr>
        <w:rFonts w:ascii="Wingdings" w:hAnsi="Wingdings" w:hint="default"/>
      </w:rPr>
    </w:lvl>
    <w:lvl w:ilvl="4" w:tplc="3F00561A" w:tentative="1">
      <w:start w:val="1"/>
      <w:numFmt w:val="bullet"/>
      <w:lvlText w:val=""/>
      <w:lvlJc w:val="left"/>
      <w:pPr>
        <w:tabs>
          <w:tab w:val="num" w:pos="3600"/>
        </w:tabs>
        <w:ind w:left="3600" w:hanging="360"/>
      </w:pPr>
      <w:rPr>
        <w:rFonts w:ascii="Wingdings" w:hAnsi="Wingdings" w:hint="default"/>
      </w:rPr>
    </w:lvl>
    <w:lvl w:ilvl="5" w:tplc="7C2C1E2C" w:tentative="1">
      <w:start w:val="1"/>
      <w:numFmt w:val="bullet"/>
      <w:lvlText w:val=""/>
      <w:lvlJc w:val="left"/>
      <w:pPr>
        <w:tabs>
          <w:tab w:val="num" w:pos="4320"/>
        </w:tabs>
        <w:ind w:left="4320" w:hanging="360"/>
      </w:pPr>
      <w:rPr>
        <w:rFonts w:ascii="Wingdings" w:hAnsi="Wingdings" w:hint="default"/>
      </w:rPr>
    </w:lvl>
    <w:lvl w:ilvl="6" w:tplc="C4F4725A" w:tentative="1">
      <w:start w:val="1"/>
      <w:numFmt w:val="bullet"/>
      <w:lvlText w:val=""/>
      <w:lvlJc w:val="left"/>
      <w:pPr>
        <w:tabs>
          <w:tab w:val="num" w:pos="5040"/>
        </w:tabs>
        <w:ind w:left="5040" w:hanging="360"/>
      </w:pPr>
      <w:rPr>
        <w:rFonts w:ascii="Wingdings" w:hAnsi="Wingdings" w:hint="default"/>
      </w:rPr>
    </w:lvl>
    <w:lvl w:ilvl="7" w:tplc="69600CC0" w:tentative="1">
      <w:start w:val="1"/>
      <w:numFmt w:val="bullet"/>
      <w:lvlText w:val=""/>
      <w:lvlJc w:val="left"/>
      <w:pPr>
        <w:tabs>
          <w:tab w:val="num" w:pos="5760"/>
        </w:tabs>
        <w:ind w:left="5760" w:hanging="360"/>
      </w:pPr>
      <w:rPr>
        <w:rFonts w:ascii="Wingdings" w:hAnsi="Wingdings" w:hint="default"/>
      </w:rPr>
    </w:lvl>
    <w:lvl w:ilvl="8" w:tplc="9BB851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3A7876"/>
    <w:multiLevelType w:val="multilevel"/>
    <w:tmpl w:val="30546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16"/>
  </w:num>
  <w:num w:numId="4">
    <w:abstractNumId w:val="17"/>
  </w:num>
  <w:num w:numId="5">
    <w:abstractNumId w:val="3"/>
  </w:num>
  <w:num w:numId="6">
    <w:abstractNumId w:val="10"/>
  </w:num>
  <w:num w:numId="7">
    <w:abstractNumId w:val="12"/>
  </w:num>
  <w:num w:numId="8">
    <w:abstractNumId w:val="2"/>
  </w:num>
  <w:num w:numId="9">
    <w:abstractNumId w:val="6"/>
  </w:num>
  <w:num w:numId="10">
    <w:abstractNumId w:val="4"/>
  </w:num>
  <w:num w:numId="11">
    <w:abstractNumId w:val="18"/>
  </w:num>
  <w:num w:numId="12">
    <w:abstractNumId w:val="0"/>
  </w:num>
  <w:num w:numId="13">
    <w:abstractNumId w:val="11"/>
  </w:num>
  <w:num w:numId="14">
    <w:abstractNumId w:val="7"/>
  </w:num>
  <w:num w:numId="15">
    <w:abstractNumId w:val="8"/>
  </w:num>
  <w:num w:numId="16">
    <w:abstractNumId w:val="1"/>
    <w:lvlOverride w:ilvl="0">
      <w:startOverride w:val="74"/>
    </w:lvlOverride>
  </w:num>
  <w:num w:numId="17">
    <w:abstractNumId w:val="5"/>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E8"/>
    <w:rsid w:val="00000555"/>
    <w:rsid w:val="00001300"/>
    <w:rsid w:val="000015A7"/>
    <w:rsid w:val="00001FF1"/>
    <w:rsid w:val="0000670A"/>
    <w:rsid w:val="0000787E"/>
    <w:rsid w:val="000109AE"/>
    <w:rsid w:val="00011570"/>
    <w:rsid w:val="0001207D"/>
    <w:rsid w:val="00013EAA"/>
    <w:rsid w:val="0001452D"/>
    <w:rsid w:val="000215CC"/>
    <w:rsid w:val="000266C2"/>
    <w:rsid w:val="00030B74"/>
    <w:rsid w:val="00030EDD"/>
    <w:rsid w:val="00033619"/>
    <w:rsid w:val="000336D6"/>
    <w:rsid w:val="00033DDE"/>
    <w:rsid w:val="000348D0"/>
    <w:rsid w:val="00042C12"/>
    <w:rsid w:val="00042C5A"/>
    <w:rsid w:val="00043AE9"/>
    <w:rsid w:val="00045157"/>
    <w:rsid w:val="00045450"/>
    <w:rsid w:val="000506DC"/>
    <w:rsid w:val="000538FF"/>
    <w:rsid w:val="0005754A"/>
    <w:rsid w:val="00061984"/>
    <w:rsid w:val="00062313"/>
    <w:rsid w:val="000623EB"/>
    <w:rsid w:val="00062920"/>
    <w:rsid w:val="000661E3"/>
    <w:rsid w:val="0006736E"/>
    <w:rsid w:val="00067EAF"/>
    <w:rsid w:val="0007221B"/>
    <w:rsid w:val="00074047"/>
    <w:rsid w:val="00077C14"/>
    <w:rsid w:val="00082402"/>
    <w:rsid w:val="00083D5D"/>
    <w:rsid w:val="00086DF4"/>
    <w:rsid w:val="00090DAC"/>
    <w:rsid w:val="000912A2"/>
    <w:rsid w:val="000931FF"/>
    <w:rsid w:val="0009336A"/>
    <w:rsid w:val="00094329"/>
    <w:rsid w:val="000944B9"/>
    <w:rsid w:val="000947F7"/>
    <w:rsid w:val="000972CF"/>
    <w:rsid w:val="00097871"/>
    <w:rsid w:val="000A0D04"/>
    <w:rsid w:val="000A29C5"/>
    <w:rsid w:val="000A47E3"/>
    <w:rsid w:val="000A6DA9"/>
    <w:rsid w:val="000A6E89"/>
    <w:rsid w:val="000B0240"/>
    <w:rsid w:val="000B069A"/>
    <w:rsid w:val="000B10C1"/>
    <w:rsid w:val="000B3254"/>
    <w:rsid w:val="000B33EE"/>
    <w:rsid w:val="000B5D10"/>
    <w:rsid w:val="000B6E72"/>
    <w:rsid w:val="000C2962"/>
    <w:rsid w:val="000C32B1"/>
    <w:rsid w:val="000C335C"/>
    <w:rsid w:val="000C33EC"/>
    <w:rsid w:val="000D0224"/>
    <w:rsid w:val="000D14C2"/>
    <w:rsid w:val="000D1E72"/>
    <w:rsid w:val="000D20FD"/>
    <w:rsid w:val="000D2A6F"/>
    <w:rsid w:val="000D3D78"/>
    <w:rsid w:val="000D40CA"/>
    <w:rsid w:val="000D678C"/>
    <w:rsid w:val="000E04A6"/>
    <w:rsid w:val="000E5A7B"/>
    <w:rsid w:val="000E6229"/>
    <w:rsid w:val="000F2C86"/>
    <w:rsid w:val="000F4D87"/>
    <w:rsid w:val="00102051"/>
    <w:rsid w:val="001020E0"/>
    <w:rsid w:val="001029E3"/>
    <w:rsid w:val="0010368D"/>
    <w:rsid w:val="001104A5"/>
    <w:rsid w:val="00111666"/>
    <w:rsid w:val="00111FBC"/>
    <w:rsid w:val="00115689"/>
    <w:rsid w:val="00117850"/>
    <w:rsid w:val="00117A63"/>
    <w:rsid w:val="00117ADC"/>
    <w:rsid w:val="00117C9D"/>
    <w:rsid w:val="001204A5"/>
    <w:rsid w:val="0012088C"/>
    <w:rsid w:val="0012410B"/>
    <w:rsid w:val="00124B3A"/>
    <w:rsid w:val="00125D64"/>
    <w:rsid w:val="00126F75"/>
    <w:rsid w:val="001272A5"/>
    <w:rsid w:val="00127448"/>
    <w:rsid w:val="001278C9"/>
    <w:rsid w:val="00131622"/>
    <w:rsid w:val="00131B80"/>
    <w:rsid w:val="00133920"/>
    <w:rsid w:val="001349BC"/>
    <w:rsid w:val="00135B2F"/>
    <w:rsid w:val="00135EBF"/>
    <w:rsid w:val="0014093F"/>
    <w:rsid w:val="001428D8"/>
    <w:rsid w:val="00142CFA"/>
    <w:rsid w:val="001440CC"/>
    <w:rsid w:val="00147302"/>
    <w:rsid w:val="0015263F"/>
    <w:rsid w:val="00154395"/>
    <w:rsid w:val="001552B1"/>
    <w:rsid w:val="00156818"/>
    <w:rsid w:val="00156EEA"/>
    <w:rsid w:val="00157DFA"/>
    <w:rsid w:val="0016222C"/>
    <w:rsid w:val="00163E49"/>
    <w:rsid w:val="00165881"/>
    <w:rsid w:val="00166A12"/>
    <w:rsid w:val="00167CE3"/>
    <w:rsid w:val="00171959"/>
    <w:rsid w:val="00171F4B"/>
    <w:rsid w:val="00175902"/>
    <w:rsid w:val="001759A3"/>
    <w:rsid w:val="00180FB9"/>
    <w:rsid w:val="00181B81"/>
    <w:rsid w:val="00183045"/>
    <w:rsid w:val="00183F3A"/>
    <w:rsid w:val="00184FFE"/>
    <w:rsid w:val="001873DD"/>
    <w:rsid w:val="0018793A"/>
    <w:rsid w:val="00187BC8"/>
    <w:rsid w:val="001903F3"/>
    <w:rsid w:val="001909A0"/>
    <w:rsid w:val="00192925"/>
    <w:rsid w:val="001929E0"/>
    <w:rsid w:val="00192C51"/>
    <w:rsid w:val="00193348"/>
    <w:rsid w:val="00193408"/>
    <w:rsid w:val="00193914"/>
    <w:rsid w:val="00196336"/>
    <w:rsid w:val="001968FD"/>
    <w:rsid w:val="001976C5"/>
    <w:rsid w:val="001A2C4E"/>
    <w:rsid w:val="001A3BDD"/>
    <w:rsid w:val="001A3F91"/>
    <w:rsid w:val="001A5A82"/>
    <w:rsid w:val="001B07BC"/>
    <w:rsid w:val="001B1729"/>
    <w:rsid w:val="001B440A"/>
    <w:rsid w:val="001B4AB6"/>
    <w:rsid w:val="001B5457"/>
    <w:rsid w:val="001B5605"/>
    <w:rsid w:val="001B5743"/>
    <w:rsid w:val="001C08C4"/>
    <w:rsid w:val="001C0AAC"/>
    <w:rsid w:val="001C213E"/>
    <w:rsid w:val="001C3D97"/>
    <w:rsid w:val="001C5D69"/>
    <w:rsid w:val="001D01C7"/>
    <w:rsid w:val="001D03E6"/>
    <w:rsid w:val="001D30E2"/>
    <w:rsid w:val="001D3A67"/>
    <w:rsid w:val="001D6135"/>
    <w:rsid w:val="001E23FD"/>
    <w:rsid w:val="001E29C8"/>
    <w:rsid w:val="001E347F"/>
    <w:rsid w:val="001E3D1D"/>
    <w:rsid w:val="001E3D51"/>
    <w:rsid w:val="001E7B65"/>
    <w:rsid w:val="001F1986"/>
    <w:rsid w:val="001F5550"/>
    <w:rsid w:val="001F6108"/>
    <w:rsid w:val="0020372A"/>
    <w:rsid w:val="00204FA1"/>
    <w:rsid w:val="00211FED"/>
    <w:rsid w:val="002153CC"/>
    <w:rsid w:val="00216006"/>
    <w:rsid w:val="00216DDA"/>
    <w:rsid w:val="00220050"/>
    <w:rsid w:val="00221A2F"/>
    <w:rsid w:val="00224350"/>
    <w:rsid w:val="00225B19"/>
    <w:rsid w:val="00227BFD"/>
    <w:rsid w:val="00230BF7"/>
    <w:rsid w:val="00234977"/>
    <w:rsid w:val="00236E59"/>
    <w:rsid w:val="00237B7B"/>
    <w:rsid w:val="002400D8"/>
    <w:rsid w:val="0024158B"/>
    <w:rsid w:val="002417D6"/>
    <w:rsid w:val="00243953"/>
    <w:rsid w:val="002442B2"/>
    <w:rsid w:val="00246076"/>
    <w:rsid w:val="00247DD4"/>
    <w:rsid w:val="00250FCC"/>
    <w:rsid w:val="002515FE"/>
    <w:rsid w:val="00251661"/>
    <w:rsid w:val="00253E34"/>
    <w:rsid w:val="002549F7"/>
    <w:rsid w:val="002601D5"/>
    <w:rsid w:val="0026354D"/>
    <w:rsid w:val="00264782"/>
    <w:rsid w:val="00265E99"/>
    <w:rsid w:val="00267011"/>
    <w:rsid w:val="00271ADD"/>
    <w:rsid w:val="002740DC"/>
    <w:rsid w:val="00281259"/>
    <w:rsid w:val="00283661"/>
    <w:rsid w:val="0028448D"/>
    <w:rsid w:val="0028578F"/>
    <w:rsid w:val="00291EA7"/>
    <w:rsid w:val="00294EC1"/>
    <w:rsid w:val="00297041"/>
    <w:rsid w:val="002977BC"/>
    <w:rsid w:val="002A0422"/>
    <w:rsid w:val="002A5D03"/>
    <w:rsid w:val="002A68EC"/>
    <w:rsid w:val="002C0702"/>
    <w:rsid w:val="002C07CB"/>
    <w:rsid w:val="002C2955"/>
    <w:rsid w:val="002D1131"/>
    <w:rsid w:val="002D578F"/>
    <w:rsid w:val="002D6343"/>
    <w:rsid w:val="002D6459"/>
    <w:rsid w:val="002D738B"/>
    <w:rsid w:val="002E00FA"/>
    <w:rsid w:val="002E3BA8"/>
    <w:rsid w:val="002E4147"/>
    <w:rsid w:val="002E561B"/>
    <w:rsid w:val="002E6093"/>
    <w:rsid w:val="002F049E"/>
    <w:rsid w:val="002F0A3A"/>
    <w:rsid w:val="002F1AEF"/>
    <w:rsid w:val="002F3CD7"/>
    <w:rsid w:val="002F5940"/>
    <w:rsid w:val="002F74AD"/>
    <w:rsid w:val="002F7702"/>
    <w:rsid w:val="002F772F"/>
    <w:rsid w:val="0030029D"/>
    <w:rsid w:val="00301476"/>
    <w:rsid w:val="00301E29"/>
    <w:rsid w:val="00302E1B"/>
    <w:rsid w:val="0030344A"/>
    <w:rsid w:val="00304B5B"/>
    <w:rsid w:val="00305699"/>
    <w:rsid w:val="003061B1"/>
    <w:rsid w:val="00312290"/>
    <w:rsid w:val="003128D0"/>
    <w:rsid w:val="0031440C"/>
    <w:rsid w:val="003151DD"/>
    <w:rsid w:val="00317D72"/>
    <w:rsid w:val="003228A4"/>
    <w:rsid w:val="0032402B"/>
    <w:rsid w:val="003264B9"/>
    <w:rsid w:val="003265D0"/>
    <w:rsid w:val="003326B5"/>
    <w:rsid w:val="00336991"/>
    <w:rsid w:val="00336A5D"/>
    <w:rsid w:val="0034203B"/>
    <w:rsid w:val="00344097"/>
    <w:rsid w:val="00345401"/>
    <w:rsid w:val="00346D2C"/>
    <w:rsid w:val="00350659"/>
    <w:rsid w:val="003518D7"/>
    <w:rsid w:val="003520F4"/>
    <w:rsid w:val="00352187"/>
    <w:rsid w:val="00353F90"/>
    <w:rsid w:val="00354906"/>
    <w:rsid w:val="00357062"/>
    <w:rsid w:val="003621E2"/>
    <w:rsid w:val="0037065F"/>
    <w:rsid w:val="00371290"/>
    <w:rsid w:val="00371B10"/>
    <w:rsid w:val="00373A67"/>
    <w:rsid w:val="00382EC8"/>
    <w:rsid w:val="003849F0"/>
    <w:rsid w:val="00386144"/>
    <w:rsid w:val="00387C9D"/>
    <w:rsid w:val="003901D7"/>
    <w:rsid w:val="00390706"/>
    <w:rsid w:val="00393442"/>
    <w:rsid w:val="00393638"/>
    <w:rsid w:val="003941AF"/>
    <w:rsid w:val="00395B33"/>
    <w:rsid w:val="00397DD1"/>
    <w:rsid w:val="00397EE9"/>
    <w:rsid w:val="003A0086"/>
    <w:rsid w:val="003A14EA"/>
    <w:rsid w:val="003A1B86"/>
    <w:rsid w:val="003A349A"/>
    <w:rsid w:val="003A36B6"/>
    <w:rsid w:val="003A440F"/>
    <w:rsid w:val="003A5A12"/>
    <w:rsid w:val="003A78F9"/>
    <w:rsid w:val="003B0C9E"/>
    <w:rsid w:val="003B10C2"/>
    <w:rsid w:val="003B3609"/>
    <w:rsid w:val="003B5042"/>
    <w:rsid w:val="003B545D"/>
    <w:rsid w:val="003B7CC9"/>
    <w:rsid w:val="003C68DF"/>
    <w:rsid w:val="003C6A72"/>
    <w:rsid w:val="003C6AC7"/>
    <w:rsid w:val="003D0C85"/>
    <w:rsid w:val="003D5D9F"/>
    <w:rsid w:val="003D752F"/>
    <w:rsid w:val="003E0EC6"/>
    <w:rsid w:val="003E1CB3"/>
    <w:rsid w:val="003E2574"/>
    <w:rsid w:val="003E3558"/>
    <w:rsid w:val="003E44E5"/>
    <w:rsid w:val="003E4E9D"/>
    <w:rsid w:val="003E530C"/>
    <w:rsid w:val="003E7F86"/>
    <w:rsid w:val="003F2C20"/>
    <w:rsid w:val="003F33C7"/>
    <w:rsid w:val="003F498A"/>
    <w:rsid w:val="00401C5E"/>
    <w:rsid w:val="00401FC8"/>
    <w:rsid w:val="00404C2D"/>
    <w:rsid w:val="0040573A"/>
    <w:rsid w:val="00406BE0"/>
    <w:rsid w:val="00410A5C"/>
    <w:rsid w:val="00412F6F"/>
    <w:rsid w:val="004132EC"/>
    <w:rsid w:val="004165B2"/>
    <w:rsid w:val="00417193"/>
    <w:rsid w:val="00417962"/>
    <w:rsid w:val="00420901"/>
    <w:rsid w:val="00421497"/>
    <w:rsid w:val="00422CBE"/>
    <w:rsid w:val="00426FC8"/>
    <w:rsid w:val="004278CB"/>
    <w:rsid w:val="00430BB7"/>
    <w:rsid w:val="00431BAD"/>
    <w:rsid w:val="00434D18"/>
    <w:rsid w:val="00434F56"/>
    <w:rsid w:val="00435E0A"/>
    <w:rsid w:val="00436E0B"/>
    <w:rsid w:val="004409AC"/>
    <w:rsid w:val="004423D5"/>
    <w:rsid w:val="00450B95"/>
    <w:rsid w:val="00450C0A"/>
    <w:rsid w:val="004525E3"/>
    <w:rsid w:val="00452830"/>
    <w:rsid w:val="00452A52"/>
    <w:rsid w:val="004533D7"/>
    <w:rsid w:val="00457E35"/>
    <w:rsid w:val="00460B2C"/>
    <w:rsid w:val="00462FE6"/>
    <w:rsid w:val="00463A97"/>
    <w:rsid w:val="00464DC7"/>
    <w:rsid w:val="00465A90"/>
    <w:rsid w:val="00465FB1"/>
    <w:rsid w:val="004715E1"/>
    <w:rsid w:val="00471F5F"/>
    <w:rsid w:val="00472360"/>
    <w:rsid w:val="004734F6"/>
    <w:rsid w:val="00475D27"/>
    <w:rsid w:val="004765C4"/>
    <w:rsid w:val="00476C0F"/>
    <w:rsid w:val="00476E2C"/>
    <w:rsid w:val="00480ECE"/>
    <w:rsid w:val="004820C4"/>
    <w:rsid w:val="004858FC"/>
    <w:rsid w:val="0048603F"/>
    <w:rsid w:val="004911BA"/>
    <w:rsid w:val="0049174A"/>
    <w:rsid w:val="00493E2A"/>
    <w:rsid w:val="00494F3D"/>
    <w:rsid w:val="004963D4"/>
    <w:rsid w:val="004965C7"/>
    <w:rsid w:val="004968F3"/>
    <w:rsid w:val="004A1488"/>
    <w:rsid w:val="004A1629"/>
    <w:rsid w:val="004A417D"/>
    <w:rsid w:val="004A4A16"/>
    <w:rsid w:val="004A70CE"/>
    <w:rsid w:val="004A73E6"/>
    <w:rsid w:val="004B2EF8"/>
    <w:rsid w:val="004C013B"/>
    <w:rsid w:val="004C0643"/>
    <w:rsid w:val="004C4CE8"/>
    <w:rsid w:val="004D1542"/>
    <w:rsid w:val="004D3941"/>
    <w:rsid w:val="004D4BC5"/>
    <w:rsid w:val="004D6BB1"/>
    <w:rsid w:val="004E0B9A"/>
    <w:rsid w:val="004E1941"/>
    <w:rsid w:val="004E33F5"/>
    <w:rsid w:val="004E6022"/>
    <w:rsid w:val="004E6093"/>
    <w:rsid w:val="0050169D"/>
    <w:rsid w:val="005024FE"/>
    <w:rsid w:val="00502DFE"/>
    <w:rsid w:val="00505237"/>
    <w:rsid w:val="00505F39"/>
    <w:rsid w:val="0050770A"/>
    <w:rsid w:val="005131BD"/>
    <w:rsid w:val="00513AE2"/>
    <w:rsid w:val="00513F33"/>
    <w:rsid w:val="00515786"/>
    <w:rsid w:val="00515C38"/>
    <w:rsid w:val="00516D89"/>
    <w:rsid w:val="005177CF"/>
    <w:rsid w:val="00517C5A"/>
    <w:rsid w:val="00520332"/>
    <w:rsid w:val="005211C4"/>
    <w:rsid w:val="005217DD"/>
    <w:rsid w:val="0052225C"/>
    <w:rsid w:val="005242ED"/>
    <w:rsid w:val="00525A52"/>
    <w:rsid w:val="00525F75"/>
    <w:rsid w:val="00527BD4"/>
    <w:rsid w:val="00532F3F"/>
    <w:rsid w:val="00533879"/>
    <w:rsid w:val="00534EDB"/>
    <w:rsid w:val="005363AB"/>
    <w:rsid w:val="00536A64"/>
    <w:rsid w:val="0053722A"/>
    <w:rsid w:val="005374D0"/>
    <w:rsid w:val="00540BF9"/>
    <w:rsid w:val="00542241"/>
    <w:rsid w:val="005425C4"/>
    <w:rsid w:val="00544B67"/>
    <w:rsid w:val="005453A3"/>
    <w:rsid w:val="00550993"/>
    <w:rsid w:val="00553BE2"/>
    <w:rsid w:val="005548EA"/>
    <w:rsid w:val="0056076C"/>
    <w:rsid w:val="00560A20"/>
    <w:rsid w:val="00560C8F"/>
    <w:rsid w:val="0056184C"/>
    <w:rsid w:val="005636DA"/>
    <w:rsid w:val="00563CB5"/>
    <w:rsid w:val="005654CD"/>
    <w:rsid w:val="00567B66"/>
    <w:rsid w:val="00567BFC"/>
    <w:rsid w:val="00570118"/>
    <w:rsid w:val="0057069D"/>
    <w:rsid w:val="005728DD"/>
    <w:rsid w:val="00572FC2"/>
    <w:rsid w:val="00574285"/>
    <w:rsid w:val="00576041"/>
    <w:rsid w:val="005763C6"/>
    <w:rsid w:val="005771DE"/>
    <w:rsid w:val="0057767F"/>
    <w:rsid w:val="005813B8"/>
    <w:rsid w:val="00582F06"/>
    <w:rsid w:val="00583916"/>
    <w:rsid w:val="005852C8"/>
    <w:rsid w:val="005868FE"/>
    <w:rsid w:val="00587077"/>
    <w:rsid w:val="00593203"/>
    <w:rsid w:val="00595010"/>
    <w:rsid w:val="00596446"/>
    <w:rsid w:val="00597023"/>
    <w:rsid w:val="00597E12"/>
    <w:rsid w:val="005A038B"/>
    <w:rsid w:val="005A0637"/>
    <w:rsid w:val="005A06AE"/>
    <w:rsid w:val="005A3103"/>
    <w:rsid w:val="005A3DD8"/>
    <w:rsid w:val="005A42A9"/>
    <w:rsid w:val="005A5B24"/>
    <w:rsid w:val="005B1930"/>
    <w:rsid w:val="005B3AF7"/>
    <w:rsid w:val="005B48F3"/>
    <w:rsid w:val="005B4E96"/>
    <w:rsid w:val="005B6AAB"/>
    <w:rsid w:val="005B7784"/>
    <w:rsid w:val="005C1922"/>
    <w:rsid w:val="005C2E38"/>
    <w:rsid w:val="005C5487"/>
    <w:rsid w:val="005C5E46"/>
    <w:rsid w:val="005C7E34"/>
    <w:rsid w:val="005D1C5C"/>
    <w:rsid w:val="005D1FCA"/>
    <w:rsid w:val="005D4D4C"/>
    <w:rsid w:val="005E24A9"/>
    <w:rsid w:val="005E48E0"/>
    <w:rsid w:val="005E50C4"/>
    <w:rsid w:val="005E5962"/>
    <w:rsid w:val="005E688D"/>
    <w:rsid w:val="005F04E8"/>
    <w:rsid w:val="005F11F5"/>
    <w:rsid w:val="005F3D5A"/>
    <w:rsid w:val="005F42AC"/>
    <w:rsid w:val="005F4DCA"/>
    <w:rsid w:val="005F7F0D"/>
    <w:rsid w:val="006013B1"/>
    <w:rsid w:val="006029DD"/>
    <w:rsid w:val="00602DFC"/>
    <w:rsid w:val="00603E08"/>
    <w:rsid w:val="006041D9"/>
    <w:rsid w:val="00604869"/>
    <w:rsid w:val="00604F77"/>
    <w:rsid w:val="00605806"/>
    <w:rsid w:val="006058EA"/>
    <w:rsid w:val="00606402"/>
    <w:rsid w:val="006079DC"/>
    <w:rsid w:val="00607AE0"/>
    <w:rsid w:val="00610AAE"/>
    <w:rsid w:val="00612E06"/>
    <w:rsid w:val="00614636"/>
    <w:rsid w:val="00615F46"/>
    <w:rsid w:val="0062062A"/>
    <w:rsid w:val="00621B82"/>
    <w:rsid w:val="006221BA"/>
    <w:rsid w:val="006225C9"/>
    <w:rsid w:val="00622A56"/>
    <w:rsid w:val="00623397"/>
    <w:rsid w:val="00630D3B"/>
    <w:rsid w:val="006338A8"/>
    <w:rsid w:val="006361A6"/>
    <w:rsid w:val="00640437"/>
    <w:rsid w:val="00644482"/>
    <w:rsid w:val="0064598F"/>
    <w:rsid w:val="006507B3"/>
    <w:rsid w:val="006517A6"/>
    <w:rsid w:val="00654BA7"/>
    <w:rsid w:val="00655BDF"/>
    <w:rsid w:val="00655BF1"/>
    <w:rsid w:val="00655C33"/>
    <w:rsid w:val="00665824"/>
    <w:rsid w:val="00665DFA"/>
    <w:rsid w:val="00667EFD"/>
    <w:rsid w:val="00670813"/>
    <w:rsid w:val="00672ACA"/>
    <w:rsid w:val="00673FFD"/>
    <w:rsid w:val="006767F8"/>
    <w:rsid w:val="00676D8C"/>
    <w:rsid w:val="006803D0"/>
    <w:rsid w:val="006807F2"/>
    <w:rsid w:val="00680E3E"/>
    <w:rsid w:val="00682008"/>
    <w:rsid w:val="00682BEA"/>
    <w:rsid w:val="00685AB6"/>
    <w:rsid w:val="00690C29"/>
    <w:rsid w:val="00691326"/>
    <w:rsid w:val="00692AA8"/>
    <w:rsid w:val="00692FBD"/>
    <w:rsid w:val="00693BEF"/>
    <w:rsid w:val="0069405B"/>
    <w:rsid w:val="0069678B"/>
    <w:rsid w:val="00696FF0"/>
    <w:rsid w:val="006A0C43"/>
    <w:rsid w:val="006A1E3B"/>
    <w:rsid w:val="006A418B"/>
    <w:rsid w:val="006A6C5E"/>
    <w:rsid w:val="006B11FF"/>
    <w:rsid w:val="006B2F9E"/>
    <w:rsid w:val="006B306E"/>
    <w:rsid w:val="006B3CEA"/>
    <w:rsid w:val="006B40C6"/>
    <w:rsid w:val="006B446F"/>
    <w:rsid w:val="006B5B56"/>
    <w:rsid w:val="006B5DBB"/>
    <w:rsid w:val="006B622A"/>
    <w:rsid w:val="006B670B"/>
    <w:rsid w:val="006B7240"/>
    <w:rsid w:val="006C0056"/>
    <w:rsid w:val="006C2E82"/>
    <w:rsid w:val="006C2FC9"/>
    <w:rsid w:val="006C3CAC"/>
    <w:rsid w:val="006C52B1"/>
    <w:rsid w:val="006C5F2D"/>
    <w:rsid w:val="006C6833"/>
    <w:rsid w:val="006D0806"/>
    <w:rsid w:val="006D0995"/>
    <w:rsid w:val="006D0D2B"/>
    <w:rsid w:val="006D3CA6"/>
    <w:rsid w:val="006D49E2"/>
    <w:rsid w:val="006D6321"/>
    <w:rsid w:val="006D76AB"/>
    <w:rsid w:val="006E2624"/>
    <w:rsid w:val="006E403E"/>
    <w:rsid w:val="006E5395"/>
    <w:rsid w:val="006E5E28"/>
    <w:rsid w:val="006F0489"/>
    <w:rsid w:val="006F1E91"/>
    <w:rsid w:val="006F507E"/>
    <w:rsid w:val="006F6929"/>
    <w:rsid w:val="006F6C12"/>
    <w:rsid w:val="006F7A20"/>
    <w:rsid w:val="00701A51"/>
    <w:rsid w:val="00701D26"/>
    <w:rsid w:val="00704BA3"/>
    <w:rsid w:val="00710EB9"/>
    <w:rsid w:val="007139F8"/>
    <w:rsid w:val="00714C18"/>
    <w:rsid w:val="00715CC3"/>
    <w:rsid w:val="0071718E"/>
    <w:rsid w:val="00720999"/>
    <w:rsid w:val="00721442"/>
    <w:rsid w:val="00721937"/>
    <w:rsid w:val="00721E32"/>
    <w:rsid w:val="00722ABC"/>
    <w:rsid w:val="00722D1C"/>
    <w:rsid w:val="007230BD"/>
    <w:rsid w:val="00723399"/>
    <w:rsid w:val="007248D1"/>
    <w:rsid w:val="0072770C"/>
    <w:rsid w:val="007313CA"/>
    <w:rsid w:val="00731D61"/>
    <w:rsid w:val="00731F30"/>
    <w:rsid w:val="007327E9"/>
    <w:rsid w:val="00733929"/>
    <w:rsid w:val="007344F0"/>
    <w:rsid w:val="0073508C"/>
    <w:rsid w:val="007354EB"/>
    <w:rsid w:val="007368B4"/>
    <w:rsid w:val="00740030"/>
    <w:rsid w:val="00740427"/>
    <w:rsid w:val="007408B7"/>
    <w:rsid w:val="007418B1"/>
    <w:rsid w:val="007432F1"/>
    <w:rsid w:val="00744DCA"/>
    <w:rsid w:val="00746190"/>
    <w:rsid w:val="0074673D"/>
    <w:rsid w:val="00747286"/>
    <w:rsid w:val="00747996"/>
    <w:rsid w:val="00751310"/>
    <w:rsid w:val="007525CC"/>
    <w:rsid w:val="00754D5D"/>
    <w:rsid w:val="00755AC9"/>
    <w:rsid w:val="00757A73"/>
    <w:rsid w:val="00757DC3"/>
    <w:rsid w:val="007613E7"/>
    <w:rsid w:val="00761C0F"/>
    <w:rsid w:val="007640D6"/>
    <w:rsid w:val="00765CAE"/>
    <w:rsid w:val="0076699F"/>
    <w:rsid w:val="00770941"/>
    <w:rsid w:val="00775CD0"/>
    <w:rsid w:val="00776D8F"/>
    <w:rsid w:val="00777462"/>
    <w:rsid w:val="007812FF"/>
    <w:rsid w:val="007825FC"/>
    <w:rsid w:val="007852FD"/>
    <w:rsid w:val="007864BF"/>
    <w:rsid w:val="00786887"/>
    <w:rsid w:val="00790889"/>
    <w:rsid w:val="007915D1"/>
    <w:rsid w:val="00793DC9"/>
    <w:rsid w:val="0079478A"/>
    <w:rsid w:val="00794956"/>
    <w:rsid w:val="007A317B"/>
    <w:rsid w:val="007A43E0"/>
    <w:rsid w:val="007A4C74"/>
    <w:rsid w:val="007B1BB5"/>
    <w:rsid w:val="007B2D31"/>
    <w:rsid w:val="007B3CA0"/>
    <w:rsid w:val="007B574C"/>
    <w:rsid w:val="007B5C2D"/>
    <w:rsid w:val="007C1FCE"/>
    <w:rsid w:val="007C39D9"/>
    <w:rsid w:val="007C3B15"/>
    <w:rsid w:val="007C4449"/>
    <w:rsid w:val="007C444A"/>
    <w:rsid w:val="007C451C"/>
    <w:rsid w:val="007C480C"/>
    <w:rsid w:val="007C5F99"/>
    <w:rsid w:val="007C6101"/>
    <w:rsid w:val="007D467F"/>
    <w:rsid w:val="007D5786"/>
    <w:rsid w:val="007D7347"/>
    <w:rsid w:val="007E094A"/>
    <w:rsid w:val="007E3CB9"/>
    <w:rsid w:val="007E42E7"/>
    <w:rsid w:val="007E69EB"/>
    <w:rsid w:val="007E7DEF"/>
    <w:rsid w:val="007F080A"/>
    <w:rsid w:val="007F0861"/>
    <w:rsid w:val="007F158B"/>
    <w:rsid w:val="007F18F8"/>
    <w:rsid w:val="007F46AF"/>
    <w:rsid w:val="007F5AC0"/>
    <w:rsid w:val="007F6031"/>
    <w:rsid w:val="007F748D"/>
    <w:rsid w:val="00802A57"/>
    <w:rsid w:val="00802AC9"/>
    <w:rsid w:val="0080533F"/>
    <w:rsid w:val="008062AB"/>
    <w:rsid w:val="008129A3"/>
    <w:rsid w:val="00814E7A"/>
    <w:rsid w:val="008160C7"/>
    <w:rsid w:val="00816626"/>
    <w:rsid w:val="008231B1"/>
    <w:rsid w:val="008244DF"/>
    <w:rsid w:val="00824FFC"/>
    <w:rsid w:val="0082673D"/>
    <w:rsid w:val="0082740C"/>
    <w:rsid w:val="008279E9"/>
    <w:rsid w:val="008307AC"/>
    <w:rsid w:val="008315AC"/>
    <w:rsid w:val="008327E4"/>
    <w:rsid w:val="008361DE"/>
    <w:rsid w:val="008414DF"/>
    <w:rsid w:val="008424C6"/>
    <w:rsid w:val="008455D0"/>
    <w:rsid w:val="00846791"/>
    <w:rsid w:val="00846D6D"/>
    <w:rsid w:val="00853B45"/>
    <w:rsid w:val="00853E90"/>
    <w:rsid w:val="00856A08"/>
    <w:rsid w:val="00857980"/>
    <w:rsid w:val="00857C2E"/>
    <w:rsid w:val="00860703"/>
    <w:rsid w:val="00861C18"/>
    <w:rsid w:val="008624D8"/>
    <w:rsid w:val="00862A4F"/>
    <w:rsid w:val="00863C52"/>
    <w:rsid w:val="008641E2"/>
    <w:rsid w:val="00865C40"/>
    <w:rsid w:val="008661E0"/>
    <w:rsid w:val="0087150D"/>
    <w:rsid w:val="0087418A"/>
    <w:rsid w:val="00875920"/>
    <w:rsid w:val="00876CFB"/>
    <w:rsid w:val="0087736D"/>
    <w:rsid w:val="00883E13"/>
    <w:rsid w:val="00884B85"/>
    <w:rsid w:val="008855E7"/>
    <w:rsid w:val="00885AED"/>
    <w:rsid w:val="008931D4"/>
    <w:rsid w:val="008932E5"/>
    <w:rsid w:val="00894487"/>
    <w:rsid w:val="008A042C"/>
    <w:rsid w:val="008A0A30"/>
    <w:rsid w:val="008A7022"/>
    <w:rsid w:val="008B1912"/>
    <w:rsid w:val="008B2260"/>
    <w:rsid w:val="008B300A"/>
    <w:rsid w:val="008B5DCF"/>
    <w:rsid w:val="008C6F46"/>
    <w:rsid w:val="008C746C"/>
    <w:rsid w:val="008D29EF"/>
    <w:rsid w:val="008D2FAF"/>
    <w:rsid w:val="008D50CE"/>
    <w:rsid w:val="008D557A"/>
    <w:rsid w:val="008D584B"/>
    <w:rsid w:val="008D5A2A"/>
    <w:rsid w:val="008D764D"/>
    <w:rsid w:val="008E2837"/>
    <w:rsid w:val="008E70A2"/>
    <w:rsid w:val="008E711D"/>
    <w:rsid w:val="008E7BFC"/>
    <w:rsid w:val="008E7EB7"/>
    <w:rsid w:val="008F12B4"/>
    <w:rsid w:val="008F2195"/>
    <w:rsid w:val="008F3496"/>
    <w:rsid w:val="008F3C2C"/>
    <w:rsid w:val="008F44AE"/>
    <w:rsid w:val="008F4B79"/>
    <w:rsid w:val="008F4D60"/>
    <w:rsid w:val="008F531C"/>
    <w:rsid w:val="008F599A"/>
    <w:rsid w:val="008F675E"/>
    <w:rsid w:val="008F6EA6"/>
    <w:rsid w:val="00901B56"/>
    <w:rsid w:val="009049DD"/>
    <w:rsid w:val="00904F05"/>
    <w:rsid w:val="009073DB"/>
    <w:rsid w:val="00907BB3"/>
    <w:rsid w:val="0091005D"/>
    <w:rsid w:val="00910396"/>
    <w:rsid w:val="009104A4"/>
    <w:rsid w:val="00911416"/>
    <w:rsid w:val="00911F12"/>
    <w:rsid w:val="00913C47"/>
    <w:rsid w:val="0091418B"/>
    <w:rsid w:val="00916EB1"/>
    <w:rsid w:val="00917EDE"/>
    <w:rsid w:val="0092124D"/>
    <w:rsid w:val="00925474"/>
    <w:rsid w:val="00925632"/>
    <w:rsid w:val="00931472"/>
    <w:rsid w:val="009322DC"/>
    <w:rsid w:val="00932C4B"/>
    <w:rsid w:val="009337A4"/>
    <w:rsid w:val="00935CC2"/>
    <w:rsid w:val="009368F7"/>
    <w:rsid w:val="00937CA1"/>
    <w:rsid w:val="00937E77"/>
    <w:rsid w:val="0094085E"/>
    <w:rsid w:val="00941B33"/>
    <w:rsid w:val="0094474B"/>
    <w:rsid w:val="00950EDB"/>
    <w:rsid w:val="00951273"/>
    <w:rsid w:val="00951B46"/>
    <w:rsid w:val="00955A71"/>
    <w:rsid w:val="00956DDC"/>
    <w:rsid w:val="00960C1D"/>
    <w:rsid w:val="00960C81"/>
    <w:rsid w:val="009647BE"/>
    <w:rsid w:val="0096565D"/>
    <w:rsid w:val="009669AD"/>
    <w:rsid w:val="00971F4E"/>
    <w:rsid w:val="00972C66"/>
    <w:rsid w:val="009744C0"/>
    <w:rsid w:val="0097468C"/>
    <w:rsid w:val="0097791E"/>
    <w:rsid w:val="00982ED5"/>
    <w:rsid w:val="00985E9C"/>
    <w:rsid w:val="00986931"/>
    <w:rsid w:val="00986E3F"/>
    <w:rsid w:val="00986F32"/>
    <w:rsid w:val="009922A7"/>
    <w:rsid w:val="00995EA8"/>
    <w:rsid w:val="0099730B"/>
    <w:rsid w:val="009976C3"/>
    <w:rsid w:val="009A09EA"/>
    <w:rsid w:val="009A1D13"/>
    <w:rsid w:val="009A1DC4"/>
    <w:rsid w:val="009A376A"/>
    <w:rsid w:val="009A6DC9"/>
    <w:rsid w:val="009B3999"/>
    <w:rsid w:val="009B4085"/>
    <w:rsid w:val="009B748E"/>
    <w:rsid w:val="009B7515"/>
    <w:rsid w:val="009C2726"/>
    <w:rsid w:val="009C3470"/>
    <w:rsid w:val="009C4C64"/>
    <w:rsid w:val="009C754B"/>
    <w:rsid w:val="009D0827"/>
    <w:rsid w:val="009D0E05"/>
    <w:rsid w:val="009D1E6D"/>
    <w:rsid w:val="009D4BCB"/>
    <w:rsid w:val="009D4E73"/>
    <w:rsid w:val="009D6B65"/>
    <w:rsid w:val="009E0FEF"/>
    <w:rsid w:val="009E1BF7"/>
    <w:rsid w:val="009E34D1"/>
    <w:rsid w:val="009E4D02"/>
    <w:rsid w:val="009E505F"/>
    <w:rsid w:val="009E58C6"/>
    <w:rsid w:val="009F1A56"/>
    <w:rsid w:val="009F2762"/>
    <w:rsid w:val="009F2A0E"/>
    <w:rsid w:val="009F372B"/>
    <w:rsid w:val="009F3F9C"/>
    <w:rsid w:val="009F482C"/>
    <w:rsid w:val="009F6128"/>
    <w:rsid w:val="00A003C2"/>
    <w:rsid w:val="00A00CF4"/>
    <w:rsid w:val="00A02A54"/>
    <w:rsid w:val="00A02F4F"/>
    <w:rsid w:val="00A033E3"/>
    <w:rsid w:val="00A03951"/>
    <w:rsid w:val="00A06FD8"/>
    <w:rsid w:val="00A07CA0"/>
    <w:rsid w:val="00A10351"/>
    <w:rsid w:val="00A1043F"/>
    <w:rsid w:val="00A1286F"/>
    <w:rsid w:val="00A1460C"/>
    <w:rsid w:val="00A154A8"/>
    <w:rsid w:val="00A17CD3"/>
    <w:rsid w:val="00A20DBF"/>
    <w:rsid w:val="00A21125"/>
    <w:rsid w:val="00A22845"/>
    <w:rsid w:val="00A22877"/>
    <w:rsid w:val="00A25695"/>
    <w:rsid w:val="00A264ED"/>
    <w:rsid w:val="00A26A6A"/>
    <w:rsid w:val="00A30730"/>
    <w:rsid w:val="00A342D7"/>
    <w:rsid w:val="00A353DC"/>
    <w:rsid w:val="00A3563A"/>
    <w:rsid w:val="00A36FDD"/>
    <w:rsid w:val="00A40AD1"/>
    <w:rsid w:val="00A41DB1"/>
    <w:rsid w:val="00A431A0"/>
    <w:rsid w:val="00A45D04"/>
    <w:rsid w:val="00A476CD"/>
    <w:rsid w:val="00A500C4"/>
    <w:rsid w:val="00A5112A"/>
    <w:rsid w:val="00A52673"/>
    <w:rsid w:val="00A52B3C"/>
    <w:rsid w:val="00A55DBF"/>
    <w:rsid w:val="00A563DA"/>
    <w:rsid w:val="00A57CFD"/>
    <w:rsid w:val="00A60B3A"/>
    <w:rsid w:val="00A60C55"/>
    <w:rsid w:val="00A6322C"/>
    <w:rsid w:val="00A67054"/>
    <w:rsid w:val="00A705C2"/>
    <w:rsid w:val="00A70A01"/>
    <w:rsid w:val="00A71757"/>
    <w:rsid w:val="00A73B21"/>
    <w:rsid w:val="00A73E15"/>
    <w:rsid w:val="00A754FF"/>
    <w:rsid w:val="00A75D0B"/>
    <w:rsid w:val="00A85FF2"/>
    <w:rsid w:val="00A87513"/>
    <w:rsid w:val="00A87E11"/>
    <w:rsid w:val="00A921F6"/>
    <w:rsid w:val="00A925C2"/>
    <w:rsid w:val="00A942E2"/>
    <w:rsid w:val="00A9552B"/>
    <w:rsid w:val="00AA0EF2"/>
    <w:rsid w:val="00AA1A85"/>
    <w:rsid w:val="00AA2105"/>
    <w:rsid w:val="00AA3096"/>
    <w:rsid w:val="00AA5257"/>
    <w:rsid w:val="00AA5884"/>
    <w:rsid w:val="00AB2C23"/>
    <w:rsid w:val="00AB4DE7"/>
    <w:rsid w:val="00AB54C6"/>
    <w:rsid w:val="00AB551B"/>
    <w:rsid w:val="00AB70B5"/>
    <w:rsid w:val="00AB7797"/>
    <w:rsid w:val="00AB7BF8"/>
    <w:rsid w:val="00AC0187"/>
    <w:rsid w:val="00AC01E1"/>
    <w:rsid w:val="00AC2CE3"/>
    <w:rsid w:val="00AC5451"/>
    <w:rsid w:val="00AC555C"/>
    <w:rsid w:val="00AC6A14"/>
    <w:rsid w:val="00AD0F53"/>
    <w:rsid w:val="00AD1502"/>
    <w:rsid w:val="00AD236D"/>
    <w:rsid w:val="00AD27F6"/>
    <w:rsid w:val="00AD2A22"/>
    <w:rsid w:val="00AD411D"/>
    <w:rsid w:val="00AD5234"/>
    <w:rsid w:val="00AD60D1"/>
    <w:rsid w:val="00AD6F75"/>
    <w:rsid w:val="00AD706A"/>
    <w:rsid w:val="00AD79E6"/>
    <w:rsid w:val="00AD7B0E"/>
    <w:rsid w:val="00AE1CFB"/>
    <w:rsid w:val="00AE2B64"/>
    <w:rsid w:val="00AE3AE4"/>
    <w:rsid w:val="00AE72A9"/>
    <w:rsid w:val="00AE7A04"/>
    <w:rsid w:val="00AE7BD2"/>
    <w:rsid w:val="00AF0714"/>
    <w:rsid w:val="00AF3AFA"/>
    <w:rsid w:val="00AF4CEB"/>
    <w:rsid w:val="00AF522A"/>
    <w:rsid w:val="00B01F52"/>
    <w:rsid w:val="00B02DA1"/>
    <w:rsid w:val="00B05F60"/>
    <w:rsid w:val="00B11FEF"/>
    <w:rsid w:val="00B12951"/>
    <w:rsid w:val="00B1576C"/>
    <w:rsid w:val="00B17E42"/>
    <w:rsid w:val="00B24190"/>
    <w:rsid w:val="00B249B4"/>
    <w:rsid w:val="00B26AF0"/>
    <w:rsid w:val="00B32CCF"/>
    <w:rsid w:val="00B403E7"/>
    <w:rsid w:val="00B4145B"/>
    <w:rsid w:val="00B42CA1"/>
    <w:rsid w:val="00B42D33"/>
    <w:rsid w:val="00B46278"/>
    <w:rsid w:val="00B471FC"/>
    <w:rsid w:val="00B50BBC"/>
    <w:rsid w:val="00B528CF"/>
    <w:rsid w:val="00B549C5"/>
    <w:rsid w:val="00B55E8A"/>
    <w:rsid w:val="00B56AF0"/>
    <w:rsid w:val="00B56EED"/>
    <w:rsid w:val="00B61440"/>
    <w:rsid w:val="00B62911"/>
    <w:rsid w:val="00B63810"/>
    <w:rsid w:val="00B63A96"/>
    <w:rsid w:val="00B64A81"/>
    <w:rsid w:val="00B6563C"/>
    <w:rsid w:val="00B65948"/>
    <w:rsid w:val="00B66040"/>
    <w:rsid w:val="00B66139"/>
    <w:rsid w:val="00B6698A"/>
    <w:rsid w:val="00B66A83"/>
    <w:rsid w:val="00B66EC3"/>
    <w:rsid w:val="00B673BE"/>
    <w:rsid w:val="00B679A0"/>
    <w:rsid w:val="00B712A6"/>
    <w:rsid w:val="00B71959"/>
    <w:rsid w:val="00B7492B"/>
    <w:rsid w:val="00B75504"/>
    <w:rsid w:val="00B76DA2"/>
    <w:rsid w:val="00B77745"/>
    <w:rsid w:val="00B77C17"/>
    <w:rsid w:val="00B80B8D"/>
    <w:rsid w:val="00B8219D"/>
    <w:rsid w:val="00B82C33"/>
    <w:rsid w:val="00B83F80"/>
    <w:rsid w:val="00B84341"/>
    <w:rsid w:val="00B85FA3"/>
    <w:rsid w:val="00B9005B"/>
    <w:rsid w:val="00B934B7"/>
    <w:rsid w:val="00B93E74"/>
    <w:rsid w:val="00B96061"/>
    <w:rsid w:val="00BA0F43"/>
    <w:rsid w:val="00BA130E"/>
    <w:rsid w:val="00BA2CB6"/>
    <w:rsid w:val="00BA31CD"/>
    <w:rsid w:val="00BA353F"/>
    <w:rsid w:val="00BA3A0A"/>
    <w:rsid w:val="00BA3AA8"/>
    <w:rsid w:val="00BA634E"/>
    <w:rsid w:val="00BB144B"/>
    <w:rsid w:val="00BB20A6"/>
    <w:rsid w:val="00BB2FEA"/>
    <w:rsid w:val="00BB3199"/>
    <w:rsid w:val="00BB7C2D"/>
    <w:rsid w:val="00BC03AB"/>
    <w:rsid w:val="00BC03D3"/>
    <w:rsid w:val="00BC247D"/>
    <w:rsid w:val="00BC27D1"/>
    <w:rsid w:val="00BC2D2F"/>
    <w:rsid w:val="00BC40C4"/>
    <w:rsid w:val="00BC4C99"/>
    <w:rsid w:val="00BC649D"/>
    <w:rsid w:val="00BD44BC"/>
    <w:rsid w:val="00BD5D81"/>
    <w:rsid w:val="00BD6AEF"/>
    <w:rsid w:val="00BD6BEA"/>
    <w:rsid w:val="00BE0938"/>
    <w:rsid w:val="00BE4180"/>
    <w:rsid w:val="00BE46D1"/>
    <w:rsid w:val="00BE5C56"/>
    <w:rsid w:val="00BE665D"/>
    <w:rsid w:val="00C0231C"/>
    <w:rsid w:val="00C03C28"/>
    <w:rsid w:val="00C04B5F"/>
    <w:rsid w:val="00C05543"/>
    <w:rsid w:val="00C05E55"/>
    <w:rsid w:val="00C07266"/>
    <w:rsid w:val="00C0748C"/>
    <w:rsid w:val="00C075CD"/>
    <w:rsid w:val="00C1273B"/>
    <w:rsid w:val="00C15799"/>
    <w:rsid w:val="00C15A09"/>
    <w:rsid w:val="00C17C6E"/>
    <w:rsid w:val="00C2003D"/>
    <w:rsid w:val="00C223AD"/>
    <w:rsid w:val="00C237EC"/>
    <w:rsid w:val="00C24032"/>
    <w:rsid w:val="00C24033"/>
    <w:rsid w:val="00C2411C"/>
    <w:rsid w:val="00C24945"/>
    <w:rsid w:val="00C24C62"/>
    <w:rsid w:val="00C26AD5"/>
    <w:rsid w:val="00C305B2"/>
    <w:rsid w:val="00C306D2"/>
    <w:rsid w:val="00C30AD8"/>
    <w:rsid w:val="00C3147B"/>
    <w:rsid w:val="00C318D8"/>
    <w:rsid w:val="00C327B2"/>
    <w:rsid w:val="00C330A6"/>
    <w:rsid w:val="00C359B8"/>
    <w:rsid w:val="00C362D7"/>
    <w:rsid w:val="00C4674A"/>
    <w:rsid w:val="00C47083"/>
    <w:rsid w:val="00C53632"/>
    <w:rsid w:val="00C53D16"/>
    <w:rsid w:val="00C54235"/>
    <w:rsid w:val="00C5473E"/>
    <w:rsid w:val="00C555D2"/>
    <w:rsid w:val="00C62095"/>
    <w:rsid w:val="00C66267"/>
    <w:rsid w:val="00C70448"/>
    <w:rsid w:val="00C70949"/>
    <w:rsid w:val="00C70A3C"/>
    <w:rsid w:val="00C73689"/>
    <w:rsid w:val="00C75787"/>
    <w:rsid w:val="00C8205E"/>
    <w:rsid w:val="00C82B6C"/>
    <w:rsid w:val="00C82CC4"/>
    <w:rsid w:val="00C83879"/>
    <w:rsid w:val="00C84609"/>
    <w:rsid w:val="00C85599"/>
    <w:rsid w:val="00C8607D"/>
    <w:rsid w:val="00C86B8E"/>
    <w:rsid w:val="00C87DA5"/>
    <w:rsid w:val="00C93704"/>
    <w:rsid w:val="00C94B37"/>
    <w:rsid w:val="00C956E6"/>
    <w:rsid w:val="00C95B85"/>
    <w:rsid w:val="00C95ED2"/>
    <w:rsid w:val="00C960F0"/>
    <w:rsid w:val="00C96763"/>
    <w:rsid w:val="00CA4080"/>
    <w:rsid w:val="00CA5773"/>
    <w:rsid w:val="00CA57EF"/>
    <w:rsid w:val="00CA6835"/>
    <w:rsid w:val="00CA6E3A"/>
    <w:rsid w:val="00CB0ABF"/>
    <w:rsid w:val="00CB5050"/>
    <w:rsid w:val="00CB538B"/>
    <w:rsid w:val="00CB6537"/>
    <w:rsid w:val="00CC3637"/>
    <w:rsid w:val="00CC3FD1"/>
    <w:rsid w:val="00CC4150"/>
    <w:rsid w:val="00CC4DE7"/>
    <w:rsid w:val="00CC6B79"/>
    <w:rsid w:val="00CC7249"/>
    <w:rsid w:val="00CD01AF"/>
    <w:rsid w:val="00CD030B"/>
    <w:rsid w:val="00CD0720"/>
    <w:rsid w:val="00CD25F3"/>
    <w:rsid w:val="00CD543D"/>
    <w:rsid w:val="00CD6235"/>
    <w:rsid w:val="00CD75EC"/>
    <w:rsid w:val="00CE109A"/>
    <w:rsid w:val="00CE1823"/>
    <w:rsid w:val="00CE28AC"/>
    <w:rsid w:val="00CE2F42"/>
    <w:rsid w:val="00CE3809"/>
    <w:rsid w:val="00CE3861"/>
    <w:rsid w:val="00CE55EE"/>
    <w:rsid w:val="00CE6727"/>
    <w:rsid w:val="00CE78AA"/>
    <w:rsid w:val="00CF062B"/>
    <w:rsid w:val="00CF23B7"/>
    <w:rsid w:val="00CF2CB6"/>
    <w:rsid w:val="00CF3701"/>
    <w:rsid w:val="00CF617D"/>
    <w:rsid w:val="00D01A39"/>
    <w:rsid w:val="00D01D14"/>
    <w:rsid w:val="00D02DCC"/>
    <w:rsid w:val="00D03914"/>
    <w:rsid w:val="00D05C34"/>
    <w:rsid w:val="00D0723F"/>
    <w:rsid w:val="00D11048"/>
    <w:rsid w:val="00D11839"/>
    <w:rsid w:val="00D11A85"/>
    <w:rsid w:val="00D1417F"/>
    <w:rsid w:val="00D155EA"/>
    <w:rsid w:val="00D1682E"/>
    <w:rsid w:val="00D175E7"/>
    <w:rsid w:val="00D178BD"/>
    <w:rsid w:val="00D21B71"/>
    <w:rsid w:val="00D22CF0"/>
    <w:rsid w:val="00D22EF6"/>
    <w:rsid w:val="00D249B3"/>
    <w:rsid w:val="00D278A5"/>
    <w:rsid w:val="00D310FD"/>
    <w:rsid w:val="00D316BD"/>
    <w:rsid w:val="00D32592"/>
    <w:rsid w:val="00D328B0"/>
    <w:rsid w:val="00D34433"/>
    <w:rsid w:val="00D34834"/>
    <w:rsid w:val="00D358DE"/>
    <w:rsid w:val="00D368DD"/>
    <w:rsid w:val="00D37AD1"/>
    <w:rsid w:val="00D4138E"/>
    <w:rsid w:val="00D43313"/>
    <w:rsid w:val="00D436A3"/>
    <w:rsid w:val="00D438C8"/>
    <w:rsid w:val="00D43EAB"/>
    <w:rsid w:val="00D441ED"/>
    <w:rsid w:val="00D44614"/>
    <w:rsid w:val="00D46F0A"/>
    <w:rsid w:val="00D512AE"/>
    <w:rsid w:val="00D53D29"/>
    <w:rsid w:val="00D571A7"/>
    <w:rsid w:val="00D5750D"/>
    <w:rsid w:val="00D60D58"/>
    <w:rsid w:val="00D612FB"/>
    <w:rsid w:val="00D62278"/>
    <w:rsid w:val="00D63870"/>
    <w:rsid w:val="00D65D2D"/>
    <w:rsid w:val="00D66E25"/>
    <w:rsid w:val="00D67B32"/>
    <w:rsid w:val="00D722B3"/>
    <w:rsid w:val="00D735C7"/>
    <w:rsid w:val="00D73A57"/>
    <w:rsid w:val="00D74135"/>
    <w:rsid w:val="00D747A5"/>
    <w:rsid w:val="00D74848"/>
    <w:rsid w:val="00D76BBF"/>
    <w:rsid w:val="00D80C4B"/>
    <w:rsid w:val="00D822A7"/>
    <w:rsid w:val="00D82A4B"/>
    <w:rsid w:val="00D836BC"/>
    <w:rsid w:val="00D9199C"/>
    <w:rsid w:val="00D93A51"/>
    <w:rsid w:val="00D9487B"/>
    <w:rsid w:val="00D95193"/>
    <w:rsid w:val="00DA2ACD"/>
    <w:rsid w:val="00DA5892"/>
    <w:rsid w:val="00DA6330"/>
    <w:rsid w:val="00DA6E48"/>
    <w:rsid w:val="00DA7BEA"/>
    <w:rsid w:val="00DA7F0E"/>
    <w:rsid w:val="00DB083E"/>
    <w:rsid w:val="00DB1B77"/>
    <w:rsid w:val="00DB25B2"/>
    <w:rsid w:val="00DB29A5"/>
    <w:rsid w:val="00DB490E"/>
    <w:rsid w:val="00DB496A"/>
    <w:rsid w:val="00DB6D37"/>
    <w:rsid w:val="00DB743B"/>
    <w:rsid w:val="00DC142C"/>
    <w:rsid w:val="00DC2F09"/>
    <w:rsid w:val="00DC5AC7"/>
    <w:rsid w:val="00DC64A0"/>
    <w:rsid w:val="00DD1BF2"/>
    <w:rsid w:val="00DD26C0"/>
    <w:rsid w:val="00DD3DD7"/>
    <w:rsid w:val="00DD6C49"/>
    <w:rsid w:val="00DD7DDF"/>
    <w:rsid w:val="00DE03BB"/>
    <w:rsid w:val="00DE19CE"/>
    <w:rsid w:val="00DE317A"/>
    <w:rsid w:val="00DE4260"/>
    <w:rsid w:val="00DE4459"/>
    <w:rsid w:val="00DE5251"/>
    <w:rsid w:val="00DE77D3"/>
    <w:rsid w:val="00DF35FE"/>
    <w:rsid w:val="00DF3C18"/>
    <w:rsid w:val="00DF463F"/>
    <w:rsid w:val="00DF5680"/>
    <w:rsid w:val="00DF5A12"/>
    <w:rsid w:val="00DF60B6"/>
    <w:rsid w:val="00DF6C2F"/>
    <w:rsid w:val="00E00181"/>
    <w:rsid w:val="00E02811"/>
    <w:rsid w:val="00E07FC2"/>
    <w:rsid w:val="00E11EC1"/>
    <w:rsid w:val="00E14B79"/>
    <w:rsid w:val="00E15869"/>
    <w:rsid w:val="00E15AB4"/>
    <w:rsid w:val="00E171DE"/>
    <w:rsid w:val="00E20D49"/>
    <w:rsid w:val="00E23CF8"/>
    <w:rsid w:val="00E2448F"/>
    <w:rsid w:val="00E24E56"/>
    <w:rsid w:val="00E25DAE"/>
    <w:rsid w:val="00E327C3"/>
    <w:rsid w:val="00E3411C"/>
    <w:rsid w:val="00E34E46"/>
    <w:rsid w:val="00E35866"/>
    <w:rsid w:val="00E36888"/>
    <w:rsid w:val="00E37327"/>
    <w:rsid w:val="00E3738F"/>
    <w:rsid w:val="00E37988"/>
    <w:rsid w:val="00E404A3"/>
    <w:rsid w:val="00E415CF"/>
    <w:rsid w:val="00E53176"/>
    <w:rsid w:val="00E53854"/>
    <w:rsid w:val="00E577FF"/>
    <w:rsid w:val="00E640D0"/>
    <w:rsid w:val="00E65BBE"/>
    <w:rsid w:val="00E7520B"/>
    <w:rsid w:val="00E75B18"/>
    <w:rsid w:val="00E77515"/>
    <w:rsid w:val="00E805A9"/>
    <w:rsid w:val="00E80EA6"/>
    <w:rsid w:val="00E81D3A"/>
    <w:rsid w:val="00E85699"/>
    <w:rsid w:val="00E9015A"/>
    <w:rsid w:val="00E90F45"/>
    <w:rsid w:val="00E910BE"/>
    <w:rsid w:val="00E918EB"/>
    <w:rsid w:val="00E93120"/>
    <w:rsid w:val="00E946ED"/>
    <w:rsid w:val="00E95AA5"/>
    <w:rsid w:val="00E9692F"/>
    <w:rsid w:val="00E97495"/>
    <w:rsid w:val="00EA0253"/>
    <w:rsid w:val="00EA2BF3"/>
    <w:rsid w:val="00EA6357"/>
    <w:rsid w:val="00EB01B0"/>
    <w:rsid w:val="00EB1853"/>
    <w:rsid w:val="00EB33F6"/>
    <w:rsid w:val="00EB4B9A"/>
    <w:rsid w:val="00EB628E"/>
    <w:rsid w:val="00EB7B05"/>
    <w:rsid w:val="00EC14CB"/>
    <w:rsid w:val="00EC291D"/>
    <w:rsid w:val="00EC4FE1"/>
    <w:rsid w:val="00EC5C17"/>
    <w:rsid w:val="00EC71EA"/>
    <w:rsid w:val="00EC7C22"/>
    <w:rsid w:val="00ED0038"/>
    <w:rsid w:val="00ED211D"/>
    <w:rsid w:val="00ED2C0F"/>
    <w:rsid w:val="00ED3B54"/>
    <w:rsid w:val="00ED50B9"/>
    <w:rsid w:val="00ED5E21"/>
    <w:rsid w:val="00EE0414"/>
    <w:rsid w:val="00EE0CCC"/>
    <w:rsid w:val="00EE18B5"/>
    <w:rsid w:val="00EE1B3F"/>
    <w:rsid w:val="00EE6749"/>
    <w:rsid w:val="00EE78EA"/>
    <w:rsid w:val="00EE7E15"/>
    <w:rsid w:val="00EF10CB"/>
    <w:rsid w:val="00EF299C"/>
    <w:rsid w:val="00EF3548"/>
    <w:rsid w:val="00EF69CB"/>
    <w:rsid w:val="00F0268C"/>
    <w:rsid w:val="00F05FB4"/>
    <w:rsid w:val="00F06B23"/>
    <w:rsid w:val="00F10E5D"/>
    <w:rsid w:val="00F1346D"/>
    <w:rsid w:val="00F14441"/>
    <w:rsid w:val="00F14B8D"/>
    <w:rsid w:val="00F16B8A"/>
    <w:rsid w:val="00F20DE1"/>
    <w:rsid w:val="00F22365"/>
    <w:rsid w:val="00F23355"/>
    <w:rsid w:val="00F23AE0"/>
    <w:rsid w:val="00F24425"/>
    <w:rsid w:val="00F24FC2"/>
    <w:rsid w:val="00F26C4A"/>
    <w:rsid w:val="00F301BA"/>
    <w:rsid w:val="00F344A4"/>
    <w:rsid w:val="00F40B7D"/>
    <w:rsid w:val="00F4259E"/>
    <w:rsid w:val="00F42858"/>
    <w:rsid w:val="00F44E69"/>
    <w:rsid w:val="00F45109"/>
    <w:rsid w:val="00F460A6"/>
    <w:rsid w:val="00F47031"/>
    <w:rsid w:val="00F47391"/>
    <w:rsid w:val="00F475E8"/>
    <w:rsid w:val="00F50EAC"/>
    <w:rsid w:val="00F550A5"/>
    <w:rsid w:val="00F610DD"/>
    <w:rsid w:val="00F61110"/>
    <w:rsid w:val="00F62EE4"/>
    <w:rsid w:val="00F63B45"/>
    <w:rsid w:val="00F63FD0"/>
    <w:rsid w:val="00F648AA"/>
    <w:rsid w:val="00F64B6C"/>
    <w:rsid w:val="00F67019"/>
    <w:rsid w:val="00F7201A"/>
    <w:rsid w:val="00F73198"/>
    <w:rsid w:val="00F743B7"/>
    <w:rsid w:val="00F814F6"/>
    <w:rsid w:val="00F828A3"/>
    <w:rsid w:val="00F82EB3"/>
    <w:rsid w:val="00F83544"/>
    <w:rsid w:val="00F84270"/>
    <w:rsid w:val="00F855A7"/>
    <w:rsid w:val="00F86892"/>
    <w:rsid w:val="00F87B5D"/>
    <w:rsid w:val="00F91376"/>
    <w:rsid w:val="00F942CA"/>
    <w:rsid w:val="00F9535C"/>
    <w:rsid w:val="00F95C96"/>
    <w:rsid w:val="00F97630"/>
    <w:rsid w:val="00F97C31"/>
    <w:rsid w:val="00FA05C3"/>
    <w:rsid w:val="00FA1714"/>
    <w:rsid w:val="00FA2913"/>
    <w:rsid w:val="00FA4184"/>
    <w:rsid w:val="00FA5168"/>
    <w:rsid w:val="00FA5364"/>
    <w:rsid w:val="00FA78A9"/>
    <w:rsid w:val="00FB06EA"/>
    <w:rsid w:val="00FB0ED7"/>
    <w:rsid w:val="00FB1ECA"/>
    <w:rsid w:val="00FB2E50"/>
    <w:rsid w:val="00FB3A05"/>
    <w:rsid w:val="00FC0ECA"/>
    <w:rsid w:val="00FC0FA0"/>
    <w:rsid w:val="00FC10B4"/>
    <w:rsid w:val="00FC2DB8"/>
    <w:rsid w:val="00FC32AD"/>
    <w:rsid w:val="00FC40CD"/>
    <w:rsid w:val="00FC68C4"/>
    <w:rsid w:val="00FC6DFB"/>
    <w:rsid w:val="00FD044A"/>
    <w:rsid w:val="00FD0DA5"/>
    <w:rsid w:val="00FD1450"/>
    <w:rsid w:val="00FD16EB"/>
    <w:rsid w:val="00FD26F5"/>
    <w:rsid w:val="00FD3AED"/>
    <w:rsid w:val="00FD523B"/>
    <w:rsid w:val="00FD536B"/>
    <w:rsid w:val="00FD60C1"/>
    <w:rsid w:val="00FD76F2"/>
    <w:rsid w:val="00FD7E90"/>
    <w:rsid w:val="00FE0CC2"/>
    <w:rsid w:val="00FE0CD6"/>
    <w:rsid w:val="00FE3569"/>
    <w:rsid w:val="00FE3DFF"/>
    <w:rsid w:val="00FE464C"/>
    <w:rsid w:val="00FE46A0"/>
    <w:rsid w:val="00FE46F4"/>
    <w:rsid w:val="00FF2DB4"/>
    <w:rsid w:val="00FF32D8"/>
    <w:rsid w:val="00FF3AB9"/>
    <w:rsid w:val="00FF6D82"/>
    <w:rsid w:val="00FF74D6"/>
    <w:rsid w:val="00FF7B6E"/>
    <w:rsid w:val="00FF7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8B255"/>
  <w15:docId w15:val="{979C2851-39DB-47DD-A023-AEC0CAD7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4F"/>
    <w:rPr>
      <w:rFonts w:ascii="Times New Roman" w:eastAsia="Times New Roman" w:hAnsi="Times New Roman" w:cs="Times New Roman"/>
      <w:lang w:eastAsia="en-GB"/>
    </w:rPr>
  </w:style>
  <w:style w:type="paragraph" w:styleId="Heading1">
    <w:name w:val="heading 1"/>
    <w:basedOn w:val="Normal"/>
    <w:link w:val="Heading1Char"/>
    <w:uiPriority w:val="9"/>
    <w:qFormat/>
    <w:rsid w:val="00B638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506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018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F475E8"/>
    <w:pPr>
      <w:spacing w:before="100" w:beforeAutospacing="1" w:after="100" w:afterAutospacing="1"/>
    </w:pPr>
  </w:style>
  <w:style w:type="character" w:customStyle="1" w:styleId="notranslate">
    <w:name w:val="notranslate"/>
    <w:basedOn w:val="DefaultParagraphFont"/>
    <w:rsid w:val="006D0D2B"/>
  </w:style>
  <w:style w:type="character" w:styleId="Hyperlink">
    <w:name w:val="Hyperlink"/>
    <w:basedOn w:val="DefaultParagraphFont"/>
    <w:uiPriority w:val="99"/>
    <w:unhideWhenUsed/>
    <w:rsid w:val="006F507E"/>
    <w:rPr>
      <w:color w:val="0563C1" w:themeColor="hyperlink"/>
      <w:u w:val="single"/>
    </w:rPr>
  </w:style>
  <w:style w:type="character" w:styleId="UnresolvedMention">
    <w:name w:val="Unresolved Mention"/>
    <w:basedOn w:val="DefaultParagraphFont"/>
    <w:uiPriority w:val="99"/>
    <w:semiHidden/>
    <w:unhideWhenUsed/>
    <w:rsid w:val="006F507E"/>
    <w:rPr>
      <w:color w:val="605E5C"/>
      <w:shd w:val="clear" w:color="auto" w:fill="E1DFDD"/>
    </w:rPr>
  </w:style>
  <w:style w:type="paragraph" w:styleId="FootnoteText">
    <w:name w:val="footnote text"/>
    <w:basedOn w:val="Normal"/>
    <w:link w:val="FootnoteTextChar"/>
    <w:uiPriority w:val="99"/>
    <w:unhideWhenUsed/>
    <w:rsid w:val="00430BB7"/>
    <w:rPr>
      <w:sz w:val="20"/>
      <w:szCs w:val="20"/>
    </w:rPr>
  </w:style>
  <w:style w:type="character" w:customStyle="1" w:styleId="FootnoteTextChar">
    <w:name w:val="Footnote Text Char"/>
    <w:basedOn w:val="DefaultParagraphFont"/>
    <w:link w:val="FootnoteText"/>
    <w:uiPriority w:val="99"/>
    <w:rsid w:val="00430BB7"/>
    <w:rPr>
      <w:sz w:val="20"/>
      <w:szCs w:val="20"/>
    </w:rPr>
  </w:style>
  <w:style w:type="character" w:styleId="FootnoteReference">
    <w:name w:val="footnote reference"/>
    <w:basedOn w:val="DefaultParagraphFont"/>
    <w:uiPriority w:val="99"/>
    <w:semiHidden/>
    <w:unhideWhenUsed/>
    <w:rsid w:val="00430BB7"/>
    <w:rPr>
      <w:vertAlign w:val="superscript"/>
    </w:rPr>
  </w:style>
  <w:style w:type="paragraph" w:customStyle="1" w:styleId="Default">
    <w:name w:val="Default"/>
    <w:rsid w:val="000947F7"/>
    <w:pPr>
      <w:autoSpaceDE w:val="0"/>
      <w:autoSpaceDN w:val="0"/>
      <w:adjustRightInd w:val="0"/>
    </w:pPr>
    <w:rPr>
      <w:rFonts w:ascii="Arial" w:hAnsi="Arial" w:cs="Arial"/>
      <w:color w:val="000000"/>
      <w:lang w:val="en-US"/>
    </w:rPr>
  </w:style>
  <w:style w:type="character" w:customStyle="1" w:styleId="para1span">
    <w:name w:val="para1span"/>
    <w:basedOn w:val="DefaultParagraphFont"/>
    <w:rsid w:val="00D44614"/>
  </w:style>
  <w:style w:type="character" w:styleId="Emphasis">
    <w:name w:val="Emphasis"/>
    <w:basedOn w:val="DefaultParagraphFont"/>
    <w:uiPriority w:val="20"/>
    <w:qFormat/>
    <w:rsid w:val="00D44614"/>
    <w:rPr>
      <w:i/>
      <w:iCs/>
    </w:rPr>
  </w:style>
  <w:style w:type="character" w:customStyle="1" w:styleId="no-break">
    <w:name w:val="no-break"/>
    <w:basedOn w:val="DefaultParagraphFont"/>
    <w:rsid w:val="00D44614"/>
  </w:style>
  <w:style w:type="paragraph" w:customStyle="1" w:styleId="crpara1">
    <w:name w:val="crpara1"/>
    <w:basedOn w:val="Normal"/>
    <w:rsid w:val="00D44614"/>
    <w:pPr>
      <w:spacing w:before="100" w:beforeAutospacing="1" w:after="100" w:afterAutospacing="1"/>
    </w:pPr>
  </w:style>
  <w:style w:type="paragraph" w:customStyle="1" w:styleId="unorderedlist1">
    <w:name w:val="unorderedlist1"/>
    <w:basedOn w:val="Normal"/>
    <w:rsid w:val="00D44614"/>
    <w:pPr>
      <w:spacing w:before="100" w:beforeAutospacing="1" w:after="100" w:afterAutospacing="1"/>
    </w:pPr>
  </w:style>
  <w:style w:type="character" w:customStyle="1" w:styleId="note">
    <w:name w:val="note"/>
    <w:basedOn w:val="DefaultParagraphFont"/>
    <w:rsid w:val="00C24033"/>
  </w:style>
  <w:style w:type="character" w:customStyle="1" w:styleId="italic">
    <w:name w:val="italic"/>
    <w:basedOn w:val="DefaultParagraphFont"/>
    <w:rsid w:val="00C24033"/>
  </w:style>
  <w:style w:type="paragraph" w:customStyle="1" w:styleId="count">
    <w:name w:val="count"/>
    <w:basedOn w:val="Normal"/>
    <w:rsid w:val="00C24033"/>
    <w:pPr>
      <w:spacing w:before="100" w:beforeAutospacing="1" w:after="100" w:afterAutospacing="1"/>
    </w:pPr>
  </w:style>
  <w:style w:type="paragraph" w:customStyle="1" w:styleId="Normal2">
    <w:name w:val="Normal2"/>
    <w:basedOn w:val="Normal"/>
    <w:rsid w:val="00C24033"/>
    <w:pPr>
      <w:spacing w:before="100" w:beforeAutospacing="1" w:after="100" w:afterAutospacing="1"/>
    </w:pPr>
  </w:style>
  <w:style w:type="character" w:customStyle="1" w:styleId="highlight">
    <w:name w:val="highlight"/>
    <w:basedOn w:val="DefaultParagraphFont"/>
    <w:rsid w:val="00C24033"/>
  </w:style>
  <w:style w:type="paragraph" w:styleId="BalloonText">
    <w:name w:val="Balloon Text"/>
    <w:basedOn w:val="Normal"/>
    <w:link w:val="BalloonTextChar"/>
    <w:uiPriority w:val="99"/>
    <w:semiHidden/>
    <w:unhideWhenUsed/>
    <w:rsid w:val="00D1417F"/>
    <w:rPr>
      <w:sz w:val="18"/>
      <w:szCs w:val="18"/>
    </w:rPr>
  </w:style>
  <w:style w:type="character" w:customStyle="1" w:styleId="BalloonTextChar">
    <w:name w:val="Balloon Text Char"/>
    <w:basedOn w:val="DefaultParagraphFont"/>
    <w:link w:val="BalloonText"/>
    <w:uiPriority w:val="99"/>
    <w:semiHidden/>
    <w:rsid w:val="00D1417F"/>
    <w:rPr>
      <w:rFonts w:ascii="Times New Roman" w:hAnsi="Times New Roman" w:cs="Times New Roman"/>
      <w:sz w:val="18"/>
      <w:szCs w:val="18"/>
    </w:rPr>
  </w:style>
  <w:style w:type="paragraph" w:styleId="ListParagraph">
    <w:name w:val="List Paragraph"/>
    <w:basedOn w:val="Normal"/>
    <w:uiPriority w:val="34"/>
    <w:qFormat/>
    <w:rsid w:val="00F47031"/>
    <w:pPr>
      <w:ind w:left="720"/>
      <w:contextualSpacing/>
    </w:pPr>
  </w:style>
  <w:style w:type="paragraph" w:styleId="Header">
    <w:name w:val="header"/>
    <w:basedOn w:val="Normal"/>
    <w:link w:val="HeaderChar"/>
    <w:uiPriority w:val="99"/>
    <w:unhideWhenUsed/>
    <w:rsid w:val="00AD27F6"/>
    <w:pPr>
      <w:tabs>
        <w:tab w:val="center" w:pos="4680"/>
        <w:tab w:val="right" w:pos="9360"/>
      </w:tabs>
    </w:pPr>
  </w:style>
  <w:style w:type="character" w:customStyle="1" w:styleId="HeaderChar">
    <w:name w:val="Header Char"/>
    <w:basedOn w:val="DefaultParagraphFont"/>
    <w:link w:val="Header"/>
    <w:uiPriority w:val="99"/>
    <w:rsid w:val="00AD27F6"/>
    <w:rPr>
      <w:rFonts w:ascii="Times New Roman" w:eastAsia="Times New Roman" w:hAnsi="Times New Roman" w:cs="Times New Roman"/>
    </w:rPr>
  </w:style>
  <w:style w:type="paragraph" w:styleId="Footer">
    <w:name w:val="footer"/>
    <w:basedOn w:val="Normal"/>
    <w:link w:val="FooterChar"/>
    <w:uiPriority w:val="99"/>
    <w:unhideWhenUsed/>
    <w:rsid w:val="00AD27F6"/>
    <w:pPr>
      <w:tabs>
        <w:tab w:val="center" w:pos="4680"/>
        <w:tab w:val="right" w:pos="9360"/>
      </w:tabs>
    </w:pPr>
  </w:style>
  <w:style w:type="character" w:customStyle="1" w:styleId="FooterChar">
    <w:name w:val="Footer Char"/>
    <w:basedOn w:val="DefaultParagraphFont"/>
    <w:link w:val="Footer"/>
    <w:uiPriority w:val="99"/>
    <w:rsid w:val="00AD27F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6565D"/>
    <w:rPr>
      <w:color w:val="954F72" w:themeColor="followedHyperlink"/>
      <w:u w:val="single"/>
    </w:rPr>
  </w:style>
  <w:style w:type="paragraph" w:styleId="NormalWeb">
    <w:name w:val="Normal (Web)"/>
    <w:basedOn w:val="Normal"/>
    <w:uiPriority w:val="99"/>
    <w:semiHidden/>
    <w:unhideWhenUsed/>
    <w:rsid w:val="004E33F5"/>
    <w:pPr>
      <w:spacing w:before="100" w:beforeAutospacing="1" w:after="100" w:afterAutospacing="1"/>
    </w:pPr>
  </w:style>
  <w:style w:type="character" w:styleId="PageNumber">
    <w:name w:val="page number"/>
    <w:basedOn w:val="DefaultParagraphFont"/>
    <w:uiPriority w:val="99"/>
    <w:semiHidden/>
    <w:unhideWhenUsed/>
    <w:rsid w:val="00CD75EC"/>
  </w:style>
  <w:style w:type="character" w:customStyle="1" w:styleId="Heading1Char">
    <w:name w:val="Heading 1 Char"/>
    <w:basedOn w:val="DefaultParagraphFont"/>
    <w:link w:val="Heading1"/>
    <w:uiPriority w:val="9"/>
    <w:rsid w:val="00B6381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50659"/>
    <w:rPr>
      <w:rFonts w:asciiTheme="majorHAnsi" w:eastAsiaTheme="majorEastAsia" w:hAnsiTheme="majorHAnsi" w:cstheme="majorBidi"/>
      <w:color w:val="2F5496" w:themeColor="accent1" w:themeShade="BF"/>
      <w:sz w:val="26"/>
      <w:szCs w:val="26"/>
    </w:rPr>
  </w:style>
  <w:style w:type="character" w:customStyle="1" w:styleId="authors">
    <w:name w:val="authors"/>
    <w:basedOn w:val="DefaultParagraphFont"/>
    <w:rsid w:val="00731D61"/>
  </w:style>
  <w:style w:type="character" w:customStyle="1" w:styleId="Date1">
    <w:name w:val="Date1"/>
    <w:basedOn w:val="DefaultParagraphFont"/>
    <w:rsid w:val="00731D61"/>
  </w:style>
  <w:style w:type="character" w:customStyle="1" w:styleId="arttitle">
    <w:name w:val="art_title"/>
    <w:basedOn w:val="DefaultParagraphFont"/>
    <w:rsid w:val="00731D61"/>
  </w:style>
  <w:style w:type="character" w:customStyle="1" w:styleId="serialtitle">
    <w:name w:val="serial_title"/>
    <w:basedOn w:val="DefaultParagraphFont"/>
    <w:rsid w:val="00731D61"/>
  </w:style>
  <w:style w:type="character" w:customStyle="1" w:styleId="volumeissue">
    <w:name w:val="volume_issue"/>
    <w:basedOn w:val="DefaultParagraphFont"/>
    <w:rsid w:val="00731D61"/>
  </w:style>
  <w:style w:type="character" w:customStyle="1" w:styleId="pagerange">
    <w:name w:val="page_range"/>
    <w:basedOn w:val="DefaultParagraphFont"/>
    <w:rsid w:val="00731D61"/>
  </w:style>
  <w:style w:type="character" w:customStyle="1" w:styleId="creator-type-label">
    <w:name w:val="creator-type-label"/>
    <w:basedOn w:val="DefaultParagraphFont"/>
    <w:rsid w:val="00B549C5"/>
  </w:style>
  <w:style w:type="paragraph" w:customStyle="1" w:styleId="Normal3">
    <w:name w:val="Normal3"/>
    <w:basedOn w:val="Normal"/>
    <w:rsid w:val="002E561B"/>
    <w:pPr>
      <w:spacing w:before="100" w:beforeAutospacing="1" w:after="100" w:afterAutospacing="1"/>
    </w:pPr>
  </w:style>
  <w:style w:type="character" w:customStyle="1" w:styleId="source-link">
    <w:name w:val="source-link"/>
    <w:basedOn w:val="DefaultParagraphFont"/>
    <w:rsid w:val="00F50EAC"/>
  </w:style>
  <w:style w:type="character" w:styleId="CommentReference">
    <w:name w:val="annotation reference"/>
    <w:basedOn w:val="DefaultParagraphFont"/>
    <w:uiPriority w:val="99"/>
    <w:semiHidden/>
    <w:unhideWhenUsed/>
    <w:rsid w:val="00AC5451"/>
    <w:rPr>
      <w:sz w:val="16"/>
      <w:szCs w:val="16"/>
    </w:rPr>
  </w:style>
  <w:style w:type="paragraph" w:styleId="CommentText">
    <w:name w:val="annotation text"/>
    <w:basedOn w:val="Normal"/>
    <w:link w:val="CommentTextChar"/>
    <w:uiPriority w:val="99"/>
    <w:semiHidden/>
    <w:unhideWhenUsed/>
    <w:rsid w:val="00AC5451"/>
    <w:rPr>
      <w:sz w:val="20"/>
      <w:szCs w:val="20"/>
    </w:rPr>
  </w:style>
  <w:style w:type="character" w:customStyle="1" w:styleId="CommentTextChar">
    <w:name w:val="Comment Text Char"/>
    <w:basedOn w:val="DefaultParagraphFont"/>
    <w:link w:val="CommentText"/>
    <w:uiPriority w:val="99"/>
    <w:semiHidden/>
    <w:rsid w:val="00AC54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451"/>
    <w:rPr>
      <w:b/>
      <w:bCs/>
    </w:rPr>
  </w:style>
  <w:style w:type="character" w:customStyle="1" w:styleId="CommentSubjectChar">
    <w:name w:val="Comment Subject Char"/>
    <w:basedOn w:val="CommentTextChar"/>
    <w:link w:val="CommentSubject"/>
    <w:uiPriority w:val="99"/>
    <w:semiHidden/>
    <w:rsid w:val="00AC545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E00181"/>
    <w:rPr>
      <w:rFonts w:asciiTheme="majorHAnsi" w:eastAsiaTheme="majorEastAsia" w:hAnsiTheme="majorHAnsi" w:cstheme="majorBidi"/>
      <w:color w:val="1F3763" w:themeColor="accent1" w:themeShade="7F"/>
    </w:rPr>
  </w:style>
  <w:style w:type="character" w:customStyle="1" w:styleId="legchangedelimiter">
    <w:name w:val="legchangedelimiter"/>
    <w:basedOn w:val="DefaultParagraphFont"/>
    <w:rsid w:val="00FD1450"/>
  </w:style>
  <w:style w:type="character" w:customStyle="1" w:styleId="legaddition">
    <w:name w:val="legaddition"/>
    <w:basedOn w:val="DefaultParagraphFont"/>
    <w:rsid w:val="00FD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19">
      <w:bodyDiv w:val="1"/>
      <w:marLeft w:val="0"/>
      <w:marRight w:val="0"/>
      <w:marTop w:val="0"/>
      <w:marBottom w:val="0"/>
      <w:divBdr>
        <w:top w:val="none" w:sz="0" w:space="0" w:color="auto"/>
        <w:left w:val="none" w:sz="0" w:space="0" w:color="auto"/>
        <w:bottom w:val="none" w:sz="0" w:space="0" w:color="auto"/>
        <w:right w:val="none" w:sz="0" w:space="0" w:color="auto"/>
      </w:divBdr>
    </w:div>
    <w:div w:id="4089540">
      <w:bodyDiv w:val="1"/>
      <w:marLeft w:val="0"/>
      <w:marRight w:val="0"/>
      <w:marTop w:val="0"/>
      <w:marBottom w:val="0"/>
      <w:divBdr>
        <w:top w:val="none" w:sz="0" w:space="0" w:color="auto"/>
        <w:left w:val="none" w:sz="0" w:space="0" w:color="auto"/>
        <w:bottom w:val="none" w:sz="0" w:space="0" w:color="auto"/>
        <w:right w:val="none" w:sz="0" w:space="0" w:color="auto"/>
      </w:divBdr>
    </w:div>
    <w:div w:id="5251155">
      <w:bodyDiv w:val="1"/>
      <w:marLeft w:val="0"/>
      <w:marRight w:val="0"/>
      <w:marTop w:val="0"/>
      <w:marBottom w:val="0"/>
      <w:divBdr>
        <w:top w:val="none" w:sz="0" w:space="0" w:color="auto"/>
        <w:left w:val="none" w:sz="0" w:space="0" w:color="auto"/>
        <w:bottom w:val="none" w:sz="0" w:space="0" w:color="auto"/>
        <w:right w:val="none" w:sz="0" w:space="0" w:color="auto"/>
      </w:divBdr>
    </w:div>
    <w:div w:id="20478438">
      <w:bodyDiv w:val="1"/>
      <w:marLeft w:val="0"/>
      <w:marRight w:val="0"/>
      <w:marTop w:val="0"/>
      <w:marBottom w:val="0"/>
      <w:divBdr>
        <w:top w:val="none" w:sz="0" w:space="0" w:color="auto"/>
        <w:left w:val="none" w:sz="0" w:space="0" w:color="auto"/>
        <w:bottom w:val="none" w:sz="0" w:space="0" w:color="auto"/>
        <w:right w:val="none" w:sz="0" w:space="0" w:color="auto"/>
      </w:divBdr>
    </w:div>
    <w:div w:id="22097917">
      <w:bodyDiv w:val="1"/>
      <w:marLeft w:val="0"/>
      <w:marRight w:val="0"/>
      <w:marTop w:val="0"/>
      <w:marBottom w:val="0"/>
      <w:divBdr>
        <w:top w:val="none" w:sz="0" w:space="0" w:color="auto"/>
        <w:left w:val="none" w:sz="0" w:space="0" w:color="auto"/>
        <w:bottom w:val="none" w:sz="0" w:space="0" w:color="auto"/>
        <w:right w:val="none" w:sz="0" w:space="0" w:color="auto"/>
      </w:divBdr>
    </w:div>
    <w:div w:id="25839289">
      <w:bodyDiv w:val="1"/>
      <w:marLeft w:val="0"/>
      <w:marRight w:val="0"/>
      <w:marTop w:val="0"/>
      <w:marBottom w:val="0"/>
      <w:divBdr>
        <w:top w:val="none" w:sz="0" w:space="0" w:color="auto"/>
        <w:left w:val="none" w:sz="0" w:space="0" w:color="auto"/>
        <w:bottom w:val="none" w:sz="0" w:space="0" w:color="auto"/>
        <w:right w:val="none" w:sz="0" w:space="0" w:color="auto"/>
      </w:divBdr>
    </w:div>
    <w:div w:id="28800441">
      <w:bodyDiv w:val="1"/>
      <w:marLeft w:val="0"/>
      <w:marRight w:val="0"/>
      <w:marTop w:val="0"/>
      <w:marBottom w:val="0"/>
      <w:divBdr>
        <w:top w:val="none" w:sz="0" w:space="0" w:color="auto"/>
        <w:left w:val="none" w:sz="0" w:space="0" w:color="auto"/>
        <w:bottom w:val="none" w:sz="0" w:space="0" w:color="auto"/>
        <w:right w:val="none" w:sz="0" w:space="0" w:color="auto"/>
      </w:divBdr>
    </w:div>
    <w:div w:id="31852371">
      <w:bodyDiv w:val="1"/>
      <w:marLeft w:val="0"/>
      <w:marRight w:val="0"/>
      <w:marTop w:val="0"/>
      <w:marBottom w:val="0"/>
      <w:divBdr>
        <w:top w:val="none" w:sz="0" w:space="0" w:color="auto"/>
        <w:left w:val="none" w:sz="0" w:space="0" w:color="auto"/>
        <w:bottom w:val="none" w:sz="0" w:space="0" w:color="auto"/>
        <w:right w:val="none" w:sz="0" w:space="0" w:color="auto"/>
      </w:divBdr>
    </w:div>
    <w:div w:id="33359359">
      <w:bodyDiv w:val="1"/>
      <w:marLeft w:val="0"/>
      <w:marRight w:val="0"/>
      <w:marTop w:val="0"/>
      <w:marBottom w:val="0"/>
      <w:divBdr>
        <w:top w:val="none" w:sz="0" w:space="0" w:color="auto"/>
        <w:left w:val="none" w:sz="0" w:space="0" w:color="auto"/>
        <w:bottom w:val="none" w:sz="0" w:space="0" w:color="auto"/>
        <w:right w:val="none" w:sz="0" w:space="0" w:color="auto"/>
      </w:divBdr>
    </w:div>
    <w:div w:id="39791957">
      <w:bodyDiv w:val="1"/>
      <w:marLeft w:val="0"/>
      <w:marRight w:val="0"/>
      <w:marTop w:val="0"/>
      <w:marBottom w:val="0"/>
      <w:divBdr>
        <w:top w:val="none" w:sz="0" w:space="0" w:color="auto"/>
        <w:left w:val="none" w:sz="0" w:space="0" w:color="auto"/>
        <w:bottom w:val="none" w:sz="0" w:space="0" w:color="auto"/>
        <w:right w:val="none" w:sz="0" w:space="0" w:color="auto"/>
      </w:divBdr>
    </w:div>
    <w:div w:id="40592060">
      <w:bodyDiv w:val="1"/>
      <w:marLeft w:val="0"/>
      <w:marRight w:val="0"/>
      <w:marTop w:val="0"/>
      <w:marBottom w:val="0"/>
      <w:divBdr>
        <w:top w:val="none" w:sz="0" w:space="0" w:color="auto"/>
        <w:left w:val="none" w:sz="0" w:space="0" w:color="auto"/>
        <w:bottom w:val="none" w:sz="0" w:space="0" w:color="auto"/>
        <w:right w:val="none" w:sz="0" w:space="0" w:color="auto"/>
      </w:divBdr>
    </w:div>
    <w:div w:id="46998660">
      <w:bodyDiv w:val="1"/>
      <w:marLeft w:val="0"/>
      <w:marRight w:val="0"/>
      <w:marTop w:val="0"/>
      <w:marBottom w:val="0"/>
      <w:divBdr>
        <w:top w:val="none" w:sz="0" w:space="0" w:color="auto"/>
        <w:left w:val="none" w:sz="0" w:space="0" w:color="auto"/>
        <w:bottom w:val="none" w:sz="0" w:space="0" w:color="auto"/>
        <w:right w:val="none" w:sz="0" w:space="0" w:color="auto"/>
      </w:divBdr>
    </w:div>
    <w:div w:id="47152730">
      <w:bodyDiv w:val="1"/>
      <w:marLeft w:val="0"/>
      <w:marRight w:val="0"/>
      <w:marTop w:val="0"/>
      <w:marBottom w:val="0"/>
      <w:divBdr>
        <w:top w:val="none" w:sz="0" w:space="0" w:color="auto"/>
        <w:left w:val="none" w:sz="0" w:space="0" w:color="auto"/>
        <w:bottom w:val="none" w:sz="0" w:space="0" w:color="auto"/>
        <w:right w:val="none" w:sz="0" w:space="0" w:color="auto"/>
      </w:divBdr>
    </w:div>
    <w:div w:id="47188190">
      <w:bodyDiv w:val="1"/>
      <w:marLeft w:val="0"/>
      <w:marRight w:val="0"/>
      <w:marTop w:val="0"/>
      <w:marBottom w:val="0"/>
      <w:divBdr>
        <w:top w:val="none" w:sz="0" w:space="0" w:color="auto"/>
        <w:left w:val="none" w:sz="0" w:space="0" w:color="auto"/>
        <w:bottom w:val="none" w:sz="0" w:space="0" w:color="auto"/>
        <w:right w:val="none" w:sz="0" w:space="0" w:color="auto"/>
      </w:divBdr>
    </w:div>
    <w:div w:id="51470418">
      <w:bodyDiv w:val="1"/>
      <w:marLeft w:val="0"/>
      <w:marRight w:val="0"/>
      <w:marTop w:val="0"/>
      <w:marBottom w:val="0"/>
      <w:divBdr>
        <w:top w:val="none" w:sz="0" w:space="0" w:color="auto"/>
        <w:left w:val="none" w:sz="0" w:space="0" w:color="auto"/>
        <w:bottom w:val="none" w:sz="0" w:space="0" w:color="auto"/>
        <w:right w:val="none" w:sz="0" w:space="0" w:color="auto"/>
      </w:divBdr>
    </w:div>
    <w:div w:id="51537398">
      <w:bodyDiv w:val="1"/>
      <w:marLeft w:val="0"/>
      <w:marRight w:val="0"/>
      <w:marTop w:val="0"/>
      <w:marBottom w:val="0"/>
      <w:divBdr>
        <w:top w:val="none" w:sz="0" w:space="0" w:color="auto"/>
        <w:left w:val="none" w:sz="0" w:space="0" w:color="auto"/>
        <w:bottom w:val="none" w:sz="0" w:space="0" w:color="auto"/>
        <w:right w:val="none" w:sz="0" w:space="0" w:color="auto"/>
      </w:divBdr>
    </w:div>
    <w:div w:id="53091937">
      <w:bodyDiv w:val="1"/>
      <w:marLeft w:val="0"/>
      <w:marRight w:val="0"/>
      <w:marTop w:val="0"/>
      <w:marBottom w:val="0"/>
      <w:divBdr>
        <w:top w:val="none" w:sz="0" w:space="0" w:color="auto"/>
        <w:left w:val="none" w:sz="0" w:space="0" w:color="auto"/>
        <w:bottom w:val="none" w:sz="0" w:space="0" w:color="auto"/>
        <w:right w:val="none" w:sz="0" w:space="0" w:color="auto"/>
      </w:divBdr>
    </w:div>
    <w:div w:id="53313282">
      <w:bodyDiv w:val="1"/>
      <w:marLeft w:val="0"/>
      <w:marRight w:val="0"/>
      <w:marTop w:val="0"/>
      <w:marBottom w:val="0"/>
      <w:divBdr>
        <w:top w:val="none" w:sz="0" w:space="0" w:color="auto"/>
        <w:left w:val="none" w:sz="0" w:space="0" w:color="auto"/>
        <w:bottom w:val="none" w:sz="0" w:space="0" w:color="auto"/>
        <w:right w:val="none" w:sz="0" w:space="0" w:color="auto"/>
      </w:divBdr>
      <w:divsChild>
        <w:div w:id="877284280">
          <w:marLeft w:val="0"/>
          <w:marRight w:val="0"/>
          <w:marTop w:val="0"/>
          <w:marBottom w:val="0"/>
          <w:divBdr>
            <w:top w:val="none" w:sz="0" w:space="0" w:color="auto"/>
            <w:left w:val="none" w:sz="0" w:space="0" w:color="auto"/>
            <w:bottom w:val="none" w:sz="0" w:space="0" w:color="auto"/>
            <w:right w:val="none" w:sz="0" w:space="0" w:color="auto"/>
          </w:divBdr>
          <w:divsChild>
            <w:div w:id="763259749">
              <w:marLeft w:val="0"/>
              <w:marRight w:val="0"/>
              <w:marTop w:val="0"/>
              <w:marBottom w:val="0"/>
              <w:divBdr>
                <w:top w:val="none" w:sz="0" w:space="0" w:color="auto"/>
                <w:left w:val="none" w:sz="0" w:space="0" w:color="auto"/>
                <w:bottom w:val="none" w:sz="0" w:space="0" w:color="auto"/>
                <w:right w:val="none" w:sz="0" w:space="0" w:color="auto"/>
              </w:divBdr>
              <w:divsChild>
                <w:div w:id="11583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4540">
      <w:bodyDiv w:val="1"/>
      <w:marLeft w:val="0"/>
      <w:marRight w:val="0"/>
      <w:marTop w:val="0"/>
      <w:marBottom w:val="0"/>
      <w:divBdr>
        <w:top w:val="none" w:sz="0" w:space="0" w:color="auto"/>
        <w:left w:val="none" w:sz="0" w:space="0" w:color="auto"/>
        <w:bottom w:val="none" w:sz="0" w:space="0" w:color="auto"/>
        <w:right w:val="none" w:sz="0" w:space="0" w:color="auto"/>
      </w:divBdr>
    </w:div>
    <w:div w:id="66617104">
      <w:bodyDiv w:val="1"/>
      <w:marLeft w:val="0"/>
      <w:marRight w:val="0"/>
      <w:marTop w:val="0"/>
      <w:marBottom w:val="0"/>
      <w:divBdr>
        <w:top w:val="none" w:sz="0" w:space="0" w:color="auto"/>
        <w:left w:val="none" w:sz="0" w:space="0" w:color="auto"/>
        <w:bottom w:val="none" w:sz="0" w:space="0" w:color="auto"/>
        <w:right w:val="none" w:sz="0" w:space="0" w:color="auto"/>
      </w:divBdr>
    </w:div>
    <w:div w:id="72818369">
      <w:bodyDiv w:val="1"/>
      <w:marLeft w:val="0"/>
      <w:marRight w:val="0"/>
      <w:marTop w:val="0"/>
      <w:marBottom w:val="0"/>
      <w:divBdr>
        <w:top w:val="none" w:sz="0" w:space="0" w:color="auto"/>
        <w:left w:val="none" w:sz="0" w:space="0" w:color="auto"/>
        <w:bottom w:val="none" w:sz="0" w:space="0" w:color="auto"/>
        <w:right w:val="none" w:sz="0" w:space="0" w:color="auto"/>
      </w:divBdr>
      <w:divsChild>
        <w:div w:id="729812186">
          <w:marLeft w:val="0"/>
          <w:marRight w:val="0"/>
          <w:marTop w:val="0"/>
          <w:marBottom w:val="0"/>
          <w:divBdr>
            <w:top w:val="none" w:sz="0" w:space="0" w:color="auto"/>
            <w:left w:val="none" w:sz="0" w:space="0" w:color="auto"/>
            <w:bottom w:val="none" w:sz="0" w:space="0" w:color="auto"/>
            <w:right w:val="none" w:sz="0" w:space="0" w:color="auto"/>
          </w:divBdr>
          <w:divsChild>
            <w:div w:id="260186065">
              <w:marLeft w:val="0"/>
              <w:marRight w:val="0"/>
              <w:marTop w:val="0"/>
              <w:marBottom w:val="0"/>
              <w:divBdr>
                <w:top w:val="none" w:sz="0" w:space="0" w:color="auto"/>
                <w:left w:val="none" w:sz="0" w:space="0" w:color="auto"/>
                <w:bottom w:val="none" w:sz="0" w:space="0" w:color="auto"/>
                <w:right w:val="none" w:sz="0" w:space="0" w:color="auto"/>
              </w:divBdr>
              <w:divsChild>
                <w:div w:id="190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5069">
      <w:bodyDiv w:val="1"/>
      <w:marLeft w:val="0"/>
      <w:marRight w:val="0"/>
      <w:marTop w:val="0"/>
      <w:marBottom w:val="0"/>
      <w:divBdr>
        <w:top w:val="none" w:sz="0" w:space="0" w:color="auto"/>
        <w:left w:val="none" w:sz="0" w:space="0" w:color="auto"/>
        <w:bottom w:val="none" w:sz="0" w:space="0" w:color="auto"/>
        <w:right w:val="none" w:sz="0" w:space="0" w:color="auto"/>
      </w:divBdr>
    </w:div>
    <w:div w:id="78866561">
      <w:bodyDiv w:val="1"/>
      <w:marLeft w:val="0"/>
      <w:marRight w:val="0"/>
      <w:marTop w:val="0"/>
      <w:marBottom w:val="0"/>
      <w:divBdr>
        <w:top w:val="none" w:sz="0" w:space="0" w:color="auto"/>
        <w:left w:val="none" w:sz="0" w:space="0" w:color="auto"/>
        <w:bottom w:val="none" w:sz="0" w:space="0" w:color="auto"/>
        <w:right w:val="none" w:sz="0" w:space="0" w:color="auto"/>
      </w:divBdr>
    </w:div>
    <w:div w:id="82146651">
      <w:bodyDiv w:val="1"/>
      <w:marLeft w:val="0"/>
      <w:marRight w:val="0"/>
      <w:marTop w:val="0"/>
      <w:marBottom w:val="0"/>
      <w:divBdr>
        <w:top w:val="none" w:sz="0" w:space="0" w:color="auto"/>
        <w:left w:val="none" w:sz="0" w:space="0" w:color="auto"/>
        <w:bottom w:val="none" w:sz="0" w:space="0" w:color="auto"/>
        <w:right w:val="none" w:sz="0" w:space="0" w:color="auto"/>
      </w:divBdr>
    </w:div>
    <w:div w:id="83961964">
      <w:bodyDiv w:val="1"/>
      <w:marLeft w:val="0"/>
      <w:marRight w:val="0"/>
      <w:marTop w:val="0"/>
      <w:marBottom w:val="0"/>
      <w:divBdr>
        <w:top w:val="none" w:sz="0" w:space="0" w:color="auto"/>
        <w:left w:val="none" w:sz="0" w:space="0" w:color="auto"/>
        <w:bottom w:val="none" w:sz="0" w:space="0" w:color="auto"/>
        <w:right w:val="none" w:sz="0" w:space="0" w:color="auto"/>
      </w:divBdr>
    </w:div>
    <w:div w:id="84691455">
      <w:bodyDiv w:val="1"/>
      <w:marLeft w:val="0"/>
      <w:marRight w:val="0"/>
      <w:marTop w:val="0"/>
      <w:marBottom w:val="0"/>
      <w:divBdr>
        <w:top w:val="none" w:sz="0" w:space="0" w:color="auto"/>
        <w:left w:val="none" w:sz="0" w:space="0" w:color="auto"/>
        <w:bottom w:val="none" w:sz="0" w:space="0" w:color="auto"/>
        <w:right w:val="none" w:sz="0" w:space="0" w:color="auto"/>
      </w:divBdr>
    </w:div>
    <w:div w:id="90517766">
      <w:bodyDiv w:val="1"/>
      <w:marLeft w:val="0"/>
      <w:marRight w:val="0"/>
      <w:marTop w:val="0"/>
      <w:marBottom w:val="0"/>
      <w:divBdr>
        <w:top w:val="none" w:sz="0" w:space="0" w:color="auto"/>
        <w:left w:val="none" w:sz="0" w:space="0" w:color="auto"/>
        <w:bottom w:val="none" w:sz="0" w:space="0" w:color="auto"/>
        <w:right w:val="none" w:sz="0" w:space="0" w:color="auto"/>
      </w:divBdr>
    </w:div>
    <w:div w:id="90929895">
      <w:bodyDiv w:val="1"/>
      <w:marLeft w:val="0"/>
      <w:marRight w:val="0"/>
      <w:marTop w:val="0"/>
      <w:marBottom w:val="0"/>
      <w:divBdr>
        <w:top w:val="none" w:sz="0" w:space="0" w:color="auto"/>
        <w:left w:val="none" w:sz="0" w:space="0" w:color="auto"/>
        <w:bottom w:val="none" w:sz="0" w:space="0" w:color="auto"/>
        <w:right w:val="none" w:sz="0" w:space="0" w:color="auto"/>
      </w:divBdr>
    </w:div>
    <w:div w:id="91896077">
      <w:bodyDiv w:val="1"/>
      <w:marLeft w:val="0"/>
      <w:marRight w:val="0"/>
      <w:marTop w:val="0"/>
      <w:marBottom w:val="0"/>
      <w:divBdr>
        <w:top w:val="none" w:sz="0" w:space="0" w:color="auto"/>
        <w:left w:val="none" w:sz="0" w:space="0" w:color="auto"/>
        <w:bottom w:val="none" w:sz="0" w:space="0" w:color="auto"/>
        <w:right w:val="none" w:sz="0" w:space="0" w:color="auto"/>
      </w:divBdr>
    </w:div>
    <w:div w:id="92359090">
      <w:bodyDiv w:val="1"/>
      <w:marLeft w:val="0"/>
      <w:marRight w:val="0"/>
      <w:marTop w:val="0"/>
      <w:marBottom w:val="0"/>
      <w:divBdr>
        <w:top w:val="none" w:sz="0" w:space="0" w:color="auto"/>
        <w:left w:val="none" w:sz="0" w:space="0" w:color="auto"/>
        <w:bottom w:val="none" w:sz="0" w:space="0" w:color="auto"/>
        <w:right w:val="none" w:sz="0" w:space="0" w:color="auto"/>
      </w:divBdr>
    </w:div>
    <w:div w:id="96487400">
      <w:bodyDiv w:val="1"/>
      <w:marLeft w:val="0"/>
      <w:marRight w:val="0"/>
      <w:marTop w:val="0"/>
      <w:marBottom w:val="0"/>
      <w:divBdr>
        <w:top w:val="none" w:sz="0" w:space="0" w:color="auto"/>
        <w:left w:val="none" w:sz="0" w:space="0" w:color="auto"/>
        <w:bottom w:val="none" w:sz="0" w:space="0" w:color="auto"/>
        <w:right w:val="none" w:sz="0" w:space="0" w:color="auto"/>
      </w:divBdr>
    </w:div>
    <w:div w:id="96608541">
      <w:bodyDiv w:val="1"/>
      <w:marLeft w:val="0"/>
      <w:marRight w:val="0"/>
      <w:marTop w:val="0"/>
      <w:marBottom w:val="0"/>
      <w:divBdr>
        <w:top w:val="none" w:sz="0" w:space="0" w:color="auto"/>
        <w:left w:val="none" w:sz="0" w:space="0" w:color="auto"/>
        <w:bottom w:val="none" w:sz="0" w:space="0" w:color="auto"/>
        <w:right w:val="none" w:sz="0" w:space="0" w:color="auto"/>
      </w:divBdr>
    </w:div>
    <w:div w:id="98069838">
      <w:bodyDiv w:val="1"/>
      <w:marLeft w:val="0"/>
      <w:marRight w:val="0"/>
      <w:marTop w:val="0"/>
      <w:marBottom w:val="0"/>
      <w:divBdr>
        <w:top w:val="none" w:sz="0" w:space="0" w:color="auto"/>
        <w:left w:val="none" w:sz="0" w:space="0" w:color="auto"/>
        <w:bottom w:val="none" w:sz="0" w:space="0" w:color="auto"/>
        <w:right w:val="none" w:sz="0" w:space="0" w:color="auto"/>
      </w:divBdr>
    </w:div>
    <w:div w:id="102698578">
      <w:bodyDiv w:val="1"/>
      <w:marLeft w:val="0"/>
      <w:marRight w:val="0"/>
      <w:marTop w:val="0"/>
      <w:marBottom w:val="0"/>
      <w:divBdr>
        <w:top w:val="none" w:sz="0" w:space="0" w:color="auto"/>
        <w:left w:val="none" w:sz="0" w:space="0" w:color="auto"/>
        <w:bottom w:val="none" w:sz="0" w:space="0" w:color="auto"/>
        <w:right w:val="none" w:sz="0" w:space="0" w:color="auto"/>
      </w:divBdr>
    </w:div>
    <w:div w:id="103043719">
      <w:bodyDiv w:val="1"/>
      <w:marLeft w:val="0"/>
      <w:marRight w:val="0"/>
      <w:marTop w:val="0"/>
      <w:marBottom w:val="0"/>
      <w:divBdr>
        <w:top w:val="none" w:sz="0" w:space="0" w:color="auto"/>
        <w:left w:val="none" w:sz="0" w:space="0" w:color="auto"/>
        <w:bottom w:val="none" w:sz="0" w:space="0" w:color="auto"/>
        <w:right w:val="none" w:sz="0" w:space="0" w:color="auto"/>
      </w:divBdr>
    </w:div>
    <w:div w:id="103766055">
      <w:bodyDiv w:val="1"/>
      <w:marLeft w:val="0"/>
      <w:marRight w:val="0"/>
      <w:marTop w:val="0"/>
      <w:marBottom w:val="0"/>
      <w:divBdr>
        <w:top w:val="none" w:sz="0" w:space="0" w:color="auto"/>
        <w:left w:val="none" w:sz="0" w:space="0" w:color="auto"/>
        <w:bottom w:val="none" w:sz="0" w:space="0" w:color="auto"/>
        <w:right w:val="none" w:sz="0" w:space="0" w:color="auto"/>
      </w:divBdr>
    </w:div>
    <w:div w:id="104542215">
      <w:bodyDiv w:val="1"/>
      <w:marLeft w:val="0"/>
      <w:marRight w:val="0"/>
      <w:marTop w:val="0"/>
      <w:marBottom w:val="0"/>
      <w:divBdr>
        <w:top w:val="none" w:sz="0" w:space="0" w:color="auto"/>
        <w:left w:val="none" w:sz="0" w:space="0" w:color="auto"/>
        <w:bottom w:val="none" w:sz="0" w:space="0" w:color="auto"/>
        <w:right w:val="none" w:sz="0" w:space="0" w:color="auto"/>
      </w:divBdr>
    </w:div>
    <w:div w:id="111289262">
      <w:bodyDiv w:val="1"/>
      <w:marLeft w:val="0"/>
      <w:marRight w:val="0"/>
      <w:marTop w:val="0"/>
      <w:marBottom w:val="0"/>
      <w:divBdr>
        <w:top w:val="none" w:sz="0" w:space="0" w:color="auto"/>
        <w:left w:val="none" w:sz="0" w:space="0" w:color="auto"/>
        <w:bottom w:val="none" w:sz="0" w:space="0" w:color="auto"/>
        <w:right w:val="none" w:sz="0" w:space="0" w:color="auto"/>
      </w:divBdr>
    </w:div>
    <w:div w:id="117648862">
      <w:bodyDiv w:val="1"/>
      <w:marLeft w:val="0"/>
      <w:marRight w:val="0"/>
      <w:marTop w:val="0"/>
      <w:marBottom w:val="0"/>
      <w:divBdr>
        <w:top w:val="none" w:sz="0" w:space="0" w:color="auto"/>
        <w:left w:val="none" w:sz="0" w:space="0" w:color="auto"/>
        <w:bottom w:val="none" w:sz="0" w:space="0" w:color="auto"/>
        <w:right w:val="none" w:sz="0" w:space="0" w:color="auto"/>
      </w:divBdr>
    </w:div>
    <w:div w:id="125777713">
      <w:bodyDiv w:val="1"/>
      <w:marLeft w:val="0"/>
      <w:marRight w:val="0"/>
      <w:marTop w:val="0"/>
      <w:marBottom w:val="0"/>
      <w:divBdr>
        <w:top w:val="none" w:sz="0" w:space="0" w:color="auto"/>
        <w:left w:val="none" w:sz="0" w:space="0" w:color="auto"/>
        <w:bottom w:val="none" w:sz="0" w:space="0" w:color="auto"/>
        <w:right w:val="none" w:sz="0" w:space="0" w:color="auto"/>
      </w:divBdr>
    </w:div>
    <w:div w:id="127669440">
      <w:bodyDiv w:val="1"/>
      <w:marLeft w:val="0"/>
      <w:marRight w:val="0"/>
      <w:marTop w:val="0"/>
      <w:marBottom w:val="0"/>
      <w:divBdr>
        <w:top w:val="none" w:sz="0" w:space="0" w:color="auto"/>
        <w:left w:val="none" w:sz="0" w:space="0" w:color="auto"/>
        <w:bottom w:val="none" w:sz="0" w:space="0" w:color="auto"/>
        <w:right w:val="none" w:sz="0" w:space="0" w:color="auto"/>
      </w:divBdr>
    </w:div>
    <w:div w:id="131365607">
      <w:bodyDiv w:val="1"/>
      <w:marLeft w:val="0"/>
      <w:marRight w:val="0"/>
      <w:marTop w:val="0"/>
      <w:marBottom w:val="0"/>
      <w:divBdr>
        <w:top w:val="none" w:sz="0" w:space="0" w:color="auto"/>
        <w:left w:val="none" w:sz="0" w:space="0" w:color="auto"/>
        <w:bottom w:val="none" w:sz="0" w:space="0" w:color="auto"/>
        <w:right w:val="none" w:sz="0" w:space="0" w:color="auto"/>
      </w:divBdr>
    </w:div>
    <w:div w:id="132060760">
      <w:bodyDiv w:val="1"/>
      <w:marLeft w:val="0"/>
      <w:marRight w:val="0"/>
      <w:marTop w:val="0"/>
      <w:marBottom w:val="0"/>
      <w:divBdr>
        <w:top w:val="none" w:sz="0" w:space="0" w:color="auto"/>
        <w:left w:val="none" w:sz="0" w:space="0" w:color="auto"/>
        <w:bottom w:val="none" w:sz="0" w:space="0" w:color="auto"/>
        <w:right w:val="none" w:sz="0" w:space="0" w:color="auto"/>
      </w:divBdr>
    </w:div>
    <w:div w:id="133304352">
      <w:bodyDiv w:val="1"/>
      <w:marLeft w:val="0"/>
      <w:marRight w:val="0"/>
      <w:marTop w:val="0"/>
      <w:marBottom w:val="0"/>
      <w:divBdr>
        <w:top w:val="none" w:sz="0" w:space="0" w:color="auto"/>
        <w:left w:val="none" w:sz="0" w:space="0" w:color="auto"/>
        <w:bottom w:val="none" w:sz="0" w:space="0" w:color="auto"/>
        <w:right w:val="none" w:sz="0" w:space="0" w:color="auto"/>
      </w:divBdr>
    </w:div>
    <w:div w:id="135952194">
      <w:bodyDiv w:val="1"/>
      <w:marLeft w:val="0"/>
      <w:marRight w:val="0"/>
      <w:marTop w:val="0"/>
      <w:marBottom w:val="0"/>
      <w:divBdr>
        <w:top w:val="none" w:sz="0" w:space="0" w:color="auto"/>
        <w:left w:val="none" w:sz="0" w:space="0" w:color="auto"/>
        <w:bottom w:val="none" w:sz="0" w:space="0" w:color="auto"/>
        <w:right w:val="none" w:sz="0" w:space="0" w:color="auto"/>
      </w:divBdr>
      <w:divsChild>
        <w:div w:id="1600330901">
          <w:marLeft w:val="0"/>
          <w:marRight w:val="0"/>
          <w:marTop w:val="0"/>
          <w:marBottom w:val="0"/>
          <w:divBdr>
            <w:top w:val="none" w:sz="0" w:space="0" w:color="auto"/>
            <w:left w:val="none" w:sz="0" w:space="0" w:color="auto"/>
            <w:bottom w:val="none" w:sz="0" w:space="0" w:color="auto"/>
            <w:right w:val="none" w:sz="0" w:space="0" w:color="auto"/>
          </w:divBdr>
          <w:divsChild>
            <w:div w:id="701900965">
              <w:marLeft w:val="0"/>
              <w:marRight w:val="0"/>
              <w:marTop w:val="0"/>
              <w:marBottom w:val="0"/>
              <w:divBdr>
                <w:top w:val="none" w:sz="0" w:space="0" w:color="auto"/>
                <w:left w:val="none" w:sz="0" w:space="0" w:color="auto"/>
                <w:bottom w:val="none" w:sz="0" w:space="0" w:color="auto"/>
                <w:right w:val="none" w:sz="0" w:space="0" w:color="auto"/>
              </w:divBdr>
              <w:divsChild>
                <w:div w:id="20028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5423">
      <w:bodyDiv w:val="1"/>
      <w:marLeft w:val="0"/>
      <w:marRight w:val="0"/>
      <w:marTop w:val="0"/>
      <w:marBottom w:val="0"/>
      <w:divBdr>
        <w:top w:val="none" w:sz="0" w:space="0" w:color="auto"/>
        <w:left w:val="none" w:sz="0" w:space="0" w:color="auto"/>
        <w:bottom w:val="none" w:sz="0" w:space="0" w:color="auto"/>
        <w:right w:val="none" w:sz="0" w:space="0" w:color="auto"/>
      </w:divBdr>
      <w:divsChild>
        <w:div w:id="1508324930">
          <w:marLeft w:val="0"/>
          <w:marRight w:val="0"/>
          <w:marTop w:val="0"/>
          <w:marBottom w:val="0"/>
          <w:divBdr>
            <w:top w:val="none" w:sz="0" w:space="0" w:color="auto"/>
            <w:left w:val="none" w:sz="0" w:space="0" w:color="auto"/>
            <w:bottom w:val="none" w:sz="0" w:space="0" w:color="auto"/>
            <w:right w:val="none" w:sz="0" w:space="0" w:color="auto"/>
          </w:divBdr>
        </w:div>
      </w:divsChild>
    </w:div>
    <w:div w:id="137846945">
      <w:bodyDiv w:val="1"/>
      <w:marLeft w:val="0"/>
      <w:marRight w:val="0"/>
      <w:marTop w:val="0"/>
      <w:marBottom w:val="0"/>
      <w:divBdr>
        <w:top w:val="none" w:sz="0" w:space="0" w:color="auto"/>
        <w:left w:val="none" w:sz="0" w:space="0" w:color="auto"/>
        <w:bottom w:val="none" w:sz="0" w:space="0" w:color="auto"/>
        <w:right w:val="none" w:sz="0" w:space="0" w:color="auto"/>
      </w:divBdr>
    </w:div>
    <w:div w:id="137964305">
      <w:bodyDiv w:val="1"/>
      <w:marLeft w:val="0"/>
      <w:marRight w:val="0"/>
      <w:marTop w:val="0"/>
      <w:marBottom w:val="0"/>
      <w:divBdr>
        <w:top w:val="none" w:sz="0" w:space="0" w:color="auto"/>
        <w:left w:val="none" w:sz="0" w:space="0" w:color="auto"/>
        <w:bottom w:val="none" w:sz="0" w:space="0" w:color="auto"/>
        <w:right w:val="none" w:sz="0" w:space="0" w:color="auto"/>
      </w:divBdr>
    </w:div>
    <w:div w:id="148444798">
      <w:bodyDiv w:val="1"/>
      <w:marLeft w:val="0"/>
      <w:marRight w:val="0"/>
      <w:marTop w:val="0"/>
      <w:marBottom w:val="0"/>
      <w:divBdr>
        <w:top w:val="none" w:sz="0" w:space="0" w:color="auto"/>
        <w:left w:val="none" w:sz="0" w:space="0" w:color="auto"/>
        <w:bottom w:val="none" w:sz="0" w:space="0" w:color="auto"/>
        <w:right w:val="none" w:sz="0" w:space="0" w:color="auto"/>
      </w:divBdr>
    </w:div>
    <w:div w:id="155459906">
      <w:bodyDiv w:val="1"/>
      <w:marLeft w:val="0"/>
      <w:marRight w:val="0"/>
      <w:marTop w:val="0"/>
      <w:marBottom w:val="0"/>
      <w:divBdr>
        <w:top w:val="none" w:sz="0" w:space="0" w:color="auto"/>
        <w:left w:val="none" w:sz="0" w:space="0" w:color="auto"/>
        <w:bottom w:val="none" w:sz="0" w:space="0" w:color="auto"/>
        <w:right w:val="none" w:sz="0" w:space="0" w:color="auto"/>
      </w:divBdr>
    </w:div>
    <w:div w:id="158351966">
      <w:bodyDiv w:val="1"/>
      <w:marLeft w:val="0"/>
      <w:marRight w:val="0"/>
      <w:marTop w:val="0"/>
      <w:marBottom w:val="0"/>
      <w:divBdr>
        <w:top w:val="none" w:sz="0" w:space="0" w:color="auto"/>
        <w:left w:val="none" w:sz="0" w:space="0" w:color="auto"/>
        <w:bottom w:val="none" w:sz="0" w:space="0" w:color="auto"/>
        <w:right w:val="none" w:sz="0" w:space="0" w:color="auto"/>
      </w:divBdr>
    </w:div>
    <w:div w:id="159733317">
      <w:bodyDiv w:val="1"/>
      <w:marLeft w:val="0"/>
      <w:marRight w:val="0"/>
      <w:marTop w:val="0"/>
      <w:marBottom w:val="0"/>
      <w:divBdr>
        <w:top w:val="none" w:sz="0" w:space="0" w:color="auto"/>
        <w:left w:val="none" w:sz="0" w:space="0" w:color="auto"/>
        <w:bottom w:val="none" w:sz="0" w:space="0" w:color="auto"/>
        <w:right w:val="none" w:sz="0" w:space="0" w:color="auto"/>
      </w:divBdr>
    </w:div>
    <w:div w:id="160581994">
      <w:bodyDiv w:val="1"/>
      <w:marLeft w:val="0"/>
      <w:marRight w:val="0"/>
      <w:marTop w:val="0"/>
      <w:marBottom w:val="0"/>
      <w:divBdr>
        <w:top w:val="none" w:sz="0" w:space="0" w:color="auto"/>
        <w:left w:val="none" w:sz="0" w:space="0" w:color="auto"/>
        <w:bottom w:val="none" w:sz="0" w:space="0" w:color="auto"/>
        <w:right w:val="none" w:sz="0" w:space="0" w:color="auto"/>
      </w:divBdr>
    </w:div>
    <w:div w:id="162360979">
      <w:bodyDiv w:val="1"/>
      <w:marLeft w:val="0"/>
      <w:marRight w:val="0"/>
      <w:marTop w:val="0"/>
      <w:marBottom w:val="0"/>
      <w:divBdr>
        <w:top w:val="none" w:sz="0" w:space="0" w:color="auto"/>
        <w:left w:val="none" w:sz="0" w:space="0" w:color="auto"/>
        <w:bottom w:val="none" w:sz="0" w:space="0" w:color="auto"/>
        <w:right w:val="none" w:sz="0" w:space="0" w:color="auto"/>
      </w:divBdr>
    </w:div>
    <w:div w:id="167866706">
      <w:bodyDiv w:val="1"/>
      <w:marLeft w:val="0"/>
      <w:marRight w:val="0"/>
      <w:marTop w:val="0"/>
      <w:marBottom w:val="0"/>
      <w:divBdr>
        <w:top w:val="none" w:sz="0" w:space="0" w:color="auto"/>
        <w:left w:val="none" w:sz="0" w:space="0" w:color="auto"/>
        <w:bottom w:val="none" w:sz="0" w:space="0" w:color="auto"/>
        <w:right w:val="none" w:sz="0" w:space="0" w:color="auto"/>
      </w:divBdr>
    </w:div>
    <w:div w:id="180828396">
      <w:bodyDiv w:val="1"/>
      <w:marLeft w:val="0"/>
      <w:marRight w:val="0"/>
      <w:marTop w:val="0"/>
      <w:marBottom w:val="0"/>
      <w:divBdr>
        <w:top w:val="none" w:sz="0" w:space="0" w:color="auto"/>
        <w:left w:val="none" w:sz="0" w:space="0" w:color="auto"/>
        <w:bottom w:val="none" w:sz="0" w:space="0" w:color="auto"/>
        <w:right w:val="none" w:sz="0" w:space="0" w:color="auto"/>
      </w:divBdr>
    </w:div>
    <w:div w:id="189800239">
      <w:bodyDiv w:val="1"/>
      <w:marLeft w:val="0"/>
      <w:marRight w:val="0"/>
      <w:marTop w:val="0"/>
      <w:marBottom w:val="0"/>
      <w:divBdr>
        <w:top w:val="none" w:sz="0" w:space="0" w:color="auto"/>
        <w:left w:val="none" w:sz="0" w:space="0" w:color="auto"/>
        <w:bottom w:val="none" w:sz="0" w:space="0" w:color="auto"/>
        <w:right w:val="none" w:sz="0" w:space="0" w:color="auto"/>
      </w:divBdr>
    </w:div>
    <w:div w:id="190464037">
      <w:bodyDiv w:val="1"/>
      <w:marLeft w:val="0"/>
      <w:marRight w:val="0"/>
      <w:marTop w:val="0"/>
      <w:marBottom w:val="0"/>
      <w:divBdr>
        <w:top w:val="none" w:sz="0" w:space="0" w:color="auto"/>
        <w:left w:val="none" w:sz="0" w:space="0" w:color="auto"/>
        <w:bottom w:val="none" w:sz="0" w:space="0" w:color="auto"/>
        <w:right w:val="none" w:sz="0" w:space="0" w:color="auto"/>
      </w:divBdr>
    </w:div>
    <w:div w:id="191387748">
      <w:bodyDiv w:val="1"/>
      <w:marLeft w:val="0"/>
      <w:marRight w:val="0"/>
      <w:marTop w:val="0"/>
      <w:marBottom w:val="0"/>
      <w:divBdr>
        <w:top w:val="none" w:sz="0" w:space="0" w:color="auto"/>
        <w:left w:val="none" w:sz="0" w:space="0" w:color="auto"/>
        <w:bottom w:val="none" w:sz="0" w:space="0" w:color="auto"/>
        <w:right w:val="none" w:sz="0" w:space="0" w:color="auto"/>
      </w:divBdr>
    </w:div>
    <w:div w:id="193664967">
      <w:bodyDiv w:val="1"/>
      <w:marLeft w:val="0"/>
      <w:marRight w:val="0"/>
      <w:marTop w:val="0"/>
      <w:marBottom w:val="0"/>
      <w:divBdr>
        <w:top w:val="none" w:sz="0" w:space="0" w:color="auto"/>
        <w:left w:val="none" w:sz="0" w:space="0" w:color="auto"/>
        <w:bottom w:val="none" w:sz="0" w:space="0" w:color="auto"/>
        <w:right w:val="none" w:sz="0" w:space="0" w:color="auto"/>
      </w:divBdr>
    </w:div>
    <w:div w:id="198932658">
      <w:bodyDiv w:val="1"/>
      <w:marLeft w:val="0"/>
      <w:marRight w:val="0"/>
      <w:marTop w:val="0"/>
      <w:marBottom w:val="0"/>
      <w:divBdr>
        <w:top w:val="none" w:sz="0" w:space="0" w:color="auto"/>
        <w:left w:val="none" w:sz="0" w:space="0" w:color="auto"/>
        <w:bottom w:val="none" w:sz="0" w:space="0" w:color="auto"/>
        <w:right w:val="none" w:sz="0" w:space="0" w:color="auto"/>
      </w:divBdr>
    </w:div>
    <w:div w:id="201944291">
      <w:bodyDiv w:val="1"/>
      <w:marLeft w:val="0"/>
      <w:marRight w:val="0"/>
      <w:marTop w:val="0"/>
      <w:marBottom w:val="0"/>
      <w:divBdr>
        <w:top w:val="none" w:sz="0" w:space="0" w:color="auto"/>
        <w:left w:val="none" w:sz="0" w:space="0" w:color="auto"/>
        <w:bottom w:val="none" w:sz="0" w:space="0" w:color="auto"/>
        <w:right w:val="none" w:sz="0" w:space="0" w:color="auto"/>
      </w:divBdr>
    </w:div>
    <w:div w:id="203253252">
      <w:bodyDiv w:val="1"/>
      <w:marLeft w:val="0"/>
      <w:marRight w:val="0"/>
      <w:marTop w:val="0"/>
      <w:marBottom w:val="0"/>
      <w:divBdr>
        <w:top w:val="none" w:sz="0" w:space="0" w:color="auto"/>
        <w:left w:val="none" w:sz="0" w:space="0" w:color="auto"/>
        <w:bottom w:val="none" w:sz="0" w:space="0" w:color="auto"/>
        <w:right w:val="none" w:sz="0" w:space="0" w:color="auto"/>
      </w:divBdr>
    </w:div>
    <w:div w:id="204800217">
      <w:bodyDiv w:val="1"/>
      <w:marLeft w:val="0"/>
      <w:marRight w:val="0"/>
      <w:marTop w:val="0"/>
      <w:marBottom w:val="0"/>
      <w:divBdr>
        <w:top w:val="none" w:sz="0" w:space="0" w:color="auto"/>
        <w:left w:val="none" w:sz="0" w:space="0" w:color="auto"/>
        <w:bottom w:val="none" w:sz="0" w:space="0" w:color="auto"/>
        <w:right w:val="none" w:sz="0" w:space="0" w:color="auto"/>
      </w:divBdr>
    </w:div>
    <w:div w:id="205259343">
      <w:bodyDiv w:val="1"/>
      <w:marLeft w:val="0"/>
      <w:marRight w:val="0"/>
      <w:marTop w:val="0"/>
      <w:marBottom w:val="0"/>
      <w:divBdr>
        <w:top w:val="none" w:sz="0" w:space="0" w:color="auto"/>
        <w:left w:val="none" w:sz="0" w:space="0" w:color="auto"/>
        <w:bottom w:val="none" w:sz="0" w:space="0" w:color="auto"/>
        <w:right w:val="none" w:sz="0" w:space="0" w:color="auto"/>
      </w:divBdr>
    </w:div>
    <w:div w:id="216284872">
      <w:bodyDiv w:val="1"/>
      <w:marLeft w:val="0"/>
      <w:marRight w:val="0"/>
      <w:marTop w:val="0"/>
      <w:marBottom w:val="0"/>
      <w:divBdr>
        <w:top w:val="none" w:sz="0" w:space="0" w:color="auto"/>
        <w:left w:val="none" w:sz="0" w:space="0" w:color="auto"/>
        <w:bottom w:val="none" w:sz="0" w:space="0" w:color="auto"/>
        <w:right w:val="none" w:sz="0" w:space="0" w:color="auto"/>
      </w:divBdr>
    </w:div>
    <w:div w:id="216742644">
      <w:bodyDiv w:val="1"/>
      <w:marLeft w:val="0"/>
      <w:marRight w:val="0"/>
      <w:marTop w:val="0"/>
      <w:marBottom w:val="0"/>
      <w:divBdr>
        <w:top w:val="none" w:sz="0" w:space="0" w:color="auto"/>
        <w:left w:val="none" w:sz="0" w:space="0" w:color="auto"/>
        <w:bottom w:val="none" w:sz="0" w:space="0" w:color="auto"/>
        <w:right w:val="none" w:sz="0" w:space="0" w:color="auto"/>
      </w:divBdr>
    </w:div>
    <w:div w:id="218174550">
      <w:bodyDiv w:val="1"/>
      <w:marLeft w:val="0"/>
      <w:marRight w:val="0"/>
      <w:marTop w:val="0"/>
      <w:marBottom w:val="0"/>
      <w:divBdr>
        <w:top w:val="none" w:sz="0" w:space="0" w:color="auto"/>
        <w:left w:val="none" w:sz="0" w:space="0" w:color="auto"/>
        <w:bottom w:val="none" w:sz="0" w:space="0" w:color="auto"/>
        <w:right w:val="none" w:sz="0" w:space="0" w:color="auto"/>
      </w:divBdr>
    </w:div>
    <w:div w:id="226380597">
      <w:bodyDiv w:val="1"/>
      <w:marLeft w:val="0"/>
      <w:marRight w:val="0"/>
      <w:marTop w:val="0"/>
      <w:marBottom w:val="0"/>
      <w:divBdr>
        <w:top w:val="none" w:sz="0" w:space="0" w:color="auto"/>
        <w:left w:val="none" w:sz="0" w:space="0" w:color="auto"/>
        <w:bottom w:val="none" w:sz="0" w:space="0" w:color="auto"/>
        <w:right w:val="none" w:sz="0" w:space="0" w:color="auto"/>
      </w:divBdr>
    </w:div>
    <w:div w:id="231434104">
      <w:bodyDiv w:val="1"/>
      <w:marLeft w:val="0"/>
      <w:marRight w:val="0"/>
      <w:marTop w:val="0"/>
      <w:marBottom w:val="0"/>
      <w:divBdr>
        <w:top w:val="none" w:sz="0" w:space="0" w:color="auto"/>
        <w:left w:val="none" w:sz="0" w:space="0" w:color="auto"/>
        <w:bottom w:val="none" w:sz="0" w:space="0" w:color="auto"/>
        <w:right w:val="none" w:sz="0" w:space="0" w:color="auto"/>
      </w:divBdr>
    </w:div>
    <w:div w:id="232938262">
      <w:bodyDiv w:val="1"/>
      <w:marLeft w:val="0"/>
      <w:marRight w:val="0"/>
      <w:marTop w:val="0"/>
      <w:marBottom w:val="0"/>
      <w:divBdr>
        <w:top w:val="none" w:sz="0" w:space="0" w:color="auto"/>
        <w:left w:val="none" w:sz="0" w:space="0" w:color="auto"/>
        <w:bottom w:val="none" w:sz="0" w:space="0" w:color="auto"/>
        <w:right w:val="none" w:sz="0" w:space="0" w:color="auto"/>
      </w:divBdr>
    </w:div>
    <w:div w:id="234635253">
      <w:bodyDiv w:val="1"/>
      <w:marLeft w:val="0"/>
      <w:marRight w:val="0"/>
      <w:marTop w:val="0"/>
      <w:marBottom w:val="0"/>
      <w:divBdr>
        <w:top w:val="none" w:sz="0" w:space="0" w:color="auto"/>
        <w:left w:val="none" w:sz="0" w:space="0" w:color="auto"/>
        <w:bottom w:val="none" w:sz="0" w:space="0" w:color="auto"/>
        <w:right w:val="none" w:sz="0" w:space="0" w:color="auto"/>
      </w:divBdr>
    </w:div>
    <w:div w:id="235672615">
      <w:bodyDiv w:val="1"/>
      <w:marLeft w:val="0"/>
      <w:marRight w:val="0"/>
      <w:marTop w:val="0"/>
      <w:marBottom w:val="0"/>
      <w:divBdr>
        <w:top w:val="none" w:sz="0" w:space="0" w:color="auto"/>
        <w:left w:val="none" w:sz="0" w:space="0" w:color="auto"/>
        <w:bottom w:val="none" w:sz="0" w:space="0" w:color="auto"/>
        <w:right w:val="none" w:sz="0" w:space="0" w:color="auto"/>
      </w:divBdr>
    </w:div>
    <w:div w:id="236987971">
      <w:bodyDiv w:val="1"/>
      <w:marLeft w:val="0"/>
      <w:marRight w:val="0"/>
      <w:marTop w:val="0"/>
      <w:marBottom w:val="0"/>
      <w:divBdr>
        <w:top w:val="none" w:sz="0" w:space="0" w:color="auto"/>
        <w:left w:val="none" w:sz="0" w:space="0" w:color="auto"/>
        <w:bottom w:val="none" w:sz="0" w:space="0" w:color="auto"/>
        <w:right w:val="none" w:sz="0" w:space="0" w:color="auto"/>
      </w:divBdr>
    </w:div>
    <w:div w:id="237985435">
      <w:bodyDiv w:val="1"/>
      <w:marLeft w:val="0"/>
      <w:marRight w:val="0"/>
      <w:marTop w:val="0"/>
      <w:marBottom w:val="0"/>
      <w:divBdr>
        <w:top w:val="none" w:sz="0" w:space="0" w:color="auto"/>
        <w:left w:val="none" w:sz="0" w:space="0" w:color="auto"/>
        <w:bottom w:val="none" w:sz="0" w:space="0" w:color="auto"/>
        <w:right w:val="none" w:sz="0" w:space="0" w:color="auto"/>
      </w:divBdr>
    </w:div>
    <w:div w:id="250238759">
      <w:bodyDiv w:val="1"/>
      <w:marLeft w:val="0"/>
      <w:marRight w:val="0"/>
      <w:marTop w:val="0"/>
      <w:marBottom w:val="0"/>
      <w:divBdr>
        <w:top w:val="none" w:sz="0" w:space="0" w:color="auto"/>
        <w:left w:val="none" w:sz="0" w:space="0" w:color="auto"/>
        <w:bottom w:val="none" w:sz="0" w:space="0" w:color="auto"/>
        <w:right w:val="none" w:sz="0" w:space="0" w:color="auto"/>
      </w:divBdr>
    </w:div>
    <w:div w:id="253369503">
      <w:bodyDiv w:val="1"/>
      <w:marLeft w:val="0"/>
      <w:marRight w:val="0"/>
      <w:marTop w:val="0"/>
      <w:marBottom w:val="0"/>
      <w:divBdr>
        <w:top w:val="none" w:sz="0" w:space="0" w:color="auto"/>
        <w:left w:val="none" w:sz="0" w:space="0" w:color="auto"/>
        <w:bottom w:val="none" w:sz="0" w:space="0" w:color="auto"/>
        <w:right w:val="none" w:sz="0" w:space="0" w:color="auto"/>
      </w:divBdr>
    </w:div>
    <w:div w:id="254629990">
      <w:bodyDiv w:val="1"/>
      <w:marLeft w:val="0"/>
      <w:marRight w:val="0"/>
      <w:marTop w:val="0"/>
      <w:marBottom w:val="0"/>
      <w:divBdr>
        <w:top w:val="none" w:sz="0" w:space="0" w:color="auto"/>
        <w:left w:val="none" w:sz="0" w:space="0" w:color="auto"/>
        <w:bottom w:val="none" w:sz="0" w:space="0" w:color="auto"/>
        <w:right w:val="none" w:sz="0" w:space="0" w:color="auto"/>
      </w:divBdr>
      <w:divsChild>
        <w:div w:id="2062709011">
          <w:marLeft w:val="0"/>
          <w:marRight w:val="0"/>
          <w:marTop w:val="0"/>
          <w:marBottom w:val="0"/>
          <w:divBdr>
            <w:top w:val="none" w:sz="0" w:space="0" w:color="auto"/>
            <w:left w:val="none" w:sz="0" w:space="0" w:color="auto"/>
            <w:bottom w:val="none" w:sz="0" w:space="0" w:color="auto"/>
            <w:right w:val="none" w:sz="0" w:space="0" w:color="auto"/>
          </w:divBdr>
        </w:div>
      </w:divsChild>
    </w:div>
    <w:div w:id="257491476">
      <w:bodyDiv w:val="1"/>
      <w:marLeft w:val="0"/>
      <w:marRight w:val="0"/>
      <w:marTop w:val="0"/>
      <w:marBottom w:val="0"/>
      <w:divBdr>
        <w:top w:val="none" w:sz="0" w:space="0" w:color="auto"/>
        <w:left w:val="none" w:sz="0" w:space="0" w:color="auto"/>
        <w:bottom w:val="none" w:sz="0" w:space="0" w:color="auto"/>
        <w:right w:val="none" w:sz="0" w:space="0" w:color="auto"/>
      </w:divBdr>
    </w:div>
    <w:div w:id="262803447">
      <w:bodyDiv w:val="1"/>
      <w:marLeft w:val="0"/>
      <w:marRight w:val="0"/>
      <w:marTop w:val="0"/>
      <w:marBottom w:val="0"/>
      <w:divBdr>
        <w:top w:val="none" w:sz="0" w:space="0" w:color="auto"/>
        <w:left w:val="none" w:sz="0" w:space="0" w:color="auto"/>
        <w:bottom w:val="none" w:sz="0" w:space="0" w:color="auto"/>
        <w:right w:val="none" w:sz="0" w:space="0" w:color="auto"/>
      </w:divBdr>
    </w:div>
    <w:div w:id="271790499">
      <w:bodyDiv w:val="1"/>
      <w:marLeft w:val="0"/>
      <w:marRight w:val="0"/>
      <w:marTop w:val="0"/>
      <w:marBottom w:val="0"/>
      <w:divBdr>
        <w:top w:val="none" w:sz="0" w:space="0" w:color="auto"/>
        <w:left w:val="none" w:sz="0" w:space="0" w:color="auto"/>
        <w:bottom w:val="none" w:sz="0" w:space="0" w:color="auto"/>
        <w:right w:val="none" w:sz="0" w:space="0" w:color="auto"/>
      </w:divBdr>
      <w:divsChild>
        <w:div w:id="338195821">
          <w:marLeft w:val="0"/>
          <w:marRight w:val="0"/>
          <w:marTop w:val="0"/>
          <w:marBottom w:val="0"/>
          <w:divBdr>
            <w:top w:val="none" w:sz="0" w:space="0" w:color="auto"/>
            <w:left w:val="none" w:sz="0" w:space="0" w:color="auto"/>
            <w:bottom w:val="none" w:sz="0" w:space="0" w:color="auto"/>
            <w:right w:val="none" w:sz="0" w:space="0" w:color="auto"/>
          </w:divBdr>
          <w:divsChild>
            <w:div w:id="2064330832">
              <w:marLeft w:val="0"/>
              <w:marRight w:val="0"/>
              <w:marTop w:val="0"/>
              <w:marBottom w:val="0"/>
              <w:divBdr>
                <w:top w:val="none" w:sz="0" w:space="0" w:color="auto"/>
                <w:left w:val="none" w:sz="0" w:space="0" w:color="auto"/>
                <w:bottom w:val="none" w:sz="0" w:space="0" w:color="auto"/>
                <w:right w:val="none" w:sz="0" w:space="0" w:color="auto"/>
              </w:divBdr>
              <w:divsChild>
                <w:div w:id="3102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8868">
      <w:bodyDiv w:val="1"/>
      <w:marLeft w:val="0"/>
      <w:marRight w:val="0"/>
      <w:marTop w:val="0"/>
      <w:marBottom w:val="0"/>
      <w:divBdr>
        <w:top w:val="none" w:sz="0" w:space="0" w:color="auto"/>
        <w:left w:val="none" w:sz="0" w:space="0" w:color="auto"/>
        <w:bottom w:val="none" w:sz="0" w:space="0" w:color="auto"/>
        <w:right w:val="none" w:sz="0" w:space="0" w:color="auto"/>
      </w:divBdr>
      <w:divsChild>
        <w:div w:id="1972200896">
          <w:marLeft w:val="0"/>
          <w:marRight w:val="0"/>
          <w:marTop w:val="0"/>
          <w:marBottom w:val="0"/>
          <w:divBdr>
            <w:top w:val="none" w:sz="0" w:space="0" w:color="auto"/>
            <w:left w:val="none" w:sz="0" w:space="0" w:color="auto"/>
            <w:bottom w:val="none" w:sz="0" w:space="0" w:color="auto"/>
            <w:right w:val="none" w:sz="0" w:space="0" w:color="auto"/>
          </w:divBdr>
          <w:divsChild>
            <w:div w:id="400326381">
              <w:marLeft w:val="0"/>
              <w:marRight w:val="0"/>
              <w:marTop w:val="0"/>
              <w:marBottom w:val="0"/>
              <w:divBdr>
                <w:top w:val="none" w:sz="0" w:space="0" w:color="auto"/>
                <w:left w:val="none" w:sz="0" w:space="0" w:color="auto"/>
                <w:bottom w:val="none" w:sz="0" w:space="0" w:color="auto"/>
                <w:right w:val="none" w:sz="0" w:space="0" w:color="auto"/>
              </w:divBdr>
              <w:divsChild>
                <w:div w:id="16302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370">
      <w:bodyDiv w:val="1"/>
      <w:marLeft w:val="0"/>
      <w:marRight w:val="0"/>
      <w:marTop w:val="0"/>
      <w:marBottom w:val="0"/>
      <w:divBdr>
        <w:top w:val="none" w:sz="0" w:space="0" w:color="auto"/>
        <w:left w:val="none" w:sz="0" w:space="0" w:color="auto"/>
        <w:bottom w:val="none" w:sz="0" w:space="0" w:color="auto"/>
        <w:right w:val="none" w:sz="0" w:space="0" w:color="auto"/>
      </w:divBdr>
    </w:div>
    <w:div w:id="284504813">
      <w:bodyDiv w:val="1"/>
      <w:marLeft w:val="0"/>
      <w:marRight w:val="0"/>
      <w:marTop w:val="0"/>
      <w:marBottom w:val="0"/>
      <w:divBdr>
        <w:top w:val="none" w:sz="0" w:space="0" w:color="auto"/>
        <w:left w:val="none" w:sz="0" w:space="0" w:color="auto"/>
        <w:bottom w:val="none" w:sz="0" w:space="0" w:color="auto"/>
        <w:right w:val="none" w:sz="0" w:space="0" w:color="auto"/>
      </w:divBdr>
      <w:divsChild>
        <w:div w:id="1383095680">
          <w:marLeft w:val="0"/>
          <w:marRight w:val="0"/>
          <w:marTop w:val="0"/>
          <w:marBottom w:val="0"/>
          <w:divBdr>
            <w:top w:val="none" w:sz="0" w:space="0" w:color="auto"/>
            <w:left w:val="none" w:sz="0" w:space="0" w:color="auto"/>
            <w:bottom w:val="none" w:sz="0" w:space="0" w:color="auto"/>
            <w:right w:val="none" w:sz="0" w:space="0" w:color="auto"/>
          </w:divBdr>
          <w:divsChild>
            <w:div w:id="1399943001">
              <w:marLeft w:val="0"/>
              <w:marRight w:val="0"/>
              <w:marTop w:val="0"/>
              <w:marBottom w:val="0"/>
              <w:divBdr>
                <w:top w:val="none" w:sz="0" w:space="0" w:color="auto"/>
                <w:left w:val="none" w:sz="0" w:space="0" w:color="auto"/>
                <w:bottom w:val="none" w:sz="0" w:space="0" w:color="auto"/>
                <w:right w:val="none" w:sz="0" w:space="0" w:color="auto"/>
              </w:divBdr>
              <w:divsChild>
                <w:div w:id="9928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2661">
      <w:bodyDiv w:val="1"/>
      <w:marLeft w:val="0"/>
      <w:marRight w:val="0"/>
      <w:marTop w:val="0"/>
      <w:marBottom w:val="0"/>
      <w:divBdr>
        <w:top w:val="none" w:sz="0" w:space="0" w:color="auto"/>
        <w:left w:val="none" w:sz="0" w:space="0" w:color="auto"/>
        <w:bottom w:val="none" w:sz="0" w:space="0" w:color="auto"/>
        <w:right w:val="none" w:sz="0" w:space="0" w:color="auto"/>
      </w:divBdr>
    </w:div>
    <w:div w:id="294023424">
      <w:bodyDiv w:val="1"/>
      <w:marLeft w:val="0"/>
      <w:marRight w:val="0"/>
      <w:marTop w:val="0"/>
      <w:marBottom w:val="0"/>
      <w:divBdr>
        <w:top w:val="none" w:sz="0" w:space="0" w:color="auto"/>
        <w:left w:val="none" w:sz="0" w:space="0" w:color="auto"/>
        <w:bottom w:val="none" w:sz="0" w:space="0" w:color="auto"/>
        <w:right w:val="none" w:sz="0" w:space="0" w:color="auto"/>
      </w:divBdr>
    </w:div>
    <w:div w:id="296765253">
      <w:bodyDiv w:val="1"/>
      <w:marLeft w:val="0"/>
      <w:marRight w:val="0"/>
      <w:marTop w:val="0"/>
      <w:marBottom w:val="0"/>
      <w:divBdr>
        <w:top w:val="none" w:sz="0" w:space="0" w:color="auto"/>
        <w:left w:val="none" w:sz="0" w:space="0" w:color="auto"/>
        <w:bottom w:val="none" w:sz="0" w:space="0" w:color="auto"/>
        <w:right w:val="none" w:sz="0" w:space="0" w:color="auto"/>
      </w:divBdr>
    </w:div>
    <w:div w:id="304242007">
      <w:bodyDiv w:val="1"/>
      <w:marLeft w:val="0"/>
      <w:marRight w:val="0"/>
      <w:marTop w:val="0"/>
      <w:marBottom w:val="0"/>
      <w:divBdr>
        <w:top w:val="none" w:sz="0" w:space="0" w:color="auto"/>
        <w:left w:val="none" w:sz="0" w:space="0" w:color="auto"/>
        <w:bottom w:val="none" w:sz="0" w:space="0" w:color="auto"/>
        <w:right w:val="none" w:sz="0" w:space="0" w:color="auto"/>
      </w:divBdr>
    </w:div>
    <w:div w:id="309790888">
      <w:bodyDiv w:val="1"/>
      <w:marLeft w:val="0"/>
      <w:marRight w:val="0"/>
      <w:marTop w:val="0"/>
      <w:marBottom w:val="0"/>
      <w:divBdr>
        <w:top w:val="none" w:sz="0" w:space="0" w:color="auto"/>
        <w:left w:val="none" w:sz="0" w:space="0" w:color="auto"/>
        <w:bottom w:val="none" w:sz="0" w:space="0" w:color="auto"/>
        <w:right w:val="none" w:sz="0" w:space="0" w:color="auto"/>
      </w:divBdr>
    </w:div>
    <w:div w:id="314260359">
      <w:bodyDiv w:val="1"/>
      <w:marLeft w:val="0"/>
      <w:marRight w:val="0"/>
      <w:marTop w:val="0"/>
      <w:marBottom w:val="0"/>
      <w:divBdr>
        <w:top w:val="none" w:sz="0" w:space="0" w:color="auto"/>
        <w:left w:val="none" w:sz="0" w:space="0" w:color="auto"/>
        <w:bottom w:val="none" w:sz="0" w:space="0" w:color="auto"/>
        <w:right w:val="none" w:sz="0" w:space="0" w:color="auto"/>
      </w:divBdr>
    </w:div>
    <w:div w:id="319892638">
      <w:bodyDiv w:val="1"/>
      <w:marLeft w:val="0"/>
      <w:marRight w:val="0"/>
      <w:marTop w:val="0"/>
      <w:marBottom w:val="0"/>
      <w:divBdr>
        <w:top w:val="none" w:sz="0" w:space="0" w:color="auto"/>
        <w:left w:val="none" w:sz="0" w:space="0" w:color="auto"/>
        <w:bottom w:val="none" w:sz="0" w:space="0" w:color="auto"/>
        <w:right w:val="none" w:sz="0" w:space="0" w:color="auto"/>
      </w:divBdr>
    </w:div>
    <w:div w:id="332345448">
      <w:bodyDiv w:val="1"/>
      <w:marLeft w:val="0"/>
      <w:marRight w:val="0"/>
      <w:marTop w:val="0"/>
      <w:marBottom w:val="0"/>
      <w:divBdr>
        <w:top w:val="none" w:sz="0" w:space="0" w:color="auto"/>
        <w:left w:val="none" w:sz="0" w:space="0" w:color="auto"/>
        <w:bottom w:val="none" w:sz="0" w:space="0" w:color="auto"/>
        <w:right w:val="none" w:sz="0" w:space="0" w:color="auto"/>
      </w:divBdr>
    </w:div>
    <w:div w:id="336076348">
      <w:bodyDiv w:val="1"/>
      <w:marLeft w:val="0"/>
      <w:marRight w:val="0"/>
      <w:marTop w:val="0"/>
      <w:marBottom w:val="0"/>
      <w:divBdr>
        <w:top w:val="none" w:sz="0" w:space="0" w:color="auto"/>
        <w:left w:val="none" w:sz="0" w:space="0" w:color="auto"/>
        <w:bottom w:val="none" w:sz="0" w:space="0" w:color="auto"/>
        <w:right w:val="none" w:sz="0" w:space="0" w:color="auto"/>
      </w:divBdr>
    </w:div>
    <w:div w:id="345251757">
      <w:bodyDiv w:val="1"/>
      <w:marLeft w:val="0"/>
      <w:marRight w:val="0"/>
      <w:marTop w:val="0"/>
      <w:marBottom w:val="0"/>
      <w:divBdr>
        <w:top w:val="none" w:sz="0" w:space="0" w:color="auto"/>
        <w:left w:val="none" w:sz="0" w:space="0" w:color="auto"/>
        <w:bottom w:val="none" w:sz="0" w:space="0" w:color="auto"/>
        <w:right w:val="none" w:sz="0" w:space="0" w:color="auto"/>
      </w:divBdr>
    </w:div>
    <w:div w:id="345668235">
      <w:bodyDiv w:val="1"/>
      <w:marLeft w:val="0"/>
      <w:marRight w:val="0"/>
      <w:marTop w:val="0"/>
      <w:marBottom w:val="0"/>
      <w:divBdr>
        <w:top w:val="none" w:sz="0" w:space="0" w:color="auto"/>
        <w:left w:val="none" w:sz="0" w:space="0" w:color="auto"/>
        <w:bottom w:val="none" w:sz="0" w:space="0" w:color="auto"/>
        <w:right w:val="none" w:sz="0" w:space="0" w:color="auto"/>
      </w:divBdr>
      <w:divsChild>
        <w:div w:id="174200304">
          <w:marLeft w:val="0"/>
          <w:marRight w:val="0"/>
          <w:marTop w:val="0"/>
          <w:marBottom w:val="0"/>
          <w:divBdr>
            <w:top w:val="none" w:sz="0" w:space="0" w:color="auto"/>
            <w:left w:val="none" w:sz="0" w:space="0" w:color="auto"/>
            <w:bottom w:val="none" w:sz="0" w:space="0" w:color="auto"/>
            <w:right w:val="none" w:sz="0" w:space="0" w:color="auto"/>
          </w:divBdr>
          <w:divsChild>
            <w:div w:id="1299723808">
              <w:marLeft w:val="0"/>
              <w:marRight w:val="0"/>
              <w:marTop w:val="0"/>
              <w:marBottom w:val="0"/>
              <w:divBdr>
                <w:top w:val="none" w:sz="0" w:space="0" w:color="auto"/>
                <w:left w:val="none" w:sz="0" w:space="0" w:color="auto"/>
                <w:bottom w:val="none" w:sz="0" w:space="0" w:color="auto"/>
                <w:right w:val="none" w:sz="0" w:space="0" w:color="auto"/>
              </w:divBdr>
              <w:divsChild>
                <w:div w:id="15334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4673">
      <w:bodyDiv w:val="1"/>
      <w:marLeft w:val="0"/>
      <w:marRight w:val="0"/>
      <w:marTop w:val="0"/>
      <w:marBottom w:val="0"/>
      <w:divBdr>
        <w:top w:val="none" w:sz="0" w:space="0" w:color="auto"/>
        <w:left w:val="none" w:sz="0" w:space="0" w:color="auto"/>
        <w:bottom w:val="none" w:sz="0" w:space="0" w:color="auto"/>
        <w:right w:val="none" w:sz="0" w:space="0" w:color="auto"/>
      </w:divBdr>
    </w:div>
    <w:div w:id="346057195">
      <w:bodyDiv w:val="1"/>
      <w:marLeft w:val="0"/>
      <w:marRight w:val="0"/>
      <w:marTop w:val="0"/>
      <w:marBottom w:val="0"/>
      <w:divBdr>
        <w:top w:val="none" w:sz="0" w:space="0" w:color="auto"/>
        <w:left w:val="none" w:sz="0" w:space="0" w:color="auto"/>
        <w:bottom w:val="none" w:sz="0" w:space="0" w:color="auto"/>
        <w:right w:val="none" w:sz="0" w:space="0" w:color="auto"/>
      </w:divBdr>
    </w:div>
    <w:div w:id="350373202">
      <w:bodyDiv w:val="1"/>
      <w:marLeft w:val="0"/>
      <w:marRight w:val="0"/>
      <w:marTop w:val="0"/>
      <w:marBottom w:val="0"/>
      <w:divBdr>
        <w:top w:val="none" w:sz="0" w:space="0" w:color="auto"/>
        <w:left w:val="none" w:sz="0" w:space="0" w:color="auto"/>
        <w:bottom w:val="none" w:sz="0" w:space="0" w:color="auto"/>
        <w:right w:val="none" w:sz="0" w:space="0" w:color="auto"/>
      </w:divBdr>
    </w:div>
    <w:div w:id="357924728">
      <w:bodyDiv w:val="1"/>
      <w:marLeft w:val="0"/>
      <w:marRight w:val="0"/>
      <w:marTop w:val="0"/>
      <w:marBottom w:val="0"/>
      <w:divBdr>
        <w:top w:val="none" w:sz="0" w:space="0" w:color="auto"/>
        <w:left w:val="none" w:sz="0" w:space="0" w:color="auto"/>
        <w:bottom w:val="none" w:sz="0" w:space="0" w:color="auto"/>
        <w:right w:val="none" w:sz="0" w:space="0" w:color="auto"/>
      </w:divBdr>
    </w:div>
    <w:div w:id="360131334">
      <w:bodyDiv w:val="1"/>
      <w:marLeft w:val="0"/>
      <w:marRight w:val="0"/>
      <w:marTop w:val="0"/>
      <w:marBottom w:val="0"/>
      <w:divBdr>
        <w:top w:val="none" w:sz="0" w:space="0" w:color="auto"/>
        <w:left w:val="none" w:sz="0" w:space="0" w:color="auto"/>
        <w:bottom w:val="none" w:sz="0" w:space="0" w:color="auto"/>
        <w:right w:val="none" w:sz="0" w:space="0" w:color="auto"/>
      </w:divBdr>
    </w:div>
    <w:div w:id="363868165">
      <w:bodyDiv w:val="1"/>
      <w:marLeft w:val="0"/>
      <w:marRight w:val="0"/>
      <w:marTop w:val="0"/>
      <w:marBottom w:val="0"/>
      <w:divBdr>
        <w:top w:val="none" w:sz="0" w:space="0" w:color="auto"/>
        <w:left w:val="none" w:sz="0" w:space="0" w:color="auto"/>
        <w:bottom w:val="none" w:sz="0" w:space="0" w:color="auto"/>
        <w:right w:val="none" w:sz="0" w:space="0" w:color="auto"/>
      </w:divBdr>
    </w:div>
    <w:div w:id="363989696">
      <w:bodyDiv w:val="1"/>
      <w:marLeft w:val="0"/>
      <w:marRight w:val="0"/>
      <w:marTop w:val="0"/>
      <w:marBottom w:val="0"/>
      <w:divBdr>
        <w:top w:val="none" w:sz="0" w:space="0" w:color="auto"/>
        <w:left w:val="none" w:sz="0" w:space="0" w:color="auto"/>
        <w:bottom w:val="none" w:sz="0" w:space="0" w:color="auto"/>
        <w:right w:val="none" w:sz="0" w:space="0" w:color="auto"/>
      </w:divBdr>
      <w:divsChild>
        <w:div w:id="726418353">
          <w:marLeft w:val="0"/>
          <w:marRight w:val="0"/>
          <w:marTop w:val="0"/>
          <w:marBottom w:val="0"/>
          <w:divBdr>
            <w:top w:val="none" w:sz="0" w:space="0" w:color="auto"/>
            <w:left w:val="none" w:sz="0" w:space="0" w:color="auto"/>
            <w:bottom w:val="none" w:sz="0" w:space="0" w:color="auto"/>
            <w:right w:val="none" w:sz="0" w:space="0" w:color="auto"/>
          </w:divBdr>
          <w:divsChild>
            <w:div w:id="89666134">
              <w:marLeft w:val="0"/>
              <w:marRight w:val="0"/>
              <w:marTop w:val="0"/>
              <w:marBottom w:val="0"/>
              <w:divBdr>
                <w:top w:val="none" w:sz="0" w:space="0" w:color="auto"/>
                <w:left w:val="none" w:sz="0" w:space="0" w:color="auto"/>
                <w:bottom w:val="none" w:sz="0" w:space="0" w:color="auto"/>
                <w:right w:val="none" w:sz="0" w:space="0" w:color="auto"/>
              </w:divBdr>
            </w:div>
          </w:divsChild>
        </w:div>
        <w:div w:id="1732116871">
          <w:marLeft w:val="0"/>
          <w:marRight w:val="0"/>
          <w:marTop w:val="0"/>
          <w:marBottom w:val="0"/>
          <w:divBdr>
            <w:top w:val="none" w:sz="0" w:space="0" w:color="auto"/>
            <w:left w:val="none" w:sz="0" w:space="0" w:color="auto"/>
            <w:bottom w:val="none" w:sz="0" w:space="0" w:color="auto"/>
            <w:right w:val="none" w:sz="0" w:space="0" w:color="auto"/>
          </w:divBdr>
          <w:divsChild>
            <w:div w:id="19299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2321">
      <w:bodyDiv w:val="1"/>
      <w:marLeft w:val="0"/>
      <w:marRight w:val="0"/>
      <w:marTop w:val="0"/>
      <w:marBottom w:val="0"/>
      <w:divBdr>
        <w:top w:val="none" w:sz="0" w:space="0" w:color="auto"/>
        <w:left w:val="none" w:sz="0" w:space="0" w:color="auto"/>
        <w:bottom w:val="none" w:sz="0" w:space="0" w:color="auto"/>
        <w:right w:val="none" w:sz="0" w:space="0" w:color="auto"/>
      </w:divBdr>
    </w:div>
    <w:div w:id="384525763">
      <w:bodyDiv w:val="1"/>
      <w:marLeft w:val="0"/>
      <w:marRight w:val="0"/>
      <w:marTop w:val="0"/>
      <w:marBottom w:val="0"/>
      <w:divBdr>
        <w:top w:val="none" w:sz="0" w:space="0" w:color="auto"/>
        <w:left w:val="none" w:sz="0" w:space="0" w:color="auto"/>
        <w:bottom w:val="none" w:sz="0" w:space="0" w:color="auto"/>
        <w:right w:val="none" w:sz="0" w:space="0" w:color="auto"/>
      </w:divBdr>
    </w:div>
    <w:div w:id="385641726">
      <w:bodyDiv w:val="1"/>
      <w:marLeft w:val="0"/>
      <w:marRight w:val="0"/>
      <w:marTop w:val="0"/>
      <w:marBottom w:val="0"/>
      <w:divBdr>
        <w:top w:val="none" w:sz="0" w:space="0" w:color="auto"/>
        <w:left w:val="none" w:sz="0" w:space="0" w:color="auto"/>
        <w:bottom w:val="none" w:sz="0" w:space="0" w:color="auto"/>
        <w:right w:val="none" w:sz="0" w:space="0" w:color="auto"/>
      </w:divBdr>
    </w:div>
    <w:div w:id="387918924">
      <w:bodyDiv w:val="1"/>
      <w:marLeft w:val="0"/>
      <w:marRight w:val="0"/>
      <w:marTop w:val="0"/>
      <w:marBottom w:val="0"/>
      <w:divBdr>
        <w:top w:val="none" w:sz="0" w:space="0" w:color="auto"/>
        <w:left w:val="none" w:sz="0" w:space="0" w:color="auto"/>
        <w:bottom w:val="none" w:sz="0" w:space="0" w:color="auto"/>
        <w:right w:val="none" w:sz="0" w:space="0" w:color="auto"/>
      </w:divBdr>
    </w:div>
    <w:div w:id="393283568">
      <w:bodyDiv w:val="1"/>
      <w:marLeft w:val="0"/>
      <w:marRight w:val="0"/>
      <w:marTop w:val="0"/>
      <w:marBottom w:val="0"/>
      <w:divBdr>
        <w:top w:val="none" w:sz="0" w:space="0" w:color="auto"/>
        <w:left w:val="none" w:sz="0" w:space="0" w:color="auto"/>
        <w:bottom w:val="none" w:sz="0" w:space="0" w:color="auto"/>
        <w:right w:val="none" w:sz="0" w:space="0" w:color="auto"/>
      </w:divBdr>
    </w:div>
    <w:div w:id="399407400">
      <w:bodyDiv w:val="1"/>
      <w:marLeft w:val="0"/>
      <w:marRight w:val="0"/>
      <w:marTop w:val="0"/>
      <w:marBottom w:val="0"/>
      <w:divBdr>
        <w:top w:val="none" w:sz="0" w:space="0" w:color="auto"/>
        <w:left w:val="none" w:sz="0" w:space="0" w:color="auto"/>
        <w:bottom w:val="none" w:sz="0" w:space="0" w:color="auto"/>
        <w:right w:val="none" w:sz="0" w:space="0" w:color="auto"/>
      </w:divBdr>
    </w:div>
    <w:div w:id="401147227">
      <w:bodyDiv w:val="1"/>
      <w:marLeft w:val="0"/>
      <w:marRight w:val="0"/>
      <w:marTop w:val="0"/>
      <w:marBottom w:val="0"/>
      <w:divBdr>
        <w:top w:val="none" w:sz="0" w:space="0" w:color="auto"/>
        <w:left w:val="none" w:sz="0" w:space="0" w:color="auto"/>
        <w:bottom w:val="none" w:sz="0" w:space="0" w:color="auto"/>
        <w:right w:val="none" w:sz="0" w:space="0" w:color="auto"/>
      </w:divBdr>
    </w:div>
    <w:div w:id="401372528">
      <w:bodyDiv w:val="1"/>
      <w:marLeft w:val="0"/>
      <w:marRight w:val="0"/>
      <w:marTop w:val="0"/>
      <w:marBottom w:val="0"/>
      <w:divBdr>
        <w:top w:val="none" w:sz="0" w:space="0" w:color="auto"/>
        <w:left w:val="none" w:sz="0" w:space="0" w:color="auto"/>
        <w:bottom w:val="none" w:sz="0" w:space="0" w:color="auto"/>
        <w:right w:val="none" w:sz="0" w:space="0" w:color="auto"/>
      </w:divBdr>
    </w:div>
    <w:div w:id="414984117">
      <w:bodyDiv w:val="1"/>
      <w:marLeft w:val="0"/>
      <w:marRight w:val="0"/>
      <w:marTop w:val="0"/>
      <w:marBottom w:val="0"/>
      <w:divBdr>
        <w:top w:val="none" w:sz="0" w:space="0" w:color="auto"/>
        <w:left w:val="none" w:sz="0" w:space="0" w:color="auto"/>
        <w:bottom w:val="none" w:sz="0" w:space="0" w:color="auto"/>
        <w:right w:val="none" w:sz="0" w:space="0" w:color="auto"/>
      </w:divBdr>
      <w:divsChild>
        <w:div w:id="1390230212">
          <w:marLeft w:val="1166"/>
          <w:marRight w:val="0"/>
          <w:marTop w:val="67"/>
          <w:marBottom w:val="0"/>
          <w:divBdr>
            <w:top w:val="none" w:sz="0" w:space="0" w:color="auto"/>
            <w:left w:val="none" w:sz="0" w:space="0" w:color="auto"/>
            <w:bottom w:val="none" w:sz="0" w:space="0" w:color="auto"/>
            <w:right w:val="none" w:sz="0" w:space="0" w:color="auto"/>
          </w:divBdr>
        </w:div>
        <w:div w:id="1572501550">
          <w:marLeft w:val="547"/>
          <w:marRight w:val="0"/>
          <w:marTop w:val="86"/>
          <w:marBottom w:val="0"/>
          <w:divBdr>
            <w:top w:val="none" w:sz="0" w:space="0" w:color="auto"/>
            <w:left w:val="none" w:sz="0" w:space="0" w:color="auto"/>
            <w:bottom w:val="none" w:sz="0" w:space="0" w:color="auto"/>
            <w:right w:val="none" w:sz="0" w:space="0" w:color="auto"/>
          </w:divBdr>
        </w:div>
        <w:div w:id="1998679989">
          <w:marLeft w:val="1166"/>
          <w:marRight w:val="0"/>
          <w:marTop w:val="67"/>
          <w:marBottom w:val="0"/>
          <w:divBdr>
            <w:top w:val="none" w:sz="0" w:space="0" w:color="auto"/>
            <w:left w:val="none" w:sz="0" w:space="0" w:color="auto"/>
            <w:bottom w:val="none" w:sz="0" w:space="0" w:color="auto"/>
            <w:right w:val="none" w:sz="0" w:space="0" w:color="auto"/>
          </w:divBdr>
        </w:div>
        <w:div w:id="2141486681">
          <w:marLeft w:val="1166"/>
          <w:marRight w:val="0"/>
          <w:marTop w:val="67"/>
          <w:marBottom w:val="0"/>
          <w:divBdr>
            <w:top w:val="none" w:sz="0" w:space="0" w:color="auto"/>
            <w:left w:val="none" w:sz="0" w:space="0" w:color="auto"/>
            <w:bottom w:val="none" w:sz="0" w:space="0" w:color="auto"/>
            <w:right w:val="none" w:sz="0" w:space="0" w:color="auto"/>
          </w:divBdr>
        </w:div>
      </w:divsChild>
    </w:div>
    <w:div w:id="418841000">
      <w:bodyDiv w:val="1"/>
      <w:marLeft w:val="0"/>
      <w:marRight w:val="0"/>
      <w:marTop w:val="0"/>
      <w:marBottom w:val="0"/>
      <w:divBdr>
        <w:top w:val="none" w:sz="0" w:space="0" w:color="auto"/>
        <w:left w:val="none" w:sz="0" w:space="0" w:color="auto"/>
        <w:bottom w:val="none" w:sz="0" w:space="0" w:color="auto"/>
        <w:right w:val="none" w:sz="0" w:space="0" w:color="auto"/>
      </w:divBdr>
    </w:div>
    <w:div w:id="420225263">
      <w:bodyDiv w:val="1"/>
      <w:marLeft w:val="0"/>
      <w:marRight w:val="0"/>
      <w:marTop w:val="0"/>
      <w:marBottom w:val="0"/>
      <w:divBdr>
        <w:top w:val="none" w:sz="0" w:space="0" w:color="auto"/>
        <w:left w:val="none" w:sz="0" w:space="0" w:color="auto"/>
        <w:bottom w:val="none" w:sz="0" w:space="0" w:color="auto"/>
        <w:right w:val="none" w:sz="0" w:space="0" w:color="auto"/>
      </w:divBdr>
    </w:div>
    <w:div w:id="421413488">
      <w:bodyDiv w:val="1"/>
      <w:marLeft w:val="0"/>
      <w:marRight w:val="0"/>
      <w:marTop w:val="0"/>
      <w:marBottom w:val="0"/>
      <w:divBdr>
        <w:top w:val="none" w:sz="0" w:space="0" w:color="auto"/>
        <w:left w:val="none" w:sz="0" w:space="0" w:color="auto"/>
        <w:bottom w:val="none" w:sz="0" w:space="0" w:color="auto"/>
        <w:right w:val="none" w:sz="0" w:space="0" w:color="auto"/>
      </w:divBdr>
    </w:div>
    <w:div w:id="431170428">
      <w:bodyDiv w:val="1"/>
      <w:marLeft w:val="0"/>
      <w:marRight w:val="0"/>
      <w:marTop w:val="0"/>
      <w:marBottom w:val="0"/>
      <w:divBdr>
        <w:top w:val="none" w:sz="0" w:space="0" w:color="auto"/>
        <w:left w:val="none" w:sz="0" w:space="0" w:color="auto"/>
        <w:bottom w:val="none" w:sz="0" w:space="0" w:color="auto"/>
        <w:right w:val="none" w:sz="0" w:space="0" w:color="auto"/>
      </w:divBdr>
    </w:div>
    <w:div w:id="440804581">
      <w:bodyDiv w:val="1"/>
      <w:marLeft w:val="0"/>
      <w:marRight w:val="0"/>
      <w:marTop w:val="0"/>
      <w:marBottom w:val="0"/>
      <w:divBdr>
        <w:top w:val="none" w:sz="0" w:space="0" w:color="auto"/>
        <w:left w:val="none" w:sz="0" w:space="0" w:color="auto"/>
        <w:bottom w:val="none" w:sz="0" w:space="0" w:color="auto"/>
        <w:right w:val="none" w:sz="0" w:space="0" w:color="auto"/>
      </w:divBdr>
    </w:div>
    <w:div w:id="445082285">
      <w:bodyDiv w:val="1"/>
      <w:marLeft w:val="0"/>
      <w:marRight w:val="0"/>
      <w:marTop w:val="0"/>
      <w:marBottom w:val="0"/>
      <w:divBdr>
        <w:top w:val="none" w:sz="0" w:space="0" w:color="auto"/>
        <w:left w:val="none" w:sz="0" w:space="0" w:color="auto"/>
        <w:bottom w:val="none" w:sz="0" w:space="0" w:color="auto"/>
        <w:right w:val="none" w:sz="0" w:space="0" w:color="auto"/>
      </w:divBdr>
      <w:divsChild>
        <w:div w:id="352389878">
          <w:marLeft w:val="0"/>
          <w:marRight w:val="0"/>
          <w:marTop w:val="450"/>
          <w:marBottom w:val="1350"/>
          <w:divBdr>
            <w:top w:val="none" w:sz="0" w:space="0" w:color="auto"/>
            <w:left w:val="none" w:sz="0" w:space="0" w:color="auto"/>
            <w:bottom w:val="none" w:sz="0" w:space="0" w:color="auto"/>
            <w:right w:val="none" w:sz="0" w:space="0" w:color="auto"/>
          </w:divBdr>
          <w:divsChild>
            <w:div w:id="2129272344">
              <w:marLeft w:val="0"/>
              <w:marRight w:val="0"/>
              <w:marTop w:val="0"/>
              <w:marBottom w:val="0"/>
              <w:divBdr>
                <w:top w:val="none" w:sz="0" w:space="0" w:color="auto"/>
                <w:left w:val="none" w:sz="0" w:space="0" w:color="auto"/>
                <w:bottom w:val="none" w:sz="0" w:space="0" w:color="auto"/>
                <w:right w:val="none" w:sz="0" w:space="0" w:color="auto"/>
              </w:divBdr>
              <w:divsChild>
                <w:div w:id="727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8434">
      <w:bodyDiv w:val="1"/>
      <w:marLeft w:val="0"/>
      <w:marRight w:val="0"/>
      <w:marTop w:val="0"/>
      <w:marBottom w:val="0"/>
      <w:divBdr>
        <w:top w:val="none" w:sz="0" w:space="0" w:color="auto"/>
        <w:left w:val="none" w:sz="0" w:space="0" w:color="auto"/>
        <w:bottom w:val="none" w:sz="0" w:space="0" w:color="auto"/>
        <w:right w:val="none" w:sz="0" w:space="0" w:color="auto"/>
      </w:divBdr>
    </w:div>
    <w:div w:id="448472897">
      <w:bodyDiv w:val="1"/>
      <w:marLeft w:val="0"/>
      <w:marRight w:val="0"/>
      <w:marTop w:val="0"/>
      <w:marBottom w:val="0"/>
      <w:divBdr>
        <w:top w:val="none" w:sz="0" w:space="0" w:color="auto"/>
        <w:left w:val="none" w:sz="0" w:space="0" w:color="auto"/>
        <w:bottom w:val="none" w:sz="0" w:space="0" w:color="auto"/>
        <w:right w:val="none" w:sz="0" w:space="0" w:color="auto"/>
      </w:divBdr>
    </w:div>
    <w:div w:id="449905702">
      <w:bodyDiv w:val="1"/>
      <w:marLeft w:val="0"/>
      <w:marRight w:val="0"/>
      <w:marTop w:val="0"/>
      <w:marBottom w:val="0"/>
      <w:divBdr>
        <w:top w:val="none" w:sz="0" w:space="0" w:color="auto"/>
        <w:left w:val="none" w:sz="0" w:space="0" w:color="auto"/>
        <w:bottom w:val="none" w:sz="0" w:space="0" w:color="auto"/>
        <w:right w:val="none" w:sz="0" w:space="0" w:color="auto"/>
      </w:divBdr>
    </w:div>
    <w:div w:id="452678481">
      <w:bodyDiv w:val="1"/>
      <w:marLeft w:val="0"/>
      <w:marRight w:val="0"/>
      <w:marTop w:val="0"/>
      <w:marBottom w:val="0"/>
      <w:divBdr>
        <w:top w:val="none" w:sz="0" w:space="0" w:color="auto"/>
        <w:left w:val="none" w:sz="0" w:space="0" w:color="auto"/>
        <w:bottom w:val="none" w:sz="0" w:space="0" w:color="auto"/>
        <w:right w:val="none" w:sz="0" w:space="0" w:color="auto"/>
      </w:divBdr>
    </w:div>
    <w:div w:id="453521133">
      <w:bodyDiv w:val="1"/>
      <w:marLeft w:val="0"/>
      <w:marRight w:val="0"/>
      <w:marTop w:val="0"/>
      <w:marBottom w:val="0"/>
      <w:divBdr>
        <w:top w:val="none" w:sz="0" w:space="0" w:color="auto"/>
        <w:left w:val="none" w:sz="0" w:space="0" w:color="auto"/>
        <w:bottom w:val="none" w:sz="0" w:space="0" w:color="auto"/>
        <w:right w:val="none" w:sz="0" w:space="0" w:color="auto"/>
      </w:divBdr>
    </w:div>
    <w:div w:id="455753932">
      <w:bodyDiv w:val="1"/>
      <w:marLeft w:val="0"/>
      <w:marRight w:val="0"/>
      <w:marTop w:val="0"/>
      <w:marBottom w:val="0"/>
      <w:divBdr>
        <w:top w:val="none" w:sz="0" w:space="0" w:color="auto"/>
        <w:left w:val="none" w:sz="0" w:space="0" w:color="auto"/>
        <w:bottom w:val="none" w:sz="0" w:space="0" w:color="auto"/>
        <w:right w:val="none" w:sz="0" w:space="0" w:color="auto"/>
      </w:divBdr>
    </w:div>
    <w:div w:id="458651268">
      <w:bodyDiv w:val="1"/>
      <w:marLeft w:val="0"/>
      <w:marRight w:val="0"/>
      <w:marTop w:val="0"/>
      <w:marBottom w:val="0"/>
      <w:divBdr>
        <w:top w:val="none" w:sz="0" w:space="0" w:color="auto"/>
        <w:left w:val="none" w:sz="0" w:space="0" w:color="auto"/>
        <w:bottom w:val="none" w:sz="0" w:space="0" w:color="auto"/>
        <w:right w:val="none" w:sz="0" w:space="0" w:color="auto"/>
      </w:divBdr>
    </w:div>
    <w:div w:id="466356836">
      <w:bodyDiv w:val="1"/>
      <w:marLeft w:val="0"/>
      <w:marRight w:val="0"/>
      <w:marTop w:val="0"/>
      <w:marBottom w:val="0"/>
      <w:divBdr>
        <w:top w:val="none" w:sz="0" w:space="0" w:color="auto"/>
        <w:left w:val="none" w:sz="0" w:space="0" w:color="auto"/>
        <w:bottom w:val="none" w:sz="0" w:space="0" w:color="auto"/>
        <w:right w:val="none" w:sz="0" w:space="0" w:color="auto"/>
      </w:divBdr>
    </w:div>
    <w:div w:id="483855026">
      <w:bodyDiv w:val="1"/>
      <w:marLeft w:val="0"/>
      <w:marRight w:val="0"/>
      <w:marTop w:val="0"/>
      <w:marBottom w:val="0"/>
      <w:divBdr>
        <w:top w:val="none" w:sz="0" w:space="0" w:color="auto"/>
        <w:left w:val="none" w:sz="0" w:space="0" w:color="auto"/>
        <w:bottom w:val="none" w:sz="0" w:space="0" w:color="auto"/>
        <w:right w:val="none" w:sz="0" w:space="0" w:color="auto"/>
      </w:divBdr>
    </w:div>
    <w:div w:id="486676611">
      <w:bodyDiv w:val="1"/>
      <w:marLeft w:val="0"/>
      <w:marRight w:val="0"/>
      <w:marTop w:val="0"/>
      <w:marBottom w:val="0"/>
      <w:divBdr>
        <w:top w:val="none" w:sz="0" w:space="0" w:color="auto"/>
        <w:left w:val="none" w:sz="0" w:space="0" w:color="auto"/>
        <w:bottom w:val="none" w:sz="0" w:space="0" w:color="auto"/>
        <w:right w:val="none" w:sz="0" w:space="0" w:color="auto"/>
      </w:divBdr>
    </w:div>
    <w:div w:id="491215408">
      <w:bodyDiv w:val="1"/>
      <w:marLeft w:val="0"/>
      <w:marRight w:val="0"/>
      <w:marTop w:val="0"/>
      <w:marBottom w:val="0"/>
      <w:divBdr>
        <w:top w:val="none" w:sz="0" w:space="0" w:color="auto"/>
        <w:left w:val="none" w:sz="0" w:space="0" w:color="auto"/>
        <w:bottom w:val="none" w:sz="0" w:space="0" w:color="auto"/>
        <w:right w:val="none" w:sz="0" w:space="0" w:color="auto"/>
      </w:divBdr>
    </w:div>
    <w:div w:id="492451333">
      <w:bodyDiv w:val="1"/>
      <w:marLeft w:val="0"/>
      <w:marRight w:val="0"/>
      <w:marTop w:val="0"/>
      <w:marBottom w:val="0"/>
      <w:divBdr>
        <w:top w:val="none" w:sz="0" w:space="0" w:color="auto"/>
        <w:left w:val="none" w:sz="0" w:space="0" w:color="auto"/>
        <w:bottom w:val="none" w:sz="0" w:space="0" w:color="auto"/>
        <w:right w:val="none" w:sz="0" w:space="0" w:color="auto"/>
      </w:divBdr>
    </w:div>
    <w:div w:id="508259044">
      <w:bodyDiv w:val="1"/>
      <w:marLeft w:val="0"/>
      <w:marRight w:val="0"/>
      <w:marTop w:val="0"/>
      <w:marBottom w:val="0"/>
      <w:divBdr>
        <w:top w:val="none" w:sz="0" w:space="0" w:color="auto"/>
        <w:left w:val="none" w:sz="0" w:space="0" w:color="auto"/>
        <w:bottom w:val="none" w:sz="0" w:space="0" w:color="auto"/>
        <w:right w:val="none" w:sz="0" w:space="0" w:color="auto"/>
      </w:divBdr>
    </w:div>
    <w:div w:id="512230961">
      <w:bodyDiv w:val="1"/>
      <w:marLeft w:val="0"/>
      <w:marRight w:val="0"/>
      <w:marTop w:val="0"/>
      <w:marBottom w:val="0"/>
      <w:divBdr>
        <w:top w:val="none" w:sz="0" w:space="0" w:color="auto"/>
        <w:left w:val="none" w:sz="0" w:space="0" w:color="auto"/>
        <w:bottom w:val="none" w:sz="0" w:space="0" w:color="auto"/>
        <w:right w:val="none" w:sz="0" w:space="0" w:color="auto"/>
      </w:divBdr>
    </w:div>
    <w:div w:id="515273194">
      <w:bodyDiv w:val="1"/>
      <w:marLeft w:val="0"/>
      <w:marRight w:val="0"/>
      <w:marTop w:val="0"/>
      <w:marBottom w:val="0"/>
      <w:divBdr>
        <w:top w:val="none" w:sz="0" w:space="0" w:color="auto"/>
        <w:left w:val="none" w:sz="0" w:space="0" w:color="auto"/>
        <w:bottom w:val="none" w:sz="0" w:space="0" w:color="auto"/>
        <w:right w:val="none" w:sz="0" w:space="0" w:color="auto"/>
      </w:divBdr>
      <w:divsChild>
        <w:div w:id="1078097218">
          <w:marLeft w:val="0"/>
          <w:marRight w:val="0"/>
          <w:marTop w:val="0"/>
          <w:marBottom w:val="0"/>
          <w:divBdr>
            <w:top w:val="none" w:sz="0" w:space="0" w:color="auto"/>
            <w:left w:val="none" w:sz="0" w:space="0" w:color="auto"/>
            <w:bottom w:val="none" w:sz="0" w:space="0" w:color="auto"/>
            <w:right w:val="none" w:sz="0" w:space="0" w:color="auto"/>
          </w:divBdr>
          <w:divsChild>
            <w:div w:id="996805254">
              <w:marLeft w:val="0"/>
              <w:marRight w:val="0"/>
              <w:marTop w:val="0"/>
              <w:marBottom w:val="0"/>
              <w:divBdr>
                <w:top w:val="none" w:sz="0" w:space="0" w:color="auto"/>
                <w:left w:val="none" w:sz="0" w:space="0" w:color="auto"/>
                <w:bottom w:val="none" w:sz="0" w:space="0" w:color="auto"/>
                <w:right w:val="none" w:sz="0" w:space="0" w:color="auto"/>
              </w:divBdr>
              <w:divsChild>
                <w:div w:id="16209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4904">
      <w:bodyDiv w:val="1"/>
      <w:marLeft w:val="0"/>
      <w:marRight w:val="0"/>
      <w:marTop w:val="0"/>
      <w:marBottom w:val="0"/>
      <w:divBdr>
        <w:top w:val="none" w:sz="0" w:space="0" w:color="auto"/>
        <w:left w:val="none" w:sz="0" w:space="0" w:color="auto"/>
        <w:bottom w:val="none" w:sz="0" w:space="0" w:color="auto"/>
        <w:right w:val="none" w:sz="0" w:space="0" w:color="auto"/>
      </w:divBdr>
    </w:div>
    <w:div w:id="521745316">
      <w:bodyDiv w:val="1"/>
      <w:marLeft w:val="0"/>
      <w:marRight w:val="0"/>
      <w:marTop w:val="0"/>
      <w:marBottom w:val="0"/>
      <w:divBdr>
        <w:top w:val="none" w:sz="0" w:space="0" w:color="auto"/>
        <w:left w:val="none" w:sz="0" w:space="0" w:color="auto"/>
        <w:bottom w:val="none" w:sz="0" w:space="0" w:color="auto"/>
        <w:right w:val="none" w:sz="0" w:space="0" w:color="auto"/>
      </w:divBdr>
    </w:div>
    <w:div w:id="530533924">
      <w:bodyDiv w:val="1"/>
      <w:marLeft w:val="0"/>
      <w:marRight w:val="0"/>
      <w:marTop w:val="0"/>
      <w:marBottom w:val="0"/>
      <w:divBdr>
        <w:top w:val="none" w:sz="0" w:space="0" w:color="auto"/>
        <w:left w:val="none" w:sz="0" w:space="0" w:color="auto"/>
        <w:bottom w:val="none" w:sz="0" w:space="0" w:color="auto"/>
        <w:right w:val="none" w:sz="0" w:space="0" w:color="auto"/>
      </w:divBdr>
    </w:div>
    <w:div w:id="533420902">
      <w:bodyDiv w:val="1"/>
      <w:marLeft w:val="0"/>
      <w:marRight w:val="0"/>
      <w:marTop w:val="0"/>
      <w:marBottom w:val="0"/>
      <w:divBdr>
        <w:top w:val="none" w:sz="0" w:space="0" w:color="auto"/>
        <w:left w:val="none" w:sz="0" w:space="0" w:color="auto"/>
        <w:bottom w:val="none" w:sz="0" w:space="0" w:color="auto"/>
        <w:right w:val="none" w:sz="0" w:space="0" w:color="auto"/>
      </w:divBdr>
    </w:div>
    <w:div w:id="536553871">
      <w:bodyDiv w:val="1"/>
      <w:marLeft w:val="0"/>
      <w:marRight w:val="0"/>
      <w:marTop w:val="0"/>
      <w:marBottom w:val="0"/>
      <w:divBdr>
        <w:top w:val="none" w:sz="0" w:space="0" w:color="auto"/>
        <w:left w:val="none" w:sz="0" w:space="0" w:color="auto"/>
        <w:bottom w:val="none" w:sz="0" w:space="0" w:color="auto"/>
        <w:right w:val="none" w:sz="0" w:space="0" w:color="auto"/>
      </w:divBdr>
    </w:div>
    <w:div w:id="543370706">
      <w:bodyDiv w:val="1"/>
      <w:marLeft w:val="0"/>
      <w:marRight w:val="0"/>
      <w:marTop w:val="0"/>
      <w:marBottom w:val="0"/>
      <w:divBdr>
        <w:top w:val="none" w:sz="0" w:space="0" w:color="auto"/>
        <w:left w:val="none" w:sz="0" w:space="0" w:color="auto"/>
        <w:bottom w:val="none" w:sz="0" w:space="0" w:color="auto"/>
        <w:right w:val="none" w:sz="0" w:space="0" w:color="auto"/>
      </w:divBdr>
    </w:div>
    <w:div w:id="547104284">
      <w:bodyDiv w:val="1"/>
      <w:marLeft w:val="0"/>
      <w:marRight w:val="0"/>
      <w:marTop w:val="0"/>
      <w:marBottom w:val="0"/>
      <w:divBdr>
        <w:top w:val="none" w:sz="0" w:space="0" w:color="auto"/>
        <w:left w:val="none" w:sz="0" w:space="0" w:color="auto"/>
        <w:bottom w:val="none" w:sz="0" w:space="0" w:color="auto"/>
        <w:right w:val="none" w:sz="0" w:space="0" w:color="auto"/>
      </w:divBdr>
    </w:div>
    <w:div w:id="548952143">
      <w:bodyDiv w:val="1"/>
      <w:marLeft w:val="0"/>
      <w:marRight w:val="0"/>
      <w:marTop w:val="0"/>
      <w:marBottom w:val="0"/>
      <w:divBdr>
        <w:top w:val="none" w:sz="0" w:space="0" w:color="auto"/>
        <w:left w:val="none" w:sz="0" w:space="0" w:color="auto"/>
        <w:bottom w:val="none" w:sz="0" w:space="0" w:color="auto"/>
        <w:right w:val="none" w:sz="0" w:space="0" w:color="auto"/>
      </w:divBdr>
      <w:divsChild>
        <w:div w:id="649528184">
          <w:marLeft w:val="1166"/>
          <w:marRight w:val="0"/>
          <w:marTop w:val="67"/>
          <w:marBottom w:val="0"/>
          <w:divBdr>
            <w:top w:val="none" w:sz="0" w:space="0" w:color="auto"/>
            <w:left w:val="none" w:sz="0" w:space="0" w:color="auto"/>
            <w:bottom w:val="none" w:sz="0" w:space="0" w:color="auto"/>
            <w:right w:val="none" w:sz="0" w:space="0" w:color="auto"/>
          </w:divBdr>
        </w:div>
        <w:div w:id="1112899327">
          <w:marLeft w:val="1166"/>
          <w:marRight w:val="0"/>
          <w:marTop w:val="67"/>
          <w:marBottom w:val="0"/>
          <w:divBdr>
            <w:top w:val="none" w:sz="0" w:space="0" w:color="auto"/>
            <w:left w:val="none" w:sz="0" w:space="0" w:color="auto"/>
            <w:bottom w:val="none" w:sz="0" w:space="0" w:color="auto"/>
            <w:right w:val="none" w:sz="0" w:space="0" w:color="auto"/>
          </w:divBdr>
        </w:div>
        <w:div w:id="1789395410">
          <w:marLeft w:val="1166"/>
          <w:marRight w:val="0"/>
          <w:marTop w:val="67"/>
          <w:marBottom w:val="0"/>
          <w:divBdr>
            <w:top w:val="none" w:sz="0" w:space="0" w:color="auto"/>
            <w:left w:val="none" w:sz="0" w:space="0" w:color="auto"/>
            <w:bottom w:val="none" w:sz="0" w:space="0" w:color="auto"/>
            <w:right w:val="none" w:sz="0" w:space="0" w:color="auto"/>
          </w:divBdr>
        </w:div>
        <w:div w:id="1998458808">
          <w:marLeft w:val="547"/>
          <w:marRight w:val="0"/>
          <w:marTop w:val="86"/>
          <w:marBottom w:val="0"/>
          <w:divBdr>
            <w:top w:val="none" w:sz="0" w:space="0" w:color="auto"/>
            <w:left w:val="none" w:sz="0" w:space="0" w:color="auto"/>
            <w:bottom w:val="none" w:sz="0" w:space="0" w:color="auto"/>
            <w:right w:val="none" w:sz="0" w:space="0" w:color="auto"/>
          </w:divBdr>
        </w:div>
      </w:divsChild>
    </w:div>
    <w:div w:id="549146706">
      <w:bodyDiv w:val="1"/>
      <w:marLeft w:val="0"/>
      <w:marRight w:val="0"/>
      <w:marTop w:val="0"/>
      <w:marBottom w:val="0"/>
      <w:divBdr>
        <w:top w:val="none" w:sz="0" w:space="0" w:color="auto"/>
        <w:left w:val="none" w:sz="0" w:space="0" w:color="auto"/>
        <w:bottom w:val="none" w:sz="0" w:space="0" w:color="auto"/>
        <w:right w:val="none" w:sz="0" w:space="0" w:color="auto"/>
      </w:divBdr>
    </w:div>
    <w:div w:id="554969036">
      <w:bodyDiv w:val="1"/>
      <w:marLeft w:val="0"/>
      <w:marRight w:val="0"/>
      <w:marTop w:val="0"/>
      <w:marBottom w:val="0"/>
      <w:divBdr>
        <w:top w:val="none" w:sz="0" w:space="0" w:color="auto"/>
        <w:left w:val="none" w:sz="0" w:space="0" w:color="auto"/>
        <w:bottom w:val="none" w:sz="0" w:space="0" w:color="auto"/>
        <w:right w:val="none" w:sz="0" w:space="0" w:color="auto"/>
      </w:divBdr>
    </w:div>
    <w:div w:id="556205257">
      <w:bodyDiv w:val="1"/>
      <w:marLeft w:val="0"/>
      <w:marRight w:val="0"/>
      <w:marTop w:val="0"/>
      <w:marBottom w:val="0"/>
      <w:divBdr>
        <w:top w:val="none" w:sz="0" w:space="0" w:color="auto"/>
        <w:left w:val="none" w:sz="0" w:space="0" w:color="auto"/>
        <w:bottom w:val="none" w:sz="0" w:space="0" w:color="auto"/>
        <w:right w:val="none" w:sz="0" w:space="0" w:color="auto"/>
      </w:divBdr>
    </w:div>
    <w:div w:id="563151191">
      <w:bodyDiv w:val="1"/>
      <w:marLeft w:val="0"/>
      <w:marRight w:val="0"/>
      <w:marTop w:val="0"/>
      <w:marBottom w:val="0"/>
      <w:divBdr>
        <w:top w:val="none" w:sz="0" w:space="0" w:color="auto"/>
        <w:left w:val="none" w:sz="0" w:space="0" w:color="auto"/>
        <w:bottom w:val="none" w:sz="0" w:space="0" w:color="auto"/>
        <w:right w:val="none" w:sz="0" w:space="0" w:color="auto"/>
      </w:divBdr>
    </w:div>
    <w:div w:id="563370777">
      <w:bodyDiv w:val="1"/>
      <w:marLeft w:val="0"/>
      <w:marRight w:val="0"/>
      <w:marTop w:val="0"/>
      <w:marBottom w:val="0"/>
      <w:divBdr>
        <w:top w:val="none" w:sz="0" w:space="0" w:color="auto"/>
        <w:left w:val="none" w:sz="0" w:space="0" w:color="auto"/>
        <w:bottom w:val="none" w:sz="0" w:space="0" w:color="auto"/>
        <w:right w:val="none" w:sz="0" w:space="0" w:color="auto"/>
      </w:divBdr>
    </w:div>
    <w:div w:id="566844905">
      <w:bodyDiv w:val="1"/>
      <w:marLeft w:val="0"/>
      <w:marRight w:val="0"/>
      <w:marTop w:val="0"/>
      <w:marBottom w:val="0"/>
      <w:divBdr>
        <w:top w:val="none" w:sz="0" w:space="0" w:color="auto"/>
        <w:left w:val="none" w:sz="0" w:space="0" w:color="auto"/>
        <w:bottom w:val="none" w:sz="0" w:space="0" w:color="auto"/>
        <w:right w:val="none" w:sz="0" w:space="0" w:color="auto"/>
      </w:divBdr>
    </w:div>
    <w:div w:id="576939084">
      <w:bodyDiv w:val="1"/>
      <w:marLeft w:val="0"/>
      <w:marRight w:val="0"/>
      <w:marTop w:val="0"/>
      <w:marBottom w:val="0"/>
      <w:divBdr>
        <w:top w:val="none" w:sz="0" w:space="0" w:color="auto"/>
        <w:left w:val="none" w:sz="0" w:space="0" w:color="auto"/>
        <w:bottom w:val="none" w:sz="0" w:space="0" w:color="auto"/>
        <w:right w:val="none" w:sz="0" w:space="0" w:color="auto"/>
      </w:divBdr>
    </w:div>
    <w:div w:id="579870325">
      <w:bodyDiv w:val="1"/>
      <w:marLeft w:val="0"/>
      <w:marRight w:val="0"/>
      <w:marTop w:val="0"/>
      <w:marBottom w:val="0"/>
      <w:divBdr>
        <w:top w:val="none" w:sz="0" w:space="0" w:color="auto"/>
        <w:left w:val="none" w:sz="0" w:space="0" w:color="auto"/>
        <w:bottom w:val="none" w:sz="0" w:space="0" w:color="auto"/>
        <w:right w:val="none" w:sz="0" w:space="0" w:color="auto"/>
      </w:divBdr>
    </w:div>
    <w:div w:id="581453831">
      <w:bodyDiv w:val="1"/>
      <w:marLeft w:val="0"/>
      <w:marRight w:val="0"/>
      <w:marTop w:val="0"/>
      <w:marBottom w:val="0"/>
      <w:divBdr>
        <w:top w:val="none" w:sz="0" w:space="0" w:color="auto"/>
        <w:left w:val="none" w:sz="0" w:space="0" w:color="auto"/>
        <w:bottom w:val="none" w:sz="0" w:space="0" w:color="auto"/>
        <w:right w:val="none" w:sz="0" w:space="0" w:color="auto"/>
      </w:divBdr>
    </w:div>
    <w:div w:id="584462282">
      <w:bodyDiv w:val="1"/>
      <w:marLeft w:val="0"/>
      <w:marRight w:val="0"/>
      <w:marTop w:val="0"/>
      <w:marBottom w:val="0"/>
      <w:divBdr>
        <w:top w:val="none" w:sz="0" w:space="0" w:color="auto"/>
        <w:left w:val="none" w:sz="0" w:space="0" w:color="auto"/>
        <w:bottom w:val="none" w:sz="0" w:space="0" w:color="auto"/>
        <w:right w:val="none" w:sz="0" w:space="0" w:color="auto"/>
      </w:divBdr>
    </w:div>
    <w:div w:id="587348314">
      <w:bodyDiv w:val="1"/>
      <w:marLeft w:val="0"/>
      <w:marRight w:val="0"/>
      <w:marTop w:val="0"/>
      <w:marBottom w:val="0"/>
      <w:divBdr>
        <w:top w:val="none" w:sz="0" w:space="0" w:color="auto"/>
        <w:left w:val="none" w:sz="0" w:space="0" w:color="auto"/>
        <w:bottom w:val="none" w:sz="0" w:space="0" w:color="auto"/>
        <w:right w:val="none" w:sz="0" w:space="0" w:color="auto"/>
      </w:divBdr>
    </w:div>
    <w:div w:id="588003087">
      <w:bodyDiv w:val="1"/>
      <w:marLeft w:val="0"/>
      <w:marRight w:val="0"/>
      <w:marTop w:val="0"/>
      <w:marBottom w:val="0"/>
      <w:divBdr>
        <w:top w:val="none" w:sz="0" w:space="0" w:color="auto"/>
        <w:left w:val="none" w:sz="0" w:space="0" w:color="auto"/>
        <w:bottom w:val="none" w:sz="0" w:space="0" w:color="auto"/>
        <w:right w:val="none" w:sz="0" w:space="0" w:color="auto"/>
      </w:divBdr>
    </w:div>
    <w:div w:id="590822742">
      <w:bodyDiv w:val="1"/>
      <w:marLeft w:val="0"/>
      <w:marRight w:val="0"/>
      <w:marTop w:val="0"/>
      <w:marBottom w:val="0"/>
      <w:divBdr>
        <w:top w:val="none" w:sz="0" w:space="0" w:color="auto"/>
        <w:left w:val="none" w:sz="0" w:space="0" w:color="auto"/>
        <w:bottom w:val="none" w:sz="0" w:space="0" w:color="auto"/>
        <w:right w:val="none" w:sz="0" w:space="0" w:color="auto"/>
      </w:divBdr>
    </w:div>
    <w:div w:id="599412137">
      <w:bodyDiv w:val="1"/>
      <w:marLeft w:val="0"/>
      <w:marRight w:val="0"/>
      <w:marTop w:val="0"/>
      <w:marBottom w:val="0"/>
      <w:divBdr>
        <w:top w:val="none" w:sz="0" w:space="0" w:color="auto"/>
        <w:left w:val="none" w:sz="0" w:space="0" w:color="auto"/>
        <w:bottom w:val="none" w:sz="0" w:space="0" w:color="auto"/>
        <w:right w:val="none" w:sz="0" w:space="0" w:color="auto"/>
      </w:divBdr>
      <w:divsChild>
        <w:div w:id="306709240">
          <w:marLeft w:val="547"/>
          <w:marRight w:val="0"/>
          <w:marTop w:val="110"/>
          <w:marBottom w:val="0"/>
          <w:divBdr>
            <w:top w:val="none" w:sz="0" w:space="0" w:color="auto"/>
            <w:left w:val="none" w:sz="0" w:space="0" w:color="auto"/>
            <w:bottom w:val="none" w:sz="0" w:space="0" w:color="auto"/>
            <w:right w:val="none" w:sz="0" w:space="0" w:color="auto"/>
          </w:divBdr>
        </w:div>
        <w:div w:id="691734359">
          <w:marLeft w:val="547"/>
          <w:marRight w:val="0"/>
          <w:marTop w:val="110"/>
          <w:marBottom w:val="0"/>
          <w:divBdr>
            <w:top w:val="none" w:sz="0" w:space="0" w:color="auto"/>
            <w:left w:val="none" w:sz="0" w:space="0" w:color="auto"/>
            <w:bottom w:val="none" w:sz="0" w:space="0" w:color="auto"/>
            <w:right w:val="none" w:sz="0" w:space="0" w:color="auto"/>
          </w:divBdr>
        </w:div>
        <w:div w:id="1743984730">
          <w:marLeft w:val="547"/>
          <w:marRight w:val="0"/>
          <w:marTop w:val="110"/>
          <w:marBottom w:val="0"/>
          <w:divBdr>
            <w:top w:val="none" w:sz="0" w:space="0" w:color="auto"/>
            <w:left w:val="none" w:sz="0" w:space="0" w:color="auto"/>
            <w:bottom w:val="none" w:sz="0" w:space="0" w:color="auto"/>
            <w:right w:val="none" w:sz="0" w:space="0" w:color="auto"/>
          </w:divBdr>
        </w:div>
      </w:divsChild>
    </w:div>
    <w:div w:id="602759530">
      <w:bodyDiv w:val="1"/>
      <w:marLeft w:val="0"/>
      <w:marRight w:val="0"/>
      <w:marTop w:val="0"/>
      <w:marBottom w:val="0"/>
      <w:divBdr>
        <w:top w:val="none" w:sz="0" w:space="0" w:color="auto"/>
        <w:left w:val="none" w:sz="0" w:space="0" w:color="auto"/>
        <w:bottom w:val="none" w:sz="0" w:space="0" w:color="auto"/>
        <w:right w:val="none" w:sz="0" w:space="0" w:color="auto"/>
      </w:divBdr>
    </w:div>
    <w:div w:id="602954444">
      <w:bodyDiv w:val="1"/>
      <w:marLeft w:val="0"/>
      <w:marRight w:val="0"/>
      <w:marTop w:val="0"/>
      <w:marBottom w:val="0"/>
      <w:divBdr>
        <w:top w:val="none" w:sz="0" w:space="0" w:color="auto"/>
        <w:left w:val="none" w:sz="0" w:space="0" w:color="auto"/>
        <w:bottom w:val="none" w:sz="0" w:space="0" w:color="auto"/>
        <w:right w:val="none" w:sz="0" w:space="0" w:color="auto"/>
      </w:divBdr>
    </w:div>
    <w:div w:id="604580671">
      <w:bodyDiv w:val="1"/>
      <w:marLeft w:val="0"/>
      <w:marRight w:val="0"/>
      <w:marTop w:val="0"/>
      <w:marBottom w:val="0"/>
      <w:divBdr>
        <w:top w:val="none" w:sz="0" w:space="0" w:color="auto"/>
        <w:left w:val="none" w:sz="0" w:space="0" w:color="auto"/>
        <w:bottom w:val="none" w:sz="0" w:space="0" w:color="auto"/>
        <w:right w:val="none" w:sz="0" w:space="0" w:color="auto"/>
      </w:divBdr>
    </w:div>
    <w:div w:id="605625360">
      <w:bodyDiv w:val="1"/>
      <w:marLeft w:val="0"/>
      <w:marRight w:val="0"/>
      <w:marTop w:val="0"/>
      <w:marBottom w:val="0"/>
      <w:divBdr>
        <w:top w:val="none" w:sz="0" w:space="0" w:color="auto"/>
        <w:left w:val="none" w:sz="0" w:space="0" w:color="auto"/>
        <w:bottom w:val="none" w:sz="0" w:space="0" w:color="auto"/>
        <w:right w:val="none" w:sz="0" w:space="0" w:color="auto"/>
      </w:divBdr>
    </w:div>
    <w:div w:id="606039087">
      <w:bodyDiv w:val="1"/>
      <w:marLeft w:val="0"/>
      <w:marRight w:val="0"/>
      <w:marTop w:val="0"/>
      <w:marBottom w:val="0"/>
      <w:divBdr>
        <w:top w:val="none" w:sz="0" w:space="0" w:color="auto"/>
        <w:left w:val="none" w:sz="0" w:space="0" w:color="auto"/>
        <w:bottom w:val="none" w:sz="0" w:space="0" w:color="auto"/>
        <w:right w:val="none" w:sz="0" w:space="0" w:color="auto"/>
      </w:divBdr>
    </w:div>
    <w:div w:id="607810799">
      <w:bodyDiv w:val="1"/>
      <w:marLeft w:val="0"/>
      <w:marRight w:val="0"/>
      <w:marTop w:val="0"/>
      <w:marBottom w:val="0"/>
      <w:divBdr>
        <w:top w:val="none" w:sz="0" w:space="0" w:color="auto"/>
        <w:left w:val="none" w:sz="0" w:space="0" w:color="auto"/>
        <w:bottom w:val="none" w:sz="0" w:space="0" w:color="auto"/>
        <w:right w:val="none" w:sz="0" w:space="0" w:color="auto"/>
      </w:divBdr>
    </w:div>
    <w:div w:id="609899928">
      <w:bodyDiv w:val="1"/>
      <w:marLeft w:val="0"/>
      <w:marRight w:val="0"/>
      <w:marTop w:val="0"/>
      <w:marBottom w:val="0"/>
      <w:divBdr>
        <w:top w:val="none" w:sz="0" w:space="0" w:color="auto"/>
        <w:left w:val="none" w:sz="0" w:space="0" w:color="auto"/>
        <w:bottom w:val="none" w:sz="0" w:space="0" w:color="auto"/>
        <w:right w:val="none" w:sz="0" w:space="0" w:color="auto"/>
      </w:divBdr>
    </w:div>
    <w:div w:id="616378933">
      <w:bodyDiv w:val="1"/>
      <w:marLeft w:val="0"/>
      <w:marRight w:val="0"/>
      <w:marTop w:val="0"/>
      <w:marBottom w:val="0"/>
      <w:divBdr>
        <w:top w:val="none" w:sz="0" w:space="0" w:color="auto"/>
        <w:left w:val="none" w:sz="0" w:space="0" w:color="auto"/>
        <w:bottom w:val="none" w:sz="0" w:space="0" w:color="auto"/>
        <w:right w:val="none" w:sz="0" w:space="0" w:color="auto"/>
      </w:divBdr>
    </w:div>
    <w:div w:id="627008052">
      <w:bodyDiv w:val="1"/>
      <w:marLeft w:val="0"/>
      <w:marRight w:val="0"/>
      <w:marTop w:val="0"/>
      <w:marBottom w:val="0"/>
      <w:divBdr>
        <w:top w:val="none" w:sz="0" w:space="0" w:color="auto"/>
        <w:left w:val="none" w:sz="0" w:space="0" w:color="auto"/>
        <w:bottom w:val="none" w:sz="0" w:space="0" w:color="auto"/>
        <w:right w:val="none" w:sz="0" w:space="0" w:color="auto"/>
      </w:divBdr>
    </w:div>
    <w:div w:id="636422252">
      <w:bodyDiv w:val="1"/>
      <w:marLeft w:val="0"/>
      <w:marRight w:val="0"/>
      <w:marTop w:val="0"/>
      <w:marBottom w:val="0"/>
      <w:divBdr>
        <w:top w:val="none" w:sz="0" w:space="0" w:color="auto"/>
        <w:left w:val="none" w:sz="0" w:space="0" w:color="auto"/>
        <w:bottom w:val="none" w:sz="0" w:space="0" w:color="auto"/>
        <w:right w:val="none" w:sz="0" w:space="0" w:color="auto"/>
      </w:divBdr>
    </w:div>
    <w:div w:id="638075180">
      <w:bodyDiv w:val="1"/>
      <w:marLeft w:val="0"/>
      <w:marRight w:val="0"/>
      <w:marTop w:val="0"/>
      <w:marBottom w:val="0"/>
      <w:divBdr>
        <w:top w:val="none" w:sz="0" w:space="0" w:color="auto"/>
        <w:left w:val="none" w:sz="0" w:space="0" w:color="auto"/>
        <w:bottom w:val="none" w:sz="0" w:space="0" w:color="auto"/>
        <w:right w:val="none" w:sz="0" w:space="0" w:color="auto"/>
      </w:divBdr>
    </w:div>
    <w:div w:id="647369110">
      <w:bodyDiv w:val="1"/>
      <w:marLeft w:val="0"/>
      <w:marRight w:val="0"/>
      <w:marTop w:val="0"/>
      <w:marBottom w:val="0"/>
      <w:divBdr>
        <w:top w:val="none" w:sz="0" w:space="0" w:color="auto"/>
        <w:left w:val="none" w:sz="0" w:space="0" w:color="auto"/>
        <w:bottom w:val="none" w:sz="0" w:space="0" w:color="auto"/>
        <w:right w:val="none" w:sz="0" w:space="0" w:color="auto"/>
      </w:divBdr>
    </w:div>
    <w:div w:id="647783486">
      <w:bodyDiv w:val="1"/>
      <w:marLeft w:val="0"/>
      <w:marRight w:val="0"/>
      <w:marTop w:val="0"/>
      <w:marBottom w:val="0"/>
      <w:divBdr>
        <w:top w:val="none" w:sz="0" w:space="0" w:color="auto"/>
        <w:left w:val="none" w:sz="0" w:space="0" w:color="auto"/>
        <w:bottom w:val="none" w:sz="0" w:space="0" w:color="auto"/>
        <w:right w:val="none" w:sz="0" w:space="0" w:color="auto"/>
      </w:divBdr>
    </w:div>
    <w:div w:id="649595012">
      <w:bodyDiv w:val="1"/>
      <w:marLeft w:val="0"/>
      <w:marRight w:val="0"/>
      <w:marTop w:val="0"/>
      <w:marBottom w:val="0"/>
      <w:divBdr>
        <w:top w:val="none" w:sz="0" w:space="0" w:color="auto"/>
        <w:left w:val="none" w:sz="0" w:space="0" w:color="auto"/>
        <w:bottom w:val="none" w:sz="0" w:space="0" w:color="auto"/>
        <w:right w:val="none" w:sz="0" w:space="0" w:color="auto"/>
      </w:divBdr>
    </w:div>
    <w:div w:id="651711948">
      <w:bodyDiv w:val="1"/>
      <w:marLeft w:val="0"/>
      <w:marRight w:val="0"/>
      <w:marTop w:val="0"/>
      <w:marBottom w:val="0"/>
      <w:divBdr>
        <w:top w:val="none" w:sz="0" w:space="0" w:color="auto"/>
        <w:left w:val="none" w:sz="0" w:space="0" w:color="auto"/>
        <w:bottom w:val="none" w:sz="0" w:space="0" w:color="auto"/>
        <w:right w:val="none" w:sz="0" w:space="0" w:color="auto"/>
      </w:divBdr>
    </w:div>
    <w:div w:id="656304421">
      <w:bodyDiv w:val="1"/>
      <w:marLeft w:val="0"/>
      <w:marRight w:val="0"/>
      <w:marTop w:val="0"/>
      <w:marBottom w:val="0"/>
      <w:divBdr>
        <w:top w:val="none" w:sz="0" w:space="0" w:color="auto"/>
        <w:left w:val="none" w:sz="0" w:space="0" w:color="auto"/>
        <w:bottom w:val="none" w:sz="0" w:space="0" w:color="auto"/>
        <w:right w:val="none" w:sz="0" w:space="0" w:color="auto"/>
      </w:divBdr>
    </w:div>
    <w:div w:id="660081078">
      <w:bodyDiv w:val="1"/>
      <w:marLeft w:val="0"/>
      <w:marRight w:val="0"/>
      <w:marTop w:val="0"/>
      <w:marBottom w:val="0"/>
      <w:divBdr>
        <w:top w:val="none" w:sz="0" w:space="0" w:color="auto"/>
        <w:left w:val="none" w:sz="0" w:space="0" w:color="auto"/>
        <w:bottom w:val="none" w:sz="0" w:space="0" w:color="auto"/>
        <w:right w:val="none" w:sz="0" w:space="0" w:color="auto"/>
      </w:divBdr>
    </w:div>
    <w:div w:id="662045490">
      <w:bodyDiv w:val="1"/>
      <w:marLeft w:val="0"/>
      <w:marRight w:val="0"/>
      <w:marTop w:val="0"/>
      <w:marBottom w:val="0"/>
      <w:divBdr>
        <w:top w:val="none" w:sz="0" w:space="0" w:color="auto"/>
        <w:left w:val="none" w:sz="0" w:space="0" w:color="auto"/>
        <w:bottom w:val="none" w:sz="0" w:space="0" w:color="auto"/>
        <w:right w:val="none" w:sz="0" w:space="0" w:color="auto"/>
      </w:divBdr>
    </w:div>
    <w:div w:id="663321404">
      <w:bodyDiv w:val="1"/>
      <w:marLeft w:val="0"/>
      <w:marRight w:val="0"/>
      <w:marTop w:val="0"/>
      <w:marBottom w:val="0"/>
      <w:divBdr>
        <w:top w:val="none" w:sz="0" w:space="0" w:color="auto"/>
        <w:left w:val="none" w:sz="0" w:space="0" w:color="auto"/>
        <w:bottom w:val="none" w:sz="0" w:space="0" w:color="auto"/>
        <w:right w:val="none" w:sz="0" w:space="0" w:color="auto"/>
      </w:divBdr>
    </w:div>
    <w:div w:id="669024200">
      <w:bodyDiv w:val="1"/>
      <w:marLeft w:val="0"/>
      <w:marRight w:val="0"/>
      <w:marTop w:val="0"/>
      <w:marBottom w:val="0"/>
      <w:divBdr>
        <w:top w:val="none" w:sz="0" w:space="0" w:color="auto"/>
        <w:left w:val="none" w:sz="0" w:space="0" w:color="auto"/>
        <w:bottom w:val="none" w:sz="0" w:space="0" w:color="auto"/>
        <w:right w:val="none" w:sz="0" w:space="0" w:color="auto"/>
      </w:divBdr>
    </w:div>
    <w:div w:id="673187970">
      <w:bodyDiv w:val="1"/>
      <w:marLeft w:val="0"/>
      <w:marRight w:val="0"/>
      <w:marTop w:val="0"/>
      <w:marBottom w:val="0"/>
      <w:divBdr>
        <w:top w:val="none" w:sz="0" w:space="0" w:color="auto"/>
        <w:left w:val="none" w:sz="0" w:space="0" w:color="auto"/>
        <w:bottom w:val="none" w:sz="0" w:space="0" w:color="auto"/>
        <w:right w:val="none" w:sz="0" w:space="0" w:color="auto"/>
      </w:divBdr>
    </w:div>
    <w:div w:id="673453461">
      <w:bodyDiv w:val="1"/>
      <w:marLeft w:val="0"/>
      <w:marRight w:val="0"/>
      <w:marTop w:val="0"/>
      <w:marBottom w:val="0"/>
      <w:divBdr>
        <w:top w:val="none" w:sz="0" w:space="0" w:color="auto"/>
        <w:left w:val="none" w:sz="0" w:space="0" w:color="auto"/>
        <w:bottom w:val="none" w:sz="0" w:space="0" w:color="auto"/>
        <w:right w:val="none" w:sz="0" w:space="0" w:color="auto"/>
      </w:divBdr>
    </w:div>
    <w:div w:id="675229957">
      <w:bodyDiv w:val="1"/>
      <w:marLeft w:val="0"/>
      <w:marRight w:val="0"/>
      <w:marTop w:val="0"/>
      <w:marBottom w:val="0"/>
      <w:divBdr>
        <w:top w:val="none" w:sz="0" w:space="0" w:color="auto"/>
        <w:left w:val="none" w:sz="0" w:space="0" w:color="auto"/>
        <w:bottom w:val="none" w:sz="0" w:space="0" w:color="auto"/>
        <w:right w:val="none" w:sz="0" w:space="0" w:color="auto"/>
      </w:divBdr>
    </w:div>
    <w:div w:id="675576568">
      <w:bodyDiv w:val="1"/>
      <w:marLeft w:val="0"/>
      <w:marRight w:val="0"/>
      <w:marTop w:val="0"/>
      <w:marBottom w:val="0"/>
      <w:divBdr>
        <w:top w:val="none" w:sz="0" w:space="0" w:color="auto"/>
        <w:left w:val="none" w:sz="0" w:space="0" w:color="auto"/>
        <w:bottom w:val="none" w:sz="0" w:space="0" w:color="auto"/>
        <w:right w:val="none" w:sz="0" w:space="0" w:color="auto"/>
      </w:divBdr>
    </w:div>
    <w:div w:id="681052532">
      <w:bodyDiv w:val="1"/>
      <w:marLeft w:val="0"/>
      <w:marRight w:val="0"/>
      <w:marTop w:val="0"/>
      <w:marBottom w:val="0"/>
      <w:divBdr>
        <w:top w:val="none" w:sz="0" w:space="0" w:color="auto"/>
        <w:left w:val="none" w:sz="0" w:space="0" w:color="auto"/>
        <w:bottom w:val="none" w:sz="0" w:space="0" w:color="auto"/>
        <w:right w:val="none" w:sz="0" w:space="0" w:color="auto"/>
      </w:divBdr>
    </w:div>
    <w:div w:id="683173742">
      <w:bodyDiv w:val="1"/>
      <w:marLeft w:val="0"/>
      <w:marRight w:val="0"/>
      <w:marTop w:val="0"/>
      <w:marBottom w:val="0"/>
      <w:divBdr>
        <w:top w:val="none" w:sz="0" w:space="0" w:color="auto"/>
        <w:left w:val="none" w:sz="0" w:space="0" w:color="auto"/>
        <w:bottom w:val="none" w:sz="0" w:space="0" w:color="auto"/>
        <w:right w:val="none" w:sz="0" w:space="0" w:color="auto"/>
      </w:divBdr>
    </w:div>
    <w:div w:id="685405605">
      <w:bodyDiv w:val="1"/>
      <w:marLeft w:val="0"/>
      <w:marRight w:val="0"/>
      <w:marTop w:val="0"/>
      <w:marBottom w:val="0"/>
      <w:divBdr>
        <w:top w:val="none" w:sz="0" w:space="0" w:color="auto"/>
        <w:left w:val="none" w:sz="0" w:space="0" w:color="auto"/>
        <w:bottom w:val="none" w:sz="0" w:space="0" w:color="auto"/>
        <w:right w:val="none" w:sz="0" w:space="0" w:color="auto"/>
      </w:divBdr>
    </w:div>
    <w:div w:id="687871373">
      <w:bodyDiv w:val="1"/>
      <w:marLeft w:val="0"/>
      <w:marRight w:val="0"/>
      <w:marTop w:val="0"/>
      <w:marBottom w:val="0"/>
      <w:divBdr>
        <w:top w:val="none" w:sz="0" w:space="0" w:color="auto"/>
        <w:left w:val="none" w:sz="0" w:space="0" w:color="auto"/>
        <w:bottom w:val="none" w:sz="0" w:space="0" w:color="auto"/>
        <w:right w:val="none" w:sz="0" w:space="0" w:color="auto"/>
      </w:divBdr>
    </w:div>
    <w:div w:id="688261954">
      <w:bodyDiv w:val="1"/>
      <w:marLeft w:val="0"/>
      <w:marRight w:val="0"/>
      <w:marTop w:val="0"/>
      <w:marBottom w:val="0"/>
      <w:divBdr>
        <w:top w:val="none" w:sz="0" w:space="0" w:color="auto"/>
        <w:left w:val="none" w:sz="0" w:space="0" w:color="auto"/>
        <w:bottom w:val="none" w:sz="0" w:space="0" w:color="auto"/>
        <w:right w:val="none" w:sz="0" w:space="0" w:color="auto"/>
      </w:divBdr>
      <w:divsChild>
        <w:div w:id="781264046">
          <w:marLeft w:val="0"/>
          <w:marRight w:val="0"/>
          <w:marTop w:val="0"/>
          <w:marBottom w:val="0"/>
          <w:divBdr>
            <w:top w:val="none" w:sz="0" w:space="0" w:color="auto"/>
            <w:left w:val="none" w:sz="0" w:space="0" w:color="auto"/>
            <w:bottom w:val="none" w:sz="0" w:space="0" w:color="auto"/>
            <w:right w:val="none" w:sz="0" w:space="0" w:color="auto"/>
          </w:divBdr>
          <w:divsChild>
            <w:div w:id="572738803">
              <w:marLeft w:val="0"/>
              <w:marRight w:val="0"/>
              <w:marTop w:val="0"/>
              <w:marBottom w:val="0"/>
              <w:divBdr>
                <w:top w:val="none" w:sz="0" w:space="0" w:color="auto"/>
                <w:left w:val="none" w:sz="0" w:space="0" w:color="auto"/>
                <w:bottom w:val="none" w:sz="0" w:space="0" w:color="auto"/>
                <w:right w:val="none" w:sz="0" w:space="0" w:color="auto"/>
              </w:divBdr>
              <w:divsChild>
                <w:div w:id="18984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95136">
      <w:bodyDiv w:val="1"/>
      <w:marLeft w:val="0"/>
      <w:marRight w:val="0"/>
      <w:marTop w:val="0"/>
      <w:marBottom w:val="0"/>
      <w:divBdr>
        <w:top w:val="none" w:sz="0" w:space="0" w:color="auto"/>
        <w:left w:val="none" w:sz="0" w:space="0" w:color="auto"/>
        <w:bottom w:val="none" w:sz="0" w:space="0" w:color="auto"/>
        <w:right w:val="none" w:sz="0" w:space="0" w:color="auto"/>
      </w:divBdr>
      <w:divsChild>
        <w:div w:id="1257439927">
          <w:marLeft w:val="0"/>
          <w:marRight w:val="0"/>
          <w:marTop w:val="0"/>
          <w:marBottom w:val="0"/>
          <w:divBdr>
            <w:top w:val="none" w:sz="0" w:space="0" w:color="auto"/>
            <w:left w:val="none" w:sz="0" w:space="0" w:color="auto"/>
            <w:bottom w:val="none" w:sz="0" w:space="0" w:color="auto"/>
            <w:right w:val="none" w:sz="0" w:space="0" w:color="auto"/>
          </w:divBdr>
          <w:divsChild>
            <w:div w:id="1133064040">
              <w:marLeft w:val="0"/>
              <w:marRight w:val="0"/>
              <w:marTop w:val="0"/>
              <w:marBottom w:val="0"/>
              <w:divBdr>
                <w:top w:val="none" w:sz="0" w:space="0" w:color="auto"/>
                <w:left w:val="none" w:sz="0" w:space="0" w:color="auto"/>
                <w:bottom w:val="none" w:sz="0" w:space="0" w:color="auto"/>
                <w:right w:val="none" w:sz="0" w:space="0" w:color="auto"/>
              </w:divBdr>
              <w:divsChild>
                <w:div w:id="782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77332">
      <w:bodyDiv w:val="1"/>
      <w:marLeft w:val="0"/>
      <w:marRight w:val="0"/>
      <w:marTop w:val="0"/>
      <w:marBottom w:val="0"/>
      <w:divBdr>
        <w:top w:val="none" w:sz="0" w:space="0" w:color="auto"/>
        <w:left w:val="none" w:sz="0" w:space="0" w:color="auto"/>
        <w:bottom w:val="none" w:sz="0" w:space="0" w:color="auto"/>
        <w:right w:val="none" w:sz="0" w:space="0" w:color="auto"/>
      </w:divBdr>
    </w:div>
    <w:div w:id="703749390">
      <w:bodyDiv w:val="1"/>
      <w:marLeft w:val="0"/>
      <w:marRight w:val="0"/>
      <w:marTop w:val="0"/>
      <w:marBottom w:val="0"/>
      <w:divBdr>
        <w:top w:val="none" w:sz="0" w:space="0" w:color="auto"/>
        <w:left w:val="none" w:sz="0" w:space="0" w:color="auto"/>
        <w:bottom w:val="none" w:sz="0" w:space="0" w:color="auto"/>
        <w:right w:val="none" w:sz="0" w:space="0" w:color="auto"/>
      </w:divBdr>
      <w:divsChild>
        <w:div w:id="1378361064">
          <w:marLeft w:val="0"/>
          <w:marRight w:val="0"/>
          <w:marTop w:val="0"/>
          <w:marBottom w:val="0"/>
          <w:divBdr>
            <w:top w:val="none" w:sz="0" w:space="0" w:color="auto"/>
            <w:left w:val="none" w:sz="0" w:space="0" w:color="auto"/>
            <w:bottom w:val="none" w:sz="0" w:space="0" w:color="auto"/>
            <w:right w:val="none" w:sz="0" w:space="0" w:color="auto"/>
          </w:divBdr>
        </w:div>
      </w:divsChild>
    </w:div>
    <w:div w:id="704410322">
      <w:bodyDiv w:val="1"/>
      <w:marLeft w:val="0"/>
      <w:marRight w:val="0"/>
      <w:marTop w:val="0"/>
      <w:marBottom w:val="0"/>
      <w:divBdr>
        <w:top w:val="none" w:sz="0" w:space="0" w:color="auto"/>
        <w:left w:val="none" w:sz="0" w:space="0" w:color="auto"/>
        <w:bottom w:val="none" w:sz="0" w:space="0" w:color="auto"/>
        <w:right w:val="none" w:sz="0" w:space="0" w:color="auto"/>
      </w:divBdr>
    </w:div>
    <w:div w:id="706101532">
      <w:bodyDiv w:val="1"/>
      <w:marLeft w:val="0"/>
      <w:marRight w:val="0"/>
      <w:marTop w:val="0"/>
      <w:marBottom w:val="0"/>
      <w:divBdr>
        <w:top w:val="none" w:sz="0" w:space="0" w:color="auto"/>
        <w:left w:val="none" w:sz="0" w:space="0" w:color="auto"/>
        <w:bottom w:val="none" w:sz="0" w:space="0" w:color="auto"/>
        <w:right w:val="none" w:sz="0" w:space="0" w:color="auto"/>
      </w:divBdr>
    </w:div>
    <w:div w:id="710420062">
      <w:bodyDiv w:val="1"/>
      <w:marLeft w:val="0"/>
      <w:marRight w:val="0"/>
      <w:marTop w:val="0"/>
      <w:marBottom w:val="0"/>
      <w:divBdr>
        <w:top w:val="none" w:sz="0" w:space="0" w:color="auto"/>
        <w:left w:val="none" w:sz="0" w:space="0" w:color="auto"/>
        <w:bottom w:val="none" w:sz="0" w:space="0" w:color="auto"/>
        <w:right w:val="none" w:sz="0" w:space="0" w:color="auto"/>
      </w:divBdr>
    </w:div>
    <w:div w:id="713043269">
      <w:bodyDiv w:val="1"/>
      <w:marLeft w:val="0"/>
      <w:marRight w:val="0"/>
      <w:marTop w:val="0"/>
      <w:marBottom w:val="0"/>
      <w:divBdr>
        <w:top w:val="none" w:sz="0" w:space="0" w:color="auto"/>
        <w:left w:val="none" w:sz="0" w:space="0" w:color="auto"/>
        <w:bottom w:val="none" w:sz="0" w:space="0" w:color="auto"/>
        <w:right w:val="none" w:sz="0" w:space="0" w:color="auto"/>
      </w:divBdr>
    </w:div>
    <w:div w:id="714701507">
      <w:bodyDiv w:val="1"/>
      <w:marLeft w:val="0"/>
      <w:marRight w:val="0"/>
      <w:marTop w:val="0"/>
      <w:marBottom w:val="0"/>
      <w:divBdr>
        <w:top w:val="none" w:sz="0" w:space="0" w:color="auto"/>
        <w:left w:val="none" w:sz="0" w:space="0" w:color="auto"/>
        <w:bottom w:val="none" w:sz="0" w:space="0" w:color="auto"/>
        <w:right w:val="none" w:sz="0" w:space="0" w:color="auto"/>
      </w:divBdr>
    </w:div>
    <w:div w:id="735468926">
      <w:bodyDiv w:val="1"/>
      <w:marLeft w:val="0"/>
      <w:marRight w:val="0"/>
      <w:marTop w:val="0"/>
      <w:marBottom w:val="0"/>
      <w:divBdr>
        <w:top w:val="none" w:sz="0" w:space="0" w:color="auto"/>
        <w:left w:val="none" w:sz="0" w:space="0" w:color="auto"/>
        <w:bottom w:val="none" w:sz="0" w:space="0" w:color="auto"/>
        <w:right w:val="none" w:sz="0" w:space="0" w:color="auto"/>
      </w:divBdr>
    </w:div>
    <w:div w:id="737745475">
      <w:bodyDiv w:val="1"/>
      <w:marLeft w:val="0"/>
      <w:marRight w:val="0"/>
      <w:marTop w:val="0"/>
      <w:marBottom w:val="0"/>
      <w:divBdr>
        <w:top w:val="none" w:sz="0" w:space="0" w:color="auto"/>
        <w:left w:val="none" w:sz="0" w:space="0" w:color="auto"/>
        <w:bottom w:val="none" w:sz="0" w:space="0" w:color="auto"/>
        <w:right w:val="none" w:sz="0" w:space="0" w:color="auto"/>
      </w:divBdr>
    </w:div>
    <w:div w:id="739982836">
      <w:bodyDiv w:val="1"/>
      <w:marLeft w:val="0"/>
      <w:marRight w:val="0"/>
      <w:marTop w:val="0"/>
      <w:marBottom w:val="0"/>
      <w:divBdr>
        <w:top w:val="none" w:sz="0" w:space="0" w:color="auto"/>
        <w:left w:val="none" w:sz="0" w:space="0" w:color="auto"/>
        <w:bottom w:val="none" w:sz="0" w:space="0" w:color="auto"/>
        <w:right w:val="none" w:sz="0" w:space="0" w:color="auto"/>
      </w:divBdr>
    </w:div>
    <w:div w:id="741217534">
      <w:bodyDiv w:val="1"/>
      <w:marLeft w:val="0"/>
      <w:marRight w:val="0"/>
      <w:marTop w:val="0"/>
      <w:marBottom w:val="0"/>
      <w:divBdr>
        <w:top w:val="none" w:sz="0" w:space="0" w:color="auto"/>
        <w:left w:val="none" w:sz="0" w:space="0" w:color="auto"/>
        <w:bottom w:val="none" w:sz="0" w:space="0" w:color="auto"/>
        <w:right w:val="none" w:sz="0" w:space="0" w:color="auto"/>
      </w:divBdr>
    </w:div>
    <w:div w:id="746610712">
      <w:bodyDiv w:val="1"/>
      <w:marLeft w:val="0"/>
      <w:marRight w:val="0"/>
      <w:marTop w:val="0"/>
      <w:marBottom w:val="0"/>
      <w:divBdr>
        <w:top w:val="none" w:sz="0" w:space="0" w:color="auto"/>
        <w:left w:val="none" w:sz="0" w:space="0" w:color="auto"/>
        <w:bottom w:val="none" w:sz="0" w:space="0" w:color="auto"/>
        <w:right w:val="none" w:sz="0" w:space="0" w:color="auto"/>
      </w:divBdr>
      <w:divsChild>
        <w:div w:id="562570324">
          <w:marLeft w:val="0"/>
          <w:marRight w:val="0"/>
          <w:marTop w:val="0"/>
          <w:marBottom w:val="0"/>
          <w:divBdr>
            <w:top w:val="none" w:sz="0" w:space="0" w:color="auto"/>
            <w:left w:val="none" w:sz="0" w:space="0" w:color="auto"/>
            <w:bottom w:val="none" w:sz="0" w:space="0" w:color="auto"/>
            <w:right w:val="none" w:sz="0" w:space="0" w:color="auto"/>
          </w:divBdr>
          <w:divsChild>
            <w:div w:id="177083267">
              <w:marLeft w:val="0"/>
              <w:marRight w:val="0"/>
              <w:marTop w:val="0"/>
              <w:marBottom w:val="0"/>
              <w:divBdr>
                <w:top w:val="none" w:sz="0" w:space="0" w:color="auto"/>
                <w:left w:val="none" w:sz="0" w:space="0" w:color="auto"/>
                <w:bottom w:val="none" w:sz="0" w:space="0" w:color="auto"/>
                <w:right w:val="none" w:sz="0" w:space="0" w:color="auto"/>
              </w:divBdr>
              <w:divsChild>
                <w:div w:id="2004315654">
                  <w:marLeft w:val="0"/>
                  <w:marRight w:val="0"/>
                  <w:marTop w:val="0"/>
                  <w:marBottom w:val="0"/>
                  <w:divBdr>
                    <w:top w:val="none" w:sz="0" w:space="0" w:color="auto"/>
                    <w:left w:val="none" w:sz="0" w:space="0" w:color="auto"/>
                    <w:bottom w:val="none" w:sz="0" w:space="0" w:color="auto"/>
                    <w:right w:val="none" w:sz="0" w:space="0" w:color="auto"/>
                  </w:divBdr>
                  <w:divsChild>
                    <w:div w:id="15156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99496">
      <w:bodyDiv w:val="1"/>
      <w:marLeft w:val="0"/>
      <w:marRight w:val="0"/>
      <w:marTop w:val="0"/>
      <w:marBottom w:val="0"/>
      <w:divBdr>
        <w:top w:val="none" w:sz="0" w:space="0" w:color="auto"/>
        <w:left w:val="none" w:sz="0" w:space="0" w:color="auto"/>
        <w:bottom w:val="none" w:sz="0" w:space="0" w:color="auto"/>
        <w:right w:val="none" w:sz="0" w:space="0" w:color="auto"/>
      </w:divBdr>
    </w:div>
    <w:div w:id="757480184">
      <w:bodyDiv w:val="1"/>
      <w:marLeft w:val="0"/>
      <w:marRight w:val="0"/>
      <w:marTop w:val="0"/>
      <w:marBottom w:val="0"/>
      <w:divBdr>
        <w:top w:val="none" w:sz="0" w:space="0" w:color="auto"/>
        <w:left w:val="none" w:sz="0" w:space="0" w:color="auto"/>
        <w:bottom w:val="none" w:sz="0" w:space="0" w:color="auto"/>
        <w:right w:val="none" w:sz="0" w:space="0" w:color="auto"/>
      </w:divBdr>
      <w:divsChild>
        <w:div w:id="174657955">
          <w:marLeft w:val="0"/>
          <w:marRight w:val="0"/>
          <w:marTop w:val="0"/>
          <w:marBottom w:val="0"/>
          <w:divBdr>
            <w:top w:val="none" w:sz="0" w:space="0" w:color="auto"/>
            <w:left w:val="none" w:sz="0" w:space="0" w:color="auto"/>
            <w:bottom w:val="none" w:sz="0" w:space="0" w:color="auto"/>
            <w:right w:val="none" w:sz="0" w:space="0" w:color="auto"/>
          </w:divBdr>
          <w:divsChild>
            <w:div w:id="1753501475">
              <w:marLeft w:val="0"/>
              <w:marRight w:val="0"/>
              <w:marTop w:val="0"/>
              <w:marBottom w:val="0"/>
              <w:divBdr>
                <w:top w:val="none" w:sz="0" w:space="0" w:color="auto"/>
                <w:left w:val="none" w:sz="0" w:space="0" w:color="auto"/>
                <w:bottom w:val="none" w:sz="0" w:space="0" w:color="auto"/>
                <w:right w:val="none" w:sz="0" w:space="0" w:color="auto"/>
              </w:divBdr>
              <w:divsChild>
                <w:div w:id="870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22952">
      <w:bodyDiv w:val="1"/>
      <w:marLeft w:val="0"/>
      <w:marRight w:val="0"/>
      <w:marTop w:val="0"/>
      <w:marBottom w:val="0"/>
      <w:divBdr>
        <w:top w:val="none" w:sz="0" w:space="0" w:color="auto"/>
        <w:left w:val="none" w:sz="0" w:space="0" w:color="auto"/>
        <w:bottom w:val="none" w:sz="0" w:space="0" w:color="auto"/>
        <w:right w:val="none" w:sz="0" w:space="0" w:color="auto"/>
      </w:divBdr>
    </w:div>
    <w:div w:id="766847760">
      <w:bodyDiv w:val="1"/>
      <w:marLeft w:val="0"/>
      <w:marRight w:val="0"/>
      <w:marTop w:val="0"/>
      <w:marBottom w:val="0"/>
      <w:divBdr>
        <w:top w:val="none" w:sz="0" w:space="0" w:color="auto"/>
        <w:left w:val="none" w:sz="0" w:space="0" w:color="auto"/>
        <w:bottom w:val="none" w:sz="0" w:space="0" w:color="auto"/>
        <w:right w:val="none" w:sz="0" w:space="0" w:color="auto"/>
      </w:divBdr>
    </w:div>
    <w:div w:id="766851616">
      <w:bodyDiv w:val="1"/>
      <w:marLeft w:val="0"/>
      <w:marRight w:val="0"/>
      <w:marTop w:val="0"/>
      <w:marBottom w:val="0"/>
      <w:divBdr>
        <w:top w:val="none" w:sz="0" w:space="0" w:color="auto"/>
        <w:left w:val="none" w:sz="0" w:space="0" w:color="auto"/>
        <w:bottom w:val="none" w:sz="0" w:space="0" w:color="auto"/>
        <w:right w:val="none" w:sz="0" w:space="0" w:color="auto"/>
      </w:divBdr>
    </w:div>
    <w:div w:id="767695967">
      <w:bodyDiv w:val="1"/>
      <w:marLeft w:val="0"/>
      <w:marRight w:val="0"/>
      <w:marTop w:val="0"/>
      <w:marBottom w:val="0"/>
      <w:divBdr>
        <w:top w:val="none" w:sz="0" w:space="0" w:color="auto"/>
        <w:left w:val="none" w:sz="0" w:space="0" w:color="auto"/>
        <w:bottom w:val="none" w:sz="0" w:space="0" w:color="auto"/>
        <w:right w:val="none" w:sz="0" w:space="0" w:color="auto"/>
      </w:divBdr>
    </w:div>
    <w:div w:id="770010699">
      <w:bodyDiv w:val="1"/>
      <w:marLeft w:val="0"/>
      <w:marRight w:val="0"/>
      <w:marTop w:val="0"/>
      <w:marBottom w:val="0"/>
      <w:divBdr>
        <w:top w:val="none" w:sz="0" w:space="0" w:color="auto"/>
        <w:left w:val="none" w:sz="0" w:space="0" w:color="auto"/>
        <w:bottom w:val="none" w:sz="0" w:space="0" w:color="auto"/>
        <w:right w:val="none" w:sz="0" w:space="0" w:color="auto"/>
      </w:divBdr>
    </w:div>
    <w:div w:id="781219327">
      <w:bodyDiv w:val="1"/>
      <w:marLeft w:val="0"/>
      <w:marRight w:val="0"/>
      <w:marTop w:val="0"/>
      <w:marBottom w:val="0"/>
      <w:divBdr>
        <w:top w:val="none" w:sz="0" w:space="0" w:color="auto"/>
        <w:left w:val="none" w:sz="0" w:space="0" w:color="auto"/>
        <w:bottom w:val="none" w:sz="0" w:space="0" w:color="auto"/>
        <w:right w:val="none" w:sz="0" w:space="0" w:color="auto"/>
      </w:divBdr>
    </w:div>
    <w:div w:id="781651508">
      <w:bodyDiv w:val="1"/>
      <w:marLeft w:val="0"/>
      <w:marRight w:val="0"/>
      <w:marTop w:val="0"/>
      <w:marBottom w:val="0"/>
      <w:divBdr>
        <w:top w:val="none" w:sz="0" w:space="0" w:color="auto"/>
        <w:left w:val="none" w:sz="0" w:space="0" w:color="auto"/>
        <w:bottom w:val="none" w:sz="0" w:space="0" w:color="auto"/>
        <w:right w:val="none" w:sz="0" w:space="0" w:color="auto"/>
      </w:divBdr>
    </w:div>
    <w:div w:id="782305724">
      <w:bodyDiv w:val="1"/>
      <w:marLeft w:val="0"/>
      <w:marRight w:val="0"/>
      <w:marTop w:val="0"/>
      <w:marBottom w:val="0"/>
      <w:divBdr>
        <w:top w:val="none" w:sz="0" w:space="0" w:color="auto"/>
        <w:left w:val="none" w:sz="0" w:space="0" w:color="auto"/>
        <w:bottom w:val="none" w:sz="0" w:space="0" w:color="auto"/>
        <w:right w:val="none" w:sz="0" w:space="0" w:color="auto"/>
      </w:divBdr>
    </w:div>
    <w:div w:id="785009354">
      <w:bodyDiv w:val="1"/>
      <w:marLeft w:val="0"/>
      <w:marRight w:val="0"/>
      <w:marTop w:val="0"/>
      <w:marBottom w:val="0"/>
      <w:divBdr>
        <w:top w:val="none" w:sz="0" w:space="0" w:color="auto"/>
        <w:left w:val="none" w:sz="0" w:space="0" w:color="auto"/>
        <w:bottom w:val="none" w:sz="0" w:space="0" w:color="auto"/>
        <w:right w:val="none" w:sz="0" w:space="0" w:color="auto"/>
      </w:divBdr>
      <w:divsChild>
        <w:div w:id="398404876">
          <w:marLeft w:val="0"/>
          <w:marRight w:val="0"/>
          <w:marTop w:val="0"/>
          <w:marBottom w:val="0"/>
          <w:divBdr>
            <w:top w:val="none" w:sz="0" w:space="0" w:color="auto"/>
            <w:left w:val="none" w:sz="0" w:space="0" w:color="auto"/>
            <w:bottom w:val="none" w:sz="0" w:space="0" w:color="auto"/>
            <w:right w:val="none" w:sz="0" w:space="0" w:color="auto"/>
          </w:divBdr>
          <w:divsChild>
            <w:div w:id="757872885">
              <w:marLeft w:val="0"/>
              <w:marRight w:val="0"/>
              <w:marTop w:val="0"/>
              <w:marBottom w:val="0"/>
              <w:divBdr>
                <w:top w:val="none" w:sz="0" w:space="0" w:color="auto"/>
                <w:left w:val="none" w:sz="0" w:space="0" w:color="auto"/>
                <w:bottom w:val="none" w:sz="0" w:space="0" w:color="auto"/>
                <w:right w:val="none" w:sz="0" w:space="0" w:color="auto"/>
              </w:divBdr>
              <w:divsChild>
                <w:div w:id="4730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5582">
      <w:bodyDiv w:val="1"/>
      <w:marLeft w:val="0"/>
      <w:marRight w:val="0"/>
      <w:marTop w:val="0"/>
      <w:marBottom w:val="0"/>
      <w:divBdr>
        <w:top w:val="none" w:sz="0" w:space="0" w:color="auto"/>
        <w:left w:val="none" w:sz="0" w:space="0" w:color="auto"/>
        <w:bottom w:val="none" w:sz="0" w:space="0" w:color="auto"/>
        <w:right w:val="none" w:sz="0" w:space="0" w:color="auto"/>
      </w:divBdr>
    </w:div>
    <w:div w:id="788010733">
      <w:bodyDiv w:val="1"/>
      <w:marLeft w:val="0"/>
      <w:marRight w:val="0"/>
      <w:marTop w:val="0"/>
      <w:marBottom w:val="0"/>
      <w:divBdr>
        <w:top w:val="none" w:sz="0" w:space="0" w:color="auto"/>
        <w:left w:val="none" w:sz="0" w:space="0" w:color="auto"/>
        <w:bottom w:val="none" w:sz="0" w:space="0" w:color="auto"/>
        <w:right w:val="none" w:sz="0" w:space="0" w:color="auto"/>
      </w:divBdr>
    </w:div>
    <w:div w:id="788938310">
      <w:bodyDiv w:val="1"/>
      <w:marLeft w:val="0"/>
      <w:marRight w:val="0"/>
      <w:marTop w:val="0"/>
      <w:marBottom w:val="0"/>
      <w:divBdr>
        <w:top w:val="none" w:sz="0" w:space="0" w:color="auto"/>
        <w:left w:val="none" w:sz="0" w:space="0" w:color="auto"/>
        <w:bottom w:val="none" w:sz="0" w:space="0" w:color="auto"/>
        <w:right w:val="none" w:sz="0" w:space="0" w:color="auto"/>
      </w:divBdr>
    </w:div>
    <w:div w:id="789129209">
      <w:bodyDiv w:val="1"/>
      <w:marLeft w:val="0"/>
      <w:marRight w:val="0"/>
      <w:marTop w:val="0"/>
      <w:marBottom w:val="0"/>
      <w:divBdr>
        <w:top w:val="none" w:sz="0" w:space="0" w:color="auto"/>
        <w:left w:val="none" w:sz="0" w:space="0" w:color="auto"/>
        <w:bottom w:val="none" w:sz="0" w:space="0" w:color="auto"/>
        <w:right w:val="none" w:sz="0" w:space="0" w:color="auto"/>
      </w:divBdr>
    </w:div>
    <w:div w:id="790129586">
      <w:bodyDiv w:val="1"/>
      <w:marLeft w:val="0"/>
      <w:marRight w:val="0"/>
      <w:marTop w:val="0"/>
      <w:marBottom w:val="0"/>
      <w:divBdr>
        <w:top w:val="none" w:sz="0" w:space="0" w:color="auto"/>
        <w:left w:val="none" w:sz="0" w:space="0" w:color="auto"/>
        <w:bottom w:val="none" w:sz="0" w:space="0" w:color="auto"/>
        <w:right w:val="none" w:sz="0" w:space="0" w:color="auto"/>
      </w:divBdr>
    </w:div>
    <w:div w:id="801116083">
      <w:bodyDiv w:val="1"/>
      <w:marLeft w:val="0"/>
      <w:marRight w:val="0"/>
      <w:marTop w:val="0"/>
      <w:marBottom w:val="0"/>
      <w:divBdr>
        <w:top w:val="none" w:sz="0" w:space="0" w:color="auto"/>
        <w:left w:val="none" w:sz="0" w:space="0" w:color="auto"/>
        <w:bottom w:val="none" w:sz="0" w:space="0" w:color="auto"/>
        <w:right w:val="none" w:sz="0" w:space="0" w:color="auto"/>
      </w:divBdr>
    </w:div>
    <w:div w:id="807473212">
      <w:bodyDiv w:val="1"/>
      <w:marLeft w:val="0"/>
      <w:marRight w:val="0"/>
      <w:marTop w:val="0"/>
      <w:marBottom w:val="0"/>
      <w:divBdr>
        <w:top w:val="none" w:sz="0" w:space="0" w:color="auto"/>
        <w:left w:val="none" w:sz="0" w:space="0" w:color="auto"/>
        <w:bottom w:val="none" w:sz="0" w:space="0" w:color="auto"/>
        <w:right w:val="none" w:sz="0" w:space="0" w:color="auto"/>
      </w:divBdr>
    </w:div>
    <w:div w:id="816343237">
      <w:bodyDiv w:val="1"/>
      <w:marLeft w:val="0"/>
      <w:marRight w:val="0"/>
      <w:marTop w:val="0"/>
      <w:marBottom w:val="0"/>
      <w:divBdr>
        <w:top w:val="none" w:sz="0" w:space="0" w:color="auto"/>
        <w:left w:val="none" w:sz="0" w:space="0" w:color="auto"/>
        <w:bottom w:val="none" w:sz="0" w:space="0" w:color="auto"/>
        <w:right w:val="none" w:sz="0" w:space="0" w:color="auto"/>
      </w:divBdr>
    </w:div>
    <w:div w:id="819276020">
      <w:bodyDiv w:val="1"/>
      <w:marLeft w:val="0"/>
      <w:marRight w:val="0"/>
      <w:marTop w:val="0"/>
      <w:marBottom w:val="0"/>
      <w:divBdr>
        <w:top w:val="none" w:sz="0" w:space="0" w:color="auto"/>
        <w:left w:val="none" w:sz="0" w:space="0" w:color="auto"/>
        <w:bottom w:val="none" w:sz="0" w:space="0" w:color="auto"/>
        <w:right w:val="none" w:sz="0" w:space="0" w:color="auto"/>
      </w:divBdr>
    </w:div>
    <w:div w:id="821968118">
      <w:bodyDiv w:val="1"/>
      <w:marLeft w:val="0"/>
      <w:marRight w:val="0"/>
      <w:marTop w:val="0"/>
      <w:marBottom w:val="0"/>
      <w:divBdr>
        <w:top w:val="none" w:sz="0" w:space="0" w:color="auto"/>
        <w:left w:val="none" w:sz="0" w:space="0" w:color="auto"/>
        <w:bottom w:val="none" w:sz="0" w:space="0" w:color="auto"/>
        <w:right w:val="none" w:sz="0" w:space="0" w:color="auto"/>
      </w:divBdr>
    </w:div>
    <w:div w:id="825171566">
      <w:bodyDiv w:val="1"/>
      <w:marLeft w:val="0"/>
      <w:marRight w:val="0"/>
      <w:marTop w:val="0"/>
      <w:marBottom w:val="0"/>
      <w:divBdr>
        <w:top w:val="none" w:sz="0" w:space="0" w:color="auto"/>
        <w:left w:val="none" w:sz="0" w:space="0" w:color="auto"/>
        <w:bottom w:val="none" w:sz="0" w:space="0" w:color="auto"/>
        <w:right w:val="none" w:sz="0" w:space="0" w:color="auto"/>
      </w:divBdr>
    </w:div>
    <w:div w:id="832724468">
      <w:bodyDiv w:val="1"/>
      <w:marLeft w:val="0"/>
      <w:marRight w:val="0"/>
      <w:marTop w:val="0"/>
      <w:marBottom w:val="0"/>
      <w:divBdr>
        <w:top w:val="none" w:sz="0" w:space="0" w:color="auto"/>
        <w:left w:val="none" w:sz="0" w:space="0" w:color="auto"/>
        <w:bottom w:val="none" w:sz="0" w:space="0" w:color="auto"/>
        <w:right w:val="none" w:sz="0" w:space="0" w:color="auto"/>
      </w:divBdr>
    </w:div>
    <w:div w:id="836502945">
      <w:bodyDiv w:val="1"/>
      <w:marLeft w:val="0"/>
      <w:marRight w:val="0"/>
      <w:marTop w:val="0"/>
      <w:marBottom w:val="0"/>
      <w:divBdr>
        <w:top w:val="none" w:sz="0" w:space="0" w:color="auto"/>
        <w:left w:val="none" w:sz="0" w:space="0" w:color="auto"/>
        <w:bottom w:val="none" w:sz="0" w:space="0" w:color="auto"/>
        <w:right w:val="none" w:sz="0" w:space="0" w:color="auto"/>
      </w:divBdr>
    </w:div>
    <w:div w:id="840463699">
      <w:bodyDiv w:val="1"/>
      <w:marLeft w:val="0"/>
      <w:marRight w:val="0"/>
      <w:marTop w:val="0"/>
      <w:marBottom w:val="0"/>
      <w:divBdr>
        <w:top w:val="none" w:sz="0" w:space="0" w:color="auto"/>
        <w:left w:val="none" w:sz="0" w:space="0" w:color="auto"/>
        <w:bottom w:val="none" w:sz="0" w:space="0" w:color="auto"/>
        <w:right w:val="none" w:sz="0" w:space="0" w:color="auto"/>
      </w:divBdr>
    </w:div>
    <w:div w:id="842627648">
      <w:bodyDiv w:val="1"/>
      <w:marLeft w:val="0"/>
      <w:marRight w:val="0"/>
      <w:marTop w:val="0"/>
      <w:marBottom w:val="0"/>
      <w:divBdr>
        <w:top w:val="none" w:sz="0" w:space="0" w:color="auto"/>
        <w:left w:val="none" w:sz="0" w:space="0" w:color="auto"/>
        <w:bottom w:val="none" w:sz="0" w:space="0" w:color="auto"/>
        <w:right w:val="none" w:sz="0" w:space="0" w:color="auto"/>
      </w:divBdr>
    </w:div>
    <w:div w:id="855340876">
      <w:bodyDiv w:val="1"/>
      <w:marLeft w:val="0"/>
      <w:marRight w:val="0"/>
      <w:marTop w:val="0"/>
      <w:marBottom w:val="0"/>
      <w:divBdr>
        <w:top w:val="none" w:sz="0" w:space="0" w:color="auto"/>
        <w:left w:val="none" w:sz="0" w:space="0" w:color="auto"/>
        <w:bottom w:val="none" w:sz="0" w:space="0" w:color="auto"/>
        <w:right w:val="none" w:sz="0" w:space="0" w:color="auto"/>
      </w:divBdr>
      <w:divsChild>
        <w:div w:id="2108621936">
          <w:marLeft w:val="0"/>
          <w:marRight w:val="0"/>
          <w:marTop w:val="0"/>
          <w:marBottom w:val="0"/>
          <w:divBdr>
            <w:top w:val="none" w:sz="0" w:space="0" w:color="auto"/>
            <w:left w:val="none" w:sz="0" w:space="0" w:color="auto"/>
            <w:bottom w:val="none" w:sz="0" w:space="0" w:color="auto"/>
            <w:right w:val="none" w:sz="0" w:space="0" w:color="auto"/>
          </w:divBdr>
          <w:divsChild>
            <w:div w:id="1867137992">
              <w:marLeft w:val="0"/>
              <w:marRight w:val="0"/>
              <w:marTop w:val="0"/>
              <w:marBottom w:val="0"/>
              <w:divBdr>
                <w:top w:val="none" w:sz="0" w:space="0" w:color="auto"/>
                <w:left w:val="none" w:sz="0" w:space="0" w:color="auto"/>
                <w:bottom w:val="none" w:sz="0" w:space="0" w:color="auto"/>
                <w:right w:val="none" w:sz="0" w:space="0" w:color="auto"/>
              </w:divBdr>
              <w:divsChild>
                <w:div w:id="13568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5240">
      <w:bodyDiv w:val="1"/>
      <w:marLeft w:val="0"/>
      <w:marRight w:val="0"/>
      <w:marTop w:val="0"/>
      <w:marBottom w:val="0"/>
      <w:divBdr>
        <w:top w:val="none" w:sz="0" w:space="0" w:color="auto"/>
        <w:left w:val="none" w:sz="0" w:space="0" w:color="auto"/>
        <w:bottom w:val="none" w:sz="0" w:space="0" w:color="auto"/>
        <w:right w:val="none" w:sz="0" w:space="0" w:color="auto"/>
      </w:divBdr>
    </w:div>
    <w:div w:id="867375401">
      <w:bodyDiv w:val="1"/>
      <w:marLeft w:val="0"/>
      <w:marRight w:val="0"/>
      <w:marTop w:val="0"/>
      <w:marBottom w:val="0"/>
      <w:divBdr>
        <w:top w:val="none" w:sz="0" w:space="0" w:color="auto"/>
        <w:left w:val="none" w:sz="0" w:space="0" w:color="auto"/>
        <w:bottom w:val="none" w:sz="0" w:space="0" w:color="auto"/>
        <w:right w:val="none" w:sz="0" w:space="0" w:color="auto"/>
      </w:divBdr>
    </w:div>
    <w:div w:id="867528907">
      <w:bodyDiv w:val="1"/>
      <w:marLeft w:val="0"/>
      <w:marRight w:val="0"/>
      <w:marTop w:val="0"/>
      <w:marBottom w:val="0"/>
      <w:divBdr>
        <w:top w:val="none" w:sz="0" w:space="0" w:color="auto"/>
        <w:left w:val="none" w:sz="0" w:space="0" w:color="auto"/>
        <w:bottom w:val="none" w:sz="0" w:space="0" w:color="auto"/>
        <w:right w:val="none" w:sz="0" w:space="0" w:color="auto"/>
      </w:divBdr>
    </w:div>
    <w:div w:id="867794675">
      <w:bodyDiv w:val="1"/>
      <w:marLeft w:val="0"/>
      <w:marRight w:val="0"/>
      <w:marTop w:val="0"/>
      <w:marBottom w:val="0"/>
      <w:divBdr>
        <w:top w:val="none" w:sz="0" w:space="0" w:color="auto"/>
        <w:left w:val="none" w:sz="0" w:space="0" w:color="auto"/>
        <w:bottom w:val="none" w:sz="0" w:space="0" w:color="auto"/>
        <w:right w:val="none" w:sz="0" w:space="0" w:color="auto"/>
      </w:divBdr>
      <w:divsChild>
        <w:div w:id="59329082">
          <w:marLeft w:val="0"/>
          <w:marRight w:val="0"/>
          <w:marTop w:val="0"/>
          <w:marBottom w:val="0"/>
          <w:divBdr>
            <w:top w:val="none" w:sz="0" w:space="0" w:color="auto"/>
            <w:left w:val="none" w:sz="0" w:space="0" w:color="auto"/>
            <w:bottom w:val="none" w:sz="0" w:space="0" w:color="auto"/>
            <w:right w:val="none" w:sz="0" w:space="0" w:color="auto"/>
          </w:divBdr>
        </w:div>
      </w:divsChild>
    </w:div>
    <w:div w:id="868450027">
      <w:bodyDiv w:val="1"/>
      <w:marLeft w:val="0"/>
      <w:marRight w:val="0"/>
      <w:marTop w:val="0"/>
      <w:marBottom w:val="0"/>
      <w:divBdr>
        <w:top w:val="none" w:sz="0" w:space="0" w:color="auto"/>
        <w:left w:val="none" w:sz="0" w:space="0" w:color="auto"/>
        <w:bottom w:val="none" w:sz="0" w:space="0" w:color="auto"/>
        <w:right w:val="none" w:sz="0" w:space="0" w:color="auto"/>
      </w:divBdr>
    </w:div>
    <w:div w:id="870191366">
      <w:bodyDiv w:val="1"/>
      <w:marLeft w:val="0"/>
      <w:marRight w:val="0"/>
      <w:marTop w:val="0"/>
      <w:marBottom w:val="0"/>
      <w:divBdr>
        <w:top w:val="none" w:sz="0" w:space="0" w:color="auto"/>
        <w:left w:val="none" w:sz="0" w:space="0" w:color="auto"/>
        <w:bottom w:val="none" w:sz="0" w:space="0" w:color="auto"/>
        <w:right w:val="none" w:sz="0" w:space="0" w:color="auto"/>
      </w:divBdr>
    </w:div>
    <w:div w:id="872812044">
      <w:bodyDiv w:val="1"/>
      <w:marLeft w:val="0"/>
      <w:marRight w:val="0"/>
      <w:marTop w:val="0"/>
      <w:marBottom w:val="0"/>
      <w:divBdr>
        <w:top w:val="none" w:sz="0" w:space="0" w:color="auto"/>
        <w:left w:val="none" w:sz="0" w:space="0" w:color="auto"/>
        <w:bottom w:val="none" w:sz="0" w:space="0" w:color="auto"/>
        <w:right w:val="none" w:sz="0" w:space="0" w:color="auto"/>
      </w:divBdr>
    </w:div>
    <w:div w:id="876551571">
      <w:bodyDiv w:val="1"/>
      <w:marLeft w:val="0"/>
      <w:marRight w:val="0"/>
      <w:marTop w:val="0"/>
      <w:marBottom w:val="0"/>
      <w:divBdr>
        <w:top w:val="none" w:sz="0" w:space="0" w:color="auto"/>
        <w:left w:val="none" w:sz="0" w:space="0" w:color="auto"/>
        <w:bottom w:val="none" w:sz="0" w:space="0" w:color="auto"/>
        <w:right w:val="none" w:sz="0" w:space="0" w:color="auto"/>
      </w:divBdr>
    </w:div>
    <w:div w:id="876891023">
      <w:bodyDiv w:val="1"/>
      <w:marLeft w:val="0"/>
      <w:marRight w:val="0"/>
      <w:marTop w:val="0"/>
      <w:marBottom w:val="0"/>
      <w:divBdr>
        <w:top w:val="none" w:sz="0" w:space="0" w:color="auto"/>
        <w:left w:val="none" w:sz="0" w:space="0" w:color="auto"/>
        <w:bottom w:val="none" w:sz="0" w:space="0" w:color="auto"/>
        <w:right w:val="none" w:sz="0" w:space="0" w:color="auto"/>
      </w:divBdr>
    </w:div>
    <w:div w:id="878977750">
      <w:bodyDiv w:val="1"/>
      <w:marLeft w:val="0"/>
      <w:marRight w:val="0"/>
      <w:marTop w:val="0"/>
      <w:marBottom w:val="0"/>
      <w:divBdr>
        <w:top w:val="none" w:sz="0" w:space="0" w:color="auto"/>
        <w:left w:val="none" w:sz="0" w:space="0" w:color="auto"/>
        <w:bottom w:val="none" w:sz="0" w:space="0" w:color="auto"/>
        <w:right w:val="none" w:sz="0" w:space="0" w:color="auto"/>
      </w:divBdr>
    </w:div>
    <w:div w:id="885945621">
      <w:bodyDiv w:val="1"/>
      <w:marLeft w:val="0"/>
      <w:marRight w:val="0"/>
      <w:marTop w:val="0"/>
      <w:marBottom w:val="0"/>
      <w:divBdr>
        <w:top w:val="none" w:sz="0" w:space="0" w:color="auto"/>
        <w:left w:val="none" w:sz="0" w:space="0" w:color="auto"/>
        <w:bottom w:val="none" w:sz="0" w:space="0" w:color="auto"/>
        <w:right w:val="none" w:sz="0" w:space="0" w:color="auto"/>
      </w:divBdr>
    </w:div>
    <w:div w:id="887107974">
      <w:bodyDiv w:val="1"/>
      <w:marLeft w:val="0"/>
      <w:marRight w:val="0"/>
      <w:marTop w:val="0"/>
      <w:marBottom w:val="0"/>
      <w:divBdr>
        <w:top w:val="none" w:sz="0" w:space="0" w:color="auto"/>
        <w:left w:val="none" w:sz="0" w:space="0" w:color="auto"/>
        <w:bottom w:val="none" w:sz="0" w:space="0" w:color="auto"/>
        <w:right w:val="none" w:sz="0" w:space="0" w:color="auto"/>
      </w:divBdr>
    </w:div>
    <w:div w:id="891381475">
      <w:bodyDiv w:val="1"/>
      <w:marLeft w:val="0"/>
      <w:marRight w:val="0"/>
      <w:marTop w:val="0"/>
      <w:marBottom w:val="0"/>
      <w:divBdr>
        <w:top w:val="none" w:sz="0" w:space="0" w:color="auto"/>
        <w:left w:val="none" w:sz="0" w:space="0" w:color="auto"/>
        <w:bottom w:val="none" w:sz="0" w:space="0" w:color="auto"/>
        <w:right w:val="none" w:sz="0" w:space="0" w:color="auto"/>
      </w:divBdr>
    </w:div>
    <w:div w:id="891814900">
      <w:bodyDiv w:val="1"/>
      <w:marLeft w:val="0"/>
      <w:marRight w:val="0"/>
      <w:marTop w:val="0"/>
      <w:marBottom w:val="0"/>
      <w:divBdr>
        <w:top w:val="none" w:sz="0" w:space="0" w:color="auto"/>
        <w:left w:val="none" w:sz="0" w:space="0" w:color="auto"/>
        <w:bottom w:val="none" w:sz="0" w:space="0" w:color="auto"/>
        <w:right w:val="none" w:sz="0" w:space="0" w:color="auto"/>
      </w:divBdr>
    </w:div>
    <w:div w:id="899438888">
      <w:bodyDiv w:val="1"/>
      <w:marLeft w:val="0"/>
      <w:marRight w:val="0"/>
      <w:marTop w:val="0"/>
      <w:marBottom w:val="0"/>
      <w:divBdr>
        <w:top w:val="none" w:sz="0" w:space="0" w:color="auto"/>
        <w:left w:val="none" w:sz="0" w:space="0" w:color="auto"/>
        <w:bottom w:val="none" w:sz="0" w:space="0" w:color="auto"/>
        <w:right w:val="none" w:sz="0" w:space="0" w:color="auto"/>
      </w:divBdr>
    </w:div>
    <w:div w:id="901136729">
      <w:bodyDiv w:val="1"/>
      <w:marLeft w:val="0"/>
      <w:marRight w:val="0"/>
      <w:marTop w:val="0"/>
      <w:marBottom w:val="0"/>
      <w:divBdr>
        <w:top w:val="none" w:sz="0" w:space="0" w:color="auto"/>
        <w:left w:val="none" w:sz="0" w:space="0" w:color="auto"/>
        <w:bottom w:val="none" w:sz="0" w:space="0" w:color="auto"/>
        <w:right w:val="none" w:sz="0" w:space="0" w:color="auto"/>
      </w:divBdr>
    </w:div>
    <w:div w:id="901989472">
      <w:bodyDiv w:val="1"/>
      <w:marLeft w:val="0"/>
      <w:marRight w:val="0"/>
      <w:marTop w:val="0"/>
      <w:marBottom w:val="0"/>
      <w:divBdr>
        <w:top w:val="none" w:sz="0" w:space="0" w:color="auto"/>
        <w:left w:val="none" w:sz="0" w:space="0" w:color="auto"/>
        <w:bottom w:val="none" w:sz="0" w:space="0" w:color="auto"/>
        <w:right w:val="none" w:sz="0" w:space="0" w:color="auto"/>
      </w:divBdr>
    </w:div>
    <w:div w:id="907108409">
      <w:bodyDiv w:val="1"/>
      <w:marLeft w:val="0"/>
      <w:marRight w:val="0"/>
      <w:marTop w:val="0"/>
      <w:marBottom w:val="0"/>
      <w:divBdr>
        <w:top w:val="none" w:sz="0" w:space="0" w:color="auto"/>
        <w:left w:val="none" w:sz="0" w:space="0" w:color="auto"/>
        <w:bottom w:val="none" w:sz="0" w:space="0" w:color="auto"/>
        <w:right w:val="none" w:sz="0" w:space="0" w:color="auto"/>
      </w:divBdr>
    </w:div>
    <w:div w:id="907497646">
      <w:bodyDiv w:val="1"/>
      <w:marLeft w:val="0"/>
      <w:marRight w:val="0"/>
      <w:marTop w:val="0"/>
      <w:marBottom w:val="0"/>
      <w:divBdr>
        <w:top w:val="none" w:sz="0" w:space="0" w:color="auto"/>
        <w:left w:val="none" w:sz="0" w:space="0" w:color="auto"/>
        <w:bottom w:val="none" w:sz="0" w:space="0" w:color="auto"/>
        <w:right w:val="none" w:sz="0" w:space="0" w:color="auto"/>
      </w:divBdr>
    </w:div>
    <w:div w:id="918751461">
      <w:bodyDiv w:val="1"/>
      <w:marLeft w:val="0"/>
      <w:marRight w:val="0"/>
      <w:marTop w:val="0"/>
      <w:marBottom w:val="0"/>
      <w:divBdr>
        <w:top w:val="none" w:sz="0" w:space="0" w:color="auto"/>
        <w:left w:val="none" w:sz="0" w:space="0" w:color="auto"/>
        <w:bottom w:val="none" w:sz="0" w:space="0" w:color="auto"/>
        <w:right w:val="none" w:sz="0" w:space="0" w:color="auto"/>
      </w:divBdr>
    </w:div>
    <w:div w:id="922757736">
      <w:bodyDiv w:val="1"/>
      <w:marLeft w:val="0"/>
      <w:marRight w:val="0"/>
      <w:marTop w:val="0"/>
      <w:marBottom w:val="0"/>
      <w:divBdr>
        <w:top w:val="none" w:sz="0" w:space="0" w:color="auto"/>
        <w:left w:val="none" w:sz="0" w:space="0" w:color="auto"/>
        <w:bottom w:val="none" w:sz="0" w:space="0" w:color="auto"/>
        <w:right w:val="none" w:sz="0" w:space="0" w:color="auto"/>
      </w:divBdr>
    </w:div>
    <w:div w:id="934093363">
      <w:bodyDiv w:val="1"/>
      <w:marLeft w:val="0"/>
      <w:marRight w:val="0"/>
      <w:marTop w:val="0"/>
      <w:marBottom w:val="0"/>
      <w:divBdr>
        <w:top w:val="none" w:sz="0" w:space="0" w:color="auto"/>
        <w:left w:val="none" w:sz="0" w:space="0" w:color="auto"/>
        <w:bottom w:val="none" w:sz="0" w:space="0" w:color="auto"/>
        <w:right w:val="none" w:sz="0" w:space="0" w:color="auto"/>
      </w:divBdr>
    </w:div>
    <w:div w:id="939681004">
      <w:bodyDiv w:val="1"/>
      <w:marLeft w:val="0"/>
      <w:marRight w:val="0"/>
      <w:marTop w:val="0"/>
      <w:marBottom w:val="0"/>
      <w:divBdr>
        <w:top w:val="none" w:sz="0" w:space="0" w:color="auto"/>
        <w:left w:val="none" w:sz="0" w:space="0" w:color="auto"/>
        <w:bottom w:val="none" w:sz="0" w:space="0" w:color="auto"/>
        <w:right w:val="none" w:sz="0" w:space="0" w:color="auto"/>
      </w:divBdr>
      <w:divsChild>
        <w:div w:id="1627392869">
          <w:marLeft w:val="0"/>
          <w:marRight w:val="0"/>
          <w:marTop w:val="450"/>
          <w:marBottom w:val="1350"/>
          <w:divBdr>
            <w:top w:val="none" w:sz="0" w:space="0" w:color="auto"/>
            <w:left w:val="none" w:sz="0" w:space="0" w:color="auto"/>
            <w:bottom w:val="none" w:sz="0" w:space="0" w:color="auto"/>
            <w:right w:val="none" w:sz="0" w:space="0" w:color="auto"/>
          </w:divBdr>
          <w:divsChild>
            <w:div w:id="451020783">
              <w:marLeft w:val="0"/>
              <w:marRight w:val="0"/>
              <w:marTop w:val="0"/>
              <w:marBottom w:val="0"/>
              <w:divBdr>
                <w:top w:val="none" w:sz="0" w:space="0" w:color="auto"/>
                <w:left w:val="none" w:sz="0" w:space="0" w:color="auto"/>
                <w:bottom w:val="none" w:sz="0" w:space="0" w:color="auto"/>
                <w:right w:val="none" w:sz="0" w:space="0" w:color="auto"/>
              </w:divBdr>
              <w:divsChild>
                <w:div w:id="17189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7661">
      <w:bodyDiv w:val="1"/>
      <w:marLeft w:val="0"/>
      <w:marRight w:val="0"/>
      <w:marTop w:val="0"/>
      <w:marBottom w:val="0"/>
      <w:divBdr>
        <w:top w:val="none" w:sz="0" w:space="0" w:color="auto"/>
        <w:left w:val="none" w:sz="0" w:space="0" w:color="auto"/>
        <w:bottom w:val="none" w:sz="0" w:space="0" w:color="auto"/>
        <w:right w:val="none" w:sz="0" w:space="0" w:color="auto"/>
      </w:divBdr>
    </w:div>
    <w:div w:id="942225546">
      <w:bodyDiv w:val="1"/>
      <w:marLeft w:val="0"/>
      <w:marRight w:val="0"/>
      <w:marTop w:val="0"/>
      <w:marBottom w:val="0"/>
      <w:divBdr>
        <w:top w:val="none" w:sz="0" w:space="0" w:color="auto"/>
        <w:left w:val="none" w:sz="0" w:space="0" w:color="auto"/>
        <w:bottom w:val="none" w:sz="0" w:space="0" w:color="auto"/>
        <w:right w:val="none" w:sz="0" w:space="0" w:color="auto"/>
      </w:divBdr>
    </w:div>
    <w:div w:id="948315709">
      <w:bodyDiv w:val="1"/>
      <w:marLeft w:val="0"/>
      <w:marRight w:val="0"/>
      <w:marTop w:val="0"/>
      <w:marBottom w:val="0"/>
      <w:divBdr>
        <w:top w:val="none" w:sz="0" w:space="0" w:color="auto"/>
        <w:left w:val="none" w:sz="0" w:space="0" w:color="auto"/>
        <w:bottom w:val="none" w:sz="0" w:space="0" w:color="auto"/>
        <w:right w:val="none" w:sz="0" w:space="0" w:color="auto"/>
      </w:divBdr>
    </w:div>
    <w:div w:id="948467982">
      <w:bodyDiv w:val="1"/>
      <w:marLeft w:val="0"/>
      <w:marRight w:val="0"/>
      <w:marTop w:val="0"/>
      <w:marBottom w:val="0"/>
      <w:divBdr>
        <w:top w:val="none" w:sz="0" w:space="0" w:color="auto"/>
        <w:left w:val="none" w:sz="0" w:space="0" w:color="auto"/>
        <w:bottom w:val="none" w:sz="0" w:space="0" w:color="auto"/>
        <w:right w:val="none" w:sz="0" w:space="0" w:color="auto"/>
      </w:divBdr>
    </w:div>
    <w:div w:id="954407493">
      <w:bodyDiv w:val="1"/>
      <w:marLeft w:val="0"/>
      <w:marRight w:val="0"/>
      <w:marTop w:val="0"/>
      <w:marBottom w:val="0"/>
      <w:divBdr>
        <w:top w:val="none" w:sz="0" w:space="0" w:color="auto"/>
        <w:left w:val="none" w:sz="0" w:space="0" w:color="auto"/>
        <w:bottom w:val="none" w:sz="0" w:space="0" w:color="auto"/>
        <w:right w:val="none" w:sz="0" w:space="0" w:color="auto"/>
      </w:divBdr>
    </w:div>
    <w:div w:id="954942473">
      <w:bodyDiv w:val="1"/>
      <w:marLeft w:val="0"/>
      <w:marRight w:val="0"/>
      <w:marTop w:val="0"/>
      <w:marBottom w:val="0"/>
      <w:divBdr>
        <w:top w:val="none" w:sz="0" w:space="0" w:color="auto"/>
        <w:left w:val="none" w:sz="0" w:space="0" w:color="auto"/>
        <w:bottom w:val="none" w:sz="0" w:space="0" w:color="auto"/>
        <w:right w:val="none" w:sz="0" w:space="0" w:color="auto"/>
      </w:divBdr>
    </w:div>
    <w:div w:id="958295272">
      <w:bodyDiv w:val="1"/>
      <w:marLeft w:val="0"/>
      <w:marRight w:val="0"/>
      <w:marTop w:val="0"/>
      <w:marBottom w:val="0"/>
      <w:divBdr>
        <w:top w:val="none" w:sz="0" w:space="0" w:color="auto"/>
        <w:left w:val="none" w:sz="0" w:space="0" w:color="auto"/>
        <w:bottom w:val="none" w:sz="0" w:space="0" w:color="auto"/>
        <w:right w:val="none" w:sz="0" w:space="0" w:color="auto"/>
      </w:divBdr>
    </w:div>
    <w:div w:id="958536629">
      <w:bodyDiv w:val="1"/>
      <w:marLeft w:val="0"/>
      <w:marRight w:val="0"/>
      <w:marTop w:val="0"/>
      <w:marBottom w:val="0"/>
      <w:divBdr>
        <w:top w:val="none" w:sz="0" w:space="0" w:color="auto"/>
        <w:left w:val="none" w:sz="0" w:space="0" w:color="auto"/>
        <w:bottom w:val="none" w:sz="0" w:space="0" w:color="auto"/>
        <w:right w:val="none" w:sz="0" w:space="0" w:color="auto"/>
      </w:divBdr>
    </w:div>
    <w:div w:id="970331246">
      <w:bodyDiv w:val="1"/>
      <w:marLeft w:val="0"/>
      <w:marRight w:val="0"/>
      <w:marTop w:val="0"/>
      <w:marBottom w:val="0"/>
      <w:divBdr>
        <w:top w:val="none" w:sz="0" w:space="0" w:color="auto"/>
        <w:left w:val="none" w:sz="0" w:space="0" w:color="auto"/>
        <w:bottom w:val="none" w:sz="0" w:space="0" w:color="auto"/>
        <w:right w:val="none" w:sz="0" w:space="0" w:color="auto"/>
      </w:divBdr>
    </w:div>
    <w:div w:id="973802170">
      <w:bodyDiv w:val="1"/>
      <w:marLeft w:val="0"/>
      <w:marRight w:val="0"/>
      <w:marTop w:val="0"/>
      <w:marBottom w:val="0"/>
      <w:divBdr>
        <w:top w:val="none" w:sz="0" w:space="0" w:color="auto"/>
        <w:left w:val="none" w:sz="0" w:space="0" w:color="auto"/>
        <w:bottom w:val="none" w:sz="0" w:space="0" w:color="auto"/>
        <w:right w:val="none" w:sz="0" w:space="0" w:color="auto"/>
      </w:divBdr>
    </w:div>
    <w:div w:id="977227089">
      <w:bodyDiv w:val="1"/>
      <w:marLeft w:val="0"/>
      <w:marRight w:val="0"/>
      <w:marTop w:val="0"/>
      <w:marBottom w:val="0"/>
      <w:divBdr>
        <w:top w:val="none" w:sz="0" w:space="0" w:color="auto"/>
        <w:left w:val="none" w:sz="0" w:space="0" w:color="auto"/>
        <w:bottom w:val="none" w:sz="0" w:space="0" w:color="auto"/>
        <w:right w:val="none" w:sz="0" w:space="0" w:color="auto"/>
      </w:divBdr>
    </w:div>
    <w:div w:id="985548144">
      <w:bodyDiv w:val="1"/>
      <w:marLeft w:val="0"/>
      <w:marRight w:val="0"/>
      <w:marTop w:val="0"/>
      <w:marBottom w:val="0"/>
      <w:divBdr>
        <w:top w:val="none" w:sz="0" w:space="0" w:color="auto"/>
        <w:left w:val="none" w:sz="0" w:space="0" w:color="auto"/>
        <w:bottom w:val="none" w:sz="0" w:space="0" w:color="auto"/>
        <w:right w:val="none" w:sz="0" w:space="0" w:color="auto"/>
      </w:divBdr>
    </w:div>
    <w:div w:id="992874673">
      <w:bodyDiv w:val="1"/>
      <w:marLeft w:val="0"/>
      <w:marRight w:val="0"/>
      <w:marTop w:val="0"/>
      <w:marBottom w:val="0"/>
      <w:divBdr>
        <w:top w:val="none" w:sz="0" w:space="0" w:color="auto"/>
        <w:left w:val="none" w:sz="0" w:space="0" w:color="auto"/>
        <w:bottom w:val="none" w:sz="0" w:space="0" w:color="auto"/>
        <w:right w:val="none" w:sz="0" w:space="0" w:color="auto"/>
      </w:divBdr>
    </w:div>
    <w:div w:id="993223462">
      <w:bodyDiv w:val="1"/>
      <w:marLeft w:val="0"/>
      <w:marRight w:val="0"/>
      <w:marTop w:val="0"/>
      <w:marBottom w:val="0"/>
      <w:divBdr>
        <w:top w:val="none" w:sz="0" w:space="0" w:color="auto"/>
        <w:left w:val="none" w:sz="0" w:space="0" w:color="auto"/>
        <w:bottom w:val="none" w:sz="0" w:space="0" w:color="auto"/>
        <w:right w:val="none" w:sz="0" w:space="0" w:color="auto"/>
      </w:divBdr>
    </w:div>
    <w:div w:id="995261990">
      <w:bodyDiv w:val="1"/>
      <w:marLeft w:val="0"/>
      <w:marRight w:val="0"/>
      <w:marTop w:val="0"/>
      <w:marBottom w:val="0"/>
      <w:divBdr>
        <w:top w:val="none" w:sz="0" w:space="0" w:color="auto"/>
        <w:left w:val="none" w:sz="0" w:space="0" w:color="auto"/>
        <w:bottom w:val="none" w:sz="0" w:space="0" w:color="auto"/>
        <w:right w:val="none" w:sz="0" w:space="0" w:color="auto"/>
      </w:divBdr>
    </w:div>
    <w:div w:id="996693607">
      <w:bodyDiv w:val="1"/>
      <w:marLeft w:val="0"/>
      <w:marRight w:val="0"/>
      <w:marTop w:val="0"/>
      <w:marBottom w:val="0"/>
      <w:divBdr>
        <w:top w:val="none" w:sz="0" w:space="0" w:color="auto"/>
        <w:left w:val="none" w:sz="0" w:space="0" w:color="auto"/>
        <w:bottom w:val="none" w:sz="0" w:space="0" w:color="auto"/>
        <w:right w:val="none" w:sz="0" w:space="0" w:color="auto"/>
      </w:divBdr>
    </w:div>
    <w:div w:id="997004944">
      <w:bodyDiv w:val="1"/>
      <w:marLeft w:val="0"/>
      <w:marRight w:val="0"/>
      <w:marTop w:val="0"/>
      <w:marBottom w:val="0"/>
      <w:divBdr>
        <w:top w:val="none" w:sz="0" w:space="0" w:color="auto"/>
        <w:left w:val="none" w:sz="0" w:space="0" w:color="auto"/>
        <w:bottom w:val="none" w:sz="0" w:space="0" w:color="auto"/>
        <w:right w:val="none" w:sz="0" w:space="0" w:color="auto"/>
      </w:divBdr>
      <w:divsChild>
        <w:div w:id="1045375507">
          <w:marLeft w:val="0"/>
          <w:marRight w:val="0"/>
          <w:marTop w:val="0"/>
          <w:marBottom w:val="0"/>
          <w:divBdr>
            <w:top w:val="none" w:sz="0" w:space="0" w:color="auto"/>
            <w:left w:val="none" w:sz="0" w:space="0" w:color="auto"/>
            <w:bottom w:val="none" w:sz="0" w:space="0" w:color="auto"/>
            <w:right w:val="none" w:sz="0" w:space="0" w:color="auto"/>
          </w:divBdr>
          <w:divsChild>
            <w:div w:id="8458613">
              <w:marLeft w:val="0"/>
              <w:marRight w:val="0"/>
              <w:marTop w:val="0"/>
              <w:marBottom w:val="0"/>
              <w:divBdr>
                <w:top w:val="none" w:sz="0" w:space="0" w:color="auto"/>
                <w:left w:val="none" w:sz="0" w:space="0" w:color="auto"/>
                <w:bottom w:val="none" w:sz="0" w:space="0" w:color="auto"/>
                <w:right w:val="none" w:sz="0" w:space="0" w:color="auto"/>
              </w:divBdr>
              <w:divsChild>
                <w:div w:id="11130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6877">
      <w:bodyDiv w:val="1"/>
      <w:marLeft w:val="0"/>
      <w:marRight w:val="0"/>
      <w:marTop w:val="0"/>
      <w:marBottom w:val="0"/>
      <w:divBdr>
        <w:top w:val="none" w:sz="0" w:space="0" w:color="auto"/>
        <w:left w:val="none" w:sz="0" w:space="0" w:color="auto"/>
        <w:bottom w:val="none" w:sz="0" w:space="0" w:color="auto"/>
        <w:right w:val="none" w:sz="0" w:space="0" w:color="auto"/>
      </w:divBdr>
    </w:div>
    <w:div w:id="999697116">
      <w:bodyDiv w:val="1"/>
      <w:marLeft w:val="0"/>
      <w:marRight w:val="0"/>
      <w:marTop w:val="0"/>
      <w:marBottom w:val="0"/>
      <w:divBdr>
        <w:top w:val="none" w:sz="0" w:space="0" w:color="auto"/>
        <w:left w:val="none" w:sz="0" w:space="0" w:color="auto"/>
        <w:bottom w:val="none" w:sz="0" w:space="0" w:color="auto"/>
        <w:right w:val="none" w:sz="0" w:space="0" w:color="auto"/>
      </w:divBdr>
    </w:div>
    <w:div w:id="1000740100">
      <w:bodyDiv w:val="1"/>
      <w:marLeft w:val="0"/>
      <w:marRight w:val="0"/>
      <w:marTop w:val="0"/>
      <w:marBottom w:val="0"/>
      <w:divBdr>
        <w:top w:val="none" w:sz="0" w:space="0" w:color="auto"/>
        <w:left w:val="none" w:sz="0" w:space="0" w:color="auto"/>
        <w:bottom w:val="none" w:sz="0" w:space="0" w:color="auto"/>
        <w:right w:val="none" w:sz="0" w:space="0" w:color="auto"/>
      </w:divBdr>
    </w:div>
    <w:div w:id="1003556836">
      <w:bodyDiv w:val="1"/>
      <w:marLeft w:val="0"/>
      <w:marRight w:val="0"/>
      <w:marTop w:val="0"/>
      <w:marBottom w:val="0"/>
      <w:divBdr>
        <w:top w:val="none" w:sz="0" w:space="0" w:color="auto"/>
        <w:left w:val="none" w:sz="0" w:space="0" w:color="auto"/>
        <w:bottom w:val="none" w:sz="0" w:space="0" w:color="auto"/>
        <w:right w:val="none" w:sz="0" w:space="0" w:color="auto"/>
      </w:divBdr>
    </w:div>
    <w:div w:id="1007292988">
      <w:bodyDiv w:val="1"/>
      <w:marLeft w:val="0"/>
      <w:marRight w:val="0"/>
      <w:marTop w:val="0"/>
      <w:marBottom w:val="0"/>
      <w:divBdr>
        <w:top w:val="none" w:sz="0" w:space="0" w:color="auto"/>
        <w:left w:val="none" w:sz="0" w:space="0" w:color="auto"/>
        <w:bottom w:val="none" w:sz="0" w:space="0" w:color="auto"/>
        <w:right w:val="none" w:sz="0" w:space="0" w:color="auto"/>
      </w:divBdr>
      <w:divsChild>
        <w:div w:id="1184201671">
          <w:marLeft w:val="0"/>
          <w:marRight w:val="0"/>
          <w:marTop w:val="0"/>
          <w:marBottom w:val="0"/>
          <w:divBdr>
            <w:top w:val="none" w:sz="0" w:space="0" w:color="auto"/>
            <w:left w:val="none" w:sz="0" w:space="0" w:color="auto"/>
            <w:bottom w:val="none" w:sz="0" w:space="0" w:color="auto"/>
            <w:right w:val="none" w:sz="0" w:space="0" w:color="auto"/>
          </w:divBdr>
          <w:divsChild>
            <w:div w:id="1443954947">
              <w:marLeft w:val="0"/>
              <w:marRight w:val="0"/>
              <w:marTop w:val="0"/>
              <w:marBottom w:val="0"/>
              <w:divBdr>
                <w:top w:val="none" w:sz="0" w:space="0" w:color="auto"/>
                <w:left w:val="none" w:sz="0" w:space="0" w:color="auto"/>
                <w:bottom w:val="none" w:sz="0" w:space="0" w:color="auto"/>
                <w:right w:val="none" w:sz="0" w:space="0" w:color="auto"/>
              </w:divBdr>
              <w:divsChild>
                <w:div w:id="206307687">
                  <w:marLeft w:val="0"/>
                  <w:marRight w:val="0"/>
                  <w:marTop w:val="0"/>
                  <w:marBottom w:val="0"/>
                  <w:divBdr>
                    <w:top w:val="none" w:sz="0" w:space="0" w:color="auto"/>
                    <w:left w:val="none" w:sz="0" w:space="0" w:color="auto"/>
                    <w:bottom w:val="none" w:sz="0" w:space="0" w:color="auto"/>
                    <w:right w:val="none" w:sz="0" w:space="0" w:color="auto"/>
                  </w:divBdr>
                  <w:divsChild>
                    <w:div w:id="6706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8951">
      <w:bodyDiv w:val="1"/>
      <w:marLeft w:val="0"/>
      <w:marRight w:val="0"/>
      <w:marTop w:val="0"/>
      <w:marBottom w:val="0"/>
      <w:divBdr>
        <w:top w:val="none" w:sz="0" w:space="0" w:color="auto"/>
        <w:left w:val="none" w:sz="0" w:space="0" w:color="auto"/>
        <w:bottom w:val="none" w:sz="0" w:space="0" w:color="auto"/>
        <w:right w:val="none" w:sz="0" w:space="0" w:color="auto"/>
      </w:divBdr>
    </w:div>
    <w:div w:id="1033264770">
      <w:bodyDiv w:val="1"/>
      <w:marLeft w:val="0"/>
      <w:marRight w:val="0"/>
      <w:marTop w:val="0"/>
      <w:marBottom w:val="0"/>
      <w:divBdr>
        <w:top w:val="none" w:sz="0" w:space="0" w:color="auto"/>
        <w:left w:val="none" w:sz="0" w:space="0" w:color="auto"/>
        <w:bottom w:val="none" w:sz="0" w:space="0" w:color="auto"/>
        <w:right w:val="none" w:sz="0" w:space="0" w:color="auto"/>
      </w:divBdr>
    </w:div>
    <w:div w:id="1033530866">
      <w:bodyDiv w:val="1"/>
      <w:marLeft w:val="0"/>
      <w:marRight w:val="0"/>
      <w:marTop w:val="0"/>
      <w:marBottom w:val="0"/>
      <w:divBdr>
        <w:top w:val="none" w:sz="0" w:space="0" w:color="auto"/>
        <w:left w:val="none" w:sz="0" w:space="0" w:color="auto"/>
        <w:bottom w:val="none" w:sz="0" w:space="0" w:color="auto"/>
        <w:right w:val="none" w:sz="0" w:space="0" w:color="auto"/>
      </w:divBdr>
    </w:div>
    <w:div w:id="1035495785">
      <w:bodyDiv w:val="1"/>
      <w:marLeft w:val="0"/>
      <w:marRight w:val="0"/>
      <w:marTop w:val="0"/>
      <w:marBottom w:val="0"/>
      <w:divBdr>
        <w:top w:val="none" w:sz="0" w:space="0" w:color="auto"/>
        <w:left w:val="none" w:sz="0" w:space="0" w:color="auto"/>
        <w:bottom w:val="none" w:sz="0" w:space="0" w:color="auto"/>
        <w:right w:val="none" w:sz="0" w:space="0" w:color="auto"/>
      </w:divBdr>
    </w:div>
    <w:div w:id="1035740773">
      <w:bodyDiv w:val="1"/>
      <w:marLeft w:val="0"/>
      <w:marRight w:val="0"/>
      <w:marTop w:val="0"/>
      <w:marBottom w:val="0"/>
      <w:divBdr>
        <w:top w:val="none" w:sz="0" w:space="0" w:color="auto"/>
        <w:left w:val="none" w:sz="0" w:space="0" w:color="auto"/>
        <w:bottom w:val="none" w:sz="0" w:space="0" w:color="auto"/>
        <w:right w:val="none" w:sz="0" w:space="0" w:color="auto"/>
      </w:divBdr>
    </w:div>
    <w:div w:id="1037895840">
      <w:bodyDiv w:val="1"/>
      <w:marLeft w:val="0"/>
      <w:marRight w:val="0"/>
      <w:marTop w:val="0"/>
      <w:marBottom w:val="0"/>
      <w:divBdr>
        <w:top w:val="none" w:sz="0" w:space="0" w:color="auto"/>
        <w:left w:val="none" w:sz="0" w:space="0" w:color="auto"/>
        <w:bottom w:val="none" w:sz="0" w:space="0" w:color="auto"/>
        <w:right w:val="none" w:sz="0" w:space="0" w:color="auto"/>
      </w:divBdr>
    </w:div>
    <w:div w:id="1045519784">
      <w:bodyDiv w:val="1"/>
      <w:marLeft w:val="0"/>
      <w:marRight w:val="0"/>
      <w:marTop w:val="0"/>
      <w:marBottom w:val="0"/>
      <w:divBdr>
        <w:top w:val="none" w:sz="0" w:space="0" w:color="auto"/>
        <w:left w:val="none" w:sz="0" w:space="0" w:color="auto"/>
        <w:bottom w:val="none" w:sz="0" w:space="0" w:color="auto"/>
        <w:right w:val="none" w:sz="0" w:space="0" w:color="auto"/>
      </w:divBdr>
    </w:div>
    <w:div w:id="1047800345">
      <w:bodyDiv w:val="1"/>
      <w:marLeft w:val="0"/>
      <w:marRight w:val="0"/>
      <w:marTop w:val="0"/>
      <w:marBottom w:val="0"/>
      <w:divBdr>
        <w:top w:val="none" w:sz="0" w:space="0" w:color="auto"/>
        <w:left w:val="none" w:sz="0" w:space="0" w:color="auto"/>
        <w:bottom w:val="none" w:sz="0" w:space="0" w:color="auto"/>
        <w:right w:val="none" w:sz="0" w:space="0" w:color="auto"/>
      </w:divBdr>
    </w:div>
    <w:div w:id="1050150737">
      <w:bodyDiv w:val="1"/>
      <w:marLeft w:val="0"/>
      <w:marRight w:val="0"/>
      <w:marTop w:val="0"/>
      <w:marBottom w:val="0"/>
      <w:divBdr>
        <w:top w:val="none" w:sz="0" w:space="0" w:color="auto"/>
        <w:left w:val="none" w:sz="0" w:space="0" w:color="auto"/>
        <w:bottom w:val="none" w:sz="0" w:space="0" w:color="auto"/>
        <w:right w:val="none" w:sz="0" w:space="0" w:color="auto"/>
      </w:divBdr>
    </w:div>
    <w:div w:id="1053164103">
      <w:bodyDiv w:val="1"/>
      <w:marLeft w:val="0"/>
      <w:marRight w:val="0"/>
      <w:marTop w:val="0"/>
      <w:marBottom w:val="0"/>
      <w:divBdr>
        <w:top w:val="none" w:sz="0" w:space="0" w:color="auto"/>
        <w:left w:val="none" w:sz="0" w:space="0" w:color="auto"/>
        <w:bottom w:val="none" w:sz="0" w:space="0" w:color="auto"/>
        <w:right w:val="none" w:sz="0" w:space="0" w:color="auto"/>
      </w:divBdr>
    </w:div>
    <w:div w:id="1057242421">
      <w:bodyDiv w:val="1"/>
      <w:marLeft w:val="0"/>
      <w:marRight w:val="0"/>
      <w:marTop w:val="0"/>
      <w:marBottom w:val="0"/>
      <w:divBdr>
        <w:top w:val="none" w:sz="0" w:space="0" w:color="auto"/>
        <w:left w:val="none" w:sz="0" w:space="0" w:color="auto"/>
        <w:bottom w:val="none" w:sz="0" w:space="0" w:color="auto"/>
        <w:right w:val="none" w:sz="0" w:space="0" w:color="auto"/>
      </w:divBdr>
    </w:div>
    <w:div w:id="1065177456">
      <w:bodyDiv w:val="1"/>
      <w:marLeft w:val="0"/>
      <w:marRight w:val="0"/>
      <w:marTop w:val="0"/>
      <w:marBottom w:val="0"/>
      <w:divBdr>
        <w:top w:val="none" w:sz="0" w:space="0" w:color="auto"/>
        <w:left w:val="none" w:sz="0" w:space="0" w:color="auto"/>
        <w:bottom w:val="none" w:sz="0" w:space="0" w:color="auto"/>
        <w:right w:val="none" w:sz="0" w:space="0" w:color="auto"/>
      </w:divBdr>
    </w:div>
    <w:div w:id="1068385107">
      <w:bodyDiv w:val="1"/>
      <w:marLeft w:val="0"/>
      <w:marRight w:val="0"/>
      <w:marTop w:val="0"/>
      <w:marBottom w:val="0"/>
      <w:divBdr>
        <w:top w:val="none" w:sz="0" w:space="0" w:color="auto"/>
        <w:left w:val="none" w:sz="0" w:space="0" w:color="auto"/>
        <w:bottom w:val="none" w:sz="0" w:space="0" w:color="auto"/>
        <w:right w:val="none" w:sz="0" w:space="0" w:color="auto"/>
      </w:divBdr>
    </w:div>
    <w:div w:id="1068917237">
      <w:bodyDiv w:val="1"/>
      <w:marLeft w:val="0"/>
      <w:marRight w:val="0"/>
      <w:marTop w:val="0"/>
      <w:marBottom w:val="0"/>
      <w:divBdr>
        <w:top w:val="none" w:sz="0" w:space="0" w:color="auto"/>
        <w:left w:val="none" w:sz="0" w:space="0" w:color="auto"/>
        <w:bottom w:val="none" w:sz="0" w:space="0" w:color="auto"/>
        <w:right w:val="none" w:sz="0" w:space="0" w:color="auto"/>
      </w:divBdr>
    </w:div>
    <w:div w:id="1074357030">
      <w:bodyDiv w:val="1"/>
      <w:marLeft w:val="0"/>
      <w:marRight w:val="0"/>
      <w:marTop w:val="0"/>
      <w:marBottom w:val="0"/>
      <w:divBdr>
        <w:top w:val="none" w:sz="0" w:space="0" w:color="auto"/>
        <w:left w:val="none" w:sz="0" w:space="0" w:color="auto"/>
        <w:bottom w:val="none" w:sz="0" w:space="0" w:color="auto"/>
        <w:right w:val="none" w:sz="0" w:space="0" w:color="auto"/>
      </w:divBdr>
    </w:div>
    <w:div w:id="1092168757">
      <w:bodyDiv w:val="1"/>
      <w:marLeft w:val="0"/>
      <w:marRight w:val="0"/>
      <w:marTop w:val="0"/>
      <w:marBottom w:val="0"/>
      <w:divBdr>
        <w:top w:val="none" w:sz="0" w:space="0" w:color="auto"/>
        <w:left w:val="none" w:sz="0" w:space="0" w:color="auto"/>
        <w:bottom w:val="none" w:sz="0" w:space="0" w:color="auto"/>
        <w:right w:val="none" w:sz="0" w:space="0" w:color="auto"/>
      </w:divBdr>
    </w:div>
    <w:div w:id="1092355283">
      <w:bodyDiv w:val="1"/>
      <w:marLeft w:val="0"/>
      <w:marRight w:val="0"/>
      <w:marTop w:val="0"/>
      <w:marBottom w:val="0"/>
      <w:divBdr>
        <w:top w:val="none" w:sz="0" w:space="0" w:color="auto"/>
        <w:left w:val="none" w:sz="0" w:space="0" w:color="auto"/>
        <w:bottom w:val="none" w:sz="0" w:space="0" w:color="auto"/>
        <w:right w:val="none" w:sz="0" w:space="0" w:color="auto"/>
      </w:divBdr>
    </w:div>
    <w:div w:id="1099712725">
      <w:bodyDiv w:val="1"/>
      <w:marLeft w:val="0"/>
      <w:marRight w:val="0"/>
      <w:marTop w:val="0"/>
      <w:marBottom w:val="0"/>
      <w:divBdr>
        <w:top w:val="none" w:sz="0" w:space="0" w:color="auto"/>
        <w:left w:val="none" w:sz="0" w:space="0" w:color="auto"/>
        <w:bottom w:val="none" w:sz="0" w:space="0" w:color="auto"/>
        <w:right w:val="none" w:sz="0" w:space="0" w:color="auto"/>
      </w:divBdr>
    </w:div>
    <w:div w:id="1102723510">
      <w:bodyDiv w:val="1"/>
      <w:marLeft w:val="0"/>
      <w:marRight w:val="0"/>
      <w:marTop w:val="0"/>
      <w:marBottom w:val="0"/>
      <w:divBdr>
        <w:top w:val="none" w:sz="0" w:space="0" w:color="auto"/>
        <w:left w:val="none" w:sz="0" w:space="0" w:color="auto"/>
        <w:bottom w:val="none" w:sz="0" w:space="0" w:color="auto"/>
        <w:right w:val="none" w:sz="0" w:space="0" w:color="auto"/>
      </w:divBdr>
    </w:div>
    <w:div w:id="1105878725">
      <w:bodyDiv w:val="1"/>
      <w:marLeft w:val="0"/>
      <w:marRight w:val="0"/>
      <w:marTop w:val="0"/>
      <w:marBottom w:val="0"/>
      <w:divBdr>
        <w:top w:val="none" w:sz="0" w:space="0" w:color="auto"/>
        <w:left w:val="none" w:sz="0" w:space="0" w:color="auto"/>
        <w:bottom w:val="none" w:sz="0" w:space="0" w:color="auto"/>
        <w:right w:val="none" w:sz="0" w:space="0" w:color="auto"/>
      </w:divBdr>
    </w:div>
    <w:div w:id="1122460778">
      <w:bodyDiv w:val="1"/>
      <w:marLeft w:val="0"/>
      <w:marRight w:val="0"/>
      <w:marTop w:val="0"/>
      <w:marBottom w:val="0"/>
      <w:divBdr>
        <w:top w:val="none" w:sz="0" w:space="0" w:color="auto"/>
        <w:left w:val="none" w:sz="0" w:space="0" w:color="auto"/>
        <w:bottom w:val="none" w:sz="0" w:space="0" w:color="auto"/>
        <w:right w:val="none" w:sz="0" w:space="0" w:color="auto"/>
      </w:divBdr>
    </w:div>
    <w:div w:id="1123497550">
      <w:bodyDiv w:val="1"/>
      <w:marLeft w:val="0"/>
      <w:marRight w:val="0"/>
      <w:marTop w:val="0"/>
      <w:marBottom w:val="0"/>
      <w:divBdr>
        <w:top w:val="none" w:sz="0" w:space="0" w:color="auto"/>
        <w:left w:val="none" w:sz="0" w:space="0" w:color="auto"/>
        <w:bottom w:val="none" w:sz="0" w:space="0" w:color="auto"/>
        <w:right w:val="none" w:sz="0" w:space="0" w:color="auto"/>
      </w:divBdr>
    </w:div>
    <w:div w:id="1128013454">
      <w:bodyDiv w:val="1"/>
      <w:marLeft w:val="0"/>
      <w:marRight w:val="0"/>
      <w:marTop w:val="0"/>
      <w:marBottom w:val="0"/>
      <w:divBdr>
        <w:top w:val="none" w:sz="0" w:space="0" w:color="auto"/>
        <w:left w:val="none" w:sz="0" w:space="0" w:color="auto"/>
        <w:bottom w:val="none" w:sz="0" w:space="0" w:color="auto"/>
        <w:right w:val="none" w:sz="0" w:space="0" w:color="auto"/>
      </w:divBdr>
    </w:div>
    <w:div w:id="1129474460">
      <w:bodyDiv w:val="1"/>
      <w:marLeft w:val="0"/>
      <w:marRight w:val="0"/>
      <w:marTop w:val="0"/>
      <w:marBottom w:val="0"/>
      <w:divBdr>
        <w:top w:val="none" w:sz="0" w:space="0" w:color="auto"/>
        <w:left w:val="none" w:sz="0" w:space="0" w:color="auto"/>
        <w:bottom w:val="none" w:sz="0" w:space="0" w:color="auto"/>
        <w:right w:val="none" w:sz="0" w:space="0" w:color="auto"/>
      </w:divBdr>
    </w:div>
    <w:div w:id="1135215072">
      <w:bodyDiv w:val="1"/>
      <w:marLeft w:val="0"/>
      <w:marRight w:val="0"/>
      <w:marTop w:val="0"/>
      <w:marBottom w:val="0"/>
      <w:divBdr>
        <w:top w:val="none" w:sz="0" w:space="0" w:color="auto"/>
        <w:left w:val="none" w:sz="0" w:space="0" w:color="auto"/>
        <w:bottom w:val="none" w:sz="0" w:space="0" w:color="auto"/>
        <w:right w:val="none" w:sz="0" w:space="0" w:color="auto"/>
      </w:divBdr>
    </w:div>
    <w:div w:id="1137140215">
      <w:bodyDiv w:val="1"/>
      <w:marLeft w:val="0"/>
      <w:marRight w:val="0"/>
      <w:marTop w:val="0"/>
      <w:marBottom w:val="0"/>
      <w:divBdr>
        <w:top w:val="none" w:sz="0" w:space="0" w:color="auto"/>
        <w:left w:val="none" w:sz="0" w:space="0" w:color="auto"/>
        <w:bottom w:val="none" w:sz="0" w:space="0" w:color="auto"/>
        <w:right w:val="none" w:sz="0" w:space="0" w:color="auto"/>
      </w:divBdr>
    </w:div>
    <w:div w:id="1144395023">
      <w:bodyDiv w:val="1"/>
      <w:marLeft w:val="0"/>
      <w:marRight w:val="0"/>
      <w:marTop w:val="0"/>
      <w:marBottom w:val="0"/>
      <w:divBdr>
        <w:top w:val="none" w:sz="0" w:space="0" w:color="auto"/>
        <w:left w:val="none" w:sz="0" w:space="0" w:color="auto"/>
        <w:bottom w:val="none" w:sz="0" w:space="0" w:color="auto"/>
        <w:right w:val="none" w:sz="0" w:space="0" w:color="auto"/>
      </w:divBdr>
    </w:div>
    <w:div w:id="1147942674">
      <w:bodyDiv w:val="1"/>
      <w:marLeft w:val="0"/>
      <w:marRight w:val="0"/>
      <w:marTop w:val="0"/>
      <w:marBottom w:val="0"/>
      <w:divBdr>
        <w:top w:val="none" w:sz="0" w:space="0" w:color="auto"/>
        <w:left w:val="none" w:sz="0" w:space="0" w:color="auto"/>
        <w:bottom w:val="none" w:sz="0" w:space="0" w:color="auto"/>
        <w:right w:val="none" w:sz="0" w:space="0" w:color="auto"/>
      </w:divBdr>
    </w:div>
    <w:div w:id="1151557477">
      <w:bodyDiv w:val="1"/>
      <w:marLeft w:val="0"/>
      <w:marRight w:val="0"/>
      <w:marTop w:val="0"/>
      <w:marBottom w:val="0"/>
      <w:divBdr>
        <w:top w:val="none" w:sz="0" w:space="0" w:color="auto"/>
        <w:left w:val="none" w:sz="0" w:space="0" w:color="auto"/>
        <w:bottom w:val="none" w:sz="0" w:space="0" w:color="auto"/>
        <w:right w:val="none" w:sz="0" w:space="0" w:color="auto"/>
      </w:divBdr>
    </w:div>
    <w:div w:id="1155225923">
      <w:bodyDiv w:val="1"/>
      <w:marLeft w:val="0"/>
      <w:marRight w:val="0"/>
      <w:marTop w:val="0"/>
      <w:marBottom w:val="0"/>
      <w:divBdr>
        <w:top w:val="none" w:sz="0" w:space="0" w:color="auto"/>
        <w:left w:val="none" w:sz="0" w:space="0" w:color="auto"/>
        <w:bottom w:val="none" w:sz="0" w:space="0" w:color="auto"/>
        <w:right w:val="none" w:sz="0" w:space="0" w:color="auto"/>
      </w:divBdr>
    </w:div>
    <w:div w:id="1161852236">
      <w:bodyDiv w:val="1"/>
      <w:marLeft w:val="0"/>
      <w:marRight w:val="0"/>
      <w:marTop w:val="0"/>
      <w:marBottom w:val="0"/>
      <w:divBdr>
        <w:top w:val="none" w:sz="0" w:space="0" w:color="auto"/>
        <w:left w:val="none" w:sz="0" w:space="0" w:color="auto"/>
        <w:bottom w:val="none" w:sz="0" w:space="0" w:color="auto"/>
        <w:right w:val="none" w:sz="0" w:space="0" w:color="auto"/>
      </w:divBdr>
    </w:div>
    <w:div w:id="1166894736">
      <w:bodyDiv w:val="1"/>
      <w:marLeft w:val="0"/>
      <w:marRight w:val="0"/>
      <w:marTop w:val="0"/>
      <w:marBottom w:val="0"/>
      <w:divBdr>
        <w:top w:val="none" w:sz="0" w:space="0" w:color="auto"/>
        <w:left w:val="none" w:sz="0" w:space="0" w:color="auto"/>
        <w:bottom w:val="none" w:sz="0" w:space="0" w:color="auto"/>
        <w:right w:val="none" w:sz="0" w:space="0" w:color="auto"/>
      </w:divBdr>
    </w:div>
    <w:div w:id="1173186299">
      <w:bodyDiv w:val="1"/>
      <w:marLeft w:val="0"/>
      <w:marRight w:val="0"/>
      <w:marTop w:val="0"/>
      <w:marBottom w:val="0"/>
      <w:divBdr>
        <w:top w:val="none" w:sz="0" w:space="0" w:color="auto"/>
        <w:left w:val="none" w:sz="0" w:space="0" w:color="auto"/>
        <w:bottom w:val="none" w:sz="0" w:space="0" w:color="auto"/>
        <w:right w:val="none" w:sz="0" w:space="0" w:color="auto"/>
      </w:divBdr>
    </w:div>
    <w:div w:id="1174147522">
      <w:bodyDiv w:val="1"/>
      <w:marLeft w:val="0"/>
      <w:marRight w:val="0"/>
      <w:marTop w:val="0"/>
      <w:marBottom w:val="0"/>
      <w:divBdr>
        <w:top w:val="none" w:sz="0" w:space="0" w:color="auto"/>
        <w:left w:val="none" w:sz="0" w:space="0" w:color="auto"/>
        <w:bottom w:val="none" w:sz="0" w:space="0" w:color="auto"/>
        <w:right w:val="none" w:sz="0" w:space="0" w:color="auto"/>
      </w:divBdr>
    </w:div>
    <w:div w:id="1174148747">
      <w:bodyDiv w:val="1"/>
      <w:marLeft w:val="0"/>
      <w:marRight w:val="0"/>
      <w:marTop w:val="0"/>
      <w:marBottom w:val="0"/>
      <w:divBdr>
        <w:top w:val="none" w:sz="0" w:space="0" w:color="auto"/>
        <w:left w:val="none" w:sz="0" w:space="0" w:color="auto"/>
        <w:bottom w:val="none" w:sz="0" w:space="0" w:color="auto"/>
        <w:right w:val="none" w:sz="0" w:space="0" w:color="auto"/>
      </w:divBdr>
    </w:div>
    <w:div w:id="1175145715">
      <w:bodyDiv w:val="1"/>
      <w:marLeft w:val="0"/>
      <w:marRight w:val="0"/>
      <w:marTop w:val="0"/>
      <w:marBottom w:val="0"/>
      <w:divBdr>
        <w:top w:val="none" w:sz="0" w:space="0" w:color="auto"/>
        <w:left w:val="none" w:sz="0" w:space="0" w:color="auto"/>
        <w:bottom w:val="none" w:sz="0" w:space="0" w:color="auto"/>
        <w:right w:val="none" w:sz="0" w:space="0" w:color="auto"/>
      </w:divBdr>
    </w:div>
    <w:div w:id="1176266049">
      <w:bodyDiv w:val="1"/>
      <w:marLeft w:val="0"/>
      <w:marRight w:val="0"/>
      <w:marTop w:val="0"/>
      <w:marBottom w:val="0"/>
      <w:divBdr>
        <w:top w:val="none" w:sz="0" w:space="0" w:color="auto"/>
        <w:left w:val="none" w:sz="0" w:space="0" w:color="auto"/>
        <w:bottom w:val="none" w:sz="0" w:space="0" w:color="auto"/>
        <w:right w:val="none" w:sz="0" w:space="0" w:color="auto"/>
      </w:divBdr>
    </w:div>
    <w:div w:id="1178739146">
      <w:bodyDiv w:val="1"/>
      <w:marLeft w:val="0"/>
      <w:marRight w:val="0"/>
      <w:marTop w:val="0"/>
      <w:marBottom w:val="0"/>
      <w:divBdr>
        <w:top w:val="none" w:sz="0" w:space="0" w:color="auto"/>
        <w:left w:val="none" w:sz="0" w:space="0" w:color="auto"/>
        <w:bottom w:val="none" w:sz="0" w:space="0" w:color="auto"/>
        <w:right w:val="none" w:sz="0" w:space="0" w:color="auto"/>
      </w:divBdr>
    </w:div>
    <w:div w:id="1183858326">
      <w:bodyDiv w:val="1"/>
      <w:marLeft w:val="0"/>
      <w:marRight w:val="0"/>
      <w:marTop w:val="0"/>
      <w:marBottom w:val="0"/>
      <w:divBdr>
        <w:top w:val="none" w:sz="0" w:space="0" w:color="auto"/>
        <w:left w:val="none" w:sz="0" w:space="0" w:color="auto"/>
        <w:bottom w:val="none" w:sz="0" w:space="0" w:color="auto"/>
        <w:right w:val="none" w:sz="0" w:space="0" w:color="auto"/>
      </w:divBdr>
    </w:div>
    <w:div w:id="1185510283">
      <w:bodyDiv w:val="1"/>
      <w:marLeft w:val="0"/>
      <w:marRight w:val="0"/>
      <w:marTop w:val="0"/>
      <w:marBottom w:val="0"/>
      <w:divBdr>
        <w:top w:val="none" w:sz="0" w:space="0" w:color="auto"/>
        <w:left w:val="none" w:sz="0" w:space="0" w:color="auto"/>
        <w:bottom w:val="none" w:sz="0" w:space="0" w:color="auto"/>
        <w:right w:val="none" w:sz="0" w:space="0" w:color="auto"/>
      </w:divBdr>
    </w:div>
    <w:div w:id="1187257005">
      <w:bodyDiv w:val="1"/>
      <w:marLeft w:val="0"/>
      <w:marRight w:val="0"/>
      <w:marTop w:val="0"/>
      <w:marBottom w:val="0"/>
      <w:divBdr>
        <w:top w:val="none" w:sz="0" w:space="0" w:color="auto"/>
        <w:left w:val="none" w:sz="0" w:space="0" w:color="auto"/>
        <w:bottom w:val="none" w:sz="0" w:space="0" w:color="auto"/>
        <w:right w:val="none" w:sz="0" w:space="0" w:color="auto"/>
      </w:divBdr>
    </w:div>
    <w:div w:id="1188324937">
      <w:bodyDiv w:val="1"/>
      <w:marLeft w:val="0"/>
      <w:marRight w:val="0"/>
      <w:marTop w:val="0"/>
      <w:marBottom w:val="0"/>
      <w:divBdr>
        <w:top w:val="none" w:sz="0" w:space="0" w:color="auto"/>
        <w:left w:val="none" w:sz="0" w:space="0" w:color="auto"/>
        <w:bottom w:val="none" w:sz="0" w:space="0" w:color="auto"/>
        <w:right w:val="none" w:sz="0" w:space="0" w:color="auto"/>
      </w:divBdr>
    </w:div>
    <w:div w:id="1190530560">
      <w:bodyDiv w:val="1"/>
      <w:marLeft w:val="0"/>
      <w:marRight w:val="0"/>
      <w:marTop w:val="0"/>
      <w:marBottom w:val="0"/>
      <w:divBdr>
        <w:top w:val="none" w:sz="0" w:space="0" w:color="auto"/>
        <w:left w:val="none" w:sz="0" w:space="0" w:color="auto"/>
        <w:bottom w:val="none" w:sz="0" w:space="0" w:color="auto"/>
        <w:right w:val="none" w:sz="0" w:space="0" w:color="auto"/>
      </w:divBdr>
    </w:div>
    <w:div w:id="1199510536">
      <w:bodyDiv w:val="1"/>
      <w:marLeft w:val="0"/>
      <w:marRight w:val="0"/>
      <w:marTop w:val="0"/>
      <w:marBottom w:val="0"/>
      <w:divBdr>
        <w:top w:val="none" w:sz="0" w:space="0" w:color="auto"/>
        <w:left w:val="none" w:sz="0" w:space="0" w:color="auto"/>
        <w:bottom w:val="none" w:sz="0" w:space="0" w:color="auto"/>
        <w:right w:val="none" w:sz="0" w:space="0" w:color="auto"/>
      </w:divBdr>
      <w:divsChild>
        <w:div w:id="547566177">
          <w:marLeft w:val="0"/>
          <w:marRight w:val="0"/>
          <w:marTop w:val="0"/>
          <w:marBottom w:val="0"/>
          <w:divBdr>
            <w:top w:val="none" w:sz="0" w:space="0" w:color="auto"/>
            <w:left w:val="none" w:sz="0" w:space="0" w:color="auto"/>
            <w:bottom w:val="none" w:sz="0" w:space="0" w:color="auto"/>
            <w:right w:val="none" w:sz="0" w:space="0" w:color="auto"/>
          </w:divBdr>
          <w:divsChild>
            <w:div w:id="1252589836">
              <w:marLeft w:val="0"/>
              <w:marRight w:val="0"/>
              <w:marTop w:val="0"/>
              <w:marBottom w:val="0"/>
              <w:divBdr>
                <w:top w:val="none" w:sz="0" w:space="0" w:color="auto"/>
                <w:left w:val="none" w:sz="0" w:space="0" w:color="auto"/>
                <w:bottom w:val="none" w:sz="0" w:space="0" w:color="auto"/>
                <w:right w:val="none" w:sz="0" w:space="0" w:color="auto"/>
              </w:divBdr>
              <w:divsChild>
                <w:div w:id="19034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89304">
      <w:bodyDiv w:val="1"/>
      <w:marLeft w:val="0"/>
      <w:marRight w:val="0"/>
      <w:marTop w:val="0"/>
      <w:marBottom w:val="0"/>
      <w:divBdr>
        <w:top w:val="none" w:sz="0" w:space="0" w:color="auto"/>
        <w:left w:val="none" w:sz="0" w:space="0" w:color="auto"/>
        <w:bottom w:val="none" w:sz="0" w:space="0" w:color="auto"/>
        <w:right w:val="none" w:sz="0" w:space="0" w:color="auto"/>
      </w:divBdr>
      <w:divsChild>
        <w:div w:id="839198114">
          <w:marLeft w:val="0"/>
          <w:marRight w:val="0"/>
          <w:marTop w:val="0"/>
          <w:marBottom w:val="0"/>
          <w:divBdr>
            <w:top w:val="none" w:sz="0" w:space="0" w:color="auto"/>
            <w:left w:val="none" w:sz="0" w:space="0" w:color="auto"/>
            <w:bottom w:val="none" w:sz="0" w:space="0" w:color="auto"/>
            <w:right w:val="none" w:sz="0" w:space="0" w:color="auto"/>
          </w:divBdr>
          <w:divsChild>
            <w:div w:id="155731347">
              <w:marLeft w:val="0"/>
              <w:marRight w:val="0"/>
              <w:marTop w:val="0"/>
              <w:marBottom w:val="0"/>
              <w:divBdr>
                <w:top w:val="none" w:sz="0" w:space="0" w:color="auto"/>
                <w:left w:val="none" w:sz="0" w:space="0" w:color="auto"/>
                <w:bottom w:val="none" w:sz="0" w:space="0" w:color="auto"/>
                <w:right w:val="none" w:sz="0" w:space="0" w:color="auto"/>
              </w:divBdr>
              <w:divsChild>
                <w:div w:id="16357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9285">
      <w:bodyDiv w:val="1"/>
      <w:marLeft w:val="0"/>
      <w:marRight w:val="0"/>
      <w:marTop w:val="0"/>
      <w:marBottom w:val="0"/>
      <w:divBdr>
        <w:top w:val="none" w:sz="0" w:space="0" w:color="auto"/>
        <w:left w:val="none" w:sz="0" w:space="0" w:color="auto"/>
        <w:bottom w:val="none" w:sz="0" w:space="0" w:color="auto"/>
        <w:right w:val="none" w:sz="0" w:space="0" w:color="auto"/>
      </w:divBdr>
    </w:div>
    <w:div w:id="1204827027">
      <w:bodyDiv w:val="1"/>
      <w:marLeft w:val="0"/>
      <w:marRight w:val="0"/>
      <w:marTop w:val="0"/>
      <w:marBottom w:val="0"/>
      <w:divBdr>
        <w:top w:val="none" w:sz="0" w:space="0" w:color="auto"/>
        <w:left w:val="none" w:sz="0" w:space="0" w:color="auto"/>
        <w:bottom w:val="none" w:sz="0" w:space="0" w:color="auto"/>
        <w:right w:val="none" w:sz="0" w:space="0" w:color="auto"/>
      </w:divBdr>
    </w:div>
    <w:div w:id="1206209873">
      <w:bodyDiv w:val="1"/>
      <w:marLeft w:val="0"/>
      <w:marRight w:val="0"/>
      <w:marTop w:val="0"/>
      <w:marBottom w:val="0"/>
      <w:divBdr>
        <w:top w:val="none" w:sz="0" w:space="0" w:color="auto"/>
        <w:left w:val="none" w:sz="0" w:space="0" w:color="auto"/>
        <w:bottom w:val="none" w:sz="0" w:space="0" w:color="auto"/>
        <w:right w:val="none" w:sz="0" w:space="0" w:color="auto"/>
      </w:divBdr>
    </w:div>
    <w:div w:id="1207256575">
      <w:bodyDiv w:val="1"/>
      <w:marLeft w:val="0"/>
      <w:marRight w:val="0"/>
      <w:marTop w:val="0"/>
      <w:marBottom w:val="0"/>
      <w:divBdr>
        <w:top w:val="none" w:sz="0" w:space="0" w:color="auto"/>
        <w:left w:val="none" w:sz="0" w:space="0" w:color="auto"/>
        <w:bottom w:val="none" w:sz="0" w:space="0" w:color="auto"/>
        <w:right w:val="none" w:sz="0" w:space="0" w:color="auto"/>
      </w:divBdr>
    </w:div>
    <w:div w:id="1210335025">
      <w:bodyDiv w:val="1"/>
      <w:marLeft w:val="0"/>
      <w:marRight w:val="0"/>
      <w:marTop w:val="0"/>
      <w:marBottom w:val="0"/>
      <w:divBdr>
        <w:top w:val="none" w:sz="0" w:space="0" w:color="auto"/>
        <w:left w:val="none" w:sz="0" w:space="0" w:color="auto"/>
        <w:bottom w:val="none" w:sz="0" w:space="0" w:color="auto"/>
        <w:right w:val="none" w:sz="0" w:space="0" w:color="auto"/>
      </w:divBdr>
      <w:divsChild>
        <w:div w:id="1335187029">
          <w:marLeft w:val="0"/>
          <w:marRight w:val="0"/>
          <w:marTop w:val="0"/>
          <w:marBottom w:val="0"/>
          <w:divBdr>
            <w:top w:val="none" w:sz="0" w:space="0" w:color="auto"/>
            <w:left w:val="none" w:sz="0" w:space="0" w:color="auto"/>
            <w:bottom w:val="none" w:sz="0" w:space="0" w:color="auto"/>
            <w:right w:val="none" w:sz="0" w:space="0" w:color="auto"/>
          </w:divBdr>
          <w:divsChild>
            <w:div w:id="1893494170">
              <w:marLeft w:val="0"/>
              <w:marRight w:val="0"/>
              <w:marTop w:val="0"/>
              <w:marBottom w:val="0"/>
              <w:divBdr>
                <w:top w:val="none" w:sz="0" w:space="0" w:color="auto"/>
                <w:left w:val="none" w:sz="0" w:space="0" w:color="auto"/>
                <w:bottom w:val="none" w:sz="0" w:space="0" w:color="auto"/>
                <w:right w:val="none" w:sz="0" w:space="0" w:color="auto"/>
              </w:divBdr>
            </w:div>
          </w:divsChild>
        </w:div>
        <w:div w:id="1747720853">
          <w:marLeft w:val="0"/>
          <w:marRight w:val="0"/>
          <w:marTop w:val="0"/>
          <w:marBottom w:val="0"/>
          <w:divBdr>
            <w:top w:val="none" w:sz="0" w:space="0" w:color="auto"/>
            <w:left w:val="none" w:sz="0" w:space="0" w:color="auto"/>
            <w:bottom w:val="none" w:sz="0" w:space="0" w:color="auto"/>
            <w:right w:val="none" w:sz="0" w:space="0" w:color="auto"/>
          </w:divBdr>
          <w:divsChild>
            <w:div w:id="6149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8080">
      <w:bodyDiv w:val="1"/>
      <w:marLeft w:val="0"/>
      <w:marRight w:val="0"/>
      <w:marTop w:val="0"/>
      <w:marBottom w:val="0"/>
      <w:divBdr>
        <w:top w:val="none" w:sz="0" w:space="0" w:color="auto"/>
        <w:left w:val="none" w:sz="0" w:space="0" w:color="auto"/>
        <w:bottom w:val="none" w:sz="0" w:space="0" w:color="auto"/>
        <w:right w:val="none" w:sz="0" w:space="0" w:color="auto"/>
      </w:divBdr>
      <w:divsChild>
        <w:div w:id="1243834103">
          <w:marLeft w:val="0"/>
          <w:marRight w:val="0"/>
          <w:marTop w:val="0"/>
          <w:marBottom w:val="0"/>
          <w:divBdr>
            <w:top w:val="none" w:sz="0" w:space="0" w:color="auto"/>
            <w:left w:val="none" w:sz="0" w:space="0" w:color="auto"/>
            <w:bottom w:val="none" w:sz="0" w:space="0" w:color="auto"/>
            <w:right w:val="none" w:sz="0" w:space="0" w:color="auto"/>
          </w:divBdr>
          <w:divsChild>
            <w:div w:id="24063922">
              <w:marLeft w:val="0"/>
              <w:marRight w:val="0"/>
              <w:marTop w:val="0"/>
              <w:marBottom w:val="0"/>
              <w:divBdr>
                <w:top w:val="none" w:sz="0" w:space="0" w:color="auto"/>
                <w:left w:val="none" w:sz="0" w:space="0" w:color="auto"/>
                <w:bottom w:val="none" w:sz="0" w:space="0" w:color="auto"/>
                <w:right w:val="none" w:sz="0" w:space="0" w:color="auto"/>
              </w:divBdr>
              <w:divsChild>
                <w:div w:id="17351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7737">
      <w:bodyDiv w:val="1"/>
      <w:marLeft w:val="0"/>
      <w:marRight w:val="0"/>
      <w:marTop w:val="0"/>
      <w:marBottom w:val="0"/>
      <w:divBdr>
        <w:top w:val="none" w:sz="0" w:space="0" w:color="auto"/>
        <w:left w:val="none" w:sz="0" w:space="0" w:color="auto"/>
        <w:bottom w:val="none" w:sz="0" w:space="0" w:color="auto"/>
        <w:right w:val="none" w:sz="0" w:space="0" w:color="auto"/>
      </w:divBdr>
      <w:divsChild>
        <w:div w:id="973094618">
          <w:marLeft w:val="0"/>
          <w:marRight w:val="0"/>
          <w:marTop w:val="0"/>
          <w:marBottom w:val="0"/>
          <w:divBdr>
            <w:top w:val="none" w:sz="0" w:space="0" w:color="auto"/>
            <w:left w:val="none" w:sz="0" w:space="0" w:color="auto"/>
            <w:bottom w:val="none" w:sz="0" w:space="0" w:color="auto"/>
            <w:right w:val="none" w:sz="0" w:space="0" w:color="auto"/>
          </w:divBdr>
          <w:divsChild>
            <w:div w:id="1143541526">
              <w:marLeft w:val="0"/>
              <w:marRight w:val="0"/>
              <w:marTop w:val="0"/>
              <w:marBottom w:val="0"/>
              <w:divBdr>
                <w:top w:val="none" w:sz="0" w:space="0" w:color="auto"/>
                <w:left w:val="none" w:sz="0" w:space="0" w:color="auto"/>
                <w:bottom w:val="none" w:sz="0" w:space="0" w:color="auto"/>
                <w:right w:val="none" w:sz="0" w:space="0" w:color="auto"/>
              </w:divBdr>
              <w:divsChild>
                <w:div w:id="21057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5346">
      <w:bodyDiv w:val="1"/>
      <w:marLeft w:val="0"/>
      <w:marRight w:val="0"/>
      <w:marTop w:val="0"/>
      <w:marBottom w:val="0"/>
      <w:divBdr>
        <w:top w:val="none" w:sz="0" w:space="0" w:color="auto"/>
        <w:left w:val="none" w:sz="0" w:space="0" w:color="auto"/>
        <w:bottom w:val="none" w:sz="0" w:space="0" w:color="auto"/>
        <w:right w:val="none" w:sz="0" w:space="0" w:color="auto"/>
      </w:divBdr>
    </w:div>
    <w:div w:id="1229078307">
      <w:bodyDiv w:val="1"/>
      <w:marLeft w:val="0"/>
      <w:marRight w:val="0"/>
      <w:marTop w:val="0"/>
      <w:marBottom w:val="0"/>
      <w:divBdr>
        <w:top w:val="none" w:sz="0" w:space="0" w:color="auto"/>
        <w:left w:val="none" w:sz="0" w:space="0" w:color="auto"/>
        <w:bottom w:val="none" w:sz="0" w:space="0" w:color="auto"/>
        <w:right w:val="none" w:sz="0" w:space="0" w:color="auto"/>
      </w:divBdr>
    </w:div>
    <w:div w:id="1232808664">
      <w:bodyDiv w:val="1"/>
      <w:marLeft w:val="0"/>
      <w:marRight w:val="0"/>
      <w:marTop w:val="0"/>
      <w:marBottom w:val="0"/>
      <w:divBdr>
        <w:top w:val="none" w:sz="0" w:space="0" w:color="auto"/>
        <w:left w:val="none" w:sz="0" w:space="0" w:color="auto"/>
        <w:bottom w:val="none" w:sz="0" w:space="0" w:color="auto"/>
        <w:right w:val="none" w:sz="0" w:space="0" w:color="auto"/>
      </w:divBdr>
    </w:div>
    <w:div w:id="1236281881">
      <w:bodyDiv w:val="1"/>
      <w:marLeft w:val="0"/>
      <w:marRight w:val="0"/>
      <w:marTop w:val="0"/>
      <w:marBottom w:val="0"/>
      <w:divBdr>
        <w:top w:val="none" w:sz="0" w:space="0" w:color="auto"/>
        <w:left w:val="none" w:sz="0" w:space="0" w:color="auto"/>
        <w:bottom w:val="none" w:sz="0" w:space="0" w:color="auto"/>
        <w:right w:val="none" w:sz="0" w:space="0" w:color="auto"/>
      </w:divBdr>
    </w:div>
    <w:div w:id="1237740340">
      <w:bodyDiv w:val="1"/>
      <w:marLeft w:val="0"/>
      <w:marRight w:val="0"/>
      <w:marTop w:val="0"/>
      <w:marBottom w:val="0"/>
      <w:divBdr>
        <w:top w:val="none" w:sz="0" w:space="0" w:color="auto"/>
        <w:left w:val="none" w:sz="0" w:space="0" w:color="auto"/>
        <w:bottom w:val="none" w:sz="0" w:space="0" w:color="auto"/>
        <w:right w:val="none" w:sz="0" w:space="0" w:color="auto"/>
      </w:divBdr>
    </w:div>
    <w:div w:id="1242910450">
      <w:bodyDiv w:val="1"/>
      <w:marLeft w:val="0"/>
      <w:marRight w:val="0"/>
      <w:marTop w:val="0"/>
      <w:marBottom w:val="0"/>
      <w:divBdr>
        <w:top w:val="none" w:sz="0" w:space="0" w:color="auto"/>
        <w:left w:val="none" w:sz="0" w:space="0" w:color="auto"/>
        <w:bottom w:val="none" w:sz="0" w:space="0" w:color="auto"/>
        <w:right w:val="none" w:sz="0" w:space="0" w:color="auto"/>
      </w:divBdr>
    </w:div>
    <w:div w:id="1245992422">
      <w:bodyDiv w:val="1"/>
      <w:marLeft w:val="0"/>
      <w:marRight w:val="0"/>
      <w:marTop w:val="0"/>
      <w:marBottom w:val="0"/>
      <w:divBdr>
        <w:top w:val="none" w:sz="0" w:space="0" w:color="auto"/>
        <w:left w:val="none" w:sz="0" w:space="0" w:color="auto"/>
        <w:bottom w:val="none" w:sz="0" w:space="0" w:color="auto"/>
        <w:right w:val="none" w:sz="0" w:space="0" w:color="auto"/>
      </w:divBdr>
    </w:div>
    <w:div w:id="1250114377">
      <w:bodyDiv w:val="1"/>
      <w:marLeft w:val="0"/>
      <w:marRight w:val="0"/>
      <w:marTop w:val="0"/>
      <w:marBottom w:val="0"/>
      <w:divBdr>
        <w:top w:val="none" w:sz="0" w:space="0" w:color="auto"/>
        <w:left w:val="none" w:sz="0" w:space="0" w:color="auto"/>
        <w:bottom w:val="none" w:sz="0" w:space="0" w:color="auto"/>
        <w:right w:val="none" w:sz="0" w:space="0" w:color="auto"/>
      </w:divBdr>
    </w:div>
    <w:div w:id="1252395285">
      <w:bodyDiv w:val="1"/>
      <w:marLeft w:val="0"/>
      <w:marRight w:val="0"/>
      <w:marTop w:val="0"/>
      <w:marBottom w:val="0"/>
      <w:divBdr>
        <w:top w:val="none" w:sz="0" w:space="0" w:color="auto"/>
        <w:left w:val="none" w:sz="0" w:space="0" w:color="auto"/>
        <w:bottom w:val="none" w:sz="0" w:space="0" w:color="auto"/>
        <w:right w:val="none" w:sz="0" w:space="0" w:color="auto"/>
      </w:divBdr>
    </w:div>
    <w:div w:id="1262567719">
      <w:bodyDiv w:val="1"/>
      <w:marLeft w:val="0"/>
      <w:marRight w:val="0"/>
      <w:marTop w:val="0"/>
      <w:marBottom w:val="0"/>
      <w:divBdr>
        <w:top w:val="none" w:sz="0" w:space="0" w:color="auto"/>
        <w:left w:val="none" w:sz="0" w:space="0" w:color="auto"/>
        <w:bottom w:val="none" w:sz="0" w:space="0" w:color="auto"/>
        <w:right w:val="none" w:sz="0" w:space="0" w:color="auto"/>
      </w:divBdr>
      <w:divsChild>
        <w:div w:id="322705712">
          <w:marLeft w:val="0"/>
          <w:marRight w:val="0"/>
          <w:marTop w:val="0"/>
          <w:marBottom w:val="0"/>
          <w:divBdr>
            <w:top w:val="none" w:sz="0" w:space="0" w:color="auto"/>
            <w:left w:val="none" w:sz="0" w:space="0" w:color="auto"/>
            <w:bottom w:val="none" w:sz="0" w:space="0" w:color="auto"/>
            <w:right w:val="none" w:sz="0" w:space="0" w:color="auto"/>
          </w:divBdr>
        </w:div>
      </w:divsChild>
    </w:div>
    <w:div w:id="1267695273">
      <w:bodyDiv w:val="1"/>
      <w:marLeft w:val="0"/>
      <w:marRight w:val="0"/>
      <w:marTop w:val="0"/>
      <w:marBottom w:val="0"/>
      <w:divBdr>
        <w:top w:val="none" w:sz="0" w:space="0" w:color="auto"/>
        <w:left w:val="none" w:sz="0" w:space="0" w:color="auto"/>
        <w:bottom w:val="none" w:sz="0" w:space="0" w:color="auto"/>
        <w:right w:val="none" w:sz="0" w:space="0" w:color="auto"/>
      </w:divBdr>
    </w:div>
    <w:div w:id="1267998570">
      <w:bodyDiv w:val="1"/>
      <w:marLeft w:val="0"/>
      <w:marRight w:val="0"/>
      <w:marTop w:val="0"/>
      <w:marBottom w:val="0"/>
      <w:divBdr>
        <w:top w:val="none" w:sz="0" w:space="0" w:color="auto"/>
        <w:left w:val="none" w:sz="0" w:space="0" w:color="auto"/>
        <w:bottom w:val="none" w:sz="0" w:space="0" w:color="auto"/>
        <w:right w:val="none" w:sz="0" w:space="0" w:color="auto"/>
      </w:divBdr>
    </w:div>
    <w:div w:id="1271352958">
      <w:bodyDiv w:val="1"/>
      <w:marLeft w:val="0"/>
      <w:marRight w:val="0"/>
      <w:marTop w:val="0"/>
      <w:marBottom w:val="0"/>
      <w:divBdr>
        <w:top w:val="none" w:sz="0" w:space="0" w:color="auto"/>
        <w:left w:val="none" w:sz="0" w:space="0" w:color="auto"/>
        <w:bottom w:val="none" w:sz="0" w:space="0" w:color="auto"/>
        <w:right w:val="none" w:sz="0" w:space="0" w:color="auto"/>
      </w:divBdr>
    </w:div>
    <w:div w:id="1273320094">
      <w:bodyDiv w:val="1"/>
      <w:marLeft w:val="0"/>
      <w:marRight w:val="0"/>
      <w:marTop w:val="0"/>
      <w:marBottom w:val="0"/>
      <w:divBdr>
        <w:top w:val="none" w:sz="0" w:space="0" w:color="auto"/>
        <w:left w:val="none" w:sz="0" w:space="0" w:color="auto"/>
        <w:bottom w:val="none" w:sz="0" w:space="0" w:color="auto"/>
        <w:right w:val="none" w:sz="0" w:space="0" w:color="auto"/>
      </w:divBdr>
    </w:div>
    <w:div w:id="1275475401">
      <w:bodyDiv w:val="1"/>
      <w:marLeft w:val="0"/>
      <w:marRight w:val="0"/>
      <w:marTop w:val="0"/>
      <w:marBottom w:val="0"/>
      <w:divBdr>
        <w:top w:val="none" w:sz="0" w:space="0" w:color="auto"/>
        <w:left w:val="none" w:sz="0" w:space="0" w:color="auto"/>
        <w:bottom w:val="none" w:sz="0" w:space="0" w:color="auto"/>
        <w:right w:val="none" w:sz="0" w:space="0" w:color="auto"/>
      </w:divBdr>
    </w:div>
    <w:div w:id="1275862805">
      <w:bodyDiv w:val="1"/>
      <w:marLeft w:val="0"/>
      <w:marRight w:val="0"/>
      <w:marTop w:val="0"/>
      <w:marBottom w:val="0"/>
      <w:divBdr>
        <w:top w:val="none" w:sz="0" w:space="0" w:color="auto"/>
        <w:left w:val="none" w:sz="0" w:space="0" w:color="auto"/>
        <w:bottom w:val="none" w:sz="0" w:space="0" w:color="auto"/>
        <w:right w:val="none" w:sz="0" w:space="0" w:color="auto"/>
      </w:divBdr>
    </w:div>
    <w:div w:id="1277952714">
      <w:bodyDiv w:val="1"/>
      <w:marLeft w:val="0"/>
      <w:marRight w:val="0"/>
      <w:marTop w:val="0"/>
      <w:marBottom w:val="0"/>
      <w:divBdr>
        <w:top w:val="none" w:sz="0" w:space="0" w:color="auto"/>
        <w:left w:val="none" w:sz="0" w:space="0" w:color="auto"/>
        <w:bottom w:val="none" w:sz="0" w:space="0" w:color="auto"/>
        <w:right w:val="none" w:sz="0" w:space="0" w:color="auto"/>
      </w:divBdr>
    </w:div>
    <w:div w:id="1281112243">
      <w:bodyDiv w:val="1"/>
      <w:marLeft w:val="0"/>
      <w:marRight w:val="0"/>
      <w:marTop w:val="0"/>
      <w:marBottom w:val="0"/>
      <w:divBdr>
        <w:top w:val="none" w:sz="0" w:space="0" w:color="auto"/>
        <w:left w:val="none" w:sz="0" w:space="0" w:color="auto"/>
        <w:bottom w:val="none" w:sz="0" w:space="0" w:color="auto"/>
        <w:right w:val="none" w:sz="0" w:space="0" w:color="auto"/>
      </w:divBdr>
    </w:div>
    <w:div w:id="1281230958">
      <w:bodyDiv w:val="1"/>
      <w:marLeft w:val="0"/>
      <w:marRight w:val="0"/>
      <w:marTop w:val="0"/>
      <w:marBottom w:val="0"/>
      <w:divBdr>
        <w:top w:val="none" w:sz="0" w:space="0" w:color="auto"/>
        <w:left w:val="none" w:sz="0" w:space="0" w:color="auto"/>
        <w:bottom w:val="none" w:sz="0" w:space="0" w:color="auto"/>
        <w:right w:val="none" w:sz="0" w:space="0" w:color="auto"/>
      </w:divBdr>
      <w:divsChild>
        <w:div w:id="426733792">
          <w:marLeft w:val="547"/>
          <w:marRight w:val="0"/>
          <w:marTop w:val="106"/>
          <w:marBottom w:val="0"/>
          <w:divBdr>
            <w:top w:val="none" w:sz="0" w:space="0" w:color="auto"/>
            <w:left w:val="none" w:sz="0" w:space="0" w:color="auto"/>
            <w:bottom w:val="none" w:sz="0" w:space="0" w:color="auto"/>
            <w:right w:val="none" w:sz="0" w:space="0" w:color="auto"/>
          </w:divBdr>
        </w:div>
        <w:div w:id="1403944577">
          <w:marLeft w:val="547"/>
          <w:marRight w:val="0"/>
          <w:marTop w:val="106"/>
          <w:marBottom w:val="0"/>
          <w:divBdr>
            <w:top w:val="none" w:sz="0" w:space="0" w:color="auto"/>
            <w:left w:val="none" w:sz="0" w:space="0" w:color="auto"/>
            <w:bottom w:val="none" w:sz="0" w:space="0" w:color="auto"/>
            <w:right w:val="none" w:sz="0" w:space="0" w:color="auto"/>
          </w:divBdr>
        </w:div>
        <w:div w:id="1436170996">
          <w:marLeft w:val="547"/>
          <w:marRight w:val="0"/>
          <w:marTop w:val="106"/>
          <w:marBottom w:val="0"/>
          <w:divBdr>
            <w:top w:val="none" w:sz="0" w:space="0" w:color="auto"/>
            <w:left w:val="none" w:sz="0" w:space="0" w:color="auto"/>
            <w:bottom w:val="none" w:sz="0" w:space="0" w:color="auto"/>
            <w:right w:val="none" w:sz="0" w:space="0" w:color="auto"/>
          </w:divBdr>
        </w:div>
      </w:divsChild>
    </w:div>
    <w:div w:id="1294022009">
      <w:bodyDiv w:val="1"/>
      <w:marLeft w:val="0"/>
      <w:marRight w:val="0"/>
      <w:marTop w:val="0"/>
      <w:marBottom w:val="0"/>
      <w:divBdr>
        <w:top w:val="none" w:sz="0" w:space="0" w:color="auto"/>
        <w:left w:val="none" w:sz="0" w:space="0" w:color="auto"/>
        <w:bottom w:val="none" w:sz="0" w:space="0" w:color="auto"/>
        <w:right w:val="none" w:sz="0" w:space="0" w:color="auto"/>
      </w:divBdr>
    </w:div>
    <w:div w:id="1295332159">
      <w:bodyDiv w:val="1"/>
      <w:marLeft w:val="0"/>
      <w:marRight w:val="0"/>
      <w:marTop w:val="0"/>
      <w:marBottom w:val="0"/>
      <w:divBdr>
        <w:top w:val="none" w:sz="0" w:space="0" w:color="auto"/>
        <w:left w:val="none" w:sz="0" w:space="0" w:color="auto"/>
        <w:bottom w:val="none" w:sz="0" w:space="0" w:color="auto"/>
        <w:right w:val="none" w:sz="0" w:space="0" w:color="auto"/>
      </w:divBdr>
    </w:div>
    <w:div w:id="1295477363">
      <w:bodyDiv w:val="1"/>
      <w:marLeft w:val="0"/>
      <w:marRight w:val="0"/>
      <w:marTop w:val="0"/>
      <w:marBottom w:val="0"/>
      <w:divBdr>
        <w:top w:val="none" w:sz="0" w:space="0" w:color="auto"/>
        <w:left w:val="none" w:sz="0" w:space="0" w:color="auto"/>
        <w:bottom w:val="none" w:sz="0" w:space="0" w:color="auto"/>
        <w:right w:val="none" w:sz="0" w:space="0" w:color="auto"/>
      </w:divBdr>
    </w:div>
    <w:div w:id="1297418413">
      <w:bodyDiv w:val="1"/>
      <w:marLeft w:val="0"/>
      <w:marRight w:val="0"/>
      <w:marTop w:val="0"/>
      <w:marBottom w:val="0"/>
      <w:divBdr>
        <w:top w:val="none" w:sz="0" w:space="0" w:color="auto"/>
        <w:left w:val="none" w:sz="0" w:space="0" w:color="auto"/>
        <w:bottom w:val="none" w:sz="0" w:space="0" w:color="auto"/>
        <w:right w:val="none" w:sz="0" w:space="0" w:color="auto"/>
      </w:divBdr>
    </w:div>
    <w:div w:id="1297568359">
      <w:bodyDiv w:val="1"/>
      <w:marLeft w:val="0"/>
      <w:marRight w:val="0"/>
      <w:marTop w:val="0"/>
      <w:marBottom w:val="0"/>
      <w:divBdr>
        <w:top w:val="none" w:sz="0" w:space="0" w:color="auto"/>
        <w:left w:val="none" w:sz="0" w:space="0" w:color="auto"/>
        <w:bottom w:val="none" w:sz="0" w:space="0" w:color="auto"/>
        <w:right w:val="none" w:sz="0" w:space="0" w:color="auto"/>
      </w:divBdr>
    </w:div>
    <w:div w:id="1304459887">
      <w:bodyDiv w:val="1"/>
      <w:marLeft w:val="0"/>
      <w:marRight w:val="0"/>
      <w:marTop w:val="0"/>
      <w:marBottom w:val="0"/>
      <w:divBdr>
        <w:top w:val="none" w:sz="0" w:space="0" w:color="auto"/>
        <w:left w:val="none" w:sz="0" w:space="0" w:color="auto"/>
        <w:bottom w:val="none" w:sz="0" w:space="0" w:color="auto"/>
        <w:right w:val="none" w:sz="0" w:space="0" w:color="auto"/>
      </w:divBdr>
    </w:div>
    <w:div w:id="1308825824">
      <w:bodyDiv w:val="1"/>
      <w:marLeft w:val="0"/>
      <w:marRight w:val="0"/>
      <w:marTop w:val="0"/>
      <w:marBottom w:val="0"/>
      <w:divBdr>
        <w:top w:val="none" w:sz="0" w:space="0" w:color="auto"/>
        <w:left w:val="none" w:sz="0" w:space="0" w:color="auto"/>
        <w:bottom w:val="none" w:sz="0" w:space="0" w:color="auto"/>
        <w:right w:val="none" w:sz="0" w:space="0" w:color="auto"/>
      </w:divBdr>
    </w:div>
    <w:div w:id="1312098266">
      <w:bodyDiv w:val="1"/>
      <w:marLeft w:val="0"/>
      <w:marRight w:val="0"/>
      <w:marTop w:val="0"/>
      <w:marBottom w:val="0"/>
      <w:divBdr>
        <w:top w:val="none" w:sz="0" w:space="0" w:color="auto"/>
        <w:left w:val="none" w:sz="0" w:space="0" w:color="auto"/>
        <w:bottom w:val="none" w:sz="0" w:space="0" w:color="auto"/>
        <w:right w:val="none" w:sz="0" w:space="0" w:color="auto"/>
      </w:divBdr>
    </w:div>
    <w:div w:id="1312438998">
      <w:bodyDiv w:val="1"/>
      <w:marLeft w:val="0"/>
      <w:marRight w:val="0"/>
      <w:marTop w:val="0"/>
      <w:marBottom w:val="0"/>
      <w:divBdr>
        <w:top w:val="none" w:sz="0" w:space="0" w:color="auto"/>
        <w:left w:val="none" w:sz="0" w:space="0" w:color="auto"/>
        <w:bottom w:val="none" w:sz="0" w:space="0" w:color="auto"/>
        <w:right w:val="none" w:sz="0" w:space="0" w:color="auto"/>
      </w:divBdr>
    </w:div>
    <w:div w:id="1316028963">
      <w:bodyDiv w:val="1"/>
      <w:marLeft w:val="0"/>
      <w:marRight w:val="0"/>
      <w:marTop w:val="0"/>
      <w:marBottom w:val="0"/>
      <w:divBdr>
        <w:top w:val="none" w:sz="0" w:space="0" w:color="auto"/>
        <w:left w:val="none" w:sz="0" w:space="0" w:color="auto"/>
        <w:bottom w:val="none" w:sz="0" w:space="0" w:color="auto"/>
        <w:right w:val="none" w:sz="0" w:space="0" w:color="auto"/>
      </w:divBdr>
    </w:div>
    <w:div w:id="1323923479">
      <w:bodyDiv w:val="1"/>
      <w:marLeft w:val="0"/>
      <w:marRight w:val="0"/>
      <w:marTop w:val="0"/>
      <w:marBottom w:val="0"/>
      <w:divBdr>
        <w:top w:val="none" w:sz="0" w:space="0" w:color="auto"/>
        <w:left w:val="none" w:sz="0" w:space="0" w:color="auto"/>
        <w:bottom w:val="none" w:sz="0" w:space="0" w:color="auto"/>
        <w:right w:val="none" w:sz="0" w:space="0" w:color="auto"/>
      </w:divBdr>
    </w:div>
    <w:div w:id="1333609960">
      <w:bodyDiv w:val="1"/>
      <w:marLeft w:val="0"/>
      <w:marRight w:val="0"/>
      <w:marTop w:val="0"/>
      <w:marBottom w:val="0"/>
      <w:divBdr>
        <w:top w:val="none" w:sz="0" w:space="0" w:color="auto"/>
        <w:left w:val="none" w:sz="0" w:space="0" w:color="auto"/>
        <w:bottom w:val="none" w:sz="0" w:space="0" w:color="auto"/>
        <w:right w:val="none" w:sz="0" w:space="0" w:color="auto"/>
      </w:divBdr>
    </w:div>
    <w:div w:id="1336609485">
      <w:bodyDiv w:val="1"/>
      <w:marLeft w:val="0"/>
      <w:marRight w:val="0"/>
      <w:marTop w:val="0"/>
      <w:marBottom w:val="0"/>
      <w:divBdr>
        <w:top w:val="none" w:sz="0" w:space="0" w:color="auto"/>
        <w:left w:val="none" w:sz="0" w:space="0" w:color="auto"/>
        <w:bottom w:val="none" w:sz="0" w:space="0" w:color="auto"/>
        <w:right w:val="none" w:sz="0" w:space="0" w:color="auto"/>
      </w:divBdr>
      <w:divsChild>
        <w:div w:id="1534925307">
          <w:marLeft w:val="0"/>
          <w:marRight w:val="0"/>
          <w:marTop w:val="0"/>
          <w:marBottom w:val="0"/>
          <w:divBdr>
            <w:top w:val="none" w:sz="0" w:space="0" w:color="auto"/>
            <w:left w:val="none" w:sz="0" w:space="0" w:color="auto"/>
            <w:bottom w:val="none" w:sz="0" w:space="0" w:color="auto"/>
            <w:right w:val="none" w:sz="0" w:space="0" w:color="auto"/>
          </w:divBdr>
          <w:divsChild>
            <w:div w:id="1407874529">
              <w:marLeft w:val="0"/>
              <w:marRight w:val="0"/>
              <w:marTop w:val="0"/>
              <w:marBottom w:val="0"/>
              <w:divBdr>
                <w:top w:val="none" w:sz="0" w:space="0" w:color="auto"/>
                <w:left w:val="none" w:sz="0" w:space="0" w:color="auto"/>
                <w:bottom w:val="none" w:sz="0" w:space="0" w:color="auto"/>
                <w:right w:val="none" w:sz="0" w:space="0" w:color="auto"/>
              </w:divBdr>
              <w:divsChild>
                <w:div w:id="17156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5105">
      <w:bodyDiv w:val="1"/>
      <w:marLeft w:val="0"/>
      <w:marRight w:val="0"/>
      <w:marTop w:val="0"/>
      <w:marBottom w:val="0"/>
      <w:divBdr>
        <w:top w:val="none" w:sz="0" w:space="0" w:color="auto"/>
        <w:left w:val="none" w:sz="0" w:space="0" w:color="auto"/>
        <w:bottom w:val="none" w:sz="0" w:space="0" w:color="auto"/>
        <w:right w:val="none" w:sz="0" w:space="0" w:color="auto"/>
      </w:divBdr>
    </w:div>
    <w:div w:id="1350254866">
      <w:bodyDiv w:val="1"/>
      <w:marLeft w:val="0"/>
      <w:marRight w:val="0"/>
      <w:marTop w:val="0"/>
      <w:marBottom w:val="0"/>
      <w:divBdr>
        <w:top w:val="none" w:sz="0" w:space="0" w:color="auto"/>
        <w:left w:val="none" w:sz="0" w:space="0" w:color="auto"/>
        <w:bottom w:val="none" w:sz="0" w:space="0" w:color="auto"/>
        <w:right w:val="none" w:sz="0" w:space="0" w:color="auto"/>
      </w:divBdr>
    </w:div>
    <w:div w:id="1352297887">
      <w:bodyDiv w:val="1"/>
      <w:marLeft w:val="0"/>
      <w:marRight w:val="0"/>
      <w:marTop w:val="0"/>
      <w:marBottom w:val="0"/>
      <w:divBdr>
        <w:top w:val="none" w:sz="0" w:space="0" w:color="auto"/>
        <w:left w:val="none" w:sz="0" w:space="0" w:color="auto"/>
        <w:bottom w:val="none" w:sz="0" w:space="0" w:color="auto"/>
        <w:right w:val="none" w:sz="0" w:space="0" w:color="auto"/>
      </w:divBdr>
    </w:div>
    <w:div w:id="1368875446">
      <w:bodyDiv w:val="1"/>
      <w:marLeft w:val="0"/>
      <w:marRight w:val="0"/>
      <w:marTop w:val="0"/>
      <w:marBottom w:val="0"/>
      <w:divBdr>
        <w:top w:val="none" w:sz="0" w:space="0" w:color="auto"/>
        <w:left w:val="none" w:sz="0" w:space="0" w:color="auto"/>
        <w:bottom w:val="none" w:sz="0" w:space="0" w:color="auto"/>
        <w:right w:val="none" w:sz="0" w:space="0" w:color="auto"/>
      </w:divBdr>
    </w:div>
    <w:div w:id="1378819822">
      <w:bodyDiv w:val="1"/>
      <w:marLeft w:val="0"/>
      <w:marRight w:val="0"/>
      <w:marTop w:val="0"/>
      <w:marBottom w:val="0"/>
      <w:divBdr>
        <w:top w:val="none" w:sz="0" w:space="0" w:color="auto"/>
        <w:left w:val="none" w:sz="0" w:space="0" w:color="auto"/>
        <w:bottom w:val="none" w:sz="0" w:space="0" w:color="auto"/>
        <w:right w:val="none" w:sz="0" w:space="0" w:color="auto"/>
      </w:divBdr>
    </w:div>
    <w:div w:id="1379358785">
      <w:bodyDiv w:val="1"/>
      <w:marLeft w:val="0"/>
      <w:marRight w:val="0"/>
      <w:marTop w:val="0"/>
      <w:marBottom w:val="0"/>
      <w:divBdr>
        <w:top w:val="none" w:sz="0" w:space="0" w:color="auto"/>
        <w:left w:val="none" w:sz="0" w:space="0" w:color="auto"/>
        <w:bottom w:val="none" w:sz="0" w:space="0" w:color="auto"/>
        <w:right w:val="none" w:sz="0" w:space="0" w:color="auto"/>
      </w:divBdr>
    </w:div>
    <w:div w:id="1381318561">
      <w:bodyDiv w:val="1"/>
      <w:marLeft w:val="0"/>
      <w:marRight w:val="0"/>
      <w:marTop w:val="0"/>
      <w:marBottom w:val="0"/>
      <w:divBdr>
        <w:top w:val="none" w:sz="0" w:space="0" w:color="auto"/>
        <w:left w:val="none" w:sz="0" w:space="0" w:color="auto"/>
        <w:bottom w:val="none" w:sz="0" w:space="0" w:color="auto"/>
        <w:right w:val="none" w:sz="0" w:space="0" w:color="auto"/>
      </w:divBdr>
    </w:div>
    <w:div w:id="1391153533">
      <w:bodyDiv w:val="1"/>
      <w:marLeft w:val="0"/>
      <w:marRight w:val="0"/>
      <w:marTop w:val="0"/>
      <w:marBottom w:val="0"/>
      <w:divBdr>
        <w:top w:val="none" w:sz="0" w:space="0" w:color="auto"/>
        <w:left w:val="none" w:sz="0" w:space="0" w:color="auto"/>
        <w:bottom w:val="none" w:sz="0" w:space="0" w:color="auto"/>
        <w:right w:val="none" w:sz="0" w:space="0" w:color="auto"/>
      </w:divBdr>
    </w:div>
    <w:div w:id="1401446783">
      <w:bodyDiv w:val="1"/>
      <w:marLeft w:val="0"/>
      <w:marRight w:val="0"/>
      <w:marTop w:val="0"/>
      <w:marBottom w:val="0"/>
      <w:divBdr>
        <w:top w:val="none" w:sz="0" w:space="0" w:color="auto"/>
        <w:left w:val="none" w:sz="0" w:space="0" w:color="auto"/>
        <w:bottom w:val="none" w:sz="0" w:space="0" w:color="auto"/>
        <w:right w:val="none" w:sz="0" w:space="0" w:color="auto"/>
      </w:divBdr>
    </w:div>
    <w:div w:id="1412001646">
      <w:bodyDiv w:val="1"/>
      <w:marLeft w:val="0"/>
      <w:marRight w:val="0"/>
      <w:marTop w:val="0"/>
      <w:marBottom w:val="0"/>
      <w:divBdr>
        <w:top w:val="none" w:sz="0" w:space="0" w:color="auto"/>
        <w:left w:val="none" w:sz="0" w:space="0" w:color="auto"/>
        <w:bottom w:val="none" w:sz="0" w:space="0" w:color="auto"/>
        <w:right w:val="none" w:sz="0" w:space="0" w:color="auto"/>
      </w:divBdr>
    </w:div>
    <w:div w:id="1412582468">
      <w:bodyDiv w:val="1"/>
      <w:marLeft w:val="0"/>
      <w:marRight w:val="0"/>
      <w:marTop w:val="0"/>
      <w:marBottom w:val="0"/>
      <w:divBdr>
        <w:top w:val="none" w:sz="0" w:space="0" w:color="auto"/>
        <w:left w:val="none" w:sz="0" w:space="0" w:color="auto"/>
        <w:bottom w:val="none" w:sz="0" w:space="0" w:color="auto"/>
        <w:right w:val="none" w:sz="0" w:space="0" w:color="auto"/>
      </w:divBdr>
      <w:divsChild>
        <w:div w:id="1666472011">
          <w:marLeft w:val="0"/>
          <w:marRight w:val="0"/>
          <w:marTop w:val="0"/>
          <w:marBottom w:val="0"/>
          <w:divBdr>
            <w:top w:val="none" w:sz="0" w:space="0" w:color="auto"/>
            <w:left w:val="none" w:sz="0" w:space="0" w:color="auto"/>
            <w:bottom w:val="none" w:sz="0" w:space="0" w:color="auto"/>
            <w:right w:val="none" w:sz="0" w:space="0" w:color="auto"/>
          </w:divBdr>
          <w:divsChild>
            <w:div w:id="667513850">
              <w:marLeft w:val="0"/>
              <w:marRight w:val="0"/>
              <w:marTop w:val="0"/>
              <w:marBottom w:val="0"/>
              <w:divBdr>
                <w:top w:val="none" w:sz="0" w:space="0" w:color="auto"/>
                <w:left w:val="none" w:sz="0" w:space="0" w:color="auto"/>
                <w:bottom w:val="none" w:sz="0" w:space="0" w:color="auto"/>
                <w:right w:val="none" w:sz="0" w:space="0" w:color="auto"/>
              </w:divBdr>
              <w:divsChild>
                <w:div w:id="17424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94215">
      <w:bodyDiv w:val="1"/>
      <w:marLeft w:val="0"/>
      <w:marRight w:val="0"/>
      <w:marTop w:val="0"/>
      <w:marBottom w:val="0"/>
      <w:divBdr>
        <w:top w:val="none" w:sz="0" w:space="0" w:color="auto"/>
        <w:left w:val="none" w:sz="0" w:space="0" w:color="auto"/>
        <w:bottom w:val="none" w:sz="0" w:space="0" w:color="auto"/>
        <w:right w:val="none" w:sz="0" w:space="0" w:color="auto"/>
      </w:divBdr>
    </w:div>
    <w:div w:id="1414233470">
      <w:bodyDiv w:val="1"/>
      <w:marLeft w:val="0"/>
      <w:marRight w:val="0"/>
      <w:marTop w:val="0"/>
      <w:marBottom w:val="0"/>
      <w:divBdr>
        <w:top w:val="none" w:sz="0" w:space="0" w:color="auto"/>
        <w:left w:val="none" w:sz="0" w:space="0" w:color="auto"/>
        <w:bottom w:val="none" w:sz="0" w:space="0" w:color="auto"/>
        <w:right w:val="none" w:sz="0" w:space="0" w:color="auto"/>
      </w:divBdr>
      <w:divsChild>
        <w:div w:id="902063233">
          <w:marLeft w:val="0"/>
          <w:marRight w:val="0"/>
          <w:marTop w:val="0"/>
          <w:marBottom w:val="0"/>
          <w:divBdr>
            <w:top w:val="none" w:sz="0" w:space="0" w:color="auto"/>
            <w:left w:val="none" w:sz="0" w:space="0" w:color="auto"/>
            <w:bottom w:val="none" w:sz="0" w:space="0" w:color="auto"/>
            <w:right w:val="none" w:sz="0" w:space="0" w:color="auto"/>
          </w:divBdr>
        </w:div>
      </w:divsChild>
    </w:div>
    <w:div w:id="1415476114">
      <w:bodyDiv w:val="1"/>
      <w:marLeft w:val="0"/>
      <w:marRight w:val="0"/>
      <w:marTop w:val="0"/>
      <w:marBottom w:val="0"/>
      <w:divBdr>
        <w:top w:val="none" w:sz="0" w:space="0" w:color="auto"/>
        <w:left w:val="none" w:sz="0" w:space="0" w:color="auto"/>
        <w:bottom w:val="none" w:sz="0" w:space="0" w:color="auto"/>
        <w:right w:val="none" w:sz="0" w:space="0" w:color="auto"/>
      </w:divBdr>
    </w:div>
    <w:div w:id="1422335034">
      <w:bodyDiv w:val="1"/>
      <w:marLeft w:val="0"/>
      <w:marRight w:val="0"/>
      <w:marTop w:val="0"/>
      <w:marBottom w:val="0"/>
      <w:divBdr>
        <w:top w:val="none" w:sz="0" w:space="0" w:color="auto"/>
        <w:left w:val="none" w:sz="0" w:space="0" w:color="auto"/>
        <w:bottom w:val="none" w:sz="0" w:space="0" w:color="auto"/>
        <w:right w:val="none" w:sz="0" w:space="0" w:color="auto"/>
      </w:divBdr>
    </w:div>
    <w:div w:id="1422410442">
      <w:bodyDiv w:val="1"/>
      <w:marLeft w:val="0"/>
      <w:marRight w:val="0"/>
      <w:marTop w:val="0"/>
      <w:marBottom w:val="0"/>
      <w:divBdr>
        <w:top w:val="none" w:sz="0" w:space="0" w:color="auto"/>
        <w:left w:val="none" w:sz="0" w:space="0" w:color="auto"/>
        <w:bottom w:val="none" w:sz="0" w:space="0" w:color="auto"/>
        <w:right w:val="none" w:sz="0" w:space="0" w:color="auto"/>
      </w:divBdr>
    </w:div>
    <w:div w:id="1425415712">
      <w:bodyDiv w:val="1"/>
      <w:marLeft w:val="0"/>
      <w:marRight w:val="0"/>
      <w:marTop w:val="0"/>
      <w:marBottom w:val="0"/>
      <w:divBdr>
        <w:top w:val="none" w:sz="0" w:space="0" w:color="auto"/>
        <w:left w:val="none" w:sz="0" w:space="0" w:color="auto"/>
        <w:bottom w:val="none" w:sz="0" w:space="0" w:color="auto"/>
        <w:right w:val="none" w:sz="0" w:space="0" w:color="auto"/>
      </w:divBdr>
    </w:div>
    <w:div w:id="1433470559">
      <w:bodyDiv w:val="1"/>
      <w:marLeft w:val="0"/>
      <w:marRight w:val="0"/>
      <w:marTop w:val="0"/>
      <w:marBottom w:val="0"/>
      <w:divBdr>
        <w:top w:val="none" w:sz="0" w:space="0" w:color="auto"/>
        <w:left w:val="none" w:sz="0" w:space="0" w:color="auto"/>
        <w:bottom w:val="none" w:sz="0" w:space="0" w:color="auto"/>
        <w:right w:val="none" w:sz="0" w:space="0" w:color="auto"/>
      </w:divBdr>
    </w:div>
    <w:div w:id="1438671792">
      <w:bodyDiv w:val="1"/>
      <w:marLeft w:val="0"/>
      <w:marRight w:val="0"/>
      <w:marTop w:val="0"/>
      <w:marBottom w:val="0"/>
      <w:divBdr>
        <w:top w:val="none" w:sz="0" w:space="0" w:color="auto"/>
        <w:left w:val="none" w:sz="0" w:space="0" w:color="auto"/>
        <w:bottom w:val="none" w:sz="0" w:space="0" w:color="auto"/>
        <w:right w:val="none" w:sz="0" w:space="0" w:color="auto"/>
      </w:divBdr>
    </w:div>
    <w:div w:id="1439369306">
      <w:bodyDiv w:val="1"/>
      <w:marLeft w:val="0"/>
      <w:marRight w:val="0"/>
      <w:marTop w:val="0"/>
      <w:marBottom w:val="0"/>
      <w:divBdr>
        <w:top w:val="none" w:sz="0" w:space="0" w:color="auto"/>
        <w:left w:val="none" w:sz="0" w:space="0" w:color="auto"/>
        <w:bottom w:val="none" w:sz="0" w:space="0" w:color="auto"/>
        <w:right w:val="none" w:sz="0" w:space="0" w:color="auto"/>
      </w:divBdr>
    </w:div>
    <w:div w:id="1443108964">
      <w:bodyDiv w:val="1"/>
      <w:marLeft w:val="0"/>
      <w:marRight w:val="0"/>
      <w:marTop w:val="0"/>
      <w:marBottom w:val="0"/>
      <w:divBdr>
        <w:top w:val="none" w:sz="0" w:space="0" w:color="auto"/>
        <w:left w:val="none" w:sz="0" w:space="0" w:color="auto"/>
        <w:bottom w:val="none" w:sz="0" w:space="0" w:color="auto"/>
        <w:right w:val="none" w:sz="0" w:space="0" w:color="auto"/>
      </w:divBdr>
    </w:div>
    <w:div w:id="1449591743">
      <w:bodyDiv w:val="1"/>
      <w:marLeft w:val="0"/>
      <w:marRight w:val="0"/>
      <w:marTop w:val="0"/>
      <w:marBottom w:val="0"/>
      <w:divBdr>
        <w:top w:val="none" w:sz="0" w:space="0" w:color="auto"/>
        <w:left w:val="none" w:sz="0" w:space="0" w:color="auto"/>
        <w:bottom w:val="none" w:sz="0" w:space="0" w:color="auto"/>
        <w:right w:val="none" w:sz="0" w:space="0" w:color="auto"/>
      </w:divBdr>
    </w:div>
    <w:div w:id="1450319531">
      <w:bodyDiv w:val="1"/>
      <w:marLeft w:val="0"/>
      <w:marRight w:val="0"/>
      <w:marTop w:val="0"/>
      <w:marBottom w:val="0"/>
      <w:divBdr>
        <w:top w:val="none" w:sz="0" w:space="0" w:color="auto"/>
        <w:left w:val="none" w:sz="0" w:space="0" w:color="auto"/>
        <w:bottom w:val="none" w:sz="0" w:space="0" w:color="auto"/>
        <w:right w:val="none" w:sz="0" w:space="0" w:color="auto"/>
      </w:divBdr>
    </w:div>
    <w:div w:id="1459834524">
      <w:bodyDiv w:val="1"/>
      <w:marLeft w:val="0"/>
      <w:marRight w:val="0"/>
      <w:marTop w:val="0"/>
      <w:marBottom w:val="0"/>
      <w:divBdr>
        <w:top w:val="none" w:sz="0" w:space="0" w:color="auto"/>
        <w:left w:val="none" w:sz="0" w:space="0" w:color="auto"/>
        <w:bottom w:val="none" w:sz="0" w:space="0" w:color="auto"/>
        <w:right w:val="none" w:sz="0" w:space="0" w:color="auto"/>
      </w:divBdr>
    </w:div>
    <w:div w:id="1463423063">
      <w:bodyDiv w:val="1"/>
      <w:marLeft w:val="0"/>
      <w:marRight w:val="0"/>
      <w:marTop w:val="0"/>
      <w:marBottom w:val="0"/>
      <w:divBdr>
        <w:top w:val="none" w:sz="0" w:space="0" w:color="auto"/>
        <w:left w:val="none" w:sz="0" w:space="0" w:color="auto"/>
        <w:bottom w:val="none" w:sz="0" w:space="0" w:color="auto"/>
        <w:right w:val="none" w:sz="0" w:space="0" w:color="auto"/>
      </w:divBdr>
    </w:div>
    <w:div w:id="1470242463">
      <w:bodyDiv w:val="1"/>
      <w:marLeft w:val="0"/>
      <w:marRight w:val="0"/>
      <w:marTop w:val="0"/>
      <w:marBottom w:val="0"/>
      <w:divBdr>
        <w:top w:val="none" w:sz="0" w:space="0" w:color="auto"/>
        <w:left w:val="none" w:sz="0" w:space="0" w:color="auto"/>
        <w:bottom w:val="none" w:sz="0" w:space="0" w:color="auto"/>
        <w:right w:val="none" w:sz="0" w:space="0" w:color="auto"/>
      </w:divBdr>
    </w:div>
    <w:div w:id="1470247767">
      <w:bodyDiv w:val="1"/>
      <w:marLeft w:val="0"/>
      <w:marRight w:val="0"/>
      <w:marTop w:val="0"/>
      <w:marBottom w:val="0"/>
      <w:divBdr>
        <w:top w:val="none" w:sz="0" w:space="0" w:color="auto"/>
        <w:left w:val="none" w:sz="0" w:space="0" w:color="auto"/>
        <w:bottom w:val="none" w:sz="0" w:space="0" w:color="auto"/>
        <w:right w:val="none" w:sz="0" w:space="0" w:color="auto"/>
      </w:divBdr>
    </w:div>
    <w:div w:id="1477915883">
      <w:bodyDiv w:val="1"/>
      <w:marLeft w:val="0"/>
      <w:marRight w:val="0"/>
      <w:marTop w:val="0"/>
      <w:marBottom w:val="0"/>
      <w:divBdr>
        <w:top w:val="none" w:sz="0" w:space="0" w:color="auto"/>
        <w:left w:val="none" w:sz="0" w:space="0" w:color="auto"/>
        <w:bottom w:val="none" w:sz="0" w:space="0" w:color="auto"/>
        <w:right w:val="none" w:sz="0" w:space="0" w:color="auto"/>
      </w:divBdr>
    </w:div>
    <w:div w:id="1481268347">
      <w:bodyDiv w:val="1"/>
      <w:marLeft w:val="0"/>
      <w:marRight w:val="0"/>
      <w:marTop w:val="0"/>
      <w:marBottom w:val="0"/>
      <w:divBdr>
        <w:top w:val="none" w:sz="0" w:space="0" w:color="auto"/>
        <w:left w:val="none" w:sz="0" w:space="0" w:color="auto"/>
        <w:bottom w:val="none" w:sz="0" w:space="0" w:color="auto"/>
        <w:right w:val="none" w:sz="0" w:space="0" w:color="auto"/>
      </w:divBdr>
    </w:div>
    <w:div w:id="1482388168">
      <w:bodyDiv w:val="1"/>
      <w:marLeft w:val="0"/>
      <w:marRight w:val="0"/>
      <w:marTop w:val="0"/>
      <w:marBottom w:val="0"/>
      <w:divBdr>
        <w:top w:val="none" w:sz="0" w:space="0" w:color="auto"/>
        <w:left w:val="none" w:sz="0" w:space="0" w:color="auto"/>
        <w:bottom w:val="none" w:sz="0" w:space="0" w:color="auto"/>
        <w:right w:val="none" w:sz="0" w:space="0" w:color="auto"/>
      </w:divBdr>
    </w:div>
    <w:div w:id="1482891095">
      <w:bodyDiv w:val="1"/>
      <w:marLeft w:val="0"/>
      <w:marRight w:val="0"/>
      <w:marTop w:val="0"/>
      <w:marBottom w:val="0"/>
      <w:divBdr>
        <w:top w:val="none" w:sz="0" w:space="0" w:color="auto"/>
        <w:left w:val="none" w:sz="0" w:space="0" w:color="auto"/>
        <w:bottom w:val="none" w:sz="0" w:space="0" w:color="auto"/>
        <w:right w:val="none" w:sz="0" w:space="0" w:color="auto"/>
      </w:divBdr>
    </w:div>
    <w:div w:id="1485464061">
      <w:bodyDiv w:val="1"/>
      <w:marLeft w:val="0"/>
      <w:marRight w:val="0"/>
      <w:marTop w:val="0"/>
      <w:marBottom w:val="0"/>
      <w:divBdr>
        <w:top w:val="none" w:sz="0" w:space="0" w:color="auto"/>
        <w:left w:val="none" w:sz="0" w:space="0" w:color="auto"/>
        <w:bottom w:val="none" w:sz="0" w:space="0" w:color="auto"/>
        <w:right w:val="none" w:sz="0" w:space="0" w:color="auto"/>
      </w:divBdr>
    </w:div>
    <w:div w:id="1487285649">
      <w:bodyDiv w:val="1"/>
      <w:marLeft w:val="0"/>
      <w:marRight w:val="0"/>
      <w:marTop w:val="0"/>
      <w:marBottom w:val="0"/>
      <w:divBdr>
        <w:top w:val="none" w:sz="0" w:space="0" w:color="auto"/>
        <w:left w:val="none" w:sz="0" w:space="0" w:color="auto"/>
        <w:bottom w:val="none" w:sz="0" w:space="0" w:color="auto"/>
        <w:right w:val="none" w:sz="0" w:space="0" w:color="auto"/>
      </w:divBdr>
    </w:div>
    <w:div w:id="1487286025">
      <w:bodyDiv w:val="1"/>
      <w:marLeft w:val="0"/>
      <w:marRight w:val="0"/>
      <w:marTop w:val="0"/>
      <w:marBottom w:val="0"/>
      <w:divBdr>
        <w:top w:val="none" w:sz="0" w:space="0" w:color="auto"/>
        <w:left w:val="none" w:sz="0" w:space="0" w:color="auto"/>
        <w:bottom w:val="none" w:sz="0" w:space="0" w:color="auto"/>
        <w:right w:val="none" w:sz="0" w:space="0" w:color="auto"/>
      </w:divBdr>
    </w:div>
    <w:div w:id="1488669678">
      <w:bodyDiv w:val="1"/>
      <w:marLeft w:val="0"/>
      <w:marRight w:val="0"/>
      <w:marTop w:val="0"/>
      <w:marBottom w:val="0"/>
      <w:divBdr>
        <w:top w:val="none" w:sz="0" w:space="0" w:color="auto"/>
        <w:left w:val="none" w:sz="0" w:space="0" w:color="auto"/>
        <w:bottom w:val="none" w:sz="0" w:space="0" w:color="auto"/>
        <w:right w:val="none" w:sz="0" w:space="0" w:color="auto"/>
      </w:divBdr>
    </w:div>
    <w:div w:id="1489443434">
      <w:bodyDiv w:val="1"/>
      <w:marLeft w:val="0"/>
      <w:marRight w:val="0"/>
      <w:marTop w:val="0"/>
      <w:marBottom w:val="0"/>
      <w:divBdr>
        <w:top w:val="none" w:sz="0" w:space="0" w:color="auto"/>
        <w:left w:val="none" w:sz="0" w:space="0" w:color="auto"/>
        <w:bottom w:val="none" w:sz="0" w:space="0" w:color="auto"/>
        <w:right w:val="none" w:sz="0" w:space="0" w:color="auto"/>
      </w:divBdr>
    </w:div>
    <w:div w:id="1491947252">
      <w:bodyDiv w:val="1"/>
      <w:marLeft w:val="0"/>
      <w:marRight w:val="0"/>
      <w:marTop w:val="0"/>
      <w:marBottom w:val="0"/>
      <w:divBdr>
        <w:top w:val="none" w:sz="0" w:space="0" w:color="auto"/>
        <w:left w:val="none" w:sz="0" w:space="0" w:color="auto"/>
        <w:bottom w:val="none" w:sz="0" w:space="0" w:color="auto"/>
        <w:right w:val="none" w:sz="0" w:space="0" w:color="auto"/>
      </w:divBdr>
    </w:div>
    <w:div w:id="1494179030">
      <w:bodyDiv w:val="1"/>
      <w:marLeft w:val="0"/>
      <w:marRight w:val="0"/>
      <w:marTop w:val="0"/>
      <w:marBottom w:val="0"/>
      <w:divBdr>
        <w:top w:val="none" w:sz="0" w:space="0" w:color="auto"/>
        <w:left w:val="none" w:sz="0" w:space="0" w:color="auto"/>
        <w:bottom w:val="none" w:sz="0" w:space="0" w:color="auto"/>
        <w:right w:val="none" w:sz="0" w:space="0" w:color="auto"/>
      </w:divBdr>
      <w:divsChild>
        <w:div w:id="498692890">
          <w:marLeft w:val="0"/>
          <w:marRight w:val="0"/>
          <w:marTop w:val="0"/>
          <w:marBottom w:val="0"/>
          <w:divBdr>
            <w:top w:val="none" w:sz="0" w:space="0" w:color="auto"/>
            <w:left w:val="none" w:sz="0" w:space="0" w:color="auto"/>
            <w:bottom w:val="none" w:sz="0" w:space="0" w:color="auto"/>
            <w:right w:val="none" w:sz="0" w:space="0" w:color="auto"/>
          </w:divBdr>
          <w:divsChild>
            <w:div w:id="710156114">
              <w:marLeft w:val="0"/>
              <w:marRight w:val="0"/>
              <w:marTop w:val="0"/>
              <w:marBottom w:val="0"/>
              <w:divBdr>
                <w:top w:val="none" w:sz="0" w:space="0" w:color="auto"/>
                <w:left w:val="none" w:sz="0" w:space="0" w:color="auto"/>
                <w:bottom w:val="none" w:sz="0" w:space="0" w:color="auto"/>
                <w:right w:val="none" w:sz="0" w:space="0" w:color="auto"/>
              </w:divBdr>
              <w:divsChild>
                <w:div w:id="1089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899">
      <w:bodyDiv w:val="1"/>
      <w:marLeft w:val="0"/>
      <w:marRight w:val="0"/>
      <w:marTop w:val="0"/>
      <w:marBottom w:val="0"/>
      <w:divBdr>
        <w:top w:val="none" w:sz="0" w:space="0" w:color="auto"/>
        <w:left w:val="none" w:sz="0" w:space="0" w:color="auto"/>
        <w:bottom w:val="none" w:sz="0" w:space="0" w:color="auto"/>
        <w:right w:val="none" w:sz="0" w:space="0" w:color="auto"/>
      </w:divBdr>
    </w:div>
    <w:div w:id="1502427712">
      <w:bodyDiv w:val="1"/>
      <w:marLeft w:val="0"/>
      <w:marRight w:val="0"/>
      <w:marTop w:val="0"/>
      <w:marBottom w:val="0"/>
      <w:divBdr>
        <w:top w:val="none" w:sz="0" w:space="0" w:color="auto"/>
        <w:left w:val="none" w:sz="0" w:space="0" w:color="auto"/>
        <w:bottom w:val="none" w:sz="0" w:space="0" w:color="auto"/>
        <w:right w:val="none" w:sz="0" w:space="0" w:color="auto"/>
      </w:divBdr>
    </w:div>
    <w:div w:id="1505437366">
      <w:bodyDiv w:val="1"/>
      <w:marLeft w:val="0"/>
      <w:marRight w:val="0"/>
      <w:marTop w:val="0"/>
      <w:marBottom w:val="0"/>
      <w:divBdr>
        <w:top w:val="none" w:sz="0" w:space="0" w:color="auto"/>
        <w:left w:val="none" w:sz="0" w:space="0" w:color="auto"/>
        <w:bottom w:val="none" w:sz="0" w:space="0" w:color="auto"/>
        <w:right w:val="none" w:sz="0" w:space="0" w:color="auto"/>
      </w:divBdr>
    </w:div>
    <w:div w:id="1506554989">
      <w:bodyDiv w:val="1"/>
      <w:marLeft w:val="0"/>
      <w:marRight w:val="0"/>
      <w:marTop w:val="0"/>
      <w:marBottom w:val="0"/>
      <w:divBdr>
        <w:top w:val="none" w:sz="0" w:space="0" w:color="auto"/>
        <w:left w:val="none" w:sz="0" w:space="0" w:color="auto"/>
        <w:bottom w:val="none" w:sz="0" w:space="0" w:color="auto"/>
        <w:right w:val="none" w:sz="0" w:space="0" w:color="auto"/>
      </w:divBdr>
    </w:div>
    <w:div w:id="1522664898">
      <w:bodyDiv w:val="1"/>
      <w:marLeft w:val="0"/>
      <w:marRight w:val="0"/>
      <w:marTop w:val="0"/>
      <w:marBottom w:val="0"/>
      <w:divBdr>
        <w:top w:val="none" w:sz="0" w:space="0" w:color="auto"/>
        <w:left w:val="none" w:sz="0" w:space="0" w:color="auto"/>
        <w:bottom w:val="none" w:sz="0" w:space="0" w:color="auto"/>
        <w:right w:val="none" w:sz="0" w:space="0" w:color="auto"/>
      </w:divBdr>
    </w:div>
    <w:div w:id="1542941072">
      <w:bodyDiv w:val="1"/>
      <w:marLeft w:val="0"/>
      <w:marRight w:val="0"/>
      <w:marTop w:val="0"/>
      <w:marBottom w:val="0"/>
      <w:divBdr>
        <w:top w:val="none" w:sz="0" w:space="0" w:color="auto"/>
        <w:left w:val="none" w:sz="0" w:space="0" w:color="auto"/>
        <w:bottom w:val="none" w:sz="0" w:space="0" w:color="auto"/>
        <w:right w:val="none" w:sz="0" w:space="0" w:color="auto"/>
      </w:divBdr>
    </w:div>
    <w:div w:id="1558315449">
      <w:bodyDiv w:val="1"/>
      <w:marLeft w:val="0"/>
      <w:marRight w:val="0"/>
      <w:marTop w:val="0"/>
      <w:marBottom w:val="0"/>
      <w:divBdr>
        <w:top w:val="none" w:sz="0" w:space="0" w:color="auto"/>
        <w:left w:val="none" w:sz="0" w:space="0" w:color="auto"/>
        <w:bottom w:val="none" w:sz="0" w:space="0" w:color="auto"/>
        <w:right w:val="none" w:sz="0" w:space="0" w:color="auto"/>
      </w:divBdr>
    </w:div>
    <w:div w:id="1560744174">
      <w:bodyDiv w:val="1"/>
      <w:marLeft w:val="0"/>
      <w:marRight w:val="0"/>
      <w:marTop w:val="0"/>
      <w:marBottom w:val="0"/>
      <w:divBdr>
        <w:top w:val="none" w:sz="0" w:space="0" w:color="auto"/>
        <w:left w:val="none" w:sz="0" w:space="0" w:color="auto"/>
        <w:bottom w:val="none" w:sz="0" w:space="0" w:color="auto"/>
        <w:right w:val="none" w:sz="0" w:space="0" w:color="auto"/>
      </w:divBdr>
    </w:div>
    <w:div w:id="1561937594">
      <w:bodyDiv w:val="1"/>
      <w:marLeft w:val="0"/>
      <w:marRight w:val="0"/>
      <w:marTop w:val="0"/>
      <w:marBottom w:val="0"/>
      <w:divBdr>
        <w:top w:val="none" w:sz="0" w:space="0" w:color="auto"/>
        <w:left w:val="none" w:sz="0" w:space="0" w:color="auto"/>
        <w:bottom w:val="none" w:sz="0" w:space="0" w:color="auto"/>
        <w:right w:val="none" w:sz="0" w:space="0" w:color="auto"/>
      </w:divBdr>
    </w:div>
    <w:div w:id="1563827414">
      <w:bodyDiv w:val="1"/>
      <w:marLeft w:val="0"/>
      <w:marRight w:val="0"/>
      <w:marTop w:val="0"/>
      <w:marBottom w:val="0"/>
      <w:divBdr>
        <w:top w:val="none" w:sz="0" w:space="0" w:color="auto"/>
        <w:left w:val="none" w:sz="0" w:space="0" w:color="auto"/>
        <w:bottom w:val="none" w:sz="0" w:space="0" w:color="auto"/>
        <w:right w:val="none" w:sz="0" w:space="0" w:color="auto"/>
      </w:divBdr>
    </w:div>
    <w:div w:id="1566530035">
      <w:bodyDiv w:val="1"/>
      <w:marLeft w:val="0"/>
      <w:marRight w:val="0"/>
      <w:marTop w:val="0"/>
      <w:marBottom w:val="0"/>
      <w:divBdr>
        <w:top w:val="none" w:sz="0" w:space="0" w:color="auto"/>
        <w:left w:val="none" w:sz="0" w:space="0" w:color="auto"/>
        <w:bottom w:val="none" w:sz="0" w:space="0" w:color="auto"/>
        <w:right w:val="none" w:sz="0" w:space="0" w:color="auto"/>
      </w:divBdr>
    </w:div>
    <w:div w:id="1569219699">
      <w:bodyDiv w:val="1"/>
      <w:marLeft w:val="0"/>
      <w:marRight w:val="0"/>
      <w:marTop w:val="0"/>
      <w:marBottom w:val="0"/>
      <w:divBdr>
        <w:top w:val="none" w:sz="0" w:space="0" w:color="auto"/>
        <w:left w:val="none" w:sz="0" w:space="0" w:color="auto"/>
        <w:bottom w:val="none" w:sz="0" w:space="0" w:color="auto"/>
        <w:right w:val="none" w:sz="0" w:space="0" w:color="auto"/>
      </w:divBdr>
      <w:divsChild>
        <w:div w:id="1894123259">
          <w:marLeft w:val="0"/>
          <w:marRight w:val="0"/>
          <w:marTop w:val="0"/>
          <w:marBottom w:val="0"/>
          <w:divBdr>
            <w:top w:val="none" w:sz="0" w:space="0" w:color="auto"/>
            <w:left w:val="none" w:sz="0" w:space="0" w:color="auto"/>
            <w:bottom w:val="none" w:sz="0" w:space="0" w:color="auto"/>
            <w:right w:val="none" w:sz="0" w:space="0" w:color="auto"/>
          </w:divBdr>
          <w:divsChild>
            <w:div w:id="1974016882">
              <w:marLeft w:val="0"/>
              <w:marRight w:val="0"/>
              <w:marTop w:val="0"/>
              <w:marBottom w:val="0"/>
              <w:divBdr>
                <w:top w:val="none" w:sz="0" w:space="0" w:color="auto"/>
                <w:left w:val="none" w:sz="0" w:space="0" w:color="auto"/>
                <w:bottom w:val="none" w:sz="0" w:space="0" w:color="auto"/>
                <w:right w:val="none" w:sz="0" w:space="0" w:color="auto"/>
              </w:divBdr>
              <w:divsChild>
                <w:div w:id="11812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1717">
      <w:bodyDiv w:val="1"/>
      <w:marLeft w:val="0"/>
      <w:marRight w:val="0"/>
      <w:marTop w:val="0"/>
      <w:marBottom w:val="0"/>
      <w:divBdr>
        <w:top w:val="none" w:sz="0" w:space="0" w:color="auto"/>
        <w:left w:val="none" w:sz="0" w:space="0" w:color="auto"/>
        <w:bottom w:val="none" w:sz="0" w:space="0" w:color="auto"/>
        <w:right w:val="none" w:sz="0" w:space="0" w:color="auto"/>
      </w:divBdr>
    </w:div>
    <w:div w:id="1577279121">
      <w:bodyDiv w:val="1"/>
      <w:marLeft w:val="0"/>
      <w:marRight w:val="0"/>
      <w:marTop w:val="0"/>
      <w:marBottom w:val="0"/>
      <w:divBdr>
        <w:top w:val="none" w:sz="0" w:space="0" w:color="auto"/>
        <w:left w:val="none" w:sz="0" w:space="0" w:color="auto"/>
        <w:bottom w:val="none" w:sz="0" w:space="0" w:color="auto"/>
        <w:right w:val="none" w:sz="0" w:space="0" w:color="auto"/>
      </w:divBdr>
    </w:div>
    <w:div w:id="1582835093">
      <w:bodyDiv w:val="1"/>
      <w:marLeft w:val="0"/>
      <w:marRight w:val="0"/>
      <w:marTop w:val="0"/>
      <w:marBottom w:val="0"/>
      <w:divBdr>
        <w:top w:val="none" w:sz="0" w:space="0" w:color="auto"/>
        <w:left w:val="none" w:sz="0" w:space="0" w:color="auto"/>
        <w:bottom w:val="none" w:sz="0" w:space="0" w:color="auto"/>
        <w:right w:val="none" w:sz="0" w:space="0" w:color="auto"/>
      </w:divBdr>
    </w:div>
    <w:div w:id="1583220175">
      <w:bodyDiv w:val="1"/>
      <w:marLeft w:val="0"/>
      <w:marRight w:val="0"/>
      <w:marTop w:val="0"/>
      <w:marBottom w:val="0"/>
      <w:divBdr>
        <w:top w:val="none" w:sz="0" w:space="0" w:color="auto"/>
        <w:left w:val="none" w:sz="0" w:space="0" w:color="auto"/>
        <w:bottom w:val="none" w:sz="0" w:space="0" w:color="auto"/>
        <w:right w:val="none" w:sz="0" w:space="0" w:color="auto"/>
      </w:divBdr>
    </w:div>
    <w:div w:id="1583636139">
      <w:bodyDiv w:val="1"/>
      <w:marLeft w:val="0"/>
      <w:marRight w:val="0"/>
      <w:marTop w:val="0"/>
      <w:marBottom w:val="0"/>
      <w:divBdr>
        <w:top w:val="none" w:sz="0" w:space="0" w:color="auto"/>
        <w:left w:val="none" w:sz="0" w:space="0" w:color="auto"/>
        <w:bottom w:val="none" w:sz="0" w:space="0" w:color="auto"/>
        <w:right w:val="none" w:sz="0" w:space="0" w:color="auto"/>
      </w:divBdr>
      <w:divsChild>
        <w:div w:id="427774745">
          <w:marLeft w:val="1166"/>
          <w:marRight w:val="0"/>
          <w:marTop w:val="67"/>
          <w:marBottom w:val="0"/>
          <w:divBdr>
            <w:top w:val="none" w:sz="0" w:space="0" w:color="auto"/>
            <w:left w:val="none" w:sz="0" w:space="0" w:color="auto"/>
            <w:bottom w:val="none" w:sz="0" w:space="0" w:color="auto"/>
            <w:right w:val="none" w:sz="0" w:space="0" w:color="auto"/>
          </w:divBdr>
        </w:div>
        <w:div w:id="604654407">
          <w:marLeft w:val="1166"/>
          <w:marRight w:val="0"/>
          <w:marTop w:val="67"/>
          <w:marBottom w:val="0"/>
          <w:divBdr>
            <w:top w:val="none" w:sz="0" w:space="0" w:color="auto"/>
            <w:left w:val="none" w:sz="0" w:space="0" w:color="auto"/>
            <w:bottom w:val="none" w:sz="0" w:space="0" w:color="auto"/>
            <w:right w:val="none" w:sz="0" w:space="0" w:color="auto"/>
          </w:divBdr>
        </w:div>
        <w:div w:id="675348636">
          <w:marLeft w:val="547"/>
          <w:marRight w:val="0"/>
          <w:marTop w:val="86"/>
          <w:marBottom w:val="0"/>
          <w:divBdr>
            <w:top w:val="none" w:sz="0" w:space="0" w:color="auto"/>
            <w:left w:val="none" w:sz="0" w:space="0" w:color="auto"/>
            <w:bottom w:val="none" w:sz="0" w:space="0" w:color="auto"/>
            <w:right w:val="none" w:sz="0" w:space="0" w:color="auto"/>
          </w:divBdr>
        </w:div>
        <w:div w:id="689913454">
          <w:marLeft w:val="1166"/>
          <w:marRight w:val="0"/>
          <w:marTop w:val="67"/>
          <w:marBottom w:val="0"/>
          <w:divBdr>
            <w:top w:val="none" w:sz="0" w:space="0" w:color="auto"/>
            <w:left w:val="none" w:sz="0" w:space="0" w:color="auto"/>
            <w:bottom w:val="none" w:sz="0" w:space="0" w:color="auto"/>
            <w:right w:val="none" w:sz="0" w:space="0" w:color="auto"/>
          </w:divBdr>
        </w:div>
      </w:divsChild>
    </w:div>
    <w:div w:id="1583904777">
      <w:bodyDiv w:val="1"/>
      <w:marLeft w:val="0"/>
      <w:marRight w:val="0"/>
      <w:marTop w:val="0"/>
      <w:marBottom w:val="0"/>
      <w:divBdr>
        <w:top w:val="none" w:sz="0" w:space="0" w:color="auto"/>
        <w:left w:val="none" w:sz="0" w:space="0" w:color="auto"/>
        <w:bottom w:val="none" w:sz="0" w:space="0" w:color="auto"/>
        <w:right w:val="none" w:sz="0" w:space="0" w:color="auto"/>
      </w:divBdr>
      <w:divsChild>
        <w:div w:id="2108042122">
          <w:marLeft w:val="0"/>
          <w:marRight w:val="0"/>
          <w:marTop w:val="0"/>
          <w:marBottom w:val="0"/>
          <w:divBdr>
            <w:top w:val="none" w:sz="0" w:space="0" w:color="auto"/>
            <w:left w:val="none" w:sz="0" w:space="0" w:color="auto"/>
            <w:bottom w:val="none" w:sz="0" w:space="0" w:color="auto"/>
            <w:right w:val="none" w:sz="0" w:space="0" w:color="auto"/>
          </w:divBdr>
          <w:divsChild>
            <w:div w:id="2020934696">
              <w:marLeft w:val="0"/>
              <w:marRight w:val="0"/>
              <w:marTop w:val="0"/>
              <w:marBottom w:val="0"/>
              <w:divBdr>
                <w:top w:val="none" w:sz="0" w:space="0" w:color="auto"/>
                <w:left w:val="none" w:sz="0" w:space="0" w:color="auto"/>
                <w:bottom w:val="none" w:sz="0" w:space="0" w:color="auto"/>
                <w:right w:val="none" w:sz="0" w:space="0" w:color="auto"/>
              </w:divBdr>
              <w:divsChild>
                <w:div w:id="12569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3123">
      <w:bodyDiv w:val="1"/>
      <w:marLeft w:val="0"/>
      <w:marRight w:val="0"/>
      <w:marTop w:val="0"/>
      <w:marBottom w:val="0"/>
      <w:divBdr>
        <w:top w:val="none" w:sz="0" w:space="0" w:color="auto"/>
        <w:left w:val="none" w:sz="0" w:space="0" w:color="auto"/>
        <w:bottom w:val="none" w:sz="0" w:space="0" w:color="auto"/>
        <w:right w:val="none" w:sz="0" w:space="0" w:color="auto"/>
      </w:divBdr>
    </w:div>
    <w:div w:id="1600748811">
      <w:bodyDiv w:val="1"/>
      <w:marLeft w:val="0"/>
      <w:marRight w:val="0"/>
      <w:marTop w:val="0"/>
      <w:marBottom w:val="0"/>
      <w:divBdr>
        <w:top w:val="none" w:sz="0" w:space="0" w:color="auto"/>
        <w:left w:val="none" w:sz="0" w:space="0" w:color="auto"/>
        <w:bottom w:val="none" w:sz="0" w:space="0" w:color="auto"/>
        <w:right w:val="none" w:sz="0" w:space="0" w:color="auto"/>
      </w:divBdr>
    </w:div>
    <w:div w:id="1602882371">
      <w:bodyDiv w:val="1"/>
      <w:marLeft w:val="0"/>
      <w:marRight w:val="0"/>
      <w:marTop w:val="0"/>
      <w:marBottom w:val="0"/>
      <w:divBdr>
        <w:top w:val="none" w:sz="0" w:space="0" w:color="auto"/>
        <w:left w:val="none" w:sz="0" w:space="0" w:color="auto"/>
        <w:bottom w:val="none" w:sz="0" w:space="0" w:color="auto"/>
        <w:right w:val="none" w:sz="0" w:space="0" w:color="auto"/>
      </w:divBdr>
    </w:div>
    <w:div w:id="1603219615">
      <w:bodyDiv w:val="1"/>
      <w:marLeft w:val="0"/>
      <w:marRight w:val="0"/>
      <w:marTop w:val="0"/>
      <w:marBottom w:val="0"/>
      <w:divBdr>
        <w:top w:val="none" w:sz="0" w:space="0" w:color="auto"/>
        <w:left w:val="none" w:sz="0" w:space="0" w:color="auto"/>
        <w:bottom w:val="none" w:sz="0" w:space="0" w:color="auto"/>
        <w:right w:val="none" w:sz="0" w:space="0" w:color="auto"/>
      </w:divBdr>
    </w:div>
    <w:div w:id="1607731016">
      <w:bodyDiv w:val="1"/>
      <w:marLeft w:val="0"/>
      <w:marRight w:val="0"/>
      <w:marTop w:val="0"/>
      <w:marBottom w:val="0"/>
      <w:divBdr>
        <w:top w:val="none" w:sz="0" w:space="0" w:color="auto"/>
        <w:left w:val="none" w:sz="0" w:space="0" w:color="auto"/>
        <w:bottom w:val="none" w:sz="0" w:space="0" w:color="auto"/>
        <w:right w:val="none" w:sz="0" w:space="0" w:color="auto"/>
      </w:divBdr>
    </w:div>
    <w:div w:id="1610502443">
      <w:bodyDiv w:val="1"/>
      <w:marLeft w:val="0"/>
      <w:marRight w:val="0"/>
      <w:marTop w:val="0"/>
      <w:marBottom w:val="0"/>
      <w:divBdr>
        <w:top w:val="none" w:sz="0" w:space="0" w:color="auto"/>
        <w:left w:val="none" w:sz="0" w:space="0" w:color="auto"/>
        <w:bottom w:val="none" w:sz="0" w:space="0" w:color="auto"/>
        <w:right w:val="none" w:sz="0" w:space="0" w:color="auto"/>
      </w:divBdr>
    </w:div>
    <w:div w:id="1610815290">
      <w:bodyDiv w:val="1"/>
      <w:marLeft w:val="0"/>
      <w:marRight w:val="0"/>
      <w:marTop w:val="0"/>
      <w:marBottom w:val="0"/>
      <w:divBdr>
        <w:top w:val="none" w:sz="0" w:space="0" w:color="auto"/>
        <w:left w:val="none" w:sz="0" w:space="0" w:color="auto"/>
        <w:bottom w:val="none" w:sz="0" w:space="0" w:color="auto"/>
        <w:right w:val="none" w:sz="0" w:space="0" w:color="auto"/>
      </w:divBdr>
    </w:div>
    <w:div w:id="1619945577">
      <w:bodyDiv w:val="1"/>
      <w:marLeft w:val="0"/>
      <w:marRight w:val="0"/>
      <w:marTop w:val="0"/>
      <w:marBottom w:val="0"/>
      <w:divBdr>
        <w:top w:val="none" w:sz="0" w:space="0" w:color="auto"/>
        <w:left w:val="none" w:sz="0" w:space="0" w:color="auto"/>
        <w:bottom w:val="none" w:sz="0" w:space="0" w:color="auto"/>
        <w:right w:val="none" w:sz="0" w:space="0" w:color="auto"/>
      </w:divBdr>
    </w:div>
    <w:div w:id="1621492227">
      <w:bodyDiv w:val="1"/>
      <w:marLeft w:val="0"/>
      <w:marRight w:val="0"/>
      <w:marTop w:val="0"/>
      <w:marBottom w:val="0"/>
      <w:divBdr>
        <w:top w:val="none" w:sz="0" w:space="0" w:color="auto"/>
        <w:left w:val="none" w:sz="0" w:space="0" w:color="auto"/>
        <w:bottom w:val="none" w:sz="0" w:space="0" w:color="auto"/>
        <w:right w:val="none" w:sz="0" w:space="0" w:color="auto"/>
      </w:divBdr>
    </w:div>
    <w:div w:id="1627811227">
      <w:bodyDiv w:val="1"/>
      <w:marLeft w:val="0"/>
      <w:marRight w:val="0"/>
      <w:marTop w:val="0"/>
      <w:marBottom w:val="0"/>
      <w:divBdr>
        <w:top w:val="none" w:sz="0" w:space="0" w:color="auto"/>
        <w:left w:val="none" w:sz="0" w:space="0" w:color="auto"/>
        <w:bottom w:val="none" w:sz="0" w:space="0" w:color="auto"/>
        <w:right w:val="none" w:sz="0" w:space="0" w:color="auto"/>
      </w:divBdr>
    </w:div>
    <w:div w:id="1632007194">
      <w:bodyDiv w:val="1"/>
      <w:marLeft w:val="0"/>
      <w:marRight w:val="0"/>
      <w:marTop w:val="0"/>
      <w:marBottom w:val="0"/>
      <w:divBdr>
        <w:top w:val="none" w:sz="0" w:space="0" w:color="auto"/>
        <w:left w:val="none" w:sz="0" w:space="0" w:color="auto"/>
        <w:bottom w:val="none" w:sz="0" w:space="0" w:color="auto"/>
        <w:right w:val="none" w:sz="0" w:space="0" w:color="auto"/>
      </w:divBdr>
    </w:div>
    <w:div w:id="1640644690">
      <w:bodyDiv w:val="1"/>
      <w:marLeft w:val="0"/>
      <w:marRight w:val="0"/>
      <w:marTop w:val="0"/>
      <w:marBottom w:val="0"/>
      <w:divBdr>
        <w:top w:val="none" w:sz="0" w:space="0" w:color="auto"/>
        <w:left w:val="none" w:sz="0" w:space="0" w:color="auto"/>
        <w:bottom w:val="none" w:sz="0" w:space="0" w:color="auto"/>
        <w:right w:val="none" w:sz="0" w:space="0" w:color="auto"/>
      </w:divBdr>
    </w:div>
    <w:div w:id="1648632757">
      <w:bodyDiv w:val="1"/>
      <w:marLeft w:val="0"/>
      <w:marRight w:val="0"/>
      <w:marTop w:val="0"/>
      <w:marBottom w:val="0"/>
      <w:divBdr>
        <w:top w:val="none" w:sz="0" w:space="0" w:color="auto"/>
        <w:left w:val="none" w:sz="0" w:space="0" w:color="auto"/>
        <w:bottom w:val="none" w:sz="0" w:space="0" w:color="auto"/>
        <w:right w:val="none" w:sz="0" w:space="0" w:color="auto"/>
      </w:divBdr>
    </w:div>
    <w:div w:id="1651010108">
      <w:bodyDiv w:val="1"/>
      <w:marLeft w:val="0"/>
      <w:marRight w:val="0"/>
      <w:marTop w:val="0"/>
      <w:marBottom w:val="0"/>
      <w:divBdr>
        <w:top w:val="none" w:sz="0" w:space="0" w:color="auto"/>
        <w:left w:val="none" w:sz="0" w:space="0" w:color="auto"/>
        <w:bottom w:val="none" w:sz="0" w:space="0" w:color="auto"/>
        <w:right w:val="none" w:sz="0" w:space="0" w:color="auto"/>
      </w:divBdr>
    </w:div>
    <w:div w:id="1674525293">
      <w:bodyDiv w:val="1"/>
      <w:marLeft w:val="0"/>
      <w:marRight w:val="0"/>
      <w:marTop w:val="0"/>
      <w:marBottom w:val="0"/>
      <w:divBdr>
        <w:top w:val="none" w:sz="0" w:space="0" w:color="auto"/>
        <w:left w:val="none" w:sz="0" w:space="0" w:color="auto"/>
        <w:bottom w:val="none" w:sz="0" w:space="0" w:color="auto"/>
        <w:right w:val="none" w:sz="0" w:space="0" w:color="auto"/>
      </w:divBdr>
    </w:div>
    <w:div w:id="1677726645">
      <w:bodyDiv w:val="1"/>
      <w:marLeft w:val="0"/>
      <w:marRight w:val="0"/>
      <w:marTop w:val="0"/>
      <w:marBottom w:val="0"/>
      <w:divBdr>
        <w:top w:val="none" w:sz="0" w:space="0" w:color="auto"/>
        <w:left w:val="none" w:sz="0" w:space="0" w:color="auto"/>
        <w:bottom w:val="none" w:sz="0" w:space="0" w:color="auto"/>
        <w:right w:val="none" w:sz="0" w:space="0" w:color="auto"/>
      </w:divBdr>
    </w:div>
    <w:div w:id="1679036399">
      <w:bodyDiv w:val="1"/>
      <w:marLeft w:val="0"/>
      <w:marRight w:val="0"/>
      <w:marTop w:val="0"/>
      <w:marBottom w:val="0"/>
      <w:divBdr>
        <w:top w:val="none" w:sz="0" w:space="0" w:color="auto"/>
        <w:left w:val="none" w:sz="0" w:space="0" w:color="auto"/>
        <w:bottom w:val="none" w:sz="0" w:space="0" w:color="auto"/>
        <w:right w:val="none" w:sz="0" w:space="0" w:color="auto"/>
      </w:divBdr>
    </w:div>
    <w:div w:id="1679039763">
      <w:bodyDiv w:val="1"/>
      <w:marLeft w:val="0"/>
      <w:marRight w:val="0"/>
      <w:marTop w:val="0"/>
      <w:marBottom w:val="0"/>
      <w:divBdr>
        <w:top w:val="none" w:sz="0" w:space="0" w:color="auto"/>
        <w:left w:val="none" w:sz="0" w:space="0" w:color="auto"/>
        <w:bottom w:val="none" w:sz="0" w:space="0" w:color="auto"/>
        <w:right w:val="none" w:sz="0" w:space="0" w:color="auto"/>
      </w:divBdr>
    </w:div>
    <w:div w:id="1687753839">
      <w:bodyDiv w:val="1"/>
      <w:marLeft w:val="0"/>
      <w:marRight w:val="0"/>
      <w:marTop w:val="0"/>
      <w:marBottom w:val="0"/>
      <w:divBdr>
        <w:top w:val="none" w:sz="0" w:space="0" w:color="auto"/>
        <w:left w:val="none" w:sz="0" w:space="0" w:color="auto"/>
        <w:bottom w:val="none" w:sz="0" w:space="0" w:color="auto"/>
        <w:right w:val="none" w:sz="0" w:space="0" w:color="auto"/>
      </w:divBdr>
    </w:div>
    <w:div w:id="1689912412">
      <w:bodyDiv w:val="1"/>
      <w:marLeft w:val="0"/>
      <w:marRight w:val="0"/>
      <w:marTop w:val="0"/>
      <w:marBottom w:val="0"/>
      <w:divBdr>
        <w:top w:val="none" w:sz="0" w:space="0" w:color="auto"/>
        <w:left w:val="none" w:sz="0" w:space="0" w:color="auto"/>
        <w:bottom w:val="none" w:sz="0" w:space="0" w:color="auto"/>
        <w:right w:val="none" w:sz="0" w:space="0" w:color="auto"/>
      </w:divBdr>
    </w:div>
    <w:div w:id="1698701623">
      <w:bodyDiv w:val="1"/>
      <w:marLeft w:val="0"/>
      <w:marRight w:val="0"/>
      <w:marTop w:val="0"/>
      <w:marBottom w:val="0"/>
      <w:divBdr>
        <w:top w:val="none" w:sz="0" w:space="0" w:color="auto"/>
        <w:left w:val="none" w:sz="0" w:space="0" w:color="auto"/>
        <w:bottom w:val="none" w:sz="0" w:space="0" w:color="auto"/>
        <w:right w:val="none" w:sz="0" w:space="0" w:color="auto"/>
      </w:divBdr>
    </w:div>
    <w:div w:id="1701468911">
      <w:bodyDiv w:val="1"/>
      <w:marLeft w:val="0"/>
      <w:marRight w:val="0"/>
      <w:marTop w:val="0"/>
      <w:marBottom w:val="0"/>
      <w:divBdr>
        <w:top w:val="none" w:sz="0" w:space="0" w:color="auto"/>
        <w:left w:val="none" w:sz="0" w:space="0" w:color="auto"/>
        <w:bottom w:val="none" w:sz="0" w:space="0" w:color="auto"/>
        <w:right w:val="none" w:sz="0" w:space="0" w:color="auto"/>
      </w:divBdr>
    </w:div>
    <w:div w:id="1702977966">
      <w:bodyDiv w:val="1"/>
      <w:marLeft w:val="0"/>
      <w:marRight w:val="0"/>
      <w:marTop w:val="0"/>
      <w:marBottom w:val="0"/>
      <w:divBdr>
        <w:top w:val="none" w:sz="0" w:space="0" w:color="auto"/>
        <w:left w:val="none" w:sz="0" w:space="0" w:color="auto"/>
        <w:bottom w:val="none" w:sz="0" w:space="0" w:color="auto"/>
        <w:right w:val="none" w:sz="0" w:space="0" w:color="auto"/>
      </w:divBdr>
    </w:div>
    <w:div w:id="1703940517">
      <w:bodyDiv w:val="1"/>
      <w:marLeft w:val="0"/>
      <w:marRight w:val="0"/>
      <w:marTop w:val="0"/>
      <w:marBottom w:val="0"/>
      <w:divBdr>
        <w:top w:val="none" w:sz="0" w:space="0" w:color="auto"/>
        <w:left w:val="none" w:sz="0" w:space="0" w:color="auto"/>
        <w:bottom w:val="none" w:sz="0" w:space="0" w:color="auto"/>
        <w:right w:val="none" w:sz="0" w:space="0" w:color="auto"/>
      </w:divBdr>
    </w:div>
    <w:div w:id="1705444387">
      <w:bodyDiv w:val="1"/>
      <w:marLeft w:val="0"/>
      <w:marRight w:val="0"/>
      <w:marTop w:val="0"/>
      <w:marBottom w:val="0"/>
      <w:divBdr>
        <w:top w:val="none" w:sz="0" w:space="0" w:color="auto"/>
        <w:left w:val="none" w:sz="0" w:space="0" w:color="auto"/>
        <w:bottom w:val="none" w:sz="0" w:space="0" w:color="auto"/>
        <w:right w:val="none" w:sz="0" w:space="0" w:color="auto"/>
      </w:divBdr>
    </w:div>
    <w:div w:id="1708531369">
      <w:bodyDiv w:val="1"/>
      <w:marLeft w:val="0"/>
      <w:marRight w:val="0"/>
      <w:marTop w:val="0"/>
      <w:marBottom w:val="0"/>
      <w:divBdr>
        <w:top w:val="none" w:sz="0" w:space="0" w:color="auto"/>
        <w:left w:val="none" w:sz="0" w:space="0" w:color="auto"/>
        <w:bottom w:val="none" w:sz="0" w:space="0" w:color="auto"/>
        <w:right w:val="none" w:sz="0" w:space="0" w:color="auto"/>
      </w:divBdr>
    </w:div>
    <w:div w:id="1712802760">
      <w:bodyDiv w:val="1"/>
      <w:marLeft w:val="0"/>
      <w:marRight w:val="0"/>
      <w:marTop w:val="0"/>
      <w:marBottom w:val="0"/>
      <w:divBdr>
        <w:top w:val="none" w:sz="0" w:space="0" w:color="auto"/>
        <w:left w:val="none" w:sz="0" w:space="0" w:color="auto"/>
        <w:bottom w:val="none" w:sz="0" w:space="0" w:color="auto"/>
        <w:right w:val="none" w:sz="0" w:space="0" w:color="auto"/>
      </w:divBdr>
      <w:divsChild>
        <w:div w:id="1082526233">
          <w:marLeft w:val="0"/>
          <w:marRight w:val="0"/>
          <w:marTop w:val="0"/>
          <w:marBottom w:val="0"/>
          <w:divBdr>
            <w:top w:val="none" w:sz="0" w:space="0" w:color="auto"/>
            <w:left w:val="none" w:sz="0" w:space="0" w:color="auto"/>
            <w:bottom w:val="none" w:sz="0" w:space="0" w:color="auto"/>
            <w:right w:val="none" w:sz="0" w:space="0" w:color="auto"/>
          </w:divBdr>
        </w:div>
        <w:div w:id="1085416385">
          <w:marLeft w:val="0"/>
          <w:marRight w:val="0"/>
          <w:marTop w:val="0"/>
          <w:marBottom w:val="0"/>
          <w:divBdr>
            <w:top w:val="none" w:sz="0" w:space="0" w:color="auto"/>
            <w:left w:val="none" w:sz="0" w:space="0" w:color="auto"/>
            <w:bottom w:val="none" w:sz="0" w:space="0" w:color="auto"/>
            <w:right w:val="none" w:sz="0" w:space="0" w:color="auto"/>
          </w:divBdr>
        </w:div>
        <w:div w:id="1404640540">
          <w:marLeft w:val="0"/>
          <w:marRight w:val="0"/>
          <w:marTop w:val="0"/>
          <w:marBottom w:val="0"/>
          <w:divBdr>
            <w:top w:val="none" w:sz="0" w:space="0" w:color="auto"/>
            <w:left w:val="none" w:sz="0" w:space="0" w:color="auto"/>
            <w:bottom w:val="none" w:sz="0" w:space="0" w:color="auto"/>
            <w:right w:val="none" w:sz="0" w:space="0" w:color="auto"/>
          </w:divBdr>
        </w:div>
      </w:divsChild>
    </w:div>
    <w:div w:id="1725325776">
      <w:bodyDiv w:val="1"/>
      <w:marLeft w:val="0"/>
      <w:marRight w:val="0"/>
      <w:marTop w:val="0"/>
      <w:marBottom w:val="0"/>
      <w:divBdr>
        <w:top w:val="none" w:sz="0" w:space="0" w:color="auto"/>
        <w:left w:val="none" w:sz="0" w:space="0" w:color="auto"/>
        <w:bottom w:val="none" w:sz="0" w:space="0" w:color="auto"/>
        <w:right w:val="none" w:sz="0" w:space="0" w:color="auto"/>
      </w:divBdr>
    </w:div>
    <w:div w:id="1730224051">
      <w:bodyDiv w:val="1"/>
      <w:marLeft w:val="0"/>
      <w:marRight w:val="0"/>
      <w:marTop w:val="0"/>
      <w:marBottom w:val="0"/>
      <w:divBdr>
        <w:top w:val="none" w:sz="0" w:space="0" w:color="auto"/>
        <w:left w:val="none" w:sz="0" w:space="0" w:color="auto"/>
        <w:bottom w:val="none" w:sz="0" w:space="0" w:color="auto"/>
        <w:right w:val="none" w:sz="0" w:space="0" w:color="auto"/>
      </w:divBdr>
    </w:div>
    <w:div w:id="1735087072">
      <w:bodyDiv w:val="1"/>
      <w:marLeft w:val="0"/>
      <w:marRight w:val="0"/>
      <w:marTop w:val="0"/>
      <w:marBottom w:val="0"/>
      <w:divBdr>
        <w:top w:val="none" w:sz="0" w:space="0" w:color="auto"/>
        <w:left w:val="none" w:sz="0" w:space="0" w:color="auto"/>
        <w:bottom w:val="none" w:sz="0" w:space="0" w:color="auto"/>
        <w:right w:val="none" w:sz="0" w:space="0" w:color="auto"/>
      </w:divBdr>
    </w:div>
    <w:div w:id="1736318222">
      <w:bodyDiv w:val="1"/>
      <w:marLeft w:val="0"/>
      <w:marRight w:val="0"/>
      <w:marTop w:val="0"/>
      <w:marBottom w:val="0"/>
      <w:divBdr>
        <w:top w:val="none" w:sz="0" w:space="0" w:color="auto"/>
        <w:left w:val="none" w:sz="0" w:space="0" w:color="auto"/>
        <w:bottom w:val="none" w:sz="0" w:space="0" w:color="auto"/>
        <w:right w:val="none" w:sz="0" w:space="0" w:color="auto"/>
      </w:divBdr>
    </w:div>
    <w:div w:id="1741369945">
      <w:bodyDiv w:val="1"/>
      <w:marLeft w:val="0"/>
      <w:marRight w:val="0"/>
      <w:marTop w:val="0"/>
      <w:marBottom w:val="0"/>
      <w:divBdr>
        <w:top w:val="none" w:sz="0" w:space="0" w:color="auto"/>
        <w:left w:val="none" w:sz="0" w:space="0" w:color="auto"/>
        <w:bottom w:val="none" w:sz="0" w:space="0" w:color="auto"/>
        <w:right w:val="none" w:sz="0" w:space="0" w:color="auto"/>
      </w:divBdr>
    </w:div>
    <w:div w:id="1743984392">
      <w:bodyDiv w:val="1"/>
      <w:marLeft w:val="0"/>
      <w:marRight w:val="0"/>
      <w:marTop w:val="0"/>
      <w:marBottom w:val="0"/>
      <w:divBdr>
        <w:top w:val="none" w:sz="0" w:space="0" w:color="auto"/>
        <w:left w:val="none" w:sz="0" w:space="0" w:color="auto"/>
        <w:bottom w:val="none" w:sz="0" w:space="0" w:color="auto"/>
        <w:right w:val="none" w:sz="0" w:space="0" w:color="auto"/>
      </w:divBdr>
    </w:div>
    <w:div w:id="1744524986">
      <w:bodyDiv w:val="1"/>
      <w:marLeft w:val="0"/>
      <w:marRight w:val="0"/>
      <w:marTop w:val="0"/>
      <w:marBottom w:val="0"/>
      <w:divBdr>
        <w:top w:val="none" w:sz="0" w:space="0" w:color="auto"/>
        <w:left w:val="none" w:sz="0" w:space="0" w:color="auto"/>
        <w:bottom w:val="none" w:sz="0" w:space="0" w:color="auto"/>
        <w:right w:val="none" w:sz="0" w:space="0" w:color="auto"/>
      </w:divBdr>
    </w:div>
    <w:div w:id="1746024167">
      <w:bodyDiv w:val="1"/>
      <w:marLeft w:val="0"/>
      <w:marRight w:val="0"/>
      <w:marTop w:val="0"/>
      <w:marBottom w:val="0"/>
      <w:divBdr>
        <w:top w:val="none" w:sz="0" w:space="0" w:color="auto"/>
        <w:left w:val="none" w:sz="0" w:space="0" w:color="auto"/>
        <w:bottom w:val="none" w:sz="0" w:space="0" w:color="auto"/>
        <w:right w:val="none" w:sz="0" w:space="0" w:color="auto"/>
      </w:divBdr>
    </w:div>
    <w:div w:id="1746341511">
      <w:bodyDiv w:val="1"/>
      <w:marLeft w:val="0"/>
      <w:marRight w:val="0"/>
      <w:marTop w:val="0"/>
      <w:marBottom w:val="0"/>
      <w:divBdr>
        <w:top w:val="none" w:sz="0" w:space="0" w:color="auto"/>
        <w:left w:val="none" w:sz="0" w:space="0" w:color="auto"/>
        <w:bottom w:val="none" w:sz="0" w:space="0" w:color="auto"/>
        <w:right w:val="none" w:sz="0" w:space="0" w:color="auto"/>
      </w:divBdr>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
    <w:div w:id="1750073782">
      <w:bodyDiv w:val="1"/>
      <w:marLeft w:val="0"/>
      <w:marRight w:val="0"/>
      <w:marTop w:val="0"/>
      <w:marBottom w:val="0"/>
      <w:divBdr>
        <w:top w:val="none" w:sz="0" w:space="0" w:color="auto"/>
        <w:left w:val="none" w:sz="0" w:space="0" w:color="auto"/>
        <w:bottom w:val="none" w:sz="0" w:space="0" w:color="auto"/>
        <w:right w:val="none" w:sz="0" w:space="0" w:color="auto"/>
      </w:divBdr>
    </w:div>
    <w:div w:id="1759015887">
      <w:bodyDiv w:val="1"/>
      <w:marLeft w:val="0"/>
      <w:marRight w:val="0"/>
      <w:marTop w:val="0"/>
      <w:marBottom w:val="0"/>
      <w:divBdr>
        <w:top w:val="none" w:sz="0" w:space="0" w:color="auto"/>
        <w:left w:val="none" w:sz="0" w:space="0" w:color="auto"/>
        <w:bottom w:val="none" w:sz="0" w:space="0" w:color="auto"/>
        <w:right w:val="none" w:sz="0" w:space="0" w:color="auto"/>
      </w:divBdr>
    </w:div>
    <w:div w:id="1767379713">
      <w:bodyDiv w:val="1"/>
      <w:marLeft w:val="0"/>
      <w:marRight w:val="0"/>
      <w:marTop w:val="0"/>
      <w:marBottom w:val="0"/>
      <w:divBdr>
        <w:top w:val="none" w:sz="0" w:space="0" w:color="auto"/>
        <w:left w:val="none" w:sz="0" w:space="0" w:color="auto"/>
        <w:bottom w:val="none" w:sz="0" w:space="0" w:color="auto"/>
        <w:right w:val="none" w:sz="0" w:space="0" w:color="auto"/>
      </w:divBdr>
      <w:divsChild>
        <w:div w:id="7216720">
          <w:marLeft w:val="547"/>
          <w:marRight w:val="0"/>
          <w:marTop w:val="110"/>
          <w:marBottom w:val="0"/>
          <w:divBdr>
            <w:top w:val="none" w:sz="0" w:space="0" w:color="auto"/>
            <w:left w:val="none" w:sz="0" w:space="0" w:color="auto"/>
            <w:bottom w:val="none" w:sz="0" w:space="0" w:color="auto"/>
            <w:right w:val="none" w:sz="0" w:space="0" w:color="auto"/>
          </w:divBdr>
        </w:div>
        <w:div w:id="457992918">
          <w:marLeft w:val="547"/>
          <w:marRight w:val="0"/>
          <w:marTop w:val="110"/>
          <w:marBottom w:val="0"/>
          <w:divBdr>
            <w:top w:val="none" w:sz="0" w:space="0" w:color="auto"/>
            <w:left w:val="none" w:sz="0" w:space="0" w:color="auto"/>
            <w:bottom w:val="none" w:sz="0" w:space="0" w:color="auto"/>
            <w:right w:val="none" w:sz="0" w:space="0" w:color="auto"/>
          </w:divBdr>
        </w:div>
        <w:div w:id="926156732">
          <w:marLeft w:val="547"/>
          <w:marRight w:val="0"/>
          <w:marTop w:val="110"/>
          <w:marBottom w:val="0"/>
          <w:divBdr>
            <w:top w:val="none" w:sz="0" w:space="0" w:color="auto"/>
            <w:left w:val="none" w:sz="0" w:space="0" w:color="auto"/>
            <w:bottom w:val="none" w:sz="0" w:space="0" w:color="auto"/>
            <w:right w:val="none" w:sz="0" w:space="0" w:color="auto"/>
          </w:divBdr>
        </w:div>
        <w:div w:id="1068190055">
          <w:marLeft w:val="547"/>
          <w:marRight w:val="0"/>
          <w:marTop w:val="110"/>
          <w:marBottom w:val="0"/>
          <w:divBdr>
            <w:top w:val="none" w:sz="0" w:space="0" w:color="auto"/>
            <w:left w:val="none" w:sz="0" w:space="0" w:color="auto"/>
            <w:bottom w:val="none" w:sz="0" w:space="0" w:color="auto"/>
            <w:right w:val="none" w:sz="0" w:space="0" w:color="auto"/>
          </w:divBdr>
        </w:div>
        <w:div w:id="1070038553">
          <w:marLeft w:val="547"/>
          <w:marRight w:val="0"/>
          <w:marTop w:val="110"/>
          <w:marBottom w:val="0"/>
          <w:divBdr>
            <w:top w:val="none" w:sz="0" w:space="0" w:color="auto"/>
            <w:left w:val="none" w:sz="0" w:space="0" w:color="auto"/>
            <w:bottom w:val="none" w:sz="0" w:space="0" w:color="auto"/>
            <w:right w:val="none" w:sz="0" w:space="0" w:color="auto"/>
          </w:divBdr>
        </w:div>
        <w:div w:id="1656178273">
          <w:marLeft w:val="547"/>
          <w:marRight w:val="0"/>
          <w:marTop w:val="110"/>
          <w:marBottom w:val="0"/>
          <w:divBdr>
            <w:top w:val="none" w:sz="0" w:space="0" w:color="auto"/>
            <w:left w:val="none" w:sz="0" w:space="0" w:color="auto"/>
            <w:bottom w:val="none" w:sz="0" w:space="0" w:color="auto"/>
            <w:right w:val="none" w:sz="0" w:space="0" w:color="auto"/>
          </w:divBdr>
        </w:div>
        <w:div w:id="2071148960">
          <w:marLeft w:val="547"/>
          <w:marRight w:val="0"/>
          <w:marTop w:val="110"/>
          <w:marBottom w:val="0"/>
          <w:divBdr>
            <w:top w:val="none" w:sz="0" w:space="0" w:color="auto"/>
            <w:left w:val="none" w:sz="0" w:space="0" w:color="auto"/>
            <w:bottom w:val="none" w:sz="0" w:space="0" w:color="auto"/>
            <w:right w:val="none" w:sz="0" w:space="0" w:color="auto"/>
          </w:divBdr>
        </w:div>
      </w:divsChild>
    </w:div>
    <w:div w:id="1775903044">
      <w:bodyDiv w:val="1"/>
      <w:marLeft w:val="0"/>
      <w:marRight w:val="0"/>
      <w:marTop w:val="0"/>
      <w:marBottom w:val="0"/>
      <w:divBdr>
        <w:top w:val="none" w:sz="0" w:space="0" w:color="auto"/>
        <w:left w:val="none" w:sz="0" w:space="0" w:color="auto"/>
        <w:bottom w:val="none" w:sz="0" w:space="0" w:color="auto"/>
        <w:right w:val="none" w:sz="0" w:space="0" w:color="auto"/>
      </w:divBdr>
    </w:div>
    <w:div w:id="1777945687">
      <w:bodyDiv w:val="1"/>
      <w:marLeft w:val="0"/>
      <w:marRight w:val="0"/>
      <w:marTop w:val="0"/>
      <w:marBottom w:val="0"/>
      <w:divBdr>
        <w:top w:val="none" w:sz="0" w:space="0" w:color="auto"/>
        <w:left w:val="none" w:sz="0" w:space="0" w:color="auto"/>
        <w:bottom w:val="none" w:sz="0" w:space="0" w:color="auto"/>
        <w:right w:val="none" w:sz="0" w:space="0" w:color="auto"/>
      </w:divBdr>
    </w:div>
    <w:div w:id="1781682123">
      <w:bodyDiv w:val="1"/>
      <w:marLeft w:val="0"/>
      <w:marRight w:val="0"/>
      <w:marTop w:val="0"/>
      <w:marBottom w:val="0"/>
      <w:divBdr>
        <w:top w:val="none" w:sz="0" w:space="0" w:color="auto"/>
        <w:left w:val="none" w:sz="0" w:space="0" w:color="auto"/>
        <w:bottom w:val="none" w:sz="0" w:space="0" w:color="auto"/>
        <w:right w:val="none" w:sz="0" w:space="0" w:color="auto"/>
      </w:divBdr>
    </w:div>
    <w:div w:id="1782794198">
      <w:bodyDiv w:val="1"/>
      <w:marLeft w:val="0"/>
      <w:marRight w:val="0"/>
      <w:marTop w:val="0"/>
      <w:marBottom w:val="0"/>
      <w:divBdr>
        <w:top w:val="none" w:sz="0" w:space="0" w:color="auto"/>
        <w:left w:val="none" w:sz="0" w:space="0" w:color="auto"/>
        <w:bottom w:val="none" w:sz="0" w:space="0" w:color="auto"/>
        <w:right w:val="none" w:sz="0" w:space="0" w:color="auto"/>
      </w:divBdr>
    </w:div>
    <w:div w:id="1791435205">
      <w:bodyDiv w:val="1"/>
      <w:marLeft w:val="0"/>
      <w:marRight w:val="0"/>
      <w:marTop w:val="0"/>
      <w:marBottom w:val="0"/>
      <w:divBdr>
        <w:top w:val="none" w:sz="0" w:space="0" w:color="auto"/>
        <w:left w:val="none" w:sz="0" w:space="0" w:color="auto"/>
        <w:bottom w:val="none" w:sz="0" w:space="0" w:color="auto"/>
        <w:right w:val="none" w:sz="0" w:space="0" w:color="auto"/>
      </w:divBdr>
    </w:div>
    <w:div w:id="1792088110">
      <w:bodyDiv w:val="1"/>
      <w:marLeft w:val="0"/>
      <w:marRight w:val="0"/>
      <w:marTop w:val="0"/>
      <w:marBottom w:val="0"/>
      <w:divBdr>
        <w:top w:val="none" w:sz="0" w:space="0" w:color="auto"/>
        <w:left w:val="none" w:sz="0" w:space="0" w:color="auto"/>
        <w:bottom w:val="none" w:sz="0" w:space="0" w:color="auto"/>
        <w:right w:val="none" w:sz="0" w:space="0" w:color="auto"/>
      </w:divBdr>
    </w:div>
    <w:div w:id="1794323230">
      <w:bodyDiv w:val="1"/>
      <w:marLeft w:val="0"/>
      <w:marRight w:val="0"/>
      <w:marTop w:val="0"/>
      <w:marBottom w:val="0"/>
      <w:divBdr>
        <w:top w:val="none" w:sz="0" w:space="0" w:color="auto"/>
        <w:left w:val="none" w:sz="0" w:space="0" w:color="auto"/>
        <w:bottom w:val="none" w:sz="0" w:space="0" w:color="auto"/>
        <w:right w:val="none" w:sz="0" w:space="0" w:color="auto"/>
      </w:divBdr>
    </w:div>
    <w:div w:id="1794861853">
      <w:bodyDiv w:val="1"/>
      <w:marLeft w:val="0"/>
      <w:marRight w:val="0"/>
      <w:marTop w:val="0"/>
      <w:marBottom w:val="0"/>
      <w:divBdr>
        <w:top w:val="none" w:sz="0" w:space="0" w:color="auto"/>
        <w:left w:val="none" w:sz="0" w:space="0" w:color="auto"/>
        <w:bottom w:val="none" w:sz="0" w:space="0" w:color="auto"/>
        <w:right w:val="none" w:sz="0" w:space="0" w:color="auto"/>
      </w:divBdr>
    </w:div>
    <w:div w:id="1795057651">
      <w:bodyDiv w:val="1"/>
      <w:marLeft w:val="0"/>
      <w:marRight w:val="0"/>
      <w:marTop w:val="0"/>
      <w:marBottom w:val="0"/>
      <w:divBdr>
        <w:top w:val="none" w:sz="0" w:space="0" w:color="auto"/>
        <w:left w:val="none" w:sz="0" w:space="0" w:color="auto"/>
        <w:bottom w:val="none" w:sz="0" w:space="0" w:color="auto"/>
        <w:right w:val="none" w:sz="0" w:space="0" w:color="auto"/>
      </w:divBdr>
    </w:div>
    <w:div w:id="1797485130">
      <w:bodyDiv w:val="1"/>
      <w:marLeft w:val="0"/>
      <w:marRight w:val="0"/>
      <w:marTop w:val="0"/>
      <w:marBottom w:val="0"/>
      <w:divBdr>
        <w:top w:val="none" w:sz="0" w:space="0" w:color="auto"/>
        <w:left w:val="none" w:sz="0" w:space="0" w:color="auto"/>
        <w:bottom w:val="none" w:sz="0" w:space="0" w:color="auto"/>
        <w:right w:val="none" w:sz="0" w:space="0" w:color="auto"/>
      </w:divBdr>
    </w:div>
    <w:div w:id="1798059491">
      <w:bodyDiv w:val="1"/>
      <w:marLeft w:val="0"/>
      <w:marRight w:val="0"/>
      <w:marTop w:val="0"/>
      <w:marBottom w:val="0"/>
      <w:divBdr>
        <w:top w:val="none" w:sz="0" w:space="0" w:color="auto"/>
        <w:left w:val="none" w:sz="0" w:space="0" w:color="auto"/>
        <w:bottom w:val="none" w:sz="0" w:space="0" w:color="auto"/>
        <w:right w:val="none" w:sz="0" w:space="0" w:color="auto"/>
      </w:divBdr>
    </w:div>
    <w:div w:id="1800151342">
      <w:bodyDiv w:val="1"/>
      <w:marLeft w:val="0"/>
      <w:marRight w:val="0"/>
      <w:marTop w:val="0"/>
      <w:marBottom w:val="0"/>
      <w:divBdr>
        <w:top w:val="none" w:sz="0" w:space="0" w:color="auto"/>
        <w:left w:val="none" w:sz="0" w:space="0" w:color="auto"/>
        <w:bottom w:val="none" w:sz="0" w:space="0" w:color="auto"/>
        <w:right w:val="none" w:sz="0" w:space="0" w:color="auto"/>
      </w:divBdr>
    </w:div>
    <w:div w:id="1807695161">
      <w:bodyDiv w:val="1"/>
      <w:marLeft w:val="0"/>
      <w:marRight w:val="0"/>
      <w:marTop w:val="0"/>
      <w:marBottom w:val="0"/>
      <w:divBdr>
        <w:top w:val="none" w:sz="0" w:space="0" w:color="auto"/>
        <w:left w:val="none" w:sz="0" w:space="0" w:color="auto"/>
        <w:bottom w:val="none" w:sz="0" w:space="0" w:color="auto"/>
        <w:right w:val="none" w:sz="0" w:space="0" w:color="auto"/>
      </w:divBdr>
    </w:div>
    <w:div w:id="1810633364">
      <w:bodyDiv w:val="1"/>
      <w:marLeft w:val="0"/>
      <w:marRight w:val="0"/>
      <w:marTop w:val="0"/>
      <w:marBottom w:val="0"/>
      <w:divBdr>
        <w:top w:val="none" w:sz="0" w:space="0" w:color="auto"/>
        <w:left w:val="none" w:sz="0" w:space="0" w:color="auto"/>
        <w:bottom w:val="none" w:sz="0" w:space="0" w:color="auto"/>
        <w:right w:val="none" w:sz="0" w:space="0" w:color="auto"/>
      </w:divBdr>
    </w:div>
    <w:div w:id="1812021170">
      <w:bodyDiv w:val="1"/>
      <w:marLeft w:val="0"/>
      <w:marRight w:val="0"/>
      <w:marTop w:val="0"/>
      <w:marBottom w:val="0"/>
      <w:divBdr>
        <w:top w:val="none" w:sz="0" w:space="0" w:color="auto"/>
        <w:left w:val="none" w:sz="0" w:space="0" w:color="auto"/>
        <w:bottom w:val="none" w:sz="0" w:space="0" w:color="auto"/>
        <w:right w:val="none" w:sz="0" w:space="0" w:color="auto"/>
      </w:divBdr>
    </w:div>
    <w:div w:id="1812400433">
      <w:bodyDiv w:val="1"/>
      <w:marLeft w:val="0"/>
      <w:marRight w:val="0"/>
      <w:marTop w:val="0"/>
      <w:marBottom w:val="0"/>
      <w:divBdr>
        <w:top w:val="none" w:sz="0" w:space="0" w:color="auto"/>
        <w:left w:val="none" w:sz="0" w:space="0" w:color="auto"/>
        <w:bottom w:val="none" w:sz="0" w:space="0" w:color="auto"/>
        <w:right w:val="none" w:sz="0" w:space="0" w:color="auto"/>
      </w:divBdr>
    </w:div>
    <w:div w:id="1816296602">
      <w:bodyDiv w:val="1"/>
      <w:marLeft w:val="0"/>
      <w:marRight w:val="0"/>
      <w:marTop w:val="0"/>
      <w:marBottom w:val="0"/>
      <w:divBdr>
        <w:top w:val="none" w:sz="0" w:space="0" w:color="auto"/>
        <w:left w:val="none" w:sz="0" w:space="0" w:color="auto"/>
        <w:bottom w:val="none" w:sz="0" w:space="0" w:color="auto"/>
        <w:right w:val="none" w:sz="0" w:space="0" w:color="auto"/>
      </w:divBdr>
    </w:div>
    <w:div w:id="1817330910">
      <w:bodyDiv w:val="1"/>
      <w:marLeft w:val="0"/>
      <w:marRight w:val="0"/>
      <w:marTop w:val="0"/>
      <w:marBottom w:val="0"/>
      <w:divBdr>
        <w:top w:val="none" w:sz="0" w:space="0" w:color="auto"/>
        <w:left w:val="none" w:sz="0" w:space="0" w:color="auto"/>
        <w:bottom w:val="none" w:sz="0" w:space="0" w:color="auto"/>
        <w:right w:val="none" w:sz="0" w:space="0" w:color="auto"/>
      </w:divBdr>
    </w:div>
    <w:div w:id="1822190007">
      <w:bodyDiv w:val="1"/>
      <w:marLeft w:val="0"/>
      <w:marRight w:val="0"/>
      <w:marTop w:val="0"/>
      <w:marBottom w:val="0"/>
      <w:divBdr>
        <w:top w:val="none" w:sz="0" w:space="0" w:color="auto"/>
        <w:left w:val="none" w:sz="0" w:space="0" w:color="auto"/>
        <w:bottom w:val="none" w:sz="0" w:space="0" w:color="auto"/>
        <w:right w:val="none" w:sz="0" w:space="0" w:color="auto"/>
      </w:divBdr>
    </w:div>
    <w:div w:id="1831362463">
      <w:bodyDiv w:val="1"/>
      <w:marLeft w:val="0"/>
      <w:marRight w:val="0"/>
      <w:marTop w:val="0"/>
      <w:marBottom w:val="0"/>
      <w:divBdr>
        <w:top w:val="none" w:sz="0" w:space="0" w:color="auto"/>
        <w:left w:val="none" w:sz="0" w:space="0" w:color="auto"/>
        <w:bottom w:val="none" w:sz="0" w:space="0" w:color="auto"/>
        <w:right w:val="none" w:sz="0" w:space="0" w:color="auto"/>
      </w:divBdr>
    </w:div>
    <w:div w:id="1833250311">
      <w:bodyDiv w:val="1"/>
      <w:marLeft w:val="0"/>
      <w:marRight w:val="0"/>
      <w:marTop w:val="0"/>
      <w:marBottom w:val="0"/>
      <w:divBdr>
        <w:top w:val="none" w:sz="0" w:space="0" w:color="auto"/>
        <w:left w:val="none" w:sz="0" w:space="0" w:color="auto"/>
        <w:bottom w:val="none" w:sz="0" w:space="0" w:color="auto"/>
        <w:right w:val="none" w:sz="0" w:space="0" w:color="auto"/>
      </w:divBdr>
      <w:divsChild>
        <w:div w:id="255405936">
          <w:marLeft w:val="0"/>
          <w:marRight w:val="0"/>
          <w:marTop w:val="0"/>
          <w:marBottom w:val="0"/>
          <w:divBdr>
            <w:top w:val="none" w:sz="0" w:space="0" w:color="auto"/>
            <w:left w:val="none" w:sz="0" w:space="0" w:color="auto"/>
            <w:bottom w:val="none" w:sz="0" w:space="0" w:color="auto"/>
            <w:right w:val="none" w:sz="0" w:space="0" w:color="auto"/>
          </w:divBdr>
        </w:div>
      </w:divsChild>
    </w:div>
    <w:div w:id="1833445350">
      <w:bodyDiv w:val="1"/>
      <w:marLeft w:val="0"/>
      <w:marRight w:val="0"/>
      <w:marTop w:val="0"/>
      <w:marBottom w:val="0"/>
      <w:divBdr>
        <w:top w:val="none" w:sz="0" w:space="0" w:color="auto"/>
        <w:left w:val="none" w:sz="0" w:space="0" w:color="auto"/>
        <w:bottom w:val="none" w:sz="0" w:space="0" w:color="auto"/>
        <w:right w:val="none" w:sz="0" w:space="0" w:color="auto"/>
      </w:divBdr>
    </w:div>
    <w:div w:id="1838809929">
      <w:bodyDiv w:val="1"/>
      <w:marLeft w:val="0"/>
      <w:marRight w:val="0"/>
      <w:marTop w:val="0"/>
      <w:marBottom w:val="0"/>
      <w:divBdr>
        <w:top w:val="none" w:sz="0" w:space="0" w:color="auto"/>
        <w:left w:val="none" w:sz="0" w:space="0" w:color="auto"/>
        <w:bottom w:val="none" w:sz="0" w:space="0" w:color="auto"/>
        <w:right w:val="none" w:sz="0" w:space="0" w:color="auto"/>
      </w:divBdr>
    </w:div>
    <w:div w:id="1839537378">
      <w:bodyDiv w:val="1"/>
      <w:marLeft w:val="0"/>
      <w:marRight w:val="0"/>
      <w:marTop w:val="0"/>
      <w:marBottom w:val="0"/>
      <w:divBdr>
        <w:top w:val="none" w:sz="0" w:space="0" w:color="auto"/>
        <w:left w:val="none" w:sz="0" w:space="0" w:color="auto"/>
        <w:bottom w:val="none" w:sz="0" w:space="0" w:color="auto"/>
        <w:right w:val="none" w:sz="0" w:space="0" w:color="auto"/>
      </w:divBdr>
    </w:div>
    <w:div w:id="1844974464">
      <w:bodyDiv w:val="1"/>
      <w:marLeft w:val="0"/>
      <w:marRight w:val="0"/>
      <w:marTop w:val="0"/>
      <w:marBottom w:val="0"/>
      <w:divBdr>
        <w:top w:val="none" w:sz="0" w:space="0" w:color="auto"/>
        <w:left w:val="none" w:sz="0" w:space="0" w:color="auto"/>
        <w:bottom w:val="none" w:sz="0" w:space="0" w:color="auto"/>
        <w:right w:val="none" w:sz="0" w:space="0" w:color="auto"/>
      </w:divBdr>
    </w:div>
    <w:div w:id="1846936871">
      <w:bodyDiv w:val="1"/>
      <w:marLeft w:val="0"/>
      <w:marRight w:val="0"/>
      <w:marTop w:val="0"/>
      <w:marBottom w:val="0"/>
      <w:divBdr>
        <w:top w:val="none" w:sz="0" w:space="0" w:color="auto"/>
        <w:left w:val="none" w:sz="0" w:space="0" w:color="auto"/>
        <w:bottom w:val="none" w:sz="0" w:space="0" w:color="auto"/>
        <w:right w:val="none" w:sz="0" w:space="0" w:color="auto"/>
      </w:divBdr>
    </w:div>
    <w:div w:id="1847087424">
      <w:bodyDiv w:val="1"/>
      <w:marLeft w:val="0"/>
      <w:marRight w:val="0"/>
      <w:marTop w:val="0"/>
      <w:marBottom w:val="0"/>
      <w:divBdr>
        <w:top w:val="none" w:sz="0" w:space="0" w:color="auto"/>
        <w:left w:val="none" w:sz="0" w:space="0" w:color="auto"/>
        <w:bottom w:val="none" w:sz="0" w:space="0" w:color="auto"/>
        <w:right w:val="none" w:sz="0" w:space="0" w:color="auto"/>
      </w:divBdr>
    </w:div>
    <w:div w:id="1854221608">
      <w:bodyDiv w:val="1"/>
      <w:marLeft w:val="0"/>
      <w:marRight w:val="0"/>
      <w:marTop w:val="0"/>
      <w:marBottom w:val="0"/>
      <w:divBdr>
        <w:top w:val="none" w:sz="0" w:space="0" w:color="auto"/>
        <w:left w:val="none" w:sz="0" w:space="0" w:color="auto"/>
        <w:bottom w:val="none" w:sz="0" w:space="0" w:color="auto"/>
        <w:right w:val="none" w:sz="0" w:space="0" w:color="auto"/>
      </w:divBdr>
    </w:div>
    <w:div w:id="1855925231">
      <w:bodyDiv w:val="1"/>
      <w:marLeft w:val="0"/>
      <w:marRight w:val="0"/>
      <w:marTop w:val="0"/>
      <w:marBottom w:val="0"/>
      <w:divBdr>
        <w:top w:val="none" w:sz="0" w:space="0" w:color="auto"/>
        <w:left w:val="none" w:sz="0" w:space="0" w:color="auto"/>
        <w:bottom w:val="none" w:sz="0" w:space="0" w:color="auto"/>
        <w:right w:val="none" w:sz="0" w:space="0" w:color="auto"/>
      </w:divBdr>
    </w:div>
    <w:div w:id="1860191630">
      <w:bodyDiv w:val="1"/>
      <w:marLeft w:val="0"/>
      <w:marRight w:val="0"/>
      <w:marTop w:val="0"/>
      <w:marBottom w:val="0"/>
      <w:divBdr>
        <w:top w:val="none" w:sz="0" w:space="0" w:color="auto"/>
        <w:left w:val="none" w:sz="0" w:space="0" w:color="auto"/>
        <w:bottom w:val="none" w:sz="0" w:space="0" w:color="auto"/>
        <w:right w:val="none" w:sz="0" w:space="0" w:color="auto"/>
      </w:divBdr>
    </w:div>
    <w:div w:id="1861314793">
      <w:bodyDiv w:val="1"/>
      <w:marLeft w:val="0"/>
      <w:marRight w:val="0"/>
      <w:marTop w:val="0"/>
      <w:marBottom w:val="0"/>
      <w:divBdr>
        <w:top w:val="none" w:sz="0" w:space="0" w:color="auto"/>
        <w:left w:val="none" w:sz="0" w:space="0" w:color="auto"/>
        <w:bottom w:val="none" w:sz="0" w:space="0" w:color="auto"/>
        <w:right w:val="none" w:sz="0" w:space="0" w:color="auto"/>
      </w:divBdr>
    </w:div>
    <w:div w:id="1862670742">
      <w:bodyDiv w:val="1"/>
      <w:marLeft w:val="0"/>
      <w:marRight w:val="0"/>
      <w:marTop w:val="0"/>
      <w:marBottom w:val="0"/>
      <w:divBdr>
        <w:top w:val="none" w:sz="0" w:space="0" w:color="auto"/>
        <w:left w:val="none" w:sz="0" w:space="0" w:color="auto"/>
        <w:bottom w:val="none" w:sz="0" w:space="0" w:color="auto"/>
        <w:right w:val="none" w:sz="0" w:space="0" w:color="auto"/>
      </w:divBdr>
    </w:div>
    <w:div w:id="1870484851">
      <w:bodyDiv w:val="1"/>
      <w:marLeft w:val="0"/>
      <w:marRight w:val="0"/>
      <w:marTop w:val="0"/>
      <w:marBottom w:val="0"/>
      <w:divBdr>
        <w:top w:val="none" w:sz="0" w:space="0" w:color="auto"/>
        <w:left w:val="none" w:sz="0" w:space="0" w:color="auto"/>
        <w:bottom w:val="none" w:sz="0" w:space="0" w:color="auto"/>
        <w:right w:val="none" w:sz="0" w:space="0" w:color="auto"/>
      </w:divBdr>
    </w:div>
    <w:div w:id="1881866660">
      <w:bodyDiv w:val="1"/>
      <w:marLeft w:val="0"/>
      <w:marRight w:val="0"/>
      <w:marTop w:val="0"/>
      <w:marBottom w:val="0"/>
      <w:divBdr>
        <w:top w:val="none" w:sz="0" w:space="0" w:color="auto"/>
        <w:left w:val="none" w:sz="0" w:space="0" w:color="auto"/>
        <w:bottom w:val="none" w:sz="0" w:space="0" w:color="auto"/>
        <w:right w:val="none" w:sz="0" w:space="0" w:color="auto"/>
      </w:divBdr>
    </w:div>
    <w:div w:id="1882398122">
      <w:bodyDiv w:val="1"/>
      <w:marLeft w:val="0"/>
      <w:marRight w:val="0"/>
      <w:marTop w:val="0"/>
      <w:marBottom w:val="0"/>
      <w:divBdr>
        <w:top w:val="none" w:sz="0" w:space="0" w:color="auto"/>
        <w:left w:val="none" w:sz="0" w:space="0" w:color="auto"/>
        <w:bottom w:val="none" w:sz="0" w:space="0" w:color="auto"/>
        <w:right w:val="none" w:sz="0" w:space="0" w:color="auto"/>
      </w:divBdr>
    </w:div>
    <w:div w:id="1887141355">
      <w:bodyDiv w:val="1"/>
      <w:marLeft w:val="0"/>
      <w:marRight w:val="0"/>
      <w:marTop w:val="0"/>
      <w:marBottom w:val="0"/>
      <w:divBdr>
        <w:top w:val="none" w:sz="0" w:space="0" w:color="auto"/>
        <w:left w:val="none" w:sz="0" w:space="0" w:color="auto"/>
        <w:bottom w:val="none" w:sz="0" w:space="0" w:color="auto"/>
        <w:right w:val="none" w:sz="0" w:space="0" w:color="auto"/>
      </w:divBdr>
    </w:div>
    <w:div w:id="1893541988">
      <w:bodyDiv w:val="1"/>
      <w:marLeft w:val="0"/>
      <w:marRight w:val="0"/>
      <w:marTop w:val="0"/>
      <w:marBottom w:val="0"/>
      <w:divBdr>
        <w:top w:val="none" w:sz="0" w:space="0" w:color="auto"/>
        <w:left w:val="none" w:sz="0" w:space="0" w:color="auto"/>
        <w:bottom w:val="none" w:sz="0" w:space="0" w:color="auto"/>
        <w:right w:val="none" w:sz="0" w:space="0" w:color="auto"/>
      </w:divBdr>
    </w:div>
    <w:div w:id="1899318037">
      <w:bodyDiv w:val="1"/>
      <w:marLeft w:val="0"/>
      <w:marRight w:val="0"/>
      <w:marTop w:val="0"/>
      <w:marBottom w:val="0"/>
      <w:divBdr>
        <w:top w:val="none" w:sz="0" w:space="0" w:color="auto"/>
        <w:left w:val="none" w:sz="0" w:space="0" w:color="auto"/>
        <w:bottom w:val="none" w:sz="0" w:space="0" w:color="auto"/>
        <w:right w:val="none" w:sz="0" w:space="0" w:color="auto"/>
      </w:divBdr>
    </w:div>
    <w:div w:id="1899441692">
      <w:bodyDiv w:val="1"/>
      <w:marLeft w:val="0"/>
      <w:marRight w:val="0"/>
      <w:marTop w:val="0"/>
      <w:marBottom w:val="0"/>
      <w:divBdr>
        <w:top w:val="none" w:sz="0" w:space="0" w:color="auto"/>
        <w:left w:val="none" w:sz="0" w:space="0" w:color="auto"/>
        <w:bottom w:val="none" w:sz="0" w:space="0" w:color="auto"/>
        <w:right w:val="none" w:sz="0" w:space="0" w:color="auto"/>
      </w:divBdr>
    </w:div>
    <w:div w:id="1900051326">
      <w:bodyDiv w:val="1"/>
      <w:marLeft w:val="0"/>
      <w:marRight w:val="0"/>
      <w:marTop w:val="0"/>
      <w:marBottom w:val="0"/>
      <w:divBdr>
        <w:top w:val="none" w:sz="0" w:space="0" w:color="auto"/>
        <w:left w:val="none" w:sz="0" w:space="0" w:color="auto"/>
        <w:bottom w:val="none" w:sz="0" w:space="0" w:color="auto"/>
        <w:right w:val="none" w:sz="0" w:space="0" w:color="auto"/>
      </w:divBdr>
    </w:div>
    <w:div w:id="1904414780">
      <w:bodyDiv w:val="1"/>
      <w:marLeft w:val="0"/>
      <w:marRight w:val="0"/>
      <w:marTop w:val="0"/>
      <w:marBottom w:val="0"/>
      <w:divBdr>
        <w:top w:val="none" w:sz="0" w:space="0" w:color="auto"/>
        <w:left w:val="none" w:sz="0" w:space="0" w:color="auto"/>
        <w:bottom w:val="none" w:sz="0" w:space="0" w:color="auto"/>
        <w:right w:val="none" w:sz="0" w:space="0" w:color="auto"/>
      </w:divBdr>
    </w:div>
    <w:div w:id="1908758285">
      <w:bodyDiv w:val="1"/>
      <w:marLeft w:val="0"/>
      <w:marRight w:val="0"/>
      <w:marTop w:val="0"/>
      <w:marBottom w:val="0"/>
      <w:divBdr>
        <w:top w:val="none" w:sz="0" w:space="0" w:color="auto"/>
        <w:left w:val="none" w:sz="0" w:space="0" w:color="auto"/>
        <w:bottom w:val="none" w:sz="0" w:space="0" w:color="auto"/>
        <w:right w:val="none" w:sz="0" w:space="0" w:color="auto"/>
      </w:divBdr>
      <w:divsChild>
        <w:div w:id="1158497181">
          <w:marLeft w:val="0"/>
          <w:marRight w:val="0"/>
          <w:marTop w:val="0"/>
          <w:marBottom w:val="0"/>
          <w:divBdr>
            <w:top w:val="none" w:sz="0" w:space="0" w:color="auto"/>
            <w:left w:val="none" w:sz="0" w:space="0" w:color="auto"/>
            <w:bottom w:val="none" w:sz="0" w:space="0" w:color="auto"/>
            <w:right w:val="none" w:sz="0" w:space="0" w:color="auto"/>
          </w:divBdr>
          <w:divsChild>
            <w:div w:id="1303777533">
              <w:marLeft w:val="0"/>
              <w:marRight w:val="0"/>
              <w:marTop w:val="0"/>
              <w:marBottom w:val="0"/>
              <w:divBdr>
                <w:top w:val="none" w:sz="0" w:space="0" w:color="auto"/>
                <w:left w:val="none" w:sz="0" w:space="0" w:color="auto"/>
                <w:bottom w:val="none" w:sz="0" w:space="0" w:color="auto"/>
                <w:right w:val="none" w:sz="0" w:space="0" w:color="auto"/>
              </w:divBdr>
              <w:divsChild>
                <w:div w:id="5690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43946">
      <w:bodyDiv w:val="1"/>
      <w:marLeft w:val="0"/>
      <w:marRight w:val="0"/>
      <w:marTop w:val="0"/>
      <w:marBottom w:val="0"/>
      <w:divBdr>
        <w:top w:val="none" w:sz="0" w:space="0" w:color="auto"/>
        <w:left w:val="none" w:sz="0" w:space="0" w:color="auto"/>
        <w:bottom w:val="none" w:sz="0" w:space="0" w:color="auto"/>
        <w:right w:val="none" w:sz="0" w:space="0" w:color="auto"/>
      </w:divBdr>
    </w:div>
    <w:div w:id="1931235452">
      <w:bodyDiv w:val="1"/>
      <w:marLeft w:val="0"/>
      <w:marRight w:val="0"/>
      <w:marTop w:val="0"/>
      <w:marBottom w:val="0"/>
      <w:divBdr>
        <w:top w:val="none" w:sz="0" w:space="0" w:color="auto"/>
        <w:left w:val="none" w:sz="0" w:space="0" w:color="auto"/>
        <w:bottom w:val="none" w:sz="0" w:space="0" w:color="auto"/>
        <w:right w:val="none" w:sz="0" w:space="0" w:color="auto"/>
      </w:divBdr>
    </w:div>
    <w:div w:id="1931353165">
      <w:bodyDiv w:val="1"/>
      <w:marLeft w:val="0"/>
      <w:marRight w:val="0"/>
      <w:marTop w:val="0"/>
      <w:marBottom w:val="0"/>
      <w:divBdr>
        <w:top w:val="none" w:sz="0" w:space="0" w:color="auto"/>
        <w:left w:val="none" w:sz="0" w:space="0" w:color="auto"/>
        <w:bottom w:val="none" w:sz="0" w:space="0" w:color="auto"/>
        <w:right w:val="none" w:sz="0" w:space="0" w:color="auto"/>
      </w:divBdr>
    </w:div>
    <w:div w:id="1932883471">
      <w:bodyDiv w:val="1"/>
      <w:marLeft w:val="0"/>
      <w:marRight w:val="0"/>
      <w:marTop w:val="0"/>
      <w:marBottom w:val="0"/>
      <w:divBdr>
        <w:top w:val="none" w:sz="0" w:space="0" w:color="auto"/>
        <w:left w:val="none" w:sz="0" w:space="0" w:color="auto"/>
        <w:bottom w:val="none" w:sz="0" w:space="0" w:color="auto"/>
        <w:right w:val="none" w:sz="0" w:space="0" w:color="auto"/>
      </w:divBdr>
    </w:div>
    <w:div w:id="1947804064">
      <w:bodyDiv w:val="1"/>
      <w:marLeft w:val="0"/>
      <w:marRight w:val="0"/>
      <w:marTop w:val="0"/>
      <w:marBottom w:val="0"/>
      <w:divBdr>
        <w:top w:val="none" w:sz="0" w:space="0" w:color="auto"/>
        <w:left w:val="none" w:sz="0" w:space="0" w:color="auto"/>
        <w:bottom w:val="none" w:sz="0" w:space="0" w:color="auto"/>
        <w:right w:val="none" w:sz="0" w:space="0" w:color="auto"/>
      </w:divBdr>
    </w:div>
    <w:div w:id="1955361339">
      <w:bodyDiv w:val="1"/>
      <w:marLeft w:val="0"/>
      <w:marRight w:val="0"/>
      <w:marTop w:val="0"/>
      <w:marBottom w:val="0"/>
      <w:divBdr>
        <w:top w:val="none" w:sz="0" w:space="0" w:color="auto"/>
        <w:left w:val="none" w:sz="0" w:space="0" w:color="auto"/>
        <w:bottom w:val="none" w:sz="0" w:space="0" w:color="auto"/>
        <w:right w:val="none" w:sz="0" w:space="0" w:color="auto"/>
      </w:divBdr>
    </w:div>
    <w:div w:id="1957636320">
      <w:bodyDiv w:val="1"/>
      <w:marLeft w:val="0"/>
      <w:marRight w:val="0"/>
      <w:marTop w:val="0"/>
      <w:marBottom w:val="0"/>
      <w:divBdr>
        <w:top w:val="none" w:sz="0" w:space="0" w:color="auto"/>
        <w:left w:val="none" w:sz="0" w:space="0" w:color="auto"/>
        <w:bottom w:val="none" w:sz="0" w:space="0" w:color="auto"/>
        <w:right w:val="none" w:sz="0" w:space="0" w:color="auto"/>
      </w:divBdr>
    </w:div>
    <w:div w:id="1963656379">
      <w:bodyDiv w:val="1"/>
      <w:marLeft w:val="0"/>
      <w:marRight w:val="0"/>
      <w:marTop w:val="0"/>
      <w:marBottom w:val="0"/>
      <w:divBdr>
        <w:top w:val="none" w:sz="0" w:space="0" w:color="auto"/>
        <w:left w:val="none" w:sz="0" w:space="0" w:color="auto"/>
        <w:bottom w:val="none" w:sz="0" w:space="0" w:color="auto"/>
        <w:right w:val="none" w:sz="0" w:space="0" w:color="auto"/>
      </w:divBdr>
    </w:div>
    <w:div w:id="1967347906">
      <w:bodyDiv w:val="1"/>
      <w:marLeft w:val="0"/>
      <w:marRight w:val="0"/>
      <w:marTop w:val="0"/>
      <w:marBottom w:val="0"/>
      <w:divBdr>
        <w:top w:val="none" w:sz="0" w:space="0" w:color="auto"/>
        <w:left w:val="none" w:sz="0" w:space="0" w:color="auto"/>
        <w:bottom w:val="none" w:sz="0" w:space="0" w:color="auto"/>
        <w:right w:val="none" w:sz="0" w:space="0" w:color="auto"/>
      </w:divBdr>
    </w:div>
    <w:div w:id="1970820577">
      <w:bodyDiv w:val="1"/>
      <w:marLeft w:val="0"/>
      <w:marRight w:val="0"/>
      <w:marTop w:val="0"/>
      <w:marBottom w:val="0"/>
      <w:divBdr>
        <w:top w:val="none" w:sz="0" w:space="0" w:color="auto"/>
        <w:left w:val="none" w:sz="0" w:space="0" w:color="auto"/>
        <w:bottom w:val="none" w:sz="0" w:space="0" w:color="auto"/>
        <w:right w:val="none" w:sz="0" w:space="0" w:color="auto"/>
      </w:divBdr>
    </w:div>
    <w:div w:id="1971473081">
      <w:bodyDiv w:val="1"/>
      <w:marLeft w:val="0"/>
      <w:marRight w:val="0"/>
      <w:marTop w:val="0"/>
      <w:marBottom w:val="0"/>
      <w:divBdr>
        <w:top w:val="none" w:sz="0" w:space="0" w:color="auto"/>
        <w:left w:val="none" w:sz="0" w:space="0" w:color="auto"/>
        <w:bottom w:val="none" w:sz="0" w:space="0" w:color="auto"/>
        <w:right w:val="none" w:sz="0" w:space="0" w:color="auto"/>
      </w:divBdr>
    </w:div>
    <w:div w:id="1974167824">
      <w:bodyDiv w:val="1"/>
      <w:marLeft w:val="0"/>
      <w:marRight w:val="0"/>
      <w:marTop w:val="0"/>
      <w:marBottom w:val="0"/>
      <w:divBdr>
        <w:top w:val="none" w:sz="0" w:space="0" w:color="auto"/>
        <w:left w:val="none" w:sz="0" w:space="0" w:color="auto"/>
        <w:bottom w:val="none" w:sz="0" w:space="0" w:color="auto"/>
        <w:right w:val="none" w:sz="0" w:space="0" w:color="auto"/>
      </w:divBdr>
    </w:div>
    <w:div w:id="1977025594">
      <w:bodyDiv w:val="1"/>
      <w:marLeft w:val="0"/>
      <w:marRight w:val="0"/>
      <w:marTop w:val="0"/>
      <w:marBottom w:val="0"/>
      <w:divBdr>
        <w:top w:val="none" w:sz="0" w:space="0" w:color="auto"/>
        <w:left w:val="none" w:sz="0" w:space="0" w:color="auto"/>
        <w:bottom w:val="none" w:sz="0" w:space="0" w:color="auto"/>
        <w:right w:val="none" w:sz="0" w:space="0" w:color="auto"/>
      </w:divBdr>
      <w:divsChild>
        <w:div w:id="664821773">
          <w:marLeft w:val="0"/>
          <w:marRight w:val="0"/>
          <w:marTop w:val="0"/>
          <w:marBottom w:val="0"/>
          <w:divBdr>
            <w:top w:val="none" w:sz="0" w:space="0" w:color="auto"/>
            <w:left w:val="none" w:sz="0" w:space="0" w:color="auto"/>
            <w:bottom w:val="none" w:sz="0" w:space="0" w:color="auto"/>
            <w:right w:val="none" w:sz="0" w:space="0" w:color="auto"/>
          </w:divBdr>
          <w:divsChild>
            <w:div w:id="716857652">
              <w:marLeft w:val="0"/>
              <w:marRight w:val="0"/>
              <w:marTop w:val="0"/>
              <w:marBottom w:val="0"/>
              <w:divBdr>
                <w:top w:val="none" w:sz="0" w:space="0" w:color="auto"/>
                <w:left w:val="none" w:sz="0" w:space="0" w:color="auto"/>
                <w:bottom w:val="none" w:sz="0" w:space="0" w:color="auto"/>
                <w:right w:val="none" w:sz="0" w:space="0" w:color="auto"/>
              </w:divBdr>
              <w:divsChild>
                <w:div w:id="1709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8276">
      <w:bodyDiv w:val="1"/>
      <w:marLeft w:val="0"/>
      <w:marRight w:val="0"/>
      <w:marTop w:val="0"/>
      <w:marBottom w:val="0"/>
      <w:divBdr>
        <w:top w:val="none" w:sz="0" w:space="0" w:color="auto"/>
        <w:left w:val="none" w:sz="0" w:space="0" w:color="auto"/>
        <w:bottom w:val="none" w:sz="0" w:space="0" w:color="auto"/>
        <w:right w:val="none" w:sz="0" w:space="0" w:color="auto"/>
      </w:divBdr>
    </w:div>
    <w:div w:id="1989166240">
      <w:bodyDiv w:val="1"/>
      <w:marLeft w:val="0"/>
      <w:marRight w:val="0"/>
      <w:marTop w:val="0"/>
      <w:marBottom w:val="0"/>
      <w:divBdr>
        <w:top w:val="none" w:sz="0" w:space="0" w:color="auto"/>
        <w:left w:val="none" w:sz="0" w:space="0" w:color="auto"/>
        <w:bottom w:val="none" w:sz="0" w:space="0" w:color="auto"/>
        <w:right w:val="none" w:sz="0" w:space="0" w:color="auto"/>
      </w:divBdr>
      <w:divsChild>
        <w:div w:id="341326712">
          <w:marLeft w:val="0"/>
          <w:marRight w:val="0"/>
          <w:marTop w:val="0"/>
          <w:marBottom w:val="0"/>
          <w:divBdr>
            <w:top w:val="none" w:sz="0" w:space="0" w:color="auto"/>
            <w:left w:val="none" w:sz="0" w:space="0" w:color="auto"/>
            <w:bottom w:val="none" w:sz="0" w:space="0" w:color="auto"/>
            <w:right w:val="none" w:sz="0" w:space="0" w:color="auto"/>
          </w:divBdr>
          <w:divsChild>
            <w:div w:id="956913027">
              <w:marLeft w:val="0"/>
              <w:marRight w:val="0"/>
              <w:marTop w:val="0"/>
              <w:marBottom w:val="0"/>
              <w:divBdr>
                <w:top w:val="none" w:sz="0" w:space="0" w:color="auto"/>
                <w:left w:val="none" w:sz="0" w:space="0" w:color="auto"/>
                <w:bottom w:val="none" w:sz="0" w:space="0" w:color="auto"/>
                <w:right w:val="none" w:sz="0" w:space="0" w:color="auto"/>
              </w:divBdr>
              <w:divsChild>
                <w:div w:id="131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5280">
      <w:bodyDiv w:val="1"/>
      <w:marLeft w:val="0"/>
      <w:marRight w:val="0"/>
      <w:marTop w:val="0"/>
      <w:marBottom w:val="0"/>
      <w:divBdr>
        <w:top w:val="none" w:sz="0" w:space="0" w:color="auto"/>
        <w:left w:val="none" w:sz="0" w:space="0" w:color="auto"/>
        <w:bottom w:val="none" w:sz="0" w:space="0" w:color="auto"/>
        <w:right w:val="none" w:sz="0" w:space="0" w:color="auto"/>
      </w:divBdr>
    </w:div>
    <w:div w:id="2001887278">
      <w:bodyDiv w:val="1"/>
      <w:marLeft w:val="0"/>
      <w:marRight w:val="0"/>
      <w:marTop w:val="0"/>
      <w:marBottom w:val="0"/>
      <w:divBdr>
        <w:top w:val="none" w:sz="0" w:space="0" w:color="auto"/>
        <w:left w:val="none" w:sz="0" w:space="0" w:color="auto"/>
        <w:bottom w:val="none" w:sz="0" w:space="0" w:color="auto"/>
        <w:right w:val="none" w:sz="0" w:space="0" w:color="auto"/>
      </w:divBdr>
    </w:div>
    <w:div w:id="2009139437">
      <w:bodyDiv w:val="1"/>
      <w:marLeft w:val="0"/>
      <w:marRight w:val="0"/>
      <w:marTop w:val="0"/>
      <w:marBottom w:val="0"/>
      <w:divBdr>
        <w:top w:val="none" w:sz="0" w:space="0" w:color="auto"/>
        <w:left w:val="none" w:sz="0" w:space="0" w:color="auto"/>
        <w:bottom w:val="none" w:sz="0" w:space="0" w:color="auto"/>
        <w:right w:val="none" w:sz="0" w:space="0" w:color="auto"/>
      </w:divBdr>
    </w:div>
    <w:div w:id="2018458926">
      <w:bodyDiv w:val="1"/>
      <w:marLeft w:val="0"/>
      <w:marRight w:val="0"/>
      <w:marTop w:val="0"/>
      <w:marBottom w:val="0"/>
      <w:divBdr>
        <w:top w:val="none" w:sz="0" w:space="0" w:color="auto"/>
        <w:left w:val="none" w:sz="0" w:space="0" w:color="auto"/>
        <w:bottom w:val="none" w:sz="0" w:space="0" w:color="auto"/>
        <w:right w:val="none" w:sz="0" w:space="0" w:color="auto"/>
      </w:divBdr>
    </w:div>
    <w:div w:id="2020768214">
      <w:bodyDiv w:val="1"/>
      <w:marLeft w:val="0"/>
      <w:marRight w:val="0"/>
      <w:marTop w:val="0"/>
      <w:marBottom w:val="0"/>
      <w:divBdr>
        <w:top w:val="none" w:sz="0" w:space="0" w:color="auto"/>
        <w:left w:val="none" w:sz="0" w:space="0" w:color="auto"/>
        <w:bottom w:val="none" w:sz="0" w:space="0" w:color="auto"/>
        <w:right w:val="none" w:sz="0" w:space="0" w:color="auto"/>
      </w:divBdr>
    </w:div>
    <w:div w:id="2021464528">
      <w:bodyDiv w:val="1"/>
      <w:marLeft w:val="0"/>
      <w:marRight w:val="0"/>
      <w:marTop w:val="0"/>
      <w:marBottom w:val="0"/>
      <w:divBdr>
        <w:top w:val="none" w:sz="0" w:space="0" w:color="auto"/>
        <w:left w:val="none" w:sz="0" w:space="0" w:color="auto"/>
        <w:bottom w:val="none" w:sz="0" w:space="0" w:color="auto"/>
        <w:right w:val="none" w:sz="0" w:space="0" w:color="auto"/>
      </w:divBdr>
    </w:div>
    <w:div w:id="2023360847">
      <w:bodyDiv w:val="1"/>
      <w:marLeft w:val="0"/>
      <w:marRight w:val="0"/>
      <w:marTop w:val="0"/>
      <w:marBottom w:val="0"/>
      <w:divBdr>
        <w:top w:val="none" w:sz="0" w:space="0" w:color="auto"/>
        <w:left w:val="none" w:sz="0" w:space="0" w:color="auto"/>
        <w:bottom w:val="none" w:sz="0" w:space="0" w:color="auto"/>
        <w:right w:val="none" w:sz="0" w:space="0" w:color="auto"/>
      </w:divBdr>
    </w:div>
    <w:div w:id="2024014118">
      <w:bodyDiv w:val="1"/>
      <w:marLeft w:val="0"/>
      <w:marRight w:val="0"/>
      <w:marTop w:val="0"/>
      <w:marBottom w:val="0"/>
      <w:divBdr>
        <w:top w:val="none" w:sz="0" w:space="0" w:color="auto"/>
        <w:left w:val="none" w:sz="0" w:space="0" w:color="auto"/>
        <w:bottom w:val="none" w:sz="0" w:space="0" w:color="auto"/>
        <w:right w:val="none" w:sz="0" w:space="0" w:color="auto"/>
      </w:divBdr>
    </w:div>
    <w:div w:id="2034257532">
      <w:bodyDiv w:val="1"/>
      <w:marLeft w:val="0"/>
      <w:marRight w:val="0"/>
      <w:marTop w:val="0"/>
      <w:marBottom w:val="0"/>
      <w:divBdr>
        <w:top w:val="none" w:sz="0" w:space="0" w:color="auto"/>
        <w:left w:val="none" w:sz="0" w:space="0" w:color="auto"/>
        <w:bottom w:val="none" w:sz="0" w:space="0" w:color="auto"/>
        <w:right w:val="none" w:sz="0" w:space="0" w:color="auto"/>
      </w:divBdr>
    </w:div>
    <w:div w:id="2035770433">
      <w:bodyDiv w:val="1"/>
      <w:marLeft w:val="0"/>
      <w:marRight w:val="0"/>
      <w:marTop w:val="0"/>
      <w:marBottom w:val="0"/>
      <w:divBdr>
        <w:top w:val="none" w:sz="0" w:space="0" w:color="auto"/>
        <w:left w:val="none" w:sz="0" w:space="0" w:color="auto"/>
        <w:bottom w:val="none" w:sz="0" w:space="0" w:color="auto"/>
        <w:right w:val="none" w:sz="0" w:space="0" w:color="auto"/>
      </w:divBdr>
    </w:div>
    <w:div w:id="2044673582">
      <w:bodyDiv w:val="1"/>
      <w:marLeft w:val="0"/>
      <w:marRight w:val="0"/>
      <w:marTop w:val="0"/>
      <w:marBottom w:val="0"/>
      <w:divBdr>
        <w:top w:val="none" w:sz="0" w:space="0" w:color="auto"/>
        <w:left w:val="none" w:sz="0" w:space="0" w:color="auto"/>
        <w:bottom w:val="none" w:sz="0" w:space="0" w:color="auto"/>
        <w:right w:val="none" w:sz="0" w:space="0" w:color="auto"/>
      </w:divBdr>
    </w:div>
    <w:div w:id="2045329216">
      <w:bodyDiv w:val="1"/>
      <w:marLeft w:val="0"/>
      <w:marRight w:val="0"/>
      <w:marTop w:val="0"/>
      <w:marBottom w:val="0"/>
      <w:divBdr>
        <w:top w:val="none" w:sz="0" w:space="0" w:color="auto"/>
        <w:left w:val="none" w:sz="0" w:space="0" w:color="auto"/>
        <w:bottom w:val="none" w:sz="0" w:space="0" w:color="auto"/>
        <w:right w:val="none" w:sz="0" w:space="0" w:color="auto"/>
      </w:divBdr>
    </w:div>
    <w:div w:id="2045669016">
      <w:bodyDiv w:val="1"/>
      <w:marLeft w:val="0"/>
      <w:marRight w:val="0"/>
      <w:marTop w:val="0"/>
      <w:marBottom w:val="0"/>
      <w:divBdr>
        <w:top w:val="none" w:sz="0" w:space="0" w:color="auto"/>
        <w:left w:val="none" w:sz="0" w:space="0" w:color="auto"/>
        <w:bottom w:val="none" w:sz="0" w:space="0" w:color="auto"/>
        <w:right w:val="none" w:sz="0" w:space="0" w:color="auto"/>
      </w:divBdr>
    </w:div>
    <w:div w:id="2047293534">
      <w:bodyDiv w:val="1"/>
      <w:marLeft w:val="0"/>
      <w:marRight w:val="0"/>
      <w:marTop w:val="0"/>
      <w:marBottom w:val="0"/>
      <w:divBdr>
        <w:top w:val="none" w:sz="0" w:space="0" w:color="auto"/>
        <w:left w:val="none" w:sz="0" w:space="0" w:color="auto"/>
        <w:bottom w:val="none" w:sz="0" w:space="0" w:color="auto"/>
        <w:right w:val="none" w:sz="0" w:space="0" w:color="auto"/>
      </w:divBdr>
    </w:div>
    <w:div w:id="2048873303">
      <w:bodyDiv w:val="1"/>
      <w:marLeft w:val="0"/>
      <w:marRight w:val="0"/>
      <w:marTop w:val="0"/>
      <w:marBottom w:val="0"/>
      <w:divBdr>
        <w:top w:val="none" w:sz="0" w:space="0" w:color="auto"/>
        <w:left w:val="none" w:sz="0" w:space="0" w:color="auto"/>
        <w:bottom w:val="none" w:sz="0" w:space="0" w:color="auto"/>
        <w:right w:val="none" w:sz="0" w:space="0" w:color="auto"/>
      </w:divBdr>
    </w:div>
    <w:div w:id="2053916114">
      <w:bodyDiv w:val="1"/>
      <w:marLeft w:val="0"/>
      <w:marRight w:val="0"/>
      <w:marTop w:val="0"/>
      <w:marBottom w:val="0"/>
      <w:divBdr>
        <w:top w:val="none" w:sz="0" w:space="0" w:color="auto"/>
        <w:left w:val="none" w:sz="0" w:space="0" w:color="auto"/>
        <w:bottom w:val="none" w:sz="0" w:space="0" w:color="auto"/>
        <w:right w:val="none" w:sz="0" w:space="0" w:color="auto"/>
      </w:divBdr>
    </w:div>
    <w:div w:id="2069916693">
      <w:bodyDiv w:val="1"/>
      <w:marLeft w:val="0"/>
      <w:marRight w:val="0"/>
      <w:marTop w:val="0"/>
      <w:marBottom w:val="0"/>
      <w:divBdr>
        <w:top w:val="none" w:sz="0" w:space="0" w:color="auto"/>
        <w:left w:val="none" w:sz="0" w:space="0" w:color="auto"/>
        <w:bottom w:val="none" w:sz="0" w:space="0" w:color="auto"/>
        <w:right w:val="none" w:sz="0" w:space="0" w:color="auto"/>
      </w:divBdr>
    </w:div>
    <w:div w:id="2074695472">
      <w:bodyDiv w:val="1"/>
      <w:marLeft w:val="0"/>
      <w:marRight w:val="0"/>
      <w:marTop w:val="0"/>
      <w:marBottom w:val="0"/>
      <w:divBdr>
        <w:top w:val="none" w:sz="0" w:space="0" w:color="auto"/>
        <w:left w:val="none" w:sz="0" w:space="0" w:color="auto"/>
        <w:bottom w:val="none" w:sz="0" w:space="0" w:color="auto"/>
        <w:right w:val="none" w:sz="0" w:space="0" w:color="auto"/>
      </w:divBdr>
    </w:div>
    <w:div w:id="2076708278">
      <w:bodyDiv w:val="1"/>
      <w:marLeft w:val="0"/>
      <w:marRight w:val="0"/>
      <w:marTop w:val="0"/>
      <w:marBottom w:val="0"/>
      <w:divBdr>
        <w:top w:val="none" w:sz="0" w:space="0" w:color="auto"/>
        <w:left w:val="none" w:sz="0" w:space="0" w:color="auto"/>
        <w:bottom w:val="none" w:sz="0" w:space="0" w:color="auto"/>
        <w:right w:val="none" w:sz="0" w:space="0" w:color="auto"/>
      </w:divBdr>
    </w:div>
    <w:div w:id="2083330281">
      <w:bodyDiv w:val="1"/>
      <w:marLeft w:val="0"/>
      <w:marRight w:val="0"/>
      <w:marTop w:val="0"/>
      <w:marBottom w:val="0"/>
      <w:divBdr>
        <w:top w:val="none" w:sz="0" w:space="0" w:color="auto"/>
        <w:left w:val="none" w:sz="0" w:space="0" w:color="auto"/>
        <w:bottom w:val="none" w:sz="0" w:space="0" w:color="auto"/>
        <w:right w:val="none" w:sz="0" w:space="0" w:color="auto"/>
      </w:divBdr>
    </w:div>
    <w:div w:id="2084061969">
      <w:bodyDiv w:val="1"/>
      <w:marLeft w:val="0"/>
      <w:marRight w:val="0"/>
      <w:marTop w:val="0"/>
      <w:marBottom w:val="0"/>
      <w:divBdr>
        <w:top w:val="none" w:sz="0" w:space="0" w:color="auto"/>
        <w:left w:val="none" w:sz="0" w:space="0" w:color="auto"/>
        <w:bottom w:val="none" w:sz="0" w:space="0" w:color="auto"/>
        <w:right w:val="none" w:sz="0" w:space="0" w:color="auto"/>
      </w:divBdr>
    </w:div>
    <w:div w:id="2100253554">
      <w:bodyDiv w:val="1"/>
      <w:marLeft w:val="0"/>
      <w:marRight w:val="0"/>
      <w:marTop w:val="0"/>
      <w:marBottom w:val="0"/>
      <w:divBdr>
        <w:top w:val="none" w:sz="0" w:space="0" w:color="auto"/>
        <w:left w:val="none" w:sz="0" w:space="0" w:color="auto"/>
        <w:bottom w:val="none" w:sz="0" w:space="0" w:color="auto"/>
        <w:right w:val="none" w:sz="0" w:space="0" w:color="auto"/>
      </w:divBdr>
    </w:div>
    <w:div w:id="2105178734">
      <w:bodyDiv w:val="1"/>
      <w:marLeft w:val="0"/>
      <w:marRight w:val="0"/>
      <w:marTop w:val="0"/>
      <w:marBottom w:val="0"/>
      <w:divBdr>
        <w:top w:val="none" w:sz="0" w:space="0" w:color="auto"/>
        <w:left w:val="none" w:sz="0" w:space="0" w:color="auto"/>
        <w:bottom w:val="none" w:sz="0" w:space="0" w:color="auto"/>
        <w:right w:val="none" w:sz="0" w:space="0" w:color="auto"/>
      </w:divBdr>
    </w:div>
    <w:div w:id="2107773030">
      <w:bodyDiv w:val="1"/>
      <w:marLeft w:val="0"/>
      <w:marRight w:val="0"/>
      <w:marTop w:val="0"/>
      <w:marBottom w:val="0"/>
      <w:divBdr>
        <w:top w:val="none" w:sz="0" w:space="0" w:color="auto"/>
        <w:left w:val="none" w:sz="0" w:space="0" w:color="auto"/>
        <w:bottom w:val="none" w:sz="0" w:space="0" w:color="auto"/>
        <w:right w:val="none" w:sz="0" w:space="0" w:color="auto"/>
      </w:divBdr>
    </w:div>
    <w:div w:id="2110850053">
      <w:bodyDiv w:val="1"/>
      <w:marLeft w:val="0"/>
      <w:marRight w:val="0"/>
      <w:marTop w:val="0"/>
      <w:marBottom w:val="0"/>
      <w:divBdr>
        <w:top w:val="none" w:sz="0" w:space="0" w:color="auto"/>
        <w:left w:val="none" w:sz="0" w:space="0" w:color="auto"/>
        <w:bottom w:val="none" w:sz="0" w:space="0" w:color="auto"/>
        <w:right w:val="none" w:sz="0" w:space="0" w:color="auto"/>
      </w:divBdr>
    </w:div>
    <w:div w:id="2112125512">
      <w:bodyDiv w:val="1"/>
      <w:marLeft w:val="0"/>
      <w:marRight w:val="0"/>
      <w:marTop w:val="0"/>
      <w:marBottom w:val="0"/>
      <w:divBdr>
        <w:top w:val="none" w:sz="0" w:space="0" w:color="auto"/>
        <w:left w:val="none" w:sz="0" w:space="0" w:color="auto"/>
        <w:bottom w:val="none" w:sz="0" w:space="0" w:color="auto"/>
        <w:right w:val="none" w:sz="0" w:space="0" w:color="auto"/>
      </w:divBdr>
    </w:div>
    <w:div w:id="2114282463">
      <w:bodyDiv w:val="1"/>
      <w:marLeft w:val="0"/>
      <w:marRight w:val="0"/>
      <w:marTop w:val="0"/>
      <w:marBottom w:val="0"/>
      <w:divBdr>
        <w:top w:val="none" w:sz="0" w:space="0" w:color="auto"/>
        <w:left w:val="none" w:sz="0" w:space="0" w:color="auto"/>
        <w:bottom w:val="none" w:sz="0" w:space="0" w:color="auto"/>
        <w:right w:val="none" w:sz="0" w:space="0" w:color="auto"/>
      </w:divBdr>
    </w:div>
    <w:div w:id="2117091225">
      <w:bodyDiv w:val="1"/>
      <w:marLeft w:val="0"/>
      <w:marRight w:val="0"/>
      <w:marTop w:val="0"/>
      <w:marBottom w:val="0"/>
      <w:divBdr>
        <w:top w:val="none" w:sz="0" w:space="0" w:color="auto"/>
        <w:left w:val="none" w:sz="0" w:space="0" w:color="auto"/>
        <w:bottom w:val="none" w:sz="0" w:space="0" w:color="auto"/>
        <w:right w:val="none" w:sz="0" w:space="0" w:color="auto"/>
      </w:divBdr>
    </w:div>
    <w:div w:id="2117748918">
      <w:bodyDiv w:val="1"/>
      <w:marLeft w:val="0"/>
      <w:marRight w:val="0"/>
      <w:marTop w:val="0"/>
      <w:marBottom w:val="0"/>
      <w:divBdr>
        <w:top w:val="none" w:sz="0" w:space="0" w:color="auto"/>
        <w:left w:val="none" w:sz="0" w:space="0" w:color="auto"/>
        <w:bottom w:val="none" w:sz="0" w:space="0" w:color="auto"/>
        <w:right w:val="none" w:sz="0" w:space="0" w:color="auto"/>
      </w:divBdr>
    </w:div>
    <w:div w:id="2125419333">
      <w:bodyDiv w:val="1"/>
      <w:marLeft w:val="0"/>
      <w:marRight w:val="0"/>
      <w:marTop w:val="0"/>
      <w:marBottom w:val="0"/>
      <w:divBdr>
        <w:top w:val="none" w:sz="0" w:space="0" w:color="auto"/>
        <w:left w:val="none" w:sz="0" w:space="0" w:color="auto"/>
        <w:bottom w:val="none" w:sz="0" w:space="0" w:color="auto"/>
        <w:right w:val="none" w:sz="0" w:space="0" w:color="auto"/>
      </w:divBdr>
    </w:div>
    <w:div w:id="2126071543">
      <w:bodyDiv w:val="1"/>
      <w:marLeft w:val="0"/>
      <w:marRight w:val="0"/>
      <w:marTop w:val="0"/>
      <w:marBottom w:val="0"/>
      <w:divBdr>
        <w:top w:val="none" w:sz="0" w:space="0" w:color="auto"/>
        <w:left w:val="none" w:sz="0" w:space="0" w:color="auto"/>
        <w:bottom w:val="none" w:sz="0" w:space="0" w:color="auto"/>
        <w:right w:val="none" w:sz="0" w:space="0" w:color="auto"/>
      </w:divBdr>
    </w:div>
    <w:div w:id="2132703624">
      <w:bodyDiv w:val="1"/>
      <w:marLeft w:val="0"/>
      <w:marRight w:val="0"/>
      <w:marTop w:val="0"/>
      <w:marBottom w:val="0"/>
      <w:divBdr>
        <w:top w:val="none" w:sz="0" w:space="0" w:color="auto"/>
        <w:left w:val="none" w:sz="0" w:space="0" w:color="auto"/>
        <w:bottom w:val="none" w:sz="0" w:space="0" w:color="auto"/>
        <w:right w:val="none" w:sz="0" w:space="0" w:color="auto"/>
      </w:divBdr>
    </w:div>
    <w:div w:id="2140567850">
      <w:bodyDiv w:val="1"/>
      <w:marLeft w:val="0"/>
      <w:marRight w:val="0"/>
      <w:marTop w:val="0"/>
      <w:marBottom w:val="0"/>
      <w:divBdr>
        <w:top w:val="none" w:sz="0" w:space="0" w:color="auto"/>
        <w:left w:val="none" w:sz="0" w:space="0" w:color="auto"/>
        <w:bottom w:val="none" w:sz="0" w:space="0" w:color="auto"/>
        <w:right w:val="none" w:sz="0" w:space="0" w:color="auto"/>
      </w:divBdr>
    </w:div>
    <w:div w:id="214298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news/eu-jobseekers-barred-from-claiming-universal-credit" TargetMode="External"/><Relationship Id="rId3" Type="http://schemas.openxmlformats.org/officeDocument/2006/relationships/hyperlink" Target="https://ec.europa.eu/eurostat/statistics-explained/index.php?title=Reconciliation_of_work_and_family_life_-_statistics" TargetMode="External"/><Relationship Id="rId7" Type="http://schemas.openxmlformats.org/officeDocument/2006/relationships/hyperlink" Target="https://ec.europa.eu/commission/publications/european-pillar-social-rights-booklet_en" TargetMode="External"/><Relationship Id="rId2" Type="http://schemas.openxmlformats.org/officeDocument/2006/relationships/hyperlink" Target="https://assets.publishing.service.gov.uk/government/uploads/system/uploads/attachment_data/file/965499/adm-chapter-c1-universal_credit-international-issues.pdf" TargetMode="External"/><Relationship Id="rId1" Type="http://schemas.openxmlformats.org/officeDocument/2006/relationships/hyperlink" Target="https://cpag.org.uk/sites/default/files/CPAG-Kapow-GPOW-APR2015_0.pdf" TargetMode="External"/><Relationship Id="rId6" Type="http://schemas.openxmlformats.org/officeDocument/2006/relationships/hyperlink" Target="https://www.independent.co.uk/news/uk/home-news/disabled-people-jobs-applications-more-able-bodied-stats-employment-a7970701.html" TargetMode="External"/><Relationship Id="rId5" Type="http://schemas.openxmlformats.org/officeDocument/2006/relationships/hyperlink" Target="https://ec.europa.eu/eurostat/statistics-explained/index.php?title=Archive:Disability_statistics_-_labour_market_access&amp;direction=next&amp;oldid=428449" TargetMode="External"/><Relationship Id="rId4" Type="http://schemas.openxmlformats.org/officeDocument/2006/relationships/hyperlink" Target="https://www.citizensadvice.org.uk/Global/CitizensAdvice/Families%20Publications/EnablingWorkingParents.pdf" TargetMode="External"/><Relationship Id="rId9" Type="http://schemas.openxmlformats.org/officeDocument/2006/relationships/hyperlink" Target="https://www.eurightshub.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06A22-170F-CF4A-BBDC-FE00BB26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7111</Words>
  <Characters>40539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Alice Welsh</cp:lastModifiedBy>
  <cp:revision>2</cp:revision>
  <dcterms:created xsi:type="dcterms:W3CDTF">2021-10-15T08:44:00Z</dcterms:created>
  <dcterms:modified xsi:type="dcterms:W3CDTF">2021-10-15T08:44:00Z</dcterms:modified>
  <cp:category/>
</cp:coreProperties>
</file>