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1DCD" w14:textId="00E6E56E" w:rsidR="000361D6" w:rsidRDefault="007D4AC2" w:rsidP="000361D6">
      <w:pPr>
        <w:pStyle w:val="Heading1"/>
      </w:pPr>
      <w:bookmarkStart w:id="0" w:name="_GoBack"/>
      <w:bookmarkEnd w:id="0"/>
      <w:r>
        <w:t xml:space="preserve">Systematic review </w:t>
      </w:r>
      <w:r w:rsidR="00EF0BE5">
        <w:t xml:space="preserve">protocol </w:t>
      </w:r>
      <w:r>
        <w:t>e</w:t>
      </w:r>
      <w:r w:rsidR="000361D6">
        <w:t>xploring the impact of the COVID-19 pandemic on the wellbeing of general practitioners</w:t>
      </w:r>
    </w:p>
    <w:p w14:paraId="02E82C66" w14:textId="77777777" w:rsidR="000361D6" w:rsidRDefault="000361D6"/>
    <w:p w14:paraId="1FFC0053" w14:textId="77777777" w:rsidR="000361D6" w:rsidRDefault="000361D6"/>
    <w:p w14:paraId="21A53DA2" w14:textId="37DAAC01" w:rsidR="000361D6" w:rsidRDefault="000361D6">
      <w:r>
        <w:t xml:space="preserve">Jefferson, L., </w:t>
      </w:r>
      <w:r w:rsidR="007D5E60">
        <w:t xml:space="preserve">Golder, S., </w:t>
      </w:r>
      <w:r w:rsidR="009D14C1">
        <w:t xml:space="preserve">Dale, V., Essex, H., </w:t>
      </w:r>
      <w:r>
        <w:t>McHugh, E.</w:t>
      </w:r>
      <w:r w:rsidR="00A759F5">
        <w:t xml:space="preserve"> Bloor, K.</w:t>
      </w:r>
      <w:r>
        <w:t xml:space="preserve"> </w:t>
      </w:r>
    </w:p>
    <w:p w14:paraId="5B3A3349" w14:textId="77777777" w:rsidR="000361D6" w:rsidRDefault="000361D6"/>
    <w:p w14:paraId="62CE63A4" w14:textId="77777777" w:rsidR="00A32C0B" w:rsidRDefault="00A32C0B" w:rsidP="000361D6">
      <w:pPr>
        <w:rPr>
          <w:rFonts w:cstheme="minorHAnsi"/>
          <w:shd w:val="clear" w:color="auto" w:fill="FFFFFF"/>
        </w:rPr>
      </w:pPr>
    </w:p>
    <w:p w14:paraId="22D1688A" w14:textId="77777777" w:rsidR="00A32C0B" w:rsidRDefault="00A32C0B" w:rsidP="000361D6">
      <w:pPr>
        <w:rPr>
          <w:rFonts w:cstheme="minorHAnsi"/>
          <w:shd w:val="clear" w:color="auto" w:fill="FFFFFF"/>
        </w:rPr>
      </w:pPr>
    </w:p>
    <w:p w14:paraId="56A4476E" w14:textId="77777777" w:rsidR="00A32C0B" w:rsidRDefault="00A32C0B" w:rsidP="000361D6">
      <w:pPr>
        <w:rPr>
          <w:rFonts w:cstheme="minorHAnsi"/>
          <w:shd w:val="clear" w:color="auto" w:fill="FFFFFF"/>
        </w:rPr>
      </w:pPr>
    </w:p>
    <w:p w14:paraId="775523DE" w14:textId="77777777" w:rsidR="00A32C0B" w:rsidRDefault="00A32C0B" w:rsidP="000361D6">
      <w:pPr>
        <w:rPr>
          <w:rFonts w:cstheme="minorHAnsi"/>
          <w:shd w:val="clear" w:color="auto" w:fill="FFFFFF"/>
        </w:rPr>
      </w:pPr>
    </w:p>
    <w:p w14:paraId="184E04D8" w14:textId="77777777" w:rsidR="000361D6" w:rsidRDefault="000361D6" w:rsidP="000361D6">
      <w:pPr>
        <w:rPr>
          <w:rFonts w:cstheme="minorHAnsi"/>
          <w:shd w:val="clear" w:color="auto" w:fill="FFFFFF"/>
        </w:rPr>
      </w:pPr>
      <w:r w:rsidRPr="001724BD">
        <w:rPr>
          <w:rFonts w:cstheme="minorHAnsi"/>
          <w:shd w:val="clear" w:color="auto" w:fill="FFFFFF"/>
        </w:rPr>
        <w:t>Department of Health Sciences, University of York, Heslington, YO10 5DD</w:t>
      </w:r>
    </w:p>
    <w:p w14:paraId="041C9C6D" w14:textId="77777777" w:rsidR="000361D6" w:rsidRDefault="000361D6" w:rsidP="000361D6">
      <w:pPr>
        <w:rPr>
          <w:rFonts w:cstheme="minorHAnsi"/>
          <w:shd w:val="clear" w:color="auto" w:fill="FFFFFF"/>
        </w:rPr>
      </w:pPr>
    </w:p>
    <w:p w14:paraId="58A9BFC9" w14:textId="77777777" w:rsidR="000361D6" w:rsidRPr="001724BD" w:rsidRDefault="000361D6" w:rsidP="000361D6">
      <w:pPr>
        <w:rPr>
          <w:rFonts w:cstheme="minorHAnsi"/>
          <w:shd w:val="clear" w:color="auto" w:fill="FFFFFF"/>
        </w:rPr>
      </w:pPr>
      <w:r>
        <w:rPr>
          <w:rFonts w:cstheme="minorHAnsi"/>
          <w:shd w:val="clear" w:color="auto" w:fill="FFFFFF"/>
        </w:rPr>
        <w:t xml:space="preserve">Correspondence to: L Jefferson </w:t>
      </w:r>
      <w:hyperlink r:id="rId7" w:history="1">
        <w:r w:rsidRPr="00E45469">
          <w:rPr>
            <w:rStyle w:val="Hyperlink"/>
            <w:rFonts w:cstheme="minorHAnsi"/>
            <w:shd w:val="clear" w:color="auto" w:fill="FFFFFF"/>
          </w:rPr>
          <w:t>laura.jefferson@york.ac.uk</w:t>
        </w:r>
      </w:hyperlink>
      <w:r>
        <w:rPr>
          <w:rFonts w:cstheme="minorHAnsi"/>
          <w:shd w:val="clear" w:color="auto" w:fill="FFFFFF"/>
        </w:rPr>
        <w:t xml:space="preserve"> </w:t>
      </w:r>
      <w:r w:rsidRPr="001724BD">
        <w:rPr>
          <w:rFonts w:cstheme="minorHAnsi"/>
        </w:rPr>
        <w:t>Area 4 Seebohm Rowntree Building, Department of Health Sciences, University of York, Heslington, YO10 5DD.</w:t>
      </w:r>
      <w:r>
        <w:rPr>
          <w:rFonts w:cstheme="minorHAnsi"/>
          <w:shd w:val="clear" w:color="auto" w:fill="FFFFFF"/>
        </w:rPr>
        <w:t xml:space="preserve"> </w:t>
      </w:r>
    </w:p>
    <w:p w14:paraId="032F7916" w14:textId="77777777" w:rsidR="000361D6" w:rsidRDefault="000361D6"/>
    <w:p w14:paraId="4F44E628" w14:textId="77777777" w:rsidR="00A32C0B" w:rsidRDefault="00A32C0B"/>
    <w:p w14:paraId="213E69F9" w14:textId="77777777" w:rsidR="00A32C0B" w:rsidRDefault="00A32C0B"/>
    <w:p w14:paraId="72742CFA" w14:textId="77777777" w:rsidR="00A32C0B" w:rsidRDefault="00A32C0B"/>
    <w:p w14:paraId="6DEE6383" w14:textId="4D91F398" w:rsidR="000361D6" w:rsidRDefault="000361D6">
      <w:r>
        <w:t xml:space="preserve">Word count: </w:t>
      </w:r>
      <w:r w:rsidR="00403318">
        <w:t>1</w:t>
      </w:r>
      <w:r w:rsidR="00EF0BE5">
        <w:t>6</w:t>
      </w:r>
      <w:r w:rsidR="0025148F">
        <w:t>09</w:t>
      </w:r>
    </w:p>
    <w:p w14:paraId="6D6C799F" w14:textId="77777777" w:rsidR="00A32C0B" w:rsidRDefault="00A32C0B">
      <w:pPr>
        <w:rPr>
          <w:rFonts w:asciiTheme="majorHAnsi" w:eastAsiaTheme="majorEastAsia" w:hAnsiTheme="majorHAnsi" w:cstheme="majorBidi"/>
          <w:color w:val="2F5496" w:themeColor="accent1" w:themeShade="BF"/>
          <w:sz w:val="26"/>
          <w:szCs w:val="26"/>
        </w:rPr>
      </w:pPr>
      <w:r>
        <w:br w:type="page"/>
      </w:r>
    </w:p>
    <w:p w14:paraId="07F6D7A2" w14:textId="77777777" w:rsidR="00AD5F50" w:rsidRDefault="00AD5F50" w:rsidP="00AD5F50">
      <w:pPr>
        <w:pStyle w:val="Heading2"/>
      </w:pPr>
      <w:r>
        <w:lastRenderedPageBreak/>
        <w:t>Abstract</w:t>
      </w:r>
    </w:p>
    <w:p w14:paraId="23BB08AB" w14:textId="77777777" w:rsidR="00AD5F50" w:rsidRDefault="00AD5F50" w:rsidP="00AD5F50"/>
    <w:p w14:paraId="59483F0B" w14:textId="77777777" w:rsidR="00AD5F50" w:rsidRDefault="00AD5F50" w:rsidP="00AD5F50">
      <w:pPr>
        <w:pStyle w:val="Heading3"/>
      </w:pPr>
      <w:r>
        <w:t>Background</w:t>
      </w:r>
    </w:p>
    <w:p w14:paraId="43A7684E" w14:textId="4DB92AB6" w:rsidR="00AD5F50" w:rsidRDefault="00AD5F50" w:rsidP="00AD5F50">
      <w:r>
        <w:t xml:space="preserve">Over recent years chronic stress and burnout have been </w:t>
      </w:r>
      <w:r w:rsidR="00E059F2">
        <w:t xml:space="preserve">reported by </w:t>
      </w:r>
      <w:r>
        <w:t xml:space="preserve">doctors working in general practice </w:t>
      </w:r>
      <w:r w:rsidR="00E059F2">
        <w:t xml:space="preserve">in the UK NHS and </w:t>
      </w:r>
      <w:r>
        <w:t>internationally</w:t>
      </w:r>
      <w:r w:rsidR="00E059F2">
        <w:t>. T</w:t>
      </w:r>
      <w:r>
        <w:t>he COVID-19 pandemic</w:t>
      </w:r>
      <w:r w:rsidR="00E059F2">
        <w:t xml:space="preserve"> has changed general practitioners’ working lives – adding potential pressures from avoiding infection and addressing pent-up demand for care, but also changing processes such as </w:t>
      </w:r>
      <w:r>
        <w:t>rapid</w:t>
      </w:r>
      <w:r w:rsidR="00E059F2">
        <w:t>ly</w:t>
      </w:r>
      <w:r>
        <w:t xml:space="preserve"> </w:t>
      </w:r>
      <w:r w:rsidR="00E059F2">
        <w:t xml:space="preserve">taking up remote </w:t>
      </w:r>
      <w:r>
        <w:t xml:space="preserve">consultations. To date, there has been a focus on exploring the impact of the pandemic on the wellbeing of </w:t>
      </w:r>
      <w:r w:rsidR="00E059F2">
        <w:t>hospital clinicians. N</w:t>
      </w:r>
      <w:r>
        <w:t xml:space="preserve">o </w:t>
      </w:r>
      <w:r w:rsidR="00E059F2">
        <w:t xml:space="preserve">registered </w:t>
      </w:r>
      <w:r>
        <w:t xml:space="preserve">systematic reviews currently focus on exploring the impact of the pandemic on the mental health and wellbeing of general practitioners. </w:t>
      </w:r>
    </w:p>
    <w:p w14:paraId="65F756EA" w14:textId="77777777" w:rsidR="00AD5F50" w:rsidRDefault="00AD5F50" w:rsidP="00AD5F50">
      <w:pPr>
        <w:pStyle w:val="Heading3"/>
      </w:pPr>
      <w:r>
        <w:t>Aims and objectives</w:t>
      </w:r>
    </w:p>
    <w:p w14:paraId="5CCE3895" w14:textId="5A3D170C" w:rsidR="00AD5F50" w:rsidRPr="000361D6" w:rsidRDefault="00AD5F50" w:rsidP="00AD5F50">
      <w:r>
        <w:t xml:space="preserve">To synthesise the current international evidence base exploring the </w:t>
      </w:r>
      <w:r w:rsidRPr="000361D6">
        <w:rPr>
          <w:lang w:eastAsia="en-GB"/>
        </w:rPr>
        <w:t>impact of COVID-19 on the mental health and wellbeing of general practitioners</w:t>
      </w:r>
      <w:r w:rsidR="00E059F2">
        <w:rPr>
          <w:lang w:eastAsia="en-GB"/>
        </w:rPr>
        <w:t xml:space="preserve">, and </w:t>
      </w:r>
      <w:r w:rsidR="00032E71">
        <w:rPr>
          <w:lang w:eastAsia="en-GB"/>
        </w:rPr>
        <w:t xml:space="preserve">which </w:t>
      </w:r>
      <w:r w:rsidRPr="000361D6">
        <w:rPr>
          <w:lang w:eastAsia="en-GB"/>
        </w:rPr>
        <w:t>factors are associated with the</w:t>
      </w:r>
      <w:r w:rsidR="00E059F2">
        <w:rPr>
          <w:lang w:eastAsia="en-GB"/>
        </w:rPr>
        <w:t>ir reported</w:t>
      </w:r>
      <w:r w:rsidRPr="000361D6">
        <w:rPr>
          <w:lang w:eastAsia="en-GB"/>
        </w:rPr>
        <w:t xml:space="preserve"> mental health and wellbeing during </w:t>
      </w:r>
      <w:r w:rsidR="00E059F2">
        <w:rPr>
          <w:lang w:eastAsia="en-GB"/>
        </w:rPr>
        <w:t>the pandemic</w:t>
      </w:r>
      <w:r>
        <w:rPr>
          <w:lang w:eastAsia="en-GB"/>
        </w:rPr>
        <w:t>.</w:t>
      </w:r>
    </w:p>
    <w:p w14:paraId="1484B14C" w14:textId="77777777" w:rsidR="00AD5F50" w:rsidRDefault="00AD5F50" w:rsidP="00AD5F50">
      <w:pPr>
        <w:pStyle w:val="Heading3"/>
      </w:pPr>
      <w:r>
        <w:t>Methods</w:t>
      </w:r>
    </w:p>
    <w:p w14:paraId="41925A7F" w14:textId="2C4101E6" w:rsidR="00AD5F50" w:rsidRDefault="00032E71" w:rsidP="00AD5F50">
      <w:r>
        <w:t>In t</w:t>
      </w:r>
      <w:r w:rsidR="00AD5F50">
        <w:t xml:space="preserve">his paper </w:t>
      </w:r>
      <w:r>
        <w:t xml:space="preserve">we </w:t>
      </w:r>
      <w:r w:rsidR="00AD5F50">
        <w:t xml:space="preserve">report </w:t>
      </w:r>
      <w:r w:rsidR="00E059F2">
        <w:t xml:space="preserve">a systematic review </w:t>
      </w:r>
      <w:r w:rsidR="00AD5F50">
        <w:t>protocol</w:t>
      </w:r>
      <w:r w:rsidR="00E059F2">
        <w:t xml:space="preserve">, following </w:t>
      </w:r>
      <w:r w:rsidR="00AD5F50">
        <w:t>PRISMA</w:t>
      </w:r>
      <w:r w:rsidR="00AD5F50">
        <w:rPr>
          <w:rFonts w:cstheme="minorHAnsi"/>
          <w:lang w:val="en-US"/>
        </w:rPr>
        <w:t xml:space="preserve"> guidance.</w:t>
      </w:r>
      <w:r w:rsidR="00E059F2">
        <w:rPr>
          <w:rFonts w:cstheme="minorHAnsi"/>
          <w:lang w:val="en-US"/>
        </w:rPr>
        <w:t xml:space="preserve"> </w:t>
      </w:r>
      <w:r>
        <w:rPr>
          <w:rFonts w:cstheme="minorHAnsi"/>
          <w:lang w:val="en-US"/>
        </w:rPr>
        <w:t xml:space="preserve">In our </w:t>
      </w:r>
      <w:r w:rsidR="00AD5F50">
        <w:rPr>
          <w:rFonts w:cstheme="minorHAnsi"/>
          <w:lang w:val="en-US"/>
        </w:rPr>
        <w:t xml:space="preserve">search strategy </w:t>
      </w:r>
      <w:r>
        <w:rPr>
          <w:rFonts w:cstheme="minorHAnsi"/>
          <w:lang w:val="en-US"/>
        </w:rPr>
        <w:t xml:space="preserve">we will identify </w:t>
      </w:r>
      <w:r w:rsidR="00AD5F50">
        <w:rPr>
          <w:rFonts w:cstheme="minorHAnsi"/>
          <w:lang w:val="en-US"/>
        </w:rPr>
        <w:t xml:space="preserve">primary research studies or systematic reviews </w:t>
      </w:r>
      <w:r w:rsidR="00AD5F50">
        <w:t>exploring the mental health and wellbeing of general practitioners during the COVID-19 pandemic</w:t>
      </w:r>
      <w:r>
        <w:t xml:space="preserve"> in </w:t>
      </w:r>
      <w:r w:rsidR="00E059F2">
        <w:rPr>
          <w:rFonts w:cstheme="minorHAnsi"/>
          <w:lang w:val="en-US"/>
        </w:rPr>
        <w:t>f</w:t>
      </w:r>
      <w:r w:rsidR="00AD5F50">
        <w:rPr>
          <w:rFonts w:cstheme="minorHAnsi"/>
          <w:lang w:val="en-US"/>
        </w:rPr>
        <w:t>our databases (MEDLINE</w:t>
      </w:r>
      <w:r w:rsidR="00AD5F50">
        <w:t>, Embase, PsychInfo and Medrxiv)</w:t>
      </w:r>
      <w:r w:rsidR="004A41B9">
        <w:t xml:space="preserve"> and Google Scholar.</w:t>
      </w:r>
      <w:r>
        <w:t xml:space="preserve"> We will hand-search r</w:t>
      </w:r>
      <w:r w:rsidR="00AD5F50">
        <w:t xml:space="preserve">eference lists and grey literature. </w:t>
      </w:r>
    </w:p>
    <w:p w14:paraId="26A68238" w14:textId="379C2BF6" w:rsidR="00AD5F50" w:rsidRDefault="00E059F2" w:rsidP="00AD5F50">
      <w:pPr>
        <w:rPr>
          <w:rFonts w:cstheme="minorHAnsi"/>
          <w:lang w:val="en-US"/>
        </w:rPr>
      </w:pPr>
      <w:r>
        <w:t>Two reviewers will undertake a</w:t>
      </w:r>
      <w:r w:rsidR="00AD5F50">
        <w:t xml:space="preserve">ll stages including study selection, data extraction and quality assessment, with arbitration by a third reviewer where necessary. </w:t>
      </w:r>
      <w:r>
        <w:t xml:space="preserve"> We will use s</w:t>
      </w:r>
      <w:r w:rsidR="00AD5F50">
        <w:t xml:space="preserve">tandardised quality assessment tools to ensure transparency and reduce bias in quality assessment. </w:t>
      </w:r>
      <w:r w:rsidR="00AD5F50">
        <w:rPr>
          <w:rFonts w:cstheme="minorHAnsi"/>
          <w:lang w:val="en-US"/>
        </w:rPr>
        <w:t xml:space="preserve">Depending on the quality of included studies, we may undertake a sensitivity analysis by excluding studies from narrative synthesis that are rated as low quality using the checklists. </w:t>
      </w:r>
    </w:p>
    <w:p w14:paraId="5CDE6E24" w14:textId="22462492" w:rsidR="00AD5F50" w:rsidRDefault="00E059F2" w:rsidP="00AD5F50">
      <w:r>
        <w:t>We will describe the findings across studies using n</w:t>
      </w:r>
      <w:r w:rsidR="00AD5F50">
        <w:t>arrative thematic data synthesis</w:t>
      </w:r>
      <w:r>
        <w:t xml:space="preserve">, and </w:t>
      </w:r>
      <w:r w:rsidR="00AD5F50">
        <w:t xml:space="preserve">if sufficiently homogenous data are identified, </w:t>
      </w:r>
      <w:r>
        <w:t xml:space="preserve">we </w:t>
      </w:r>
      <w:r w:rsidR="00AD5F50">
        <w:t>will pool</w:t>
      </w:r>
      <w:r>
        <w:t xml:space="preserve"> quantitative findings</w:t>
      </w:r>
      <w:r w:rsidR="00AD5F50">
        <w:t xml:space="preserve"> through meta-analysis. </w:t>
      </w:r>
    </w:p>
    <w:p w14:paraId="51504090" w14:textId="77777777" w:rsidR="00A32C0B" w:rsidRDefault="00A32C0B">
      <w:pPr>
        <w:rPr>
          <w:i/>
        </w:rPr>
      </w:pPr>
    </w:p>
    <w:p w14:paraId="0EC9BB7E" w14:textId="77777777" w:rsidR="00A32C0B" w:rsidRDefault="00A32C0B">
      <w:pPr>
        <w:rPr>
          <w:i/>
        </w:rPr>
      </w:pPr>
    </w:p>
    <w:p w14:paraId="6C2A88D1" w14:textId="4D7A3AE9" w:rsidR="000361D6" w:rsidRPr="000361D6" w:rsidRDefault="000361D6">
      <w:pPr>
        <w:rPr>
          <w:i/>
        </w:rPr>
      </w:pPr>
      <w:r w:rsidRPr="000361D6">
        <w:rPr>
          <w:i/>
        </w:rPr>
        <w:t>Keywords</w:t>
      </w:r>
      <w:r w:rsidR="000C2CB2">
        <w:rPr>
          <w:i/>
        </w:rPr>
        <w:t xml:space="preserve">: General practitioners, </w:t>
      </w:r>
      <w:r w:rsidR="004710DC">
        <w:rPr>
          <w:i/>
        </w:rPr>
        <w:t>W</w:t>
      </w:r>
      <w:r w:rsidR="000C2CB2">
        <w:rPr>
          <w:i/>
        </w:rPr>
        <w:t>ellbeing,</w:t>
      </w:r>
      <w:r w:rsidR="004710DC">
        <w:rPr>
          <w:i/>
        </w:rPr>
        <w:t xml:space="preserve"> </w:t>
      </w:r>
      <w:r w:rsidR="004A41B9">
        <w:rPr>
          <w:i/>
        </w:rPr>
        <w:t xml:space="preserve">well-being, </w:t>
      </w:r>
      <w:r w:rsidR="004710DC">
        <w:rPr>
          <w:i/>
        </w:rPr>
        <w:t>M</w:t>
      </w:r>
      <w:r w:rsidR="000C2CB2">
        <w:rPr>
          <w:i/>
        </w:rPr>
        <w:t>ental health</w:t>
      </w:r>
      <w:r w:rsidR="00A00DFC">
        <w:rPr>
          <w:i/>
        </w:rPr>
        <w:t xml:space="preserve">, </w:t>
      </w:r>
      <w:r w:rsidR="004A41B9">
        <w:rPr>
          <w:i/>
        </w:rPr>
        <w:t xml:space="preserve">burnout, stress, </w:t>
      </w:r>
      <w:r w:rsidR="00A00DFC">
        <w:rPr>
          <w:i/>
        </w:rPr>
        <w:t>COVID-19</w:t>
      </w:r>
      <w:r w:rsidR="004A41B9">
        <w:rPr>
          <w:i/>
        </w:rPr>
        <w:t>, coronavirus</w:t>
      </w:r>
    </w:p>
    <w:p w14:paraId="36CFB509" w14:textId="77777777" w:rsidR="000361D6" w:rsidRDefault="000361D6"/>
    <w:p w14:paraId="5449EA3F" w14:textId="77777777" w:rsidR="009A30BF" w:rsidRDefault="009A30BF">
      <w:pPr>
        <w:rPr>
          <w:rFonts w:asciiTheme="majorHAnsi" w:eastAsiaTheme="majorEastAsia" w:hAnsiTheme="majorHAnsi" w:cstheme="majorBidi"/>
          <w:color w:val="2F5496" w:themeColor="accent1" w:themeShade="BF"/>
          <w:sz w:val="32"/>
          <w:szCs w:val="32"/>
        </w:rPr>
      </w:pPr>
      <w:r>
        <w:br w:type="page"/>
      </w:r>
    </w:p>
    <w:p w14:paraId="7445CD16" w14:textId="490EB531" w:rsidR="000361D6" w:rsidRDefault="000361D6" w:rsidP="000361D6">
      <w:pPr>
        <w:pStyle w:val="Heading1"/>
      </w:pPr>
      <w:r>
        <w:lastRenderedPageBreak/>
        <w:t>Introduction</w:t>
      </w:r>
    </w:p>
    <w:p w14:paraId="088EE271" w14:textId="77777777" w:rsidR="00BB04A1" w:rsidRDefault="00BB04A1" w:rsidP="00600267"/>
    <w:p w14:paraId="367B9466" w14:textId="28F91919" w:rsidR="00B36954" w:rsidRDefault="009D14C1" w:rsidP="00600267">
      <w:pPr>
        <w:sectPr w:rsidR="00B36954" w:rsidSect="00B36954">
          <w:endnotePr>
            <w:numFmt w:val="decimal"/>
          </w:endnotePr>
          <w:type w:val="continuous"/>
          <w:pgSz w:w="11906" w:h="16838"/>
          <w:pgMar w:top="1440" w:right="1440" w:bottom="1440" w:left="1440" w:header="708" w:footer="708" w:gutter="0"/>
          <w:cols w:space="708"/>
          <w:docGrid w:linePitch="360"/>
        </w:sectPr>
      </w:pPr>
      <w:r>
        <w:t>Prior to the COVID-19 pandemic, c</w:t>
      </w:r>
      <w:r w:rsidR="007D4AC2" w:rsidRPr="00600267">
        <w:t>hronic stress and burnout threaten</w:t>
      </w:r>
      <w:r>
        <w:t>ed</w:t>
      </w:r>
      <w:r w:rsidR="007D4AC2" w:rsidRPr="00600267">
        <w:t xml:space="preserve"> the mental health of </w:t>
      </w:r>
      <w:r w:rsidR="00600267">
        <w:t>doctors working in general practice</w:t>
      </w:r>
      <w:r w:rsidR="007D4AC2" w:rsidRPr="00600267">
        <w:t>, the quality of patient care</w:t>
      </w:r>
      <w:r w:rsidR="00980980">
        <w:rPr>
          <w:rStyle w:val="EndnoteReference"/>
        </w:rPr>
        <w:endnoteReference w:id="1"/>
      </w:r>
      <w:r w:rsidR="007D4AC2" w:rsidRPr="00600267">
        <w:t xml:space="preserve"> and the sustainability of the health care system</w:t>
      </w:r>
      <w:r w:rsidR="00DD08F4">
        <w:t>.</w:t>
      </w:r>
      <w:r w:rsidR="008104A0">
        <w:rPr>
          <w:rStyle w:val="EndnoteReference"/>
        </w:rPr>
        <w:endnoteReference w:id="2"/>
      </w:r>
      <w:r w:rsidR="007D4AC2" w:rsidRPr="00600267">
        <w:t xml:space="preserve"> </w:t>
      </w:r>
      <w:r w:rsidR="00C77DB1">
        <w:t xml:space="preserve">General practitioners (GPs) play a crucial role as ‘gatekeepers’ to the health service, and yet </w:t>
      </w:r>
      <w:r>
        <w:t>greater</w:t>
      </w:r>
      <w:r w:rsidR="00C77DB1">
        <w:t xml:space="preserve"> quantity </w:t>
      </w:r>
      <w:r w:rsidR="000620FC">
        <w:t xml:space="preserve">and </w:t>
      </w:r>
      <w:r>
        <w:t>complexity of work</w:t>
      </w:r>
      <w:r w:rsidR="00C77DB1">
        <w:t xml:space="preserve"> </w:t>
      </w:r>
      <w:r w:rsidR="00C279CD">
        <w:t xml:space="preserve">have </w:t>
      </w:r>
      <w:r w:rsidR="00C77DB1">
        <w:t xml:space="preserve">led to </w:t>
      </w:r>
      <w:r w:rsidR="00B36954">
        <w:t>high</w:t>
      </w:r>
      <w:r w:rsidR="000620FC">
        <w:t xml:space="preserve"> </w:t>
      </w:r>
      <w:r w:rsidR="00B36954">
        <w:t xml:space="preserve">levels of </w:t>
      </w:r>
      <w:r w:rsidR="000620FC">
        <w:t>report</w:t>
      </w:r>
      <w:r w:rsidR="00B36954">
        <w:t>ed</w:t>
      </w:r>
      <w:r w:rsidR="00C77DB1">
        <w:t xml:space="preserve"> job stress</w:t>
      </w:r>
      <w:r w:rsidR="000620FC">
        <w:t>,</w:t>
      </w:r>
      <w:r w:rsidR="00C77DB1">
        <w:t xml:space="preserve"> </w:t>
      </w:r>
      <w:r w:rsidR="000620FC">
        <w:t xml:space="preserve">lower </w:t>
      </w:r>
      <w:r w:rsidR="00C77DB1">
        <w:t>satisfaction, burnout</w:t>
      </w:r>
      <w:r w:rsidR="00B36954">
        <w:t xml:space="preserve"> </w:t>
      </w:r>
      <w:r w:rsidR="00C77DB1">
        <w:t>and intentions to leave medicine</w:t>
      </w:r>
      <w:bookmarkStart w:id="1" w:name="_Ref57107951"/>
      <w:r w:rsidR="00C77DB1">
        <w:t>.</w:t>
      </w:r>
      <w:r w:rsidR="00B36954">
        <w:rPr>
          <w:rStyle w:val="EndnoteReference"/>
        </w:rPr>
        <w:endnoteReference w:id="3"/>
      </w:r>
      <w:r w:rsidR="00DD08F4" w:rsidRPr="004A41B9">
        <w:rPr>
          <w:vertAlign w:val="superscript"/>
        </w:rPr>
        <w:t>,</w:t>
      </w:r>
      <w:r w:rsidR="00C77DB1" w:rsidRPr="00A759F5">
        <w:rPr>
          <w:rStyle w:val="EndnoteReference"/>
        </w:rPr>
        <w:endnoteReference w:id="4"/>
      </w:r>
      <w:bookmarkEnd w:id="1"/>
      <w:r w:rsidR="00DD08F4" w:rsidRPr="004A41B9">
        <w:rPr>
          <w:vertAlign w:val="superscript"/>
        </w:rPr>
        <w:t>,</w:t>
      </w:r>
      <w:r w:rsidR="00C77DB1" w:rsidRPr="00A759F5">
        <w:rPr>
          <w:rStyle w:val="EndnoteReference"/>
        </w:rPr>
        <w:endnoteReference w:id="5"/>
      </w:r>
      <w:r w:rsidR="00DD08F4" w:rsidRPr="004A41B9">
        <w:rPr>
          <w:vertAlign w:val="superscript"/>
        </w:rPr>
        <w:t>,</w:t>
      </w:r>
      <w:r w:rsidR="00B36954" w:rsidRPr="00600267">
        <w:rPr>
          <w:rStyle w:val="EndnoteReference"/>
        </w:rPr>
        <w:endnoteReference w:id="6"/>
      </w:r>
      <w:r w:rsidR="00B36954">
        <w:t xml:space="preserve"> </w:t>
      </w:r>
      <w:r w:rsidR="00C77DB1" w:rsidRPr="00600267">
        <w:t xml:space="preserve"> </w:t>
      </w:r>
    </w:p>
    <w:p w14:paraId="00DDA09F" w14:textId="6277C406" w:rsidR="00600267" w:rsidRPr="00600267" w:rsidRDefault="007D4AC2" w:rsidP="00600267">
      <w:r w:rsidRPr="00600267">
        <w:rPr>
          <w:rFonts w:cs="Arial"/>
          <w:lang w:val="en"/>
        </w:rPr>
        <w:t>Internationally, medical workforce wellbeing has been described as a “public health crisis</w:t>
      </w:r>
      <w:r w:rsidR="00FF6CB4">
        <w:rPr>
          <w:rFonts w:cs="Arial"/>
          <w:lang w:val="en"/>
        </w:rPr>
        <w:t>.</w:t>
      </w:r>
      <w:r w:rsidRPr="00600267">
        <w:rPr>
          <w:rFonts w:cs="Arial"/>
          <w:lang w:val="en"/>
        </w:rPr>
        <w:t>”</w:t>
      </w:r>
      <w:r w:rsidR="00FF6CB4">
        <w:rPr>
          <w:rStyle w:val="EndnoteReference"/>
          <w:rFonts w:cs="Arial"/>
          <w:lang w:val="en"/>
        </w:rPr>
        <w:endnoteReference w:id="7"/>
      </w:r>
      <w:r w:rsidR="00DD08F4" w:rsidRPr="001A0F67">
        <w:rPr>
          <w:vertAlign w:val="superscript"/>
        </w:rPr>
        <w:t>,</w:t>
      </w:r>
      <w:r w:rsidR="00FF6CB4">
        <w:rPr>
          <w:rStyle w:val="EndnoteReference"/>
          <w:rFonts w:cs="Arial"/>
          <w:lang w:val="en"/>
        </w:rPr>
        <w:endnoteReference w:id="8"/>
      </w:r>
      <w:r w:rsidR="00600267">
        <w:rPr>
          <w:rFonts w:cs="Arial"/>
        </w:rPr>
        <w:t xml:space="preserve"> I</w:t>
      </w:r>
      <w:r w:rsidRPr="00600267">
        <w:rPr>
          <w:rFonts w:cs="Arial"/>
        </w:rPr>
        <w:t>n the UK</w:t>
      </w:r>
      <w:r w:rsidR="00DD08F4">
        <w:rPr>
          <w:rFonts w:cs="Arial"/>
        </w:rPr>
        <w:t>,</w:t>
      </w:r>
      <w:r w:rsidRPr="00600267">
        <w:rPr>
          <w:rFonts w:cs="Arial"/>
        </w:rPr>
        <w:t xml:space="preserve"> </w:t>
      </w:r>
      <w:r w:rsidR="009D14C1">
        <w:rPr>
          <w:rFonts w:cs="Arial"/>
        </w:rPr>
        <w:t xml:space="preserve">prior to the pandemic, </w:t>
      </w:r>
      <w:r w:rsidR="000361D6" w:rsidRPr="00600267">
        <w:t>80% of doctors report</w:t>
      </w:r>
      <w:r w:rsidR="009D14C1">
        <w:t>ed</w:t>
      </w:r>
      <w:r w:rsidR="000361D6" w:rsidRPr="00600267">
        <w:t xml:space="preserve"> characteristics associated with very high risk of burnout</w:t>
      </w:r>
      <w:r w:rsidR="009D14C1">
        <w:t>,</w:t>
      </w:r>
      <w:r w:rsidR="000361D6" w:rsidRPr="00600267">
        <w:rPr>
          <w:rStyle w:val="EndnoteReference"/>
        </w:rPr>
        <w:endnoteReference w:id="9"/>
      </w:r>
      <w:r w:rsidR="000361D6" w:rsidRPr="00600267">
        <w:t xml:space="preserve"> </w:t>
      </w:r>
      <w:r w:rsidR="009D14C1">
        <w:t>with</w:t>
      </w:r>
      <w:r w:rsidR="000361D6" w:rsidRPr="00600267">
        <w:t xml:space="preserve"> those in general practice and emergency medicine at highest risk.</w:t>
      </w:r>
      <w:r w:rsidR="000361D6" w:rsidRPr="00600267">
        <w:rPr>
          <w:rStyle w:val="EndnoteReference"/>
        </w:rPr>
        <w:endnoteReference w:id="10"/>
      </w:r>
      <w:r w:rsidR="00DD08F4" w:rsidRPr="001A0F67">
        <w:rPr>
          <w:vertAlign w:val="superscript"/>
        </w:rPr>
        <w:t>,</w:t>
      </w:r>
      <w:r w:rsidR="000361D6" w:rsidRPr="00600267">
        <w:rPr>
          <w:rStyle w:val="EndnoteReference"/>
        </w:rPr>
        <w:endnoteReference w:id="11"/>
      </w:r>
      <w:r w:rsidR="00600267">
        <w:t xml:space="preserve"> </w:t>
      </w:r>
    </w:p>
    <w:p w14:paraId="20036310" w14:textId="2B457225" w:rsidR="00600267" w:rsidRPr="00600267" w:rsidRDefault="00600267" w:rsidP="00600267">
      <w:r w:rsidRPr="00600267">
        <w:t xml:space="preserve">There are clear </w:t>
      </w:r>
      <w:r w:rsidR="00DD08F4">
        <w:t xml:space="preserve">added </w:t>
      </w:r>
      <w:r w:rsidRPr="00600267">
        <w:t xml:space="preserve">risks to </w:t>
      </w:r>
      <w:r w:rsidR="00DD08F4">
        <w:t xml:space="preserve">the wellbeing of the medical </w:t>
      </w:r>
      <w:r w:rsidRPr="00600267">
        <w:t>workforce during COVID-19,</w:t>
      </w:r>
      <w:r w:rsidR="00DD08F4">
        <w:t xml:space="preserve"> and during the recovery period, as we emerge from the pandemic with a large backlog of unmet patient needs for non-COVID-19 care. R</w:t>
      </w:r>
      <w:r w:rsidR="000361D6" w:rsidRPr="00600267">
        <w:t>esearch from earlier epidemics indicat</w:t>
      </w:r>
      <w:r w:rsidR="00DD08F4">
        <w:t>es the</w:t>
      </w:r>
      <w:r w:rsidR="000361D6" w:rsidRPr="00600267">
        <w:t xml:space="preserve"> potential for </w:t>
      </w:r>
      <w:r w:rsidRPr="00600267">
        <w:t xml:space="preserve">considerable increased </w:t>
      </w:r>
      <w:r w:rsidR="000361D6" w:rsidRPr="00600267">
        <w:t>stress and burnout</w:t>
      </w:r>
      <w:r w:rsidR="00DD08F4">
        <w:t xml:space="preserve"> in health professionals</w:t>
      </w:r>
      <w:r w:rsidR="000361D6" w:rsidRPr="00600267">
        <w:t>.</w:t>
      </w:r>
      <w:r w:rsidR="000361D6" w:rsidRPr="00600267">
        <w:rPr>
          <w:rStyle w:val="EndnoteReference"/>
        </w:rPr>
        <w:endnoteReference w:id="12"/>
      </w:r>
      <w:r w:rsidRPr="00600267">
        <w:t xml:space="preserve"> Sources of stress </w:t>
      </w:r>
      <w:r w:rsidR="00DD08F4">
        <w:t xml:space="preserve">for GPs </w:t>
      </w:r>
      <w:r w:rsidRPr="00600267">
        <w:t xml:space="preserve">include </w:t>
      </w:r>
      <w:r w:rsidR="000361D6" w:rsidRPr="00600267">
        <w:t xml:space="preserve">rapid change, risks of infection, remote working and reductions in face-to-face patient care. </w:t>
      </w:r>
      <w:r w:rsidR="00DD08F4">
        <w:t>T</w:t>
      </w:r>
      <w:r w:rsidRPr="00600267">
        <w:t xml:space="preserve">here may </w:t>
      </w:r>
      <w:r w:rsidR="00DD08F4">
        <w:t xml:space="preserve">also, however, </w:t>
      </w:r>
      <w:r w:rsidRPr="00600267">
        <w:t>be s</w:t>
      </w:r>
      <w:r w:rsidR="000361D6" w:rsidRPr="00600267">
        <w:t>ome changes</w:t>
      </w:r>
      <w:r w:rsidRPr="00600267">
        <w:t xml:space="preserve"> that c</w:t>
      </w:r>
      <w:r w:rsidR="000361D6" w:rsidRPr="00600267">
        <w:t>ould improve GPs’ wellbeing, including public gratitude, financial investment, e-consultations</w:t>
      </w:r>
      <w:r w:rsidRPr="00600267">
        <w:t xml:space="preserve"> and</w:t>
      </w:r>
      <w:r w:rsidR="000361D6" w:rsidRPr="00600267">
        <w:t xml:space="preserve"> improved cooperation</w:t>
      </w:r>
      <w:r w:rsidR="000620FC">
        <w:t>;</w:t>
      </w:r>
      <w:r w:rsidR="00C77DB1">
        <w:t xml:space="preserve"> factors previously shown to </w:t>
      </w:r>
      <w:r w:rsidR="000C44AE">
        <w:t xml:space="preserve">positively affect </w:t>
      </w:r>
      <w:r w:rsidR="00C77DB1">
        <w:t>workforce morale and wellbeing</w:t>
      </w:r>
      <w:r w:rsidR="000361D6" w:rsidRPr="00600267">
        <w:t xml:space="preserve">. </w:t>
      </w:r>
    </w:p>
    <w:p w14:paraId="51A5A7C3" w14:textId="2238D19B" w:rsidR="000361D6" w:rsidRPr="00600267" w:rsidRDefault="00600267" w:rsidP="00600267">
      <w:r w:rsidRPr="00600267">
        <w:t xml:space="preserve">Internationally, </w:t>
      </w:r>
      <w:r w:rsidR="00C77DB1">
        <w:t xml:space="preserve">research </w:t>
      </w:r>
      <w:r w:rsidRPr="00600267">
        <w:t>evidence tend</w:t>
      </w:r>
      <w:r w:rsidR="00C77DB1">
        <w:t>s</w:t>
      </w:r>
      <w:r w:rsidRPr="00600267">
        <w:t xml:space="preserve"> to focus on the impact of the COVID-19 pa</w:t>
      </w:r>
      <w:r w:rsidR="00C77DB1">
        <w:t>n</w:t>
      </w:r>
      <w:r w:rsidRPr="00600267">
        <w:t xml:space="preserve">demic on front-line hospital workers, </w:t>
      </w:r>
      <w:r w:rsidR="00C77DB1">
        <w:t xml:space="preserve">perhaps </w:t>
      </w:r>
      <w:r w:rsidRPr="00600267">
        <w:t>due to their roles in treating the illness and potential greater exposure to infection. A systematic review of international evidence is needed to explore the potential impact of COVID-19 on the mental health and wellbeing of doctors working in general practice, so that future health policy and workplace interventions can be tailored to suit these specific experiences.</w:t>
      </w:r>
    </w:p>
    <w:p w14:paraId="1994CFE3" w14:textId="77777777" w:rsidR="009A30BF" w:rsidRDefault="009A30BF" w:rsidP="000361D6">
      <w:pPr>
        <w:pStyle w:val="Heading1"/>
      </w:pPr>
    </w:p>
    <w:p w14:paraId="5B21C2B3" w14:textId="32AC5DBC" w:rsidR="000361D6" w:rsidRDefault="000361D6" w:rsidP="000361D6">
      <w:pPr>
        <w:pStyle w:val="Heading1"/>
      </w:pPr>
      <w:r>
        <w:t>Aims</w:t>
      </w:r>
    </w:p>
    <w:p w14:paraId="39372538" w14:textId="715303B1" w:rsidR="000361D6" w:rsidRPr="000361D6" w:rsidRDefault="00032E71" w:rsidP="000361D6">
      <w:r>
        <w:t>In t</w:t>
      </w:r>
      <w:r w:rsidR="006454D7">
        <w:t xml:space="preserve">his systematic review </w:t>
      </w:r>
      <w:r>
        <w:t xml:space="preserve">we </w:t>
      </w:r>
      <w:r w:rsidR="006454D7">
        <w:t xml:space="preserve">aim to synthesise current </w:t>
      </w:r>
      <w:r w:rsidR="000620FC">
        <w:t xml:space="preserve">international </w:t>
      </w:r>
      <w:r w:rsidR="006454D7">
        <w:t xml:space="preserve">evidence </w:t>
      </w:r>
      <w:r>
        <w:t xml:space="preserve">on </w:t>
      </w:r>
      <w:r w:rsidR="006454D7">
        <w:t xml:space="preserve">the </w:t>
      </w:r>
      <w:r w:rsidR="000361D6" w:rsidRPr="000361D6">
        <w:rPr>
          <w:lang w:eastAsia="en-GB"/>
        </w:rPr>
        <w:t>impact of COVID-19 on the mental health and wellbeing of general practitioners</w:t>
      </w:r>
      <w:r w:rsidR="006454D7">
        <w:rPr>
          <w:lang w:eastAsia="en-GB"/>
        </w:rPr>
        <w:t xml:space="preserve">. In addition, and if data allows, we will explore </w:t>
      </w:r>
      <w:r w:rsidR="000361D6" w:rsidRPr="000361D6">
        <w:rPr>
          <w:lang w:eastAsia="en-GB"/>
        </w:rPr>
        <w:t xml:space="preserve">factors </w:t>
      </w:r>
      <w:r w:rsidR="000C44AE">
        <w:rPr>
          <w:lang w:eastAsia="en-GB"/>
        </w:rPr>
        <w:t xml:space="preserve">which </w:t>
      </w:r>
      <w:r w:rsidR="000361D6" w:rsidRPr="000361D6">
        <w:rPr>
          <w:lang w:eastAsia="en-GB"/>
        </w:rPr>
        <w:t xml:space="preserve">are associated with the mental health and wellbeing of general practitioners during </w:t>
      </w:r>
      <w:r w:rsidR="000C44AE">
        <w:rPr>
          <w:lang w:eastAsia="en-GB"/>
        </w:rPr>
        <w:t xml:space="preserve">the </w:t>
      </w:r>
      <w:r w:rsidR="000361D6" w:rsidRPr="000361D6">
        <w:rPr>
          <w:lang w:eastAsia="en-GB"/>
        </w:rPr>
        <w:t>COVID-19</w:t>
      </w:r>
      <w:r w:rsidR="000C44AE">
        <w:rPr>
          <w:lang w:eastAsia="en-GB"/>
        </w:rPr>
        <w:t xml:space="preserve"> pandemic</w:t>
      </w:r>
      <w:r w:rsidR="006454D7">
        <w:rPr>
          <w:lang w:eastAsia="en-GB"/>
        </w:rPr>
        <w:t>.</w:t>
      </w:r>
    </w:p>
    <w:p w14:paraId="51752943" w14:textId="77777777" w:rsidR="009A30BF" w:rsidRDefault="009A30BF" w:rsidP="000361D6">
      <w:pPr>
        <w:pStyle w:val="Heading1"/>
      </w:pPr>
    </w:p>
    <w:p w14:paraId="139BA72B" w14:textId="7CF80217" w:rsidR="000361D6" w:rsidRDefault="000361D6" w:rsidP="000361D6">
      <w:pPr>
        <w:pStyle w:val="Heading1"/>
      </w:pPr>
      <w:r>
        <w:t>Methods</w:t>
      </w:r>
    </w:p>
    <w:p w14:paraId="5568DD95" w14:textId="7BF4A98F" w:rsidR="00FD1717" w:rsidRDefault="00B26AA6" w:rsidP="000361D6">
      <w:r>
        <w:t xml:space="preserve">An </w:t>
      </w:r>
      <w:r w:rsidR="00FD1717">
        <w:t>initial scoping exercise</w:t>
      </w:r>
      <w:r w:rsidR="000C44AE">
        <w:t xml:space="preserve">, </w:t>
      </w:r>
      <w:r w:rsidR="00FD1717">
        <w:t>search</w:t>
      </w:r>
      <w:r w:rsidR="000C44AE">
        <w:t>ing</w:t>
      </w:r>
      <w:r w:rsidR="00FD1717">
        <w:t xml:space="preserve"> PROSPERO-registered studies and contact</w:t>
      </w:r>
      <w:r w:rsidR="000C44AE">
        <w:t>ing</w:t>
      </w:r>
      <w:r w:rsidR="00FD1717">
        <w:t xml:space="preserve"> study authors to avoid duplication in this rapidly expanding research field</w:t>
      </w:r>
      <w:r>
        <w:t xml:space="preserve">, revealed </w:t>
      </w:r>
      <w:r w:rsidR="00FD1717">
        <w:t xml:space="preserve">no existing reviews with </w:t>
      </w:r>
      <w:r w:rsidR="000C44AE">
        <w:t xml:space="preserve">a </w:t>
      </w:r>
      <w:r w:rsidR="00FD1717">
        <w:t xml:space="preserve">focus on general practitioner mental health and wellbeing during the COVID-19 pandemic. </w:t>
      </w:r>
    </w:p>
    <w:p w14:paraId="3309897A" w14:textId="6C8FFD5F" w:rsidR="00FD1717" w:rsidRDefault="00FD1717" w:rsidP="00FD1717">
      <w:pPr>
        <w:rPr>
          <w:rFonts w:cstheme="minorHAnsi"/>
          <w:lang w:val="en-US"/>
        </w:rPr>
      </w:pPr>
      <w:r>
        <w:rPr>
          <w:rFonts w:cstheme="minorHAnsi"/>
          <w:lang w:val="en-US"/>
        </w:rPr>
        <w:t>To ensure the transparency of reporting for this systematic review</w:t>
      </w:r>
      <w:r w:rsidRPr="00DD2839">
        <w:rPr>
          <w:rFonts w:cstheme="minorHAnsi"/>
          <w:lang w:val="en-US"/>
        </w:rPr>
        <w:t xml:space="preserve"> </w:t>
      </w:r>
      <w:r>
        <w:rPr>
          <w:rFonts w:cstheme="minorHAnsi"/>
          <w:lang w:val="en-US"/>
        </w:rPr>
        <w:t>we will use the Preferred Reporting Items for Systematic Reviews and Meta-Analyses (PRISMA) guidance.</w:t>
      </w:r>
      <w:r>
        <w:rPr>
          <w:rStyle w:val="EndnoteReference"/>
          <w:rFonts w:cstheme="minorHAnsi"/>
          <w:lang w:val="en-US"/>
        </w:rPr>
        <w:endnoteReference w:id="13"/>
      </w:r>
      <w:r>
        <w:rPr>
          <w:rFonts w:cstheme="minorHAnsi"/>
          <w:lang w:val="en-US"/>
        </w:rPr>
        <w:t xml:space="preserve"> </w:t>
      </w:r>
      <w:r w:rsidR="000C44AE">
        <w:rPr>
          <w:rFonts w:cstheme="minorHAnsi"/>
          <w:lang w:val="en-US"/>
        </w:rPr>
        <w:t>Our e</w:t>
      </w:r>
      <w:r w:rsidR="006454D7">
        <w:rPr>
          <w:rFonts w:cstheme="minorHAnsi"/>
          <w:lang w:val="en-US"/>
        </w:rPr>
        <w:t>ligibility</w:t>
      </w:r>
      <w:r>
        <w:rPr>
          <w:rFonts w:cstheme="minorHAnsi"/>
          <w:lang w:val="en-US"/>
        </w:rPr>
        <w:t xml:space="preserve"> criteria will capture studies </w:t>
      </w:r>
      <w:r w:rsidR="000C44AE">
        <w:rPr>
          <w:rFonts w:cstheme="minorHAnsi"/>
          <w:lang w:val="en-US"/>
        </w:rPr>
        <w:t xml:space="preserve">with </w:t>
      </w:r>
      <w:r w:rsidR="009D14C1">
        <w:rPr>
          <w:rFonts w:cstheme="minorHAnsi"/>
          <w:lang w:val="en-US"/>
        </w:rPr>
        <w:t>GPs</w:t>
      </w:r>
      <w:r>
        <w:rPr>
          <w:rFonts w:cstheme="minorHAnsi"/>
          <w:lang w:val="en-US"/>
        </w:rPr>
        <w:t xml:space="preserve"> as the population of interest</w:t>
      </w:r>
      <w:r w:rsidR="000C44AE">
        <w:rPr>
          <w:rFonts w:cstheme="minorHAnsi"/>
          <w:lang w:val="en-US"/>
        </w:rPr>
        <w:t xml:space="preserve">, which measure </w:t>
      </w:r>
      <w:r>
        <w:rPr>
          <w:rFonts w:cstheme="minorHAnsi"/>
          <w:lang w:val="en-US"/>
        </w:rPr>
        <w:t xml:space="preserve">mental health and wellbeing </w:t>
      </w:r>
      <w:r w:rsidR="000C44AE">
        <w:rPr>
          <w:rFonts w:cstheme="minorHAnsi"/>
          <w:lang w:val="en-US"/>
        </w:rPr>
        <w:t xml:space="preserve">outcomes </w:t>
      </w:r>
      <w:r>
        <w:rPr>
          <w:rFonts w:cstheme="minorHAnsi"/>
          <w:lang w:val="en-US"/>
        </w:rPr>
        <w:t xml:space="preserve">during the COVID-19 pandemic. </w:t>
      </w:r>
    </w:p>
    <w:p w14:paraId="5456F90C" w14:textId="77777777" w:rsidR="00BB04A1" w:rsidRDefault="00BB04A1" w:rsidP="00FD1717">
      <w:pPr>
        <w:rPr>
          <w:rFonts w:cstheme="minorHAnsi"/>
          <w:lang w:val="en-US"/>
        </w:rPr>
      </w:pPr>
    </w:p>
    <w:p w14:paraId="0FEBD9D3" w14:textId="77777777" w:rsidR="000361D6" w:rsidRPr="008C1E66" w:rsidRDefault="000361D6" w:rsidP="00B07021">
      <w:pPr>
        <w:pStyle w:val="Heading2"/>
      </w:pPr>
      <w:r w:rsidRPr="008C1E66">
        <w:t xml:space="preserve">Criteria for </w:t>
      </w:r>
      <w:r w:rsidR="00B07021">
        <w:t xml:space="preserve">including </w:t>
      </w:r>
      <w:r w:rsidRPr="008C1E66">
        <w:t>studies</w:t>
      </w:r>
    </w:p>
    <w:p w14:paraId="098DA65D" w14:textId="77777777" w:rsidR="00BB04A1" w:rsidRDefault="00BB04A1" w:rsidP="000361D6">
      <w:pPr>
        <w:rPr>
          <w:rStyle w:val="Heading3Char"/>
        </w:rPr>
      </w:pPr>
    </w:p>
    <w:p w14:paraId="1757B088" w14:textId="259C8E87" w:rsidR="00B07021" w:rsidRDefault="00FD1717" w:rsidP="000361D6">
      <w:r w:rsidRPr="00B07021">
        <w:rPr>
          <w:rStyle w:val="Heading3Char"/>
        </w:rPr>
        <w:t>Population</w:t>
      </w:r>
      <w:r w:rsidR="000361D6" w:rsidRPr="00B07021">
        <w:rPr>
          <w:rStyle w:val="Heading3Char"/>
        </w:rPr>
        <w:t>:</w:t>
      </w:r>
      <w:r w:rsidR="000361D6" w:rsidRPr="008C1E66">
        <w:rPr>
          <w:rFonts w:cstheme="minorHAnsi"/>
          <w:i/>
          <w:iCs/>
        </w:rPr>
        <w:t xml:space="preserve"> </w:t>
      </w:r>
      <w:r>
        <w:rPr>
          <w:rFonts w:cstheme="minorHAnsi"/>
          <w:iCs/>
        </w:rPr>
        <w:t>General practitioners</w:t>
      </w:r>
      <w:r w:rsidR="000C44AE">
        <w:rPr>
          <w:rFonts w:cstheme="minorHAnsi"/>
          <w:iCs/>
        </w:rPr>
        <w:t>.</w:t>
      </w:r>
      <w:r>
        <w:rPr>
          <w:rFonts w:cstheme="minorHAnsi"/>
          <w:iCs/>
        </w:rPr>
        <w:t xml:space="preserve"> </w:t>
      </w:r>
      <w:r w:rsidR="000361D6" w:rsidRPr="008C1E66">
        <w:t xml:space="preserve"> </w:t>
      </w:r>
      <w:r w:rsidR="00032E71">
        <w:t>We will exclude s</w:t>
      </w:r>
      <w:r w:rsidR="00B07021">
        <w:t>tudies of doctors not working in primary care.</w:t>
      </w:r>
      <w:r w:rsidR="00032E71">
        <w:t xml:space="preserve"> We will exclude s</w:t>
      </w:r>
      <w:r w:rsidR="00B07021">
        <w:t>tudies of a variety of health professionals, including GPs, if they do not provide subgroup analyses or data</w:t>
      </w:r>
      <w:r w:rsidR="002C16E4">
        <w:t xml:space="preserve"> specifically for the</w:t>
      </w:r>
      <w:r w:rsidR="00B07021">
        <w:t xml:space="preserve"> GP</w:t>
      </w:r>
      <w:r w:rsidR="002C16E4">
        <w:t xml:space="preserve"> group</w:t>
      </w:r>
      <w:r w:rsidR="00B07021">
        <w:t>.</w:t>
      </w:r>
    </w:p>
    <w:p w14:paraId="1A1C0350" w14:textId="4D76BBF5" w:rsidR="000361D6" w:rsidRDefault="00FD1717" w:rsidP="000361D6">
      <w:pPr>
        <w:rPr>
          <w:rFonts w:cstheme="minorHAnsi"/>
          <w:iCs/>
        </w:rPr>
      </w:pPr>
      <w:r w:rsidRPr="00B07021">
        <w:rPr>
          <w:rStyle w:val="Heading3Char"/>
        </w:rPr>
        <w:t>Intervention / t</w:t>
      </w:r>
      <w:r w:rsidR="000361D6" w:rsidRPr="00B07021">
        <w:rPr>
          <w:rStyle w:val="Heading3Char"/>
        </w:rPr>
        <w:t>ype of exposure:</w:t>
      </w:r>
      <w:r w:rsidR="000361D6" w:rsidRPr="008C1E66">
        <w:rPr>
          <w:rFonts w:cstheme="minorHAnsi"/>
          <w:i/>
          <w:iCs/>
        </w:rPr>
        <w:t xml:space="preserve"> </w:t>
      </w:r>
      <w:r w:rsidR="000361D6" w:rsidRPr="008C1E66">
        <w:rPr>
          <w:rFonts w:cstheme="minorHAnsi"/>
          <w:iCs/>
        </w:rPr>
        <w:t xml:space="preserve">the impact of </w:t>
      </w:r>
      <w:r w:rsidR="00032E71">
        <w:rPr>
          <w:rFonts w:cstheme="minorHAnsi"/>
          <w:iCs/>
        </w:rPr>
        <w:t xml:space="preserve">the </w:t>
      </w:r>
      <w:r w:rsidR="000361D6" w:rsidRPr="008C1E66">
        <w:rPr>
          <w:rFonts w:cstheme="minorHAnsi"/>
          <w:iCs/>
        </w:rPr>
        <w:t xml:space="preserve">COVID-19 </w:t>
      </w:r>
      <w:r w:rsidR="004A41B9">
        <w:rPr>
          <w:rFonts w:cstheme="minorHAnsi"/>
          <w:iCs/>
        </w:rPr>
        <w:t>pandemic</w:t>
      </w:r>
      <w:r w:rsidR="000361D6" w:rsidRPr="008C1E66">
        <w:rPr>
          <w:rFonts w:cstheme="minorHAnsi"/>
          <w:iCs/>
        </w:rPr>
        <w:t>.</w:t>
      </w:r>
      <w:r>
        <w:rPr>
          <w:rFonts w:cstheme="minorHAnsi"/>
          <w:iCs/>
        </w:rPr>
        <w:t xml:space="preserve"> </w:t>
      </w:r>
      <w:r w:rsidR="000361D6" w:rsidRPr="008C1E66">
        <w:rPr>
          <w:rFonts w:cstheme="minorHAnsi"/>
          <w:iCs/>
        </w:rPr>
        <w:t xml:space="preserve"> </w:t>
      </w:r>
    </w:p>
    <w:p w14:paraId="3FB7C67D" w14:textId="5960B123" w:rsidR="00B07021" w:rsidRPr="008C1E66" w:rsidRDefault="00B07021" w:rsidP="000361D6">
      <w:pPr>
        <w:rPr>
          <w:rFonts w:cstheme="minorHAnsi"/>
          <w:i/>
          <w:iCs/>
        </w:rPr>
      </w:pPr>
      <w:r w:rsidRPr="00B07021">
        <w:rPr>
          <w:rStyle w:val="Heading3Char"/>
        </w:rPr>
        <w:t>Comparator:</w:t>
      </w:r>
      <w:r>
        <w:rPr>
          <w:rFonts w:cstheme="minorHAnsi"/>
          <w:i/>
          <w:iCs/>
        </w:rPr>
        <w:t xml:space="preserve"> </w:t>
      </w:r>
      <w:r w:rsidRPr="00B07021">
        <w:rPr>
          <w:rFonts w:cstheme="minorHAnsi"/>
          <w:iCs/>
        </w:rPr>
        <w:t>This is not a</w:t>
      </w:r>
      <w:r>
        <w:rPr>
          <w:rFonts w:cstheme="minorHAnsi"/>
          <w:iCs/>
        </w:rPr>
        <w:t>n</w:t>
      </w:r>
      <w:r w:rsidRPr="00B07021">
        <w:rPr>
          <w:rFonts w:cstheme="minorHAnsi"/>
          <w:iCs/>
        </w:rPr>
        <w:t xml:space="preserve"> interventional systematic review</w:t>
      </w:r>
      <w:r w:rsidR="002C16E4">
        <w:rPr>
          <w:rFonts w:cstheme="minorHAnsi"/>
          <w:iCs/>
        </w:rPr>
        <w:t>;</w:t>
      </w:r>
      <w:r>
        <w:rPr>
          <w:rFonts w:cstheme="minorHAnsi"/>
          <w:iCs/>
        </w:rPr>
        <w:t xml:space="preserve"> therefore</w:t>
      </w:r>
      <w:r w:rsidR="002C16E4">
        <w:rPr>
          <w:rFonts w:cstheme="minorHAnsi"/>
          <w:iCs/>
        </w:rPr>
        <w:t>,</w:t>
      </w:r>
      <w:r>
        <w:rPr>
          <w:rFonts w:cstheme="minorHAnsi"/>
          <w:iCs/>
        </w:rPr>
        <w:t xml:space="preserve"> no comparator will be used.</w:t>
      </w:r>
      <w:r w:rsidR="004A41B9">
        <w:rPr>
          <w:rFonts w:cstheme="minorHAnsi"/>
          <w:iCs/>
        </w:rPr>
        <w:t xml:space="preserve"> Studies may explore trends over time. </w:t>
      </w:r>
    </w:p>
    <w:p w14:paraId="08468C9E" w14:textId="77777777" w:rsidR="000361D6" w:rsidRDefault="00FD1717" w:rsidP="000361D6">
      <w:r w:rsidRPr="00B07021">
        <w:rPr>
          <w:rStyle w:val="Heading3Char"/>
        </w:rPr>
        <w:t xml:space="preserve">Outcome </w:t>
      </w:r>
      <w:r w:rsidR="000361D6" w:rsidRPr="00B07021">
        <w:rPr>
          <w:rStyle w:val="Heading3Char"/>
        </w:rPr>
        <w:t>measures:</w:t>
      </w:r>
      <w:r w:rsidR="000361D6" w:rsidRPr="008C1E66">
        <w:rPr>
          <w:rFonts w:cstheme="minorHAnsi"/>
          <w:i/>
          <w:iCs/>
        </w:rPr>
        <w:t xml:space="preserve"> </w:t>
      </w:r>
      <w:r w:rsidR="000361D6" w:rsidRPr="008C1E66">
        <w:rPr>
          <w:rFonts w:cstheme="minorHAnsi"/>
          <w:iCs/>
        </w:rPr>
        <w:t xml:space="preserve">Measures of </w:t>
      </w:r>
      <w:r w:rsidR="000361D6" w:rsidRPr="008C1E66">
        <w:t xml:space="preserve">psychological wellbeing, stress and burnout, </w:t>
      </w:r>
      <w:r w:rsidR="000361D6">
        <w:t xml:space="preserve">and as secondary outcomes, the </w:t>
      </w:r>
      <w:r w:rsidR="000361D6" w:rsidRPr="008C1E66">
        <w:t>impact on factors including absenteeism and workforce retention.</w:t>
      </w:r>
      <w:r w:rsidR="000361D6">
        <w:t xml:space="preserve"> </w:t>
      </w:r>
    </w:p>
    <w:p w14:paraId="158D4FC2" w14:textId="77777777" w:rsidR="00B07021" w:rsidRPr="00B07021" w:rsidRDefault="00B07021" w:rsidP="000361D6">
      <w:pPr>
        <w:rPr>
          <w:rFonts w:cstheme="minorHAnsi"/>
          <w:i/>
        </w:rPr>
      </w:pPr>
      <w:r w:rsidRPr="00B07021">
        <w:rPr>
          <w:rStyle w:val="Heading3Char"/>
        </w:rPr>
        <w:t>Study Design:</w:t>
      </w:r>
      <w:r>
        <w:rPr>
          <w:rFonts w:cstheme="minorHAnsi"/>
          <w:i/>
        </w:rPr>
        <w:t xml:space="preserve"> </w:t>
      </w:r>
      <w:r>
        <w:rPr>
          <w:rFonts w:cstheme="minorHAnsi"/>
        </w:rPr>
        <w:t>Studies</w:t>
      </w:r>
      <w:r w:rsidRPr="0096108B">
        <w:rPr>
          <w:rFonts w:cstheme="minorHAnsi"/>
        </w:rPr>
        <w:t xml:space="preserve"> will </w:t>
      </w:r>
      <w:r>
        <w:rPr>
          <w:rFonts w:cstheme="minorHAnsi"/>
        </w:rPr>
        <w:t xml:space="preserve">not be </w:t>
      </w:r>
      <w:r w:rsidRPr="0096108B">
        <w:rPr>
          <w:rFonts w:cstheme="minorHAnsi"/>
        </w:rPr>
        <w:t xml:space="preserve">limited </w:t>
      </w:r>
      <w:r>
        <w:rPr>
          <w:rFonts w:cstheme="minorHAnsi"/>
        </w:rPr>
        <w:t>by design, but we will include only empirical primary research and systematic reviews. Editorials and case reports will be excluded.</w:t>
      </w:r>
    </w:p>
    <w:p w14:paraId="69398E74" w14:textId="77777777" w:rsidR="00B07021" w:rsidRDefault="00B07021" w:rsidP="00B07021">
      <w:pPr>
        <w:pStyle w:val="Heading2"/>
      </w:pPr>
    </w:p>
    <w:p w14:paraId="601AF532" w14:textId="77777777" w:rsidR="000361D6" w:rsidRPr="0096108B" w:rsidRDefault="000361D6" w:rsidP="00B07021">
      <w:pPr>
        <w:pStyle w:val="Heading2"/>
      </w:pPr>
      <w:r w:rsidRPr="0096108B">
        <w:t>Search methods for identification of studies</w:t>
      </w:r>
    </w:p>
    <w:p w14:paraId="52EF70C4" w14:textId="77777777" w:rsidR="00BB04A1" w:rsidRDefault="00BB04A1" w:rsidP="000361D6">
      <w:pPr>
        <w:rPr>
          <w:rFonts w:cstheme="minorHAnsi"/>
        </w:rPr>
      </w:pPr>
    </w:p>
    <w:p w14:paraId="24B561B0" w14:textId="6F98ED97" w:rsidR="004A41B9" w:rsidRDefault="00032E71" w:rsidP="000361D6">
      <w:pPr>
        <w:rPr>
          <w:rFonts w:cstheme="minorHAnsi"/>
        </w:rPr>
      </w:pPr>
      <w:r>
        <w:rPr>
          <w:rFonts w:cstheme="minorHAnsi"/>
        </w:rPr>
        <w:t>We will develop a</w:t>
      </w:r>
      <w:r w:rsidR="00B07021">
        <w:rPr>
          <w:rFonts w:cstheme="minorHAnsi"/>
        </w:rPr>
        <w:t xml:space="preserve"> search strategy with input from a multi-disciplinary research team, including </w:t>
      </w:r>
      <w:r>
        <w:rPr>
          <w:rFonts w:cstheme="minorHAnsi"/>
        </w:rPr>
        <w:t xml:space="preserve">subject </w:t>
      </w:r>
      <w:r w:rsidR="00B07021">
        <w:rPr>
          <w:rFonts w:cstheme="minorHAnsi"/>
        </w:rPr>
        <w:t xml:space="preserve">matter experts, </w:t>
      </w:r>
      <w:r>
        <w:rPr>
          <w:rFonts w:cstheme="minorHAnsi"/>
        </w:rPr>
        <w:t xml:space="preserve">an </w:t>
      </w:r>
      <w:r w:rsidR="00B07021">
        <w:rPr>
          <w:rFonts w:cstheme="minorHAnsi"/>
        </w:rPr>
        <w:t xml:space="preserve">experienced information specialist and through consultation with GP and patient stakeholders. </w:t>
      </w:r>
      <w:r w:rsidR="000361D6" w:rsidRPr="0096108B">
        <w:rPr>
          <w:rFonts w:cstheme="minorHAnsi"/>
        </w:rPr>
        <w:t xml:space="preserve">We will search </w:t>
      </w:r>
      <w:r w:rsidR="006454D7">
        <w:rPr>
          <w:rFonts w:cstheme="minorHAnsi"/>
        </w:rPr>
        <w:t xml:space="preserve">the following </w:t>
      </w:r>
      <w:r w:rsidR="00E7773A">
        <w:rPr>
          <w:rFonts w:cstheme="minorHAnsi"/>
        </w:rPr>
        <w:t xml:space="preserve">databases; </w:t>
      </w:r>
      <w:r w:rsidR="000361D6">
        <w:t>M</w:t>
      </w:r>
      <w:r w:rsidR="00E7773A">
        <w:t>EDLINE</w:t>
      </w:r>
      <w:r w:rsidR="000361D6">
        <w:t>, Embase, PsychInfo and</w:t>
      </w:r>
      <w:r w:rsidR="006454D7">
        <w:t>, owing to the large body of COVID-19 literature being published in this space, M</w:t>
      </w:r>
      <w:r w:rsidR="000361D6">
        <w:t xml:space="preserve">edrxiv </w:t>
      </w:r>
      <w:r w:rsidR="004A41B9">
        <w:t xml:space="preserve">and </w:t>
      </w:r>
      <w:r w:rsidR="004A41B9">
        <w:rPr>
          <w:rFonts w:cstheme="minorHAnsi"/>
        </w:rPr>
        <w:t>Google Scholar</w:t>
      </w:r>
      <w:r w:rsidR="004A41B9">
        <w:t xml:space="preserve"> </w:t>
      </w:r>
      <w:r w:rsidR="006454D7">
        <w:t xml:space="preserve">will also be searched. </w:t>
      </w:r>
      <w:r w:rsidR="00DE3151">
        <w:t xml:space="preserve">We will search </w:t>
      </w:r>
      <w:r w:rsidR="000361D6">
        <w:t>fro</w:t>
      </w:r>
      <w:r w:rsidR="000361D6" w:rsidRPr="0096108B">
        <w:rPr>
          <w:rFonts w:cstheme="minorHAnsi"/>
        </w:rPr>
        <w:t>m 20</w:t>
      </w:r>
      <w:r w:rsidR="000361D6">
        <w:rPr>
          <w:rFonts w:cstheme="minorHAnsi"/>
        </w:rPr>
        <w:t>20</w:t>
      </w:r>
      <w:r w:rsidR="000361D6" w:rsidRPr="0096108B">
        <w:rPr>
          <w:rFonts w:cstheme="minorHAnsi"/>
        </w:rPr>
        <w:t xml:space="preserve"> onwards</w:t>
      </w:r>
      <w:r w:rsidR="006454D7">
        <w:rPr>
          <w:rFonts w:cstheme="minorHAnsi"/>
        </w:rPr>
        <w:t xml:space="preserve"> and </w:t>
      </w:r>
      <w:r w:rsidR="000361D6" w:rsidRPr="0096108B">
        <w:rPr>
          <w:rFonts w:cstheme="minorHAnsi"/>
        </w:rPr>
        <w:t>limit to the English language</w:t>
      </w:r>
      <w:r w:rsidR="00DE3151">
        <w:rPr>
          <w:rFonts w:cstheme="minorHAnsi"/>
        </w:rPr>
        <w:t xml:space="preserve">, using search terms for general practitioner </w:t>
      </w:r>
      <w:r w:rsidR="00DE3151">
        <w:rPr>
          <w:rFonts w:cstheme="minorHAnsi"/>
          <w:iCs/>
        </w:rPr>
        <w:t xml:space="preserve">and </w:t>
      </w:r>
      <w:r w:rsidR="00DE3151" w:rsidRPr="008C1E66">
        <w:t xml:space="preserve">relating to general practice, </w:t>
      </w:r>
      <w:r w:rsidR="00DE3151">
        <w:t xml:space="preserve">including </w:t>
      </w:r>
      <w:r w:rsidR="00DE3151" w:rsidRPr="008C1E66">
        <w:t xml:space="preserve">consideration </w:t>
      </w:r>
      <w:r w:rsidR="00DE3151">
        <w:t xml:space="preserve">of </w:t>
      </w:r>
      <w:r w:rsidR="00DE3151" w:rsidRPr="008C1E66">
        <w:t xml:space="preserve">international terminology, for example the </w:t>
      </w:r>
      <w:r w:rsidR="00DE3151">
        <w:t>inclusion of terms relating to</w:t>
      </w:r>
      <w:r w:rsidR="00DE3151" w:rsidRPr="008C1E66">
        <w:t xml:space="preserve"> ‘family practice</w:t>
      </w:r>
      <w:r w:rsidR="00DE3151">
        <w:t>.</w:t>
      </w:r>
      <w:r w:rsidR="00DE3151" w:rsidRPr="008C1E66">
        <w:t>’</w:t>
      </w:r>
      <w:r w:rsidR="00DE3151" w:rsidRPr="000C44AE">
        <w:rPr>
          <w:rFonts w:cstheme="minorHAnsi"/>
          <w:iCs/>
        </w:rPr>
        <w:t xml:space="preserve"> </w:t>
      </w:r>
      <w:r w:rsidR="00DE3151">
        <w:rPr>
          <w:rFonts w:cstheme="minorHAnsi"/>
          <w:iCs/>
        </w:rPr>
        <w:t>Search terms will focus on COVID-19, as well as date restrictions to only include studies published during 2020 and 2021.</w:t>
      </w:r>
      <w:r w:rsidR="00DE3151">
        <w:rPr>
          <w:rFonts w:cstheme="minorHAnsi"/>
        </w:rPr>
        <w:t xml:space="preserve"> We will hand search r</w:t>
      </w:r>
      <w:r w:rsidR="000361D6">
        <w:t>eference lists and grey literature</w:t>
      </w:r>
      <w:r w:rsidR="00E7773A">
        <w:t xml:space="preserve">. </w:t>
      </w:r>
      <w:r w:rsidR="000361D6">
        <w:rPr>
          <w:rFonts w:cstheme="minorHAnsi"/>
        </w:rPr>
        <w:t xml:space="preserve">We will update searches prior to publication to ensure inclusion of all literature in this rapidly expanding field. </w:t>
      </w:r>
    </w:p>
    <w:p w14:paraId="1E752290" w14:textId="77777777" w:rsidR="000361D6" w:rsidRPr="0096108B" w:rsidRDefault="00E7773A" w:rsidP="00E7773A">
      <w:pPr>
        <w:pStyle w:val="Heading3"/>
      </w:pPr>
      <w:r>
        <w:t>Study s</w:t>
      </w:r>
      <w:r w:rsidR="000361D6" w:rsidRPr="0096108B">
        <w:t>election</w:t>
      </w:r>
    </w:p>
    <w:p w14:paraId="0EBBACCE" w14:textId="26EC2EBF" w:rsidR="00CC3286" w:rsidRDefault="00DE3151" w:rsidP="000361D6">
      <w:pPr>
        <w:rPr>
          <w:rFonts w:cstheme="minorHAnsi"/>
        </w:rPr>
      </w:pPr>
      <w:r>
        <w:rPr>
          <w:rFonts w:cstheme="minorHAnsi"/>
        </w:rPr>
        <w:t>We will download a</w:t>
      </w:r>
      <w:r w:rsidR="00E7773A">
        <w:rPr>
          <w:rFonts w:cstheme="minorHAnsi"/>
        </w:rPr>
        <w:t xml:space="preserve">ll </w:t>
      </w:r>
      <w:r w:rsidR="000361D6" w:rsidRPr="0096108B">
        <w:rPr>
          <w:rFonts w:cstheme="minorHAnsi"/>
        </w:rPr>
        <w:t xml:space="preserve">records </w:t>
      </w:r>
      <w:r w:rsidR="00E7773A">
        <w:rPr>
          <w:rFonts w:cstheme="minorHAnsi"/>
        </w:rPr>
        <w:t xml:space="preserve">to </w:t>
      </w:r>
      <w:r w:rsidR="000361D6">
        <w:rPr>
          <w:rFonts w:cstheme="minorHAnsi"/>
        </w:rPr>
        <w:t>Endnote</w:t>
      </w:r>
      <w:r w:rsidR="00E7773A">
        <w:rPr>
          <w:rFonts w:cstheme="minorHAnsi"/>
        </w:rPr>
        <w:t>,</w:t>
      </w:r>
      <w:r w:rsidR="00CC3286">
        <w:rPr>
          <w:rFonts w:cstheme="minorHAnsi"/>
        </w:rPr>
        <w:t xml:space="preserve"> </w:t>
      </w:r>
      <w:r w:rsidR="000C44AE">
        <w:rPr>
          <w:rFonts w:cstheme="minorHAnsi"/>
        </w:rPr>
        <w:t xml:space="preserve">removing any </w:t>
      </w:r>
      <w:r w:rsidR="00CC3286">
        <w:rPr>
          <w:rFonts w:cstheme="minorHAnsi"/>
        </w:rPr>
        <w:t xml:space="preserve">duplicated studies. Two </w:t>
      </w:r>
      <w:r w:rsidR="000361D6">
        <w:rPr>
          <w:rFonts w:cstheme="minorHAnsi"/>
        </w:rPr>
        <w:t>reviewers will</w:t>
      </w:r>
      <w:r w:rsidR="000C44AE">
        <w:rPr>
          <w:rFonts w:cstheme="minorHAnsi"/>
        </w:rPr>
        <w:t xml:space="preserve"> </w:t>
      </w:r>
      <w:r w:rsidR="00E7773A">
        <w:rPr>
          <w:rFonts w:cstheme="minorHAnsi"/>
        </w:rPr>
        <w:t xml:space="preserve">independently </w:t>
      </w:r>
      <w:r w:rsidR="000361D6">
        <w:rPr>
          <w:rFonts w:cstheme="minorHAnsi"/>
        </w:rPr>
        <w:t>scree</w:t>
      </w:r>
      <w:r w:rsidR="00CC3286">
        <w:rPr>
          <w:rFonts w:cstheme="minorHAnsi"/>
        </w:rPr>
        <w:t>n studies for inclusion</w:t>
      </w:r>
      <w:r w:rsidR="00E7773A">
        <w:rPr>
          <w:rFonts w:cstheme="minorHAnsi"/>
        </w:rPr>
        <w:t xml:space="preserve">. </w:t>
      </w:r>
    </w:p>
    <w:p w14:paraId="50E1210B" w14:textId="7F0F354F" w:rsidR="00E7773A" w:rsidRDefault="00E7773A" w:rsidP="000361D6">
      <w:pPr>
        <w:rPr>
          <w:rFonts w:cstheme="minorHAnsi"/>
        </w:rPr>
      </w:pPr>
      <w:r>
        <w:rPr>
          <w:rFonts w:cstheme="minorHAnsi"/>
        </w:rPr>
        <w:t>In the first stage of screening,</w:t>
      </w:r>
      <w:r w:rsidR="00F95F1B">
        <w:rPr>
          <w:rFonts w:cstheme="minorHAnsi"/>
        </w:rPr>
        <w:t xml:space="preserve"> we will classify all </w:t>
      </w:r>
      <w:r>
        <w:rPr>
          <w:rFonts w:cstheme="minorHAnsi"/>
        </w:rPr>
        <w:t xml:space="preserve">titles and abstracts as </w:t>
      </w:r>
      <w:r w:rsidRPr="0096108B">
        <w:rPr>
          <w:rFonts w:cstheme="minorHAnsi"/>
        </w:rPr>
        <w:t>eligible, excluded or uncertain about eligibility.</w:t>
      </w:r>
      <w:r w:rsidR="00CC3286">
        <w:rPr>
          <w:rFonts w:cstheme="minorHAnsi"/>
        </w:rPr>
        <w:t xml:space="preserve"> </w:t>
      </w:r>
      <w:r w:rsidR="000C44AE">
        <w:rPr>
          <w:rFonts w:cstheme="minorHAnsi"/>
        </w:rPr>
        <w:t>E</w:t>
      </w:r>
      <w:r w:rsidR="00CC3286">
        <w:rPr>
          <w:rFonts w:cstheme="minorHAnsi"/>
        </w:rPr>
        <w:t xml:space="preserve">ach reviewer </w:t>
      </w:r>
      <w:r w:rsidR="000C44AE">
        <w:rPr>
          <w:rFonts w:cstheme="minorHAnsi"/>
        </w:rPr>
        <w:t xml:space="preserve">will be </w:t>
      </w:r>
      <w:r w:rsidR="00CC3286">
        <w:rPr>
          <w:rFonts w:cstheme="minorHAnsi"/>
        </w:rPr>
        <w:t>blind to the other</w:t>
      </w:r>
      <w:r w:rsidR="00B94AA9">
        <w:rPr>
          <w:rFonts w:cstheme="minorHAnsi"/>
        </w:rPr>
        <w:t>’</w:t>
      </w:r>
      <w:r w:rsidR="00CC3286">
        <w:rPr>
          <w:rFonts w:cstheme="minorHAnsi"/>
        </w:rPr>
        <w:t>s assessment.</w:t>
      </w:r>
      <w:r w:rsidRPr="0096108B">
        <w:rPr>
          <w:rFonts w:cstheme="minorHAnsi"/>
        </w:rPr>
        <w:t xml:space="preserve"> </w:t>
      </w:r>
      <w:r>
        <w:rPr>
          <w:rFonts w:cstheme="minorHAnsi"/>
        </w:rPr>
        <w:t>The</w:t>
      </w:r>
      <w:r w:rsidRPr="0096108B">
        <w:rPr>
          <w:rFonts w:cstheme="minorHAnsi"/>
        </w:rPr>
        <w:t xml:space="preserve"> full text</w:t>
      </w:r>
      <w:r>
        <w:rPr>
          <w:rFonts w:cstheme="minorHAnsi"/>
        </w:rPr>
        <w:t>s for all eligible or potentially eligible papers will then be retrieved and reviewed</w:t>
      </w:r>
      <w:r w:rsidRPr="0096108B">
        <w:rPr>
          <w:rFonts w:cstheme="minorHAnsi"/>
        </w:rPr>
        <w:t>.</w:t>
      </w:r>
      <w:r>
        <w:rPr>
          <w:rFonts w:cstheme="minorHAnsi"/>
        </w:rPr>
        <w:t xml:space="preserve"> </w:t>
      </w:r>
      <w:r w:rsidR="00B94AA9">
        <w:rPr>
          <w:rFonts w:cstheme="minorHAnsi"/>
        </w:rPr>
        <w:t>A third reviewer will resolve a</w:t>
      </w:r>
      <w:r>
        <w:rPr>
          <w:rFonts w:cstheme="minorHAnsi"/>
        </w:rPr>
        <w:t>ny disagreements regarding inclusion of studies</w:t>
      </w:r>
      <w:r w:rsidR="000C44AE">
        <w:rPr>
          <w:rFonts w:cstheme="minorHAnsi"/>
        </w:rPr>
        <w:t>.</w:t>
      </w:r>
      <w:r w:rsidR="00CC3286">
        <w:rPr>
          <w:rFonts w:cstheme="minorHAnsi"/>
        </w:rPr>
        <w:t xml:space="preserve"> </w:t>
      </w:r>
    </w:p>
    <w:p w14:paraId="67BD8467" w14:textId="43FB6323" w:rsidR="000361D6" w:rsidRDefault="000361D6" w:rsidP="000361D6">
      <w:pPr>
        <w:rPr>
          <w:rFonts w:cstheme="minorHAnsi"/>
        </w:rPr>
      </w:pPr>
      <w:r>
        <w:rPr>
          <w:rFonts w:cstheme="minorHAnsi"/>
        </w:rPr>
        <w:t>We will record excluded articles, with the reasons for exclusion</w:t>
      </w:r>
      <w:r w:rsidR="000C44AE">
        <w:rPr>
          <w:rFonts w:cstheme="minorHAnsi"/>
        </w:rPr>
        <w:t>,</w:t>
      </w:r>
      <w:r w:rsidRPr="0096108B">
        <w:rPr>
          <w:rFonts w:cstheme="minorHAnsi"/>
        </w:rPr>
        <w:t xml:space="preserve"> to generate a flow diagram as recommended by the PRISMA statement.</w:t>
      </w:r>
      <w:r>
        <w:rPr>
          <w:rStyle w:val="EndnoteReference"/>
          <w:rFonts w:cstheme="minorHAnsi"/>
        </w:rPr>
        <w:endnoteReference w:id="14"/>
      </w:r>
      <w:r w:rsidRPr="0096108B">
        <w:rPr>
          <w:rFonts w:cstheme="minorHAnsi"/>
        </w:rPr>
        <w:t xml:space="preserve"> </w:t>
      </w:r>
    </w:p>
    <w:p w14:paraId="6C8D425A" w14:textId="77777777" w:rsidR="00CC3286" w:rsidRPr="0096108B" w:rsidRDefault="00CC3286" w:rsidP="00CC3286">
      <w:pPr>
        <w:pStyle w:val="Heading3"/>
        <w:rPr>
          <w:lang w:val="en-US"/>
        </w:rPr>
      </w:pPr>
      <w:r w:rsidRPr="0096108B">
        <w:rPr>
          <w:lang w:val="en-US"/>
        </w:rPr>
        <w:t>Data extraction</w:t>
      </w:r>
    </w:p>
    <w:p w14:paraId="023755DC" w14:textId="7D203B1A" w:rsidR="00CC3286" w:rsidRPr="0096108B" w:rsidRDefault="002D086E" w:rsidP="00CC3286">
      <w:pPr>
        <w:rPr>
          <w:rFonts w:cstheme="minorHAnsi"/>
          <w:lang w:val="en-US"/>
        </w:rPr>
      </w:pPr>
      <w:r>
        <w:rPr>
          <w:rFonts w:cstheme="minorHAnsi"/>
          <w:lang w:val="en-US"/>
        </w:rPr>
        <w:t xml:space="preserve">A data extraction form will be designed and piloted including </w:t>
      </w:r>
      <w:r w:rsidRPr="0096108B">
        <w:rPr>
          <w:rFonts w:cstheme="minorHAnsi"/>
          <w:lang w:val="en-US"/>
        </w:rPr>
        <w:t xml:space="preserve">information regarding study design, sample size, </w:t>
      </w:r>
      <w:r>
        <w:rPr>
          <w:rFonts w:cstheme="minorHAnsi"/>
          <w:lang w:val="en-US"/>
        </w:rPr>
        <w:t>sample</w:t>
      </w:r>
      <w:r w:rsidRPr="0096108B">
        <w:rPr>
          <w:rFonts w:cstheme="minorHAnsi"/>
          <w:lang w:val="en-US"/>
        </w:rPr>
        <w:t xml:space="preserve"> characteristics, primary and secondary outcomes</w:t>
      </w:r>
      <w:r>
        <w:rPr>
          <w:rFonts w:cstheme="minorHAnsi"/>
          <w:lang w:val="en-US"/>
        </w:rPr>
        <w:t>.</w:t>
      </w:r>
      <w:r w:rsidRPr="0096108B">
        <w:rPr>
          <w:rFonts w:cstheme="minorHAnsi"/>
          <w:lang w:val="en-US"/>
        </w:rPr>
        <w:t xml:space="preserve"> </w:t>
      </w:r>
      <w:r>
        <w:rPr>
          <w:rFonts w:cstheme="minorHAnsi"/>
          <w:lang w:val="en-US"/>
        </w:rPr>
        <w:t>One</w:t>
      </w:r>
      <w:r w:rsidR="00F95F1B">
        <w:rPr>
          <w:rFonts w:cstheme="minorHAnsi"/>
          <w:lang w:val="en-US"/>
        </w:rPr>
        <w:t xml:space="preserve"> reviewer will perform d</w:t>
      </w:r>
      <w:r w:rsidR="00CC3286" w:rsidRPr="0096108B">
        <w:rPr>
          <w:rFonts w:cstheme="minorHAnsi"/>
          <w:lang w:val="en-US"/>
        </w:rPr>
        <w:t>ata extraction</w:t>
      </w:r>
      <w:r w:rsidR="00F95F1B">
        <w:rPr>
          <w:rFonts w:cstheme="minorHAnsi"/>
          <w:lang w:val="en-US"/>
        </w:rPr>
        <w:t xml:space="preserve">, </w:t>
      </w:r>
      <w:r>
        <w:rPr>
          <w:rFonts w:cstheme="minorHAnsi"/>
          <w:lang w:val="en-US"/>
        </w:rPr>
        <w:t xml:space="preserve">with a 20% sample second checked by a second reviewer. </w:t>
      </w:r>
    </w:p>
    <w:p w14:paraId="1FE58069" w14:textId="77777777" w:rsidR="000361D6" w:rsidRPr="0096108B" w:rsidRDefault="000361D6" w:rsidP="00CC3286">
      <w:pPr>
        <w:pStyle w:val="Heading3"/>
        <w:rPr>
          <w:lang w:val="en-US"/>
        </w:rPr>
      </w:pPr>
      <w:r w:rsidRPr="0096108B">
        <w:rPr>
          <w:lang w:val="en-US"/>
        </w:rPr>
        <w:lastRenderedPageBreak/>
        <w:t>Assessment of methodological quality</w:t>
      </w:r>
    </w:p>
    <w:p w14:paraId="427C0B6C" w14:textId="4473E5DB" w:rsidR="000361D6" w:rsidRDefault="000361D6" w:rsidP="000361D6">
      <w:pPr>
        <w:rPr>
          <w:rFonts w:cstheme="minorHAnsi"/>
          <w:lang w:val="en-US"/>
        </w:rPr>
      </w:pPr>
      <w:r>
        <w:rPr>
          <w:rFonts w:cstheme="minorHAnsi"/>
          <w:lang w:val="en-US"/>
        </w:rPr>
        <w:t xml:space="preserve">We will assess the </w:t>
      </w:r>
      <w:r w:rsidRPr="0096108B">
        <w:rPr>
          <w:rFonts w:cstheme="minorHAnsi"/>
          <w:lang w:val="en-US"/>
        </w:rPr>
        <w:t xml:space="preserve">quality of identified </w:t>
      </w:r>
      <w:r w:rsidR="000C2CB2">
        <w:rPr>
          <w:rFonts w:cstheme="minorHAnsi"/>
          <w:lang w:val="en-US"/>
        </w:rPr>
        <w:t>studies</w:t>
      </w:r>
      <w:r>
        <w:rPr>
          <w:rFonts w:cstheme="minorHAnsi"/>
          <w:lang w:val="en-US"/>
        </w:rPr>
        <w:t xml:space="preserve"> </w:t>
      </w:r>
      <w:r w:rsidRPr="0096108B">
        <w:rPr>
          <w:rFonts w:cstheme="minorHAnsi"/>
          <w:lang w:val="en-US"/>
        </w:rPr>
        <w:t xml:space="preserve">using </w:t>
      </w:r>
      <w:r w:rsidR="000C2CB2">
        <w:rPr>
          <w:rFonts w:cstheme="minorHAnsi"/>
          <w:lang w:val="en-US"/>
        </w:rPr>
        <w:t xml:space="preserve">standardised checklists, chosen according to the study design. </w:t>
      </w:r>
      <w:r w:rsidR="000C44AE">
        <w:rPr>
          <w:rFonts w:cstheme="minorHAnsi"/>
          <w:lang w:val="en-US"/>
        </w:rPr>
        <w:t>W</w:t>
      </w:r>
      <w:r w:rsidR="000C2CB2">
        <w:rPr>
          <w:rFonts w:cstheme="minorHAnsi"/>
          <w:lang w:val="en-US"/>
        </w:rPr>
        <w:t xml:space="preserve">e will use </w:t>
      </w:r>
      <w:r w:rsidRPr="0096108B">
        <w:rPr>
          <w:rFonts w:cstheme="minorHAnsi"/>
          <w:lang w:val="en-US"/>
        </w:rPr>
        <w:t>the AMSTAR checklist</w:t>
      </w:r>
      <w:r>
        <w:rPr>
          <w:rStyle w:val="EndnoteReference"/>
          <w:rFonts w:cstheme="minorHAnsi"/>
          <w:lang w:val="en-US"/>
        </w:rPr>
        <w:endnoteReference w:id="15"/>
      </w:r>
      <w:r w:rsidR="000C44AE">
        <w:rPr>
          <w:rFonts w:cstheme="minorHAnsi"/>
          <w:lang w:val="en-US"/>
        </w:rPr>
        <w:t xml:space="preserve"> for reviews,</w:t>
      </w:r>
      <w:r>
        <w:rPr>
          <w:rFonts w:cstheme="minorHAnsi"/>
          <w:lang w:val="en-US"/>
        </w:rPr>
        <w:t xml:space="preserve"> the CASP quality checklist</w:t>
      </w:r>
      <w:r>
        <w:rPr>
          <w:rStyle w:val="EndnoteReference"/>
          <w:rFonts w:cstheme="minorHAnsi"/>
          <w:lang w:val="en-US"/>
        </w:rPr>
        <w:endnoteReference w:id="16"/>
      </w:r>
      <w:r w:rsidR="000C44AE" w:rsidRPr="000C44AE">
        <w:rPr>
          <w:rFonts w:cstheme="minorHAnsi"/>
          <w:lang w:val="en-US"/>
        </w:rPr>
        <w:t xml:space="preserve"> </w:t>
      </w:r>
      <w:r w:rsidR="00134805">
        <w:rPr>
          <w:rFonts w:cstheme="minorHAnsi"/>
          <w:lang w:val="en-US"/>
        </w:rPr>
        <w:t xml:space="preserve">for </w:t>
      </w:r>
      <w:r w:rsidR="000C44AE">
        <w:rPr>
          <w:rFonts w:cstheme="minorHAnsi"/>
          <w:lang w:val="en-US"/>
        </w:rPr>
        <w:t>observational and qualitative studies</w:t>
      </w:r>
      <w:r w:rsidR="00134805">
        <w:rPr>
          <w:rFonts w:cstheme="minorHAnsi"/>
          <w:lang w:val="en-US"/>
        </w:rPr>
        <w:t xml:space="preserve">, and the </w:t>
      </w:r>
      <w:r w:rsidR="00CC3286">
        <w:rPr>
          <w:rFonts w:cstheme="minorHAnsi"/>
          <w:lang w:val="en-US"/>
        </w:rPr>
        <w:t>Joanna Briggs Institute checklist for Analytical Cross-sectional Studies</w:t>
      </w:r>
      <w:r w:rsidR="000C2CB2">
        <w:rPr>
          <w:rFonts w:cstheme="minorHAnsi"/>
          <w:lang w:val="en-US"/>
        </w:rPr>
        <w:t>.</w:t>
      </w:r>
      <w:r w:rsidR="00CC3286">
        <w:rPr>
          <w:rStyle w:val="EndnoteReference"/>
          <w:rFonts w:cstheme="minorHAnsi"/>
          <w:lang w:val="en-US"/>
        </w:rPr>
        <w:endnoteReference w:id="17"/>
      </w:r>
      <w:r w:rsidR="00CC3286">
        <w:rPr>
          <w:rFonts w:cstheme="minorHAnsi"/>
          <w:lang w:val="en-US"/>
        </w:rPr>
        <w:t xml:space="preserve"> </w:t>
      </w:r>
      <w:bookmarkStart w:id="2" w:name="_Hlk69280469"/>
      <w:r>
        <w:rPr>
          <w:rFonts w:cstheme="minorHAnsi"/>
          <w:lang w:val="en-US"/>
        </w:rPr>
        <w:t xml:space="preserve">Depending on the quality of included studies, we may undertake a sensitivity analysis by excluding studies from narrative synthesis that are rated as low quality using the checklists. </w:t>
      </w:r>
      <w:bookmarkEnd w:id="2"/>
      <w:r w:rsidR="002D086E">
        <w:rPr>
          <w:rFonts w:cstheme="minorHAnsi"/>
          <w:lang w:val="en-US"/>
        </w:rPr>
        <w:t>Two reviewers will independently conduct quality appraisal, with disagreements resolved by a third reviewer.</w:t>
      </w:r>
    </w:p>
    <w:p w14:paraId="2BCEFF75" w14:textId="77777777" w:rsidR="000C2CB2" w:rsidRDefault="000C2CB2" w:rsidP="000C2CB2">
      <w:pPr>
        <w:pStyle w:val="Heading3"/>
      </w:pPr>
      <w:r>
        <w:t>Synthesis of findings</w:t>
      </w:r>
    </w:p>
    <w:p w14:paraId="3F2B0172" w14:textId="2D45E5D7" w:rsidR="000C2CB2" w:rsidRDefault="00134805" w:rsidP="000C2CB2">
      <w:r>
        <w:rPr>
          <w:lang w:eastAsia="en-GB"/>
        </w:rPr>
        <w:t>Our data synthesis will be n</w:t>
      </w:r>
      <w:r w:rsidR="000C2CB2">
        <w:rPr>
          <w:lang w:eastAsia="en-GB"/>
        </w:rPr>
        <w:t>arrative, using a thematic approach to describe the findings across studies, with subgroup analyses according to study type. Where appropriate (i.e. sufficiently homogenous data and study type), studies with quantitative findings will be pooled using meta-analysis.</w:t>
      </w:r>
      <w:r>
        <w:rPr>
          <w:lang w:eastAsia="en-GB"/>
        </w:rPr>
        <w:t xml:space="preserve"> We will analyse s</w:t>
      </w:r>
      <w:r w:rsidR="000C2CB2">
        <w:rPr>
          <w:lang w:eastAsia="en-GB"/>
        </w:rPr>
        <w:t>ubgroup</w:t>
      </w:r>
      <w:r>
        <w:rPr>
          <w:lang w:eastAsia="en-GB"/>
        </w:rPr>
        <w:t>s</w:t>
      </w:r>
      <w:r w:rsidR="000C2CB2">
        <w:rPr>
          <w:lang w:eastAsia="en-GB"/>
        </w:rPr>
        <w:t xml:space="preserve"> </w:t>
      </w:r>
      <w:r>
        <w:rPr>
          <w:lang w:eastAsia="en-GB"/>
        </w:rPr>
        <w:t xml:space="preserve">of </w:t>
      </w:r>
      <w:r w:rsidR="000C2CB2">
        <w:rPr>
          <w:lang w:eastAsia="en-GB"/>
        </w:rPr>
        <w:t>study type</w:t>
      </w:r>
      <w:r>
        <w:rPr>
          <w:lang w:eastAsia="en-GB"/>
        </w:rPr>
        <w:t>s</w:t>
      </w:r>
      <w:r w:rsidR="000C2CB2">
        <w:rPr>
          <w:lang w:eastAsia="en-GB"/>
        </w:rPr>
        <w:t xml:space="preserve">. Where sufficient data is available, </w:t>
      </w:r>
      <w:r>
        <w:rPr>
          <w:lang w:eastAsia="en-GB"/>
        </w:rPr>
        <w:t xml:space="preserve">we will analyse </w:t>
      </w:r>
      <w:r w:rsidR="000C2CB2">
        <w:rPr>
          <w:lang w:eastAsia="en-GB"/>
        </w:rPr>
        <w:t>different subgroups of key GP characteristics (</w:t>
      </w:r>
      <w:r>
        <w:rPr>
          <w:lang w:eastAsia="en-GB"/>
        </w:rPr>
        <w:t xml:space="preserve">such as </w:t>
      </w:r>
      <w:r w:rsidR="000C2CB2">
        <w:rPr>
          <w:lang w:eastAsia="en-GB"/>
        </w:rPr>
        <w:t>career stage, gender, ethnicity).</w:t>
      </w:r>
    </w:p>
    <w:p w14:paraId="237DFB91" w14:textId="77777777" w:rsidR="009A30BF" w:rsidRDefault="009A30BF" w:rsidP="009A30BF">
      <w:pPr>
        <w:pStyle w:val="Heading3"/>
      </w:pPr>
      <w:r>
        <w:t>Protocol amendments</w:t>
      </w:r>
    </w:p>
    <w:p w14:paraId="3328BCEC" w14:textId="7EB7FB1C" w:rsidR="009A30BF" w:rsidRDefault="0048785F" w:rsidP="009A30BF">
      <w:pPr>
        <w:rPr>
          <w:rFonts w:cs="Times New Roman"/>
        </w:rPr>
      </w:pPr>
      <w:r>
        <w:t xml:space="preserve">Where changes are required to </w:t>
      </w:r>
      <w:r w:rsidR="009A30BF">
        <w:t>this protocol, the details will be outlined in the published final review and updated in PROSPERO. However, no further amendments to this protocol are foreseen.</w:t>
      </w:r>
    </w:p>
    <w:p w14:paraId="6FE3595D" w14:textId="77777777" w:rsidR="000C2CB2" w:rsidRDefault="000C2CB2" w:rsidP="000C2CB2"/>
    <w:p w14:paraId="7FE834A6" w14:textId="77777777" w:rsidR="000C2CB2" w:rsidRDefault="000C2CB2" w:rsidP="000C2CB2">
      <w:pPr>
        <w:pStyle w:val="Heading1"/>
      </w:pPr>
      <w:r>
        <w:t>Discussion</w:t>
      </w:r>
    </w:p>
    <w:p w14:paraId="258B46E4" w14:textId="2E2BFD6A" w:rsidR="00F6096C" w:rsidRDefault="002A1DB5" w:rsidP="000C2CB2">
      <w:r>
        <w:t>Internationally, g</w:t>
      </w:r>
      <w:r w:rsidR="0048785F">
        <w:t>eneral practitioners report</w:t>
      </w:r>
      <w:r w:rsidR="00DB29CC">
        <w:t xml:space="preserve"> </w:t>
      </w:r>
      <w:r w:rsidR="0048785F">
        <w:t xml:space="preserve">increasing stress and burnout, with clear potential additional pressures likely during the COVID-19 pandemic and recovery period. There are currently no systematic reviews of general practitioners’ wellbeing during the COVID-19 pandemic. Given the complexity and quantity of workload stressors placed on general practitioners prior to and during the pandemic, this review is timely in order to highlight </w:t>
      </w:r>
      <w:r>
        <w:t>how best t</w:t>
      </w:r>
      <w:r w:rsidR="0048785F">
        <w:t xml:space="preserve">o support the future working lives of GPs. </w:t>
      </w:r>
      <w:r w:rsidR="00F95F1B">
        <w:t>In t</w:t>
      </w:r>
      <w:r w:rsidR="0048785F">
        <w:t>his s</w:t>
      </w:r>
      <w:r w:rsidR="00DB29CC">
        <w:t xml:space="preserve">tudy </w:t>
      </w:r>
      <w:r w:rsidR="00F95F1B">
        <w:t xml:space="preserve">we </w:t>
      </w:r>
      <w:r w:rsidR="00DB29CC">
        <w:t xml:space="preserve">aim to synthesise this international evidence base to explore the impact of </w:t>
      </w:r>
      <w:r w:rsidR="00DB29CC" w:rsidRPr="000361D6">
        <w:rPr>
          <w:lang w:eastAsia="en-GB"/>
        </w:rPr>
        <w:t>COVID-19 on the mental health and wellbeing of general practitioners</w:t>
      </w:r>
      <w:r w:rsidR="00DB29CC">
        <w:rPr>
          <w:lang w:eastAsia="en-GB"/>
        </w:rPr>
        <w:t xml:space="preserve">, which will </w:t>
      </w:r>
      <w:r w:rsidR="00F6096C">
        <w:t xml:space="preserve">inform future </w:t>
      </w:r>
      <w:r w:rsidR="00DB29CC">
        <w:t xml:space="preserve">workforce </w:t>
      </w:r>
      <w:r w:rsidR="00F6096C">
        <w:t>policy</w:t>
      </w:r>
      <w:r w:rsidR="00DB29CC">
        <w:t xml:space="preserve"> as we move out of the pandemic. We anticipate t</w:t>
      </w:r>
      <w:r w:rsidR="00F6096C">
        <w:t xml:space="preserve">his work </w:t>
      </w:r>
      <w:r w:rsidR="00DB29CC">
        <w:t>will</w:t>
      </w:r>
      <w:r w:rsidR="00F6096C">
        <w:t xml:space="preserve"> also inform future research</w:t>
      </w:r>
      <w:r w:rsidR="00DB29CC">
        <w:t>,</w:t>
      </w:r>
      <w:r w:rsidR="00F6096C">
        <w:t xml:space="preserve"> including the potential to design and implement workplace interventions</w:t>
      </w:r>
      <w:r w:rsidR="00DB29CC">
        <w:t xml:space="preserve"> to support the wellbeing of general practice teams</w:t>
      </w:r>
      <w:r w:rsidR="00F6096C">
        <w:t xml:space="preserve">. </w:t>
      </w:r>
      <w:r w:rsidR="00F95F1B">
        <w:t>We will disseminate f</w:t>
      </w:r>
      <w:r w:rsidR="00F6096C">
        <w:t>inding</w:t>
      </w:r>
      <w:r w:rsidR="00DB29CC">
        <w:t>s</w:t>
      </w:r>
      <w:r w:rsidR="00F6096C">
        <w:t xml:space="preserve"> from this systematic revi</w:t>
      </w:r>
      <w:r w:rsidR="009B597A">
        <w:t>e</w:t>
      </w:r>
      <w:r w:rsidR="00F6096C">
        <w:t xml:space="preserve">w </w:t>
      </w:r>
      <w:r w:rsidR="00F95F1B">
        <w:t xml:space="preserve">through </w:t>
      </w:r>
      <w:r w:rsidR="009B597A">
        <w:t>peer-review</w:t>
      </w:r>
      <w:r w:rsidR="00F95F1B">
        <w:t>ed</w:t>
      </w:r>
      <w:r w:rsidR="009B597A">
        <w:t xml:space="preserve"> journals</w:t>
      </w:r>
      <w:r w:rsidR="00DB29CC">
        <w:t xml:space="preserve"> and presentations to national audiences including policymakers and the Royal College of General Practitioners</w:t>
      </w:r>
      <w:r w:rsidR="009B597A">
        <w:t xml:space="preserve">. </w:t>
      </w:r>
    </w:p>
    <w:p w14:paraId="2F87817F" w14:textId="64195FB7" w:rsidR="00CF7A80" w:rsidRDefault="000C2CB2" w:rsidP="00CF7A80">
      <w:pPr>
        <w:pStyle w:val="Heading2"/>
      </w:pPr>
      <w:r>
        <w:br w:type="page"/>
      </w:r>
      <w:r w:rsidR="00CF7A80">
        <w:lastRenderedPageBreak/>
        <w:t>Author contributions</w:t>
      </w:r>
    </w:p>
    <w:p w14:paraId="7C7FBA40" w14:textId="7B0FA113" w:rsidR="00CF7A80" w:rsidRPr="008A483E" w:rsidRDefault="00CF7A80" w:rsidP="00CF7A80">
      <w:r w:rsidRPr="008A483E">
        <w:t xml:space="preserve">This study was designed and conceived by </w:t>
      </w:r>
      <w:r>
        <w:t>LJ</w:t>
      </w:r>
      <w:r w:rsidRPr="008A483E">
        <w:t xml:space="preserve"> and </w:t>
      </w:r>
      <w:r>
        <w:t>KB, with methodological expertise input from SG</w:t>
      </w:r>
      <w:r w:rsidRPr="008A483E">
        <w:t xml:space="preserve">. </w:t>
      </w:r>
      <w:r>
        <w:t xml:space="preserve">LJ </w:t>
      </w:r>
      <w:r w:rsidRPr="008A483E">
        <w:t>wrote the first draft of this manuscript</w:t>
      </w:r>
      <w:r>
        <w:t>, to which all authors commented</w:t>
      </w:r>
      <w:r w:rsidRPr="008A483E">
        <w:t xml:space="preserve">. </w:t>
      </w:r>
      <w:r>
        <w:t xml:space="preserve">All authors have read and agreed the final version. </w:t>
      </w:r>
    </w:p>
    <w:p w14:paraId="62286994" w14:textId="77777777" w:rsidR="00CF7A80" w:rsidRDefault="00CF7A80" w:rsidP="00CF7A80">
      <w:pPr>
        <w:pStyle w:val="Heading2"/>
      </w:pPr>
      <w:r>
        <w:t>Funding</w:t>
      </w:r>
    </w:p>
    <w:p w14:paraId="712369EF" w14:textId="35DD141A" w:rsidR="00CF7A80" w:rsidRDefault="00CF7A80" w:rsidP="00CF7A80">
      <w:r>
        <w:t xml:space="preserve">This report is independent research commissioned and funded by the Department of Health and Social Care Policy Research Programme (Exploring the impact of COVID-19 on GPs’ wellbeing, NIHR202329). The views expressed in this publication are those of the author(s) and not necessarily those of the Department of Health and Social Care. </w:t>
      </w:r>
    </w:p>
    <w:p w14:paraId="52E4B2AA" w14:textId="77777777" w:rsidR="00CF7A80" w:rsidRPr="009628AF" w:rsidRDefault="00CF7A80" w:rsidP="00CF7A80">
      <w:pPr>
        <w:pStyle w:val="Heading2"/>
      </w:pPr>
      <w:r w:rsidRPr="009628AF">
        <w:t>Competing interests</w:t>
      </w:r>
    </w:p>
    <w:p w14:paraId="2AA7028B" w14:textId="77777777" w:rsidR="00CF7A80" w:rsidRDefault="00CF7A80" w:rsidP="00CF7A80">
      <w:r>
        <w:t>None declared</w:t>
      </w:r>
    </w:p>
    <w:p w14:paraId="3FF1344D" w14:textId="70DB18B5" w:rsidR="00CF7A80" w:rsidRDefault="00CF7A80"/>
    <w:p w14:paraId="204FC6BA" w14:textId="77777777" w:rsidR="000C2CB2" w:rsidRDefault="000C2CB2">
      <w:pPr>
        <w:rPr>
          <w:rFonts w:asciiTheme="majorHAnsi" w:eastAsiaTheme="majorEastAsia" w:hAnsiTheme="majorHAnsi" w:cstheme="majorBidi"/>
          <w:color w:val="2F5496" w:themeColor="accent1" w:themeShade="BF"/>
          <w:sz w:val="32"/>
          <w:szCs w:val="32"/>
        </w:rPr>
      </w:pPr>
    </w:p>
    <w:p w14:paraId="2C5764F9" w14:textId="77777777" w:rsidR="00CF7A80" w:rsidRDefault="00CF7A80">
      <w:pPr>
        <w:rPr>
          <w:rFonts w:asciiTheme="majorHAnsi" w:eastAsiaTheme="majorEastAsia" w:hAnsiTheme="majorHAnsi" w:cstheme="majorBidi"/>
          <w:color w:val="2F5496" w:themeColor="accent1" w:themeShade="BF"/>
          <w:sz w:val="32"/>
          <w:szCs w:val="32"/>
        </w:rPr>
      </w:pPr>
      <w:r>
        <w:br w:type="page"/>
      </w:r>
    </w:p>
    <w:p w14:paraId="23703A1A" w14:textId="3C79EBC9" w:rsidR="000361D6" w:rsidRDefault="000C2CB2" w:rsidP="000C2CB2">
      <w:pPr>
        <w:pStyle w:val="Heading1"/>
      </w:pPr>
      <w:r>
        <w:t>References</w:t>
      </w:r>
    </w:p>
    <w:sectPr w:rsidR="000361D6" w:rsidSect="00B36954">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8CD0" w14:textId="77777777" w:rsidR="00DD15E4" w:rsidRDefault="00DD15E4" w:rsidP="000361D6">
      <w:pPr>
        <w:spacing w:after="0" w:line="240" w:lineRule="auto"/>
      </w:pPr>
      <w:r>
        <w:separator/>
      </w:r>
    </w:p>
  </w:endnote>
  <w:endnote w:type="continuationSeparator" w:id="0">
    <w:p w14:paraId="64480EB3" w14:textId="77777777" w:rsidR="00DD15E4" w:rsidRDefault="00DD15E4" w:rsidP="000361D6">
      <w:pPr>
        <w:spacing w:after="0" w:line="240" w:lineRule="auto"/>
      </w:pPr>
      <w:r>
        <w:continuationSeparator/>
      </w:r>
    </w:p>
  </w:endnote>
  <w:endnote w:id="1">
    <w:p w14:paraId="154BD971" w14:textId="33F66273" w:rsidR="00980980" w:rsidRDefault="00980980">
      <w:pPr>
        <w:pStyle w:val="EndnoteText"/>
        <w:rPr>
          <w:rFonts w:cstheme="minorHAnsi"/>
          <w:sz w:val="22"/>
          <w:szCs w:val="22"/>
          <w:shd w:val="clear" w:color="auto" w:fill="FFFFFF"/>
        </w:rPr>
      </w:pPr>
      <w:r>
        <w:rPr>
          <w:rStyle w:val="EndnoteReference"/>
        </w:rPr>
        <w:endnoteRef/>
      </w:r>
      <w:r>
        <w:t xml:space="preserve"> </w:t>
      </w:r>
      <w:r w:rsidRPr="00980980">
        <w:rPr>
          <w:rFonts w:cstheme="minorHAnsi"/>
          <w:sz w:val="22"/>
          <w:szCs w:val="22"/>
          <w:shd w:val="clear" w:color="auto" w:fill="FFFFFF"/>
        </w:rPr>
        <w:t>Panagioti M, Geraghty K, Johnson J, et al. Association Between Physician Burnout and Patient Safety, Professionalism, and Patient Satisfaction</w:t>
      </w:r>
      <w:r w:rsidRPr="00980980">
        <w:rPr>
          <w:rStyle w:val="colon-for-citation-subtitle"/>
          <w:rFonts w:cstheme="minorHAnsi"/>
          <w:sz w:val="22"/>
          <w:szCs w:val="22"/>
          <w:shd w:val="clear" w:color="auto" w:fill="FFFFFF"/>
        </w:rPr>
        <w:t>: </w:t>
      </w:r>
      <w:r w:rsidRPr="00980980">
        <w:rPr>
          <w:rStyle w:val="Subtitle1"/>
          <w:rFonts w:cstheme="minorHAnsi"/>
          <w:sz w:val="22"/>
          <w:szCs w:val="22"/>
          <w:shd w:val="clear" w:color="auto" w:fill="FFFFFF"/>
        </w:rPr>
        <w:t>A Systematic Review and Meta-analysis</w:t>
      </w:r>
      <w:r w:rsidRPr="00980980">
        <w:rPr>
          <w:rFonts w:cstheme="minorHAnsi"/>
          <w:sz w:val="22"/>
          <w:szCs w:val="22"/>
          <w:shd w:val="clear" w:color="auto" w:fill="FFFFFF"/>
        </w:rPr>
        <w:t>. </w:t>
      </w:r>
      <w:r w:rsidRPr="00980980">
        <w:rPr>
          <w:rStyle w:val="Emphasis"/>
          <w:rFonts w:cstheme="minorHAnsi"/>
          <w:sz w:val="22"/>
          <w:szCs w:val="22"/>
          <w:shd w:val="clear" w:color="auto" w:fill="FFFFFF"/>
        </w:rPr>
        <w:t>JAMA Intern Med.</w:t>
      </w:r>
      <w:r w:rsidRPr="00980980">
        <w:rPr>
          <w:rFonts w:cstheme="minorHAnsi"/>
          <w:sz w:val="22"/>
          <w:szCs w:val="22"/>
          <w:shd w:val="clear" w:color="auto" w:fill="FFFFFF"/>
        </w:rPr>
        <w:t> 2018;178(10):1317–1331. doi:10.1001/jamainternmed.2018.3713</w:t>
      </w:r>
    </w:p>
    <w:p w14:paraId="0E2BB7A3" w14:textId="77777777" w:rsidR="00FF6CB4" w:rsidRDefault="00FF6CB4">
      <w:pPr>
        <w:pStyle w:val="EndnoteText"/>
      </w:pPr>
    </w:p>
  </w:endnote>
  <w:endnote w:id="2">
    <w:p w14:paraId="43D17CCA" w14:textId="7A707591" w:rsidR="008104A0" w:rsidRDefault="008104A0" w:rsidP="00980980">
      <w:r>
        <w:rPr>
          <w:rStyle w:val="EndnoteReference"/>
        </w:rPr>
        <w:endnoteRef/>
      </w:r>
      <w:r>
        <w:t xml:space="preserve"> </w:t>
      </w:r>
      <w:r w:rsidRPr="002E17F6">
        <w:t xml:space="preserve">King’s Fund (2019) Introduction to Closing the Gap Report: Available: https://www.kingsfund.org.uk/publications/closing-gap-health-care-workforce [last accessed </w:t>
      </w:r>
      <w:r w:rsidR="00C279CD">
        <w:t>14 April 21</w:t>
      </w:r>
      <w:r w:rsidRPr="002E17F6">
        <w:t>)</w:t>
      </w:r>
    </w:p>
  </w:endnote>
  <w:endnote w:id="3">
    <w:p w14:paraId="00D43DF0" w14:textId="3F4620F0" w:rsidR="00B36954" w:rsidRDefault="00B36954">
      <w:pPr>
        <w:pStyle w:val="EndnoteText"/>
      </w:pPr>
      <w:r>
        <w:rPr>
          <w:rStyle w:val="EndnoteReference"/>
        </w:rPr>
        <w:endnoteRef/>
      </w:r>
      <w:r>
        <w:t xml:space="preserve"> </w:t>
      </w:r>
      <w:r w:rsidRPr="00FF6CB4">
        <w:rPr>
          <w:sz w:val="22"/>
          <w:szCs w:val="22"/>
        </w:rPr>
        <w:t>Gibson, J., Sutton, M., Spooner, S., Checkland, K. (2018)</w:t>
      </w:r>
      <w:r w:rsidRPr="00FF6CB4">
        <w:rPr>
          <w:sz w:val="22"/>
          <w:szCs w:val="22"/>
          <w:shd w:val="clear" w:color="auto" w:fill="FFFFFF"/>
        </w:rPr>
        <w:t xml:space="preserve">. </w:t>
      </w:r>
      <w:r w:rsidRPr="00FF6CB4">
        <w:rPr>
          <w:rStyle w:val="Title1"/>
          <w:rFonts w:cstheme="minorHAnsi"/>
          <w:sz w:val="22"/>
          <w:szCs w:val="22"/>
        </w:rPr>
        <w:t>Ninth National GP Worklife Survey</w:t>
      </w:r>
      <w:r w:rsidRPr="00FF6CB4">
        <w:rPr>
          <w:sz w:val="22"/>
          <w:szCs w:val="22"/>
          <w:shd w:val="clear" w:color="auto" w:fill="FFFFFF"/>
        </w:rPr>
        <w:t xml:space="preserve">. </w:t>
      </w:r>
      <w:r w:rsidRPr="00FF6CB4">
        <w:rPr>
          <w:iCs/>
          <w:sz w:val="22"/>
          <w:szCs w:val="22"/>
          <w:shd w:val="clear" w:color="auto" w:fill="FFFFFF"/>
        </w:rPr>
        <w:t>University of Manchester: Policy Research Unit in Commissioning and the Healthcare System Manchester Centre for Health Economics</w:t>
      </w:r>
    </w:p>
  </w:endnote>
  <w:endnote w:id="4">
    <w:p w14:paraId="394F5AB4" w14:textId="599DFDD7" w:rsidR="00C77DB1" w:rsidRPr="005235DB" w:rsidRDefault="00C77DB1" w:rsidP="00C77DB1">
      <w:pPr>
        <w:rPr>
          <w:shd w:val="clear" w:color="auto" w:fill="FFFFFF"/>
        </w:rPr>
      </w:pPr>
    </w:p>
  </w:endnote>
  <w:endnote w:id="5">
    <w:p w14:paraId="345786E1" w14:textId="77777777" w:rsidR="00C77DB1" w:rsidRDefault="00C77DB1" w:rsidP="00C77DB1">
      <w:r>
        <w:rPr>
          <w:rStyle w:val="EndnoteReference"/>
        </w:rPr>
        <w:endnoteRef/>
      </w:r>
      <w:r>
        <w:t xml:space="preserve"> </w:t>
      </w:r>
      <w:r w:rsidRPr="002E17F6">
        <w:t>Kane, L (2019) Medscape National Physician Burnout, Depression and suicide report 2019. Medscape, 2019. Available: https://www.medscape. com/slideshow/2019-lifestyle-burnout-depression-6011056#2 [Accessed 01 July 2020]</w:t>
      </w:r>
    </w:p>
  </w:endnote>
  <w:endnote w:id="6">
    <w:p w14:paraId="070E2AB4" w14:textId="77777777" w:rsidR="00B36954" w:rsidRPr="005235DB" w:rsidRDefault="00B36954" w:rsidP="00B36954">
      <w:pPr>
        <w:rPr>
          <w:shd w:val="clear" w:color="auto" w:fill="FFFFFF"/>
        </w:rPr>
      </w:pPr>
      <w:r>
        <w:rPr>
          <w:rStyle w:val="EndnoteReference"/>
        </w:rPr>
        <w:endnoteRef/>
      </w:r>
      <w:r>
        <w:t xml:space="preserve"> </w:t>
      </w:r>
      <w:r w:rsidRPr="002E17F6">
        <w:rPr>
          <w:shd w:val="clear" w:color="auto" w:fill="FFFFFF"/>
        </w:rPr>
        <w:t xml:space="preserve">Shanafelt TD, Boone S, Tan L, et al. Burnout and satisfaction with work-life balance among US physicians relative to the general US population. </w:t>
      </w:r>
      <w:r w:rsidRPr="002E17F6">
        <w:rPr>
          <w:i/>
          <w:iCs/>
        </w:rPr>
        <w:t>Arch Intern Med</w:t>
      </w:r>
      <w:r w:rsidRPr="002E17F6">
        <w:rPr>
          <w:shd w:val="clear" w:color="auto" w:fill="FFFFFF"/>
        </w:rPr>
        <w:t>. 2012;172(18):1377-1385. doi:10.1001/archinternmed.2012.3199</w:t>
      </w:r>
    </w:p>
  </w:endnote>
  <w:endnote w:id="7">
    <w:p w14:paraId="36456AE0" w14:textId="42EDB2EF" w:rsidR="00FF6CB4" w:rsidRPr="00FF6CB4" w:rsidRDefault="00FF6CB4" w:rsidP="00FF6CB4">
      <w:pPr>
        <w:rPr>
          <w:rFonts w:cstheme="minorHAnsi"/>
        </w:rPr>
      </w:pPr>
      <w:r>
        <w:rPr>
          <w:rStyle w:val="EndnoteReference"/>
        </w:rPr>
        <w:endnoteRef/>
      </w:r>
      <w:r>
        <w:t xml:space="preserve"> </w:t>
      </w:r>
      <w:r w:rsidRPr="0045506B">
        <w:rPr>
          <w:rFonts w:cstheme="minorHAnsi"/>
        </w:rPr>
        <w:t>Lancet, The (2019a) Physician burnout:</w:t>
      </w:r>
      <w:r>
        <w:rPr>
          <w:rFonts w:cstheme="minorHAnsi"/>
        </w:rPr>
        <w:t xml:space="preserve"> </w:t>
      </w:r>
      <w:r w:rsidRPr="0045506B">
        <w:rPr>
          <w:rFonts w:cstheme="minorHAnsi"/>
        </w:rPr>
        <w:t>a global crisis: Editorial. The Lancet: 394 (10193, p93</w:t>
      </w:r>
    </w:p>
  </w:endnote>
  <w:endnote w:id="8">
    <w:p w14:paraId="0B6DAC8F" w14:textId="77884C8D" w:rsidR="00FF6CB4" w:rsidRPr="00FF6CB4" w:rsidRDefault="00FF6CB4" w:rsidP="00FF6CB4">
      <w:pPr>
        <w:rPr>
          <w:rFonts w:cstheme="minorHAnsi"/>
        </w:rPr>
      </w:pPr>
      <w:r>
        <w:rPr>
          <w:rStyle w:val="EndnoteReference"/>
        </w:rPr>
        <w:endnoteRef/>
      </w:r>
      <w:r>
        <w:t xml:space="preserve"> </w:t>
      </w:r>
      <w:r w:rsidRPr="0045506B">
        <w:rPr>
          <w:rFonts w:cstheme="minorHAnsi"/>
        </w:rPr>
        <w:t xml:space="preserve">Lancet, The (2019b) Physician burnout: the need to </w:t>
      </w:r>
      <w:r>
        <w:rPr>
          <w:rFonts w:cstheme="minorHAnsi"/>
        </w:rPr>
        <w:t>r</w:t>
      </w:r>
      <w:r w:rsidRPr="0045506B">
        <w:rPr>
          <w:rFonts w:cstheme="minorHAnsi"/>
        </w:rPr>
        <w:t>e</w:t>
      </w:r>
      <w:r>
        <w:rPr>
          <w:rFonts w:cstheme="minorHAnsi"/>
        </w:rPr>
        <w:t>-</w:t>
      </w:r>
      <w:r w:rsidRPr="0045506B">
        <w:rPr>
          <w:rFonts w:cstheme="minorHAnsi"/>
        </w:rPr>
        <w:t>humanise health systems: Editorial. The Lancet. 394 (10209) P1591</w:t>
      </w:r>
    </w:p>
  </w:endnote>
  <w:endnote w:id="9">
    <w:p w14:paraId="26AF4BD0" w14:textId="77777777" w:rsidR="000361D6" w:rsidRDefault="000361D6" w:rsidP="000361D6">
      <w:r>
        <w:rPr>
          <w:rStyle w:val="EndnoteReference"/>
        </w:rPr>
        <w:endnoteRef/>
      </w:r>
      <w:r w:rsidRPr="002E17F6">
        <w:rPr>
          <w:lang w:val="en"/>
        </w:rPr>
        <w:t xml:space="preserve">British Medical Association (BMA) (2019) Caring for the mental health of the medical workforce; </w:t>
      </w:r>
      <w:r w:rsidRPr="002E17F6">
        <w:rPr>
          <w:i/>
          <w:iCs/>
          <w:lang w:val="en"/>
        </w:rPr>
        <w:t>BMA</w:t>
      </w:r>
      <w:r w:rsidRPr="002E17F6">
        <w:rPr>
          <w:lang w:val="en"/>
        </w:rPr>
        <w:t>, London</w:t>
      </w:r>
      <w:r>
        <w:t xml:space="preserve"> </w:t>
      </w:r>
    </w:p>
  </w:endnote>
  <w:endnote w:id="10">
    <w:p w14:paraId="2DFC2366" w14:textId="77777777" w:rsidR="000361D6" w:rsidRPr="005235DB" w:rsidRDefault="000361D6" w:rsidP="000361D6">
      <w:pPr>
        <w:rPr>
          <w:lang w:eastAsia="en-GB"/>
        </w:rPr>
      </w:pPr>
      <w:r>
        <w:rPr>
          <w:rStyle w:val="EndnoteReference"/>
        </w:rPr>
        <w:endnoteRef/>
      </w:r>
      <w:r>
        <w:t xml:space="preserve"> </w:t>
      </w:r>
      <w:r w:rsidRPr="002E17F6">
        <w:rPr>
          <w:lang w:val="en"/>
        </w:rPr>
        <w:t xml:space="preserve">General Medical Council (GMC) (2019) The state of medical education and practice in the UK. </w:t>
      </w:r>
      <w:r w:rsidRPr="002E17F6">
        <w:rPr>
          <w:i/>
          <w:iCs/>
          <w:lang w:val="en"/>
        </w:rPr>
        <w:t>GMC, 2019.</w:t>
      </w:r>
      <w:r w:rsidRPr="002E17F6">
        <w:rPr>
          <w:lang w:val="en"/>
        </w:rPr>
        <w:t xml:space="preserve"> Available: https://www.gmc-uk.org/about/what-we-do-and-why/data-and-research/the-state-of-medical-education-and-practice-in-the-uk [Accessed 02 July 2020]</w:t>
      </w:r>
    </w:p>
  </w:endnote>
  <w:endnote w:id="11">
    <w:p w14:paraId="3CE6BE0F" w14:textId="77777777" w:rsidR="000361D6" w:rsidRPr="005235DB" w:rsidRDefault="000361D6" w:rsidP="000361D6">
      <w:pPr>
        <w:rPr>
          <w:lang w:eastAsia="en-GB"/>
        </w:rPr>
      </w:pPr>
      <w:r>
        <w:rPr>
          <w:rStyle w:val="EndnoteReference"/>
        </w:rPr>
        <w:endnoteRef/>
      </w:r>
      <w:r>
        <w:t xml:space="preserve"> </w:t>
      </w:r>
      <w:r w:rsidRPr="002E17F6">
        <w:rPr>
          <w:lang w:eastAsia="en-GB"/>
        </w:rPr>
        <w:t xml:space="preserve">McKinley N, McCain RS, Convie L, et al (2020) Resilience, burnout and coping mechanisms in UK doctors: a cross-sectional study </w:t>
      </w:r>
      <w:r w:rsidRPr="002E17F6">
        <w:rPr>
          <w:i/>
          <w:iCs/>
          <w:lang w:eastAsia="en-GB"/>
        </w:rPr>
        <w:t>BMJ Open </w:t>
      </w:r>
      <w:r w:rsidRPr="002E17F6">
        <w:rPr>
          <w:lang w:eastAsia="en-GB"/>
        </w:rPr>
        <w:t>2020;10:</w:t>
      </w:r>
      <w:r w:rsidRPr="002E17F6">
        <w:rPr>
          <w:b/>
          <w:bCs/>
          <w:lang w:eastAsia="en-GB"/>
        </w:rPr>
        <w:t xml:space="preserve"> </w:t>
      </w:r>
      <w:r w:rsidRPr="002E17F6">
        <w:rPr>
          <w:lang w:eastAsia="en-GB"/>
        </w:rPr>
        <w:t>e031765. doi: 10.1136/bmjopen-2019-031765</w:t>
      </w:r>
    </w:p>
  </w:endnote>
  <w:endnote w:id="12">
    <w:p w14:paraId="138ABE27" w14:textId="77777777" w:rsidR="000361D6" w:rsidRPr="005235DB" w:rsidRDefault="000361D6" w:rsidP="000361D6">
      <w:r>
        <w:rPr>
          <w:rStyle w:val="EndnoteReference"/>
        </w:rPr>
        <w:endnoteRef/>
      </w:r>
      <w:r>
        <w:t xml:space="preserve"> </w:t>
      </w:r>
      <w:r w:rsidRPr="002E17F6">
        <w:rPr>
          <w:rFonts w:ascii="Calibri" w:hAnsi="Calibri" w:cs="Calibri"/>
          <w:shd w:val="clear" w:color="auto" w:fill="FFFFFF"/>
        </w:rPr>
        <w:t>Maunder, R. G., Lancee, W. J., Balderson, K. E., Bennett, J. P., Borgundvaag, B., Evans, S., Fernandes, C. M., Goldbloom, D. S., Gupta, M., Hunter, J. J., McGillis Hall, L., Nagle, L. M., Pain, C., Peczeniuk, S. S., Raymond, G., Read, N., Rourke, S. B., Steinberg, R. J., Stewart, T. E., VanDeVelde-Coke, S., Wasylenki, D. A. (2006). Long-term psychological and occupational effects of providing hospital healthcare during SARS outbreak. </w:t>
      </w:r>
      <w:r w:rsidRPr="002E17F6">
        <w:rPr>
          <w:rFonts w:ascii="Calibri" w:hAnsi="Calibri" w:cs="Calibri"/>
          <w:i/>
          <w:iCs/>
          <w:shd w:val="clear" w:color="auto" w:fill="FFFFFF"/>
        </w:rPr>
        <w:t>Emerging infectious diseases</w:t>
      </w:r>
      <w:r w:rsidRPr="002E17F6">
        <w:rPr>
          <w:rFonts w:ascii="Calibri" w:hAnsi="Calibri" w:cs="Calibri"/>
          <w:shd w:val="clear" w:color="auto" w:fill="FFFFFF"/>
        </w:rPr>
        <w:t>, </w:t>
      </w:r>
      <w:r w:rsidRPr="002E17F6">
        <w:rPr>
          <w:rFonts w:ascii="Calibri" w:hAnsi="Calibri" w:cs="Calibri"/>
          <w:i/>
          <w:iCs/>
          <w:shd w:val="clear" w:color="auto" w:fill="FFFFFF"/>
        </w:rPr>
        <w:t>12</w:t>
      </w:r>
      <w:r w:rsidRPr="002E17F6">
        <w:rPr>
          <w:rFonts w:ascii="Calibri" w:hAnsi="Calibri" w:cs="Calibri"/>
          <w:shd w:val="clear" w:color="auto" w:fill="FFFFFF"/>
        </w:rPr>
        <w:t>(12), 1924–1932. https://doi.org/10.3201/eid1212.060584</w:t>
      </w:r>
    </w:p>
  </w:endnote>
  <w:endnote w:id="13">
    <w:p w14:paraId="082593D4" w14:textId="77777777" w:rsidR="00FD1717" w:rsidRDefault="00FD1717" w:rsidP="00FD1717">
      <w:r>
        <w:rPr>
          <w:rStyle w:val="EndnoteReference"/>
        </w:rPr>
        <w:endnoteRef/>
      </w:r>
      <w:r>
        <w:t xml:space="preserve"> </w:t>
      </w:r>
      <w:r w:rsidRPr="00EC2A3A">
        <w:rPr>
          <w:rFonts w:ascii="Helvetica" w:hAnsi="Helvetica" w:cs="Helvetica"/>
          <w:color w:val="333333"/>
          <w:sz w:val="21"/>
          <w:szCs w:val="21"/>
          <w:shd w:val="clear" w:color="auto" w:fill="FFFFFF"/>
        </w:rPr>
        <w:t xml:space="preserve"> </w:t>
      </w:r>
      <w:r w:rsidRPr="00EC2A3A">
        <w:t>Moher D, Liberati A, Tetzlaff J, Altman DG, The PRISMA Group (2009). Preferred Reporting Items for Systematic Reviews and Meta-Analyses: The PRISMA Statement. </w:t>
      </w:r>
      <w:hyperlink r:id="rId1" w:tgtFrame="_blank" w:history="1">
        <w:r w:rsidRPr="00EC2A3A">
          <w:t>BMJ 2009;339:b2535, doi: 10.1136/bmj.b2535</w:t>
        </w:r>
      </w:hyperlink>
    </w:p>
  </w:endnote>
  <w:endnote w:id="14">
    <w:p w14:paraId="24A4D2E8" w14:textId="77777777" w:rsidR="000361D6" w:rsidRDefault="000361D6" w:rsidP="000361D6">
      <w:r>
        <w:rPr>
          <w:rStyle w:val="EndnoteReference"/>
        </w:rPr>
        <w:endnoteRef/>
      </w:r>
      <w:r>
        <w:t xml:space="preserve"> </w:t>
      </w:r>
      <w:r w:rsidRPr="00F8465A">
        <w:t>Moher D, Liberati A, Tetzlaff J, Altman DG, The PRISMA Group (2009). Preferred Reporting Items for Systematic Reviews and Meta-Analyses: The PRISMA Statement. </w:t>
      </w:r>
      <w:hyperlink r:id="rId2" w:tgtFrame="_blank" w:history="1">
        <w:r w:rsidRPr="00F8465A">
          <w:t>BMJ 2009;339:b2535, doi: 10.1136/bmj.b2535</w:t>
        </w:r>
      </w:hyperlink>
    </w:p>
  </w:endnote>
  <w:endnote w:id="15">
    <w:p w14:paraId="623BCC2C" w14:textId="77777777" w:rsidR="000361D6" w:rsidRDefault="000361D6" w:rsidP="000361D6">
      <w:r>
        <w:rPr>
          <w:rStyle w:val="EndnoteReference"/>
        </w:rPr>
        <w:endnoteRef/>
      </w:r>
      <w:r>
        <w:t xml:space="preserve"> </w:t>
      </w:r>
      <w:r w:rsidRPr="005235DB">
        <w:t>Shea BJ, Reeves BC, Wells G, Thuku M, Hamel C, Moran J, Moher D, Tugwell P, Welch V, Kristjansson E, Henry DA. AMSTAR 2: a critical appraisal tool for systematic reviews that include randomised or non-randomised studies of healthcare interventions, or both. BMJ. 2017 Sep 21;358:j4008.</w:t>
      </w:r>
    </w:p>
  </w:endnote>
  <w:endnote w:id="16">
    <w:p w14:paraId="2B148F2C" w14:textId="6BE4B824" w:rsidR="000361D6" w:rsidRPr="005235DB" w:rsidRDefault="000361D6" w:rsidP="000361D6">
      <w:r>
        <w:rPr>
          <w:rStyle w:val="EndnoteReference"/>
        </w:rPr>
        <w:endnoteRef/>
      </w:r>
      <w:r>
        <w:t xml:space="preserve"> </w:t>
      </w:r>
      <w:r w:rsidRPr="00F60A99">
        <w:t xml:space="preserve">Critical Appraisal Skills Programme (2018). CASP Qualitative Checklist. [online] Available at: </w:t>
      </w:r>
      <w:hyperlink r:id="rId3" w:history="1">
        <w:r w:rsidRPr="00F60A99">
          <w:rPr>
            <w:rStyle w:val="Hyperlink"/>
            <w:rFonts w:cstheme="minorHAnsi"/>
            <w:sz w:val="20"/>
            <w:szCs w:val="20"/>
          </w:rPr>
          <w:t>https://casp-uk.net/wp-content/uploads/2018/01/CASP-Qualitative-Checklist-2018.pdf</w:t>
        </w:r>
      </w:hyperlink>
      <w:r w:rsidRPr="00F60A99">
        <w:t xml:space="preserve"> (last accessed: 20/02/2</w:t>
      </w:r>
      <w:r w:rsidR="00C820FB">
        <w:t>1</w:t>
      </w:r>
      <w:r w:rsidRPr="00F60A99">
        <w:t>)</w:t>
      </w:r>
    </w:p>
  </w:endnote>
  <w:endnote w:id="17">
    <w:p w14:paraId="4EC566FF" w14:textId="4CC2C220" w:rsidR="00CC3286" w:rsidRDefault="00CC3286" w:rsidP="000C2CB2">
      <w:r>
        <w:rPr>
          <w:rStyle w:val="EndnoteReference"/>
        </w:rPr>
        <w:endnoteRef/>
      </w:r>
      <w:r>
        <w:t xml:space="preserve"> Joanna Briggs Institute (2017) Checklist for Analytical Cross Sectional Studies [online] Available at: </w:t>
      </w:r>
      <w:hyperlink r:id="rId4" w:history="1">
        <w:r w:rsidR="000C2CB2" w:rsidRPr="00E45469">
          <w:rPr>
            <w:rStyle w:val="Hyperlink"/>
          </w:rPr>
          <w:t>https://joannabriggs.org/sites/default/files/2019-05/JBI_Critical_Appraisal-Checklist_for_Analytical_Cross_Sectional_Studies2017_0.pdf</w:t>
        </w:r>
      </w:hyperlink>
      <w:r w:rsidR="000C2CB2">
        <w:t xml:space="preserve"> (last accessed 16/12/20)</w:t>
      </w:r>
    </w:p>
    <w:p w14:paraId="669E2E73" w14:textId="77777777" w:rsidR="00CF7A80" w:rsidRDefault="00CF7A80" w:rsidP="000C2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CA50" w14:textId="77777777" w:rsidR="00DD15E4" w:rsidRDefault="00DD15E4" w:rsidP="000361D6">
      <w:pPr>
        <w:spacing w:after="0" w:line="240" w:lineRule="auto"/>
      </w:pPr>
      <w:r>
        <w:separator/>
      </w:r>
    </w:p>
  </w:footnote>
  <w:footnote w:type="continuationSeparator" w:id="0">
    <w:p w14:paraId="00508850" w14:textId="77777777" w:rsidR="00DD15E4" w:rsidRDefault="00DD15E4" w:rsidP="00036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D6"/>
    <w:rsid w:val="00032E71"/>
    <w:rsid w:val="000361D6"/>
    <w:rsid w:val="000620FC"/>
    <w:rsid w:val="000C2CB2"/>
    <w:rsid w:val="000C44AE"/>
    <w:rsid w:val="000D61E5"/>
    <w:rsid w:val="00134805"/>
    <w:rsid w:val="0025148F"/>
    <w:rsid w:val="002A1DB5"/>
    <w:rsid w:val="002C16E4"/>
    <w:rsid w:val="002D086E"/>
    <w:rsid w:val="00331EA4"/>
    <w:rsid w:val="003F0345"/>
    <w:rsid w:val="00403318"/>
    <w:rsid w:val="00446F1E"/>
    <w:rsid w:val="004710DC"/>
    <w:rsid w:val="0048785F"/>
    <w:rsid w:val="004A41B9"/>
    <w:rsid w:val="004E1C88"/>
    <w:rsid w:val="00544A24"/>
    <w:rsid w:val="00600267"/>
    <w:rsid w:val="006454D7"/>
    <w:rsid w:val="006561E1"/>
    <w:rsid w:val="006B188C"/>
    <w:rsid w:val="007D4AC2"/>
    <w:rsid w:val="007D5E60"/>
    <w:rsid w:val="008104A0"/>
    <w:rsid w:val="00980980"/>
    <w:rsid w:val="009A30BF"/>
    <w:rsid w:val="009B597A"/>
    <w:rsid w:val="009D14C1"/>
    <w:rsid w:val="00A00DFC"/>
    <w:rsid w:val="00A32C0B"/>
    <w:rsid w:val="00A55203"/>
    <w:rsid w:val="00A73DAF"/>
    <w:rsid w:val="00A759F5"/>
    <w:rsid w:val="00AD5F50"/>
    <w:rsid w:val="00B07021"/>
    <w:rsid w:val="00B15783"/>
    <w:rsid w:val="00B26AA6"/>
    <w:rsid w:val="00B36954"/>
    <w:rsid w:val="00B831FE"/>
    <w:rsid w:val="00B934AF"/>
    <w:rsid w:val="00B94AA9"/>
    <w:rsid w:val="00BB04A1"/>
    <w:rsid w:val="00BC03C8"/>
    <w:rsid w:val="00C12174"/>
    <w:rsid w:val="00C279CD"/>
    <w:rsid w:val="00C74D7A"/>
    <w:rsid w:val="00C77DB1"/>
    <w:rsid w:val="00C820FB"/>
    <w:rsid w:val="00CA4487"/>
    <w:rsid w:val="00CC3286"/>
    <w:rsid w:val="00CD023F"/>
    <w:rsid w:val="00CF7A80"/>
    <w:rsid w:val="00D2416D"/>
    <w:rsid w:val="00D764BC"/>
    <w:rsid w:val="00DB29CC"/>
    <w:rsid w:val="00DD08F4"/>
    <w:rsid w:val="00DD15E4"/>
    <w:rsid w:val="00DE3151"/>
    <w:rsid w:val="00E059F2"/>
    <w:rsid w:val="00E66EE9"/>
    <w:rsid w:val="00E7773A"/>
    <w:rsid w:val="00EB229F"/>
    <w:rsid w:val="00EF0BE5"/>
    <w:rsid w:val="00F6096C"/>
    <w:rsid w:val="00F95F1B"/>
    <w:rsid w:val="00FD1717"/>
    <w:rsid w:val="00FF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2199"/>
  <w15:chartTrackingRefBased/>
  <w15:docId w15:val="{ED924167-DC91-4310-AF1C-00664DB6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6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1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1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61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361D6"/>
    <w:rPr>
      <w:color w:val="0563C1" w:themeColor="hyperlink"/>
      <w:u w:val="single"/>
    </w:rPr>
  </w:style>
  <w:style w:type="paragraph" w:styleId="EndnoteText">
    <w:name w:val="endnote text"/>
    <w:basedOn w:val="Normal"/>
    <w:link w:val="EndnoteTextChar"/>
    <w:uiPriority w:val="99"/>
    <w:semiHidden/>
    <w:unhideWhenUsed/>
    <w:rsid w:val="00036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1D6"/>
    <w:rPr>
      <w:sz w:val="20"/>
      <w:szCs w:val="20"/>
    </w:rPr>
  </w:style>
  <w:style w:type="character" w:styleId="EndnoteReference">
    <w:name w:val="endnote reference"/>
    <w:basedOn w:val="DefaultParagraphFont"/>
    <w:uiPriority w:val="99"/>
    <w:semiHidden/>
    <w:unhideWhenUsed/>
    <w:rsid w:val="000361D6"/>
    <w:rPr>
      <w:vertAlign w:val="superscript"/>
    </w:rPr>
  </w:style>
  <w:style w:type="character" w:customStyle="1" w:styleId="Title1">
    <w:name w:val="Title1"/>
    <w:basedOn w:val="DefaultParagraphFont"/>
    <w:rsid w:val="000361D6"/>
  </w:style>
  <w:style w:type="character" w:customStyle="1" w:styleId="Heading3Char">
    <w:name w:val="Heading 3 Char"/>
    <w:basedOn w:val="DefaultParagraphFont"/>
    <w:link w:val="Heading3"/>
    <w:uiPriority w:val="9"/>
    <w:rsid w:val="000361D6"/>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361D6"/>
    <w:rPr>
      <w:color w:val="605E5C"/>
      <w:shd w:val="clear" w:color="auto" w:fill="E1DFDD"/>
    </w:rPr>
  </w:style>
  <w:style w:type="character" w:styleId="CommentReference">
    <w:name w:val="annotation reference"/>
    <w:basedOn w:val="DefaultParagraphFont"/>
    <w:uiPriority w:val="99"/>
    <w:semiHidden/>
    <w:unhideWhenUsed/>
    <w:rsid w:val="002C16E4"/>
    <w:rPr>
      <w:sz w:val="16"/>
      <w:szCs w:val="16"/>
    </w:rPr>
  </w:style>
  <w:style w:type="paragraph" w:styleId="CommentText">
    <w:name w:val="annotation text"/>
    <w:basedOn w:val="Normal"/>
    <w:link w:val="CommentTextChar"/>
    <w:uiPriority w:val="99"/>
    <w:semiHidden/>
    <w:unhideWhenUsed/>
    <w:rsid w:val="002C16E4"/>
    <w:pPr>
      <w:spacing w:line="240" w:lineRule="auto"/>
    </w:pPr>
    <w:rPr>
      <w:sz w:val="20"/>
      <w:szCs w:val="20"/>
    </w:rPr>
  </w:style>
  <w:style w:type="character" w:customStyle="1" w:styleId="CommentTextChar">
    <w:name w:val="Comment Text Char"/>
    <w:basedOn w:val="DefaultParagraphFont"/>
    <w:link w:val="CommentText"/>
    <w:uiPriority w:val="99"/>
    <w:semiHidden/>
    <w:rsid w:val="002C16E4"/>
    <w:rPr>
      <w:sz w:val="20"/>
      <w:szCs w:val="20"/>
    </w:rPr>
  </w:style>
  <w:style w:type="paragraph" w:styleId="CommentSubject">
    <w:name w:val="annotation subject"/>
    <w:basedOn w:val="CommentText"/>
    <w:next w:val="CommentText"/>
    <w:link w:val="CommentSubjectChar"/>
    <w:uiPriority w:val="99"/>
    <w:semiHidden/>
    <w:unhideWhenUsed/>
    <w:rsid w:val="002C16E4"/>
    <w:rPr>
      <w:b/>
      <w:bCs/>
    </w:rPr>
  </w:style>
  <w:style w:type="character" w:customStyle="1" w:styleId="CommentSubjectChar">
    <w:name w:val="Comment Subject Char"/>
    <w:basedOn w:val="CommentTextChar"/>
    <w:link w:val="CommentSubject"/>
    <w:uiPriority w:val="99"/>
    <w:semiHidden/>
    <w:rsid w:val="002C16E4"/>
    <w:rPr>
      <w:b/>
      <w:bCs/>
      <w:sz w:val="20"/>
      <w:szCs w:val="20"/>
    </w:rPr>
  </w:style>
  <w:style w:type="paragraph" w:styleId="BalloonText">
    <w:name w:val="Balloon Text"/>
    <w:basedOn w:val="Normal"/>
    <w:link w:val="BalloonTextChar"/>
    <w:uiPriority w:val="99"/>
    <w:semiHidden/>
    <w:unhideWhenUsed/>
    <w:rsid w:val="002C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E4"/>
    <w:rPr>
      <w:rFonts w:ascii="Segoe UI" w:hAnsi="Segoe UI" w:cs="Segoe UI"/>
      <w:sz w:val="18"/>
      <w:szCs w:val="18"/>
    </w:rPr>
  </w:style>
  <w:style w:type="character" w:customStyle="1" w:styleId="Subtitle1">
    <w:name w:val="Subtitle1"/>
    <w:basedOn w:val="DefaultParagraphFont"/>
    <w:rsid w:val="00980980"/>
  </w:style>
  <w:style w:type="character" w:customStyle="1" w:styleId="colon-for-citation-subtitle">
    <w:name w:val="colon-for-citation-subtitle"/>
    <w:basedOn w:val="DefaultParagraphFont"/>
    <w:rsid w:val="00980980"/>
  </w:style>
  <w:style w:type="character" w:styleId="Emphasis">
    <w:name w:val="Emphasis"/>
    <w:basedOn w:val="DefaultParagraphFont"/>
    <w:uiPriority w:val="20"/>
    <w:qFormat/>
    <w:rsid w:val="00980980"/>
    <w:rPr>
      <w:i/>
      <w:iCs/>
    </w:rPr>
  </w:style>
  <w:style w:type="paragraph" w:styleId="NormalWeb">
    <w:name w:val="Normal (Web)"/>
    <w:basedOn w:val="Normal"/>
    <w:uiPriority w:val="99"/>
    <w:semiHidden/>
    <w:unhideWhenUsed/>
    <w:rsid w:val="009A30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409">
      <w:bodyDiv w:val="1"/>
      <w:marLeft w:val="0"/>
      <w:marRight w:val="0"/>
      <w:marTop w:val="0"/>
      <w:marBottom w:val="0"/>
      <w:divBdr>
        <w:top w:val="none" w:sz="0" w:space="0" w:color="auto"/>
        <w:left w:val="none" w:sz="0" w:space="0" w:color="auto"/>
        <w:bottom w:val="none" w:sz="0" w:space="0" w:color="auto"/>
        <w:right w:val="none" w:sz="0" w:space="0" w:color="auto"/>
      </w:divBdr>
    </w:div>
    <w:div w:id="1077291342">
      <w:bodyDiv w:val="1"/>
      <w:marLeft w:val="0"/>
      <w:marRight w:val="0"/>
      <w:marTop w:val="0"/>
      <w:marBottom w:val="0"/>
      <w:divBdr>
        <w:top w:val="none" w:sz="0" w:space="0" w:color="auto"/>
        <w:left w:val="none" w:sz="0" w:space="0" w:color="auto"/>
        <w:bottom w:val="none" w:sz="0" w:space="0" w:color="auto"/>
        <w:right w:val="none" w:sz="0" w:space="0" w:color="auto"/>
      </w:divBdr>
      <w:divsChild>
        <w:div w:id="1581480527">
          <w:marLeft w:val="0"/>
          <w:marRight w:val="0"/>
          <w:marTop w:val="0"/>
          <w:marBottom w:val="0"/>
          <w:divBdr>
            <w:top w:val="none" w:sz="0" w:space="0" w:color="auto"/>
            <w:left w:val="none" w:sz="0" w:space="0" w:color="auto"/>
            <w:bottom w:val="none" w:sz="0" w:space="0" w:color="auto"/>
            <w:right w:val="none" w:sz="0" w:space="0" w:color="auto"/>
          </w:divBdr>
        </w:div>
        <w:div w:id="157227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jefferson@york.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casp-uk.net/wp-content/uploads/2018/01/CASP-Qualitative-Checklist-2018.pdf" TargetMode="External"/><Relationship Id="rId2" Type="http://schemas.openxmlformats.org/officeDocument/2006/relationships/hyperlink" Target="http://www.bmj.com/cgi/content/full/339/jul21_1/b2535?view=long&amp;pmid=19622551" TargetMode="External"/><Relationship Id="rId1" Type="http://schemas.openxmlformats.org/officeDocument/2006/relationships/hyperlink" Target="http://www.bmj.com/cgi/content/full/339/jul21_1/b2535?view=long&amp;pmid=19622551" TargetMode="External"/><Relationship Id="rId4" Type="http://schemas.openxmlformats.org/officeDocument/2006/relationships/hyperlink" Target="https://joannabriggs.org/sites/default/files/2019-05/JBI_Critical_Appraisal-Checklist_for_Analytical_Cross_Sectional_Studies2017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F6E7-F4E2-445A-863B-E7B5D177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Jefferson</dc:creator>
  <cp:keywords/>
  <dc:description/>
  <cp:lastModifiedBy>Newby, S.H.</cp:lastModifiedBy>
  <cp:revision>2</cp:revision>
  <cp:lastPrinted>2021-08-05T07:57:00Z</cp:lastPrinted>
  <dcterms:created xsi:type="dcterms:W3CDTF">2021-09-07T14:16:00Z</dcterms:created>
  <dcterms:modified xsi:type="dcterms:W3CDTF">2021-09-07T14:16:00Z</dcterms:modified>
</cp:coreProperties>
</file>