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D5525" w14:textId="50D57D4C" w:rsidR="00D07C88" w:rsidRPr="000C4873" w:rsidRDefault="005756FD" w:rsidP="00672D13">
      <w:pPr>
        <w:spacing w:after="0" w:line="276" w:lineRule="auto"/>
        <w:rPr>
          <w:rFonts w:ascii="Athelas" w:hAnsi="Athelas"/>
          <w:b/>
          <w:bCs/>
          <w:sz w:val="52"/>
          <w:szCs w:val="40"/>
          <w:lang w:val="en-AU"/>
        </w:rPr>
      </w:pPr>
      <w:r w:rsidRPr="000C4873">
        <w:rPr>
          <w:rFonts w:ascii="Athelas" w:hAnsi="Athelas"/>
          <w:b/>
          <w:bCs/>
          <w:sz w:val="52"/>
          <w:szCs w:val="40"/>
          <w:lang w:val="en-AU"/>
        </w:rPr>
        <w:t>Judicial Review during</w:t>
      </w:r>
      <w:r w:rsidR="001F124F" w:rsidRPr="000C4873">
        <w:rPr>
          <w:rFonts w:ascii="Athelas" w:hAnsi="Athelas"/>
          <w:b/>
          <w:bCs/>
          <w:sz w:val="52"/>
          <w:szCs w:val="40"/>
          <w:lang w:val="en-AU"/>
        </w:rPr>
        <w:t xml:space="preserve"> the</w:t>
      </w:r>
      <w:r w:rsidRPr="000C4873">
        <w:rPr>
          <w:rFonts w:ascii="Athelas" w:hAnsi="Athelas"/>
          <w:b/>
          <w:bCs/>
          <w:sz w:val="52"/>
          <w:szCs w:val="40"/>
          <w:lang w:val="en-AU"/>
        </w:rPr>
        <w:t xml:space="preserve"> COVID-19</w:t>
      </w:r>
      <w:r w:rsidR="00AB503B" w:rsidRPr="000C4873">
        <w:rPr>
          <w:rFonts w:ascii="Athelas" w:hAnsi="Athelas"/>
          <w:b/>
          <w:bCs/>
          <w:sz w:val="52"/>
          <w:szCs w:val="40"/>
          <w:lang w:val="en-AU"/>
        </w:rPr>
        <w:t xml:space="preserve"> Pandemi</w:t>
      </w:r>
      <w:r w:rsidR="00611AD0" w:rsidRPr="000C4873">
        <w:rPr>
          <w:rFonts w:ascii="Athelas" w:hAnsi="Athelas"/>
          <w:b/>
          <w:bCs/>
          <w:sz w:val="52"/>
          <w:szCs w:val="40"/>
          <w:lang w:val="en-AU"/>
        </w:rPr>
        <w:t>c</w:t>
      </w:r>
    </w:p>
    <w:p w14:paraId="0344EB1B" w14:textId="77777777" w:rsidR="00A80E63" w:rsidRPr="000C4873" w:rsidRDefault="00A80E63" w:rsidP="00A41F9F">
      <w:pPr>
        <w:spacing w:after="0" w:line="276" w:lineRule="auto"/>
        <w:jc w:val="center"/>
        <w:rPr>
          <w:rFonts w:ascii="Athelas" w:hAnsi="Athelas"/>
          <w:sz w:val="32"/>
          <w:szCs w:val="24"/>
          <w:lang w:val="en-AU"/>
        </w:rPr>
      </w:pPr>
    </w:p>
    <w:p w14:paraId="7C53F240" w14:textId="3EF42F2A" w:rsidR="009B1910" w:rsidRDefault="009B1910" w:rsidP="004F10E1">
      <w:pPr>
        <w:spacing w:after="0" w:line="276" w:lineRule="auto"/>
        <w:rPr>
          <w:rStyle w:val="FootnoteReference"/>
          <w:rFonts w:ascii="Athelas" w:hAnsi="Athelas"/>
          <w:i/>
          <w:iCs/>
          <w:sz w:val="28"/>
          <w:szCs w:val="24"/>
          <w:lang w:val="en-AU"/>
        </w:rPr>
      </w:pPr>
      <w:r w:rsidRPr="000C4873">
        <w:rPr>
          <w:rFonts w:ascii="Athelas" w:hAnsi="Athelas"/>
          <w:i/>
          <w:iCs/>
          <w:sz w:val="28"/>
          <w:szCs w:val="24"/>
          <w:lang w:val="en-AU"/>
        </w:rPr>
        <w:t>Joe Tomlinson</w:t>
      </w:r>
      <w:r w:rsidR="00672D13" w:rsidRPr="000C4873">
        <w:rPr>
          <w:rFonts w:ascii="Athelas" w:hAnsi="Athelas"/>
          <w:i/>
          <w:iCs/>
          <w:sz w:val="28"/>
          <w:szCs w:val="24"/>
          <w:lang w:val="en-AU"/>
        </w:rPr>
        <w:t>,</w:t>
      </w:r>
      <w:r w:rsidR="00A64888" w:rsidRPr="000C4873">
        <w:rPr>
          <w:rStyle w:val="FootnoteReference"/>
          <w:rFonts w:ascii="Athelas" w:hAnsi="Athelas"/>
          <w:i/>
          <w:iCs/>
          <w:sz w:val="28"/>
          <w:szCs w:val="24"/>
          <w:lang w:val="en-AU"/>
        </w:rPr>
        <w:footnoteReference w:customMarkFollows="1" w:id="1"/>
        <w:sym w:font="Symbol" w:char="F02A"/>
      </w:r>
      <w:r w:rsidR="00672D13" w:rsidRPr="000C4873">
        <w:rPr>
          <w:rFonts w:ascii="Athelas" w:hAnsi="Athelas"/>
          <w:i/>
          <w:iCs/>
          <w:sz w:val="28"/>
          <w:szCs w:val="24"/>
          <w:lang w:val="en-AU"/>
        </w:rPr>
        <w:t xml:space="preserve"> </w:t>
      </w:r>
      <w:r w:rsidR="00D07C88" w:rsidRPr="000C4873">
        <w:rPr>
          <w:rFonts w:ascii="Athelas" w:hAnsi="Athelas"/>
          <w:i/>
          <w:iCs/>
          <w:sz w:val="28"/>
          <w:szCs w:val="24"/>
          <w:lang w:val="en-AU"/>
        </w:rPr>
        <w:t>Jo Hynes</w:t>
      </w:r>
      <w:r w:rsidR="00672D13" w:rsidRPr="000C4873">
        <w:rPr>
          <w:rFonts w:ascii="Athelas" w:hAnsi="Athelas"/>
          <w:i/>
          <w:iCs/>
          <w:sz w:val="28"/>
          <w:szCs w:val="24"/>
          <w:lang w:val="en-AU"/>
        </w:rPr>
        <w:t>,</w:t>
      </w:r>
      <w:r w:rsidR="00A107F0" w:rsidRPr="000C4873">
        <w:rPr>
          <w:rStyle w:val="FootnoteReference"/>
          <w:rFonts w:ascii="Athelas" w:hAnsi="Athelas"/>
          <w:i/>
          <w:iCs/>
          <w:sz w:val="28"/>
          <w:szCs w:val="24"/>
          <w:lang w:val="en-AU"/>
        </w:rPr>
        <w:footnoteReference w:customMarkFollows="1" w:id="2"/>
        <w:t>**</w:t>
      </w:r>
      <w:r w:rsidR="00672D13" w:rsidRPr="000C4873">
        <w:rPr>
          <w:rFonts w:ascii="Athelas" w:hAnsi="Athelas"/>
          <w:i/>
          <w:iCs/>
          <w:sz w:val="28"/>
          <w:szCs w:val="24"/>
          <w:lang w:val="en-AU"/>
        </w:rPr>
        <w:t xml:space="preserve"> </w:t>
      </w:r>
      <w:r w:rsidRPr="000C4873">
        <w:rPr>
          <w:rFonts w:ascii="Athelas" w:hAnsi="Athelas"/>
          <w:i/>
          <w:iCs/>
          <w:sz w:val="28"/>
          <w:szCs w:val="24"/>
          <w:lang w:val="en-AU"/>
        </w:rPr>
        <w:t>Emma Marshall</w:t>
      </w:r>
      <w:r w:rsidR="00672D13" w:rsidRPr="000C4873">
        <w:rPr>
          <w:rFonts w:ascii="Athelas" w:hAnsi="Athelas"/>
          <w:i/>
          <w:iCs/>
          <w:sz w:val="28"/>
          <w:szCs w:val="24"/>
          <w:lang w:val="en-AU"/>
        </w:rPr>
        <w:t>,</w:t>
      </w:r>
      <w:r w:rsidR="00A107F0" w:rsidRPr="000C4873">
        <w:rPr>
          <w:rStyle w:val="FootnoteReference"/>
          <w:rFonts w:ascii="Athelas" w:hAnsi="Athelas"/>
          <w:i/>
          <w:iCs/>
          <w:sz w:val="28"/>
          <w:szCs w:val="24"/>
          <w:lang w:val="en-AU"/>
        </w:rPr>
        <w:footnoteReference w:customMarkFollows="1" w:id="3"/>
        <w:t>***</w:t>
      </w:r>
      <w:r w:rsidR="00672D13" w:rsidRPr="000C4873">
        <w:rPr>
          <w:rFonts w:ascii="Athelas" w:hAnsi="Athelas"/>
          <w:i/>
          <w:iCs/>
          <w:sz w:val="28"/>
          <w:szCs w:val="24"/>
          <w:lang w:val="en-AU"/>
        </w:rPr>
        <w:t xml:space="preserve"> and </w:t>
      </w:r>
      <w:r w:rsidRPr="000C4873">
        <w:rPr>
          <w:rFonts w:ascii="Athelas" w:hAnsi="Athelas"/>
          <w:i/>
          <w:iCs/>
          <w:sz w:val="28"/>
          <w:szCs w:val="24"/>
          <w:lang w:val="en-AU"/>
        </w:rPr>
        <w:t>Jack Maxwell</w:t>
      </w:r>
      <w:r w:rsidR="00A107F0" w:rsidRPr="000C4873">
        <w:rPr>
          <w:rStyle w:val="FootnoteReference"/>
          <w:rFonts w:ascii="Athelas" w:hAnsi="Athelas"/>
          <w:i/>
          <w:iCs/>
          <w:sz w:val="28"/>
          <w:szCs w:val="24"/>
          <w:lang w:val="en-AU"/>
        </w:rPr>
        <w:footnoteReference w:customMarkFollows="1" w:id="4"/>
        <w:t>****</w:t>
      </w:r>
    </w:p>
    <w:p w14:paraId="38C2291D" w14:textId="2F1043FE" w:rsidR="001D649B" w:rsidRDefault="001D649B" w:rsidP="004F10E1">
      <w:pPr>
        <w:spacing w:after="0" w:line="276" w:lineRule="auto"/>
        <w:rPr>
          <w:rStyle w:val="FootnoteReference"/>
          <w:rFonts w:ascii="Athelas" w:hAnsi="Athelas"/>
          <w:i/>
          <w:iCs/>
          <w:sz w:val="28"/>
          <w:szCs w:val="24"/>
          <w:lang w:val="en-AU"/>
        </w:rPr>
      </w:pPr>
    </w:p>
    <w:p w14:paraId="1E0D229E" w14:textId="5B3F0F91" w:rsidR="001D649B" w:rsidRPr="002E7D52" w:rsidRDefault="001D649B" w:rsidP="004F10E1">
      <w:pPr>
        <w:spacing w:after="0" w:line="276" w:lineRule="auto"/>
        <w:rPr>
          <w:rStyle w:val="FootnoteReference"/>
          <w:rFonts w:ascii="Athelas" w:hAnsi="Athelas"/>
          <w:iCs/>
          <w:sz w:val="24"/>
          <w:szCs w:val="24"/>
          <w:vertAlign w:val="baseline"/>
          <w:lang w:val="en-AU"/>
        </w:rPr>
      </w:pPr>
      <w:r w:rsidRPr="002E7D52">
        <w:rPr>
          <w:rStyle w:val="FootnoteReference"/>
          <w:rFonts w:ascii="Athelas" w:hAnsi="Athelas"/>
          <w:iCs/>
          <w:sz w:val="24"/>
          <w:szCs w:val="24"/>
          <w:vertAlign w:val="baseline"/>
          <w:lang w:val="en-AU"/>
        </w:rPr>
        <w:t>Keywords: judicial review</w:t>
      </w:r>
      <w:r w:rsidR="002E7D52">
        <w:rPr>
          <w:rStyle w:val="FootnoteReference"/>
          <w:rFonts w:ascii="Athelas" w:hAnsi="Athelas"/>
          <w:iCs/>
          <w:sz w:val="24"/>
          <w:szCs w:val="24"/>
          <w:vertAlign w:val="baseline"/>
          <w:lang w:val="en-AU"/>
        </w:rPr>
        <w:t>;</w:t>
      </w:r>
      <w:r w:rsidRPr="002E7D52">
        <w:rPr>
          <w:rStyle w:val="FootnoteReference"/>
          <w:rFonts w:ascii="Athelas" w:hAnsi="Athelas"/>
          <w:iCs/>
          <w:sz w:val="24"/>
          <w:szCs w:val="24"/>
          <w:vertAlign w:val="baseline"/>
          <w:lang w:val="en-AU"/>
        </w:rPr>
        <w:t xml:space="preserve"> COVID-19</w:t>
      </w:r>
      <w:r w:rsidR="002E7D52">
        <w:rPr>
          <w:rStyle w:val="FootnoteReference"/>
          <w:rFonts w:ascii="Athelas" w:hAnsi="Athelas"/>
          <w:iCs/>
          <w:sz w:val="24"/>
          <w:szCs w:val="24"/>
          <w:vertAlign w:val="baseline"/>
          <w:lang w:val="en-AU"/>
        </w:rPr>
        <w:t>;</w:t>
      </w:r>
      <w:r w:rsidRPr="002E7D52">
        <w:rPr>
          <w:rStyle w:val="FootnoteReference"/>
          <w:rFonts w:ascii="Athelas" w:hAnsi="Athelas"/>
          <w:iCs/>
          <w:sz w:val="24"/>
          <w:szCs w:val="24"/>
          <w:vertAlign w:val="baseline"/>
          <w:lang w:val="en-AU"/>
        </w:rPr>
        <w:t xml:space="preserve"> remote</w:t>
      </w:r>
      <w:r w:rsidRPr="002E7D52">
        <w:rPr>
          <w:rFonts w:ascii="Athelas" w:hAnsi="Athelas"/>
          <w:iCs/>
          <w:sz w:val="24"/>
          <w:szCs w:val="24"/>
          <w:lang w:val="en-AU"/>
        </w:rPr>
        <w:t>; digital; access to justice</w:t>
      </w:r>
    </w:p>
    <w:p w14:paraId="53AEA359" w14:textId="77777777" w:rsidR="001D649B" w:rsidRDefault="001D649B" w:rsidP="00EE7B44">
      <w:pPr>
        <w:spacing w:after="0" w:line="276" w:lineRule="auto"/>
        <w:rPr>
          <w:rFonts w:ascii="Athelas" w:hAnsi="Athelas"/>
          <w:b/>
          <w:bCs/>
          <w:sz w:val="32"/>
          <w:szCs w:val="28"/>
          <w:lang w:val="en-AU"/>
        </w:rPr>
      </w:pPr>
    </w:p>
    <w:p w14:paraId="5604E4BB" w14:textId="63BFE485" w:rsidR="004F10E1" w:rsidRPr="000C4873" w:rsidRDefault="004F10E1" w:rsidP="00EE7B44">
      <w:pPr>
        <w:spacing w:after="0" w:line="276" w:lineRule="auto"/>
        <w:rPr>
          <w:rFonts w:ascii="Athelas" w:hAnsi="Athelas"/>
          <w:b/>
          <w:bCs/>
          <w:sz w:val="28"/>
          <w:szCs w:val="24"/>
          <w:lang w:val="en-AU"/>
        </w:rPr>
      </w:pPr>
      <w:r w:rsidRPr="000C4873">
        <w:rPr>
          <w:rFonts w:ascii="Athelas" w:hAnsi="Athelas"/>
          <w:b/>
          <w:bCs/>
          <w:sz w:val="32"/>
          <w:szCs w:val="28"/>
          <w:lang w:val="en-AU"/>
        </w:rPr>
        <w:t>Introduction</w:t>
      </w:r>
    </w:p>
    <w:p w14:paraId="42565926" w14:textId="77777777" w:rsidR="004F10E1" w:rsidRPr="000C4873" w:rsidRDefault="004F10E1" w:rsidP="00EE7B44">
      <w:pPr>
        <w:spacing w:after="0" w:line="276" w:lineRule="auto"/>
        <w:ind w:right="26"/>
        <w:jc w:val="both"/>
        <w:rPr>
          <w:rFonts w:ascii="Athelas" w:hAnsi="Athelas"/>
          <w:sz w:val="24"/>
          <w:szCs w:val="24"/>
          <w:lang w:val="en-AU"/>
        </w:rPr>
      </w:pPr>
    </w:p>
    <w:p w14:paraId="24F4A293" w14:textId="03BD55A7" w:rsidR="00D552B2" w:rsidRPr="000C4873" w:rsidRDefault="00611AD0" w:rsidP="008D123D">
      <w:pPr>
        <w:spacing w:after="0" w:line="276" w:lineRule="auto"/>
        <w:ind w:right="26"/>
        <w:jc w:val="both"/>
        <w:rPr>
          <w:rFonts w:ascii="Athelas" w:hAnsi="Athelas"/>
          <w:sz w:val="24"/>
          <w:szCs w:val="24"/>
          <w:lang w:val="en-AU"/>
        </w:rPr>
      </w:pPr>
      <w:r w:rsidRPr="000C4873">
        <w:rPr>
          <w:rFonts w:ascii="Athelas" w:hAnsi="Athelas"/>
          <w:sz w:val="24"/>
          <w:szCs w:val="24"/>
          <w:lang w:val="en-AU"/>
        </w:rPr>
        <w:t xml:space="preserve">As </w:t>
      </w:r>
      <w:r w:rsidR="00495E90" w:rsidRPr="000C4873">
        <w:rPr>
          <w:rFonts w:ascii="Athelas" w:hAnsi="Athelas"/>
          <w:sz w:val="24"/>
          <w:szCs w:val="24"/>
          <w:lang w:val="en-AU"/>
        </w:rPr>
        <w:t>the UK</w:t>
      </w:r>
      <w:r w:rsidRPr="000C4873">
        <w:rPr>
          <w:rFonts w:ascii="Athelas" w:hAnsi="Athelas"/>
          <w:sz w:val="24"/>
          <w:szCs w:val="24"/>
          <w:lang w:val="en-AU"/>
        </w:rPr>
        <w:t xml:space="preserve"> entered the 2020s</w:t>
      </w:r>
      <w:r w:rsidR="00672D13" w:rsidRPr="000C4873">
        <w:rPr>
          <w:rFonts w:ascii="Athelas" w:hAnsi="Athelas"/>
          <w:sz w:val="24"/>
          <w:szCs w:val="24"/>
          <w:lang w:val="en-AU"/>
        </w:rPr>
        <w:t xml:space="preserve">, </w:t>
      </w:r>
      <w:r w:rsidR="008F18BC">
        <w:rPr>
          <w:rFonts w:ascii="Athelas" w:hAnsi="Athelas"/>
          <w:sz w:val="24"/>
          <w:szCs w:val="24"/>
          <w:lang w:val="en-AU"/>
        </w:rPr>
        <w:t xml:space="preserve">the central policy </w:t>
      </w:r>
      <w:r w:rsidR="00060ED2">
        <w:rPr>
          <w:rFonts w:ascii="Athelas" w:hAnsi="Athelas"/>
          <w:sz w:val="24"/>
          <w:szCs w:val="24"/>
          <w:lang w:val="en-AU"/>
        </w:rPr>
        <w:t>question</w:t>
      </w:r>
      <w:r w:rsidR="008F18BC">
        <w:rPr>
          <w:rFonts w:ascii="Athelas" w:hAnsi="Athelas"/>
          <w:sz w:val="24"/>
          <w:szCs w:val="24"/>
          <w:lang w:val="en-AU"/>
        </w:rPr>
        <w:t xml:space="preserve"> ab</w:t>
      </w:r>
      <w:r w:rsidR="00526820" w:rsidRPr="000C4873">
        <w:rPr>
          <w:rFonts w:ascii="Athelas" w:hAnsi="Athelas"/>
          <w:sz w:val="24"/>
          <w:szCs w:val="24"/>
          <w:lang w:val="en-AU"/>
        </w:rPr>
        <w:t xml:space="preserve">out judicial review was </w:t>
      </w:r>
      <w:r w:rsidR="004F10E1" w:rsidRPr="000C4873">
        <w:rPr>
          <w:rFonts w:ascii="Athelas" w:hAnsi="Athelas"/>
          <w:sz w:val="24"/>
          <w:szCs w:val="24"/>
          <w:lang w:val="en-AU"/>
        </w:rPr>
        <w:t>whether the courts ha</w:t>
      </w:r>
      <w:r w:rsidR="00495E90" w:rsidRPr="000C4873">
        <w:rPr>
          <w:rFonts w:ascii="Athelas" w:hAnsi="Athelas"/>
          <w:sz w:val="24"/>
          <w:szCs w:val="24"/>
          <w:lang w:val="en-AU"/>
        </w:rPr>
        <w:t>d</w:t>
      </w:r>
      <w:r w:rsidR="004F10E1" w:rsidRPr="000C4873">
        <w:rPr>
          <w:rFonts w:ascii="Athelas" w:hAnsi="Athelas"/>
          <w:sz w:val="24"/>
          <w:szCs w:val="24"/>
          <w:lang w:val="en-AU"/>
        </w:rPr>
        <w:t xml:space="preserve"> </w:t>
      </w:r>
      <w:r w:rsidR="00446439">
        <w:rPr>
          <w:rFonts w:ascii="Athelas" w:hAnsi="Athelas"/>
          <w:sz w:val="24"/>
          <w:szCs w:val="24"/>
          <w:lang w:val="en-AU"/>
        </w:rPr>
        <w:t>overreached</w:t>
      </w:r>
      <w:r w:rsidR="00D552B2" w:rsidRPr="000C4873">
        <w:rPr>
          <w:rFonts w:ascii="Athelas" w:hAnsi="Athelas"/>
          <w:sz w:val="24"/>
          <w:szCs w:val="24"/>
          <w:lang w:val="en-AU"/>
        </w:rPr>
        <w:t xml:space="preserve"> </w:t>
      </w:r>
      <w:r w:rsidR="004F10E1" w:rsidRPr="000C4873">
        <w:rPr>
          <w:rFonts w:ascii="Athelas" w:hAnsi="Athelas"/>
          <w:sz w:val="24"/>
          <w:szCs w:val="24"/>
          <w:lang w:val="en-AU"/>
        </w:rPr>
        <w:t>their proper constitutional role.</w:t>
      </w:r>
      <w:r w:rsidR="00D552B2" w:rsidRPr="000C4873">
        <w:rPr>
          <w:rFonts w:ascii="Athelas" w:hAnsi="Athelas"/>
          <w:sz w:val="24"/>
          <w:szCs w:val="24"/>
          <w:lang w:val="en-AU"/>
        </w:rPr>
        <w:t xml:space="preserve"> </w:t>
      </w:r>
      <w:r w:rsidR="00495E90" w:rsidRPr="000C4873">
        <w:rPr>
          <w:rFonts w:ascii="Athelas" w:hAnsi="Athelas"/>
          <w:sz w:val="24"/>
          <w:szCs w:val="24"/>
          <w:lang w:val="en-AU"/>
        </w:rPr>
        <w:t xml:space="preserve">This long-standing debate had </w:t>
      </w:r>
      <w:r w:rsidR="00526820" w:rsidRPr="000C4873">
        <w:rPr>
          <w:rFonts w:ascii="Athelas" w:hAnsi="Athelas"/>
          <w:sz w:val="24"/>
          <w:szCs w:val="24"/>
          <w:lang w:val="en-AU"/>
        </w:rPr>
        <w:t xml:space="preserve">intensified </w:t>
      </w:r>
      <w:r w:rsidR="00877D4A" w:rsidRPr="000C4873">
        <w:rPr>
          <w:rFonts w:ascii="Athelas" w:hAnsi="Athelas"/>
          <w:sz w:val="24"/>
          <w:szCs w:val="24"/>
          <w:lang w:val="en-AU"/>
        </w:rPr>
        <w:t xml:space="preserve">following the Brexit referendum, years of constitutional hardball, and the newly elected Conservative Government’s promise </w:t>
      </w:r>
      <w:r w:rsidR="00D552B2" w:rsidRPr="000C4873">
        <w:rPr>
          <w:rFonts w:ascii="Athelas" w:hAnsi="Athelas"/>
          <w:sz w:val="24"/>
          <w:szCs w:val="24"/>
          <w:lang w:val="en-AU"/>
        </w:rPr>
        <w:t xml:space="preserve">to </w:t>
      </w:r>
      <w:r w:rsidR="00D158BD" w:rsidRPr="000C4873">
        <w:rPr>
          <w:rFonts w:ascii="Athelas" w:hAnsi="Athelas"/>
          <w:sz w:val="24"/>
          <w:szCs w:val="24"/>
          <w:lang w:val="en-AU"/>
        </w:rPr>
        <w:t xml:space="preserve">ensure that judicial review </w:t>
      </w:r>
      <w:r w:rsidR="00877D4A" w:rsidRPr="000C4873">
        <w:rPr>
          <w:rFonts w:ascii="Athelas" w:hAnsi="Athelas"/>
          <w:sz w:val="24"/>
          <w:szCs w:val="24"/>
          <w:lang w:val="en-AU"/>
        </w:rPr>
        <w:t>was ‘</w:t>
      </w:r>
      <w:r w:rsidR="00D158BD" w:rsidRPr="000C4873">
        <w:rPr>
          <w:rFonts w:ascii="Athelas" w:hAnsi="Athelas"/>
          <w:sz w:val="24"/>
          <w:szCs w:val="24"/>
          <w:lang w:val="en-AU"/>
        </w:rPr>
        <w:t>not abused to conduct politics by another means or to create needless delays’.</w:t>
      </w:r>
      <w:r w:rsidR="00D158BD" w:rsidRPr="000C4873">
        <w:rPr>
          <w:rStyle w:val="FootnoteReference"/>
          <w:rFonts w:ascii="Athelas" w:hAnsi="Athelas"/>
          <w:sz w:val="24"/>
          <w:szCs w:val="24"/>
          <w:lang w:val="en-AU"/>
        </w:rPr>
        <w:footnoteReference w:id="5"/>
      </w:r>
      <w:r w:rsidR="00D158BD" w:rsidRPr="000C4873">
        <w:rPr>
          <w:rFonts w:ascii="Athelas" w:hAnsi="Athelas"/>
          <w:sz w:val="24"/>
          <w:szCs w:val="24"/>
          <w:lang w:val="en-AU"/>
        </w:rPr>
        <w:t xml:space="preserve"> </w:t>
      </w:r>
      <w:r w:rsidR="00495E90" w:rsidRPr="000C4873">
        <w:rPr>
          <w:rFonts w:ascii="Athelas" w:hAnsi="Athelas"/>
          <w:sz w:val="24"/>
          <w:szCs w:val="24"/>
          <w:lang w:val="en-AU"/>
        </w:rPr>
        <w:t xml:space="preserve">The future </w:t>
      </w:r>
      <w:r w:rsidR="00877D4A" w:rsidRPr="000C4873">
        <w:rPr>
          <w:rFonts w:ascii="Athelas" w:hAnsi="Athelas"/>
          <w:sz w:val="24"/>
          <w:szCs w:val="24"/>
          <w:lang w:val="en-AU"/>
        </w:rPr>
        <w:t>of</w:t>
      </w:r>
      <w:r w:rsidR="00495E90" w:rsidRPr="000C4873">
        <w:rPr>
          <w:rFonts w:ascii="Athelas" w:hAnsi="Athelas"/>
          <w:sz w:val="24"/>
          <w:szCs w:val="24"/>
          <w:lang w:val="en-AU"/>
        </w:rPr>
        <w:t xml:space="preserve"> </w:t>
      </w:r>
      <w:r w:rsidR="00D552B2" w:rsidRPr="000C4873">
        <w:rPr>
          <w:rFonts w:ascii="Athelas" w:hAnsi="Athelas"/>
          <w:sz w:val="24"/>
          <w:szCs w:val="24"/>
          <w:lang w:val="en-AU"/>
        </w:rPr>
        <w:t>judicial review</w:t>
      </w:r>
      <w:r w:rsidR="00495E90" w:rsidRPr="000C4873">
        <w:rPr>
          <w:rFonts w:ascii="Athelas" w:hAnsi="Athelas"/>
          <w:sz w:val="24"/>
          <w:szCs w:val="24"/>
          <w:lang w:val="en-AU"/>
        </w:rPr>
        <w:t xml:space="preserve"> in</w:t>
      </w:r>
      <w:r w:rsidR="00D552B2" w:rsidRPr="000C4873">
        <w:rPr>
          <w:rFonts w:ascii="Athelas" w:hAnsi="Athelas"/>
          <w:sz w:val="24"/>
          <w:szCs w:val="24"/>
          <w:lang w:val="en-AU"/>
        </w:rPr>
        <w:t xml:space="preserve"> </w:t>
      </w:r>
      <w:r w:rsidR="001736A3" w:rsidRPr="000C4873">
        <w:rPr>
          <w:rFonts w:ascii="Athelas" w:hAnsi="Athelas"/>
          <w:sz w:val="24"/>
          <w:szCs w:val="24"/>
          <w:lang w:val="en-AU"/>
        </w:rPr>
        <w:t xml:space="preserve">the new decade </w:t>
      </w:r>
      <w:r w:rsidR="00495E90" w:rsidRPr="000C4873">
        <w:rPr>
          <w:rFonts w:ascii="Athelas" w:hAnsi="Athelas"/>
          <w:sz w:val="24"/>
          <w:szCs w:val="24"/>
          <w:lang w:val="en-AU"/>
        </w:rPr>
        <w:t>was</w:t>
      </w:r>
      <w:r w:rsidRPr="000C4873">
        <w:rPr>
          <w:rFonts w:ascii="Athelas" w:hAnsi="Athelas"/>
          <w:sz w:val="24"/>
          <w:szCs w:val="24"/>
          <w:lang w:val="en-AU"/>
        </w:rPr>
        <w:t xml:space="preserve"> deeply </w:t>
      </w:r>
      <w:r w:rsidR="00495E90" w:rsidRPr="000C4873">
        <w:rPr>
          <w:rFonts w:ascii="Athelas" w:hAnsi="Athelas"/>
          <w:sz w:val="24"/>
          <w:szCs w:val="24"/>
          <w:lang w:val="en-AU"/>
        </w:rPr>
        <w:t>uncertain</w:t>
      </w:r>
      <w:r w:rsidR="001736A3" w:rsidRPr="000C4873">
        <w:rPr>
          <w:rFonts w:ascii="Athelas" w:hAnsi="Athelas"/>
          <w:sz w:val="24"/>
          <w:szCs w:val="24"/>
          <w:lang w:val="en-AU"/>
        </w:rPr>
        <w:t>.</w:t>
      </w:r>
    </w:p>
    <w:p w14:paraId="3CDC33F4" w14:textId="799FECE9" w:rsidR="001736A3" w:rsidRPr="000C4873" w:rsidRDefault="001736A3" w:rsidP="008D123D">
      <w:pPr>
        <w:spacing w:after="0" w:line="276" w:lineRule="auto"/>
        <w:ind w:right="26"/>
        <w:jc w:val="both"/>
        <w:rPr>
          <w:rFonts w:ascii="Athelas" w:hAnsi="Athelas"/>
          <w:sz w:val="24"/>
          <w:szCs w:val="24"/>
          <w:lang w:val="en-AU"/>
        </w:rPr>
      </w:pPr>
    </w:p>
    <w:p w14:paraId="3D4A7669" w14:textId="1E825BF3" w:rsidR="00EE7B44" w:rsidRPr="000C4873" w:rsidRDefault="00611AD0" w:rsidP="008D123D">
      <w:pPr>
        <w:spacing w:after="0" w:line="276" w:lineRule="auto"/>
        <w:ind w:right="26"/>
        <w:jc w:val="both"/>
        <w:rPr>
          <w:rFonts w:ascii="Athelas" w:hAnsi="Athelas"/>
          <w:sz w:val="24"/>
          <w:szCs w:val="24"/>
          <w:lang w:val="en-AU"/>
        </w:rPr>
      </w:pPr>
      <w:r w:rsidRPr="000C4873">
        <w:rPr>
          <w:rFonts w:ascii="Athelas" w:hAnsi="Athelas"/>
          <w:sz w:val="24"/>
          <w:szCs w:val="24"/>
          <w:lang w:val="en-AU"/>
        </w:rPr>
        <w:tab/>
      </w:r>
      <w:r w:rsidR="009D7CF2">
        <w:rPr>
          <w:rFonts w:ascii="Athelas" w:hAnsi="Athelas"/>
          <w:sz w:val="24"/>
          <w:szCs w:val="24"/>
          <w:lang w:val="en-AU"/>
        </w:rPr>
        <w:t xml:space="preserve">Within months, however, the COVID-19 pandemic had reached the UK, triggering </w:t>
      </w:r>
      <w:r w:rsidR="009D7CF2" w:rsidRPr="000C4873">
        <w:rPr>
          <w:rFonts w:ascii="Athelas" w:hAnsi="Athelas"/>
          <w:sz w:val="24"/>
          <w:szCs w:val="24"/>
          <w:lang w:val="en-AU"/>
        </w:rPr>
        <w:t xml:space="preserve">an effective economic shutdown and drastic </w:t>
      </w:r>
      <w:r w:rsidR="00CC5ED0">
        <w:rPr>
          <w:rFonts w:ascii="Athelas" w:hAnsi="Athelas"/>
          <w:sz w:val="24"/>
          <w:szCs w:val="24"/>
          <w:lang w:val="en-AU"/>
        </w:rPr>
        <w:t xml:space="preserve">governmental </w:t>
      </w:r>
      <w:r w:rsidR="00E50CB9">
        <w:rPr>
          <w:rFonts w:ascii="Athelas" w:hAnsi="Athelas"/>
          <w:sz w:val="24"/>
          <w:szCs w:val="24"/>
          <w:lang w:val="en-AU"/>
        </w:rPr>
        <w:t>controls on</w:t>
      </w:r>
      <w:r w:rsidR="009D7CF2" w:rsidRPr="000C4873">
        <w:rPr>
          <w:rFonts w:ascii="Athelas" w:hAnsi="Athelas"/>
          <w:sz w:val="24"/>
          <w:szCs w:val="24"/>
          <w:lang w:val="en-AU"/>
        </w:rPr>
        <w:t xml:space="preserve"> </w:t>
      </w:r>
      <w:r w:rsidR="009D7CF2">
        <w:rPr>
          <w:rFonts w:ascii="Athelas" w:hAnsi="Athelas"/>
          <w:sz w:val="24"/>
          <w:szCs w:val="24"/>
          <w:lang w:val="en-AU"/>
        </w:rPr>
        <w:t>people’s daily liv</w:t>
      </w:r>
      <w:r w:rsidR="00E50CB9">
        <w:rPr>
          <w:rFonts w:ascii="Athelas" w:hAnsi="Athelas"/>
          <w:sz w:val="24"/>
          <w:szCs w:val="24"/>
          <w:lang w:val="en-AU"/>
        </w:rPr>
        <w:t>es</w:t>
      </w:r>
      <w:r w:rsidR="009D7CF2" w:rsidRPr="000C4873">
        <w:rPr>
          <w:rFonts w:ascii="Athelas" w:hAnsi="Athelas"/>
          <w:sz w:val="24"/>
          <w:szCs w:val="24"/>
          <w:lang w:val="en-AU"/>
        </w:rPr>
        <w:t>.</w:t>
      </w:r>
      <w:r w:rsidR="003F48AD" w:rsidRPr="000C4873">
        <w:rPr>
          <w:rFonts w:ascii="Athelas" w:hAnsi="Athelas"/>
          <w:sz w:val="24"/>
          <w:szCs w:val="24"/>
          <w:lang w:val="en-AU"/>
        </w:rPr>
        <w:t xml:space="preserve"> </w:t>
      </w:r>
      <w:r w:rsidR="008D123D" w:rsidRPr="000C4873">
        <w:rPr>
          <w:rFonts w:ascii="Athelas" w:hAnsi="Athelas"/>
          <w:sz w:val="24"/>
          <w:szCs w:val="24"/>
          <w:lang w:val="en-AU"/>
        </w:rPr>
        <w:t xml:space="preserve">The </w:t>
      </w:r>
      <w:r w:rsidR="00582718" w:rsidRPr="000C4873">
        <w:rPr>
          <w:rFonts w:ascii="Athelas" w:hAnsi="Athelas"/>
          <w:sz w:val="24"/>
          <w:szCs w:val="24"/>
          <w:lang w:val="en-AU"/>
        </w:rPr>
        <w:t xml:space="preserve">pressing policy question about judicial review </w:t>
      </w:r>
      <w:r w:rsidR="00F62BB0">
        <w:rPr>
          <w:rFonts w:ascii="Athelas" w:hAnsi="Athelas"/>
          <w:sz w:val="24"/>
          <w:szCs w:val="24"/>
          <w:lang w:val="en-AU"/>
        </w:rPr>
        <w:t>became</w:t>
      </w:r>
      <w:r w:rsidR="00582718" w:rsidRPr="000C4873">
        <w:rPr>
          <w:rFonts w:ascii="Athelas" w:hAnsi="Athelas"/>
          <w:sz w:val="24"/>
          <w:szCs w:val="24"/>
          <w:lang w:val="en-AU"/>
        </w:rPr>
        <w:t xml:space="preserve"> </w:t>
      </w:r>
      <w:r w:rsidR="00F62BB0">
        <w:rPr>
          <w:rFonts w:ascii="Athelas" w:hAnsi="Athelas"/>
          <w:sz w:val="24"/>
          <w:szCs w:val="24"/>
          <w:lang w:val="en-AU"/>
        </w:rPr>
        <w:t>how</w:t>
      </w:r>
      <w:r w:rsidR="00582718" w:rsidRPr="000C4873">
        <w:rPr>
          <w:rFonts w:ascii="Athelas" w:hAnsi="Athelas"/>
          <w:sz w:val="24"/>
          <w:szCs w:val="24"/>
          <w:lang w:val="en-AU"/>
        </w:rPr>
        <w:t xml:space="preserve"> it could continue</w:t>
      </w:r>
      <w:r w:rsidR="008D123D" w:rsidRPr="000C4873">
        <w:rPr>
          <w:rFonts w:ascii="Athelas" w:hAnsi="Athelas"/>
          <w:sz w:val="24"/>
          <w:szCs w:val="24"/>
          <w:lang w:val="en-AU"/>
        </w:rPr>
        <w:t xml:space="preserve"> </w:t>
      </w:r>
      <w:r w:rsidR="009D7CF2">
        <w:rPr>
          <w:rFonts w:ascii="Athelas" w:hAnsi="Athelas"/>
          <w:sz w:val="24"/>
          <w:szCs w:val="24"/>
          <w:lang w:val="en-AU"/>
        </w:rPr>
        <w:t>during</w:t>
      </w:r>
      <w:r w:rsidR="008D123D" w:rsidRPr="000C4873">
        <w:rPr>
          <w:rFonts w:ascii="Athelas" w:hAnsi="Athelas"/>
          <w:sz w:val="24"/>
          <w:szCs w:val="24"/>
          <w:lang w:val="en-AU"/>
        </w:rPr>
        <w:t xml:space="preserve"> a period of social distancing.</w:t>
      </w:r>
      <w:r w:rsidR="009D7CF2">
        <w:rPr>
          <w:rFonts w:ascii="Athelas" w:hAnsi="Athelas"/>
          <w:sz w:val="24"/>
          <w:szCs w:val="24"/>
          <w:lang w:val="en-AU"/>
        </w:rPr>
        <w:t xml:space="preserve"> </w:t>
      </w:r>
      <w:r w:rsidR="006966B7">
        <w:rPr>
          <w:rFonts w:ascii="Athelas" w:hAnsi="Athelas"/>
          <w:sz w:val="24"/>
          <w:szCs w:val="24"/>
          <w:lang w:val="en-AU"/>
        </w:rPr>
        <w:t xml:space="preserve">At this point, </w:t>
      </w:r>
      <w:r w:rsidR="00E50CB9" w:rsidRPr="000C4873">
        <w:rPr>
          <w:rFonts w:ascii="Athelas" w:hAnsi="Athelas"/>
          <w:sz w:val="24"/>
          <w:szCs w:val="24"/>
          <w:lang w:val="en-AU"/>
        </w:rPr>
        <w:t>HM Courts and Tribunals Service (HMCTS)</w:t>
      </w:r>
      <w:r w:rsidR="00E50CB9" w:rsidRPr="00E50CB9">
        <w:rPr>
          <w:rFonts w:ascii="Athelas" w:hAnsi="Athelas"/>
          <w:sz w:val="24"/>
          <w:szCs w:val="24"/>
          <w:lang w:val="en-AU"/>
        </w:rPr>
        <w:t xml:space="preserve"> </w:t>
      </w:r>
      <w:r w:rsidR="00E50CB9" w:rsidRPr="000C4873">
        <w:rPr>
          <w:rFonts w:ascii="Athelas" w:hAnsi="Athelas"/>
          <w:sz w:val="24"/>
          <w:szCs w:val="24"/>
          <w:lang w:val="en-AU"/>
        </w:rPr>
        <w:t xml:space="preserve">was already in the middle of an extensive, expensive, and controversial digital </w:t>
      </w:r>
      <w:r w:rsidR="00E50CB9">
        <w:rPr>
          <w:rFonts w:ascii="Athelas" w:hAnsi="Athelas"/>
          <w:sz w:val="24"/>
          <w:szCs w:val="24"/>
          <w:lang w:val="en-AU"/>
        </w:rPr>
        <w:t>transformation project.</w:t>
      </w:r>
      <w:r w:rsidR="00E50CB9" w:rsidRPr="000C4873">
        <w:rPr>
          <w:rStyle w:val="FootnoteReference"/>
          <w:rFonts w:ascii="Athelas" w:hAnsi="Athelas"/>
          <w:sz w:val="24"/>
          <w:szCs w:val="24"/>
          <w:lang w:val="en-AU"/>
        </w:rPr>
        <w:footnoteReference w:id="6"/>
      </w:r>
      <w:r w:rsidR="00E50CB9">
        <w:rPr>
          <w:rFonts w:ascii="Athelas" w:hAnsi="Athelas"/>
          <w:sz w:val="24"/>
          <w:szCs w:val="24"/>
          <w:lang w:val="en-AU"/>
        </w:rPr>
        <w:t xml:space="preserve"> B</w:t>
      </w:r>
      <w:r w:rsidR="00E50CB9" w:rsidRPr="000C4873">
        <w:rPr>
          <w:rFonts w:ascii="Athelas" w:hAnsi="Athelas"/>
          <w:sz w:val="24"/>
          <w:szCs w:val="24"/>
          <w:lang w:val="en-AU"/>
        </w:rPr>
        <w:t xml:space="preserve">ut the arrival of COVID-19 </w:t>
      </w:r>
      <w:r w:rsidR="00E50CB9">
        <w:rPr>
          <w:rFonts w:ascii="Athelas" w:hAnsi="Athelas"/>
          <w:sz w:val="24"/>
          <w:szCs w:val="24"/>
          <w:lang w:val="en-AU"/>
        </w:rPr>
        <w:t>caused</w:t>
      </w:r>
      <w:r w:rsidR="00E50CB9" w:rsidRPr="000C4873">
        <w:rPr>
          <w:rFonts w:ascii="Athelas" w:hAnsi="Athelas"/>
          <w:sz w:val="24"/>
          <w:szCs w:val="24"/>
          <w:lang w:val="en-AU"/>
        </w:rPr>
        <w:t xml:space="preserve"> a dramatic shift from </w:t>
      </w:r>
      <w:r w:rsidR="00E50CB9">
        <w:rPr>
          <w:rFonts w:ascii="Athelas" w:hAnsi="Athelas"/>
          <w:sz w:val="24"/>
          <w:szCs w:val="24"/>
          <w:lang w:val="en-AU"/>
        </w:rPr>
        <w:t>physical courtrooms</w:t>
      </w:r>
      <w:r w:rsidR="00E50CB9" w:rsidRPr="000C4873">
        <w:rPr>
          <w:rFonts w:ascii="Athelas" w:hAnsi="Athelas"/>
          <w:sz w:val="24"/>
          <w:szCs w:val="24"/>
          <w:lang w:val="en-AU"/>
        </w:rPr>
        <w:t xml:space="preserve"> to remote hearings in a</w:t>
      </w:r>
      <w:r w:rsidR="00E50CB9">
        <w:rPr>
          <w:rFonts w:ascii="Athelas" w:hAnsi="Athelas"/>
          <w:sz w:val="24"/>
          <w:szCs w:val="24"/>
          <w:lang w:val="en-AU"/>
        </w:rPr>
        <w:t xml:space="preserve"> matter of days</w:t>
      </w:r>
      <w:r w:rsidR="006966B7">
        <w:rPr>
          <w:rFonts w:ascii="Athelas" w:hAnsi="Athelas"/>
          <w:sz w:val="24"/>
          <w:szCs w:val="24"/>
          <w:lang w:val="en-AU"/>
        </w:rPr>
        <w:t>, leading to</w:t>
      </w:r>
      <w:r w:rsidR="00E50CB9">
        <w:rPr>
          <w:rFonts w:ascii="Athelas" w:hAnsi="Athelas"/>
          <w:sz w:val="24"/>
          <w:szCs w:val="24"/>
          <w:lang w:val="en-AU"/>
        </w:rPr>
        <w:t xml:space="preserve"> </w:t>
      </w:r>
      <w:r w:rsidR="00E50CB9" w:rsidRPr="000C4873">
        <w:rPr>
          <w:rFonts w:ascii="Athelas" w:hAnsi="Athelas"/>
          <w:sz w:val="24"/>
          <w:szCs w:val="24"/>
          <w:lang w:val="en-AU"/>
        </w:rPr>
        <w:t>a</w:t>
      </w:r>
      <w:r w:rsidR="006966B7">
        <w:rPr>
          <w:rFonts w:ascii="Athelas" w:hAnsi="Athelas"/>
          <w:sz w:val="24"/>
          <w:szCs w:val="24"/>
          <w:lang w:val="en-AU"/>
        </w:rPr>
        <w:t xml:space="preserve">n unplanned </w:t>
      </w:r>
      <w:r w:rsidR="00E50CB9" w:rsidRPr="000C4873">
        <w:rPr>
          <w:rFonts w:ascii="Athelas" w:hAnsi="Athelas"/>
          <w:sz w:val="24"/>
          <w:szCs w:val="24"/>
          <w:lang w:val="en-AU"/>
        </w:rPr>
        <w:t>ex</w:t>
      </w:r>
      <w:r w:rsidR="00E50CB9">
        <w:rPr>
          <w:rFonts w:ascii="Athelas" w:hAnsi="Athelas"/>
          <w:sz w:val="24"/>
          <w:szCs w:val="24"/>
          <w:lang w:val="en-AU"/>
        </w:rPr>
        <w:t>periment in digital justice.</w:t>
      </w:r>
    </w:p>
    <w:p w14:paraId="63C6CB83" w14:textId="5C7A563A" w:rsidR="008D123D" w:rsidRPr="000C4873" w:rsidRDefault="008D123D" w:rsidP="008D123D">
      <w:pPr>
        <w:spacing w:after="0" w:line="276" w:lineRule="auto"/>
        <w:ind w:right="26" w:firstLine="720"/>
        <w:jc w:val="both"/>
        <w:rPr>
          <w:rFonts w:ascii="Athelas" w:hAnsi="Athelas"/>
          <w:sz w:val="24"/>
          <w:szCs w:val="24"/>
          <w:lang w:val="en-AU"/>
        </w:rPr>
      </w:pPr>
    </w:p>
    <w:p w14:paraId="5DDD61CF" w14:textId="35741401" w:rsidR="008D123D" w:rsidRPr="000C4873" w:rsidRDefault="00060ED2" w:rsidP="007A5E2E">
      <w:pPr>
        <w:spacing w:after="0" w:line="276" w:lineRule="auto"/>
        <w:ind w:right="26" w:firstLine="720"/>
        <w:jc w:val="both"/>
        <w:rPr>
          <w:rFonts w:ascii="Athelas" w:hAnsi="Athelas"/>
          <w:sz w:val="24"/>
          <w:szCs w:val="24"/>
          <w:lang w:val="en-AU"/>
        </w:rPr>
      </w:pPr>
      <w:r>
        <w:rPr>
          <w:rFonts w:ascii="Athelas" w:hAnsi="Athelas"/>
          <w:sz w:val="24"/>
          <w:szCs w:val="24"/>
          <w:lang w:val="en-AU"/>
        </w:rPr>
        <w:t xml:space="preserve">This article presents </w:t>
      </w:r>
      <w:r w:rsidR="00500125" w:rsidRPr="000C4873">
        <w:rPr>
          <w:rFonts w:ascii="Athelas" w:hAnsi="Athelas"/>
          <w:sz w:val="24"/>
          <w:szCs w:val="24"/>
          <w:lang w:val="en-AU"/>
        </w:rPr>
        <w:t>our</w:t>
      </w:r>
      <w:r w:rsidR="008D123D" w:rsidRPr="000C4873">
        <w:rPr>
          <w:rFonts w:ascii="Athelas" w:hAnsi="Athelas"/>
          <w:sz w:val="24"/>
          <w:szCs w:val="24"/>
          <w:lang w:val="en-AU"/>
        </w:rPr>
        <w:t xml:space="preserve"> empirical </w:t>
      </w:r>
      <w:r w:rsidR="00500125" w:rsidRPr="000C4873">
        <w:rPr>
          <w:rFonts w:ascii="Athelas" w:hAnsi="Athelas"/>
          <w:sz w:val="24"/>
          <w:szCs w:val="24"/>
          <w:lang w:val="en-AU"/>
        </w:rPr>
        <w:t>research</w:t>
      </w:r>
      <w:r w:rsidR="008D123D" w:rsidRPr="000C4873">
        <w:rPr>
          <w:rFonts w:ascii="Athelas" w:hAnsi="Athelas"/>
          <w:sz w:val="24"/>
          <w:szCs w:val="24"/>
          <w:lang w:val="en-AU"/>
        </w:rPr>
        <w:t xml:space="preserve"> </w:t>
      </w:r>
      <w:r w:rsidR="00E9239F" w:rsidRPr="000C4873">
        <w:rPr>
          <w:rFonts w:ascii="Athelas" w:hAnsi="Athelas"/>
          <w:sz w:val="24"/>
          <w:szCs w:val="24"/>
          <w:lang w:val="en-AU"/>
        </w:rPr>
        <w:t>on</w:t>
      </w:r>
      <w:r w:rsidR="008D123D" w:rsidRPr="000C4873">
        <w:rPr>
          <w:rFonts w:ascii="Athelas" w:hAnsi="Athelas"/>
          <w:sz w:val="24"/>
          <w:szCs w:val="24"/>
          <w:lang w:val="en-AU"/>
        </w:rPr>
        <w:t xml:space="preserve"> remote judicial review</w:t>
      </w:r>
      <w:r>
        <w:rPr>
          <w:rFonts w:ascii="Athelas" w:hAnsi="Athelas"/>
          <w:sz w:val="24"/>
          <w:szCs w:val="24"/>
          <w:lang w:val="en-AU"/>
        </w:rPr>
        <w:t xml:space="preserve"> </w:t>
      </w:r>
      <w:r w:rsidR="008D123D" w:rsidRPr="000C4873">
        <w:rPr>
          <w:rFonts w:ascii="Athelas" w:hAnsi="Athelas"/>
          <w:sz w:val="24"/>
          <w:szCs w:val="24"/>
          <w:lang w:val="en-AU"/>
        </w:rPr>
        <w:t xml:space="preserve">during the early </w:t>
      </w:r>
      <w:r>
        <w:rPr>
          <w:rFonts w:ascii="Athelas" w:hAnsi="Athelas"/>
          <w:sz w:val="24"/>
          <w:szCs w:val="24"/>
          <w:lang w:val="en-AU"/>
        </w:rPr>
        <w:t>stages of the COVID-19 pandemic</w:t>
      </w:r>
      <w:r w:rsidR="008D123D" w:rsidRPr="000C4873">
        <w:rPr>
          <w:rFonts w:ascii="Athelas" w:hAnsi="Athelas"/>
          <w:sz w:val="24"/>
          <w:szCs w:val="24"/>
          <w:lang w:val="en-AU"/>
        </w:rPr>
        <w:t>.</w:t>
      </w:r>
      <w:r w:rsidR="00E50CB9">
        <w:rPr>
          <w:rFonts w:ascii="Athelas" w:hAnsi="Athelas"/>
          <w:sz w:val="24"/>
          <w:szCs w:val="24"/>
          <w:lang w:val="en-AU"/>
        </w:rPr>
        <w:t xml:space="preserve"> </w:t>
      </w:r>
      <w:r w:rsidR="00E50CB9" w:rsidRPr="000C4873">
        <w:rPr>
          <w:rFonts w:ascii="Athelas" w:hAnsi="Athelas"/>
          <w:sz w:val="24"/>
          <w:szCs w:val="24"/>
          <w:lang w:val="en-AU"/>
        </w:rPr>
        <w:t xml:space="preserve">Our specific focus is how the Administrative Court </w:t>
      </w:r>
      <w:r w:rsidR="00E50CB9" w:rsidRPr="000C4873">
        <w:rPr>
          <w:rFonts w:ascii="Athelas" w:hAnsi="Athelas"/>
          <w:sz w:val="24"/>
          <w:szCs w:val="24"/>
          <w:lang w:val="en-AU"/>
        </w:rPr>
        <w:lastRenderedPageBreak/>
        <w:t>operated under COVID-19 measures.</w:t>
      </w:r>
      <w:r w:rsidR="00E50CB9" w:rsidRPr="000C4873">
        <w:rPr>
          <w:rStyle w:val="FootnoteReference"/>
          <w:rFonts w:ascii="Athelas" w:hAnsi="Athelas"/>
          <w:sz w:val="24"/>
          <w:szCs w:val="24"/>
          <w:lang w:val="en-AU"/>
        </w:rPr>
        <w:footnoteReference w:id="7"/>
      </w:r>
      <w:r w:rsidR="00E50CB9" w:rsidRPr="000C4873">
        <w:rPr>
          <w:rFonts w:ascii="Athelas" w:hAnsi="Athelas"/>
          <w:sz w:val="24"/>
          <w:szCs w:val="24"/>
          <w:lang w:val="en-AU"/>
        </w:rPr>
        <w:t xml:space="preserve"> </w:t>
      </w:r>
      <w:r w:rsidR="008D123D" w:rsidRPr="000C4873">
        <w:rPr>
          <w:rFonts w:ascii="Athelas" w:hAnsi="Athelas"/>
          <w:sz w:val="24"/>
          <w:szCs w:val="24"/>
          <w:lang w:val="en-AU"/>
        </w:rPr>
        <w:t xml:space="preserve">Our principal </w:t>
      </w:r>
      <w:r>
        <w:rPr>
          <w:rFonts w:ascii="Athelas" w:hAnsi="Athelas"/>
          <w:sz w:val="24"/>
          <w:szCs w:val="24"/>
          <w:lang w:val="en-AU"/>
        </w:rPr>
        <w:t xml:space="preserve">concern is </w:t>
      </w:r>
      <w:r w:rsidR="008D123D" w:rsidRPr="000C4873">
        <w:rPr>
          <w:rFonts w:ascii="Athelas" w:hAnsi="Athelas"/>
          <w:sz w:val="24"/>
          <w:szCs w:val="24"/>
          <w:lang w:val="en-AU"/>
        </w:rPr>
        <w:t>whether judicial review has been accessible and effective in these unusua</w:t>
      </w:r>
      <w:r>
        <w:rPr>
          <w:rFonts w:ascii="Athelas" w:hAnsi="Athelas"/>
          <w:sz w:val="24"/>
          <w:szCs w:val="24"/>
          <w:lang w:val="en-AU"/>
        </w:rPr>
        <w:t xml:space="preserve">l conditions. </w:t>
      </w:r>
      <w:r w:rsidR="007A5E2E">
        <w:rPr>
          <w:rFonts w:ascii="Athelas" w:hAnsi="Athelas"/>
          <w:sz w:val="24"/>
          <w:szCs w:val="24"/>
          <w:lang w:val="en-AU"/>
        </w:rPr>
        <w:t>W</w:t>
      </w:r>
      <w:r w:rsidR="000F7754">
        <w:rPr>
          <w:rFonts w:ascii="Athelas" w:hAnsi="Athelas"/>
          <w:sz w:val="24"/>
          <w:szCs w:val="24"/>
          <w:lang w:val="en-AU"/>
        </w:rPr>
        <w:t xml:space="preserve">e are also interested in the effectiveness of remote hearings more broadly. </w:t>
      </w:r>
      <w:r w:rsidR="001E0C53">
        <w:rPr>
          <w:rFonts w:ascii="Athelas" w:hAnsi="Athelas"/>
          <w:sz w:val="24"/>
          <w:szCs w:val="24"/>
          <w:lang w:val="en-AU"/>
        </w:rPr>
        <w:t xml:space="preserve">Experiences and practices during COVID-19 </w:t>
      </w:r>
      <w:r w:rsidR="00332280">
        <w:rPr>
          <w:rFonts w:ascii="Athelas" w:hAnsi="Athelas"/>
          <w:sz w:val="24"/>
          <w:szCs w:val="24"/>
          <w:lang w:val="en-AU"/>
        </w:rPr>
        <w:t xml:space="preserve">will </w:t>
      </w:r>
      <w:r w:rsidR="001E0C53">
        <w:rPr>
          <w:rFonts w:ascii="Athelas" w:hAnsi="Athelas"/>
          <w:sz w:val="24"/>
          <w:szCs w:val="24"/>
          <w:lang w:val="en-AU"/>
        </w:rPr>
        <w:t>shape the future of remote justice in the UK beyond the pandemic</w:t>
      </w:r>
      <w:r w:rsidR="00332280">
        <w:rPr>
          <w:rFonts w:ascii="Athelas" w:hAnsi="Athelas"/>
          <w:sz w:val="24"/>
          <w:szCs w:val="24"/>
          <w:lang w:val="en-AU"/>
        </w:rPr>
        <w:t>.</w:t>
      </w:r>
      <w:r w:rsidR="00332280" w:rsidRPr="000C4873">
        <w:rPr>
          <w:rStyle w:val="FootnoteReference"/>
          <w:rFonts w:ascii="Athelas" w:hAnsi="Athelas"/>
          <w:sz w:val="24"/>
          <w:szCs w:val="24"/>
          <w:lang w:val="en-AU"/>
        </w:rPr>
        <w:footnoteReference w:id="8"/>
      </w:r>
      <w:r w:rsidR="00332280" w:rsidRPr="000C4873">
        <w:rPr>
          <w:rFonts w:ascii="Athelas" w:hAnsi="Athelas"/>
          <w:sz w:val="24"/>
          <w:szCs w:val="24"/>
          <w:lang w:val="en-AU"/>
        </w:rPr>
        <w:t xml:space="preserve"> </w:t>
      </w:r>
      <w:r w:rsidR="00332280">
        <w:rPr>
          <w:rFonts w:ascii="Athelas" w:hAnsi="Athelas"/>
          <w:sz w:val="24"/>
          <w:szCs w:val="24"/>
          <w:lang w:val="en-AU"/>
        </w:rPr>
        <w:t>But c</w:t>
      </w:r>
      <w:r w:rsidR="007A5E2E" w:rsidRPr="000C4873">
        <w:rPr>
          <w:rFonts w:ascii="Athelas" w:hAnsi="Athelas"/>
          <w:sz w:val="24"/>
          <w:szCs w:val="24"/>
          <w:lang w:val="en-AU"/>
        </w:rPr>
        <w:t xml:space="preserve">are must be taken in any attempt to extract general conclusions beyond the specific context </w:t>
      </w:r>
      <w:r w:rsidR="007A5E2E">
        <w:rPr>
          <w:rFonts w:ascii="Athelas" w:hAnsi="Athelas"/>
          <w:sz w:val="24"/>
          <w:szCs w:val="24"/>
          <w:lang w:val="en-AU"/>
        </w:rPr>
        <w:t>of COVID-19. T</w:t>
      </w:r>
      <w:r w:rsidR="007A5E2E" w:rsidRPr="000C4873">
        <w:rPr>
          <w:rFonts w:ascii="Athelas" w:hAnsi="Athelas"/>
          <w:sz w:val="24"/>
          <w:szCs w:val="24"/>
          <w:lang w:val="en-AU"/>
        </w:rPr>
        <w:t>his is not just digital justice</w:t>
      </w:r>
      <w:r w:rsidR="006966B7">
        <w:rPr>
          <w:rFonts w:ascii="Athelas" w:hAnsi="Athelas"/>
          <w:sz w:val="24"/>
          <w:szCs w:val="24"/>
          <w:lang w:val="en-AU"/>
        </w:rPr>
        <w:t>;</w:t>
      </w:r>
      <w:r w:rsidR="007A5E2E" w:rsidRPr="000C4873">
        <w:rPr>
          <w:rFonts w:ascii="Athelas" w:hAnsi="Athelas"/>
          <w:sz w:val="24"/>
          <w:szCs w:val="24"/>
          <w:lang w:val="en-AU"/>
        </w:rPr>
        <w:t xml:space="preserve"> it is digital justice as a rapid-response contingency during a pandemic.</w:t>
      </w:r>
    </w:p>
    <w:p w14:paraId="4EE6FB24" w14:textId="0E3D6873" w:rsidR="00500125" w:rsidRPr="000C4873" w:rsidRDefault="00500125" w:rsidP="008D123D">
      <w:pPr>
        <w:spacing w:after="0" w:line="276" w:lineRule="auto"/>
        <w:ind w:right="26" w:firstLine="720"/>
        <w:jc w:val="both"/>
        <w:rPr>
          <w:rFonts w:ascii="Athelas" w:hAnsi="Athelas"/>
          <w:sz w:val="24"/>
          <w:szCs w:val="24"/>
          <w:lang w:val="en-AU"/>
        </w:rPr>
      </w:pPr>
    </w:p>
    <w:p w14:paraId="0577275F" w14:textId="36F5ECB8" w:rsidR="00500125" w:rsidRPr="000C4873" w:rsidRDefault="007A5E2E" w:rsidP="00500125">
      <w:pPr>
        <w:spacing w:after="0" w:line="276" w:lineRule="auto"/>
        <w:ind w:right="26" w:firstLine="720"/>
        <w:jc w:val="both"/>
        <w:rPr>
          <w:rFonts w:ascii="Athelas" w:hAnsi="Athelas"/>
          <w:sz w:val="24"/>
          <w:szCs w:val="24"/>
        </w:rPr>
      </w:pPr>
      <w:r>
        <w:rPr>
          <w:rFonts w:ascii="Athelas" w:hAnsi="Athelas"/>
          <w:sz w:val="24"/>
          <w:szCs w:val="24"/>
        </w:rPr>
        <w:t>The article</w:t>
      </w:r>
      <w:r w:rsidR="00500125" w:rsidRPr="000C4873">
        <w:rPr>
          <w:rFonts w:ascii="Athelas" w:hAnsi="Athelas"/>
          <w:sz w:val="24"/>
          <w:szCs w:val="24"/>
        </w:rPr>
        <w:t xml:space="preserve"> is divided into three parts. </w:t>
      </w:r>
      <w:r w:rsidR="00060ED2">
        <w:rPr>
          <w:rFonts w:ascii="Athelas" w:hAnsi="Athelas"/>
          <w:sz w:val="24"/>
          <w:szCs w:val="24"/>
        </w:rPr>
        <w:t>The first part</w:t>
      </w:r>
      <w:r w:rsidR="00500125" w:rsidRPr="000C4873">
        <w:rPr>
          <w:rFonts w:ascii="Athelas" w:hAnsi="Athelas"/>
          <w:sz w:val="24"/>
          <w:szCs w:val="24"/>
        </w:rPr>
        <w:t xml:space="preserve"> </w:t>
      </w:r>
      <w:r>
        <w:rPr>
          <w:rFonts w:ascii="Athelas" w:hAnsi="Athelas"/>
          <w:sz w:val="24"/>
          <w:szCs w:val="24"/>
        </w:rPr>
        <w:t>outlines the Administrative Court’s ordinary procedures and workload</w:t>
      </w:r>
      <w:r w:rsidR="00500125" w:rsidRPr="000C4873">
        <w:rPr>
          <w:rFonts w:ascii="Athelas" w:hAnsi="Athelas"/>
          <w:sz w:val="24"/>
          <w:szCs w:val="24"/>
        </w:rPr>
        <w:t xml:space="preserve">. </w:t>
      </w:r>
      <w:r w:rsidR="00060ED2">
        <w:rPr>
          <w:rFonts w:ascii="Athelas" w:hAnsi="Athelas"/>
          <w:sz w:val="24"/>
          <w:szCs w:val="24"/>
        </w:rPr>
        <w:t>The second part</w:t>
      </w:r>
      <w:r w:rsidR="00500125" w:rsidRPr="000C4873">
        <w:rPr>
          <w:rFonts w:ascii="Athelas" w:hAnsi="Athelas"/>
          <w:sz w:val="24"/>
          <w:szCs w:val="24"/>
        </w:rPr>
        <w:t xml:space="preserve"> sets out the </w:t>
      </w:r>
      <w:r w:rsidR="00582718" w:rsidRPr="000C4873">
        <w:rPr>
          <w:rFonts w:ascii="Athelas" w:hAnsi="Athelas"/>
          <w:sz w:val="24"/>
          <w:szCs w:val="24"/>
        </w:rPr>
        <w:t xml:space="preserve">COVID-19 measures relevant </w:t>
      </w:r>
      <w:r>
        <w:rPr>
          <w:rFonts w:ascii="Athelas" w:hAnsi="Athelas"/>
          <w:sz w:val="24"/>
          <w:szCs w:val="24"/>
        </w:rPr>
        <w:t xml:space="preserve">to the Administrative Court. The final part reports the </w:t>
      </w:r>
      <w:r w:rsidR="00500125" w:rsidRPr="000C4873">
        <w:rPr>
          <w:rFonts w:ascii="Athelas" w:hAnsi="Athelas"/>
          <w:sz w:val="24"/>
          <w:szCs w:val="24"/>
        </w:rPr>
        <w:t xml:space="preserve">findings from our empirical research into experiences </w:t>
      </w:r>
      <w:r w:rsidR="00B90D08" w:rsidRPr="000C4873">
        <w:rPr>
          <w:rFonts w:ascii="Athelas" w:hAnsi="Athelas"/>
          <w:sz w:val="24"/>
          <w:szCs w:val="24"/>
        </w:rPr>
        <w:t xml:space="preserve">of </w:t>
      </w:r>
      <w:r w:rsidR="00500125" w:rsidRPr="000C4873">
        <w:rPr>
          <w:rFonts w:ascii="Athelas" w:hAnsi="Athelas"/>
          <w:sz w:val="24"/>
          <w:szCs w:val="24"/>
        </w:rPr>
        <w:t>judicial review hearings under COVID-19 measures.</w:t>
      </w:r>
    </w:p>
    <w:p w14:paraId="64DCCB7B" w14:textId="77777777" w:rsidR="00500125" w:rsidRPr="000C4873" w:rsidRDefault="00500125" w:rsidP="008D123D">
      <w:pPr>
        <w:spacing w:after="0" w:line="276" w:lineRule="auto"/>
        <w:ind w:right="26" w:firstLine="720"/>
        <w:jc w:val="both"/>
        <w:rPr>
          <w:rFonts w:ascii="Athelas" w:hAnsi="Athelas"/>
          <w:sz w:val="24"/>
          <w:szCs w:val="24"/>
          <w:lang w:val="en-AU"/>
        </w:rPr>
      </w:pPr>
    </w:p>
    <w:p w14:paraId="704640C8" w14:textId="19918DC8" w:rsidR="007409A9" w:rsidRPr="000C4873" w:rsidRDefault="001E0C53" w:rsidP="007409A9">
      <w:pPr>
        <w:spacing w:after="0" w:line="276" w:lineRule="auto"/>
        <w:ind w:firstLine="720"/>
        <w:jc w:val="both"/>
        <w:rPr>
          <w:rFonts w:ascii="Athelas" w:hAnsi="Athelas"/>
          <w:sz w:val="24"/>
          <w:szCs w:val="24"/>
        </w:rPr>
      </w:pPr>
      <w:r>
        <w:rPr>
          <w:rFonts w:ascii="Athelas" w:hAnsi="Athelas"/>
          <w:sz w:val="24"/>
          <w:szCs w:val="24"/>
        </w:rPr>
        <w:t>We dr</w:t>
      </w:r>
      <w:r w:rsidR="00CC5ED0">
        <w:rPr>
          <w:rFonts w:ascii="Athelas" w:hAnsi="Athelas"/>
          <w:sz w:val="24"/>
          <w:szCs w:val="24"/>
        </w:rPr>
        <w:t>a</w:t>
      </w:r>
      <w:r>
        <w:rPr>
          <w:rFonts w:ascii="Athelas" w:hAnsi="Athelas"/>
          <w:sz w:val="24"/>
          <w:szCs w:val="24"/>
        </w:rPr>
        <w:t>w our evidence from</w:t>
      </w:r>
      <w:r w:rsidR="00500125" w:rsidRPr="000C4873">
        <w:rPr>
          <w:rFonts w:ascii="Athelas" w:hAnsi="Athelas"/>
          <w:sz w:val="24"/>
          <w:szCs w:val="24"/>
        </w:rPr>
        <w:t xml:space="preserve"> semi-structured interviews with 15 lawyers </w:t>
      </w:r>
      <w:r w:rsidRPr="000C4873">
        <w:rPr>
          <w:rFonts w:ascii="Athelas" w:hAnsi="Athelas"/>
          <w:sz w:val="24"/>
          <w:szCs w:val="24"/>
        </w:rPr>
        <w:t xml:space="preserve">who </w:t>
      </w:r>
      <w:r w:rsidR="0098736D">
        <w:rPr>
          <w:rFonts w:ascii="Athelas" w:hAnsi="Athelas"/>
          <w:sz w:val="24"/>
          <w:szCs w:val="24"/>
        </w:rPr>
        <w:t>were</w:t>
      </w:r>
      <w:r w:rsidRPr="000C4873">
        <w:rPr>
          <w:rFonts w:ascii="Athelas" w:hAnsi="Athelas"/>
          <w:sz w:val="24"/>
          <w:szCs w:val="24"/>
        </w:rPr>
        <w:t xml:space="preserve"> involved in </w:t>
      </w:r>
      <w:r>
        <w:rPr>
          <w:rFonts w:ascii="Athelas" w:hAnsi="Athelas"/>
          <w:sz w:val="24"/>
          <w:szCs w:val="24"/>
        </w:rPr>
        <w:t>remote hearings in the Administrative Court</w:t>
      </w:r>
      <w:r w:rsidRPr="000C4873">
        <w:rPr>
          <w:rFonts w:ascii="Athelas" w:hAnsi="Athelas"/>
          <w:sz w:val="24"/>
          <w:szCs w:val="24"/>
        </w:rPr>
        <w:t xml:space="preserve">. </w:t>
      </w:r>
      <w:r w:rsidR="00087E63">
        <w:rPr>
          <w:rFonts w:ascii="Athelas" w:hAnsi="Athelas"/>
          <w:sz w:val="24"/>
          <w:szCs w:val="24"/>
        </w:rPr>
        <w:t>The interviews were conducted by video call between 6 </w:t>
      </w:r>
      <w:r w:rsidR="00087E63" w:rsidRPr="000C4873">
        <w:rPr>
          <w:rFonts w:ascii="Athelas" w:hAnsi="Athelas"/>
          <w:sz w:val="24"/>
          <w:szCs w:val="24"/>
        </w:rPr>
        <w:t>April 2020 and 28</w:t>
      </w:r>
      <w:r w:rsidR="00087E63">
        <w:rPr>
          <w:rFonts w:ascii="Athelas" w:hAnsi="Athelas"/>
          <w:sz w:val="24"/>
          <w:szCs w:val="24"/>
        </w:rPr>
        <w:t xml:space="preserve"> May 2020.</w:t>
      </w:r>
      <w:r w:rsidR="00087E63" w:rsidRPr="000C4873">
        <w:rPr>
          <w:rStyle w:val="FootnoteReference"/>
          <w:rFonts w:ascii="Athelas" w:hAnsi="Athelas"/>
          <w:sz w:val="24"/>
          <w:szCs w:val="24"/>
        </w:rPr>
        <w:footnoteReference w:id="9"/>
      </w:r>
      <w:r w:rsidR="00087E63" w:rsidRPr="000C4873">
        <w:rPr>
          <w:rFonts w:ascii="Athelas" w:hAnsi="Athelas"/>
          <w:sz w:val="24"/>
          <w:szCs w:val="24"/>
        </w:rPr>
        <w:t xml:space="preserve"> </w:t>
      </w:r>
      <w:r w:rsidR="00500125" w:rsidRPr="000C4873">
        <w:rPr>
          <w:rFonts w:ascii="Athelas" w:hAnsi="Athelas"/>
          <w:sz w:val="24"/>
          <w:szCs w:val="24"/>
        </w:rPr>
        <w:t>This group included a mix of barristers and s</w:t>
      </w:r>
      <w:r>
        <w:rPr>
          <w:rFonts w:ascii="Athelas" w:hAnsi="Athelas"/>
          <w:sz w:val="24"/>
          <w:szCs w:val="24"/>
        </w:rPr>
        <w:t xml:space="preserve">olicitors, and </w:t>
      </w:r>
      <w:r w:rsidR="00500125" w:rsidRPr="000C4873">
        <w:rPr>
          <w:rFonts w:ascii="Athelas" w:hAnsi="Athelas"/>
          <w:sz w:val="24"/>
          <w:szCs w:val="24"/>
        </w:rPr>
        <w:t xml:space="preserve">a mix of lawyers practising in London and various regional Administrative Court centres. </w:t>
      </w:r>
      <w:r w:rsidR="00087E63">
        <w:rPr>
          <w:rFonts w:ascii="Athelas" w:hAnsi="Athelas"/>
          <w:sz w:val="24"/>
          <w:szCs w:val="24"/>
        </w:rPr>
        <w:t xml:space="preserve">They had participated in </w:t>
      </w:r>
      <w:r w:rsidR="00087E63" w:rsidRPr="000C4873">
        <w:rPr>
          <w:rFonts w:ascii="Athelas" w:hAnsi="Athelas"/>
          <w:sz w:val="24"/>
          <w:szCs w:val="24"/>
        </w:rPr>
        <w:t xml:space="preserve">remote hearings via telephone (primarily by </w:t>
      </w:r>
      <w:r w:rsidR="006966B7">
        <w:rPr>
          <w:rFonts w:ascii="Athelas" w:hAnsi="Athelas"/>
          <w:sz w:val="24"/>
          <w:szCs w:val="24"/>
        </w:rPr>
        <w:t xml:space="preserve">the </w:t>
      </w:r>
      <w:r w:rsidR="00087E63" w:rsidRPr="000C4873">
        <w:rPr>
          <w:rFonts w:ascii="Athelas" w:hAnsi="Athelas"/>
          <w:sz w:val="24"/>
          <w:szCs w:val="24"/>
        </w:rPr>
        <w:t xml:space="preserve">BT </w:t>
      </w:r>
      <w:proofErr w:type="spellStart"/>
      <w:r w:rsidR="00087E63" w:rsidRPr="000C4873">
        <w:rPr>
          <w:rFonts w:ascii="Athelas" w:hAnsi="Athelas"/>
          <w:sz w:val="24"/>
          <w:szCs w:val="24"/>
        </w:rPr>
        <w:t>MeetMe</w:t>
      </w:r>
      <w:proofErr w:type="spellEnd"/>
      <w:r w:rsidR="006966B7">
        <w:rPr>
          <w:rFonts w:ascii="Athelas" w:hAnsi="Athelas"/>
          <w:sz w:val="24"/>
          <w:szCs w:val="24"/>
        </w:rPr>
        <w:t xml:space="preserve"> service</w:t>
      </w:r>
      <w:r w:rsidR="00087E63" w:rsidRPr="000C4873">
        <w:rPr>
          <w:rFonts w:ascii="Athelas" w:hAnsi="Athelas"/>
          <w:sz w:val="24"/>
          <w:szCs w:val="24"/>
        </w:rPr>
        <w:t xml:space="preserve">) </w:t>
      </w:r>
      <w:r w:rsidR="00087E63">
        <w:rPr>
          <w:rFonts w:ascii="Athelas" w:hAnsi="Athelas"/>
          <w:sz w:val="24"/>
          <w:szCs w:val="24"/>
        </w:rPr>
        <w:t>and</w:t>
      </w:r>
      <w:r w:rsidR="00087E63" w:rsidRPr="000C4873">
        <w:rPr>
          <w:rFonts w:ascii="Athelas" w:hAnsi="Athelas"/>
          <w:sz w:val="24"/>
          <w:szCs w:val="24"/>
        </w:rPr>
        <w:t xml:space="preserve"> via video conference (by </w:t>
      </w:r>
      <w:r w:rsidR="006966B7">
        <w:rPr>
          <w:rFonts w:ascii="Athelas" w:hAnsi="Athelas"/>
          <w:sz w:val="24"/>
          <w:szCs w:val="24"/>
        </w:rPr>
        <w:t xml:space="preserve">the </w:t>
      </w:r>
      <w:r w:rsidR="00087E63" w:rsidRPr="000C4873">
        <w:rPr>
          <w:rFonts w:ascii="Athelas" w:hAnsi="Athelas"/>
          <w:sz w:val="24"/>
          <w:szCs w:val="24"/>
        </w:rPr>
        <w:t>Skype for Business</w:t>
      </w:r>
      <w:r w:rsidR="006966B7">
        <w:rPr>
          <w:rFonts w:ascii="Athelas" w:hAnsi="Athelas"/>
          <w:sz w:val="24"/>
          <w:szCs w:val="24"/>
        </w:rPr>
        <w:t xml:space="preserve"> platform</w:t>
      </w:r>
      <w:r w:rsidR="00087E63" w:rsidRPr="000C4873">
        <w:rPr>
          <w:rFonts w:ascii="Athelas" w:hAnsi="Athelas"/>
          <w:sz w:val="24"/>
          <w:szCs w:val="24"/>
        </w:rPr>
        <w:t xml:space="preserve">). </w:t>
      </w:r>
      <w:r w:rsidR="00500125" w:rsidRPr="000C4873">
        <w:rPr>
          <w:rFonts w:ascii="Athelas" w:hAnsi="Athelas"/>
          <w:sz w:val="24"/>
          <w:szCs w:val="24"/>
        </w:rPr>
        <w:t xml:space="preserve">We </w:t>
      </w:r>
      <w:r w:rsidR="004C1EBA">
        <w:rPr>
          <w:rFonts w:ascii="Athelas" w:hAnsi="Athelas"/>
          <w:sz w:val="24"/>
          <w:szCs w:val="24"/>
        </w:rPr>
        <w:t xml:space="preserve">also </w:t>
      </w:r>
      <w:r w:rsidR="001A2CF6" w:rsidRPr="000C4873">
        <w:rPr>
          <w:rFonts w:ascii="Athelas" w:hAnsi="Athelas"/>
          <w:sz w:val="24"/>
          <w:szCs w:val="24"/>
        </w:rPr>
        <w:t xml:space="preserve">interviewed one lay client – a claimant – on </w:t>
      </w:r>
      <w:r w:rsidR="000E5D1F" w:rsidRPr="000C4873">
        <w:rPr>
          <w:rFonts w:ascii="Athelas" w:hAnsi="Athelas"/>
          <w:sz w:val="24"/>
          <w:szCs w:val="24"/>
        </w:rPr>
        <w:t>19</w:t>
      </w:r>
      <w:r w:rsidR="001A2CF6" w:rsidRPr="000C4873">
        <w:rPr>
          <w:rFonts w:ascii="Athelas" w:hAnsi="Athelas"/>
          <w:sz w:val="24"/>
          <w:szCs w:val="24"/>
        </w:rPr>
        <w:t xml:space="preserve"> May 2020.</w:t>
      </w:r>
      <w:r w:rsidR="00087E63">
        <w:rPr>
          <w:rFonts w:ascii="Athelas" w:hAnsi="Athelas"/>
          <w:sz w:val="24"/>
          <w:szCs w:val="24"/>
        </w:rPr>
        <w:t xml:space="preserve"> W</w:t>
      </w:r>
      <w:r w:rsidR="001A2CF6" w:rsidRPr="000C4873">
        <w:rPr>
          <w:rFonts w:ascii="Athelas" w:hAnsi="Athelas"/>
          <w:sz w:val="24"/>
          <w:szCs w:val="24"/>
        </w:rPr>
        <w:t>e</w:t>
      </w:r>
      <w:r w:rsidR="00087E63">
        <w:rPr>
          <w:rFonts w:ascii="Athelas" w:hAnsi="Athelas"/>
          <w:sz w:val="24"/>
          <w:szCs w:val="24"/>
        </w:rPr>
        <w:t xml:space="preserve"> </w:t>
      </w:r>
      <w:r w:rsidR="001A2CF6" w:rsidRPr="000C4873">
        <w:rPr>
          <w:rFonts w:ascii="Athelas" w:hAnsi="Athelas"/>
          <w:sz w:val="24"/>
          <w:szCs w:val="24"/>
        </w:rPr>
        <w:t>observed four remote hearings between</w:t>
      </w:r>
      <w:r w:rsidR="00087E63">
        <w:rPr>
          <w:rFonts w:ascii="Athelas" w:hAnsi="Athelas"/>
          <w:sz w:val="24"/>
          <w:szCs w:val="24"/>
        </w:rPr>
        <w:t xml:space="preserve"> 7 </w:t>
      </w:r>
      <w:r w:rsidR="00500125" w:rsidRPr="000C4873">
        <w:rPr>
          <w:rFonts w:ascii="Athelas" w:hAnsi="Athelas"/>
          <w:sz w:val="24"/>
          <w:szCs w:val="24"/>
        </w:rPr>
        <w:t>and 14 May</w:t>
      </w:r>
      <w:r w:rsidR="00087E63">
        <w:rPr>
          <w:rFonts w:ascii="Athelas" w:hAnsi="Athelas"/>
          <w:sz w:val="24"/>
          <w:szCs w:val="24"/>
        </w:rPr>
        <w:t> </w:t>
      </w:r>
      <w:r w:rsidR="00500125" w:rsidRPr="000C4873">
        <w:rPr>
          <w:rFonts w:ascii="Athelas" w:hAnsi="Athelas"/>
          <w:sz w:val="24"/>
          <w:szCs w:val="24"/>
        </w:rPr>
        <w:t>2020</w:t>
      </w:r>
      <w:r w:rsidR="001A2CF6" w:rsidRPr="000C4873">
        <w:rPr>
          <w:rFonts w:ascii="Athelas" w:hAnsi="Athelas"/>
          <w:sz w:val="24"/>
          <w:szCs w:val="24"/>
        </w:rPr>
        <w:t xml:space="preserve">. </w:t>
      </w:r>
      <w:r w:rsidR="00852293">
        <w:rPr>
          <w:rFonts w:ascii="Athelas" w:hAnsi="Athelas"/>
          <w:sz w:val="24"/>
          <w:szCs w:val="24"/>
        </w:rPr>
        <w:t>We also rel</w:t>
      </w:r>
      <w:r w:rsidR="00CC5ED0">
        <w:rPr>
          <w:rFonts w:ascii="Athelas" w:hAnsi="Athelas"/>
          <w:sz w:val="24"/>
          <w:szCs w:val="24"/>
        </w:rPr>
        <w:t>y</w:t>
      </w:r>
      <w:r w:rsidR="00852293">
        <w:rPr>
          <w:rFonts w:ascii="Athelas" w:hAnsi="Athelas"/>
          <w:sz w:val="24"/>
          <w:szCs w:val="24"/>
        </w:rPr>
        <w:t xml:space="preserve"> on</w:t>
      </w:r>
      <w:r w:rsidR="00852293" w:rsidRPr="000C4873">
        <w:rPr>
          <w:rFonts w:ascii="Athelas" w:hAnsi="Athelas"/>
          <w:sz w:val="24"/>
          <w:szCs w:val="24"/>
        </w:rPr>
        <w:t xml:space="preserve"> </w:t>
      </w:r>
      <w:r w:rsidR="00852293">
        <w:rPr>
          <w:rFonts w:ascii="Athelas" w:hAnsi="Athelas"/>
          <w:sz w:val="24"/>
          <w:szCs w:val="24"/>
        </w:rPr>
        <w:t xml:space="preserve">HMCTS </w:t>
      </w:r>
      <w:r w:rsidR="00852293" w:rsidRPr="000C4873">
        <w:rPr>
          <w:rFonts w:ascii="Athelas" w:hAnsi="Athelas"/>
          <w:sz w:val="24"/>
          <w:szCs w:val="24"/>
        </w:rPr>
        <w:t>administrative data and recent empirical studies on judicial review.</w:t>
      </w:r>
      <w:r w:rsidR="00852293" w:rsidRPr="000C4873">
        <w:rPr>
          <w:rStyle w:val="FootnoteReference"/>
          <w:rFonts w:ascii="Athelas" w:hAnsi="Athelas"/>
          <w:sz w:val="24"/>
          <w:szCs w:val="24"/>
        </w:rPr>
        <w:footnoteReference w:id="10"/>
      </w:r>
      <w:r w:rsidR="00852293" w:rsidRPr="000C4873">
        <w:rPr>
          <w:rFonts w:ascii="Athelas" w:hAnsi="Athelas"/>
          <w:sz w:val="24"/>
          <w:szCs w:val="24"/>
        </w:rPr>
        <w:t xml:space="preserve"> </w:t>
      </w:r>
      <w:r w:rsidR="001A2CF6" w:rsidRPr="000C4873">
        <w:rPr>
          <w:rFonts w:ascii="Athelas" w:hAnsi="Athelas"/>
          <w:sz w:val="24"/>
          <w:szCs w:val="24"/>
        </w:rPr>
        <w:t>W</w:t>
      </w:r>
      <w:r w:rsidR="00500125" w:rsidRPr="000C4873">
        <w:rPr>
          <w:rFonts w:ascii="Athelas" w:hAnsi="Athelas"/>
          <w:sz w:val="24"/>
          <w:szCs w:val="24"/>
        </w:rPr>
        <w:t xml:space="preserve">e are </w:t>
      </w:r>
      <w:r w:rsidR="006966B7">
        <w:rPr>
          <w:rFonts w:ascii="Athelas" w:hAnsi="Athelas"/>
          <w:sz w:val="24"/>
          <w:szCs w:val="24"/>
        </w:rPr>
        <w:t>conscious</w:t>
      </w:r>
      <w:r w:rsidR="006966B7" w:rsidRPr="000C4873">
        <w:rPr>
          <w:rFonts w:ascii="Athelas" w:hAnsi="Athelas"/>
          <w:sz w:val="24"/>
          <w:szCs w:val="24"/>
        </w:rPr>
        <w:t xml:space="preserve"> </w:t>
      </w:r>
      <w:r w:rsidR="00500125" w:rsidRPr="000C4873">
        <w:rPr>
          <w:rFonts w:ascii="Athelas" w:hAnsi="Athelas"/>
          <w:sz w:val="24"/>
          <w:szCs w:val="24"/>
        </w:rPr>
        <w:t xml:space="preserve">that our dataset does not </w:t>
      </w:r>
      <w:r w:rsidR="00087E63">
        <w:rPr>
          <w:rFonts w:ascii="Athelas" w:hAnsi="Athelas"/>
          <w:sz w:val="24"/>
          <w:szCs w:val="24"/>
        </w:rPr>
        <w:t>sufficiently</w:t>
      </w:r>
      <w:r w:rsidR="00500125" w:rsidRPr="000C4873">
        <w:rPr>
          <w:rFonts w:ascii="Athelas" w:hAnsi="Athelas"/>
          <w:sz w:val="24"/>
          <w:szCs w:val="24"/>
        </w:rPr>
        <w:t xml:space="preserve"> </w:t>
      </w:r>
      <w:r w:rsidR="002C06B0">
        <w:rPr>
          <w:rFonts w:ascii="Athelas" w:hAnsi="Athelas"/>
          <w:sz w:val="24"/>
          <w:szCs w:val="24"/>
        </w:rPr>
        <w:t>represent</w:t>
      </w:r>
      <w:r w:rsidR="002C06B0" w:rsidRPr="000C4873">
        <w:rPr>
          <w:rFonts w:ascii="Athelas" w:hAnsi="Athelas"/>
          <w:sz w:val="24"/>
          <w:szCs w:val="24"/>
        </w:rPr>
        <w:t xml:space="preserve"> </w:t>
      </w:r>
      <w:r w:rsidR="00500125" w:rsidRPr="000C4873">
        <w:rPr>
          <w:rFonts w:ascii="Athelas" w:hAnsi="Athelas"/>
          <w:sz w:val="24"/>
          <w:szCs w:val="24"/>
        </w:rPr>
        <w:t xml:space="preserve">the </w:t>
      </w:r>
      <w:r w:rsidR="002C06B0">
        <w:rPr>
          <w:rFonts w:ascii="Athelas" w:hAnsi="Athelas"/>
          <w:sz w:val="24"/>
          <w:szCs w:val="24"/>
        </w:rPr>
        <w:t>experiences</w:t>
      </w:r>
      <w:r w:rsidR="002C06B0" w:rsidRPr="000C4873">
        <w:rPr>
          <w:rFonts w:ascii="Athelas" w:hAnsi="Athelas"/>
          <w:sz w:val="24"/>
          <w:szCs w:val="24"/>
        </w:rPr>
        <w:t xml:space="preserve"> </w:t>
      </w:r>
      <w:r w:rsidR="00500125" w:rsidRPr="000C4873">
        <w:rPr>
          <w:rFonts w:ascii="Athelas" w:hAnsi="Athelas"/>
          <w:sz w:val="24"/>
          <w:szCs w:val="24"/>
        </w:rPr>
        <w:t xml:space="preserve">of </w:t>
      </w:r>
      <w:r w:rsidR="00A5680C" w:rsidRPr="000C4873">
        <w:rPr>
          <w:rFonts w:ascii="Athelas" w:hAnsi="Athelas"/>
          <w:sz w:val="24"/>
          <w:szCs w:val="24"/>
        </w:rPr>
        <w:t>lay clients</w:t>
      </w:r>
      <w:r w:rsidR="00500125" w:rsidRPr="000C4873">
        <w:rPr>
          <w:rFonts w:ascii="Athelas" w:hAnsi="Athelas"/>
          <w:sz w:val="24"/>
          <w:szCs w:val="24"/>
        </w:rPr>
        <w:t xml:space="preserve">. Their views are important and may differ substantially from </w:t>
      </w:r>
      <w:r>
        <w:rPr>
          <w:rFonts w:ascii="Athelas" w:hAnsi="Athelas"/>
          <w:sz w:val="24"/>
          <w:szCs w:val="24"/>
        </w:rPr>
        <w:t>those of legal representatives</w:t>
      </w:r>
      <w:r w:rsidR="00500125" w:rsidRPr="000C4873">
        <w:rPr>
          <w:rFonts w:ascii="Athelas" w:hAnsi="Athelas"/>
          <w:sz w:val="24"/>
          <w:szCs w:val="24"/>
        </w:rPr>
        <w:t>.</w:t>
      </w:r>
      <w:r>
        <w:rPr>
          <w:rFonts w:ascii="Athelas" w:hAnsi="Athelas"/>
          <w:sz w:val="24"/>
          <w:szCs w:val="24"/>
        </w:rPr>
        <w:t xml:space="preserve"> </w:t>
      </w:r>
      <w:r w:rsidR="002C06B0">
        <w:rPr>
          <w:rFonts w:ascii="Athelas" w:hAnsi="Athelas"/>
          <w:sz w:val="24"/>
          <w:szCs w:val="24"/>
        </w:rPr>
        <w:t>However, t</w:t>
      </w:r>
      <w:r w:rsidR="00500125" w:rsidRPr="000C4873">
        <w:rPr>
          <w:rFonts w:ascii="Athelas" w:hAnsi="Athelas"/>
          <w:sz w:val="24"/>
          <w:szCs w:val="24"/>
        </w:rPr>
        <w:t>here are distinct and well-known challenges with accessing lay participants</w:t>
      </w:r>
      <w:r>
        <w:rPr>
          <w:rFonts w:ascii="Athelas" w:hAnsi="Athelas"/>
          <w:sz w:val="24"/>
          <w:szCs w:val="24"/>
        </w:rPr>
        <w:t xml:space="preserve"> </w:t>
      </w:r>
      <w:r w:rsidR="00500125" w:rsidRPr="000C4873">
        <w:rPr>
          <w:rFonts w:ascii="Athelas" w:hAnsi="Athelas"/>
          <w:sz w:val="24"/>
          <w:szCs w:val="24"/>
        </w:rPr>
        <w:t>which are, if anything, exacerbated during a pandemic.</w:t>
      </w:r>
    </w:p>
    <w:p w14:paraId="1ED87395" w14:textId="77777777" w:rsidR="007409A9" w:rsidRPr="000C4873" w:rsidRDefault="007409A9" w:rsidP="007409A9">
      <w:pPr>
        <w:spacing w:after="0" w:line="276" w:lineRule="auto"/>
        <w:ind w:firstLine="720"/>
        <w:jc w:val="both"/>
        <w:rPr>
          <w:rFonts w:ascii="Athelas" w:hAnsi="Athelas"/>
          <w:sz w:val="24"/>
          <w:szCs w:val="24"/>
        </w:rPr>
      </w:pPr>
    </w:p>
    <w:p w14:paraId="5609993D" w14:textId="523037C5" w:rsidR="00D156F6" w:rsidRPr="000C4873" w:rsidRDefault="00D156F6" w:rsidP="002E7D52">
      <w:pPr>
        <w:keepNext/>
        <w:spacing w:after="0" w:line="276" w:lineRule="auto"/>
        <w:jc w:val="both"/>
        <w:rPr>
          <w:rFonts w:ascii="Athelas" w:hAnsi="Athelas"/>
          <w:sz w:val="24"/>
          <w:szCs w:val="24"/>
        </w:rPr>
      </w:pPr>
      <w:r w:rsidRPr="000C4873">
        <w:rPr>
          <w:rFonts w:ascii="Athelas" w:hAnsi="Athelas"/>
          <w:b/>
          <w:bCs/>
          <w:sz w:val="32"/>
          <w:szCs w:val="32"/>
          <w:lang w:val="en-AU"/>
        </w:rPr>
        <w:lastRenderedPageBreak/>
        <w:t>The Administrative Court before the pandemic</w:t>
      </w:r>
    </w:p>
    <w:p w14:paraId="67249325" w14:textId="012DE277" w:rsidR="00D156F6" w:rsidRPr="000C4873" w:rsidRDefault="00D156F6" w:rsidP="00A41F9F">
      <w:pPr>
        <w:spacing w:after="0" w:line="276" w:lineRule="auto"/>
        <w:ind w:right="26"/>
        <w:jc w:val="both"/>
        <w:rPr>
          <w:rFonts w:ascii="Athelas" w:hAnsi="Athelas"/>
          <w:sz w:val="24"/>
          <w:szCs w:val="24"/>
          <w:lang w:val="en-AU"/>
        </w:rPr>
      </w:pPr>
    </w:p>
    <w:p w14:paraId="33526ED8" w14:textId="768A8527" w:rsidR="00D156F6" w:rsidRPr="000C4873" w:rsidRDefault="00D156F6" w:rsidP="00D156F6">
      <w:pPr>
        <w:spacing w:after="0" w:line="276" w:lineRule="auto"/>
        <w:jc w:val="both"/>
        <w:rPr>
          <w:rFonts w:ascii="Athelas" w:hAnsi="Athelas"/>
          <w:sz w:val="24"/>
          <w:szCs w:val="24"/>
          <w:lang w:val="en-AU"/>
        </w:rPr>
      </w:pPr>
      <w:r w:rsidRPr="000C4873">
        <w:rPr>
          <w:rFonts w:ascii="Athelas" w:hAnsi="Athelas"/>
          <w:sz w:val="24"/>
          <w:szCs w:val="24"/>
          <w:lang w:val="en-AU"/>
        </w:rPr>
        <w:t>It is hel</w:t>
      </w:r>
      <w:r w:rsidR="00A5680C" w:rsidRPr="000C4873">
        <w:rPr>
          <w:rFonts w:ascii="Athelas" w:hAnsi="Athelas"/>
          <w:sz w:val="24"/>
          <w:szCs w:val="24"/>
          <w:lang w:val="en-AU"/>
        </w:rPr>
        <w:t>pful to start by setting out</w:t>
      </w:r>
      <w:r w:rsidRPr="000C4873">
        <w:rPr>
          <w:rFonts w:ascii="Athelas" w:hAnsi="Athelas"/>
          <w:sz w:val="24"/>
          <w:szCs w:val="24"/>
          <w:lang w:val="en-AU"/>
        </w:rPr>
        <w:t xml:space="preserve"> how judicial review in the Administrative Court operated </w:t>
      </w:r>
      <w:r w:rsidR="00A5680C" w:rsidRPr="000C4873">
        <w:rPr>
          <w:rFonts w:ascii="Athelas" w:hAnsi="Athelas"/>
          <w:sz w:val="24"/>
          <w:szCs w:val="24"/>
          <w:lang w:val="en-AU"/>
        </w:rPr>
        <w:t xml:space="preserve">before </w:t>
      </w:r>
      <w:r w:rsidRPr="000C4873">
        <w:rPr>
          <w:rFonts w:ascii="Athelas" w:hAnsi="Athelas"/>
          <w:sz w:val="24"/>
          <w:szCs w:val="24"/>
          <w:lang w:val="en-AU"/>
        </w:rPr>
        <w:t>the pandemic. The Administrative Court is based at the Royal Courts of Justice in London and also has centres in Birmingham, Cardiff, Leeds, and Manchester.</w:t>
      </w:r>
      <w:r w:rsidR="00332280">
        <w:rPr>
          <w:rFonts w:ascii="Athelas" w:hAnsi="Athelas"/>
          <w:sz w:val="24"/>
          <w:szCs w:val="24"/>
          <w:lang w:val="en-AU"/>
        </w:rPr>
        <w:t xml:space="preserve"> The judicial review procedure</w:t>
      </w:r>
      <w:r w:rsidRPr="000C4873">
        <w:rPr>
          <w:rFonts w:ascii="Athelas" w:hAnsi="Athelas"/>
          <w:sz w:val="24"/>
          <w:szCs w:val="24"/>
          <w:lang w:val="en-AU"/>
        </w:rPr>
        <w:t xml:space="preserve"> has several stages. First, a claimant applies for permission to bring their judicial review. Second, a judge decides whether to grant permission, based on whether the claimant has an arguable case. Third, if permission is granted, the case proceeds to a final hearing, where both sides make arguments in person before a judge about the lawfulness of the act or decision under challenge. Finally, the judge makes a decision and issues a judgment, along with a remedy if appropriate.</w:t>
      </w:r>
    </w:p>
    <w:p w14:paraId="7C731C52" w14:textId="77777777" w:rsidR="00D156F6" w:rsidRPr="000C4873" w:rsidRDefault="00D156F6" w:rsidP="00D156F6">
      <w:pPr>
        <w:spacing w:after="0" w:line="276" w:lineRule="auto"/>
        <w:jc w:val="both"/>
        <w:rPr>
          <w:rFonts w:ascii="Athelas" w:hAnsi="Athelas"/>
          <w:sz w:val="24"/>
          <w:szCs w:val="24"/>
          <w:lang w:val="en-AU"/>
        </w:rPr>
      </w:pPr>
    </w:p>
    <w:p w14:paraId="67127D68" w14:textId="37FFBBD8" w:rsidR="00D156F6" w:rsidRPr="000C4873" w:rsidRDefault="00D156F6" w:rsidP="00D156F6">
      <w:pPr>
        <w:spacing w:after="0" w:line="276" w:lineRule="auto"/>
        <w:ind w:firstLine="720"/>
        <w:jc w:val="both"/>
        <w:rPr>
          <w:rFonts w:ascii="Athelas" w:hAnsi="Athelas"/>
          <w:sz w:val="24"/>
          <w:szCs w:val="24"/>
          <w:lang w:val="en-AU"/>
        </w:rPr>
      </w:pPr>
      <w:r w:rsidRPr="000C4873">
        <w:rPr>
          <w:rFonts w:ascii="Athelas" w:hAnsi="Athelas"/>
          <w:sz w:val="24"/>
          <w:szCs w:val="24"/>
          <w:lang w:val="en-AU"/>
        </w:rPr>
        <w:t xml:space="preserve">An application for judicial review is ordinarily filed with an Administrative Court Office either in person or by </w:t>
      </w:r>
      <w:r w:rsidR="00A5680C" w:rsidRPr="000C4873">
        <w:rPr>
          <w:rFonts w:ascii="Athelas" w:hAnsi="Athelas"/>
          <w:sz w:val="24"/>
          <w:szCs w:val="24"/>
          <w:lang w:val="en-AU"/>
        </w:rPr>
        <w:t>post</w:t>
      </w:r>
      <w:r w:rsidRPr="000C4873">
        <w:rPr>
          <w:rFonts w:ascii="Athelas" w:hAnsi="Athelas"/>
          <w:sz w:val="24"/>
          <w:szCs w:val="24"/>
          <w:lang w:val="en-AU"/>
        </w:rPr>
        <w:t>.</w:t>
      </w:r>
      <w:r w:rsidRPr="000C4873">
        <w:rPr>
          <w:rStyle w:val="FootnoteReference"/>
          <w:rFonts w:ascii="Athelas" w:hAnsi="Athelas"/>
          <w:sz w:val="24"/>
          <w:szCs w:val="24"/>
          <w:lang w:val="en-AU"/>
        </w:rPr>
        <w:footnoteReference w:id="11"/>
      </w:r>
      <w:r w:rsidRPr="000C4873">
        <w:rPr>
          <w:rFonts w:ascii="Athelas" w:hAnsi="Athelas"/>
          <w:sz w:val="24"/>
          <w:szCs w:val="24"/>
          <w:lang w:val="en-AU"/>
        </w:rPr>
        <w:t xml:space="preserve"> Permission is usually determined on the papers. The case then proceeds to a final hearing, which is ordinarily held in a physical courtroom and is open to anyone to attend and observe.</w:t>
      </w:r>
      <w:r w:rsidRPr="000C4873">
        <w:rPr>
          <w:rStyle w:val="FootnoteReference"/>
          <w:rFonts w:ascii="Athelas" w:hAnsi="Athelas"/>
          <w:sz w:val="24"/>
          <w:szCs w:val="24"/>
          <w:lang w:val="en-AU"/>
        </w:rPr>
        <w:footnoteReference w:id="12"/>
      </w:r>
      <w:r w:rsidRPr="000C4873">
        <w:rPr>
          <w:rFonts w:ascii="Athelas" w:hAnsi="Athelas"/>
          <w:sz w:val="24"/>
          <w:szCs w:val="24"/>
          <w:lang w:val="en-AU"/>
        </w:rPr>
        <w:t xml:space="preserve"> </w:t>
      </w:r>
      <w:r w:rsidR="00332280">
        <w:rPr>
          <w:rFonts w:ascii="Athelas" w:hAnsi="Athelas"/>
          <w:sz w:val="24"/>
          <w:szCs w:val="24"/>
          <w:lang w:val="en-AU"/>
        </w:rPr>
        <w:t>S</w:t>
      </w:r>
      <w:r w:rsidRPr="000C4873">
        <w:rPr>
          <w:rFonts w:ascii="Athelas" w:hAnsi="Athelas"/>
          <w:sz w:val="24"/>
          <w:szCs w:val="24"/>
          <w:lang w:val="en-AU"/>
        </w:rPr>
        <w:t>uch hearings are often attended by members of the press, parties with an interest in following the proceedings</w:t>
      </w:r>
      <w:r w:rsidR="00A5680C" w:rsidRPr="000C4873">
        <w:rPr>
          <w:rFonts w:ascii="Athelas" w:hAnsi="Athelas"/>
          <w:sz w:val="24"/>
          <w:szCs w:val="24"/>
          <w:lang w:val="en-AU"/>
        </w:rPr>
        <w:t>,</w:t>
      </w:r>
      <w:r w:rsidRPr="000C4873">
        <w:rPr>
          <w:rFonts w:ascii="Athelas" w:hAnsi="Athelas"/>
          <w:sz w:val="24"/>
          <w:szCs w:val="24"/>
          <w:lang w:val="en-AU"/>
        </w:rPr>
        <w:t xml:space="preserve"> or members of the general public. The Court has broad case management powers to hold a hearing by telephone or ‘any other method of direct oral communication.’</w:t>
      </w:r>
      <w:r w:rsidRPr="000C4873">
        <w:rPr>
          <w:rStyle w:val="FootnoteReference"/>
          <w:rFonts w:ascii="Athelas" w:hAnsi="Athelas"/>
          <w:sz w:val="24"/>
          <w:szCs w:val="24"/>
          <w:lang w:val="en-AU"/>
        </w:rPr>
        <w:footnoteReference w:id="13"/>
      </w:r>
      <w:r w:rsidRPr="000C4873">
        <w:rPr>
          <w:rFonts w:ascii="Athelas" w:hAnsi="Athelas"/>
          <w:sz w:val="24"/>
          <w:szCs w:val="24"/>
          <w:lang w:val="en-AU"/>
        </w:rPr>
        <w:t xml:space="preserve"> The Court records all hearings unless the judge directs otherwise.</w:t>
      </w:r>
      <w:r w:rsidRPr="000C4873">
        <w:rPr>
          <w:rStyle w:val="FootnoteReference"/>
          <w:rFonts w:ascii="Athelas" w:hAnsi="Athelas"/>
          <w:sz w:val="24"/>
          <w:szCs w:val="24"/>
          <w:lang w:val="en-AU"/>
        </w:rPr>
        <w:footnoteReference w:id="14"/>
      </w:r>
      <w:r w:rsidRPr="000C4873">
        <w:rPr>
          <w:rFonts w:ascii="Athelas" w:hAnsi="Athelas"/>
          <w:sz w:val="24"/>
          <w:szCs w:val="24"/>
          <w:lang w:val="en-AU"/>
        </w:rPr>
        <w:t xml:space="preserve"> In general, however, it is unlawful for any person, even the court, to publish photos or video or audio recording of proceedings.</w:t>
      </w:r>
      <w:r w:rsidRPr="000C4873">
        <w:rPr>
          <w:rStyle w:val="FootnoteReference"/>
          <w:rFonts w:ascii="Athelas" w:hAnsi="Athelas"/>
          <w:sz w:val="24"/>
          <w:szCs w:val="24"/>
          <w:lang w:val="en-AU"/>
        </w:rPr>
        <w:footnoteReference w:id="15"/>
      </w:r>
    </w:p>
    <w:p w14:paraId="4B61F64B" w14:textId="77777777" w:rsidR="00D156F6" w:rsidRPr="000C4873" w:rsidRDefault="00D156F6" w:rsidP="00D156F6">
      <w:pPr>
        <w:spacing w:after="0" w:line="276" w:lineRule="auto"/>
        <w:ind w:firstLine="720"/>
        <w:jc w:val="both"/>
        <w:rPr>
          <w:rFonts w:ascii="Athelas" w:hAnsi="Athelas"/>
          <w:sz w:val="24"/>
          <w:szCs w:val="24"/>
          <w:lang w:val="en-AU"/>
        </w:rPr>
      </w:pPr>
    </w:p>
    <w:p w14:paraId="08326A39" w14:textId="59572076" w:rsidR="00D156F6" w:rsidRPr="000C4873" w:rsidRDefault="00D156F6" w:rsidP="00D156F6">
      <w:pPr>
        <w:spacing w:after="0" w:line="276" w:lineRule="auto"/>
        <w:ind w:firstLine="720"/>
        <w:jc w:val="both"/>
        <w:rPr>
          <w:rFonts w:ascii="Athelas" w:hAnsi="Athelas"/>
          <w:sz w:val="24"/>
          <w:szCs w:val="24"/>
          <w:lang w:val="en-AU"/>
        </w:rPr>
      </w:pPr>
      <w:r w:rsidRPr="000C4873">
        <w:rPr>
          <w:rFonts w:ascii="Athelas" w:hAnsi="Athelas"/>
          <w:sz w:val="24"/>
          <w:szCs w:val="24"/>
          <w:lang w:val="en-AU"/>
        </w:rPr>
        <w:t xml:space="preserve">The Administrative Court typically receives </w:t>
      </w:r>
      <w:r w:rsidRPr="000C4873">
        <w:rPr>
          <w:rFonts w:ascii="Athelas" w:hAnsi="Athelas"/>
          <w:i/>
          <w:sz w:val="24"/>
          <w:szCs w:val="24"/>
          <w:lang w:val="en-AU"/>
        </w:rPr>
        <w:t>c.</w:t>
      </w:r>
      <w:r w:rsidRPr="000C4873">
        <w:rPr>
          <w:rFonts w:ascii="Athelas" w:hAnsi="Athelas"/>
          <w:sz w:val="24"/>
          <w:szCs w:val="24"/>
          <w:lang w:val="en-AU"/>
        </w:rPr>
        <w:t>4,000 applications for judicial review each year.</w:t>
      </w:r>
      <w:r w:rsidRPr="000C4873">
        <w:rPr>
          <w:rStyle w:val="FootnoteReference"/>
          <w:rFonts w:ascii="Athelas" w:hAnsi="Athelas"/>
          <w:sz w:val="24"/>
          <w:szCs w:val="24"/>
          <w:lang w:val="en-AU"/>
        </w:rPr>
        <w:footnoteReference w:id="16"/>
      </w:r>
      <w:r w:rsidRPr="000C4873">
        <w:rPr>
          <w:rFonts w:ascii="Athelas" w:hAnsi="Athelas"/>
          <w:sz w:val="24"/>
          <w:szCs w:val="24"/>
          <w:lang w:val="en-AU"/>
        </w:rPr>
        <w:t xml:space="preserve"> Figure 1 shows the number of applications for judicial review from 2014 to 201</w:t>
      </w:r>
      <w:r w:rsidR="00037093">
        <w:rPr>
          <w:rFonts w:ascii="Athelas" w:hAnsi="Athelas"/>
          <w:sz w:val="24"/>
          <w:szCs w:val="24"/>
          <w:lang w:val="en-AU"/>
        </w:rPr>
        <w:t>9</w:t>
      </w:r>
      <w:r w:rsidRPr="000C4873">
        <w:rPr>
          <w:rFonts w:ascii="Athelas" w:hAnsi="Athelas"/>
          <w:sz w:val="24"/>
          <w:szCs w:val="24"/>
          <w:lang w:val="en-AU"/>
        </w:rPr>
        <w:t>.</w:t>
      </w:r>
      <w:r w:rsidRPr="000C4873">
        <w:rPr>
          <w:rStyle w:val="FootnoteReference"/>
          <w:rFonts w:ascii="Athelas" w:hAnsi="Athelas"/>
          <w:sz w:val="24"/>
          <w:szCs w:val="24"/>
          <w:lang w:val="en-AU"/>
        </w:rPr>
        <w:footnoteReference w:id="17"/>
      </w:r>
      <w:r w:rsidR="00A5680C" w:rsidRPr="000C4873">
        <w:rPr>
          <w:rFonts w:ascii="Athelas" w:hAnsi="Athelas"/>
          <w:sz w:val="24"/>
          <w:szCs w:val="24"/>
          <w:lang w:val="en-AU"/>
        </w:rPr>
        <w:t xml:space="preserve"> The process is front-heavy</w:t>
      </w:r>
      <w:r w:rsidRPr="000C4873">
        <w:rPr>
          <w:rFonts w:ascii="Athelas" w:hAnsi="Athelas"/>
          <w:sz w:val="24"/>
          <w:szCs w:val="24"/>
          <w:lang w:val="en-AU"/>
        </w:rPr>
        <w:t>, with many claims being withdrawn or conceded at an early stage, including often before a claim is even issued.</w:t>
      </w:r>
      <w:r w:rsidRPr="000C4873">
        <w:rPr>
          <w:rStyle w:val="FootnoteReference"/>
          <w:rFonts w:ascii="Athelas" w:hAnsi="Athelas"/>
          <w:sz w:val="24"/>
          <w:szCs w:val="24"/>
          <w:lang w:val="en-AU"/>
        </w:rPr>
        <w:footnoteReference w:id="18"/>
      </w:r>
      <w:r w:rsidRPr="000C4873">
        <w:rPr>
          <w:rFonts w:ascii="Athelas" w:hAnsi="Athelas"/>
          <w:sz w:val="24"/>
          <w:szCs w:val="24"/>
          <w:lang w:val="en-AU"/>
        </w:rPr>
        <w:t xml:space="preserve"> As a result, </w:t>
      </w:r>
      <w:r w:rsidR="00A5680C" w:rsidRPr="000C4873">
        <w:rPr>
          <w:rFonts w:ascii="Athelas" w:hAnsi="Athelas"/>
          <w:sz w:val="24"/>
          <w:szCs w:val="24"/>
          <w:lang w:val="en-AU"/>
        </w:rPr>
        <w:t>few</w:t>
      </w:r>
      <w:r w:rsidRPr="000C4873">
        <w:rPr>
          <w:rFonts w:ascii="Athelas" w:hAnsi="Athelas"/>
          <w:sz w:val="24"/>
          <w:szCs w:val="24"/>
          <w:lang w:val="en-AU"/>
        </w:rPr>
        <w:t xml:space="preserve"> judicial review claims reach a </w:t>
      </w:r>
      <w:r w:rsidR="00A5680C" w:rsidRPr="000C4873">
        <w:rPr>
          <w:rFonts w:ascii="Athelas" w:hAnsi="Athelas"/>
          <w:sz w:val="24"/>
          <w:szCs w:val="24"/>
          <w:lang w:val="en-AU"/>
        </w:rPr>
        <w:t>final</w:t>
      </w:r>
      <w:r w:rsidRPr="000C4873">
        <w:rPr>
          <w:rFonts w:ascii="Athelas" w:hAnsi="Athelas"/>
          <w:sz w:val="24"/>
          <w:szCs w:val="24"/>
          <w:lang w:val="en-AU"/>
        </w:rPr>
        <w:t xml:space="preserve"> hearing and even fewer reach a </w:t>
      </w:r>
      <w:r w:rsidR="00A5680C" w:rsidRPr="000C4873">
        <w:rPr>
          <w:rFonts w:ascii="Athelas" w:hAnsi="Athelas"/>
          <w:sz w:val="24"/>
          <w:szCs w:val="24"/>
          <w:lang w:val="en-AU"/>
        </w:rPr>
        <w:t>final</w:t>
      </w:r>
      <w:r w:rsidRPr="000C4873">
        <w:rPr>
          <w:rFonts w:ascii="Athelas" w:hAnsi="Athelas"/>
          <w:sz w:val="24"/>
          <w:szCs w:val="24"/>
          <w:lang w:val="en-AU"/>
        </w:rPr>
        <w:t xml:space="preserve"> judgment (see Figure 2). When a</w:t>
      </w:r>
      <w:r w:rsidR="00577FE5">
        <w:rPr>
          <w:rFonts w:ascii="Athelas" w:hAnsi="Athelas"/>
          <w:sz w:val="24"/>
          <w:szCs w:val="24"/>
          <w:lang w:val="en-AU"/>
        </w:rPr>
        <w:t>n application does reach a</w:t>
      </w:r>
      <w:r w:rsidRPr="000C4873">
        <w:rPr>
          <w:rFonts w:ascii="Athelas" w:hAnsi="Athelas"/>
          <w:sz w:val="24"/>
          <w:szCs w:val="24"/>
          <w:lang w:val="en-AU"/>
        </w:rPr>
        <w:t xml:space="preserve"> final hearing</w:t>
      </w:r>
      <w:r w:rsidR="00577FE5">
        <w:rPr>
          <w:rFonts w:ascii="Athelas" w:hAnsi="Athelas"/>
          <w:sz w:val="24"/>
          <w:szCs w:val="24"/>
          <w:lang w:val="en-AU"/>
        </w:rPr>
        <w:t>,</w:t>
      </w:r>
      <w:r w:rsidRPr="000C4873">
        <w:rPr>
          <w:rFonts w:ascii="Athelas" w:hAnsi="Athelas"/>
          <w:sz w:val="24"/>
          <w:szCs w:val="24"/>
          <w:lang w:val="en-AU"/>
        </w:rPr>
        <w:t xml:space="preserve"> the claimant’s prospects </w:t>
      </w:r>
      <w:r w:rsidR="00577FE5">
        <w:rPr>
          <w:rFonts w:ascii="Athelas" w:hAnsi="Athelas"/>
          <w:sz w:val="24"/>
          <w:szCs w:val="24"/>
          <w:lang w:val="en-AU"/>
        </w:rPr>
        <w:t>of success are good (see Figure </w:t>
      </w:r>
      <w:r w:rsidRPr="000C4873">
        <w:rPr>
          <w:rFonts w:ascii="Athelas" w:hAnsi="Athelas"/>
          <w:sz w:val="24"/>
          <w:szCs w:val="24"/>
          <w:lang w:val="en-AU"/>
        </w:rPr>
        <w:t>3).</w:t>
      </w:r>
    </w:p>
    <w:p w14:paraId="1121D16B" w14:textId="3D673909" w:rsidR="00D156F6" w:rsidRDefault="00D156F6" w:rsidP="00D156F6">
      <w:pPr>
        <w:spacing w:after="0" w:line="276" w:lineRule="auto"/>
        <w:ind w:firstLine="720"/>
        <w:jc w:val="both"/>
        <w:rPr>
          <w:rFonts w:ascii="Athelas" w:hAnsi="Athelas"/>
          <w:lang w:val="en-AU"/>
        </w:rPr>
      </w:pPr>
    </w:p>
    <w:p w14:paraId="687CDCFA" w14:textId="77777777" w:rsidR="00FA5ADD" w:rsidRDefault="00FA5ADD" w:rsidP="001F7FC9">
      <w:pPr>
        <w:spacing w:after="0" w:line="276" w:lineRule="auto"/>
        <w:ind w:left="426"/>
        <w:jc w:val="both"/>
        <w:rPr>
          <w:rFonts w:ascii="Athelas" w:hAnsi="Athelas"/>
          <w:lang w:val="en-AU"/>
        </w:rPr>
      </w:pPr>
    </w:p>
    <w:p w14:paraId="0438D459" w14:textId="77777777" w:rsidR="00FA5ADD" w:rsidRDefault="00FA5ADD" w:rsidP="001F7FC9">
      <w:pPr>
        <w:spacing w:after="0" w:line="276" w:lineRule="auto"/>
        <w:ind w:left="426"/>
        <w:jc w:val="both"/>
        <w:rPr>
          <w:rFonts w:ascii="Athelas" w:hAnsi="Athelas"/>
          <w:lang w:val="en-AU"/>
        </w:rPr>
      </w:pPr>
    </w:p>
    <w:p w14:paraId="3C03E8DC" w14:textId="4B43A042" w:rsidR="001F7FC9" w:rsidRDefault="001F7FC9" w:rsidP="001F7FC9">
      <w:pPr>
        <w:spacing w:after="0" w:line="276" w:lineRule="auto"/>
        <w:ind w:left="426"/>
        <w:jc w:val="both"/>
        <w:rPr>
          <w:rFonts w:ascii="Athelas" w:hAnsi="Athelas"/>
          <w:lang w:val="en-AU"/>
        </w:rPr>
      </w:pPr>
      <w:r>
        <w:rPr>
          <w:noProof/>
          <w:lang w:eastAsia="en-GB"/>
        </w:rPr>
        <w:lastRenderedPageBreak/>
        <w:drawing>
          <wp:inline distT="0" distB="0" distL="0" distR="0" wp14:anchorId="51343BC1" wp14:editId="3C8D599A">
            <wp:extent cx="5196840" cy="2786332"/>
            <wp:effectExtent l="0" t="0" r="381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1D2095" w14:textId="4E6DE3BB" w:rsidR="003120F6" w:rsidRDefault="003120F6" w:rsidP="001F7FC9">
      <w:pPr>
        <w:spacing w:after="0" w:line="276" w:lineRule="auto"/>
        <w:ind w:left="426"/>
        <w:jc w:val="both"/>
        <w:rPr>
          <w:rFonts w:ascii="Athelas" w:hAnsi="Athelas"/>
          <w:lang w:val="en-AU"/>
        </w:rPr>
      </w:pPr>
    </w:p>
    <w:p w14:paraId="0D5AA0F2" w14:textId="67CFBD9A" w:rsidR="003120F6" w:rsidRDefault="003120F6" w:rsidP="001F7FC9">
      <w:pPr>
        <w:spacing w:after="0" w:line="276" w:lineRule="auto"/>
        <w:ind w:left="426"/>
        <w:jc w:val="both"/>
        <w:rPr>
          <w:rFonts w:ascii="Athelas" w:hAnsi="Athelas"/>
          <w:lang w:val="en-AU"/>
        </w:rPr>
      </w:pPr>
      <w:r>
        <w:rPr>
          <w:noProof/>
          <w:lang w:eastAsia="en-GB"/>
        </w:rPr>
        <w:drawing>
          <wp:inline distT="0" distB="0" distL="0" distR="0" wp14:anchorId="1A141138" wp14:editId="54A25090">
            <wp:extent cx="5196840" cy="2786332"/>
            <wp:effectExtent l="0" t="0" r="381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A9A34D" w14:textId="77777777" w:rsidR="0032798E" w:rsidRDefault="0032798E" w:rsidP="001F7FC9">
      <w:pPr>
        <w:spacing w:after="0" w:line="276" w:lineRule="auto"/>
        <w:ind w:left="426"/>
        <w:jc w:val="both"/>
        <w:rPr>
          <w:rFonts w:ascii="Athelas" w:hAnsi="Athelas"/>
          <w:lang w:val="en-AU"/>
        </w:rPr>
      </w:pPr>
    </w:p>
    <w:p w14:paraId="7845E030" w14:textId="7B688D91" w:rsidR="0032798E" w:rsidRPr="000C4873" w:rsidRDefault="0032798E" w:rsidP="001F7FC9">
      <w:pPr>
        <w:spacing w:after="0" w:line="276" w:lineRule="auto"/>
        <w:ind w:left="426"/>
        <w:jc w:val="both"/>
        <w:rPr>
          <w:rFonts w:ascii="Athelas" w:hAnsi="Athelas"/>
          <w:lang w:val="en-AU"/>
        </w:rPr>
      </w:pPr>
      <w:r>
        <w:rPr>
          <w:noProof/>
          <w:lang w:eastAsia="en-GB"/>
        </w:rPr>
        <w:drawing>
          <wp:inline distT="0" distB="0" distL="0" distR="0" wp14:anchorId="750BF4A0" wp14:editId="62BEFA15">
            <wp:extent cx="5196840" cy="2777706"/>
            <wp:effectExtent l="0" t="0" r="381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55918C" w14:textId="5290A497" w:rsidR="00D156F6" w:rsidRPr="000C4873" w:rsidRDefault="00D156F6" w:rsidP="00A41F9F">
      <w:pPr>
        <w:spacing w:after="0" w:line="276" w:lineRule="auto"/>
        <w:ind w:right="26"/>
        <w:jc w:val="both"/>
        <w:rPr>
          <w:rFonts w:ascii="Athelas" w:hAnsi="Athelas"/>
          <w:sz w:val="24"/>
          <w:szCs w:val="24"/>
          <w:lang w:val="en-AU"/>
        </w:rPr>
      </w:pPr>
    </w:p>
    <w:p w14:paraId="366F15F2" w14:textId="770A8A61" w:rsidR="007409A9" w:rsidRPr="000C4873" w:rsidRDefault="007409A9" w:rsidP="007409A9">
      <w:pPr>
        <w:spacing w:after="0" w:line="276" w:lineRule="auto"/>
        <w:jc w:val="both"/>
        <w:rPr>
          <w:rFonts w:ascii="Athelas" w:hAnsi="Athelas"/>
          <w:sz w:val="24"/>
          <w:szCs w:val="24"/>
        </w:rPr>
      </w:pPr>
      <w:r w:rsidRPr="000C4873">
        <w:rPr>
          <w:rFonts w:ascii="Athelas" w:hAnsi="Athelas"/>
          <w:b/>
          <w:bCs/>
          <w:sz w:val="32"/>
          <w:szCs w:val="32"/>
          <w:lang w:val="en-AU"/>
        </w:rPr>
        <w:t>The Administrative Court under COVID-19 measures</w:t>
      </w:r>
    </w:p>
    <w:p w14:paraId="5EA9B4F0" w14:textId="77777777" w:rsidR="007409A9" w:rsidRPr="000C4873" w:rsidRDefault="007409A9" w:rsidP="007409A9">
      <w:pPr>
        <w:spacing w:after="0" w:line="276" w:lineRule="auto"/>
        <w:ind w:right="26"/>
        <w:jc w:val="both"/>
        <w:rPr>
          <w:rFonts w:ascii="Athelas" w:hAnsi="Athelas"/>
          <w:sz w:val="24"/>
          <w:szCs w:val="24"/>
          <w:lang w:val="en-AU"/>
        </w:rPr>
      </w:pPr>
    </w:p>
    <w:p w14:paraId="43298270" w14:textId="67320DFA" w:rsidR="00577FE5" w:rsidRDefault="00577FE5" w:rsidP="00BD58D4">
      <w:pPr>
        <w:spacing w:after="0" w:line="276" w:lineRule="auto"/>
        <w:jc w:val="both"/>
        <w:rPr>
          <w:rFonts w:ascii="Athelas" w:hAnsi="Athelas"/>
          <w:sz w:val="24"/>
          <w:szCs w:val="24"/>
          <w:lang w:val="en-AU"/>
        </w:rPr>
      </w:pPr>
      <w:r>
        <w:rPr>
          <w:rFonts w:ascii="Athelas" w:hAnsi="Athelas"/>
          <w:sz w:val="24"/>
          <w:szCs w:val="24"/>
          <w:lang w:val="en-AU"/>
        </w:rPr>
        <w:t>The COVID-19 pandemic had at least two significant implications for the Administrative Court. First, the arrival of the pandemic in the UK coincided with a significant drop in the number of applications for judicial review.</w:t>
      </w:r>
      <w:r w:rsidR="00945FB0">
        <w:rPr>
          <w:rStyle w:val="FootnoteReference"/>
          <w:rFonts w:ascii="Athelas" w:hAnsi="Athelas"/>
          <w:sz w:val="24"/>
          <w:szCs w:val="24"/>
          <w:lang w:val="en-AU"/>
        </w:rPr>
        <w:footnoteReference w:id="19"/>
      </w:r>
      <w:r>
        <w:rPr>
          <w:rFonts w:ascii="Athelas" w:hAnsi="Athelas"/>
          <w:sz w:val="24"/>
          <w:szCs w:val="24"/>
          <w:lang w:val="en-AU"/>
        </w:rPr>
        <w:t xml:space="preserve"> Between April and June 2020, there were 650 applications for judicial review.</w:t>
      </w:r>
      <w:r>
        <w:rPr>
          <w:rStyle w:val="FootnoteReference"/>
          <w:rFonts w:ascii="Athelas" w:hAnsi="Athelas"/>
          <w:sz w:val="24"/>
          <w:szCs w:val="24"/>
          <w:lang w:val="en-AU"/>
        </w:rPr>
        <w:footnoteReference w:id="20"/>
      </w:r>
      <w:r w:rsidR="00FB0CF0">
        <w:rPr>
          <w:rFonts w:ascii="Athelas" w:hAnsi="Athelas"/>
          <w:sz w:val="24"/>
          <w:szCs w:val="24"/>
          <w:lang w:val="en-AU"/>
        </w:rPr>
        <w:t xml:space="preserve"> This figure was 35 per cent below the mean number of applications </w:t>
      </w:r>
      <w:r w:rsidR="00945FB0">
        <w:rPr>
          <w:rFonts w:ascii="Athelas" w:hAnsi="Athelas"/>
          <w:sz w:val="24"/>
          <w:szCs w:val="24"/>
          <w:lang w:val="en-AU"/>
        </w:rPr>
        <w:t xml:space="preserve">per quarter </w:t>
      </w:r>
      <w:r w:rsidR="00FB0CF0">
        <w:rPr>
          <w:rFonts w:ascii="Athelas" w:hAnsi="Athelas"/>
          <w:sz w:val="24"/>
          <w:szCs w:val="24"/>
          <w:lang w:val="en-AU"/>
        </w:rPr>
        <w:t xml:space="preserve">over the </w:t>
      </w:r>
      <w:r w:rsidR="00945FB0">
        <w:rPr>
          <w:rFonts w:ascii="Athelas" w:hAnsi="Athelas"/>
          <w:sz w:val="24"/>
          <w:szCs w:val="24"/>
          <w:lang w:val="en-AU"/>
        </w:rPr>
        <w:t xml:space="preserve">preceding </w:t>
      </w:r>
      <w:r w:rsidR="00FB0CF0">
        <w:rPr>
          <w:rFonts w:ascii="Athelas" w:hAnsi="Athelas"/>
          <w:sz w:val="24"/>
          <w:szCs w:val="24"/>
          <w:lang w:val="en-AU"/>
        </w:rPr>
        <w:t xml:space="preserve">six years. </w:t>
      </w:r>
      <w:r w:rsidR="00BA7EA6">
        <w:rPr>
          <w:rFonts w:ascii="Athelas" w:hAnsi="Athelas"/>
          <w:sz w:val="24"/>
          <w:szCs w:val="24"/>
          <w:lang w:val="en-AU"/>
        </w:rPr>
        <w:t>There has</w:t>
      </w:r>
      <w:r w:rsidR="00945FB0">
        <w:rPr>
          <w:rFonts w:ascii="Athelas" w:hAnsi="Athelas"/>
          <w:sz w:val="24"/>
          <w:szCs w:val="24"/>
          <w:lang w:val="en-AU"/>
        </w:rPr>
        <w:t xml:space="preserve"> been a </w:t>
      </w:r>
      <w:r w:rsidR="00FA5ADD">
        <w:rPr>
          <w:rFonts w:ascii="Athelas" w:hAnsi="Athelas"/>
          <w:sz w:val="24"/>
          <w:szCs w:val="24"/>
          <w:lang w:val="en-AU"/>
        </w:rPr>
        <w:t>recent</w:t>
      </w:r>
      <w:r w:rsidR="00945FB0">
        <w:rPr>
          <w:rFonts w:ascii="Athelas" w:hAnsi="Athelas"/>
          <w:sz w:val="24"/>
          <w:szCs w:val="24"/>
          <w:lang w:val="en-AU"/>
        </w:rPr>
        <w:t xml:space="preserve"> downward trend in a</w:t>
      </w:r>
      <w:r w:rsidR="00FA5ADD">
        <w:rPr>
          <w:rFonts w:ascii="Athelas" w:hAnsi="Athelas"/>
          <w:sz w:val="24"/>
          <w:szCs w:val="24"/>
          <w:lang w:val="en-AU"/>
        </w:rPr>
        <w:t>pplications for judicial review</w:t>
      </w:r>
      <w:r w:rsidR="00945FB0">
        <w:rPr>
          <w:rFonts w:ascii="Athelas" w:hAnsi="Athelas"/>
          <w:sz w:val="24"/>
          <w:szCs w:val="24"/>
          <w:lang w:val="en-AU"/>
        </w:rPr>
        <w:t>, but applications between April and June 2020 were still 25 per cent below the mean number per quarter over the past two years.</w:t>
      </w:r>
      <w:bookmarkStart w:id="0" w:name="_GoBack"/>
      <w:bookmarkEnd w:id="0"/>
    </w:p>
    <w:p w14:paraId="375452F9" w14:textId="77777777" w:rsidR="00577FE5" w:rsidRDefault="00577FE5" w:rsidP="00BD58D4">
      <w:pPr>
        <w:spacing w:after="0" w:line="276" w:lineRule="auto"/>
        <w:jc w:val="both"/>
        <w:rPr>
          <w:rFonts w:ascii="Athelas" w:hAnsi="Athelas"/>
          <w:sz w:val="24"/>
          <w:szCs w:val="24"/>
          <w:lang w:val="en-AU"/>
        </w:rPr>
      </w:pPr>
    </w:p>
    <w:p w14:paraId="1D93CAD7" w14:textId="2F2D398A" w:rsidR="00AC1BD6" w:rsidRDefault="00FB0CF0" w:rsidP="00FB0CF0">
      <w:pPr>
        <w:spacing w:after="0" w:line="276" w:lineRule="auto"/>
        <w:ind w:firstLine="720"/>
        <w:jc w:val="both"/>
        <w:rPr>
          <w:rFonts w:ascii="Athelas" w:hAnsi="Athelas"/>
          <w:sz w:val="24"/>
          <w:szCs w:val="24"/>
          <w:lang w:val="en-AU"/>
        </w:rPr>
      </w:pPr>
      <w:r>
        <w:rPr>
          <w:rFonts w:ascii="Athelas" w:hAnsi="Athelas"/>
          <w:sz w:val="24"/>
          <w:szCs w:val="24"/>
          <w:lang w:val="en-AU"/>
        </w:rPr>
        <w:t>Second, i</w:t>
      </w:r>
      <w:r w:rsidR="007409A9" w:rsidRPr="000C4873">
        <w:rPr>
          <w:rFonts w:ascii="Athelas" w:hAnsi="Athelas"/>
          <w:sz w:val="24"/>
          <w:szCs w:val="24"/>
          <w:lang w:val="en-AU"/>
        </w:rPr>
        <w:t xml:space="preserve">n response to the COVID-19 pandemic, significant changes to the Administrative Court’s ordinary judicial review procedure were introduced quickly. </w:t>
      </w:r>
      <w:r w:rsidR="009370FF">
        <w:rPr>
          <w:rFonts w:ascii="Athelas" w:hAnsi="Athelas"/>
          <w:sz w:val="24"/>
          <w:szCs w:val="24"/>
          <w:lang w:val="en-AU"/>
        </w:rPr>
        <w:t>Between 18 March and 8 April 2020, a range of n</w:t>
      </w:r>
      <w:r w:rsidR="007409A9" w:rsidRPr="000C4873">
        <w:rPr>
          <w:rFonts w:ascii="Athelas" w:hAnsi="Athelas"/>
          <w:sz w:val="24"/>
          <w:szCs w:val="24"/>
          <w:lang w:val="en-AU"/>
        </w:rPr>
        <w:t xml:space="preserve">ew legislation, guidance, protocols, and rules </w:t>
      </w:r>
      <w:r w:rsidR="009370FF">
        <w:rPr>
          <w:rFonts w:ascii="Athelas" w:hAnsi="Athelas"/>
          <w:sz w:val="24"/>
          <w:szCs w:val="24"/>
          <w:lang w:val="en-AU"/>
        </w:rPr>
        <w:t>came into effect, providing</w:t>
      </w:r>
      <w:r w:rsidR="007409A9" w:rsidRPr="000C4873">
        <w:rPr>
          <w:rFonts w:ascii="Athelas" w:hAnsi="Athelas"/>
          <w:sz w:val="24"/>
          <w:szCs w:val="24"/>
          <w:lang w:val="en-AU"/>
        </w:rPr>
        <w:t xml:space="preserve"> for the Administrative Court to continue its work</w:t>
      </w:r>
      <w:r w:rsidR="009370FF">
        <w:rPr>
          <w:rFonts w:ascii="Athelas" w:hAnsi="Athelas"/>
          <w:sz w:val="24"/>
          <w:szCs w:val="24"/>
          <w:lang w:val="en-AU"/>
        </w:rPr>
        <w:t xml:space="preserve"> in a time of social distancing</w:t>
      </w:r>
      <w:r w:rsidR="007409A9" w:rsidRPr="000C4873">
        <w:rPr>
          <w:rFonts w:ascii="Athelas" w:hAnsi="Athelas"/>
          <w:sz w:val="24"/>
          <w:szCs w:val="24"/>
          <w:lang w:val="en-AU"/>
        </w:rPr>
        <w:t>.</w:t>
      </w:r>
      <w:r w:rsidR="009F2E47" w:rsidRPr="000C4873">
        <w:rPr>
          <w:rStyle w:val="FootnoteReference"/>
          <w:rFonts w:ascii="Athelas" w:hAnsi="Athelas"/>
          <w:sz w:val="24"/>
          <w:szCs w:val="24"/>
          <w:lang w:val="en-AU"/>
        </w:rPr>
        <w:footnoteReference w:id="21"/>
      </w:r>
    </w:p>
    <w:p w14:paraId="523D43B4" w14:textId="574EE4BB" w:rsidR="00577FE5" w:rsidRDefault="00577FE5" w:rsidP="00BD58D4">
      <w:pPr>
        <w:spacing w:after="0" w:line="276" w:lineRule="auto"/>
        <w:jc w:val="both"/>
        <w:rPr>
          <w:rFonts w:ascii="Athelas" w:hAnsi="Athelas"/>
          <w:sz w:val="24"/>
          <w:szCs w:val="24"/>
          <w:lang w:val="en-AU"/>
        </w:rPr>
      </w:pPr>
    </w:p>
    <w:p w14:paraId="0EADDA01" w14:textId="7731B547" w:rsidR="007409A9" w:rsidRPr="000C4873" w:rsidRDefault="00577FE5" w:rsidP="00FB0CF0">
      <w:pPr>
        <w:spacing w:after="0" w:line="276" w:lineRule="auto"/>
        <w:jc w:val="both"/>
        <w:rPr>
          <w:rFonts w:ascii="Athelas" w:hAnsi="Athelas"/>
          <w:sz w:val="24"/>
          <w:szCs w:val="24"/>
          <w:lang w:val="en-AU"/>
        </w:rPr>
      </w:pPr>
      <w:r>
        <w:rPr>
          <w:rFonts w:ascii="Athelas" w:hAnsi="Athelas"/>
          <w:sz w:val="24"/>
          <w:szCs w:val="24"/>
          <w:lang w:val="en-AU"/>
        </w:rPr>
        <w:tab/>
      </w:r>
      <w:r w:rsidR="007409A9" w:rsidRPr="000C4873">
        <w:rPr>
          <w:rFonts w:ascii="Athelas" w:hAnsi="Athelas"/>
          <w:sz w:val="24"/>
          <w:szCs w:val="24"/>
          <w:lang w:val="en-AU"/>
        </w:rPr>
        <w:t>In relation to the filing of applications, all applications for judicial review had to be filed electronically by email to the Administrative Court Office.</w:t>
      </w:r>
      <w:r w:rsidR="007409A9" w:rsidRPr="000C4873">
        <w:rPr>
          <w:rStyle w:val="FootnoteReference"/>
          <w:rFonts w:ascii="Athelas" w:hAnsi="Athelas"/>
          <w:sz w:val="24"/>
          <w:szCs w:val="24"/>
          <w:lang w:val="en-AU"/>
        </w:rPr>
        <w:footnoteReference w:id="22"/>
      </w:r>
      <w:r w:rsidR="007409A9" w:rsidRPr="000C4873">
        <w:rPr>
          <w:rFonts w:ascii="Athelas" w:hAnsi="Athelas"/>
          <w:sz w:val="24"/>
          <w:szCs w:val="24"/>
          <w:lang w:val="en-AU"/>
        </w:rPr>
        <w:t xml:space="preserve"> Those applications </w:t>
      </w:r>
      <w:r w:rsidR="00C37F43" w:rsidRPr="000C4873">
        <w:rPr>
          <w:rFonts w:ascii="Athelas" w:hAnsi="Athelas"/>
          <w:sz w:val="24"/>
          <w:szCs w:val="24"/>
          <w:lang w:val="en-AU"/>
        </w:rPr>
        <w:t>had to</w:t>
      </w:r>
      <w:r w:rsidR="007409A9" w:rsidRPr="000C4873">
        <w:rPr>
          <w:rFonts w:ascii="Athelas" w:hAnsi="Athelas"/>
          <w:sz w:val="24"/>
          <w:szCs w:val="24"/>
          <w:lang w:val="en-AU"/>
        </w:rPr>
        <w:t xml:space="preserve"> be accompanied by an electronic bundle of the relevant documents which complies with certain formatting requirements (</w:t>
      </w:r>
      <w:r w:rsidR="007409A9" w:rsidRPr="000C4873">
        <w:rPr>
          <w:rFonts w:ascii="Athelas" w:hAnsi="Athelas"/>
          <w:i/>
          <w:sz w:val="24"/>
          <w:szCs w:val="24"/>
          <w:lang w:val="en-AU"/>
        </w:rPr>
        <w:t>e.g.</w:t>
      </w:r>
      <w:r w:rsidR="007409A9" w:rsidRPr="000C4873">
        <w:rPr>
          <w:rFonts w:ascii="Athelas" w:hAnsi="Athelas"/>
          <w:sz w:val="24"/>
          <w:szCs w:val="24"/>
          <w:lang w:val="en-AU"/>
        </w:rPr>
        <w:t xml:space="preserve"> a hyperlinked index, selectable text, </w:t>
      </w:r>
      <w:r w:rsidR="007409A9" w:rsidRPr="000C4873">
        <w:rPr>
          <w:rFonts w:ascii="Athelas" w:hAnsi="Athelas"/>
          <w:i/>
          <w:sz w:val="24"/>
          <w:szCs w:val="24"/>
          <w:lang w:val="en-AU"/>
        </w:rPr>
        <w:t>etc.</w:t>
      </w:r>
      <w:r w:rsidR="007409A9" w:rsidRPr="000C4873">
        <w:rPr>
          <w:rFonts w:ascii="Athelas" w:hAnsi="Athelas"/>
          <w:sz w:val="24"/>
          <w:szCs w:val="24"/>
          <w:lang w:val="en-AU"/>
        </w:rPr>
        <w:t>). Urgent applications were to be limited to ‘only those documents which it will be necessary for the court to read for the purposes of determining the application.’</w:t>
      </w:r>
      <w:r w:rsidR="00F62630">
        <w:rPr>
          <w:rStyle w:val="FootnoteReference"/>
          <w:rFonts w:ascii="Athelas" w:hAnsi="Athelas"/>
          <w:sz w:val="24"/>
          <w:szCs w:val="24"/>
          <w:lang w:val="en-AU"/>
        </w:rPr>
        <w:footnoteReference w:id="23"/>
      </w:r>
      <w:r w:rsidR="007409A9" w:rsidRPr="000C4873">
        <w:rPr>
          <w:rFonts w:ascii="Athelas" w:hAnsi="Athelas"/>
          <w:sz w:val="24"/>
          <w:szCs w:val="24"/>
          <w:lang w:val="en-AU"/>
        </w:rPr>
        <w:t xml:space="preserve"> The Administrative Court Office noted that there </w:t>
      </w:r>
      <w:r w:rsidR="00D10002" w:rsidRPr="000C4873">
        <w:rPr>
          <w:rFonts w:ascii="Athelas" w:hAnsi="Athelas"/>
          <w:sz w:val="24"/>
          <w:szCs w:val="24"/>
          <w:lang w:val="en-AU"/>
        </w:rPr>
        <w:t>might</w:t>
      </w:r>
      <w:r w:rsidR="007409A9" w:rsidRPr="000C4873">
        <w:rPr>
          <w:rFonts w:ascii="Athelas" w:hAnsi="Athelas"/>
          <w:sz w:val="24"/>
          <w:szCs w:val="24"/>
          <w:lang w:val="en-AU"/>
        </w:rPr>
        <w:t xml:space="preserve"> be a delay before non-urgent applications </w:t>
      </w:r>
      <w:r w:rsidR="00D10002" w:rsidRPr="000C4873">
        <w:rPr>
          <w:rFonts w:ascii="Athelas" w:hAnsi="Athelas"/>
          <w:sz w:val="24"/>
          <w:szCs w:val="24"/>
          <w:lang w:val="en-AU"/>
        </w:rPr>
        <w:t>we</w:t>
      </w:r>
      <w:r w:rsidR="007409A9" w:rsidRPr="000C4873">
        <w:rPr>
          <w:rFonts w:ascii="Athelas" w:hAnsi="Athelas"/>
          <w:sz w:val="24"/>
          <w:szCs w:val="24"/>
          <w:lang w:val="en-AU"/>
        </w:rPr>
        <w:t>re issued, but</w:t>
      </w:r>
      <w:r w:rsidR="00D10002" w:rsidRPr="000C4873">
        <w:rPr>
          <w:rFonts w:ascii="Athelas" w:hAnsi="Athelas"/>
          <w:sz w:val="24"/>
          <w:szCs w:val="24"/>
          <w:lang w:val="en-AU"/>
        </w:rPr>
        <w:t xml:space="preserve"> that</w:t>
      </w:r>
      <w:r w:rsidR="007409A9" w:rsidRPr="000C4873">
        <w:rPr>
          <w:rFonts w:ascii="Athelas" w:hAnsi="Athelas"/>
          <w:sz w:val="24"/>
          <w:szCs w:val="24"/>
          <w:lang w:val="en-AU"/>
        </w:rPr>
        <w:t xml:space="preserve"> the date that the application </w:t>
      </w:r>
      <w:r w:rsidR="00D10002" w:rsidRPr="000C4873">
        <w:rPr>
          <w:rFonts w:ascii="Athelas" w:hAnsi="Athelas"/>
          <w:sz w:val="24"/>
          <w:szCs w:val="24"/>
          <w:lang w:val="en-AU"/>
        </w:rPr>
        <w:t>was</w:t>
      </w:r>
      <w:r w:rsidR="007409A9" w:rsidRPr="000C4873">
        <w:rPr>
          <w:rFonts w:ascii="Athelas" w:hAnsi="Athelas"/>
          <w:sz w:val="24"/>
          <w:szCs w:val="24"/>
          <w:lang w:val="en-AU"/>
        </w:rPr>
        <w:t xml:space="preserve"> sent </w:t>
      </w:r>
      <w:r w:rsidR="00D10002" w:rsidRPr="000C4873">
        <w:rPr>
          <w:rFonts w:ascii="Athelas" w:hAnsi="Athelas"/>
          <w:sz w:val="24"/>
          <w:szCs w:val="24"/>
          <w:lang w:val="en-AU"/>
        </w:rPr>
        <w:t>would</w:t>
      </w:r>
      <w:r w:rsidR="007409A9" w:rsidRPr="000C4873">
        <w:rPr>
          <w:rFonts w:ascii="Athelas" w:hAnsi="Athelas"/>
          <w:sz w:val="24"/>
          <w:szCs w:val="24"/>
          <w:lang w:val="en-AU"/>
        </w:rPr>
        <w:t xml:space="preserve"> be the date that it is recorded as filed. </w:t>
      </w:r>
      <w:r w:rsidR="00D10002" w:rsidRPr="000C4873">
        <w:rPr>
          <w:rFonts w:ascii="Athelas" w:hAnsi="Athelas"/>
          <w:sz w:val="24"/>
          <w:szCs w:val="24"/>
          <w:lang w:val="en-AU"/>
        </w:rPr>
        <w:t>Litigants in person who did</w:t>
      </w:r>
      <w:r w:rsidR="007409A9" w:rsidRPr="000C4873">
        <w:rPr>
          <w:rFonts w:ascii="Athelas" w:hAnsi="Athelas"/>
          <w:sz w:val="24"/>
          <w:szCs w:val="24"/>
          <w:lang w:val="en-AU"/>
        </w:rPr>
        <w:t xml:space="preserve"> not have access to email were asked to contact the Administrative Court Office by telephone so that alternative arrangements </w:t>
      </w:r>
      <w:r w:rsidR="00D10002" w:rsidRPr="000C4873">
        <w:rPr>
          <w:rFonts w:ascii="Athelas" w:hAnsi="Athelas"/>
          <w:sz w:val="24"/>
          <w:szCs w:val="24"/>
          <w:lang w:val="en-AU"/>
        </w:rPr>
        <w:t>could</w:t>
      </w:r>
      <w:r w:rsidR="007409A9" w:rsidRPr="000C4873">
        <w:rPr>
          <w:rFonts w:ascii="Athelas" w:hAnsi="Athelas"/>
          <w:sz w:val="24"/>
          <w:szCs w:val="24"/>
          <w:lang w:val="en-AU"/>
        </w:rPr>
        <w:t xml:space="preserve"> be made.</w:t>
      </w:r>
    </w:p>
    <w:p w14:paraId="3E91186D" w14:textId="77777777" w:rsidR="007409A9" w:rsidRPr="000C4873" w:rsidRDefault="007409A9" w:rsidP="007409A9">
      <w:pPr>
        <w:spacing w:after="0" w:line="276" w:lineRule="auto"/>
        <w:ind w:firstLine="720"/>
        <w:jc w:val="both"/>
        <w:rPr>
          <w:rFonts w:ascii="Athelas" w:hAnsi="Athelas"/>
          <w:sz w:val="24"/>
          <w:szCs w:val="24"/>
          <w:lang w:val="en-AU"/>
        </w:rPr>
      </w:pPr>
    </w:p>
    <w:p w14:paraId="5F62F30D" w14:textId="525179DD" w:rsidR="007409A9" w:rsidRPr="000C4873" w:rsidRDefault="007409A9" w:rsidP="007409A9">
      <w:pPr>
        <w:spacing w:after="0" w:line="276" w:lineRule="auto"/>
        <w:ind w:firstLine="720"/>
        <w:jc w:val="both"/>
        <w:rPr>
          <w:rFonts w:ascii="Athelas" w:hAnsi="Athelas"/>
          <w:sz w:val="24"/>
          <w:szCs w:val="24"/>
          <w:lang w:val="en-AU"/>
        </w:rPr>
      </w:pPr>
      <w:r w:rsidRPr="000C4873">
        <w:rPr>
          <w:rFonts w:ascii="Athelas" w:hAnsi="Athelas"/>
          <w:sz w:val="24"/>
          <w:szCs w:val="24"/>
          <w:lang w:val="en-AU"/>
        </w:rPr>
        <w:t>Permission continued to be considered and determined on the papers, although the Administrative Court Office indicated that the response time for such decisions was likely to increase.</w:t>
      </w:r>
      <w:r w:rsidRPr="000C4873">
        <w:rPr>
          <w:rStyle w:val="FootnoteReference"/>
          <w:rFonts w:ascii="Athelas" w:hAnsi="Athelas"/>
          <w:sz w:val="24"/>
          <w:szCs w:val="24"/>
          <w:lang w:val="en-AU"/>
        </w:rPr>
        <w:footnoteReference w:id="24"/>
      </w:r>
      <w:r w:rsidRPr="000C4873">
        <w:rPr>
          <w:rFonts w:ascii="Athelas" w:hAnsi="Athelas"/>
          <w:sz w:val="24"/>
          <w:szCs w:val="24"/>
          <w:lang w:val="en-AU"/>
        </w:rPr>
        <w:t xml:space="preserve"> In relation to hearings, the Lord Chief Justice directed that all civil hearings, </w:t>
      </w:r>
      <w:r w:rsidRPr="000C4873">
        <w:rPr>
          <w:rFonts w:ascii="Athelas" w:hAnsi="Athelas"/>
          <w:sz w:val="24"/>
          <w:szCs w:val="24"/>
          <w:lang w:val="en-AU"/>
        </w:rPr>
        <w:lastRenderedPageBreak/>
        <w:t>including judicial review, should take place remotely, unless ‘a remote hearing is not possible’ and ‘suitable arrangements can be made to ensure safety.’</w:t>
      </w:r>
      <w:r w:rsidRPr="000C4873">
        <w:rPr>
          <w:rStyle w:val="FootnoteReference"/>
          <w:rFonts w:ascii="Athelas" w:hAnsi="Athelas"/>
          <w:sz w:val="24"/>
          <w:szCs w:val="24"/>
          <w:lang w:val="en-AU"/>
        </w:rPr>
        <w:footnoteReference w:id="25"/>
      </w:r>
      <w:r w:rsidRPr="000C4873">
        <w:rPr>
          <w:rFonts w:ascii="Athelas" w:hAnsi="Athelas"/>
          <w:sz w:val="24"/>
          <w:szCs w:val="24"/>
          <w:lang w:val="en-AU"/>
        </w:rPr>
        <w:t xml:space="preserve"> The Revised Administrative Court Office Guidance was to the same effect. It stated that cases would continue to be listed for hearing ‘although hearings of non-urgent business may take longer to come on,’ and ‘[m]</w:t>
      </w:r>
      <w:proofErr w:type="spellStart"/>
      <w:r w:rsidRPr="000C4873">
        <w:rPr>
          <w:rFonts w:ascii="Athelas" w:hAnsi="Athelas"/>
          <w:sz w:val="24"/>
          <w:szCs w:val="24"/>
          <w:lang w:val="en-AU"/>
        </w:rPr>
        <w:t>ost</w:t>
      </w:r>
      <w:proofErr w:type="spellEnd"/>
      <w:r w:rsidRPr="000C4873">
        <w:rPr>
          <w:rFonts w:ascii="Athelas" w:hAnsi="Athelas"/>
          <w:sz w:val="24"/>
          <w:szCs w:val="24"/>
          <w:lang w:val="en-AU"/>
        </w:rPr>
        <w:t xml:space="preserve"> if not all hearings’ would be conducted remotely and, where possible, conducted as public hearings.</w:t>
      </w:r>
      <w:r w:rsidRPr="000C4873">
        <w:rPr>
          <w:rStyle w:val="FootnoteReference"/>
          <w:rFonts w:ascii="Athelas" w:hAnsi="Athelas"/>
          <w:sz w:val="24"/>
          <w:szCs w:val="24"/>
          <w:lang w:val="en-AU"/>
        </w:rPr>
        <w:footnoteReference w:id="26"/>
      </w:r>
      <w:r w:rsidRPr="000C4873">
        <w:rPr>
          <w:rFonts w:ascii="Athelas" w:hAnsi="Athelas"/>
          <w:sz w:val="24"/>
          <w:szCs w:val="24"/>
          <w:lang w:val="en-AU"/>
        </w:rPr>
        <w:t xml:space="preserve"> The Royal Courts of Justice and all of the regional centres remained open for essential in-person hearings.</w:t>
      </w:r>
      <w:r w:rsidRPr="000C4873">
        <w:rPr>
          <w:rStyle w:val="FootnoteReference"/>
          <w:rFonts w:ascii="Athelas" w:hAnsi="Athelas"/>
          <w:sz w:val="24"/>
          <w:szCs w:val="24"/>
          <w:lang w:val="en-AU"/>
        </w:rPr>
        <w:footnoteReference w:id="27"/>
      </w:r>
    </w:p>
    <w:p w14:paraId="72131150" w14:textId="77777777" w:rsidR="007409A9" w:rsidRPr="000C4873" w:rsidRDefault="007409A9" w:rsidP="007409A9">
      <w:pPr>
        <w:spacing w:after="0" w:line="276" w:lineRule="auto"/>
        <w:jc w:val="both"/>
        <w:rPr>
          <w:rFonts w:ascii="Athelas" w:hAnsi="Athelas"/>
          <w:sz w:val="24"/>
          <w:szCs w:val="24"/>
          <w:lang w:val="en-AU"/>
        </w:rPr>
      </w:pPr>
    </w:p>
    <w:p w14:paraId="608C10DD" w14:textId="0BDEB92E" w:rsidR="007409A9" w:rsidRPr="000C4873" w:rsidRDefault="007409A9" w:rsidP="007409A9">
      <w:pPr>
        <w:spacing w:after="0" w:line="276" w:lineRule="auto"/>
        <w:ind w:firstLine="720"/>
        <w:jc w:val="both"/>
        <w:rPr>
          <w:rFonts w:ascii="Athelas" w:hAnsi="Athelas"/>
          <w:sz w:val="24"/>
          <w:szCs w:val="24"/>
          <w:lang w:val="en-AU"/>
        </w:rPr>
      </w:pPr>
      <w:r w:rsidRPr="000C4873">
        <w:rPr>
          <w:rFonts w:ascii="Athelas" w:hAnsi="Athelas"/>
          <w:sz w:val="24"/>
          <w:szCs w:val="24"/>
          <w:lang w:val="en-AU"/>
        </w:rPr>
        <w:t xml:space="preserve">The COVID-19 measures provided for remote hearings to occur in a particular format. Most if not all hearings </w:t>
      </w:r>
      <w:r w:rsidR="001B1C94" w:rsidRPr="000C4873">
        <w:rPr>
          <w:rFonts w:ascii="Athelas" w:hAnsi="Athelas"/>
          <w:sz w:val="24"/>
          <w:szCs w:val="24"/>
          <w:lang w:val="en-AU"/>
        </w:rPr>
        <w:t>were to</w:t>
      </w:r>
      <w:r w:rsidRPr="000C4873">
        <w:rPr>
          <w:rFonts w:ascii="Athelas" w:hAnsi="Athelas"/>
          <w:sz w:val="24"/>
          <w:szCs w:val="24"/>
          <w:lang w:val="en-AU"/>
        </w:rPr>
        <w:t xml:space="preserve"> be conducted by Skype for Business or telephone.</w:t>
      </w:r>
      <w:r w:rsidRPr="000C4873">
        <w:rPr>
          <w:rStyle w:val="FootnoteReference"/>
          <w:rFonts w:ascii="Athelas" w:hAnsi="Athelas"/>
          <w:sz w:val="24"/>
          <w:szCs w:val="24"/>
          <w:lang w:val="en-AU"/>
        </w:rPr>
        <w:footnoteReference w:id="28"/>
      </w:r>
      <w:r w:rsidR="001B1C94" w:rsidRPr="000C4873">
        <w:rPr>
          <w:rFonts w:ascii="Athelas" w:hAnsi="Athelas"/>
          <w:sz w:val="24"/>
          <w:szCs w:val="24"/>
          <w:lang w:val="en-AU"/>
        </w:rPr>
        <w:t xml:space="preserve"> The Court w</w:t>
      </w:r>
      <w:r w:rsidRPr="000C4873">
        <w:rPr>
          <w:rFonts w:ascii="Athelas" w:hAnsi="Athelas"/>
          <w:sz w:val="24"/>
          <w:szCs w:val="24"/>
          <w:lang w:val="en-AU"/>
        </w:rPr>
        <w:t>ould, wherever possible, consult with the parties before proceeding with a remote hearing.</w:t>
      </w:r>
      <w:r w:rsidRPr="000C4873">
        <w:rPr>
          <w:rStyle w:val="FootnoteReference"/>
          <w:rFonts w:ascii="Athelas" w:hAnsi="Athelas"/>
          <w:sz w:val="24"/>
          <w:szCs w:val="24"/>
          <w:lang w:val="en-AU"/>
        </w:rPr>
        <w:footnoteReference w:id="29"/>
      </w:r>
      <w:r w:rsidRPr="000C4873">
        <w:rPr>
          <w:rFonts w:ascii="Athelas" w:hAnsi="Athelas"/>
          <w:sz w:val="24"/>
          <w:szCs w:val="24"/>
          <w:lang w:val="en-AU"/>
        </w:rPr>
        <w:t xml:space="preserve"> In a remote hearing, the </w:t>
      </w:r>
      <w:r w:rsidR="001B1C94" w:rsidRPr="000C4873">
        <w:rPr>
          <w:rFonts w:ascii="Athelas" w:hAnsi="Athelas"/>
          <w:sz w:val="24"/>
          <w:szCs w:val="24"/>
          <w:lang w:val="en-AU"/>
        </w:rPr>
        <w:t>Court official and the parties w</w:t>
      </w:r>
      <w:r w:rsidRPr="000C4873">
        <w:rPr>
          <w:rFonts w:ascii="Athelas" w:hAnsi="Athelas"/>
          <w:sz w:val="24"/>
          <w:szCs w:val="24"/>
          <w:lang w:val="en-AU"/>
        </w:rPr>
        <w:t xml:space="preserve">ould log in or call in to the relevant platform ‘in good time for the stated start time of the remote hearing,’ and the Court official </w:t>
      </w:r>
      <w:r w:rsidR="001B1C94" w:rsidRPr="000C4873">
        <w:rPr>
          <w:rFonts w:ascii="Athelas" w:hAnsi="Athelas"/>
          <w:sz w:val="24"/>
          <w:szCs w:val="24"/>
          <w:lang w:val="en-AU"/>
        </w:rPr>
        <w:t>would</w:t>
      </w:r>
      <w:r w:rsidRPr="000C4873">
        <w:rPr>
          <w:rFonts w:ascii="Athelas" w:hAnsi="Athelas"/>
          <w:sz w:val="24"/>
          <w:szCs w:val="24"/>
          <w:lang w:val="en-AU"/>
        </w:rPr>
        <w:t xml:space="preserve"> then invite in the judge.</w:t>
      </w:r>
      <w:r w:rsidRPr="000C4873">
        <w:rPr>
          <w:rStyle w:val="FootnoteReference"/>
          <w:rFonts w:ascii="Athelas" w:hAnsi="Athelas"/>
          <w:sz w:val="24"/>
          <w:szCs w:val="24"/>
          <w:lang w:val="en-AU"/>
        </w:rPr>
        <w:footnoteReference w:id="30"/>
      </w:r>
      <w:r w:rsidRPr="000C4873">
        <w:rPr>
          <w:rFonts w:ascii="Athelas" w:hAnsi="Athelas"/>
          <w:sz w:val="24"/>
          <w:szCs w:val="24"/>
          <w:lang w:val="en-AU"/>
        </w:rPr>
        <w:t xml:space="preserve"> HMCTS published general guidance on how to join telephone and video hearings.</w:t>
      </w:r>
      <w:r w:rsidRPr="000C4873">
        <w:rPr>
          <w:rStyle w:val="FootnoteReference"/>
          <w:rFonts w:ascii="Athelas" w:hAnsi="Athelas"/>
          <w:sz w:val="24"/>
          <w:szCs w:val="24"/>
          <w:lang w:val="en-AU"/>
        </w:rPr>
        <w:footnoteReference w:id="31"/>
      </w:r>
      <w:r w:rsidRPr="000C4873">
        <w:rPr>
          <w:rFonts w:ascii="Athelas" w:hAnsi="Athelas"/>
          <w:sz w:val="24"/>
          <w:szCs w:val="24"/>
          <w:lang w:val="en-AU"/>
        </w:rPr>
        <w:t xml:space="preserve"> As required by CPR</w:t>
      </w:r>
      <w:r w:rsidRPr="000C4873">
        <w:rPr>
          <w:rFonts w:ascii="Athelas" w:hAnsi="Athelas" w:cs="Cambria"/>
          <w:sz w:val="24"/>
          <w:szCs w:val="24"/>
          <w:lang w:val="en-AU"/>
        </w:rPr>
        <w:t> </w:t>
      </w:r>
      <w:r w:rsidRPr="000C4873">
        <w:rPr>
          <w:rFonts w:ascii="Athelas" w:hAnsi="Athelas"/>
          <w:sz w:val="24"/>
          <w:szCs w:val="24"/>
          <w:lang w:val="en-AU"/>
        </w:rPr>
        <w:t>Part</w:t>
      </w:r>
      <w:r w:rsidRPr="000C4873">
        <w:rPr>
          <w:rFonts w:ascii="Athelas" w:hAnsi="Athelas" w:cs="Cambria"/>
          <w:sz w:val="24"/>
          <w:szCs w:val="24"/>
          <w:lang w:val="en-AU"/>
        </w:rPr>
        <w:t> </w:t>
      </w:r>
      <w:r w:rsidRPr="000C4873">
        <w:rPr>
          <w:rFonts w:ascii="Athelas" w:hAnsi="Athelas"/>
          <w:sz w:val="24"/>
          <w:szCs w:val="24"/>
          <w:lang w:val="en-AU"/>
        </w:rPr>
        <w:t xml:space="preserve">39.9(1), the hearing </w:t>
      </w:r>
      <w:r w:rsidR="00165532" w:rsidRPr="000C4873">
        <w:rPr>
          <w:rFonts w:ascii="Athelas" w:hAnsi="Athelas"/>
          <w:sz w:val="24"/>
          <w:szCs w:val="24"/>
          <w:lang w:val="en-AU"/>
        </w:rPr>
        <w:t>would</w:t>
      </w:r>
      <w:r w:rsidRPr="000C4873">
        <w:rPr>
          <w:rFonts w:ascii="Athelas" w:hAnsi="Athelas"/>
          <w:sz w:val="24"/>
          <w:szCs w:val="24"/>
          <w:lang w:val="en-AU"/>
        </w:rPr>
        <w:t xml:space="preserve"> be recorded unless the judge direct</w:t>
      </w:r>
      <w:r w:rsidR="001B1C94" w:rsidRPr="000C4873">
        <w:rPr>
          <w:rFonts w:ascii="Athelas" w:hAnsi="Athelas"/>
          <w:sz w:val="24"/>
          <w:szCs w:val="24"/>
          <w:lang w:val="en-AU"/>
        </w:rPr>
        <w:t>ed</w:t>
      </w:r>
      <w:r w:rsidRPr="000C4873">
        <w:rPr>
          <w:rFonts w:ascii="Athelas" w:hAnsi="Athelas"/>
          <w:sz w:val="24"/>
          <w:szCs w:val="24"/>
          <w:lang w:val="en-AU"/>
        </w:rPr>
        <w:t xml:space="preserve"> otherwise. The parties and their legal representatives </w:t>
      </w:r>
      <w:r w:rsidR="00165532" w:rsidRPr="000C4873">
        <w:rPr>
          <w:rFonts w:ascii="Athelas" w:hAnsi="Athelas"/>
          <w:sz w:val="24"/>
          <w:szCs w:val="24"/>
          <w:lang w:val="en-AU"/>
        </w:rPr>
        <w:t>were</w:t>
      </w:r>
      <w:r w:rsidRPr="000C4873">
        <w:rPr>
          <w:rFonts w:ascii="Athelas" w:hAnsi="Athelas"/>
          <w:sz w:val="24"/>
          <w:szCs w:val="24"/>
          <w:lang w:val="en-AU"/>
        </w:rPr>
        <w:t xml:space="preserve"> not permitted to record the hearing.</w:t>
      </w:r>
      <w:r w:rsidRPr="000C4873">
        <w:rPr>
          <w:rStyle w:val="FootnoteReference"/>
          <w:rFonts w:ascii="Athelas" w:hAnsi="Athelas"/>
          <w:sz w:val="24"/>
          <w:szCs w:val="24"/>
          <w:lang w:val="en-AU"/>
        </w:rPr>
        <w:footnoteReference w:id="32"/>
      </w:r>
      <w:r w:rsidRPr="000C4873">
        <w:rPr>
          <w:rFonts w:ascii="Athelas" w:hAnsi="Athelas"/>
          <w:sz w:val="24"/>
          <w:szCs w:val="24"/>
          <w:lang w:val="en-AU"/>
        </w:rPr>
        <w:t xml:space="preserve"> HMCTS advised that its systems </w:t>
      </w:r>
      <w:r w:rsidR="00165532" w:rsidRPr="000C4873">
        <w:rPr>
          <w:rFonts w:ascii="Athelas" w:hAnsi="Athelas"/>
          <w:sz w:val="24"/>
          <w:szCs w:val="24"/>
          <w:lang w:val="en-AU"/>
        </w:rPr>
        <w:t>could not</w:t>
      </w:r>
      <w:r w:rsidRPr="000C4873">
        <w:rPr>
          <w:rFonts w:ascii="Athelas" w:hAnsi="Athelas"/>
          <w:sz w:val="24"/>
          <w:szCs w:val="24"/>
          <w:lang w:val="en-AU"/>
        </w:rPr>
        <w:t xml:space="preserve"> provide for confidential communications between lawyers and clients and, as such, ‘other arrangements will have to be made to facilitate these conversations, such as phone calls to clients.’</w:t>
      </w:r>
      <w:r w:rsidRPr="000C4873">
        <w:rPr>
          <w:rFonts w:ascii="Athelas" w:hAnsi="Athelas"/>
          <w:vertAlign w:val="superscript"/>
        </w:rPr>
        <w:footnoteReference w:id="33"/>
      </w:r>
    </w:p>
    <w:p w14:paraId="786FD037" w14:textId="77777777" w:rsidR="007409A9" w:rsidRPr="000C4873" w:rsidRDefault="007409A9" w:rsidP="007409A9">
      <w:pPr>
        <w:spacing w:after="0" w:line="276" w:lineRule="auto"/>
        <w:ind w:firstLine="720"/>
        <w:jc w:val="both"/>
        <w:rPr>
          <w:rFonts w:ascii="Athelas" w:hAnsi="Athelas"/>
          <w:sz w:val="24"/>
          <w:szCs w:val="24"/>
          <w:lang w:val="en-AU"/>
        </w:rPr>
      </w:pPr>
    </w:p>
    <w:p w14:paraId="7493B754" w14:textId="0FCECF6C" w:rsidR="007409A9" w:rsidRPr="000C4873" w:rsidRDefault="001B1C94" w:rsidP="007409A9">
      <w:pPr>
        <w:spacing w:after="0" w:line="276" w:lineRule="auto"/>
        <w:ind w:firstLine="720"/>
        <w:jc w:val="both"/>
        <w:rPr>
          <w:rFonts w:ascii="Athelas" w:hAnsi="Athelas"/>
          <w:sz w:val="24"/>
          <w:szCs w:val="24"/>
          <w:lang w:val="en-AU"/>
        </w:rPr>
      </w:pPr>
      <w:r w:rsidRPr="000C4873">
        <w:rPr>
          <w:rFonts w:ascii="Athelas" w:hAnsi="Athelas"/>
          <w:sz w:val="24"/>
          <w:szCs w:val="24"/>
          <w:lang w:val="en-AU"/>
        </w:rPr>
        <w:t>The COVID-19 measures provided</w:t>
      </w:r>
      <w:r w:rsidR="00165532" w:rsidRPr="000C4873">
        <w:rPr>
          <w:rFonts w:ascii="Athelas" w:hAnsi="Athelas"/>
          <w:sz w:val="24"/>
          <w:szCs w:val="24"/>
          <w:lang w:val="en-AU"/>
        </w:rPr>
        <w:t xml:space="preserve"> that remote</w:t>
      </w:r>
      <w:r w:rsidR="007409A9" w:rsidRPr="000C4873">
        <w:rPr>
          <w:rFonts w:ascii="Athelas" w:hAnsi="Athelas"/>
          <w:sz w:val="24"/>
          <w:szCs w:val="24"/>
          <w:lang w:val="en-AU"/>
        </w:rPr>
        <w:t xml:space="preserve"> hearings ‘should, so far as possible, still be public hearings.’</w:t>
      </w:r>
      <w:r w:rsidR="007409A9" w:rsidRPr="000C4873">
        <w:rPr>
          <w:rFonts w:ascii="Athelas" w:hAnsi="Athelas"/>
          <w:vertAlign w:val="superscript"/>
        </w:rPr>
        <w:footnoteReference w:id="34"/>
      </w:r>
      <w:r w:rsidR="007409A9" w:rsidRPr="000C4873">
        <w:rPr>
          <w:rFonts w:ascii="Athelas" w:hAnsi="Athelas"/>
          <w:sz w:val="24"/>
          <w:szCs w:val="24"/>
          <w:lang w:val="en-AU"/>
        </w:rPr>
        <w:t xml:space="preserve"> The Revised Remote Hearing Protocol suggest</w:t>
      </w:r>
      <w:r w:rsidR="00165532" w:rsidRPr="000C4873">
        <w:rPr>
          <w:rFonts w:ascii="Athelas" w:hAnsi="Athelas"/>
          <w:sz w:val="24"/>
          <w:szCs w:val="24"/>
          <w:lang w:val="en-AU"/>
        </w:rPr>
        <w:t>ed</w:t>
      </w:r>
      <w:r w:rsidR="007409A9" w:rsidRPr="000C4873">
        <w:rPr>
          <w:rFonts w:ascii="Athelas" w:hAnsi="Athelas"/>
          <w:sz w:val="24"/>
          <w:szCs w:val="24"/>
          <w:lang w:val="en-AU"/>
        </w:rPr>
        <w:t xml:space="preserve"> a number of methods: a judge or Court official relaying the audio and/or video to an open court room; allowing a media representative to log in to the remote hearing; and/or live streaming the hearing over the internet, where broadcasting hearings is authorised in legislation.</w:t>
      </w:r>
      <w:r w:rsidR="007409A9" w:rsidRPr="000C4873">
        <w:rPr>
          <w:rFonts w:ascii="Athelas" w:hAnsi="Athelas"/>
          <w:vertAlign w:val="superscript"/>
        </w:rPr>
        <w:footnoteReference w:id="35"/>
      </w:r>
      <w:r w:rsidR="007409A9" w:rsidRPr="000C4873">
        <w:rPr>
          <w:rFonts w:ascii="Athelas" w:hAnsi="Athelas"/>
          <w:sz w:val="24"/>
          <w:szCs w:val="24"/>
          <w:lang w:val="en-AU"/>
        </w:rPr>
        <w:t xml:space="preserve"> The Coronavirus Act 2020 relevantly authorise</w:t>
      </w:r>
      <w:r w:rsidR="00165532" w:rsidRPr="000C4873">
        <w:rPr>
          <w:rFonts w:ascii="Athelas" w:hAnsi="Athelas"/>
          <w:sz w:val="24"/>
          <w:szCs w:val="24"/>
          <w:lang w:val="en-AU"/>
        </w:rPr>
        <w:t>d</w:t>
      </w:r>
      <w:r w:rsidR="007409A9" w:rsidRPr="000C4873">
        <w:rPr>
          <w:rFonts w:ascii="Athelas" w:hAnsi="Athelas"/>
          <w:sz w:val="24"/>
          <w:szCs w:val="24"/>
          <w:lang w:val="en-AU"/>
        </w:rPr>
        <w:t xml:space="preserve"> courts to record </w:t>
      </w:r>
      <w:r w:rsidRPr="000C4873">
        <w:rPr>
          <w:rFonts w:ascii="Athelas" w:hAnsi="Athelas"/>
          <w:sz w:val="24"/>
          <w:szCs w:val="24"/>
          <w:lang w:val="en-AU"/>
        </w:rPr>
        <w:t xml:space="preserve">and broadcast proceedings </w:t>
      </w:r>
      <w:r w:rsidR="00CC5ED0">
        <w:rPr>
          <w:rFonts w:ascii="Athelas" w:hAnsi="Athelas"/>
          <w:sz w:val="24"/>
          <w:szCs w:val="24"/>
          <w:lang w:val="en-AU"/>
        </w:rPr>
        <w:t>that</w:t>
      </w:r>
      <w:r w:rsidRPr="000C4873">
        <w:rPr>
          <w:rFonts w:ascii="Athelas" w:hAnsi="Athelas"/>
          <w:sz w:val="24"/>
          <w:szCs w:val="24"/>
          <w:lang w:val="en-AU"/>
        </w:rPr>
        <w:t xml:space="preserve"> we</w:t>
      </w:r>
      <w:r w:rsidR="007409A9" w:rsidRPr="000C4873">
        <w:rPr>
          <w:rFonts w:ascii="Athelas" w:hAnsi="Athelas"/>
          <w:sz w:val="24"/>
          <w:szCs w:val="24"/>
          <w:lang w:val="en-AU"/>
        </w:rPr>
        <w:t xml:space="preserve">re conducted </w:t>
      </w:r>
      <w:r w:rsidR="007409A9" w:rsidRPr="000C4873">
        <w:rPr>
          <w:rFonts w:ascii="Athelas" w:hAnsi="Athelas"/>
          <w:sz w:val="24"/>
          <w:szCs w:val="24"/>
          <w:lang w:val="en-AU"/>
        </w:rPr>
        <w:lastRenderedPageBreak/>
        <w:t>wholly as video or audio proceedings, thus relaxing the conventional prohibitions on publishing or broadcasting court proceedings discussed above.</w:t>
      </w:r>
      <w:r w:rsidR="007409A9" w:rsidRPr="000C4873">
        <w:rPr>
          <w:rFonts w:ascii="Athelas" w:hAnsi="Athelas"/>
          <w:vertAlign w:val="superscript"/>
        </w:rPr>
        <w:footnoteReference w:id="36"/>
      </w:r>
      <w:r w:rsidR="007409A9" w:rsidRPr="000C4873">
        <w:rPr>
          <w:rFonts w:ascii="Athelas" w:hAnsi="Athelas"/>
          <w:sz w:val="24"/>
          <w:szCs w:val="24"/>
          <w:vertAlign w:val="superscript"/>
          <w:lang w:val="en-AU"/>
        </w:rPr>
        <w:t xml:space="preserve"> </w:t>
      </w:r>
      <w:r w:rsidR="007409A9" w:rsidRPr="000C4873">
        <w:rPr>
          <w:rFonts w:ascii="Athelas" w:hAnsi="Athelas"/>
          <w:sz w:val="24"/>
          <w:szCs w:val="24"/>
          <w:lang w:val="en-AU"/>
        </w:rPr>
        <w:t xml:space="preserve">Requests from the media and others to observe a hearing remotely </w:t>
      </w:r>
      <w:r w:rsidR="00165532" w:rsidRPr="000C4873">
        <w:rPr>
          <w:rFonts w:ascii="Athelas" w:hAnsi="Athelas"/>
          <w:sz w:val="24"/>
          <w:szCs w:val="24"/>
          <w:lang w:val="en-AU"/>
        </w:rPr>
        <w:t>were to</w:t>
      </w:r>
      <w:r w:rsidR="007409A9" w:rsidRPr="000C4873">
        <w:rPr>
          <w:rFonts w:ascii="Athelas" w:hAnsi="Athelas"/>
          <w:sz w:val="24"/>
          <w:szCs w:val="24"/>
          <w:lang w:val="en-AU"/>
        </w:rPr>
        <w:t xml:space="preserve"> be made to the Court in advance to allow for inclusion during the hearing set-up</w:t>
      </w:r>
      <w:r w:rsidR="00165532" w:rsidRPr="000C4873">
        <w:rPr>
          <w:rFonts w:ascii="Athelas" w:hAnsi="Athelas"/>
          <w:sz w:val="24"/>
          <w:szCs w:val="24"/>
          <w:lang w:val="en-AU"/>
        </w:rPr>
        <w:t xml:space="preserve"> process</w:t>
      </w:r>
      <w:r w:rsidR="007409A9" w:rsidRPr="000C4873">
        <w:rPr>
          <w:rFonts w:ascii="Athelas" w:hAnsi="Athelas"/>
          <w:sz w:val="24"/>
          <w:szCs w:val="24"/>
          <w:lang w:val="en-AU"/>
        </w:rPr>
        <w:t>.</w:t>
      </w:r>
      <w:r w:rsidR="007409A9" w:rsidRPr="000C4873">
        <w:rPr>
          <w:rFonts w:ascii="Athelas" w:hAnsi="Athelas"/>
          <w:vertAlign w:val="superscript"/>
        </w:rPr>
        <w:footnoteReference w:id="37"/>
      </w:r>
      <w:r w:rsidR="007409A9" w:rsidRPr="000C4873">
        <w:rPr>
          <w:rFonts w:ascii="Athelas" w:hAnsi="Athelas"/>
          <w:sz w:val="24"/>
          <w:szCs w:val="24"/>
          <w:lang w:val="en-AU"/>
        </w:rPr>
        <w:t xml:space="preserve"> </w:t>
      </w:r>
      <w:r w:rsidR="00F4253B" w:rsidRPr="000C4873">
        <w:rPr>
          <w:rFonts w:ascii="Athelas" w:hAnsi="Athelas"/>
          <w:sz w:val="24"/>
          <w:szCs w:val="24"/>
          <w:lang w:val="en-AU"/>
        </w:rPr>
        <w:t>The measures recognised that, i</w:t>
      </w:r>
      <w:r w:rsidR="007409A9" w:rsidRPr="000C4873">
        <w:rPr>
          <w:rFonts w:ascii="Athelas" w:hAnsi="Athelas"/>
          <w:sz w:val="24"/>
          <w:szCs w:val="24"/>
          <w:lang w:val="en-AU"/>
        </w:rPr>
        <w:t xml:space="preserve">n some cases, public access to a remote hearing </w:t>
      </w:r>
      <w:r w:rsidR="00F4253B" w:rsidRPr="000C4873">
        <w:rPr>
          <w:rFonts w:ascii="Athelas" w:hAnsi="Athelas"/>
          <w:sz w:val="24"/>
          <w:szCs w:val="24"/>
          <w:lang w:val="en-AU"/>
        </w:rPr>
        <w:t>would not be possible</w:t>
      </w:r>
      <w:r w:rsidR="007409A9" w:rsidRPr="000C4873">
        <w:rPr>
          <w:rFonts w:ascii="Athelas" w:hAnsi="Athelas"/>
          <w:sz w:val="24"/>
          <w:szCs w:val="24"/>
          <w:lang w:val="en-AU"/>
        </w:rPr>
        <w:t>. Practice Direction</w:t>
      </w:r>
      <w:r w:rsidR="007409A9" w:rsidRPr="000C4873">
        <w:rPr>
          <w:rFonts w:ascii="Athelas" w:hAnsi="Athelas" w:cs="Cambria"/>
          <w:sz w:val="24"/>
          <w:szCs w:val="24"/>
          <w:lang w:val="en-AU"/>
        </w:rPr>
        <w:t> </w:t>
      </w:r>
      <w:r w:rsidR="007409A9" w:rsidRPr="000C4873">
        <w:rPr>
          <w:rFonts w:ascii="Athelas" w:hAnsi="Athelas"/>
          <w:sz w:val="24"/>
          <w:szCs w:val="24"/>
          <w:lang w:val="en-AU"/>
        </w:rPr>
        <w:t>51Y state</w:t>
      </w:r>
      <w:r w:rsidRPr="000C4873">
        <w:rPr>
          <w:rFonts w:ascii="Athelas" w:hAnsi="Athelas"/>
          <w:sz w:val="24"/>
          <w:szCs w:val="24"/>
          <w:lang w:val="en-AU"/>
        </w:rPr>
        <w:t>d that</w:t>
      </w:r>
      <w:r w:rsidR="007409A9" w:rsidRPr="000C4873">
        <w:rPr>
          <w:rFonts w:ascii="Athelas" w:hAnsi="Athelas"/>
          <w:sz w:val="24"/>
          <w:szCs w:val="24"/>
          <w:lang w:val="en-AU"/>
        </w:rPr>
        <w:t xml:space="preserve"> ‘where the court directs that proceedings are to be conducted wholly as video or audio proceedings and it is not practicable for the hearing to be broadcast in a court building, the court may direct that the hearing must take place in private where it is necessary to do so to secure the proper administration of justice.’</w:t>
      </w:r>
      <w:r w:rsidR="009370FF">
        <w:rPr>
          <w:rStyle w:val="FootnoteReference"/>
          <w:rFonts w:ascii="Athelas" w:hAnsi="Athelas"/>
          <w:sz w:val="24"/>
          <w:szCs w:val="24"/>
          <w:lang w:val="en-AU"/>
        </w:rPr>
        <w:footnoteReference w:id="38"/>
      </w:r>
      <w:r w:rsidR="007409A9" w:rsidRPr="000C4873">
        <w:rPr>
          <w:rFonts w:ascii="Athelas" w:hAnsi="Athelas"/>
        </w:rPr>
        <w:t xml:space="preserve"> </w:t>
      </w:r>
      <w:r w:rsidR="007409A9" w:rsidRPr="000C4873">
        <w:rPr>
          <w:rFonts w:ascii="Athelas" w:hAnsi="Athelas"/>
          <w:sz w:val="24"/>
          <w:szCs w:val="24"/>
          <w:lang w:val="en-AU"/>
        </w:rPr>
        <w:t xml:space="preserve">Where a ‘media representative’ </w:t>
      </w:r>
      <w:r w:rsidRPr="000C4873">
        <w:rPr>
          <w:rFonts w:ascii="Athelas" w:hAnsi="Athelas"/>
          <w:sz w:val="24"/>
          <w:szCs w:val="24"/>
          <w:lang w:val="en-AU"/>
        </w:rPr>
        <w:t>was</w:t>
      </w:r>
      <w:r w:rsidR="007409A9" w:rsidRPr="000C4873">
        <w:rPr>
          <w:rFonts w:ascii="Athelas" w:hAnsi="Athelas"/>
          <w:sz w:val="24"/>
          <w:szCs w:val="24"/>
          <w:lang w:val="en-AU"/>
        </w:rPr>
        <w:t xml:space="preserve"> able to access p</w:t>
      </w:r>
      <w:r w:rsidRPr="000C4873">
        <w:rPr>
          <w:rFonts w:ascii="Athelas" w:hAnsi="Athelas"/>
          <w:sz w:val="24"/>
          <w:szCs w:val="24"/>
          <w:lang w:val="en-AU"/>
        </w:rPr>
        <w:t>roceedings remotely while they we</w:t>
      </w:r>
      <w:r w:rsidR="007409A9" w:rsidRPr="000C4873">
        <w:rPr>
          <w:rFonts w:ascii="Athelas" w:hAnsi="Athelas"/>
          <w:sz w:val="24"/>
          <w:szCs w:val="24"/>
          <w:lang w:val="en-AU"/>
        </w:rPr>
        <w:t xml:space="preserve">re taking place, they </w:t>
      </w:r>
      <w:r w:rsidRPr="000C4873">
        <w:rPr>
          <w:rFonts w:ascii="Athelas" w:hAnsi="Athelas"/>
          <w:sz w:val="24"/>
          <w:szCs w:val="24"/>
          <w:lang w:val="en-AU"/>
        </w:rPr>
        <w:t>would</w:t>
      </w:r>
      <w:r w:rsidR="007409A9" w:rsidRPr="000C4873">
        <w:rPr>
          <w:rFonts w:ascii="Athelas" w:hAnsi="Athelas"/>
          <w:sz w:val="24"/>
          <w:szCs w:val="24"/>
          <w:lang w:val="en-AU"/>
        </w:rPr>
        <w:t xml:space="preserve"> be deemed public proceedings and the Court </w:t>
      </w:r>
      <w:r w:rsidRPr="000C4873">
        <w:rPr>
          <w:rFonts w:ascii="Athelas" w:hAnsi="Athelas"/>
          <w:sz w:val="24"/>
          <w:szCs w:val="24"/>
          <w:lang w:val="en-AU"/>
        </w:rPr>
        <w:t>could</w:t>
      </w:r>
      <w:r w:rsidR="007409A9" w:rsidRPr="000C4873">
        <w:rPr>
          <w:rFonts w:ascii="Athelas" w:hAnsi="Athelas"/>
          <w:sz w:val="24"/>
          <w:szCs w:val="24"/>
          <w:lang w:val="en-AU"/>
        </w:rPr>
        <w:t xml:space="preserve"> not direct that the hearing be private. Any hearing held in private </w:t>
      </w:r>
      <w:r w:rsidRPr="000C4873">
        <w:rPr>
          <w:rFonts w:ascii="Athelas" w:hAnsi="Athelas"/>
          <w:sz w:val="24"/>
          <w:szCs w:val="24"/>
          <w:lang w:val="en-AU"/>
        </w:rPr>
        <w:t>had to be recorded, where that was</w:t>
      </w:r>
      <w:r w:rsidR="007409A9" w:rsidRPr="000C4873">
        <w:rPr>
          <w:rFonts w:ascii="Athelas" w:hAnsi="Athelas"/>
          <w:sz w:val="24"/>
          <w:szCs w:val="24"/>
          <w:lang w:val="en-AU"/>
        </w:rPr>
        <w:t xml:space="preserve"> practicable, in a manner directed by the Court, and any person </w:t>
      </w:r>
      <w:r w:rsidRPr="000C4873">
        <w:rPr>
          <w:rFonts w:ascii="Athelas" w:hAnsi="Athelas"/>
          <w:sz w:val="24"/>
          <w:szCs w:val="24"/>
          <w:lang w:val="en-AU"/>
        </w:rPr>
        <w:t>could</w:t>
      </w:r>
      <w:r w:rsidR="007409A9" w:rsidRPr="000C4873">
        <w:rPr>
          <w:rFonts w:ascii="Athelas" w:hAnsi="Athelas"/>
          <w:sz w:val="24"/>
          <w:szCs w:val="24"/>
          <w:lang w:val="en-AU"/>
        </w:rPr>
        <w:t xml:space="preserve"> request access to such a recording in a court building with the Court’s consent.</w:t>
      </w:r>
      <w:r w:rsidR="007409A9" w:rsidRPr="000C4873">
        <w:rPr>
          <w:rFonts w:ascii="Athelas" w:hAnsi="Athelas"/>
          <w:vertAlign w:val="superscript"/>
        </w:rPr>
        <w:footnoteReference w:id="39"/>
      </w:r>
    </w:p>
    <w:p w14:paraId="52AE035C" w14:textId="77777777" w:rsidR="00A00F8B" w:rsidRPr="000C4873" w:rsidRDefault="00A00F8B" w:rsidP="00A00F8B">
      <w:pPr>
        <w:spacing w:after="0" w:line="276" w:lineRule="auto"/>
        <w:ind w:right="26"/>
        <w:jc w:val="both"/>
        <w:rPr>
          <w:rFonts w:ascii="Athelas" w:hAnsi="Athelas"/>
          <w:sz w:val="24"/>
          <w:szCs w:val="24"/>
          <w:lang w:val="en-AU"/>
        </w:rPr>
      </w:pPr>
    </w:p>
    <w:p w14:paraId="78C3BDC8" w14:textId="12DF3F79" w:rsidR="00A00F8B" w:rsidRPr="000C4873" w:rsidRDefault="00A00F8B" w:rsidP="00BD58D4">
      <w:pPr>
        <w:keepNext/>
        <w:spacing w:after="0" w:line="276" w:lineRule="auto"/>
        <w:jc w:val="both"/>
        <w:rPr>
          <w:rFonts w:ascii="Athelas" w:hAnsi="Athelas"/>
          <w:sz w:val="24"/>
          <w:szCs w:val="24"/>
        </w:rPr>
      </w:pPr>
      <w:r w:rsidRPr="000C4873">
        <w:rPr>
          <w:rFonts w:ascii="Athelas" w:hAnsi="Athelas"/>
          <w:b/>
          <w:bCs/>
          <w:sz w:val="32"/>
          <w:szCs w:val="32"/>
          <w:lang w:val="en-AU"/>
        </w:rPr>
        <w:t>Experiences of judicial review under COVID-19 measures</w:t>
      </w:r>
    </w:p>
    <w:p w14:paraId="085487F0" w14:textId="77777777" w:rsidR="00A00F8B" w:rsidRPr="000C4873" w:rsidRDefault="00A00F8B" w:rsidP="00BA7EA6">
      <w:pPr>
        <w:keepNext/>
        <w:spacing w:after="0" w:line="276" w:lineRule="auto"/>
        <w:ind w:right="28"/>
        <w:jc w:val="both"/>
        <w:rPr>
          <w:rFonts w:ascii="Athelas" w:hAnsi="Athelas"/>
          <w:sz w:val="24"/>
          <w:szCs w:val="24"/>
          <w:lang w:val="en-AU"/>
        </w:rPr>
      </w:pPr>
    </w:p>
    <w:p w14:paraId="33AB04C3" w14:textId="7167B32D" w:rsidR="00A00F8B" w:rsidRPr="000C4873" w:rsidRDefault="00A00F8B" w:rsidP="00A00F8B">
      <w:pPr>
        <w:spacing w:after="0" w:line="276" w:lineRule="auto"/>
        <w:jc w:val="both"/>
        <w:rPr>
          <w:rFonts w:ascii="Athelas" w:hAnsi="Athelas"/>
          <w:sz w:val="24"/>
          <w:szCs w:val="24"/>
          <w:lang w:val="en-AU"/>
        </w:rPr>
      </w:pPr>
      <w:r w:rsidRPr="000C4873">
        <w:rPr>
          <w:rFonts w:ascii="Athelas" w:hAnsi="Athelas"/>
          <w:sz w:val="24"/>
          <w:szCs w:val="24"/>
          <w:lang w:val="en-AU"/>
        </w:rPr>
        <w:t>The</w:t>
      </w:r>
      <w:r w:rsidR="001B1C94" w:rsidRPr="000C4873">
        <w:rPr>
          <w:rFonts w:ascii="Athelas" w:hAnsi="Athelas"/>
          <w:sz w:val="24"/>
          <w:szCs w:val="24"/>
          <w:lang w:val="en-AU"/>
        </w:rPr>
        <w:t>se</w:t>
      </w:r>
      <w:r w:rsidRPr="000C4873">
        <w:rPr>
          <w:rFonts w:ascii="Athelas" w:hAnsi="Athelas"/>
          <w:sz w:val="24"/>
          <w:szCs w:val="24"/>
          <w:lang w:val="en-AU"/>
        </w:rPr>
        <w:t xml:space="preserve"> significant changes to judicial revie</w:t>
      </w:r>
      <w:r w:rsidR="001B1C94" w:rsidRPr="000C4873">
        <w:rPr>
          <w:rFonts w:ascii="Athelas" w:hAnsi="Athelas"/>
          <w:sz w:val="24"/>
          <w:szCs w:val="24"/>
          <w:lang w:val="en-AU"/>
        </w:rPr>
        <w:t xml:space="preserve">w </w:t>
      </w:r>
      <w:r w:rsidRPr="000C4873">
        <w:rPr>
          <w:rFonts w:ascii="Athelas" w:hAnsi="Athelas"/>
          <w:sz w:val="24"/>
          <w:szCs w:val="24"/>
          <w:lang w:val="en-AU"/>
        </w:rPr>
        <w:t xml:space="preserve">represent a swift shift from conventional </w:t>
      </w:r>
      <w:r w:rsidR="00207B6F">
        <w:rPr>
          <w:rFonts w:ascii="Athelas" w:hAnsi="Athelas"/>
          <w:sz w:val="24"/>
          <w:szCs w:val="24"/>
          <w:lang w:val="en-AU"/>
        </w:rPr>
        <w:t>court</w:t>
      </w:r>
      <w:r w:rsidR="00207B6F" w:rsidRPr="000C4873">
        <w:rPr>
          <w:rFonts w:ascii="Athelas" w:hAnsi="Athelas"/>
          <w:sz w:val="24"/>
          <w:szCs w:val="24"/>
          <w:lang w:val="en-AU"/>
        </w:rPr>
        <w:t xml:space="preserve"> </w:t>
      </w:r>
      <w:r w:rsidRPr="000C4873">
        <w:rPr>
          <w:rFonts w:ascii="Athelas" w:hAnsi="Athelas"/>
          <w:sz w:val="24"/>
          <w:szCs w:val="24"/>
          <w:lang w:val="en-AU"/>
        </w:rPr>
        <w:t xml:space="preserve">procedures to remote, mostly digital justice procedures. Our </w:t>
      </w:r>
      <w:r w:rsidR="00207B6F">
        <w:rPr>
          <w:rFonts w:ascii="Athelas" w:hAnsi="Athelas"/>
          <w:sz w:val="24"/>
          <w:szCs w:val="24"/>
          <w:lang w:val="en-AU"/>
        </w:rPr>
        <w:t xml:space="preserve">empirical </w:t>
      </w:r>
      <w:r w:rsidRPr="000C4873">
        <w:rPr>
          <w:rFonts w:ascii="Athelas" w:hAnsi="Athelas"/>
          <w:sz w:val="24"/>
          <w:szCs w:val="24"/>
          <w:lang w:val="en-AU"/>
        </w:rPr>
        <w:t>res</w:t>
      </w:r>
      <w:r w:rsidR="00F75D46" w:rsidRPr="000C4873">
        <w:rPr>
          <w:rFonts w:ascii="Athelas" w:hAnsi="Athelas"/>
          <w:sz w:val="24"/>
          <w:szCs w:val="24"/>
          <w:lang w:val="en-AU"/>
        </w:rPr>
        <w:t>earch into th</w:t>
      </w:r>
      <w:r w:rsidR="001B1C94" w:rsidRPr="000C4873">
        <w:rPr>
          <w:rFonts w:ascii="Athelas" w:hAnsi="Athelas"/>
          <w:sz w:val="24"/>
          <w:szCs w:val="24"/>
          <w:lang w:val="en-AU"/>
        </w:rPr>
        <w:t>e</w:t>
      </w:r>
      <w:r w:rsidR="00207B6F">
        <w:rPr>
          <w:rFonts w:ascii="Athelas" w:hAnsi="Athelas"/>
          <w:sz w:val="24"/>
          <w:szCs w:val="24"/>
          <w:lang w:val="en-AU"/>
        </w:rPr>
        <w:t xml:space="preserve"> operation of these</w:t>
      </w:r>
      <w:r w:rsidR="00F75D46" w:rsidRPr="000C4873">
        <w:rPr>
          <w:rFonts w:ascii="Athelas" w:hAnsi="Athelas"/>
          <w:sz w:val="24"/>
          <w:szCs w:val="24"/>
          <w:lang w:val="en-AU"/>
        </w:rPr>
        <w:t xml:space="preserve"> new</w:t>
      </w:r>
      <w:r w:rsidR="001B1C94" w:rsidRPr="000C4873">
        <w:rPr>
          <w:rFonts w:ascii="Athelas" w:hAnsi="Athelas"/>
          <w:sz w:val="24"/>
          <w:szCs w:val="24"/>
          <w:lang w:val="en-AU"/>
        </w:rPr>
        <w:t xml:space="preserve"> procedure</w:t>
      </w:r>
      <w:r w:rsidR="00F75D46" w:rsidRPr="000C4873">
        <w:rPr>
          <w:rFonts w:ascii="Athelas" w:hAnsi="Athelas"/>
          <w:sz w:val="24"/>
          <w:szCs w:val="24"/>
          <w:lang w:val="en-AU"/>
        </w:rPr>
        <w:t>s</w:t>
      </w:r>
      <w:r w:rsidRPr="000C4873">
        <w:rPr>
          <w:rFonts w:ascii="Athelas" w:hAnsi="Athelas"/>
          <w:sz w:val="24"/>
          <w:szCs w:val="24"/>
          <w:lang w:val="en-AU"/>
        </w:rPr>
        <w:t xml:space="preserve"> allows us to make the fol</w:t>
      </w:r>
      <w:r w:rsidR="00332280">
        <w:rPr>
          <w:rFonts w:ascii="Athelas" w:hAnsi="Athelas"/>
          <w:sz w:val="24"/>
          <w:szCs w:val="24"/>
          <w:lang w:val="en-AU"/>
        </w:rPr>
        <w:t>lowing observations</w:t>
      </w:r>
      <w:r w:rsidRPr="000C4873">
        <w:rPr>
          <w:rFonts w:ascii="Athelas" w:hAnsi="Athelas"/>
          <w:sz w:val="24"/>
          <w:szCs w:val="24"/>
          <w:lang w:val="en-AU"/>
        </w:rPr>
        <w:t>.</w:t>
      </w:r>
    </w:p>
    <w:p w14:paraId="38DC7C5C" w14:textId="7F40FF37" w:rsidR="00A00F8B" w:rsidRPr="000C4873" w:rsidRDefault="00A00F8B" w:rsidP="00A00F8B">
      <w:pPr>
        <w:spacing w:after="0" w:line="276" w:lineRule="auto"/>
        <w:jc w:val="both"/>
        <w:rPr>
          <w:rFonts w:ascii="Athelas" w:hAnsi="Athelas"/>
          <w:sz w:val="24"/>
          <w:szCs w:val="24"/>
          <w:lang w:val="en-AU"/>
        </w:rPr>
      </w:pPr>
    </w:p>
    <w:p w14:paraId="2BE008CE" w14:textId="5117A0FD" w:rsidR="00A00F8B" w:rsidRPr="000C4873" w:rsidRDefault="00051252" w:rsidP="00A00F8B">
      <w:pPr>
        <w:spacing w:after="0" w:line="276" w:lineRule="auto"/>
        <w:ind w:firstLine="720"/>
        <w:jc w:val="both"/>
        <w:rPr>
          <w:rFonts w:ascii="Athelas" w:hAnsi="Athelas"/>
          <w:sz w:val="24"/>
          <w:szCs w:val="24"/>
          <w:lang w:val="en-AU"/>
        </w:rPr>
      </w:pPr>
      <w:r w:rsidRPr="000C4873">
        <w:rPr>
          <w:rFonts w:ascii="Athelas" w:hAnsi="Athelas"/>
          <w:sz w:val="24"/>
          <w:szCs w:val="24"/>
          <w:lang w:val="en-AU"/>
        </w:rPr>
        <w:t xml:space="preserve">Interviewees were generally grateful </w:t>
      </w:r>
      <w:r w:rsidR="00A00F8B" w:rsidRPr="000C4873">
        <w:rPr>
          <w:rFonts w:ascii="Athelas" w:hAnsi="Athelas"/>
          <w:sz w:val="24"/>
          <w:szCs w:val="24"/>
          <w:lang w:val="en-AU"/>
        </w:rPr>
        <w:t xml:space="preserve">that judicial reviews were still able to go ahead in the Administrative Court. </w:t>
      </w:r>
      <w:r w:rsidR="00123A7A" w:rsidRPr="000C4873">
        <w:rPr>
          <w:rFonts w:ascii="Athelas" w:hAnsi="Athelas"/>
          <w:sz w:val="24"/>
          <w:szCs w:val="24"/>
          <w:lang w:val="en-AU"/>
        </w:rPr>
        <w:t xml:space="preserve">We interviewed one claimant, who was pleased that their case had been able to proceed as planned, as they had feared a ‘big backlog’ after the pandemic and the continued delay and uncertainty that this would create. </w:t>
      </w:r>
      <w:r w:rsidR="00A00F8B" w:rsidRPr="000C4873">
        <w:rPr>
          <w:rFonts w:ascii="Athelas" w:hAnsi="Athelas"/>
          <w:sz w:val="24"/>
          <w:szCs w:val="24"/>
          <w:lang w:val="en-AU"/>
        </w:rPr>
        <w:t>Many</w:t>
      </w:r>
      <w:r w:rsidR="00123A7A" w:rsidRPr="000C4873">
        <w:rPr>
          <w:rFonts w:ascii="Athelas" w:hAnsi="Athelas"/>
          <w:sz w:val="24"/>
          <w:szCs w:val="24"/>
          <w:lang w:val="en-AU"/>
        </w:rPr>
        <w:t xml:space="preserve"> interviewees</w:t>
      </w:r>
      <w:r w:rsidR="00A00F8B" w:rsidRPr="000C4873">
        <w:rPr>
          <w:rFonts w:ascii="Athelas" w:hAnsi="Athelas"/>
          <w:sz w:val="24"/>
          <w:szCs w:val="24"/>
          <w:lang w:val="en-AU"/>
        </w:rPr>
        <w:t xml:space="preserve"> expressed their appreciation for the efforts of Court staff to </w:t>
      </w:r>
      <w:r w:rsidR="001B1C94" w:rsidRPr="000C4873">
        <w:rPr>
          <w:rFonts w:ascii="Athelas" w:hAnsi="Athelas"/>
          <w:sz w:val="24"/>
          <w:szCs w:val="24"/>
          <w:lang w:val="en-AU"/>
        </w:rPr>
        <w:t>this end</w:t>
      </w:r>
      <w:r w:rsidR="00A00F8B" w:rsidRPr="000C4873">
        <w:rPr>
          <w:rFonts w:ascii="Athelas" w:hAnsi="Athelas"/>
          <w:sz w:val="24"/>
          <w:szCs w:val="24"/>
          <w:lang w:val="en-AU"/>
        </w:rPr>
        <w:t xml:space="preserve">. The responses </w:t>
      </w:r>
      <w:r w:rsidRPr="000C4873">
        <w:rPr>
          <w:rFonts w:ascii="Athelas" w:hAnsi="Athelas"/>
          <w:sz w:val="24"/>
          <w:szCs w:val="24"/>
          <w:lang w:val="en-AU"/>
        </w:rPr>
        <w:t>indicate</w:t>
      </w:r>
      <w:r w:rsidR="00F33E23" w:rsidRPr="000C4873">
        <w:rPr>
          <w:rFonts w:ascii="Athelas" w:hAnsi="Athelas"/>
          <w:sz w:val="24"/>
          <w:szCs w:val="24"/>
          <w:lang w:val="en-AU"/>
        </w:rPr>
        <w:t>d</w:t>
      </w:r>
      <w:r w:rsidRPr="000C4873">
        <w:rPr>
          <w:rFonts w:ascii="Athelas" w:hAnsi="Athelas"/>
          <w:sz w:val="24"/>
          <w:szCs w:val="24"/>
          <w:lang w:val="en-AU"/>
        </w:rPr>
        <w:t xml:space="preserve"> that all parties approached technical or practical issues with</w:t>
      </w:r>
      <w:r w:rsidR="00A00F8B" w:rsidRPr="000C4873">
        <w:rPr>
          <w:rFonts w:ascii="Athelas" w:hAnsi="Athelas"/>
          <w:sz w:val="24"/>
          <w:szCs w:val="24"/>
          <w:lang w:val="en-AU"/>
        </w:rPr>
        <w:t xml:space="preserve"> patience and problem-s</w:t>
      </w:r>
      <w:r w:rsidRPr="000C4873">
        <w:rPr>
          <w:rFonts w:ascii="Athelas" w:hAnsi="Athelas"/>
          <w:sz w:val="24"/>
          <w:szCs w:val="24"/>
          <w:lang w:val="en-AU"/>
        </w:rPr>
        <w:t>olving attitudes</w:t>
      </w:r>
      <w:r w:rsidR="00A00F8B" w:rsidRPr="000C4873">
        <w:rPr>
          <w:rFonts w:ascii="Athelas" w:hAnsi="Athelas"/>
          <w:sz w:val="24"/>
          <w:szCs w:val="24"/>
          <w:lang w:val="en-AU"/>
        </w:rPr>
        <w:t xml:space="preserve">. </w:t>
      </w:r>
      <w:r w:rsidR="001B1C94" w:rsidRPr="000C4873">
        <w:rPr>
          <w:rFonts w:ascii="Athelas" w:hAnsi="Athelas"/>
          <w:sz w:val="24"/>
          <w:szCs w:val="24"/>
          <w:lang w:val="en-AU"/>
        </w:rPr>
        <w:t xml:space="preserve">Many </w:t>
      </w:r>
      <w:r w:rsidRPr="000C4873">
        <w:rPr>
          <w:rFonts w:ascii="Athelas" w:hAnsi="Athelas"/>
          <w:sz w:val="24"/>
          <w:szCs w:val="24"/>
          <w:lang w:val="en-AU"/>
        </w:rPr>
        <w:t xml:space="preserve">interviewees </w:t>
      </w:r>
      <w:r w:rsidR="001B1C94" w:rsidRPr="000C4873">
        <w:rPr>
          <w:rFonts w:ascii="Athelas" w:hAnsi="Athelas"/>
          <w:sz w:val="24"/>
          <w:szCs w:val="24"/>
          <w:lang w:val="en-AU"/>
        </w:rPr>
        <w:t>appreciated t</w:t>
      </w:r>
      <w:r w:rsidR="00A00F8B" w:rsidRPr="000C4873">
        <w:rPr>
          <w:rFonts w:ascii="Athelas" w:hAnsi="Athelas"/>
          <w:sz w:val="24"/>
          <w:szCs w:val="24"/>
          <w:lang w:val="en-AU"/>
        </w:rPr>
        <w:t xml:space="preserve">his ‘just get it done’ approach and sense of goodwill in difficult </w:t>
      </w:r>
      <w:r w:rsidR="001B1C94" w:rsidRPr="000C4873">
        <w:rPr>
          <w:rFonts w:ascii="Athelas" w:hAnsi="Athelas"/>
          <w:sz w:val="24"/>
          <w:szCs w:val="24"/>
          <w:lang w:val="en-AU"/>
        </w:rPr>
        <w:t>circumstances</w:t>
      </w:r>
      <w:r w:rsidR="00A00F8B" w:rsidRPr="000C4873">
        <w:rPr>
          <w:rFonts w:ascii="Athelas" w:hAnsi="Athelas"/>
          <w:sz w:val="24"/>
          <w:szCs w:val="24"/>
          <w:lang w:val="en-AU"/>
        </w:rPr>
        <w:t xml:space="preserve">. Interviewees also valued the flexibility of being able to conduct hearings listed all over the country from their own homes. </w:t>
      </w:r>
    </w:p>
    <w:p w14:paraId="4CBE9FED" w14:textId="77777777" w:rsidR="00A00F8B" w:rsidRPr="000C4873" w:rsidRDefault="00A00F8B" w:rsidP="00A00F8B">
      <w:pPr>
        <w:spacing w:after="0" w:line="276" w:lineRule="auto"/>
        <w:ind w:firstLine="720"/>
        <w:jc w:val="both"/>
        <w:rPr>
          <w:rFonts w:ascii="Athelas" w:hAnsi="Athelas"/>
          <w:sz w:val="24"/>
          <w:szCs w:val="24"/>
          <w:lang w:val="en-AU"/>
        </w:rPr>
      </w:pPr>
    </w:p>
    <w:p w14:paraId="480A1FD0" w14:textId="26117614" w:rsidR="00A00F8B" w:rsidRPr="000C4873" w:rsidRDefault="00A00F8B" w:rsidP="00051252">
      <w:pPr>
        <w:spacing w:after="0" w:line="276" w:lineRule="auto"/>
        <w:ind w:firstLine="720"/>
        <w:jc w:val="both"/>
        <w:rPr>
          <w:rFonts w:ascii="Athelas" w:hAnsi="Athelas"/>
          <w:sz w:val="24"/>
          <w:szCs w:val="24"/>
          <w:lang w:val="en-AU"/>
        </w:rPr>
      </w:pPr>
      <w:r w:rsidRPr="000C4873">
        <w:rPr>
          <w:rFonts w:ascii="Athelas" w:hAnsi="Athelas"/>
          <w:sz w:val="24"/>
          <w:szCs w:val="24"/>
          <w:lang w:val="en-AU"/>
        </w:rPr>
        <w:t xml:space="preserve">Ensuring that everyone had the same bundle and that the necessary paperwork was all in place prior to the start of the hearing was seen as vital to the effective running of judicial reviews using the new remote method. </w:t>
      </w:r>
      <w:r w:rsidR="000E5D1F" w:rsidRPr="000C4873">
        <w:rPr>
          <w:rFonts w:ascii="Athelas" w:hAnsi="Athelas"/>
          <w:sz w:val="24"/>
          <w:szCs w:val="24"/>
          <w:lang w:val="en-AU"/>
        </w:rPr>
        <w:t xml:space="preserve">Many interviewees found it difficult to comply with the </w:t>
      </w:r>
      <w:r w:rsidR="00F33E23" w:rsidRPr="000C4873">
        <w:rPr>
          <w:rFonts w:ascii="Athelas" w:hAnsi="Athelas"/>
          <w:sz w:val="24"/>
          <w:szCs w:val="24"/>
          <w:lang w:val="en-AU"/>
        </w:rPr>
        <w:t xml:space="preserve">Administrative Court Office’s </w:t>
      </w:r>
      <w:r w:rsidR="000E5D1F" w:rsidRPr="000C4873">
        <w:rPr>
          <w:rFonts w:ascii="Athelas" w:hAnsi="Athelas"/>
          <w:sz w:val="24"/>
          <w:szCs w:val="24"/>
          <w:lang w:val="en-AU"/>
        </w:rPr>
        <w:t xml:space="preserve">strict guidance </w:t>
      </w:r>
      <w:r w:rsidR="00F33E23" w:rsidRPr="000C4873">
        <w:rPr>
          <w:rFonts w:ascii="Athelas" w:hAnsi="Athelas"/>
          <w:sz w:val="24"/>
          <w:szCs w:val="24"/>
          <w:lang w:val="en-AU"/>
        </w:rPr>
        <w:t>on</w:t>
      </w:r>
      <w:r w:rsidR="000E5D1F" w:rsidRPr="000C4873">
        <w:rPr>
          <w:rFonts w:ascii="Athelas" w:hAnsi="Athelas"/>
          <w:sz w:val="24"/>
          <w:szCs w:val="24"/>
          <w:lang w:val="en-AU"/>
        </w:rPr>
        <w:t xml:space="preserve"> electronic bundle formats and the small </w:t>
      </w:r>
      <w:r w:rsidR="000E5D1F" w:rsidRPr="000C4873">
        <w:rPr>
          <w:rFonts w:ascii="Athelas" w:hAnsi="Athelas"/>
          <w:sz w:val="24"/>
          <w:szCs w:val="24"/>
          <w:lang w:val="en-AU"/>
        </w:rPr>
        <w:lastRenderedPageBreak/>
        <w:t>file size limits of 20MB for urgent cases and 24MB for non-urgent cases.</w:t>
      </w:r>
      <w:r w:rsidR="000E5D1F" w:rsidRPr="000C4873">
        <w:rPr>
          <w:rStyle w:val="FootnoteReference"/>
          <w:rFonts w:ascii="Athelas" w:hAnsi="Athelas"/>
          <w:sz w:val="24"/>
          <w:szCs w:val="24"/>
          <w:lang w:val="en-AU"/>
        </w:rPr>
        <w:footnoteReference w:id="40"/>
      </w:r>
      <w:r w:rsidR="000E5D1F" w:rsidRPr="000C4873">
        <w:rPr>
          <w:rFonts w:ascii="Athelas" w:hAnsi="Athelas"/>
          <w:sz w:val="24"/>
          <w:szCs w:val="24"/>
          <w:lang w:val="en-AU"/>
        </w:rPr>
        <w:t xml:space="preserve"> </w:t>
      </w:r>
      <w:r w:rsidR="00F33E23" w:rsidRPr="000C4873">
        <w:rPr>
          <w:rFonts w:ascii="Athelas" w:hAnsi="Athelas"/>
          <w:sz w:val="24"/>
          <w:szCs w:val="24"/>
          <w:lang w:val="en-AU"/>
        </w:rPr>
        <w:t>However, many interviewees also acknowledge</w:t>
      </w:r>
      <w:r w:rsidR="009F2E47" w:rsidRPr="000C4873">
        <w:rPr>
          <w:rFonts w:ascii="Athelas" w:hAnsi="Athelas"/>
          <w:sz w:val="24"/>
          <w:szCs w:val="24"/>
          <w:lang w:val="en-AU"/>
        </w:rPr>
        <w:t>d</w:t>
      </w:r>
      <w:r w:rsidR="00F33E23" w:rsidRPr="000C4873">
        <w:rPr>
          <w:rFonts w:ascii="Athelas" w:hAnsi="Athelas"/>
          <w:sz w:val="24"/>
          <w:szCs w:val="24"/>
          <w:lang w:val="en-AU"/>
        </w:rPr>
        <w:t xml:space="preserve"> the Court’s efforts to manage these issues.</w:t>
      </w:r>
      <w:r w:rsidRPr="000C4873">
        <w:rPr>
          <w:rFonts w:ascii="Athelas" w:hAnsi="Athelas"/>
          <w:sz w:val="24"/>
          <w:szCs w:val="24"/>
          <w:lang w:val="en-AU"/>
        </w:rPr>
        <w:t xml:space="preserve"> In particular, one interviewee noted the </w:t>
      </w:r>
      <w:r w:rsidR="00051252" w:rsidRPr="000C4873">
        <w:rPr>
          <w:rFonts w:ascii="Athelas" w:hAnsi="Athelas"/>
          <w:sz w:val="24"/>
          <w:szCs w:val="24"/>
          <w:lang w:val="en-AU"/>
        </w:rPr>
        <w:t xml:space="preserve">Court’s </w:t>
      </w:r>
      <w:r w:rsidRPr="000C4873">
        <w:rPr>
          <w:rFonts w:ascii="Athelas" w:hAnsi="Athelas"/>
          <w:sz w:val="24"/>
          <w:szCs w:val="24"/>
          <w:lang w:val="en-AU"/>
        </w:rPr>
        <w:t xml:space="preserve">responsiveness </w:t>
      </w:r>
      <w:r w:rsidR="00051252" w:rsidRPr="000C4873">
        <w:rPr>
          <w:rFonts w:ascii="Athelas" w:hAnsi="Athelas"/>
          <w:sz w:val="24"/>
          <w:szCs w:val="24"/>
          <w:lang w:val="en-AU"/>
        </w:rPr>
        <w:t xml:space="preserve">in enabling </w:t>
      </w:r>
      <w:r w:rsidRPr="000C4873">
        <w:rPr>
          <w:rFonts w:ascii="Athelas" w:hAnsi="Athelas"/>
          <w:sz w:val="24"/>
          <w:szCs w:val="24"/>
          <w:lang w:val="en-AU"/>
        </w:rPr>
        <w:t xml:space="preserve">an urgent application to go ahead without delay. In some cases, it fell to the lawyer to proactively contact parties to ensure that everyone was speaking to the same documents. However, Court staff were often able to take on this vital role, including helping parties to upload bundles. </w:t>
      </w:r>
      <w:r w:rsidR="00F75D46" w:rsidRPr="000C4873">
        <w:rPr>
          <w:rFonts w:ascii="Athelas" w:hAnsi="Athelas"/>
          <w:sz w:val="24"/>
          <w:szCs w:val="24"/>
          <w:lang w:val="en-AU"/>
        </w:rPr>
        <w:t xml:space="preserve">A number of interviewees also highlighted increases in the </w:t>
      </w:r>
      <w:r w:rsidRPr="000C4873">
        <w:rPr>
          <w:rFonts w:ascii="Athelas" w:hAnsi="Athelas"/>
          <w:sz w:val="24"/>
          <w:szCs w:val="24"/>
          <w:lang w:val="en-AU"/>
        </w:rPr>
        <w:t xml:space="preserve">notice that parties were given prior to the hearing </w:t>
      </w:r>
      <w:r w:rsidR="00F75D46" w:rsidRPr="000C4873">
        <w:rPr>
          <w:rFonts w:ascii="Athelas" w:hAnsi="Athelas"/>
          <w:sz w:val="24"/>
          <w:szCs w:val="24"/>
          <w:lang w:val="en-AU"/>
        </w:rPr>
        <w:t>as an improvement</w:t>
      </w:r>
      <w:r w:rsidRPr="000C4873">
        <w:rPr>
          <w:rFonts w:ascii="Athelas" w:hAnsi="Athelas"/>
          <w:sz w:val="24"/>
          <w:szCs w:val="24"/>
          <w:lang w:val="en-AU"/>
        </w:rPr>
        <w:t>. This gave parties sufficient time to set up the technology and mak</w:t>
      </w:r>
      <w:r w:rsidR="00051252" w:rsidRPr="000C4873">
        <w:rPr>
          <w:rFonts w:ascii="Athelas" w:hAnsi="Athelas"/>
          <w:sz w:val="24"/>
          <w:szCs w:val="24"/>
          <w:lang w:val="en-AU"/>
        </w:rPr>
        <w:t>e any necessary arrangements for</w:t>
      </w:r>
      <w:r w:rsidRPr="000C4873">
        <w:rPr>
          <w:rFonts w:ascii="Athelas" w:hAnsi="Athelas"/>
          <w:sz w:val="24"/>
          <w:szCs w:val="24"/>
          <w:lang w:val="en-AU"/>
        </w:rPr>
        <w:t xml:space="preserve"> communicati</w:t>
      </w:r>
      <w:r w:rsidR="00051252" w:rsidRPr="000C4873">
        <w:rPr>
          <w:rFonts w:ascii="Athelas" w:hAnsi="Athelas"/>
          <w:sz w:val="24"/>
          <w:szCs w:val="24"/>
          <w:lang w:val="en-AU"/>
        </w:rPr>
        <w:t>ng</w:t>
      </w:r>
      <w:r w:rsidRPr="000C4873">
        <w:rPr>
          <w:rFonts w:ascii="Athelas" w:hAnsi="Athelas"/>
          <w:sz w:val="24"/>
          <w:szCs w:val="24"/>
          <w:lang w:val="en-AU"/>
        </w:rPr>
        <w:t xml:space="preserve"> with clients or in</w:t>
      </w:r>
      <w:r w:rsidR="00051252" w:rsidRPr="000C4873">
        <w:rPr>
          <w:rFonts w:ascii="Athelas" w:hAnsi="Athelas"/>
          <w:sz w:val="24"/>
          <w:szCs w:val="24"/>
          <w:lang w:val="en-AU"/>
        </w:rPr>
        <w:t>structing solicitors during</w:t>
      </w:r>
      <w:r w:rsidRPr="000C4873">
        <w:rPr>
          <w:rFonts w:ascii="Athelas" w:hAnsi="Athelas"/>
          <w:sz w:val="24"/>
          <w:szCs w:val="24"/>
          <w:lang w:val="en-AU"/>
        </w:rPr>
        <w:t xml:space="preserve"> the hearing.</w:t>
      </w:r>
    </w:p>
    <w:p w14:paraId="47734ACD" w14:textId="77777777" w:rsidR="00A00F8B" w:rsidRPr="000C4873" w:rsidRDefault="00A00F8B" w:rsidP="00A00F8B">
      <w:pPr>
        <w:spacing w:after="0" w:line="276" w:lineRule="auto"/>
        <w:ind w:firstLine="720"/>
        <w:jc w:val="both"/>
        <w:rPr>
          <w:rFonts w:ascii="Athelas" w:hAnsi="Athelas"/>
          <w:sz w:val="24"/>
          <w:szCs w:val="24"/>
          <w:lang w:val="en-AU"/>
        </w:rPr>
      </w:pPr>
    </w:p>
    <w:p w14:paraId="2D0964F4" w14:textId="00575DC9" w:rsidR="00A00F8B" w:rsidRPr="000C4873" w:rsidRDefault="00A00F8B" w:rsidP="00A00F8B">
      <w:pPr>
        <w:spacing w:after="0" w:line="276" w:lineRule="auto"/>
        <w:ind w:firstLine="720"/>
        <w:jc w:val="both"/>
        <w:rPr>
          <w:rFonts w:ascii="Athelas" w:hAnsi="Athelas"/>
          <w:sz w:val="24"/>
          <w:szCs w:val="24"/>
          <w:lang w:val="en-AU"/>
        </w:rPr>
      </w:pPr>
      <w:r w:rsidRPr="000C4873">
        <w:rPr>
          <w:rFonts w:ascii="Athelas" w:hAnsi="Athelas"/>
          <w:sz w:val="24"/>
          <w:szCs w:val="24"/>
          <w:lang w:val="en-AU"/>
        </w:rPr>
        <w:t xml:space="preserve">Many interviewees noted the significance of effective and responsive Court staff in enabling remote hearings. </w:t>
      </w:r>
      <w:r w:rsidR="0077154A" w:rsidRPr="000C4873">
        <w:rPr>
          <w:rFonts w:ascii="Athelas" w:hAnsi="Athelas"/>
          <w:sz w:val="24"/>
          <w:szCs w:val="24"/>
          <w:lang w:val="en-AU"/>
        </w:rPr>
        <w:t>Court staff were seen as playing a vital role in m</w:t>
      </w:r>
      <w:r w:rsidRPr="000C4873">
        <w:rPr>
          <w:rFonts w:ascii="Athelas" w:hAnsi="Athelas"/>
          <w:sz w:val="24"/>
          <w:szCs w:val="24"/>
          <w:lang w:val="en-AU"/>
        </w:rPr>
        <w:t>aintaining effective case m</w:t>
      </w:r>
      <w:r w:rsidR="0077154A" w:rsidRPr="000C4873">
        <w:rPr>
          <w:rFonts w:ascii="Athelas" w:hAnsi="Athelas"/>
          <w:sz w:val="24"/>
          <w:szCs w:val="24"/>
          <w:lang w:val="en-AU"/>
        </w:rPr>
        <w:t xml:space="preserve">anagement prior to the hearing. The clerk’s ‘marshalling role’ </w:t>
      </w:r>
      <w:r w:rsidRPr="000C4873">
        <w:rPr>
          <w:rFonts w:ascii="Athelas" w:hAnsi="Athelas"/>
          <w:sz w:val="24"/>
          <w:szCs w:val="24"/>
          <w:lang w:val="en-AU"/>
        </w:rPr>
        <w:t xml:space="preserve">before and during the hearing itself was also seen as particularly constructive. Court staff generally circulated details to the parties about joining hearings and often dialled parties in for audio-only hearings. During the hearing itself, clerks sometimes provided impromptu technical support, dialling parties back in if a connection temporarily failed or turning off a judge’s </w:t>
      </w:r>
      <w:r w:rsidR="00F33E23" w:rsidRPr="000C4873">
        <w:rPr>
          <w:rFonts w:ascii="Athelas" w:hAnsi="Athelas"/>
          <w:sz w:val="24"/>
          <w:szCs w:val="24"/>
          <w:lang w:val="en-AU"/>
        </w:rPr>
        <w:t>camera at the end of a session.</w:t>
      </w:r>
    </w:p>
    <w:p w14:paraId="5C72AD3F" w14:textId="77777777" w:rsidR="00A00F8B" w:rsidRPr="000C4873" w:rsidRDefault="00A00F8B" w:rsidP="00A00F8B">
      <w:pPr>
        <w:spacing w:after="0" w:line="276" w:lineRule="auto"/>
        <w:ind w:firstLine="720"/>
        <w:jc w:val="both"/>
        <w:rPr>
          <w:rFonts w:ascii="Athelas" w:hAnsi="Athelas"/>
          <w:sz w:val="24"/>
          <w:szCs w:val="24"/>
          <w:lang w:val="en-AU"/>
        </w:rPr>
      </w:pPr>
    </w:p>
    <w:p w14:paraId="366D241A" w14:textId="70E37635" w:rsidR="00A00F8B" w:rsidRPr="000C4873" w:rsidRDefault="00A00F8B" w:rsidP="00A00F8B">
      <w:pPr>
        <w:spacing w:after="0" w:line="276" w:lineRule="auto"/>
        <w:ind w:firstLine="720"/>
        <w:jc w:val="both"/>
        <w:rPr>
          <w:rFonts w:ascii="Athelas" w:hAnsi="Athelas"/>
          <w:sz w:val="24"/>
          <w:szCs w:val="24"/>
          <w:lang w:val="en-AU"/>
        </w:rPr>
      </w:pPr>
      <w:r w:rsidRPr="000C4873">
        <w:rPr>
          <w:rFonts w:ascii="Athelas" w:hAnsi="Athelas"/>
          <w:sz w:val="24"/>
          <w:szCs w:val="24"/>
          <w:lang w:val="en-AU"/>
        </w:rPr>
        <w:t>A number of interviewees highlighted the value of test calls scheduled in advance of the hearing. These ranged from several days in advance, to the day before a morning hearing, or the morning before an afternoon hearing. As one interviewee put it: ‘[</w:t>
      </w:r>
      <w:proofErr w:type="spellStart"/>
      <w:r w:rsidRPr="000C4873">
        <w:rPr>
          <w:rFonts w:ascii="Athelas" w:hAnsi="Athelas"/>
          <w:sz w:val="24"/>
          <w:szCs w:val="24"/>
          <w:lang w:val="en-AU"/>
        </w:rPr>
        <w:t>i</w:t>
      </w:r>
      <w:proofErr w:type="spellEnd"/>
      <w:r w:rsidRPr="000C4873">
        <w:rPr>
          <w:rFonts w:ascii="Athelas" w:hAnsi="Athelas"/>
          <w:sz w:val="24"/>
          <w:szCs w:val="24"/>
          <w:lang w:val="en-AU"/>
        </w:rPr>
        <w:t>]t was a very good move to make sure everyone had Skype for Business up and running.’ This ‘tech rehearsal’ process, as one interviewee called it, ensured that</w:t>
      </w:r>
      <w:r w:rsidR="00D519F5">
        <w:rPr>
          <w:rFonts w:ascii="Athelas" w:hAnsi="Athelas"/>
          <w:sz w:val="24"/>
          <w:szCs w:val="24"/>
          <w:lang w:val="en-AU"/>
        </w:rPr>
        <w:t>,</w:t>
      </w:r>
      <w:r w:rsidRPr="000C4873">
        <w:rPr>
          <w:rFonts w:ascii="Athelas" w:hAnsi="Athelas"/>
          <w:sz w:val="24"/>
          <w:szCs w:val="24"/>
          <w:lang w:val="en-AU"/>
        </w:rPr>
        <w:t xml:space="preserve"> when it came to the hearing, all parties were familiar with each other (which was particularly important for audio-only hearing</w:t>
      </w:r>
      <w:r w:rsidR="00051252" w:rsidRPr="000C4873">
        <w:rPr>
          <w:rFonts w:ascii="Athelas" w:hAnsi="Athelas"/>
          <w:sz w:val="24"/>
          <w:szCs w:val="24"/>
          <w:lang w:val="en-AU"/>
        </w:rPr>
        <w:t>s</w:t>
      </w:r>
      <w:r w:rsidRPr="000C4873">
        <w:rPr>
          <w:rFonts w:ascii="Athelas" w:hAnsi="Athelas"/>
          <w:sz w:val="24"/>
          <w:szCs w:val="24"/>
          <w:lang w:val="en-AU"/>
        </w:rPr>
        <w:t xml:space="preserve">) and </w:t>
      </w:r>
      <w:r w:rsidR="00051252" w:rsidRPr="000C4873">
        <w:rPr>
          <w:rFonts w:ascii="Athelas" w:hAnsi="Athelas"/>
          <w:sz w:val="24"/>
          <w:szCs w:val="24"/>
          <w:lang w:val="en-AU"/>
        </w:rPr>
        <w:t xml:space="preserve">with </w:t>
      </w:r>
      <w:r w:rsidRPr="000C4873">
        <w:rPr>
          <w:rFonts w:ascii="Athelas" w:hAnsi="Athelas"/>
          <w:sz w:val="24"/>
          <w:szCs w:val="24"/>
          <w:lang w:val="en-AU"/>
        </w:rPr>
        <w:t xml:space="preserve">the technology. In cases without a pre-hearing test call, delays at the start of hearings were common, ranging from </w:t>
      </w:r>
      <w:r w:rsidR="00051252" w:rsidRPr="000C4873">
        <w:rPr>
          <w:rFonts w:ascii="Athelas" w:hAnsi="Athelas"/>
          <w:sz w:val="24"/>
          <w:szCs w:val="24"/>
          <w:lang w:val="en-AU"/>
        </w:rPr>
        <w:t>30 minutes</w:t>
      </w:r>
      <w:r w:rsidRPr="000C4873">
        <w:rPr>
          <w:rFonts w:ascii="Athelas" w:hAnsi="Athelas"/>
          <w:sz w:val="24"/>
          <w:szCs w:val="24"/>
          <w:lang w:val="en-AU"/>
        </w:rPr>
        <w:t xml:space="preserve"> to an hour. Interviewees appreciated the understanding shown by the Court and other parties in giving them time </w:t>
      </w:r>
      <w:r w:rsidR="00051252" w:rsidRPr="000C4873">
        <w:rPr>
          <w:rFonts w:ascii="Athelas" w:hAnsi="Athelas"/>
          <w:sz w:val="24"/>
          <w:szCs w:val="24"/>
          <w:lang w:val="en-AU"/>
        </w:rPr>
        <w:t xml:space="preserve">to set up </w:t>
      </w:r>
      <w:r w:rsidRPr="000C4873">
        <w:rPr>
          <w:rFonts w:ascii="Athelas" w:hAnsi="Athelas"/>
          <w:sz w:val="24"/>
          <w:szCs w:val="24"/>
          <w:lang w:val="en-AU"/>
        </w:rPr>
        <w:t xml:space="preserve">at the beginning </w:t>
      </w:r>
      <w:r w:rsidR="00051252" w:rsidRPr="000C4873">
        <w:rPr>
          <w:rFonts w:ascii="Athelas" w:hAnsi="Athelas"/>
          <w:sz w:val="24"/>
          <w:szCs w:val="24"/>
          <w:lang w:val="en-AU"/>
        </w:rPr>
        <w:t>of a hearing</w:t>
      </w:r>
      <w:r w:rsidRPr="000C4873">
        <w:rPr>
          <w:rFonts w:ascii="Athelas" w:hAnsi="Athelas"/>
          <w:sz w:val="24"/>
          <w:szCs w:val="24"/>
          <w:lang w:val="en-AU"/>
        </w:rPr>
        <w:t xml:space="preserve">. </w:t>
      </w:r>
      <w:r w:rsidR="000B2DB1" w:rsidRPr="000C4873">
        <w:rPr>
          <w:rFonts w:ascii="Athelas" w:hAnsi="Athelas"/>
          <w:sz w:val="24"/>
          <w:szCs w:val="24"/>
          <w:lang w:val="en-AU"/>
        </w:rPr>
        <w:t>Cases</w:t>
      </w:r>
      <w:r w:rsidRPr="000C4873">
        <w:rPr>
          <w:rFonts w:ascii="Athelas" w:hAnsi="Athelas"/>
          <w:sz w:val="24"/>
          <w:szCs w:val="24"/>
          <w:lang w:val="en-AU"/>
        </w:rPr>
        <w:t xml:space="preserve"> </w:t>
      </w:r>
      <w:r w:rsidR="000B2DB1" w:rsidRPr="000C4873">
        <w:rPr>
          <w:rFonts w:ascii="Athelas" w:hAnsi="Athelas"/>
          <w:sz w:val="24"/>
          <w:szCs w:val="24"/>
          <w:lang w:val="en-AU"/>
        </w:rPr>
        <w:t xml:space="preserve">with </w:t>
      </w:r>
      <w:r w:rsidRPr="000C4873">
        <w:rPr>
          <w:rFonts w:ascii="Athelas" w:hAnsi="Athelas"/>
          <w:sz w:val="24"/>
          <w:szCs w:val="24"/>
          <w:lang w:val="en-AU"/>
        </w:rPr>
        <w:t xml:space="preserve">scheduled pre-hearing test calls largely avoided these preliminary technical issues and the consequent time delays. Comprehensive introductory remarks by the judge were appreciated by interviewees who experienced this. This generally included introducing the participants, outlining how the hearing would proceed, and noting any changes to Court etiquette that were required, such as muting microphones when not speaking. Alongside a pre-hearing test call, </w:t>
      </w:r>
      <w:r w:rsidR="00051252" w:rsidRPr="000C4873">
        <w:rPr>
          <w:rFonts w:ascii="Athelas" w:hAnsi="Athelas"/>
          <w:sz w:val="24"/>
          <w:szCs w:val="24"/>
          <w:lang w:val="en-AU"/>
        </w:rPr>
        <w:t xml:space="preserve">many interviewees felt that </w:t>
      </w:r>
      <w:r w:rsidRPr="000C4873">
        <w:rPr>
          <w:rFonts w:ascii="Athelas" w:hAnsi="Athelas"/>
          <w:sz w:val="24"/>
          <w:szCs w:val="24"/>
          <w:lang w:val="en-AU"/>
        </w:rPr>
        <w:t>a thorough introd</w:t>
      </w:r>
      <w:r w:rsidR="00051252" w:rsidRPr="000C4873">
        <w:rPr>
          <w:rFonts w:ascii="Athelas" w:hAnsi="Athelas"/>
          <w:sz w:val="24"/>
          <w:szCs w:val="24"/>
          <w:lang w:val="en-AU"/>
        </w:rPr>
        <w:t xml:space="preserve">uction by the judge suitably framed </w:t>
      </w:r>
      <w:r w:rsidRPr="000C4873">
        <w:rPr>
          <w:rFonts w:ascii="Athelas" w:hAnsi="Athelas"/>
          <w:sz w:val="24"/>
          <w:szCs w:val="24"/>
          <w:lang w:val="en-AU"/>
        </w:rPr>
        <w:t>the hearing and set the tone for the ensuing proceedings.</w:t>
      </w:r>
    </w:p>
    <w:p w14:paraId="140EC799" w14:textId="77777777" w:rsidR="00A00F8B" w:rsidRPr="000C4873" w:rsidRDefault="00A00F8B" w:rsidP="00A00F8B">
      <w:pPr>
        <w:spacing w:after="0" w:line="276" w:lineRule="auto"/>
        <w:jc w:val="both"/>
        <w:rPr>
          <w:rFonts w:ascii="Athelas" w:hAnsi="Athelas"/>
          <w:sz w:val="24"/>
          <w:szCs w:val="24"/>
          <w:lang w:val="en-AU"/>
        </w:rPr>
      </w:pPr>
    </w:p>
    <w:p w14:paraId="160BFD5E" w14:textId="018413E0" w:rsidR="00A00F8B" w:rsidRPr="000C4873" w:rsidRDefault="00A00F8B" w:rsidP="00A00F8B">
      <w:pPr>
        <w:spacing w:after="0" w:line="276" w:lineRule="auto"/>
        <w:ind w:firstLine="720"/>
        <w:jc w:val="both"/>
        <w:rPr>
          <w:rFonts w:ascii="Athelas" w:hAnsi="Athelas"/>
          <w:sz w:val="24"/>
          <w:szCs w:val="24"/>
          <w:lang w:val="en-AU"/>
        </w:rPr>
      </w:pPr>
      <w:r w:rsidRPr="000C4873">
        <w:rPr>
          <w:rFonts w:ascii="Athelas" w:hAnsi="Athelas"/>
          <w:sz w:val="24"/>
          <w:szCs w:val="24"/>
          <w:lang w:val="en-AU"/>
        </w:rPr>
        <w:lastRenderedPageBreak/>
        <w:t>Interviewees were generally pleased with the Court’s practice, with one interviewee noting that ‘it seems to be a step ahead’ of other comparable jurisdictions within the courts and tribunals system. Still, a number of interviewees felt that Administrative Court cases, by their nature, were often more suitable for remote hearings: submissions are often very focused on specific points of law, litigants are rarely in court, and there is generally no live evidence to test. As one interviewee put it:</w:t>
      </w:r>
    </w:p>
    <w:p w14:paraId="6503CF3F" w14:textId="77777777" w:rsidR="00A00F8B" w:rsidRPr="000C4873" w:rsidRDefault="00A00F8B" w:rsidP="00A00F8B">
      <w:pPr>
        <w:spacing w:after="0" w:line="276" w:lineRule="auto"/>
        <w:ind w:firstLine="720"/>
        <w:jc w:val="both"/>
        <w:rPr>
          <w:rFonts w:ascii="Athelas" w:hAnsi="Athelas"/>
          <w:sz w:val="24"/>
          <w:szCs w:val="24"/>
          <w:lang w:val="en-AU"/>
        </w:rPr>
      </w:pPr>
    </w:p>
    <w:p w14:paraId="5E328465" w14:textId="77777777" w:rsidR="00A00F8B" w:rsidRPr="000C4873" w:rsidRDefault="00A00F8B" w:rsidP="00A00F8B">
      <w:pPr>
        <w:spacing w:after="0" w:line="276" w:lineRule="auto"/>
        <w:ind w:left="720"/>
        <w:jc w:val="both"/>
        <w:rPr>
          <w:rFonts w:ascii="Athelas" w:hAnsi="Athelas"/>
          <w:sz w:val="20"/>
          <w:szCs w:val="20"/>
          <w:lang w:val="en-AU"/>
        </w:rPr>
      </w:pPr>
      <w:r w:rsidRPr="000C4873">
        <w:rPr>
          <w:rFonts w:ascii="Athelas" w:hAnsi="Athelas"/>
          <w:sz w:val="20"/>
          <w:szCs w:val="20"/>
          <w:lang w:val="en-AU"/>
        </w:rPr>
        <w:t>My view is it worked very well… I think it was really because of the nature of the case… it was really only two issues in dispute. We had already been circulated the papers amongst us. So it was really just a case of focused submissions on those two central issues with everybody having read the relevant documents, so entirely amenable to a telephone hearing.</w:t>
      </w:r>
    </w:p>
    <w:p w14:paraId="530DEEBB" w14:textId="77777777" w:rsidR="00A00F8B" w:rsidRPr="000C4873" w:rsidRDefault="00A00F8B" w:rsidP="00A00F8B">
      <w:pPr>
        <w:spacing w:after="0" w:line="276" w:lineRule="auto"/>
        <w:jc w:val="both"/>
        <w:rPr>
          <w:rFonts w:ascii="Athelas" w:hAnsi="Athelas"/>
          <w:sz w:val="24"/>
          <w:szCs w:val="24"/>
          <w:lang w:val="en-AU"/>
        </w:rPr>
      </w:pPr>
    </w:p>
    <w:p w14:paraId="3BB4BDCF" w14:textId="32B090A0" w:rsidR="000E5D1F" w:rsidRPr="000C4873" w:rsidRDefault="00A00F8B" w:rsidP="00A00F8B">
      <w:pPr>
        <w:spacing w:after="0" w:line="276" w:lineRule="auto"/>
        <w:jc w:val="both"/>
        <w:rPr>
          <w:rFonts w:ascii="Athelas" w:hAnsi="Athelas"/>
          <w:sz w:val="24"/>
          <w:szCs w:val="24"/>
          <w:lang w:val="en-AU"/>
        </w:rPr>
      </w:pPr>
      <w:r w:rsidRPr="000C4873">
        <w:rPr>
          <w:rFonts w:ascii="Athelas" w:hAnsi="Athelas"/>
          <w:sz w:val="24"/>
          <w:szCs w:val="24"/>
          <w:lang w:val="en-AU"/>
        </w:rPr>
        <w:t>Many interviewees felt a remote hearing was appropriate for the</w:t>
      </w:r>
      <w:r w:rsidR="003C76AE" w:rsidRPr="000C4873">
        <w:rPr>
          <w:rFonts w:ascii="Athelas" w:hAnsi="Athelas"/>
          <w:sz w:val="24"/>
          <w:szCs w:val="24"/>
          <w:lang w:val="en-AU"/>
        </w:rPr>
        <w:t>ir particular case</w:t>
      </w:r>
      <w:r w:rsidRPr="000C4873">
        <w:rPr>
          <w:rFonts w:ascii="Athelas" w:hAnsi="Athelas"/>
          <w:sz w:val="24"/>
          <w:szCs w:val="24"/>
          <w:lang w:val="en-AU"/>
        </w:rPr>
        <w:t xml:space="preserve">, but expressed concerns about remote hearings in other settings or in other circumstances. Two interviewees had conducted judicial reviews in the Administrative Court where a litigant was unrepresented. This presented a number of issues. For example, one litigant in person did not have access to the bundle or to video conferencing technology, which meant that the hearing had to take place via telephone and at a slower pace to compensate for their lack of bundle access. One litigant in person began to cry during the hearing, while another was cut out mid-way through their submissions by technical problems. In each case, it was difficult for the judge to respond effectively to these problems within the timeframe of the hearing. Whilst the interviewees considered that, in these instances, the issues were ultimately handled well, they expressed concern about the experiences of litigants in person in remote hearings more generally. In particular, one interviewee was concerned about a litigant in person’s ability to comprehend the consequences of a remote hearing. </w:t>
      </w:r>
    </w:p>
    <w:p w14:paraId="0DB21C32" w14:textId="77777777" w:rsidR="000E5D1F" w:rsidRPr="000C4873" w:rsidRDefault="000E5D1F" w:rsidP="00A00F8B">
      <w:pPr>
        <w:spacing w:after="0" w:line="276" w:lineRule="auto"/>
        <w:jc w:val="both"/>
        <w:rPr>
          <w:rFonts w:ascii="Athelas" w:hAnsi="Athelas"/>
          <w:sz w:val="24"/>
          <w:szCs w:val="24"/>
          <w:lang w:val="en-AU"/>
        </w:rPr>
      </w:pPr>
    </w:p>
    <w:p w14:paraId="588C662E" w14:textId="3535C357" w:rsidR="00A00F8B" w:rsidRPr="000C4873" w:rsidRDefault="000E5D1F" w:rsidP="000E5D1F">
      <w:pPr>
        <w:spacing w:after="0" w:line="276" w:lineRule="auto"/>
        <w:ind w:firstLine="720"/>
        <w:jc w:val="both"/>
        <w:rPr>
          <w:rFonts w:ascii="Athelas" w:hAnsi="Athelas"/>
          <w:sz w:val="24"/>
          <w:szCs w:val="24"/>
          <w:lang w:val="en-AU"/>
        </w:rPr>
      </w:pPr>
      <w:r w:rsidRPr="000C4873">
        <w:rPr>
          <w:rFonts w:ascii="Athelas" w:hAnsi="Athelas"/>
          <w:sz w:val="24"/>
          <w:szCs w:val="24"/>
          <w:lang w:val="en-AU"/>
        </w:rPr>
        <w:t>Several</w:t>
      </w:r>
      <w:r w:rsidR="00A00F8B" w:rsidRPr="000C4873">
        <w:rPr>
          <w:rFonts w:ascii="Athelas" w:hAnsi="Athelas"/>
          <w:sz w:val="24"/>
          <w:szCs w:val="24"/>
          <w:lang w:val="en-AU"/>
        </w:rPr>
        <w:t xml:space="preserve"> interviewees also </w:t>
      </w:r>
      <w:r w:rsidRPr="000C4873">
        <w:rPr>
          <w:rFonts w:ascii="Athelas" w:hAnsi="Athelas"/>
          <w:sz w:val="24"/>
          <w:szCs w:val="24"/>
          <w:lang w:val="en-AU"/>
        </w:rPr>
        <w:t>indicated that they would be less comfortable with remote hearings</w:t>
      </w:r>
      <w:r w:rsidR="00A00F8B" w:rsidRPr="000C4873">
        <w:rPr>
          <w:rFonts w:ascii="Athelas" w:hAnsi="Athelas"/>
          <w:sz w:val="24"/>
          <w:szCs w:val="24"/>
          <w:lang w:val="en-AU"/>
        </w:rPr>
        <w:t xml:space="preserve"> in more complex cases, such as those with ‘significant debate’ or where a substantial amount of case management had not already been completed prior to </w:t>
      </w:r>
      <w:r w:rsidRPr="000C4873">
        <w:rPr>
          <w:rFonts w:ascii="Athelas" w:hAnsi="Athelas"/>
          <w:sz w:val="24"/>
          <w:szCs w:val="24"/>
          <w:lang w:val="en-AU"/>
        </w:rPr>
        <w:t>the hearing</w:t>
      </w:r>
      <w:r w:rsidR="00A00F8B" w:rsidRPr="000C4873">
        <w:rPr>
          <w:rFonts w:ascii="Athelas" w:hAnsi="Athelas"/>
          <w:sz w:val="24"/>
          <w:szCs w:val="24"/>
          <w:lang w:val="en-AU"/>
        </w:rPr>
        <w:t xml:space="preserve">. </w:t>
      </w:r>
      <w:r w:rsidRPr="000C4873">
        <w:rPr>
          <w:rFonts w:ascii="Athelas" w:hAnsi="Athelas"/>
          <w:sz w:val="24"/>
          <w:szCs w:val="24"/>
          <w:lang w:val="en-AU"/>
        </w:rPr>
        <w:t>In particular, they were concerned</w:t>
      </w:r>
      <w:r w:rsidR="00A00F8B" w:rsidRPr="000C4873">
        <w:rPr>
          <w:rFonts w:ascii="Athelas" w:hAnsi="Athelas"/>
          <w:sz w:val="24"/>
          <w:szCs w:val="24"/>
          <w:lang w:val="en-AU"/>
        </w:rPr>
        <w:t xml:space="preserve"> that </w:t>
      </w:r>
      <w:r w:rsidR="00335773" w:rsidRPr="000C4873">
        <w:rPr>
          <w:rFonts w:ascii="Athelas" w:hAnsi="Athelas"/>
          <w:sz w:val="24"/>
          <w:szCs w:val="24"/>
          <w:lang w:val="en-AU"/>
        </w:rPr>
        <w:t>cases</w:t>
      </w:r>
      <w:r w:rsidR="00A00F8B" w:rsidRPr="000C4873">
        <w:rPr>
          <w:rFonts w:ascii="Athelas" w:hAnsi="Athelas"/>
          <w:sz w:val="24"/>
          <w:szCs w:val="24"/>
          <w:lang w:val="en-AU"/>
        </w:rPr>
        <w:t xml:space="preserve"> </w:t>
      </w:r>
      <w:r w:rsidRPr="000C4873">
        <w:rPr>
          <w:rFonts w:ascii="Athelas" w:hAnsi="Athelas"/>
          <w:sz w:val="24"/>
          <w:szCs w:val="24"/>
          <w:lang w:val="en-AU"/>
        </w:rPr>
        <w:t>which</w:t>
      </w:r>
      <w:r w:rsidR="00A00F8B" w:rsidRPr="000C4873">
        <w:rPr>
          <w:rFonts w:ascii="Athelas" w:hAnsi="Athelas"/>
          <w:sz w:val="24"/>
          <w:szCs w:val="24"/>
          <w:lang w:val="en-AU"/>
        </w:rPr>
        <w:t xml:space="preserve"> were more ‘document heavy’ would be more difficult to conduct efficiently </w:t>
      </w:r>
      <w:r w:rsidR="00335773" w:rsidRPr="000C4873">
        <w:rPr>
          <w:rFonts w:ascii="Athelas" w:hAnsi="Athelas"/>
          <w:sz w:val="24"/>
          <w:szCs w:val="24"/>
          <w:lang w:val="en-AU"/>
        </w:rPr>
        <w:t>by remote hearing</w:t>
      </w:r>
      <w:r w:rsidR="00A00F8B" w:rsidRPr="000C4873">
        <w:rPr>
          <w:rFonts w:ascii="Athelas" w:hAnsi="Athelas"/>
          <w:sz w:val="24"/>
          <w:szCs w:val="24"/>
          <w:lang w:val="en-AU"/>
        </w:rPr>
        <w:t xml:space="preserve">. </w:t>
      </w:r>
      <w:r w:rsidR="009F2E47" w:rsidRPr="000C4873">
        <w:rPr>
          <w:rFonts w:ascii="Athelas" w:hAnsi="Athelas"/>
          <w:sz w:val="24"/>
          <w:szCs w:val="24"/>
          <w:lang w:val="en-AU"/>
        </w:rPr>
        <w:t xml:space="preserve">As discussed above, many interviewees </w:t>
      </w:r>
      <w:r w:rsidR="00A36DEF" w:rsidRPr="000C4873">
        <w:rPr>
          <w:rFonts w:ascii="Athelas" w:hAnsi="Athelas"/>
          <w:sz w:val="24"/>
          <w:szCs w:val="24"/>
          <w:lang w:val="en-AU"/>
        </w:rPr>
        <w:t>had difficulties with the strict requirements and file size limits for electronic bundles</w:t>
      </w:r>
      <w:r w:rsidR="009F2E47" w:rsidRPr="000C4873">
        <w:rPr>
          <w:rFonts w:ascii="Athelas" w:hAnsi="Athelas"/>
          <w:sz w:val="24"/>
          <w:szCs w:val="24"/>
          <w:lang w:val="en-AU"/>
        </w:rPr>
        <w:t xml:space="preserve">. </w:t>
      </w:r>
      <w:r w:rsidRPr="000C4873">
        <w:rPr>
          <w:rFonts w:ascii="Athelas" w:hAnsi="Athelas"/>
          <w:sz w:val="24"/>
          <w:szCs w:val="24"/>
          <w:lang w:val="en-AU"/>
        </w:rPr>
        <w:t xml:space="preserve">One interviewee </w:t>
      </w:r>
      <w:r w:rsidR="00A36DEF" w:rsidRPr="000C4873">
        <w:rPr>
          <w:rFonts w:ascii="Athelas" w:hAnsi="Athelas"/>
          <w:sz w:val="24"/>
          <w:szCs w:val="24"/>
          <w:lang w:val="en-AU"/>
        </w:rPr>
        <w:t>found it difficult to manage</w:t>
      </w:r>
      <w:r w:rsidRPr="000C4873">
        <w:rPr>
          <w:rFonts w:ascii="Athelas" w:hAnsi="Athelas"/>
          <w:sz w:val="24"/>
          <w:szCs w:val="24"/>
          <w:lang w:val="en-AU"/>
        </w:rPr>
        <w:t xml:space="preserve"> a large electronic bundle during </w:t>
      </w:r>
      <w:r w:rsidR="00A36DEF" w:rsidRPr="000C4873">
        <w:rPr>
          <w:rFonts w:ascii="Athelas" w:hAnsi="Athelas"/>
          <w:sz w:val="24"/>
          <w:szCs w:val="24"/>
          <w:lang w:val="en-AU"/>
        </w:rPr>
        <w:t xml:space="preserve">the hearing </w:t>
      </w:r>
      <w:r w:rsidRPr="000C4873">
        <w:rPr>
          <w:rFonts w:ascii="Athelas" w:hAnsi="Athelas"/>
          <w:sz w:val="24"/>
          <w:szCs w:val="24"/>
          <w:lang w:val="en-AU"/>
        </w:rPr>
        <w:t>and</w:t>
      </w:r>
      <w:r w:rsidR="00A36DEF" w:rsidRPr="000C4873">
        <w:rPr>
          <w:rFonts w:ascii="Athelas" w:hAnsi="Athelas"/>
          <w:sz w:val="24"/>
          <w:szCs w:val="24"/>
          <w:lang w:val="en-AU"/>
        </w:rPr>
        <w:t xml:space="preserve"> to clearly direct</w:t>
      </w:r>
      <w:r w:rsidRPr="000C4873">
        <w:rPr>
          <w:rFonts w:ascii="Athelas" w:hAnsi="Athelas"/>
          <w:sz w:val="24"/>
          <w:szCs w:val="24"/>
          <w:lang w:val="en-AU"/>
        </w:rPr>
        <w:t xml:space="preserve"> the judge to specific references, while also maintaining the flow of submissions. They were concerned that </w:t>
      </w:r>
      <w:r w:rsidR="00A36DEF" w:rsidRPr="000C4873">
        <w:rPr>
          <w:rFonts w:ascii="Athelas" w:hAnsi="Athelas"/>
          <w:sz w:val="24"/>
          <w:szCs w:val="24"/>
          <w:lang w:val="en-AU"/>
        </w:rPr>
        <w:t xml:space="preserve">managing </w:t>
      </w:r>
      <w:r w:rsidRPr="000C4873">
        <w:rPr>
          <w:rFonts w:ascii="Athelas" w:hAnsi="Athelas"/>
          <w:sz w:val="24"/>
          <w:szCs w:val="24"/>
          <w:lang w:val="en-AU"/>
        </w:rPr>
        <w:t xml:space="preserve">multiple </w:t>
      </w:r>
      <w:r w:rsidR="00A36DEF" w:rsidRPr="000C4873">
        <w:rPr>
          <w:rFonts w:ascii="Athelas" w:hAnsi="Athelas"/>
          <w:sz w:val="24"/>
          <w:szCs w:val="24"/>
          <w:lang w:val="en-AU"/>
        </w:rPr>
        <w:t xml:space="preserve">computer </w:t>
      </w:r>
      <w:r w:rsidRPr="000C4873">
        <w:rPr>
          <w:rFonts w:ascii="Athelas" w:hAnsi="Athelas"/>
          <w:sz w:val="24"/>
          <w:szCs w:val="24"/>
          <w:lang w:val="en-AU"/>
        </w:rPr>
        <w:t>applications would be even more difficult for litigants in person who only had access to a smartphone.</w:t>
      </w:r>
    </w:p>
    <w:p w14:paraId="63CAB582" w14:textId="1223A6BE" w:rsidR="00DC46E5" w:rsidRPr="000C4873" w:rsidRDefault="00DC46E5" w:rsidP="00A00F8B">
      <w:pPr>
        <w:spacing w:after="0" w:line="276" w:lineRule="auto"/>
        <w:jc w:val="both"/>
        <w:rPr>
          <w:rFonts w:ascii="Athelas" w:hAnsi="Athelas"/>
          <w:sz w:val="24"/>
          <w:szCs w:val="24"/>
          <w:lang w:val="en-AU"/>
        </w:rPr>
      </w:pPr>
    </w:p>
    <w:p w14:paraId="7CC0746D" w14:textId="5A57C802" w:rsidR="00DC46E5" w:rsidRPr="000C4873" w:rsidRDefault="00DC46E5" w:rsidP="00A00F8B">
      <w:pPr>
        <w:spacing w:after="0" w:line="276" w:lineRule="auto"/>
        <w:jc w:val="both"/>
        <w:rPr>
          <w:rFonts w:ascii="Athelas" w:hAnsi="Athelas"/>
          <w:sz w:val="24"/>
          <w:szCs w:val="24"/>
          <w:lang w:val="en-AU"/>
        </w:rPr>
      </w:pPr>
      <w:r w:rsidRPr="000C4873">
        <w:rPr>
          <w:rFonts w:ascii="Athelas" w:hAnsi="Athelas"/>
          <w:sz w:val="24"/>
          <w:szCs w:val="24"/>
          <w:lang w:val="en-AU"/>
        </w:rPr>
        <w:tab/>
        <w:t>One interviewee noted that their client felt that the remote setting created a more equitable atm</w:t>
      </w:r>
      <w:r w:rsidR="0094003B" w:rsidRPr="000C4873">
        <w:rPr>
          <w:rFonts w:ascii="Athelas" w:hAnsi="Athelas"/>
          <w:sz w:val="24"/>
          <w:szCs w:val="24"/>
          <w:lang w:val="en-AU"/>
        </w:rPr>
        <w:t>osphere during the hearing</w:t>
      </w:r>
      <w:r w:rsidRPr="000C4873">
        <w:rPr>
          <w:rFonts w:ascii="Athelas" w:hAnsi="Athelas"/>
          <w:sz w:val="24"/>
          <w:szCs w:val="24"/>
          <w:lang w:val="en-AU"/>
        </w:rPr>
        <w:t xml:space="preserve">. This was because no-one was wearing robes and each participant was represented by an equally sized square: ‘we were all things on the </w:t>
      </w:r>
      <w:r w:rsidRPr="000C4873">
        <w:rPr>
          <w:rFonts w:ascii="Athelas" w:hAnsi="Athelas"/>
          <w:sz w:val="24"/>
          <w:szCs w:val="24"/>
          <w:lang w:val="en-AU"/>
        </w:rPr>
        <w:lastRenderedPageBreak/>
        <w:t xml:space="preserve">screen’. This made the client </w:t>
      </w:r>
      <w:r w:rsidR="0094003B" w:rsidRPr="000C4873">
        <w:rPr>
          <w:rFonts w:ascii="Athelas" w:hAnsi="Athelas"/>
          <w:sz w:val="24"/>
          <w:szCs w:val="24"/>
          <w:lang w:val="en-AU"/>
        </w:rPr>
        <w:t xml:space="preserve">feel </w:t>
      </w:r>
      <w:r w:rsidRPr="000C4873">
        <w:rPr>
          <w:rFonts w:ascii="Athelas" w:hAnsi="Athelas"/>
          <w:sz w:val="24"/>
          <w:szCs w:val="24"/>
          <w:lang w:val="en-AU"/>
        </w:rPr>
        <w:t>more comfortable and less like an ‘imposter.’</w:t>
      </w:r>
      <w:r w:rsidRPr="000C4873">
        <w:rPr>
          <w:rStyle w:val="FootnoteReference"/>
          <w:rFonts w:ascii="Athelas" w:hAnsi="Athelas"/>
          <w:sz w:val="24"/>
          <w:szCs w:val="24"/>
          <w:lang w:val="en-AU"/>
        </w:rPr>
        <w:footnoteReference w:id="41"/>
      </w:r>
      <w:r w:rsidRPr="000C4873">
        <w:rPr>
          <w:rFonts w:ascii="Athelas" w:hAnsi="Athelas"/>
          <w:sz w:val="24"/>
          <w:szCs w:val="24"/>
          <w:lang w:val="en-AU"/>
        </w:rPr>
        <w:t xml:space="preserve"> As observers, we thought that the screen arrangement</w:t>
      </w:r>
      <w:r w:rsidR="0094003B" w:rsidRPr="000C4873">
        <w:rPr>
          <w:rFonts w:ascii="Athelas" w:hAnsi="Athelas"/>
          <w:sz w:val="24"/>
          <w:szCs w:val="24"/>
          <w:lang w:val="en-AU"/>
        </w:rPr>
        <w:t>s</w:t>
      </w:r>
      <w:r w:rsidRPr="000C4873">
        <w:rPr>
          <w:rFonts w:ascii="Athelas" w:hAnsi="Athelas"/>
          <w:sz w:val="24"/>
          <w:szCs w:val="24"/>
          <w:lang w:val="en-AU"/>
        </w:rPr>
        <w:t xml:space="preserve"> </w:t>
      </w:r>
      <w:r w:rsidR="0094003B" w:rsidRPr="000C4873">
        <w:rPr>
          <w:rFonts w:ascii="Athelas" w:hAnsi="Athelas"/>
          <w:sz w:val="24"/>
          <w:szCs w:val="24"/>
          <w:lang w:val="en-AU"/>
        </w:rPr>
        <w:t>could make it difficult for lay observers to correctly identify the different actors in the court room.</w:t>
      </w:r>
      <w:r w:rsidR="0094003B" w:rsidRPr="000C4873">
        <w:rPr>
          <w:rFonts w:ascii="Athelas" w:hAnsi="Athelas"/>
        </w:rPr>
        <w:t xml:space="preserve"> </w:t>
      </w:r>
      <w:r w:rsidR="0094003B" w:rsidRPr="000C4873">
        <w:rPr>
          <w:rFonts w:ascii="Athelas" w:hAnsi="Athelas"/>
          <w:sz w:val="24"/>
          <w:szCs w:val="24"/>
          <w:lang w:val="en-AU"/>
        </w:rPr>
        <w:t xml:space="preserve">In </w:t>
      </w:r>
      <w:r w:rsidR="00CC5ED0">
        <w:rPr>
          <w:rFonts w:ascii="Athelas" w:hAnsi="Athelas"/>
          <w:sz w:val="24"/>
          <w:szCs w:val="24"/>
          <w:lang w:val="en-AU"/>
        </w:rPr>
        <w:t xml:space="preserve">the </w:t>
      </w:r>
      <w:r w:rsidR="0094003B" w:rsidRPr="000C4873">
        <w:rPr>
          <w:rFonts w:ascii="Athelas" w:hAnsi="Athelas"/>
          <w:sz w:val="24"/>
          <w:szCs w:val="24"/>
          <w:lang w:val="en-AU"/>
        </w:rPr>
        <w:t xml:space="preserve">absence of a physical court structure and with participants left to name themselves appropriately on </w:t>
      </w:r>
      <w:r w:rsidR="00F478A8" w:rsidRPr="000C4873">
        <w:rPr>
          <w:rFonts w:ascii="Athelas" w:hAnsi="Athelas"/>
          <w:sz w:val="24"/>
          <w:szCs w:val="24"/>
          <w:lang w:val="en-AU"/>
        </w:rPr>
        <w:t>the video platform</w:t>
      </w:r>
      <w:r w:rsidR="0094003B" w:rsidRPr="000C4873">
        <w:rPr>
          <w:rFonts w:ascii="Athelas" w:hAnsi="Athelas"/>
          <w:sz w:val="24"/>
          <w:szCs w:val="24"/>
          <w:lang w:val="en-AU"/>
        </w:rPr>
        <w:t xml:space="preserve">, </w:t>
      </w:r>
      <w:r w:rsidR="00F478A8" w:rsidRPr="000C4873">
        <w:rPr>
          <w:rFonts w:ascii="Athelas" w:hAnsi="Athelas"/>
          <w:sz w:val="24"/>
          <w:szCs w:val="24"/>
          <w:lang w:val="en-AU"/>
        </w:rPr>
        <w:t>the roles of different pa</w:t>
      </w:r>
      <w:r w:rsidR="0094003B" w:rsidRPr="000C4873">
        <w:rPr>
          <w:rFonts w:ascii="Athelas" w:hAnsi="Athelas"/>
          <w:sz w:val="24"/>
          <w:szCs w:val="24"/>
          <w:lang w:val="en-AU"/>
        </w:rPr>
        <w:t xml:space="preserve">rticipants </w:t>
      </w:r>
      <w:r w:rsidR="00F478A8" w:rsidRPr="000C4873">
        <w:rPr>
          <w:rFonts w:ascii="Athelas" w:hAnsi="Athelas"/>
          <w:sz w:val="24"/>
          <w:szCs w:val="24"/>
          <w:lang w:val="en-AU"/>
        </w:rPr>
        <w:t xml:space="preserve">were often unclear </w:t>
      </w:r>
      <w:r w:rsidR="0094003B" w:rsidRPr="000C4873">
        <w:rPr>
          <w:rFonts w:ascii="Athelas" w:hAnsi="Athelas"/>
          <w:sz w:val="24"/>
          <w:szCs w:val="24"/>
          <w:lang w:val="en-AU"/>
        </w:rPr>
        <w:t xml:space="preserve">until the hearing </w:t>
      </w:r>
      <w:r w:rsidR="00F478A8" w:rsidRPr="000C4873">
        <w:rPr>
          <w:rFonts w:ascii="Athelas" w:hAnsi="Athelas"/>
          <w:sz w:val="24"/>
          <w:szCs w:val="24"/>
          <w:lang w:val="en-AU"/>
        </w:rPr>
        <w:t>commenced in earnest</w:t>
      </w:r>
      <w:r w:rsidR="0094003B" w:rsidRPr="000C4873">
        <w:rPr>
          <w:rFonts w:ascii="Athelas" w:hAnsi="Athelas"/>
          <w:sz w:val="24"/>
          <w:szCs w:val="24"/>
          <w:lang w:val="en-AU"/>
        </w:rPr>
        <w:t>. One judge, for example, was simply named ‘HMCTS Skype.’</w:t>
      </w:r>
    </w:p>
    <w:p w14:paraId="1D38E248" w14:textId="03264354" w:rsidR="00A00F8B" w:rsidRPr="000C4873" w:rsidRDefault="00A00F8B" w:rsidP="00A00F8B">
      <w:pPr>
        <w:spacing w:after="0" w:line="276" w:lineRule="auto"/>
        <w:jc w:val="both"/>
        <w:rPr>
          <w:rFonts w:ascii="Athelas" w:hAnsi="Athelas"/>
          <w:sz w:val="24"/>
          <w:szCs w:val="24"/>
          <w:lang w:val="en-AU"/>
        </w:rPr>
      </w:pPr>
    </w:p>
    <w:p w14:paraId="795D59E8" w14:textId="2F602B9F" w:rsidR="0015265A" w:rsidRPr="000C4873" w:rsidRDefault="00A36DEF" w:rsidP="00A00F8B">
      <w:pPr>
        <w:spacing w:after="0" w:line="276" w:lineRule="auto"/>
        <w:ind w:firstLine="720"/>
        <w:jc w:val="both"/>
        <w:rPr>
          <w:rFonts w:ascii="Athelas" w:hAnsi="Athelas"/>
          <w:sz w:val="24"/>
          <w:szCs w:val="24"/>
          <w:lang w:val="en-AU"/>
        </w:rPr>
      </w:pPr>
      <w:r w:rsidRPr="000C4873">
        <w:rPr>
          <w:rFonts w:ascii="Athelas" w:hAnsi="Athelas"/>
          <w:sz w:val="24"/>
          <w:szCs w:val="24"/>
          <w:lang w:val="en-AU"/>
        </w:rPr>
        <w:t>While</w:t>
      </w:r>
      <w:r w:rsidR="00A00F8B" w:rsidRPr="000C4873">
        <w:rPr>
          <w:rFonts w:ascii="Athelas" w:hAnsi="Athelas"/>
          <w:sz w:val="24"/>
          <w:szCs w:val="24"/>
          <w:lang w:val="en-AU"/>
        </w:rPr>
        <w:t xml:space="preserve"> the interviewees saw the necessity of conducting hearings remotely, they also saw in-person hearings as ultimately preferable in most instances. This </w:t>
      </w:r>
      <w:r w:rsidR="00335773" w:rsidRPr="000C4873">
        <w:rPr>
          <w:rFonts w:ascii="Athelas" w:hAnsi="Athelas"/>
          <w:sz w:val="24"/>
          <w:szCs w:val="24"/>
          <w:lang w:val="en-AU"/>
        </w:rPr>
        <w:t xml:space="preserve">was partly due to </w:t>
      </w:r>
      <w:r w:rsidR="00A00F8B" w:rsidRPr="000C4873">
        <w:rPr>
          <w:rFonts w:ascii="Athelas" w:hAnsi="Athelas"/>
          <w:sz w:val="24"/>
          <w:szCs w:val="24"/>
          <w:lang w:val="en-AU"/>
        </w:rPr>
        <w:t xml:space="preserve">challenges arising from the use of telephone or video conferencing technology. Common issues included problems logging into the remote hearing and calls suddenly freezing or dropping out when an internet connection failed. These were largely navigated with patience, but could be frustrating for participants who were cut off in the middle of a sentence and lost their flow. Even when the </w:t>
      </w:r>
      <w:r w:rsidR="00335773" w:rsidRPr="000C4873">
        <w:rPr>
          <w:rFonts w:ascii="Athelas" w:hAnsi="Athelas"/>
          <w:sz w:val="24"/>
          <w:szCs w:val="24"/>
          <w:lang w:val="en-AU"/>
        </w:rPr>
        <w:t>software</w:t>
      </w:r>
      <w:r w:rsidR="00A00F8B" w:rsidRPr="000C4873">
        <w:rPr>
          <w:rFonts w:ascii="Athelas" w:hAnsi="Athelas"/>
          <w:sz w:val="24"/>
          <w:szCs w:val="24"/>
          <w:lang w:val="en-AU"/>
        </w:rPr>
        <w:t xml:space="preserve"> worked well, access to the necessary hardware was a frequent problem, </w:t>
      </w:r>
      <w:r w:rsidR="00A00F8B" w:rsidRPr="000C4873">
        <w:rPr>
          <w:rFonts w:ascii="Athelas" w:hAnsi="Athelas"/>
          <w:i/>
          <w:sz w:val="24"/>
          <w:szCs w:val="24"/>
          <w:lang w:val="en-AU"/>
        </w:rPr>
        <w:t>e.g</w:t>
      </w:r>
      <w:r w:rsidR="000B2DB1" w:rsidRPr="000C4873">
        <w:rPr>
          <w:rFonts w:ascii="Athelas" w:hAnsi="Athelas"/>
          <w:i/>
          <w:sz w:val="24"/>
          <w:szCs w:val="24"/>
          <w:lang w:val="en-AU"/>
        </w:rPr>
        <w:t>.</w:t>
      </w:r>
      <w:r w:rsidR="00A00F8B" w:rsidRPr="000C4873">
        <w:rPr>
          <w:rFonts w:ascii="Athelas" w:hAnsi="Athelas"/>
          <w:i/>
          <w:sz w:val="24"/>
          <w:szCs w:val="24"/>
          <w:lang w:val="en-AU"/>
        </w:rPr>
        <w:t xml:space="preserve"> </w:t>
      </w:r>
      <w:r w:rsidR="00A00F8B" w:rsidRPr="000C4873">
        <w:rPr>
          <w:rFonts w:ascii="Athelas" w:hAnsi="Athelas"/>
          <w:sz w:val="24"/>
          <w:szCs w:val="24"/>
          <w:lang w:val="en-AU"/>
        </w:rPr>
        <w:t>a need for two screens when engaging with extensive paperwork or lay clients without access to a computer. One interviewee noted that telephone hearings could generate a particularly disruptive issue: if a hearing overran, the participants of the next hearing would dial in at the allotted time, only to interrupt the late-running hearing that was still on the line. As each participant dialled in, their entry would automatically be announced</w:t>
      </w:r>
      <w:r w:rsidR="00CC5ED0">
        <w:rPr>
          <w:rFonts w:ascii="Athelas" w:hAnsi="Athelas"/>
          <w:sz w:val="24"/>
          <w:szCs w:val="24"/>
          <w:lang w:val="en-AU"/>
        </w:rPr>
        <w:t>,</w:t>
      </w:r>
      <w:r w:rsidR="00A00F8B" w:rsidRPr="000C4873">
        <w:rPr>
          <w:rFonts w:ascii="Athelas" w:hAnsi="Athelas"/>
          <w:sz w:val="24"/>
          <w:szCs w:val="24"/>
          <w:lang w:val="en-AU"/>
        </w:rPr>
        <w:t xml:space="preserve"> and the judge had to wait until everyone who was expected to join had done so before explaining that they should leave and return to the call at an agreed later time. </w:t>
      </w:r>
    </w:p>
    <w:p w14:paraId="254FBE06" w14:textId="77777777" w:rsidR="0015265A" w:rsidRPr="000C4873" w:rsidRDefault="0015265A" w:rsidP="00A00F8B">
      <w:pPr>
        <w:spacing w:after="0" w:line="276" w:lineRule="auto"/>
        <w:ind w:firstLine="720"/>
        <w:jc w:val="both"/>
        <w:rPr>
          <w:rFonts w:ascii="Athelas" w:hAnsi="Athelas"/>
          <w:sz w:val="24"/>
          <w:szCs w:val="24"/>
          <w:lang w:val="en-AU"/>
        </w:rPr>
      </w:pPr>
    </w:p>
    <w:p w14:paraId="2A4DA964" w14:textId="6E41BAAF" w:rsidR="00A00F8B" w:rsidRPr="000C4873" w:rsidRDefault="00A00F8B" w:rsidP="00A00F8B">
      <w:pPr>
        <w:spacing w:after="0" w:line="276" w:lineRule="auto"/>
        <w:ind w:firstLine="720"/>
        <w:jc w:val="both"/>
        <w:rPr>
          <w:rFonts w:ascii="Athelas" w:hAnsi="Athelas"/>
          <w:sz w:val="24"/>
          <w:szCs w:val="24"/>
          <w:lang w:val="en-AU"/>
        </w:rPr>
      </w:pPr>
      <w:r w:rsidRPr="000C4873">
        <w:rPr>
          <w:rFonts w:ascii="Athelas" w:hAnsi="Athelas"/>
          <w:sz w:val="24"/>
          <w:szCs w:val="24"/>
          <w:lang w:val="en-AU"/>
        </w:rPr>
        <w:t>The use of the audio or video link also made it more difficult for participants to take instruction</w:t>
      </w:r>
      <w:r w:rsidR="00335773" w:rsidRPr="000C4873">
        <w:rPr>
          <w:rFonts w:ascii="Athelas" w:hAnsi="Athelas"/>
          <w:sz w:val="24"/>
          <w:szCs w:val="24"/>
          <w:lang w:val="en-AU"/>
        </w:rPr>
        <w:t>s</w:t>
      </w:r>
      <w:r w:rsidRPr="000C4873">
        <w:rPr>
          <w:rFonts w:ascii="Athelas" w:hAnsi="Athelas"/>
          <w:sz w:val="24"/>
          <w:szCs w:val="24"/>
          <w:lang w:val="en-AU"/>
        </w:rPr>
        <w:t xml:space="preserve"> from clients or solicitors and for judges to deliberate during a hearing. Interviewees developed workarounds for this </w:t>
      </w:r>
      <w:r w:rsidR="00A736FE" w:rsidRPr="000C4873">
        <w:rPr>
          <w:rFonts w:ascii="Athelas" w:hAnsi="Athelas"/>
          <w:sz w:val="24"/>
          <w:szCs w:val="24"/>
          <w:lang w:val="en-AU"/>
        </w:rPr>
        <w:t>problem</w:t>
      </w:r>
      <w:r w:rsidRPr="000C4873">
        <w:rPr>
          <w:rFonts w:ascii="Athelas" w:hAnsi="Athelas"/>
          <w:sz w:val="24"/>
          <w:szCs w:val="24"/>
          <w:lang w:val="en-AU"/>
        </w:rPr>
        <w:t xml:space="preserve">, such as communicating with others via WhatsApp or text message. </w:t>
      </w:r>
      <w:r w:rsidR="0015265A" w:rsidRPr="000C4873">
        <w:rPr>
          <w:rFonts w:ascii="Athelas" w:hAnsi="Athelas"/>
          <w:sz w:val="24"/>
          <w:szCs w:val="24"/>
          <w:lang w:val="en-AU"/>
        </w:rPr>
        <w:t xml:space="preserve">One </w:t>
      </w:r>
      <w:r w:rsidR="000C4461" w:rsidRPr="000C4873">
        <w:rPr>
          <w:rFonts w:ascii="Athelas" w:hAnsi="Athelas"/>
          <w:sz w:val="24"/>
          <w:szCs w:val="24"/>
          <w:lang w:val="en-AU"/>
        </w:rPr>
        <w:t>interviewee</w:t>
      </w:r>
      <w:r w:rsidR="0015265A" w:rsidRPr="000C4873">
        <w:rPr>
          <w:rFonts w:ascii="Athelas" w:hAnsi="Athelas"/>
          <w:sz w:val="24"/>
          <w:szCs w:val="24"/>
          <w:lang w:val="en-AU"/>
        </w:rPr>
        <w:t xml:space="preserve"> thought that this </w:t>
      </w:r>
      <w:r w:rsidR="00F74D83" w:rsidRPr="000C4873">
        <w:rPr>
          <w:rFonts w:ascii="Athelas" w:hAnsi="Athelas"/>
          <w:sz w:val="24"/>
          <w:szCs w:val="24"/>
          <w:lang w:val="en-AU"/>
        </w:rPr>
        <w:t xml:space="preserve">in fact </w:t>
      </w:r>
      <w:r w:rsidR="0015265A" w:rsidRPr="000C4873">
        <w:rPr>
          <w:rFonts w:ascii="Athelas" w:hAnsi="Athelas"/>
          <w:sz w:val="24"/>
          <w:szCs w:val="24"/>
          <w:lang w:val="en-AU"/>
        </w:rPr>
        <w:t xml:space="preserve">allowed better communications within the counsel team and with their client, as opposed to being ‘staggered on different rows and passing Post-it Notes’. But other </w:t>
      </w:r>
      <w:r w:rsidRPr="000C4873">
        <w:rPr>
          <w:rFonts w:ascii="Athelas" w:hAnsi="Athelas"/>
          <w:sz w:val="24"/>
          <w:szCs w:val="24"/>
          <w:lang w:val="en-AU"/>
        </w:rPr>
        <w:t xml:space="preserve">representatives </w:t>
      </w:r>
      <w:r w:rsidR="0015265A" w:rsidRPr="000C4873">
        <w:rPr>
          <w:rFonts w:ascii="Athelas" w:hAnsi="Athelas"/>
          <w:sz w:val="24"/>
          <w:szCs w:val="24"/>
          <w:lang w:val="en-AU"/>
        </w:rPr>
        <w:t>were concerned that having to maintain</w:t>
      </w:r>
      <w:r w:rsidRPr="000C4873">
        <w:rPr>
          <w:rFonts w:ascii="Athelas" w:hAnsi="Athelas"/>
          <w:sz w:val="24"/>
          <w:szCs w:val="24"/>
          <w:lang w:val="en-AU"/>
        </w:rPr>
        <w:t xml:space="preserve"> multiple </w:t>
      </w:r>
      <w:r w:rsidR="0015265A" w:rsidRPr="000C4873">
        <w:rPr>
          <w:rFonts w:ascii="Athelas" w:hAnsi="Athelas"/>
          <w:sz w:val="24"/>
          <w:szCs w:val="24"/>
          <w:lang w:val="en-AU"/>
        </w:rPr>
        <w:t xml:space="preserve">conversations at the same time </w:t>
      </w:r>
      <w:r w:rsidR="00F74D83" w:rsidRPr="000C4873">
        <w:rPr>
          <w:rFonts w:ascii="Athelas" w:hAnsi="Athelas"/>
          <w:sz w:val="24"/>
          <w:szCs w:val="24"/>
          <w:lang w:val="en-AU"/>
        </w:rPr>
        <w:t xml:space="preserve">might </w:t>
      </w:r>
      <w:r w:rsidR="0015265A" w:rsidRPr="000C4873">
        <w:rPr>
          <w:rFonts w:ascii="Athelas" w:hAnsi="Athelas"/>
          <w:sz w:val="24"/>
          <w:szCs w:val="24"/>
          <w:lang w:val="en-AU"/>
        </w:rPr>
        <w:t>distract them from the hearing itself.</w:t>
      </w:r>
      <w:r w:rsidRPr="000C4873">
        <w:rPr>
          <w:rFonts w:ascii="Athelas" w:hAnsi="Athelas"/>
          <w:sz w:val="24"/>
          <w:szCs w:val="24"/>
          <w:lang w:val="en-AU"/>
        </w:rPr>
        <w:t xml:space="preserve"> One interviewee noted the potential for breaches of confidentiality with the use of audio or video links. In one instance, witnessed in a break before judgment was handed down, one participant disconnected their video connection but forgot to mute their microphone. This led to them inadvertently broadcasting their informal discussions with colleagues and some frantic emailing to alert them to what they had done. </w:t>
      </w:r>
    </w:p>
    <w:p w14:paraId="006834E1" w14:textId="0536AE28" w:rsidR="00A00F8B" w:rsidRPr="000C4873" w:rsidRDefault="00A00F8B" w:rsidP="00A36DEF">
      <w:pPr>
        <w:spacing w:after="0" w:line="276" w:lineRule="auto"/>
        <w:jc w:val="both"/>
        <w:rPr>
          <w:rFonts w:ascii="Athelas" w:hAnsi="Athelas"/>
          <w:sz w:val="24"/>
          <w:szCs w:val="24"/>
          <w:lang w:val="en-AU"/>
        </w:rPr>
      </w:pPr>
    </w:p>
    <w:p w14:paraId="38C13D28" w14:textId="3FE3018E" w:rsidR="00A00F8B" w:rsidRPr="000C4873" w:rsidRDefault="00A00F8B" w:rsidP="00A00F8B">
      <w:pPr>
        <w:spacing w:after="0" w:line="276" w:lineRule="auto"/>
        <w:ind w:firstLine="720"/>
        <w:jc w:val="both"/>
        <w:rPr>
          <w:rFonts w:ascii="Athelas" w:hAnsi="Athelas"/>
          <w:sz w:val="24"/>
          <w:szCs w:val="24"/>
          <w:lang w:val="en-AU"/>
        </w:rPr>
      </w:pPr>
      <w:r w:rsidRPr="000C4873">
        <w:rPr>
          <w:rFonts w:ascii="Athelas" w:hAnsi="Athelas"/>
          <w:sz w:val="24"/>
          <w:szCs w:val="24"/>
          <w:lang w:val="en-AU"/>
        </w:rPr>
        <w:t>Many interviewees highlighted the challenge of not being able to see how submissions were being received, particularly by the judge, during both telephone and video hearings.</w:t>
      </w:r>
      <w:r w:rsidR="000C4461" w:rsidRPr="000C4873">
        <w:rPr>
          <w:rFonts w:ascii="Athelas" w:hAnsi="Athelas"/>
          <w:sz w:val="24"/>
          <w:szCs w:val="24"/>
          <w:lang w:val="en-AU"/>
        </w:rPr>
        <w:t xml:space="preserve"> I</w:t>
      </w:r>
      <w:r w:rsidRPr="000C4873">
        <w:rPr>
          <w:rFonts w:ascii="Athelas" w:hAnsi="Athelas"/>
          <w:sz w:val="24"/>
          <w:szCs w:val="24"/>
          <w:lang w:val="en-AU"/>
        </w:rPr>
        <w:t xml:space="preserve">t </w:t>
      </w:r>
      <w:r w:rsidRPr="000C4873">
        <w:rPr>
          <w:rFonts w:ascii="Athelas" w:hAnsi="Athelas"/>
          <w:sz w:val="24"/>
          <w:szCs w:val="24"/>
          <w:lang w:val="en-AU"/>
        </w:rPr>
        <w:lastRenderedPageBreak/>
        <w:t>was hard</w:t>
      </w:r>
      <w:r w:rsidR="000C4461" w:rsidRPr="000C4873">
        <w:rPr>
          <w:rFonts w:ascii="Athelas" w:hAnsi="Athelas"/>
          <w:sz w:val="24"/>
          <w:szCs w:val="24"/>
          <w:lang w:val="en-AU"/>
        </w:rPr>
        <w:t>er</w:t>
      </w:r>
      <w:r w:rsidRPr="000C4873">
        <w:rPr>
          <w:rFonts w:ascii="Athelas" w:hAnsi="Athelas"/>
          <w:sz w:val="24"/>
          <w:szCs w:val="24"/>
          <w:lang w:val="en-AU"/>
        </w:rPr>
        <w:t xml:space="preserve"> to establish whether the ju</w:t>
      </w:r>
      <w:r w:rsidR="000C4461" w:rsidRPr="000C4873">
        <w:rPr>
          <w:rFonts w:ascii="Athelas" w:hAnsi="Athelas"/>
          <w:sz w:val="24"/>
          <w:szCs w:val="24"/>
          <w:lang w:val="en-AU"/>
        </w:rPr>
        <w:t>dge had grasped a certain point</w:t>
      </w:r>
      <w:r w:rsidRPr="000C4873">
        <w:rPr>
          <w:rFonts w:ascii="Athelas" w:hAnsi="Athelas"/>
          <w:sz w:val="24"/>
          <w:szCs w:val="24"/>
          <w:lang w:val="en-AU"/>
        </w:rPr>
        <w:t xml:space="preserve"> or </w:t>
      </w:r>
      <w:r w:rsidR="000C4461" w:rsidRPr="000C4873">
        <w:rPr>
          <w:rFonts w:ascii="Athelas" w:hAnsi="Athelas"/>
          <w:sz w:val="24"/>
          <w:szCs w:val="24"/>
          <w:lang w:val="en-AU"/>
        </w:rPr>
        <w:t xml:space="preserve">whether it was necessary </w:t>
      </w:r>
      <w:r w:rsidRPr="000C4873">
        <w:rPr>
          <w:rFonts w:ascii="Athelas" w:hAnsi="Athelas"/>
          <w:sz w:val="24"/>
          <w:szCs w:val="24"/>
          <w:lang w:val="en-AU"/>
        </w:rPr>
        <w:t xml:space="preserve">to spend longer elaborating on it. It was also harder to get a sense throughout the hearing of the judge’s likely decision on the case. One interviewee noted that judges were less </w:t>
      </w:r>
      <w:r w:rsidR="00CC5ED0">
        <w:rPr>
          <w:rFonts w:ascii="Athelas" w:hAnsi="Athelas"/>
          <w:sz w:val="24"/>
          <w:szCs w:val="24"/>
          <w:lang w:val="en-AU"/>
        </w:rPr>
        <w:t>‘</w:t>
      </w:r>
      <w:r w:rsidRPr="000C4873">
        <w:rPr>
          <w:rFonts w:ascii="Athelas" w:hAnsi="Athelas"/>
          <w:sz w:val="24"/>
          <w:szCs w:val="24"/>
          <w:lang w:val="en-AU"/>
        </w:rPr>
        <w:t>interventionist</w:t>
      </w:r>
      <w:r w:rsidR="00CC5ED0">
        <w:rPr>
          <w:rFonts w:ascii="Athelas" w:hAnsi="Athelas"/>
          <w:sz w:val="24"/>
          <w:szCs w:val="24"/>
          <w:lang w:val="en-AU"/>
        </w:rPr>
        <w:t>’</w:t>
      </w:r>
      <w:r w:rsidRPr="000C4873">
        <w:rPr>
          <w:rFonts w:ascii="Athelas" w:hAnsi="Athelas"/>
          <w:sz w:val="24"/>
          <w:szCs w:val="24"/>
          <w:lang w:val="en-AU"/>
        </w:rPr>
        <w:t xml:space="preserve"> than they might be in an in-person hearing:</w:t>
      </w:r>
    </w:p>
    <w:p w14:paraId="685401D2" w14:textId="77777777" w:rsidR="00A00F8B" w:rsidRPr="000C4873" w:rsidRDefault="00A00F8B" w:rsidP="00A00F8B">
      <w:pPr>
        <w:spacing w:after="0" w:line="276" w:lineRule="auto"/>
        <w:ind w:firstLine="720"/>
        <w:jc w:val="both"/>
        <w:rPr>
          <w:rFonts w:ascii="Athelas" w:hAnsi="Athelas"/>
          <w:sz w:val="24"/>
          <w:szCs w:val="24"/>
          <w:lang w:val="en-AU"/>
        </w:rPr>
      </w:pPr>
    </w:p>
    <w:p w14:paraId="79D6B8CA" w14:textId="77777777" w:rsidR="00A00F8B" w:rsidRPr="000C4873" w:rsidRDefault="00A00F8B" w:rsidP="00A00F8B">
      <w:pPr>
        <w:spacing w:after="0" w:line="276" w:lineRule="auto"/>
        <w:ind w:left="720"/>
        <w:jc w:val="both"/>
        <w:rPr>
          <w:rFonts w:ascii="Athelas" w:hAnsi="Athelas"/>
          <w:sz w:val="20"/>
          <w:szCs w:val="20"/>
          <w:lang w:val="en-AU"/>
        </w:rPr>
      </w:pPr>
      <w:r w:rsidRPr="000C4873">
        <w:rPr>
          <w:rFonts w:ascii="Athelas" w:hAnsi="Athelas"/>
          <w:sz w:val="20"/>
          <w:szCs w:val="20"/>
          <w:lang w:val="en-AU"/>
        </w:rPr>
        <w:t>[I]t’s more difficult to be interventionist with video streaming because of the delays and problems of over-speaking, and so people, naturally, I think, sort of sit back and listen more than they would otherwise. That is obviously a disadvantage for debate and effective public hearings.</w:t>
      </w:r>
    </w:p>
    <w:p w14:paraId="3D7C25FA" w14:textId="77777777" w:rsidR="00A00F8B" w:rsidRPr="000C4873" w:rsidRDefault="00A00F8B" w:rsidP="00A00F8B">
      <w:pPr>
        <w:spacing w:after="0" w:line="276" w:lineRule="auto"/>
        <w:jc w:val="both"/>
        <w:rPr>
          <w:rFonts w:ascii="Athelas" w:hAnsi="Athelas"/>
          <w:sz w:val="24"/>
          <w:szCs w:val="24"/>
          <w:lang w:val="en-AU"/>
        </w:rPr>
      </w:pPr>
    </w:p>
    <w:p w14:paraId="5EC9C6C1" w14:textId="0613AC44" w:rsidR="00A00F8B" w:rsidRPr="000C4873" w:rsidRDefault="00A00F8B" w:rsidP="00A00F8B">
      <w:pPr>
        <w:spacing w:after="0" w:line="276" w:lineRule="auto"/>
        <w:jc w:val="both"/>
        <w:rPr>
          <w:rFonts w:ascii="Athelas" w:hAnsi="Athelas"/>
          <w:sz w:val="24"/>
          <w:szCs w:val="24"/>
          <w:lang w:val="en-AU"/>
        </w:rPr>
      </w:pPr>
      <w:r w:rsidRPr="000C4873">
        <w:rPr>
          <w:rFonts w:ascii="Athelas" w:hAnsi="Athelas"/>
          <w:sz w:val="24"/>
          <w:szCs w:val="24"/>
          <w:lang w:val="en-AU"/>
        </w:rPr>
        <w:t xml:space="preserve">This was frustrating for some interviewees, as they felt they were not always able to adequately address points during the hearing and would only hear what the judge really thought in the final judgment. Overall, interviewees felt that they were ‘fighting an uphill battle’ on this front, which primarily stemmed from their limited ability to engage the judge. One interviewee noted that remote hearings called for ‘a slightly different style of advocacy,’ but that </w:t>
      </w:r>
      <w:r w:rsidR="00DC46E5" w:rsidRPr="000C4873">
        <w:rPr>
          <w:rFonts w:ascii="Athelas" w:hAnsi="Athelas"/>
          <w:sz w:val="24"/>
          <w:szCs w:val="24"/>
          <w:lang w:val="en-AU"/>
        </w:rPr>
        <w:t xml:space="preserve">it was difficult to gauge this different style </w:t>
      </w:r>
      <w:r w:rsidRPr="000C4873">
        <w:rPr>
          <w:rFonts w:ascii="Athelas" w:hAnsi="Athelas"/>
          <w:sz w:val="24"/>
          <w:szCs w:val="24"/>
          <w:lang w:val="en-AU"/>
        </w:rPr>
        <w:t>without feedback fr</w:t>
      </w:r>
      <w:r w:rsidR="00DC46E5" w:rsidRPr="000C4873">
        <w:rPr>
          <w:rFonts w:ascii="Athelas" w:hAnsi="Athelas"/>
          <w:sz w:val="24"/>
          <w:szCs w:val="24"/>
          <w:lang w:val="en-AU"/>
        </w:rPr>
        <w:t>om other participants</w:t>
      </w:r>
      <w:r w:rsidRPr="000C4873">
        <w:rPr>
          <w:rFonts w:ascii="Athelas" w:hAnsi="Athelas"/>
          <w:sz w:val="24"/>
          <w:szCs w:val="24"/>
          <w:lang w:val="en-AU"/>
        </w:rPr>
        <w:t>.</w:t>
      </w:r>
    </w:p>
    <w:p w14:paraId="7DDAB945" w14:textId="77777777" w:rsidR="00A00F8B" w:rsidRPr="000C4873" w:rsidRDefault="00A00F8B" w:rsidP="00A00F8B">
      <w:pPr>
        <w:spacing w:after="0" w:line="276" w:lineRule="auto"/>
        <w:jc w:val="both"/>
        <w:rPr>
          <w:rFonts w:ascii="Athelas" w:hAnsi="Athelas"/>
          <w:sz w:val="24"/>
          <w:szCs w:val="24"/>
          <w:lang w:val="en-AU"/>
        </w:rPr>
      </w:pPr>
    </w:p>
    <w:p w14:paraId="0CEFF629" w14:textId="2D14482E" w:rsidR="00A736FE" w:rsidRPr="000C4873" w:rsidRDefault="00A736FE" w:rsidP="00A736FE">
      <w:pPr>
        <w:spacing w:after="0" w:line="276" w:lineRule="auto"/>
        <w:ind w:firstLine="720"/>
        <w:jc w:val="both"/>
        <w:rPr>
          <w:rFonts w:ascii="Athelas" w:hAnsi="Athelas"/>
          <w:sz w:val="24"/>
          <w:szCs w:val="24"/>
          <w:lang w:val="en-AU"/>
        </w:rPr>
      </w:pPr>
      <w:r w:rsidRPr="000C4873">
        <w:rPr>
          <w:rFonts w:ascii="Athelas" w:hAnsi="Athelas"/>
          <w:sz w:val="24"/>
          <w:szCs w:val="24"/>
          <w:lang w:val="en-AU"/>
        </w:rPr>
        <w:t xml:space="preserve">Multiple interviewees conducted their hearings via telephone as this was the platform chosen by the Court, but the majority said that they would have preferred to conduct the hearing via video link. In one instance, the Court opted for a telephone hearing as there were technical difficulties with the initial Skype hearing. In another instance, the Court chose a telephone hearing because the judge was struggling to get to grips with Skype. On other occasions, it was not clear why the Court chose a telephone hearing. Interviewees found telephone hearings exacerbated the problem of speaking over one another and made it even harder to engage the judge. Telephone hearings also created greater feelings of disconnection from the other participants, not least because whilst conducting them, as one interviewee noted, participants are left ‘just staring into the abyss.’ </w:t>
      </w:r>
    </w:p>
    <w:p w14:paraId="7E21D517" w14:textId="77777777" w:rsidR="00A736FE" w:rsidRPr="000C4873" w:rsidRDefault="00A736FE" w:rsidP="00A736FE">
      <w:pPr>
        <w:spacing w:after="0" w:line="276" w:lineRule="auto"/>
        <w:ind w:firstLine="720"/>
        <w:jc w:val="both"/>
        <w:rPr>
          <w:rFonts w:ascii="Athelas" w:hAnsi="Athelas"/>
          <w:sz w:val="24"/>
          <w:szCs w:val="24"/>
          <w:lang w:val="en-AU"/>
        </w:rPr>
      </w:pPr>
    </w:p>
    <w:p w14:paraId="39FA59C4" w14:textId="31EB14CE" w:rsidR="00A00F8B" w:rsidRPr="000C4873" w:rsidRDefault="00A00F8B" w:rsidP="00A00F8B">
      <w:pPr>
        <w:spacing w:after="0" w:line="276" w:lineRule="auto"/>
        <w:ind w:firstLine="720"/>
        <w:jc w:val="both"/>
        <w:rPr>
          <w:rFonts w:ascii="Athelas" w:hAnsi="Athelas"/>
          <w:sz w:val="24"/>
          <w:szCs w:val="24"/>
          <w:lang w:val="en-AU"/>
        </w:rPr>
      </w:pPr>
      <w:r w:rsidRPr="000C4873">
        <w:rPr>
          <w:rFonts w:ascii="Athelas" w:hAnsi="Athelas"/>
          <w:sz w:val="24"/>
          <w:szCs w:val="24"/>
          <w:lang w:val="en-AU"/>
        </w:rPr>
        <w:t xml:space="preserve">A number of the interviewees’ hearings had a press or public presence. While some saw the process of gaining access to remotely observe hearings as ‘quite easy to arrange,’ others noted instances </w:t>
      </w:r>
      <w:r w:rsidR="00335773" w:rsidRPr="000C4873">
        <w:rPr>
          <w:rFonts w:ascii="Athelas" w:hAnsi="Athelas"/>
          <w:sz w:val="24"/>
          <w:szCs w:val="24"/>
          <w:lang w:val="en-AU"/>
        </w:rPr>
        <w:t xml:space="preserve">immediately before a hearing </w:t>
      </w:r>
      <w:r w:rsidRPr="000C4873">
        <w:rPr>
          <w:rFonts w:ascii="Athelas" w:hAnsi="Athelas"/>
          <w:sz w:val="24"/>
          <w:szCs w:val="24"/>
          <w:lang w:val="en-AU"/>
        </w:rPr>
        <w:t xml:space="preserve">where there was a struggle for press to be given the login details to observe the hearing remotely. </w:t>
      </w:r>
      <w:r w:rsidR="00263F5C" w:rsidRPr="000C4873">
        <w:rPr>
          <w:rFonts w:ascii="Athelas" w:hAnsi="Athelas"/>
          <w:sz w:val="24"/>
          <w:szCs w:val="24"/>
          <w:lang w:val="en-AU"/>
        </w:rPr>
        <w:t>One interviewee expressed concern that a ‘fetter on accessing the link’ to their hearing had led to a much lower press and public attendance than if the same case had been heard in person. Another</w:t>
      </w:r>
      <w:r w:rsidRPr="000C4873">
        <w:rPr>
          <w:rFonts w:ascii="Athelas" w:hAnsi="Athelas"/>
          <w:sz w:val="24"/>
          <w:szCs w:val="24"/>
          <w:lang w:val="en-AU"/>
        </w:rPr>
        <w:t xml:space="preserve"> interviewee remarked that it was not clear whether the court was exercising its power under CPR Practice Direction 51Y to make the hearing private and that this should be made clear to all parties.</w:t>
      </w:r>
    </w:p>
    <w:p w14:paraId="46DB15E6" w14:textId="77777777" w:rsidR="00A00F8B" w:rsidRPr="000C4873" w:rsidRDefault="00A00F8B" w:rsidP="00A00F8B">
      <w:pPr>
        <w:spacing w:after="0" w:line="276" w:lineRule="auto"/>
        <w:ind w:right="26"/>
        <w:jc w:val="both"/>
        <w:rPr>
          <w:rFonts w:ascii="Athelas" w:hAnsi="Athelas"/>
          <w:sz w:val="24"/>
          <w:szCs w:val="24"/>
          <w:lang w:val="en-AU"/>
        </w:rPr>
      </w:pPr>
    </w:p>
    <w:p w14:paraId="5DE3F9E3" w14:textId="6C6B4B29" w:rsidR="00A00F8B" w:rsidRPr="000C4873" w:rsidRDefault="00F03821" w:rsidP="00A2379F">
      <w:pPr>
        <w:keepNext/>
        <w:spacing w:after="0" w:line="276" w:lineRule="auto"/>
        <w:jc w:val="both"/>
        <w:rPr>
          <w:rFonts w:ascii="Athelas" w:hAnsi="Athelas"/>
          <w:sz w:val="24"/>
          <w:szCs w:val="24"/>
        </w:rPr>
      </w:pPr>
      <w:r w:rsidRPr="000C4873">
        <w:rPr>
          <w:rFonts w:ascii="Athelas" w:hAnsi="Athelas"/>
          <w:b/>
          <w:bCs/>
          <w:sz w:val="32"/>
          <w:szCs w:val="32"/>
          <w:lang w:val="en-AU"/>
        </w:rPr>
        <w:t>Conclusion</w:t>
      </w:r>
    </w:p>
    <w:p w14:paraId="0337BB10" w14:textId="535231BA" w:rsidR="007E7DC8" w:rsidRPr="000C4873" w:rsidRDefault="007E7DC8" w:rsidP="00A2379F">
      <w:pPr>
        <w:keepNext/>
        <w:spacing w:after="0" w:line="276" w:lineRule="auto"/>
        <w:ind w:right="28"/>
        <w:jc w:val="both"/>
        <w:rPr>
          <w:rFonts w:ascii="Athelas" w:hAnsi="Athelas"/>
          <w:sz w:val="24"/>
          <w:szCs w:val="24"/>
          <w:lang w:val="en-AU"/>
        </w:rPr>
      </w:pPr>
    </w:p>
    <w:p w14:paraId="177C5DA6" w14:textId="030F470F" w:rsidR="00E72282" w:rsidRPr="000C4873" w:rsidRDefault="00E72282" w:rsidP="00E72282">
      <w:pPr>
        <w:spacing w:after="0" w:line="276" w:lineRule="auto"/>
        <w:jc w:val="both"/>
        <w:rPr>
          <w:rFonts w:ascii="Athelas" w:hAnsi="Athelas"/>
          <w:sz w:val="24"/>
          <w:szCs w:val="24"/>
          <w:lang w:val="en-AU"/>
        </w:rPr>
      </w:pPr>
      <w:r w:rsidRPr="000C4873">
        <w:rPr>
          <w:rFonts w:ascii="Athelas" w:hAnsi="Athelas"/>
          <w:sz w:val="24"/>
          <w:szCs w:val="24"/>
          <w:lang w:val="en-AU"/>
        </w:rPr>
        <w:t>Overall, our findings suggest that there was support for the judicial review process continuing during the COVID-19 pandemic and that remote hearings have cer</w:t>
      </w:r>
      <w:r w:rsidR="006105F3" w:rsidRPr="000C4873">
        <w:rPr>
          <w:rFonts w:ascii="Athelas" w:hAnsi="Athelas"/>
          <w:sz w:val="24"/>
          <w:szCs w:val="24"/>
          <w:lang w:val="en-AU"/>
        </w:rPr>
        <w:t xml:space="preserve">tain strengths. However, </w:t>
      </w:r>
      <w:r w:rsidR="006105F3" w:rsidRPr="000C4873">
        <w:rPr>
          <w:rFonts w:ascii="Athelas" w:hAnsi="Athelas"/>
          <w:sz w:val="24"/>
          <w:szCs w:val="24"/>
          <w:lang w:val="en-AU"/>
        </w:rPr>
        <w:lastRenderedPageBreak/>
        <w:t>there we</w:t>
      </w:r>
      <w:r w:rsidRPr="000C4873">
        <w:rPr>
          <w:rFonts w:ascii="Athelas" w:hAnsi="Athelas"/>
          <w:sz w:val="24"/>
          <w:szCs w:val="24"/>
          <w:lang w:val="en-AU"/>
        </w:rPr>
        <w:t>re also various technical difficulties and remote hearing</w:t>
      </w:r>
      <w:r w:rsidR="00A736FE" w:rsidRPr="000C4873">
        <w:rPr>
          <w:rFonts w:ascii="Athelas" w:hAnsi="Athelas"/>
          <w:sz w:val="24"/>
          <w:szCs w:val="24"/>
          <w:lang w:val="en-AU"/>
        </w:rPr>
        <w:t>s</w:t>
      </w:r>
      <w:r w:rsidR="006105F3" w:rsidRPr="000C4873">
        <w:rPr>
          <w:rFonts w:ascii="Athelas" w:hAnsi="Athelas"/>
          <w:sz w:val="24"/>
          <w:szCs w:val="24"/>
          <w:lang w:val="en-AU"/>
        </w:rPr>
        <w:t xml:space="preserve"> we</w:t>
      </w:r>
      <w:r w:rsidRPr="000C4873">
        <w:rPr>
          <w:rFonts w:ascii="Athelas" w:hAnsi="Athelas"/>
          <w:sz w:val="24"/>
          <w:szCs w:val="24"/>
          <w:lang w:val="en-AU"/>
        </w:rPr>
        <w:t xml:space="preserve">re not seen as universally appropriate, even in a </w:t>
      </w:r>
      <w:r w:rsidR="00A736FE" w:rsidRPr="000C4873">
        <w:rPr>
          <w:rFonts w:ascii="Athelas" w:hAnsi="Athelas"/>
          <w:sz w:val="24"/>
          <w:szCs w:val="24"/>
          <w:lang w:val="en-AU"/>
        </w:rPr>
        <w:t>‘law-focused’</w:t>
      </w:r>
      <w:r w:rsidRPr="000C4873">
        <w:rPr>
          <w:rFonts w:ascii="Athelas" w:hAnsi="Athelas"/>
          <w:sz w:val="24"/>
          <w:szCs w:val="24"/>
          <w:lang w:val="en-AU"/>
        </w:rPr>
        <w:t xml:space="preserve"> jurisdiction </w:t>
      </w:r>
      <w:r w:rsidR="00A736FE" w:rsidRPr="000C4873">
        <w:rPr>
          <w:rFonts w:ascii="Athelas" w:hAnsi="Athelas"/>
          <w:sz w:val="24"/>
          <w:szCs w:val="24"/>
          <w:lang w:val="en-AU"/>
        </w:rPr>
        <w:t xml:space="preserve">such as </w:t>
      </w:r>
      <w:r w:rsidRPr="000C4873">
        <w:rPr>
          <w:rFonts w:ascii="Athelas" w:hAnsi="Athelas"/>
          <w:sz w:val="24"/>
          <w:szCs w:val="24"/>
          <w:lang w:val="en-AU"/>
        </w:rPr>
        <w:t xml:space="preserve">judicial review. </w:t>
      </w:r>
    </w:p>
    <w:p w14:paraId="333B1476" w14:textId="77777777" w:rsidR="00E72282" w:rsidRPr="000C4873" w:rsidRDefault="00E72282" w:rsidP="00E72282">
      <w:pPr>
        <w:spacing w:after="0" w:line="276" w:lineRule="auto"/>
        <w:jc w:val="both"/>
        <w:rPr>
          <w:rFonts w:ascii="Athelas" w:hAnsi="Athelas"/>
          <w:sz w:val="24"/>
          <w:szCs w:val="24"/>
          <w:lang w:val="en-AU"/>
        </w:rPr>
      </w:pPr>
    </w:p>
    <w:p w14:paraId="3C74DA27" w14:textId="4886B9A6" w:rsidR="00C9438A" w:rsidRPr="000C4873" w:rsidRDefault="00E72282" w:rsidP="00123A7A">
      <w:pPr>
        <w:spacing w:after="0" w:line="276" w:lineRule="auto"/>
        <w:ind w:firstLine="720"/>
        <w:jc w:val="both"/>
        <w:rPr>
          <w:rFonts w:ascii="Athelas" w:hAnsi="Athelas"/>
          <w:sz w:val="24"/>
          <w:szCs w:val="24"/>
          <w:lang w:val="en-AU"/>
        </w:rPr>
      </w:pPr>
      <w:r w:rsidRPr="000C4873">
        <w:rPr>
          <w:rFonts w:ascii="Athelas" w:hAnsi="Athelas"/>
          <w:sz w:val="24"/>
          <w:szCs w:val="24"/>
          <w:lang w:val="en-AU"/>
        </w:rPr>
        <w:t>There will no doubt be extensive analysis of the role of judicial revi</w:t>
      </w:r>
      <w:r w:rsidR="00332280">
        <w:rPr>
          <w:rFonts w:ascii="Athelas" w:hAnsi="Athelas"/>
          <w:sz w:val="24"/>
          <w:szCs w:val="24"/>
          <w:lang w:val="en-AU"/>
        </w:rPr>
        <w:t xml:space="preserve">ew during the COVID-19 pandemic, </w:t>
      </w:r>
      <w:r w:rsidR="00332280" w:rsidRPr="000C4873">
        <w:rPr>
          <w:rFonts w:ascii="Athelas" w:hAnsi="Athelas"/>
          <w:sz w:val="24"/>
          <w:szCs w:val="24"/>
          <w:lang w:val="en-AU"/>
        </w:rPr>
        <w:t xml:space="preserve">including of </w:t>
      </w:r>
      <w:r w:rsidR="00332280">
        <w:rPr>
          <w:rFonts w:ascii="Athelas" w:hAnsi="Athelas"/>
          <w:sz w:val="24"/>
          <w:szCs w:val="24"/>
          <w:lang w:val="en-AU"/>
        </w:rPr>
        <w:t>challenges to</w:t>
      </w:r>
      <w:r w:rsidR="00332280" w:rsidRPr="000C4873">
        <w:rPr>
          <w:rFonts w:ascii="Athelas" w:hAnsi="Athelas"/>
          <w:sz w:val="24"/>
          <w:szCs w:val="24"/>
          <w:lang w:val="en-AU"/>
        </w:rPr>
        <w:t xml:space="preserve"> the government’s response to the crisis – a matter that we have not sought to address here</w:t>
      </w:r>
      <w:r w:rsidR="00332280">
        <w:rPr>
          <w:rFonts w:ascii="Athelas" w:hAnsi="Athelas"/>
          <w:sz w:val="24"/>
          <w:szCs w:val="24"/>
          <w:lang w:val="en-AU"/>
        </w:rPr>
        <w:t>. It is critical</w:t>
      </w:r>
      <w:r w:rsidRPr="000C4873">
        <w:rPr>
          <w:rFonts w:ascii="Athelas" w:hAnsi="Athelas"/>
          <w:sz w:val="24"/>
          <w:szCs w:val="24"/>
          <w:lang w:val="en-AU"/>
        </w:rPr>
        <w:t xml:space="preserve"> that any</w:t>
      </w:r>
      <w:r w:rsidR="00332280">
        <w:rPr>
          <w:rFonts w:ascii="Athelas" w:hAnsi="Athelas"/>
          <w:sz w:val="24"/>
          <w:szCs w:val="24"/>
          <w:lang w:val="en-AU"/>
        </w:rPr>
        <w:t xml:space="preserve"> such analysis considers</w:t>
      </w:r>
      <w:r w:rsidRPr="000C4873">
        <w:rPr>
          <w:rFonts w:ascii="Athelas" w:hAnsi="Athelas"/>
          <w:sz w:val="24"/>
          <w:szCs w:val="24"/>
          <w:lang w:val="en-AU"/>
        </w:rPr>
        <w:t xml:space="preserve"> not onl</w:t>
      </w:r>
      <w:r w:rsidR="00332280">
        <w:rPr>
          <w:rFonts w:ascii="Athelas" w:hAnsi="Athelas"/>
          <w:sz w:val="24"/>
          <w:szCs w:val="24"/>
          <w:lang w:val="en-AU"/>
        </w:rPr>
        <w:t>y a few high-profile cases</w:t>
      </w:r>
      <w:r w:rsidRPr="000C4873">
        <w:rPr>
          <w:rFonts w:ascii="Athelas" w:hAnsi="Athelas"/>
          <w:sz w:val="24"/>
          <w:szCs w:val="24"/>
          <w:lang w:val="en-AU"/>
        </w:rPr>
        <w:t>, but also the response of the judicial review system as a whole. It must consider how judicial review procedures have adapted to these extraordinary times and how the public ha</w:t>
      </w:r>
      <w:r w:rsidR="00335773" w:rsidRPr="000C4873">
        <w:rPr>
          <w:rFonts w:ascii="Athelas" w:hAnsi="Athelas"/>
          <w:sz w:val="24"/>
          <w:szCs w:val="24"/>
          <w:lang w:val="en-AU"/>
        </w:rPr>
        <w:t>s</w:t>
      </w:r>
      <w:r w:rsidRPr="000C4873">
        <w:rPr>
          <w:rFonts w:ascii="Athelas" w:hAnsi="Athelas"/>
          <w:sz w:val="24"/>
          <w:szCs w:val="24"/>
          <w:lang w:val="en-AU"/>
        </w:rPr>
        <w:t xml:space="preserve"> used judicial review at a moment when government has assumed extensive powers. If </w:t>
      </w:r>
      <w:r w:rsidR="00354243" w:rsidRPr="000C4873">
        <w:rPr>
          <w:rFonts w:ascii="Athelas" w:hAnsi="Athelas"/>
          <w:sz w:val="24"/>
          <w:szCs w:val="24"/>
          <w:lang w:val="en-AU"/>
        </w:rPr>
        <w:t>we can broaden the terms of debate</w:t>
      </w:r>
      <w:r w:rsidR="00332280">
        <w:rPr>
          <w:rFonts w:ascii="Athelas" w:hAnsi="Athelas"/>
          <w:sz w:val="24"/>
          <w:szCs w:val="24"/>
          <w:lang w:val="en-AU"/>
        </w:rPr>
        <w:t xml:space="preserve"> in this way, </w:t>
      </w:r>
      <w:r w:rsidR="00354243" w:rsidRPr="000C4873">
        <w:rPr>
          <w:rFonts w:ascii="Athelas" w:hAnsi="Athelas"/>
          <w:sz w:val="24"/>
          <w:szCs w:val="24"/>
          <w:lang w:val="en-AU"/>
        </w:rPr>
        <w:t>t</w:t>
      </w:r>
      <w:r w:rsidRPr="000C4873">
        <w:rPr>
          <w:rFonts w:ascii="Athelas" w:hAnsi="Athelas"/>
          <w:sz w:val="24"/>
          <w:szCs w:val="24"/>
          <w:lang w:val="en-AU"/>
        </w:rPr>
        <w:t xml:space="preserve">his disruption in the course of modern judicial review may do more than merely provide fodder for contemporary anxieties about judicial power in the UK. It may instead provide the impetus for a </w:t>
      </w:r>
      <w:r w:rsidR="006105F3" w:rsidRPr="000C4873">
        <w:rPr>
          <w:rFonts w:ascii="Athelas" w:hAnsi="Athelas"/>
          <w:sz w:val="24"/>
          <w:szCs w:val="24"/>
          <w:lang w:val="en-AU"/>
        </w:rPr>
        <w:t>better</w:t>
      </w:r>
      <w:r w:rsidRPr="000C4873">
        <w:rPr>
          <w:rFonts w:ascii="Athelas" w:hAnsi="Athelas"/>
          <w:sz w:val="24"/>
          <w:szCs w:val="24"/>
          <w:lang w:val="en-AU"/>
        </w:rPr>
        <w:t xml:space="preserve"> debate about the role of </w:t>
      </w:r>
      <w:r w:rsidR="007C0DC7">
        <w:rPr>
          <w:rFonts w:ascii="Athelas" w:hAnsi="Athelas"/>
          <w:sz w:val="24"/>
          <w:szCs w:val="24"/>
          <w:lang w:val="en-AU"/>
        </w:rPr>
        <w:t xml:space="preserve">the system of </w:t>
      </w:r>
      <w:r w:rsidRPr="000C4873">
        <w:rPr>
          <w:rFonts w:ascii="Athelas" w:hAnsi="Athelas"/>
          <w:sz w:val="24"/>
          <w:szCs w:val="24"/>
          <w:lang w:val="en-AU"/>
        </w:rPr>
        <w:t xml:space="preserve">judicial review in the maintenance of a healthy </w:t>
      </w:r>
      <w:r w:rsidRPr="000C4873">
        <w:rPr>
          <w:rFonts w:ascii="Athelas" w:hAnsi="Athelas"/>
          <w:iCs/>
          <w:sz w:val="24"/>
          <w:szCs w:val="24"/>
          <w:lang w:val="en-AU"/>
        </w:rPr>
        <w:t>body politic</w:t>
      </w:r>
      <w:r w:rsidRPr="000C4873">
        <w:rPr>
          <w:rFonts w:ascii="Athelas" w:hAnsi="Athelas"/>
          <w:sz w:val="24"/>
          <w:szCs w:val="24"/>
          <w:lang w:val="en-AU"/>
        </w:rPr>
        <w:t xml:space="preserve"> in the 2020s and beyond.</w:t>
      </w:r>
    </w:p>
    <w:sectPr w:rsidR="00C9438A" w:rsidRPr="000C4873" w:rsidSect="00672D13">
      <w:footerReference w:type="default" r:id="rId1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914A" w14:textId="77777777" w:rsidR="00FB0D0A" w:rsidRDefault="00FB0D0A" w:rsidP="008569A1">
      <w:pPr>
        <w:spacing w:after="0" w:line="240" w:lineRule="auto"/>
      </w:pPr>
      <w:r>
        <w:separator/>
      </w:r>
    </w:p>
  </w:endnote>
  <w:endnote w:type="continuationSeparator" w:id="0">
    <w:p w14:paraId="1CA82909" w14:textId="77777777" w:rsidR="00FB0D0A" w:rsidRDefault="00FB0D0A" w:rsidP="00856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thelas">
    <w:altName w:val="Calibri"/>
    <w:charset w:val="00"/>
    <w:family w:val="auto"/>
    <w:pitch w:val="variable"/>
    <w:sig w:usb0="A00000AF"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234734"/>
      <w:docPartObj>
        <w:docPartGallery w:val="Page Numbers (Bottom of Page)"/>
        <w:docPartUnique/>
      </w:docPartObj>
    </w:sdtPr>
    <w:sdtEndPr>
      <w:rPr>
        <w:rFonts w:ascii="Athelas" w:hAnsi="Athelas"/>
        <w:noProof/>
      </w:rPr>
    </w:sdtEndPr>
    <w:sdtContent>
      <w:p w14:paraId="395946C7" w14:textId="02B7951D" w:rsidR="00751467" w:rsidRPr="00A736FE" w:rsidRDefault="00751467">
        <w:pPr>
          <w:pStyle w:val="Footer"/>
          <w:jc w:val="center"/>
          <w:rPr>
            <w:rFonts w:ascii="Athelas" w:hAnsi="Athelas"/>
          </w:rPr>
        </w:pPr>
        <w:r w:rsidRPr="00A736FE">
          <w:rPr>
            <w:rFonts w:ascii="Athelas" w:hAnsi="Athelas"/>
            <w:sz w:val="24"/>
            <w:szCs w:val="24"/>
          </w:rPr>
          <w:fldChar w:fldCharType="begin"/>
        </w:r>
        <w:r w:rsidRPr="00A736FE">
          <w:rPr>
            <w:rFonts w:ascii="Athelas" w:hAnsi="Athelas"/>
            <w:sz w:val="24"/>
            <w:szCs w:val="24"/>
          </w:rPr>
          <w:instrText xml:space="preserve"> PAGE   \* MERGEFORMAT </w:instrText>
        </w:r>
        <w:r w:rsidRPr="00A736FE">
          <w:rPr>
            <w:rFonts w:ascii="Athelas" w:hAnsi="Athelas"/>
            <w:sz w:val="24"/>
            <w:szCs w:val="24"/>
          </w:rPr>
          <w:fldChar w:fldCharType="separate"/>
        </w:r>
        <w:r w:rsidR="00B21C6F">
          <w:rPr>
            <w:rFonts w:ascii="Athelas" w:hAnsi="Athelas"/>
            <w:noProof/>
            <w:sz w:val="24"/>
            <w:szCs w:val="24"/>
          </w:rPr>
          <w:t>6</w:t>
        </w:r>
        <w:r w:rsidRPr="00A736FE">
          <w:rPr>
            <w:rFonts w:ascii="Athelas" w:hAnsi="Athelas"/>
            <w:noProof/>
            <w:sz w:val="24"/>
            <w:szCs w:val="24"/>
          </w:rPr>
          <w:fldChar w:fldCharType="end"/>
        </w:r>
      </w:p>
    </w:sdtContent>
  </w:sdt>
  <w:p w14:paraId="30FD1962" w14:textId="77777777" w:rsidR="00751467" w:rsidRDefault="00751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90F0F" w14:textId="77777777" w:rsidR="00FB0D0A" w:rsidRDefault="00FB0D0A" w:rsidP="008569A1">
      <w:pPr>
        <w:spacing w:after="0" w:line="240" w:lineRule="auto"/>
      </w:pPr>
      <w:r>
        <w:separator/>
      </w:r>
    </w:p>
  </w:footnote>
  <w:footnote w:type="continuationSeparator" w:id="0">
    <w:p w14:paraId="38A257DD" w14:textId="77777777" w:rsidR="00FB0D0A" w:rsidRDefault="00FB0D0A" w:rsidP="008569A1">
      <w:pPr>
        <w:spacing w:after="0" w:line="240" w:lineRule="auto"/>
      </w:pPr>
      <w:r>
        <w:continuationSeparator/>
      </w:r>
    </w:p>
  </w:footnote>
  <w:footnote w:id="1">
    <w:p w14:paraId="5727D33A" w14:textId="6FEFC5FA" w:rsidR="00751467" w:rsidRPr="000C4873" w:rsidRDefault="00751467" w:rsidP="00A00F8B">
      <w:pPr>
        <w:pStyle w:val="FootnoteText"/>
        <w:jc w:val="both"/>
        <w:rPr>
          <w:rFonts w:ascii="Athelas" w:hAnsi="Athelas"/>
        </w:rPr>
      </w:pPr>
      <w:r w:rsidRPr="000C4873">
        <w:rPr>
          <w:rStyle w:val="FootnoteReference"/>
          <w:rFonts w:ascii="Athelas" w:hAnsi="Athelas"/>
        </w:rPr>
        <w:sym w:font="Symbol" w:char="F02A"/>
      </w:r>
      <w:r w:rsidRPr="000C4873">
        <w:rPr>
          <w:rFonts w:ascii="Athelas" w:hAnsi="Athelas"/>
        </w:rPr>
        <w:t xml:space="preserve"> Senior Lecturer in Public Law, University of York; Research Director, Public Law Project. All of the authors would like to express their gratitude to the research participants who </w:t>
      </w:r>
      <w:r w:rsidR="00672D13" w:rsidRPr="000C4873">
        <w:rPr>
          <w:rFonts w:ascii="Athelas" w:hAnsi="Athelas"/>
        </w:rPr>
        <w:t>were</w:t>
      </w:r>
      <w:r w:rsidRPr="000C4873">
        <w:rPr>
          <w:rFonts w:ascii="Athelas" w:hAnsi="Athelas"/>
        </w:rPr>
        <w:t xml:space="preserve"> operating under</w:t>
      </w:r>
      <w:r w:rsidR="00672D13" w:rsidRPr="000C4873">
        <w:rPr>
          <w:rFonts w:ascii="Athelas" w:hAnsi="Athelas"/>
        </w:rPr>
        <w:t xml:space="preserve"> great</w:t>
      </w:r>
      <w:r w:rsidRPr="000C4873">
        <w:rPr>
          <w:rFonts w:ascii="Athelas" w:hAnsi="Athelas"/>
        </w:rPr>
        <w:t xml:space="preserve"> pressure yet made this research possible.</w:t>
      </w:r>
      <w:r w:rsidR="00533CD6" w:rsidRPr="000C4873">
        <w:rPr>
          <w:rFonts w:ascii="Athelas" w:hAnsi="Athelas"/>
        </w:rPr>
        <w:t xml:space="preserve"> We are also grateful to Tom de la Mare QC and Natalie Byrom for comments on a draft version of this </w:t>
      </w:r>
      <w:r w:rsidR="00672D13" w:rsidRPr="000C4873">
        <w:rPr>
          <w:rFonts w:ascii="Athelas" w:hAnsi="Athelas"/>
        </w:rPr>
        <w:t>article</w:t>
      </w:r>
      <w:r w:rsidR="00533CD6" w:rsidRPr="000C4873">
        <w:rPr>
          <w:rFonts w:ascii="Athelas" w:hAnsi="Athelas"/>
        </w:rPr>
        <w:t>. Any errors are the responsibility of the authors</w:t>
      </w:r>
      <w:r w:rsidR="00672D13" w:rsidRPr="000C4873">
        <w:rPr>
          <w:rFonts w:ascii="Athelas" w:hAnsi="Athelas"/>
        </w:rPr>
        <w:t>.</w:t>
      </w:r>
    </w:p>
  </w:footnote>
  <w:footnote w:id="2">
    <w:p w14:paraId="367EBBDA" w14:textId="217BDAF0" w:rsidR="00751467" w:rsidRPr="000C4873" w:rsidRDefault="00751467" w:rsidP="00A00F8B">
      <w:pPr>
        <w:pStyle w:val="FootnoteText"/>
        <w:jc w:val="both"/>
        <w:rPr>
          <w:rFonts w:ascii="Athelas" w:hAnsi="Athelas"/>
        </w:rPr>
      </w:pPr>
      <w:r w:rsidRPr="000C4873">
        <w:rPr>
          <w:rStyle w:val="FootnoteReference"/>
          <w:rFonts w:ascii="Athelas" w:hAnsi="Athelas"/>
        </w:rPr>
        <w:t>**</w:t>
      </w:r>
      <w:r w:rsidRPr="000C4873">
        <w:rPr>
          <w:rFonts w:ascii="Athelas" w:hAnsi="Athelas"/>
        </w:rPr>
        <w:t xml:space="preserve"> ESRC Research Fellow, Public Law Project; </w:t>
      </w:r>
      <w:proofErr w:type="spellStart"/>
      <w:r w:rsidRPr="000C4873">
        <w:rPr>
          <w:rFonts w:ascii="Athelas" w:hAnsi="Athelas"/>
        </w:rPr>
        <w:t>Ph.D</w:t>
      </w:r>
      <w:proofErr w:type="spellEnd"/>
      <w:r w:rsidRPr="000C4873">
        <w:rPr>
          <w:rFonts w:ascii="Athelas" w:hAnsi="Athelas"/>
        </w:rPr>
        <w:t xml:space="preserve"> Candidate, University of Exeter.</w:t>
      </w:r>
    </w:p>
  </w:footnote>
  <w:footnote w:id="3">
    <w:p w14:paraId="72A3C335" w14:textId="18E41BD8" w:rsidR="00751467" w:rsidRPr="000C4873" w:rsidRDefault="00751467" w:rsidP="00A00F8B">
      <w:pPr>
        <w:pStyle w:val="FootnoteText"/>
        <w:jc w:val="both"/>
        <w:rPr>
          <w:rFonts w:ascii="Athelas" w:hAnsi="Athelas"/>
        </w:rPr>
      </w:pPr>
      <w:r w:rsidRPr="000C4873">
        <w:rPr>
          <w:rStyle w:val="FootnoteReference"/>
          <w:rFonts w:ascii="Athelas" w:hAnsi="Athelas"/>
        </w:rPr>
        <w:t>***</w:t>
      </w:r>
      <w:r w:rsidRPr="000C4873">
        <w:rPr>
          <w:rFonts w:ascii="Athelas" w:hAnsi="Athelas"/>
        </w:rPr>
        <w:t xml:space="preserve"> Research Fellow, Public Law Project; </w:t>
      </w:r>
      <w:proofErr w:type="spellStart"/>
      <w:r w:rsidRPr="000C4873">
        <w:rPr>
          <w:rFonts w:ascii="Athelas" w:hAnsi="Athelas"/>
        </w:rPr>
        <w:t>Ph.D</w:t>
      </w:r>
      <w:proofErr w:type="spellEnd"/>
      <w:r w:rsidRPr="000C4873">
        <w:rPr>
          <w:rFonts w:ascii="Athelas" w:hAnsi="Athelas"/>
        </w:rPr>
        <w:t xml:space="preserve"> Candidate, University of Exeter.</w:t>
      </w:r>
    </w:p>
  </w:footnote>
  <w:footnote w:id="4">
    <w:p w14:paraId="528ACCD1" w14:textId="7797CB5C" w:rsidR="00751467" w:rsidRPr="000C4873" w:rsidRDefault="00751467" w:rsidP="00A00F8B">
      <w:pPr>
        <w:pStyle w:val="FootnoteText"/>
        <w:jc w:val="both"/>
        <w:rPr>
          <w:rFonts w:ascii="Athelas" w:hAnsi="Athelas"/>
        </w:rPr>
      </w:pPr>
      <w:r w:rsidRPr="000C4873">
        <w:rPr>
          <w:rStyle w:val="FootnoteReference"/>
          <w:rFonts w:ascii="Athelas" w:hAnsi="Athelas"/>
        </w:rPr>
        <w:t>****</w:t>
      </w:r>
      <w:r w:rsidRPr="000C4873">
        <w:rPr>
          <w:rFonts w:ascii="Athelas" w:hAnsi="Athelas"/>
        </w:rPr>
        <w:t xml:space="preserve"> Research Fellow in Public Law and Technology, Public Law Project.</w:t>
      </w:r>
    </w:p>
  </w:footnote>
  <w:footnote w:id="5">
    <w:p w14:paraId="5E088395" w14:textId="48947AA9" w:rsidR="00D158BD" w:rsidRPr="00060ED2" w:rsidRDefault="00D158BD" w:rsidP="00D158BD">
      <w:pPr>
        <w:pStyle w:val="FootnoteText"/>
        <w:jc w:val="both"/>
        <w:rPr>
          <w:rFonts w:ascii="Athelas" w:hAnsi="Athelas"/>
        </w:rPr>
      </w:pPr>
      <w:r w:rsidRPr="00060ED2">
        <w:rPr>
          <w:rStyle w:val="FootnoteReference"/>
          <w:rFonts w:ascii="Athelas" w:hAnsi="Athelas"/>
        </w:rPr>
        <w:footnoteRef/>
      </w:r>
      <w:r w:rsidRPr="00060ED2">
        <w:rPr>
          <w:rFonts w:ascii="Athelas" w:hAnsi="Athelas"/>
        </w:rPr>
        <w:t xml:space="preserve"> The Conservative and Unionist Party, </w:t>
      </w:r>
      <w:r w:rsidRPr="00060ED2">
        <w:rPr>
          <w:rFonts w:ascii="Athelas" w:hAnsi="Athelas"/>
          <w:i/>
        </w:rPr>
        <w:t>Get Brexit Done: Unleash Britain’s Potential</w:t>
      </w:r>
      <w:r w:rsidRPr="00060ED2">
        <w:rPr>
          <w:rFonts w:ascii="Athelas" w:hAnsi="Athelas"/>
        </w:rPr>
        <w:t xml:space="preserve"> (2019), 48.</w:t>
      </w:r>
    </w:p>
  </w:footnote>
  <w:footnote w:id="6">
    <w:p w14:paraId="6B80F1BE" w14:textId="77777777" w:rsidR="00E50CB9" w:rsidRPr="000C4873" w:rsidRDefault="00E50CB9" w:rsidP="00E50CB9">
      <w:pPr>
        <w:pStyle w:val="FootnoteText"/>
        <w:jc w:val="both"/>
        <w:rPr>
          <w:rFonts w:ascii="Athelas" w:hAnsi="Athelas"/>
        </w:rPr>
      </w:pPr>
      <w:r w:rsidRPr="000C4873">
        <w:rPr>
          <w:rStyle w:val="FootnoteReference"/>
          <w:rFonts w:ascii="Athelas" w:hAnsi="Athelas"/>
        </w:rPr>
        <w:footnoteRef/>
      </w:r>
      <w:r w:rsidRPr="000C4873">
        <w:rPr>
          <w:rFonts w:ascii="Athelas" w:hAnsi="Athelas"/>
        </w:rPr>
        <w:t xml:space="preserve"> For a critical and recent overview of the reforms, see: House of Commons Justice Committee, </w:t>
      </w:r>
      <w:r w:rsidRPr="000C4873">
        <w:rPr>
          <w:rFonts w:ascii="Athelas" w:hAnsi="Athelas"/>
          <w:i/>
        </w:rPr>
        <w:t>Court and Tribunal reforms: Second Report of Session 2019</w:t>
      </w:r>
      <w:r w:rsidRPr="000C4873">
        <w:rPr>
          <w:rFonts w:ascii="Athelas" w:hAnsi="Athelas"/>
        </w:rPr>
        <w:t xml:space="preserve"> (HC 190, 2019). See also: J. </w:t>
      </w:r>
      <w:proofErr w:type="spellStart"/>
      <w:r w:rsidRPr="000C4873">
        <w:rPr>
          <w:rFonts w:ascii="Athelas" w:hAnsi="Athelas"/>
        </w:rPr>
        <w:t>Rozenberg</w:t>
      </w:r>
      <w:proofErr w:type="spellEnd"/>
      <w:r w:rsidRPr="000C4873">
        <w:rPr>
          <w:rFonts w:ascii="Athelas" w:hAnsi="Athelas"/>
        </w:rPr>
        <w:t xml:space="preserve">, </w:t>
      </w:r>
      <w:r w:rsidRPr="000C4873">
        <w:rPr>
          <w:rFonts w:ascii="Athelas" w:hAnsi="Athelas"/>
          <w:i/>
        </w:rPr>
        <w:t xml:space="preserve">The Online Court: Will IT Work? </w:t>
      </w:r>
      <w:r w:rsidRPr="000C4873">
        <w:rPr>
          <w:rFonts w:ascii="Athelas" w:hAnsi="Athelas"/>
        </w:rPr>
        <w:t xml:space="preserve">(Legal Education Foundation, 2017); J. Tomlinson, </w:t>
      </w:r>
      <w:r w:rsidRPr="000C4873">
        <w:rPr>
          <w:rFonts w:ascii="Athelas" w:hAnsi="Athelas"/>
          <w:i/>
        </w:rPr>
        <w:t>Justice in the Digital State</w:t>
      </w:r>
      <w:r w:rsidRPr="000C4873">
        <w:rPr>
          <w:rFonts w:ascii="Athelas" w:hAnsi="Athelas"/>
        </w:rPr>
        <w:t xml:space="preserve"> (Bristol University Press, 2019), Ch. 3.</w:t>
      </w:r>
    </w:p>
  </w:footnote>
  <w:footnote w:id="7">
    <w:p w14:paraId="4BF4398A" w14:textId="77777777" w:rsidR="00E50CB9" w:rsidRPr="000C4873" w:rsidRDefault="00E50CB9" w:rsidP="00E50CB9">
      <w:pPr>
        <w:pStyle w:val="FootnoteText"/>
        <w:jc w:val="both"/>
        <w:rPr>
          <w:rFonts w:ascii="Athelas" w:hAnsi="Athelas"/>
          <w:i/>
        </w:rPr>
      </w:pPr>
      <w:r w:rsidRPr="000C4873">
        <w:rPr>
          <w:rStyle w:val="FootnoteReference"/>
          <w:rFonts w:ascii="Athelas" w:hAnsi="Athelas"/>
        </w:rPr>
        <w:footnoteRef/>
      </w:r>
      <w:r w:rsidRPr="000C4873">
        <w:rPr>
          <w:rFonts w:ascii="Athelas" w:hAnsi="Athelas"/>
        </w:rPr>
        <w:t xml:space="preserve"> Most immigration judicial review cases, which constitute the majority of all judicial reviews, are now handled in the Upper Tribunal (Immigration and Asylum Chamber). That system was not part of our focus here. For a recent analysis of that system, see: R. Thomas and J. Tomlinson, </w:t>
      </w:r>
      <w:r w:rsidRPr="000C4873">
        <w:rPr>
          <w:rFonts w:ascii="Athelas" w:hAnsi="Athelas"/>
          <w:i/>
        </w:rPr>
        <w:t xml:space="preserve">Immigration Judicial Reviews: An Empirical Study </w:t>
      </w:r>
      <w:r w:rsidRPr="000C4873">
        <w:rPr>
          <w:rFonts w:ascii="Athelas" w:hAnsi="Athelas"/>
        </w:rPr>
        <w:t>(Nuffield Foundation, 2019).</w:t>
      </w:r>
    </w:p>
  </w:footnote>
  <w:footnote w:id="8">
    <w:p w14:paraId="1E9558FB" w14:textId="6528DE02" w:rsidR="00332280" w:rsidRPr="000C4873" w:rsidRDefault="00332280" w:rsidP="00332280">
      <w:pPr>
        <w:pStyle w:val="FootnoteText"/>
        <w:jc w:val="both"/>
        <w:rPr>
          <w:rFonts w:ascii="Athelas" w:hAnsi="Athelas"/>
        </w:rPr>
      </w:pPr>
      <w:r w:rsidRPr="000C4873">
        <w:rPr>
          <w:rStyle w:val="FootnoteReference"/>
          <w:rFonts w:ascii="Athelas" w:hAnsi="Athelas"/>
        </w:rPr>
        <w:footnoteRef/>
      </w:r>
      <w:r w:rsidRPr="000C4873">
        <w:rPr>
          <w:rFonts w:ascii="Athelas" w:hAnsi="Athelas"/>
        </w:rPr>
        <w:t xml:space="preserve"> </w:t>
      </w:r>
      <w:r>
        <w:rPr>
          <w:rFonts w:ascii="Athelas" w:hAnsi="Athelas"/>
        </w:rPr>
        <w:t xml:space="preserve">At present, there is limited empirical evidence on remote justice, particularly in the UK. </w:t>
      </w:r>
      <w:r w:rsidRPr="000C4873">
        <w:rPr>
          <w:rFonts w:ascii="Athelas" w:hAnsi="Athelas"/>
        </w:rPr>
        <w:t xml:space="preserve">See generally: </w:t>
      </w:r>
      <w:r w:rsidRPr="000C4873">
        <w:rPr>
          <w:rFonts w:ascii="Athelas" w:hAnsi="Athelas"/>
          <w:color w:val="191919"/>
        </w:rPr>
        <w:t xml:space="preserve">A. Wallace, S. Roach </w:t>
      </w:r>
      <w:proofErr w:type="spellStart"/>
      <w:r w:rsidRPr="000C4873">
        <w:rPr>
          <w:rFonts w:ascii="Athelas" w:hAnsi="Athelas"/>
          <w:color w:val="191919"/>
        </w:rPr>
        <w:t>Anleu</w:t>
      </w:r>
      <w:proofErr w:type="spellEnd"/>
      <w:r w:rsidRPr="000C4873">
        <w:rPr>
          <w:rFonts w:ascii="Athelas" w:hAnsi="Athelas"/>
          <w:color w:val="191919"/>
        </w:rPr>
        <w:t xml:space="preserve">, and K. Mack, ‘Judicial Engagement and AV links: Judicial Perceptions from Australian Courts’ (2018) 26(1) </w:t>
      </w:r>
      <w:r w:rsidRPr="000C4873">
        <w:rPr>
          <w:rFonts w:ascii="Athelas" w:hAnsi="Athelas"/>
          <w:i/>
          <w:iCs/>
          <w:color w:val="191919"/>
        </w:rPr>
        <w:t>International Journal of the Legal Profession</w:t>
      </w:r>
      <w:r w:rsidRPr="000C4873">
        <w:rPr>
          <w:rFonts w:ascii="Athelas" w:hAnsi="Athelas"/>
          <w:color w:val="191919"/>
        </w:rPr>
        <w:t xml:space="preserve"> 51; A. Wallace, S. Roach </w:t>
      </w:r>
      <w:proofErr w:type="spellStart"/>
      <w:r w:rsidRPr="000C4873">
        <w:rPr>
          <w:rFonts w:ascii="Athelas" w:hAnsi="Athelas"/>
          <w:color w:val="191919"/>
        </w:rPr>
        <w:t>Anleu</w:t>
      </w:r>
      <w:proofErr w:type="spellEnd"/>
      <w:r w:rsidRPr="000C4873">
        <w:rPr>
          <w:rFonts w:ascii="Athelas" w:hAnsi="Athelas"/>
          <w:color w:val="191919"/>
        </w:rPr>
        <w:t xml:space="preserve">, and K. Mack, ‘Judicial Work and AV use: Perceptions from Australian Courts’ (2017) 7(4) </w:t>
      </w:r>
      <w:proofErr w:type="spellStart"/>
      <w:r w:rsidRPr="000C4873">
        <w:rPr>
          <w:rFonts w:ascii="Athelas" w:hAnsi="Athelas"/>
          <w:i/>
          <w:iCs/>
          <w:color w:val="191919"/>
        </w:rPr>
        <w:t>Onati</w:t>
      </w:r>
      <w:proofErr w:type="spellEnd"/>
      <w:r w:rsidRPr="000C4873">
        <w:rPr>
          <w:rFonts w:ascii="Athelas" w:hAnsi="Athelas"/>
          <w:i/>
          <w:iCs/>
          <w:color w:val="191919"/>
        </w:rPr>
        <w:t xml:space="preserve"> Socio Legal Series</w:t>
      </w:r>
      <w:r w:rsidRPr="000C4873">
        <w:rPr>
          <w:rFonts w:ascii="Athelas" w:hAnsi="Athelas"/>
          <w:color w:val="191919"/>
        </w:rPr>
        <w:t xml:space="preserve"> 691; P. Gibbs, </w:t>
      </w:r>
      <w:r w:rsidRPr="000C4873">
        <w:rPr>
          <w:rFonts w:ascii="Athelas" w:hAnsi="Athelas"/>
          <w:i/>
          <w:iCs/>
          <w:color w:val="191919"/>
        </w:rPr>
        <w:t>Defendants on video – conveyor belt justice or a revolution in access?</w:t>
      </w:r>
      <w:r w:rsidRPr="000C4873">
        <w:rPr>
          <w:rFonts w:ascii="Athelas" w:hAnsi="Athelas"/>
          <w:color w:val="191919"/>
        </w:rPr>
        <w:t xml:space="preserve"> (Transform Justice, 2017); </w:t>
      </w:r>
      <w:r w:rsidRPr="000C4873">
        <w:rPr>
          <w:rFonts w:ascii="Athelas" w:hAnsi="Athelas"/>
        </w:rPr>
        <w:t xml:space="preserve">I. </w:t>
      </w:r>
      <w:proofErr w:type="spellStart"/>
      <w:r w:rsidRPr="000C4873">
        <w:rPr>
          <w:rFonts w:ascii="Athelas" w:hAnsi="Athelas"/>
          <w:color w:val="191919"/>
        </w:rPr>
        <w:t>Eagly</w:t>
      </w:r>
      <w:proofErr w:type="spellEnd"/>
      <w:r w:rsidRPr="000C4873">
        <w:rPr>
          <w:rFonts w:ascii="Athelas" w:hAnsi="Athelas"/>
          <w:color w:val="191919"/>
        </w:rPr>
        <w:t xml:space="preserve">, ‘Remote Adjudication in Immigration” (2015) 109(4) </w:t>
      </w:r>
      <w:proofErr w:type="spellStart"/>
      <w:r w:rsidRPr="000C4873">
        <w:rPr>
          <w:rFonts w:ascii="Athelas" w:hAnsi="Athelas"/>
          <w:i/>
          <w:iCs/>
          <w:color w:val="191919"/>
        </w:rPr>
        <w:t>Northwestern</w:t>
      </w:r>
      <w:proofErr w:type="spellEnd"/>
      <w:r w:rsidRPr="000C4873">
        <w:rPr>
          <w:rFonts w:ascii="Athelas" w:hAnsi="Athelas"/>
          <w:i/>
          <w:iCs/>
          <w:color w:val="191919"/>
        </w:rPr>
        <w:t xml:space="preserve"> University Law Review</w:t>
      </w:r>
      <w:r w:rsidRPr="000C4873">
        <w:rPr>
          <w:rFonts w:ascii="Athelas" w:hAnsi="Athelas"/>
          <w:color w:val="191919"/>
        </w:rPr>
        <w:t xml:space="preserve"> 933; D. Tait, B. </w:t>
      </w:r>
      <w:proofErr w:type="spellStart"/>
      <w:r w:rsidRPr="000C4873">
        <w:rPr>
          <w:rFonts w:ascii="Athelas" w:hAnsi="Athelas"/>
          <w:color w:val="191919"/>
        </w:rPr>
        <w:t>McKimmie</w:t>
      </w:r>
      <w:proofErr w:type="spellEnd"/>
      <w:r w:rsidRPr="000C4873">
        <w:rPr>
          <w:rFonts w:ascii="Athelas" w:hAnsi="Athelas"/>
          <w:color w:val="191919"/>
        </w:rPr>
        <w:t xml:space="preserve">, R. </w:t>
      </w:r>
      <w:proofErr w:type="spellStart"/>
      <w:r w:rsidRPr="000C4873">
        <w:rPr>
          <w:rFonts w:ascii="Athelas" w:hAnsi="Athelas"/>
          <w:color w:val="191919"/>
        </w:rPr>
        <w:t>Sarre</w:t>
      </w:r>
      <w:proofErr w:type="spellEnd"/>
      <w:r w:rsidRPr="000C4873">
        <w:rPr>
          <w:rFonts w:ascii="Athelas" w:hAnsi="Athelas"/>
          <w:color w:val="191919"/>
        </w:rPr>
        <w:t xml:space="preserve">, D. Jones, L.W. McDonald, and K. Gelb, </w:t>
      </w:r>
      <w:r w:rsidRPr="000C4873">
        <w:rPr>
          <w:rFonts w:ascii="Athelas" w:hAnsi="Athelas"/>
          <w:i/>
          <w:iCs/>
          <w:color w:val="191919"/>
        </w:rPr>
        <w:t xml:space="preserve">Towards a Distributed Courtroom </w:t>
      </w:r>
      <w:r w:rsidRPr="000C4873">
        <w:rPr>
          <w:rFonts w:ascii="Athelas" w:hAnsi="Athelas"/>
          <w:color w:val="191919"/>
        </w:rPr>
        <w:t xml:space="preserve">(2017); M. Mason and A.H. </w:t>
      </w:r>
      <w:proofErr w:type="spellStart"/>
      <w:r w:rsidRPr="000C4873">
        <w:rPr>
          <w:rFonts w:ascii="Athelas" w:hAnsi="Athelas"/>
          <w:color w:val="191919"/>
        </w:rPr>
        <w:t>Sherr</w:t>
      </w:r>
      <w:proofErr w:type="spellEnd"/>
      <w:r w:rsidRPr="000C4873">
        <w:rPr>
          <w:rFonts w:ascii="Athelas" w:hAnsi="Athelas"/>
          <w:color w:val="191919"/>
        </w:rPr>
        <w:t xml:space="preserve">, </w:t>
      </w:r>
      <w:r w:rsidRPr="000C4873">
        <w:rPr>
          <w:rFonts w:ascii="Athelas" w:hAnsi="Athelas"/>
          <w:i/>
          <w:iCs/>
          <w:color w:val="191919"/>
        </w:rPr>
        <w:t>Evaluation of the Small Claims Online Dispute Resolution Pilot</w:t>
      </w:r>
      <w:r w:rsidRPr="000C4873">
        <w:rPr>
          <w:rFonts w:ascii="Athelas" w:hAnsi="Athelas"/>
          <w:color w:val="191919"/>
        </w:rPr>
        <w:t xml:space="preserve"> (2008); M. Terry, S. Johnson, and P. Thompson, </w:t>
      </w:r>
      <w:r w:rsidRPr="000C4873">
        <w:rPr>
          <w:rFonts w:ascii="Athelas" w:hAnsi="Athelas"/>
          <w:i/>
          <w:iCs/>
          <w:color w:val="191919"/>
        </w:rPr>
        <w:t>Virtual Court Pilot Outcome Evaluation</w:t>
      </w:r>
      <w:r w:rsidRPr="000C4873">
        <w:rPr>
          <w:rFonts w:ascii="Athelas" w:hAnsi="Athelas"/>
          <w:color w:val="191919"/>
        </w:rPr>
        <w:t xml:space="preserve"> (HMCTS, 2010); </w:t>
      </w:r>
      <w:r w:rsidRPr="000C4873">
        <w:rPr>
          <w:rFonts w:ascii="Athelas" w:hAnsi="Athelas"/>
        </w:rPr>
        <w:t xml:space="preserve">M. </w:t>
      </w:r>
      <w:proofErr w:type="spellStart"/>
      <w:r w:rsidRPr="000C4873">
        <w:rPr>
          <w:rFonts w:ascii="Athelas" w:hAnsi="Athelas"/>
        </w:rPr>
        <w:t>Rossner</w:t>
      </w:r>
      <w:proofErr w:type="spellEnd"/>
      <w:r w:rsidRPr="000C4873">
        <w:rPr>
          <w:rFonts w:ascii="Athelas" w:hAnsi="Athelas"/>
        </w:rPr>
        <w:t xml:space="preserve"> and M. McCurdy, </w:t>
      </w:r>
      <w:r w:rsidRPr="000C4873">
        <w:rPr>
          <w:rFonts w:ascii="Athelas" w:hAnsi="Athelas"/>
          <w:i/>
          <w:iCs/>
        </w:rPr>
        <w:t>Implementing Video hearings (Party-to-State): A Process Evaluation</w:t>
      </w:r>
      <w:r w:rsidRPr="000C4873">
        <w:rPr>
          <w:rFonts w:ascii="Athelas" w:hAnsi="Athelas"/>
        </w:rPr>
        <w:t xml:space="preserve"> (HMCTS, 2018).</w:t>
      </w:r>
    </w:p>
  </w:footnote>
  <w:footnote w:id="9">
    <w:p w14:paraId="53440CC2" w14:textId="77777777" w:rsidR="00087E63" w:rsidRPr="000C4873" w:rsidRDefault="00087E63" w:rsidP="00087E63">
      <w:pPr>
        <w:pStyle w:val="FootnoteText"/>
        <w:jc w:val="both"/>
        <w:rPr>
          <w:rFonts w:ascii="Athelas" w:hAnsi="Athelas"/>
        </w:rPr>
      </w:pPr>
      <w:r w:rsidRPr="000C4873">
        <w:rPr>
          <w:rStyle w:val="FootnoteReference"/>
          <w:rFonts w:ascii="Athelas" w:hAnsi="Athelas"/>
        </w:rPr>
        <w:footnoteRef/>
      </w:r>
      <w:r w:rsidRPr="000C4873">
        <w:rPr>
          <w:rFonts w:ascii="Athelas" w:hAnsi="Athelas"/>
        </w:rPr>
        <w:t xml:space="preserve"> All of the authors were, of course, subject to lockdown restrictions in the course of the research. All interviews were recorded and transcribed. They were conducted via the Microsoft Teams platform.</w:t>
      </w:r>
    </w:p>
  </w:footnote>
  <w:footnote w:id="10">
    <w:p w14:paraId="22D20D94" w14:textId="77777777" w:rsidR="00852293" w:rsidRPr="000C4873" w:rsidRDefault="00852293" w:rsidP="00852293">
      <w:pPr>
        <w:pStyle w:val="FootnoteText"/>
        <w:jc w:val="both"/>
        <w:rPr>
          <w:rFonts w:ascii="Athelas" w:hAnsi="Athelas"/>
        </w:rPr>
      </w:pPr>
      <w:r w:rsidRPr="000C4873">
        <w:rPr>
          <w:rStyle w:val="FootnoteReference"/>
          <w:rFonts w:ascii="Athelas" w:hAnsi="Athelas"/>
        </w:rPr>
        <w:footnoteRef/>
      </w:r>
      <w:r w:rsidRPr="000C4873">
        <w:rPr>
          <w:rFonts w:ascii="Athelas" w:hAnsi="Athelas"/>
        </w:rPr>
        <w:t xml:space="preserve"> In particular, see: V. </w:t>
      </w:r>
      <w:proofErr w:type="spellStart"/>
      <w:r w:rsidRPr="000C4873">
        <w:rPr>
          <w:rFonts w:ascii="Athelas" w:hAnsi="Athelas"/>
        </w:rPr>
        <w:t>Bondy</w:t>
      </w:r>
      <w:proofErr w:type="spellEnd"/>
      <w:r w:rsidRPr="000C4873">
        <w:rPr>
          <w:rFonts w:ascii="Athelas" w:hAnsi="Athelas"/>
        </w:rPr>
        <w:t xml:space="preserve">, L. Platt and M. </w:t>
      </w:r>
      <w:proofErr w:type="spellStart"/>
      <w:r w:rsidRPr="000C4873">
        <w:rPr>
          <w:rFonts w:ascii="Athelas" w:hAnsi="Athelas"/>
        </w:rPr>
        <w:t>Sunkin</w:t>
      </w:r>
      <w:proofErr w:type="spellEnd"/>
      <w:r w:rsidRPr="000C4873">
        <w:rPr>
          <w:rFonts w:ascii="Athelas" w:hAnsi="Athelas"/>
        </w:rPr>
        <w:t xml:space="preserve">, </w:t>
      </w:r>
      <w:r w:rsidRPr="000C4873">
        <w:rPr>
          <w:rFonts w:ascii="Athelas" w:hAnsi="Athelas"/>
          <w:i/>
        </w:rPr>
        <w:t>The Value and Effects of Judicial Review: The Nature of Claims, their Outcomes and Consequences</w:t>
      </w:r>
      <w:r w:rsidRPr="000C4873">
        <w:rPr>
          <w:rFonts w:ascii="Athelas" w:hAnsi="Athelas"/>
        </w:rPr>
        <w:t xml:space="preserve"> (Public Law Project, 2015).</w:t>
      </w:r>
    </w:p>
  </w:footnote>
  <w:footnote w:id="11">
    <w:p w14:paraId="0AF4A51D" w14:textId="63D4E9BA" w:rsidR="00D156F6" w:rsidRPr="000C4873" w:rsidRDefault="00D156F6" w:rsidP="00A00F8B">
      <w:pPr>
        <w:pStyle w:val="FootnoteText"/>
        <w:jc w:val="both"/>
        <w:rPr>
          <w:rFonts w:ascii="Athelas" w:hAnsi="Athelas"/>
          <w:lang w:val="en-AU"/>
        </w:rPr>
      </w:pPr>
      <w:r w:rsidRPr="000C4873">
        <w:rPr>
          <w:rStyle w:val="FootnoteReference"/>
          <w:rFonts w:ascii="Athelas" w:hAnsi="Athelas"/>
        </w:rPr>
        <w:footnoteRef/>
      </w:r>
      <w:r w:rsidRPr="000C4873">
        <w:rPr>
          <w:rFonts w:ascii="Athelas" w:hAnsi="Athelas"/>
        </w:rPr>
        <w:t xml:space="preserve"> </w:t>
      </w:r>
      <w:r w:rsidRPr="000C4873">
        <w:rPr>
          <w:rFonts w:ascii="Athelas" w:hAnsi="Athelas"/>
          <w:lang w:val="en-AU"/>
        </w:rPr>
        <w:t xml:space="preserve">Judiciary for England and Wales, </w:t>
      </w:r>
      <w:r w:rsidRPr="000C4873">
        <w:rPr>
          <w:rFonts w:ascii="Athelas" w:hAnsi="Athelas"/>
          <w:i/>
          <w:lang w:val="en-AU"/>
        </w:rPr>
        <w:t>The Administrative Court Judicial Review Guide 2019</w:t>
      </w:r>
      <w:r w:rsidRPr="000C4873">
        <w:rPr>
          <w:rFonts w:ascii="Athelas" w:hAnsi="Athelas"/>
          <w:lang w:val="en-AU"/>
        </w:rPr>
        <w:t xml:space="preserve"> (July 2019)</w:t>
      </w:r>
      <w:r w:rsidR="009F2E47" w:rsidRPr="000C4873">
        <w:rPr>
          <w:rFonts w:ascii="Athelas" w:hAnsi="Athelas"/>
          <w:lang w:val="en-AU"/>
        </w:rPr>
        <w:t>,</w:t>
      </w:r>
      <w:r w:rsidRPr="000C4873">
        <w:rPr>
          <w:rFonts w:ascii="Athelas" w:hAnsi="Athelas"/>
          <w:lang w:val="en-AU"/>
        </w:rPr>
        <w:t xml:space="preserve"> [6.7].</w:t>
      </w:r>
    </w:p>
  </w:footnote>
  <w:footnote w:id="12">
    <w:p w14:paraId="666EF01F" w14:textId="77777777" w:rsidR="00D156F6" w:rsidRPr="000C4873" w:rsidRDefault="00D156F6" w:rsidP="00A00F8B">
      <w:pPr>
        <w:pStyle w:val="FootnoteText"/>
        <w:jc w:val="both"/>
        <w:rPr>
          <w:rFonts w:ascii="Athelas" w:hAnsi="Athelas"/>
          <w:lang w:val="en-AU"/>
        </w:rPr>
      </w:pPr>
      <w:r w:rsidRPr="000C4873">
        <w:rPr>
          <w:rStyle w:val="FootnoteReference"/>
          <w:rFonts w:ascii="Athelas" w:hAnsi="Athelas"/>
        </w:rPr>
        <w:footnoteRef/>
      </w:r>
      <w:r w:rsidRPr="000C4873">
        <w:rPr>
          <w:rFonts w:ascii="Athelas" w:hAnsi="Athelas"/>
        </w:rPr>
        <w:t xml:space="preserve"> </w:t>
      </w:r>
      <w:r w:rsidRPr="000C4873">
        <w:rPr>
          <w:rFonts w:ascii="Athelas" w:hAnsi="Athelas"/>
          <w:lang w:val="en-AU"/>
        </w:rPr>
        <w:t>CPR Part 39.2(1).</w:t>
      </w:r>
    </w:p>
  </w:footnote>
  <w:footnote w:id="13">
    <w:p w14:paraId="48FEC401" w14:textId="77777777" w:rsidR="00D156F6" w:rsidRPr="000C4873" w:rsidRDefault="00D156F6" w:rsidP="00A00F8B">
      <w:pPr>
        <w:pStyle w:val="FootnoteText"/>
        <w:jc w:val="both"/>
        <w:rPr>
          <w:rFonts w:ascii="Athelas" w:hAnsi="Athelas"/>
          <w:lang w:val="en-AU"/>
        </w:rPr>
      </w:pPr>
      <w:r w:rsidRPr="000C4873">
        <w:rPr>
          <w:rFonts w:ascii="Athelas" w:hAnsi="Athelas"/>
          <w:vertAlign w:val="superscript"/>
          <w:lang w:val="en-AU"/>
        </w:rPr>
        <w:footnoteRef/>
      </w:r>
      <w:r w:rsidRPr="000C4873">
        <w:rPr>
          <w:rFonts w:ascii="Athelas" w:hAnsi="Athelas"/>
          <w:lang w:val="en-AU"/>
        </w:rPr>
        <w:t xml:space="preserve"> CPR Part 3.1(d).</w:t>
      </w:r>
    </w:p>
  </w:footnote>
  <w:footnote w:id="14">
    <w:p w14:paraId="70B24608" w14:textId="77777777" w:rsidR="00D156F6" w:rsidRPr="000C4873" w:rsidRDefault="00D156F6" w:rsidP="00A00F8B">
      <w:pPr>
        <w:pStyle w:val="FootnoteText"/>
        <w:jc w:val="both"/>
        <w:rPr>
          <w:rFonts w:ascii="Athelas" w:hAnsi="Athelas"/>
          <w:lang w:val="en-AU"/>
        </w:rPr>
      </w:pPr>
      <w:r w:rsidRPr="000C4873">
        <w:rPr>
          <w:rFonts w:ascii="Athelas" w:hAnsi="Athelas"/>
          <w:vertAlign w:val="superscript"/>
          <w:lang w:val="en-AU"/>
        </w:rPr>
        <w:footnoteRef/>
      </w:r>
      <w:r w:rsidRPr="000C4873">
        <w:rPr>
          <w:rFonts w:ascii="Athelas" w:hAnsi="Athelas"/>
          <w:vertAlign w:val="superscript"/>
          <w:lang w:val="en-AU"/>
        </w:rPr>
        <w:t xml:space="preserve"> </w:t>
      </w:r>
      <w:r w:rsidRPr="000C4873">
        <w:rPr>
          <w:rFonts w:ascii="Athelas" w:hAnsi="Athelas"/>
          <w:lang w:val="en-AU"/>
        </w:rPr>
        <w:t>CPR Part 39.9(1).</w:t>
      </w:r>
    </w:p>
  </w:footnote>
  <w:footnote w:id="15">
    <w:p w14:paraId="0235A1C9" w14:textId="7EC35A18" w:rsidR="00D156F6" w:rsidRPr="000C4873" w:rsidRDefault="00D156F6" w:rsidP="00A00F8B">
      <w:pPr>
        <w:pStyle w:val="FootnoteText"/>
        <w:jc w:val="both"/>
        <w:rPr>
          <w:rFonts w:ascii="Athelas" w:hAnsi="Athelas"/>
          <w:i/>
          <w:lang w:val="en-AU"/>
        </w:rPr>
      </w:pPr>
      <w:r w:rsidRPr="000C4873">
        <w:rPr>
          <w:rStyle w:val="FootnoteReference"/>
          <w:rFonts w:ascii="Athelas" w:hAnsi="Athelas"/>
        </w:rPr>
        <w:footnoteRef/>
      </w:r>
      <w:r w:rsidRPr="000C4873">
        <w:rPr>
          <w:rFonts w:ascii="Athelas" w:hAnsi="Athelas"/>
        </w:rPr>
        <w:t xml:space="preserve"> Criminal Justice Act 1925 s.41; Contempt of Court Act 1981 s.9; </w:t>
      </w:r>
      <w:r w:rsidRPr="000C4873">
        <w:rPr>
          <w:rFonts w:ascii="Athelas" w:hAnsi="Athelas"/>
          <w:i/>
        </w:rPr>
        <w:t>R (Spurrier) v Secretary of State for Transport</w:t>
      </w:r>
      <w:r w:rsidRPr="000C4873">
        <w:rPr>
          <w:rFonts w:ascii="Athelas" w:hAnsi="Athelas"/>
        </w:rPr>
        <w:t xml:space="preserve"> [2019] EWHC 528. </w:t>
      </w:r>
    </w:p>
  </w:footnote>
  <w:footnote w:id="16">
    <w:p w14:paraId="5E8C5FAE" w14:textId="6560C0FF" w:rsidR="00D156F6" w:rsidRPr="000C4873" w:rsidRDefault="00D156F6" w:rsidP="00A00F8B">
      <w:pPr>
        <w:pStyle w:val="FootnoteText"/>
        <w:jc w:val="both"/>
        <w:rPr>
          <w:rFonts w:ascii="Athelas" w:hAnsi="Athelas"/>
          <w:lang w:val="en-AU"/>
        </w:rPr>
      </w:pPr>
      <w:r w:rsidRPr="000C4873">
        <w:rPr>
          <w:rStyle w:val="FootnoteReference"/>
          <w:rFonts w:ascii="Athelas" w:hAnsi="Athelas"/>
        </w:rPr>
        <w:footnoteRef/>
      </w:r>
      <w:r w:rsidRPr="000C4873">
        <w:rPr>
          <w:rFonts w:ascii="Athelas" w:hAnsi="Athelas"/>
        </w:rPr>
        <w:t xml:space="preserve"> </w:t>
      </w:r>
      <w:r w:rsidRPr="000C4873">
        <w:rPr>
          <w:rFonts w:ascii="Athelas" w:hAnsi="Athelas"/>
          <w:lang w:val="en-AU"/>
        </w:rPr>
        <w:t xml:space="preserve">All data is taken from Ministry of Justice, </w:t>
      </w:r>
      <w:r w:rsidRPr="000C4873">
        <w:rPr>
          <w:rFonts w:ascii="Athelas" w:hAnsi="Athelas"/>
          <w:i/>
          <w:lang w:val="en-AU"/>
        </w:rPr>
        <w:t xml:space="preserve">Civil Justice Statistics Quarterly: </w:t>
      </w:r>
      <w:r w:rsidR="001E52F9">
        <w:rPr>
          <w:rFonts w:ascii="Athelas" w:hAnsi="Athelas"/>
          <w:i/>
          <w:lang w:val="en-AU"/>
        </w:rPr>
        <w:t>April</w:t>
      </w:r>
      <w:r w:rsidRPr="000C4873">
        <w:rPr>
          <w:rFonts w:ascii="Athelas" w:hAnsi="Athelas"/>
          <w:i/>
          <w:lang w:val="en-AU"/>
        </w:rPr>
        <w:t xml:space="preserve"> to </w:t>
      </w:r>
      <w:r w:rsidR="001E52F9">
        <w:rPr>
          <w:rFonts w:ascii="Athelas" w:hAnsi="Athelas"/>
          <w:i/>
          <w:lang w:val="en-AU"/>
        </w:rPr>
        <w:t>June</w:t>
      </w:r>
      <w:r w:rsidRPr="000C4873">
        <w:rPr>
          <w:rFonts w:ascii="Athelas" w:hAnsi="Athelas"/>
          <w:i/>
          <w:lang w:val="en-AU"/>
        </w:rPr>
        <w:t xml:space="preserve"> 20</w:t>
      </w:r>
      <w:r w:rsidR="001E52F9">
        <w:rPr>
          <w:rFonts w:ascii="Athelas" w:hAnsi="Athelas"/>
          <w:i/>
          <w:lang w:val="en-AU"/>
        </w:rPr>
        <w:t>20</w:t>
      </w:r>
      <w:r w:rsidRPr="000C4873">
        <w:rPr>
          <w:rFonts w:ascii="Athelas" w:hAnsi="Athelas"/>
          <w:i/>
          <w:lang w:val="en-AU"/>
        </w:rPr>
        <w:t xml:space="preserve"> </w:t>
      </w:r>
      <w:r w:rsidR="00A5680C" w:rsidRPr="000C4873">
        <w:rPr>
          <w:rFonts w:ascii="Athelas" w:hAnsi="Athelas"/>
          <w:lang w:val="en-AU"/>
        </w:rPr>
        <w:t>(</w:t>
      </w:r>
      <w:r w:rsidR="001E52F9">
        <w:rPr>
          <w:rFonts w:ascii="Athelas" w:hAnsi="Athelas"/>
          <w:lang w:val="en-AU"/>
        </w:rPr>
        <w:t>3 September</w:t>
      </w:r>
      <w:r w:rsidR="00A5680C" w:rsidRPr="000C4873">
        <w:rPr>
          <w:rFonts w:ascii="Athelas" w:hAnsi="Athelas"/>
          <w:lang w:val="en-AU"/>
        </w:rPr>
        <w:t xml:space="preserve"> 2020)</w:t>
      </w:r>
      <w:r w:rsidR="009F2E47" w:rsidRPr="000C4873">
        <w:rPr>
          <w:rFonts w:ascii="Athelas" w:hAnsi="Athelas"/>
          <w:lang w:val="en-AU"/>
        </w:rPr>
        <w:t>,</w:t>
      </w:r>
      <w:r w:rsidRPr="000C4873">
        <w:rPr>
          <w:rFonts w:ascii="Athelas" w:hAnsi="Athelas"/>
          <w:lang w:val="en-AU"/>
        </w:rPr>
        <w:t xml:space="preserve"> Tables 2.1 and 2.2.</w:t>
      </w:r>
      <w:r w:rsidR="00B21C6F">
        <w:rPr>
          <w:rFonts w:ascii="Athelas" w:hAnsi="Athelas"/>
          <w:lang w:val="en-AU"/>
        </w:rPr>
        <w:t xml:space="preserve"> All data is organised by the year in which an application was lodged.</w:t>
      </w:r>
    </w:p>
  </w:footnote>
  <w:footnote w:id="17">
    <w:p w14:paraId="4A3F70E0" w14:textId="77777777" w:rsidR="00D156F6" w:rsidRPr="000C4873" w:rsidRDefault="00D156F6" w:rsidP="00A00F8B">
      <w:pPr>
        <w:pStyle w:val="FootnoteText"/>
        <w:jc w:val="both"/>
        <w:rPr>
          <w:rFonts w:ascii="Athelas" w:hAnsi="Athelas"/>
        </w:rPr>
      </w:pPr>
      <w:r w:rsidRPr="000C4873">
        <w:rPr>
          <w:rStyle w:val="FootnoteReference"/>
          <w:rFonts w:ascii="Athelas" w:hAnsi="Athelas"/>
        </w:rPr>
        <w:footnoteRef/>
      </w:r>
      <w:r w:rsidRPr="000C4873">
        <w:rPr>
          <w:rFonts w:ascii="Athelas" w:hAnsi="Athelas"/>
        </w:rPr>
        <w:t xml:space="preserve"> In 2013, most immigration judicial reviews were transferred from the Administrative Court to the Upper Tribunal (Immigration and Asylum Chamber).</w:t>
      </w:r>
    </w:p>
  </w:footnote>
  <w:footnote w:id="18">
    <w:p w14:paraId="7EDA29F9" w14:textId="77777777" w:rsidR="00D156F6" w:rsidRPr="000C4873" w:rsidRDefault="00D156F6" w:rsidP="00A00F8B">
      <w:pPr>
        <w:pStyle w:val="FootnoteText"/>
        <w:jc w:val="both"/>
        <w:rPr>
          <w:rFonts w:ascii="Athelas" w:hAnsi="Athelas"/>
        </w:rPr>
      </w:pPr>
      <w:r w:rsidRPr="000C4873">
        <w:rPr>
          <w:rStyle w:val="FootnoteReference"/>
          <w:rFonts w:ascii="Athelas" w:hAnsi="Athelas"/>
        </w:rPr>
        <w:footnoteRef/>
      </w:r>
      <w:r w:rsidRPr="000C4873">
        <w:rPr>
          <w:rFonts w:ascii="Athelas" w:hAnsi="Athelas"/>
        </w:rPr>
        <w:t xml:space="preserve"> See generally: M. </w:t>
      </w:r>
      <w:proofErr w:type="spellStart"/>
      <w:r w:rsidRPr="000C4873">
        <w:rPr>
          <w:rFonts w:ascii="Athelas" w:hAnsi="Athelas"/>
        </w:rPr>
        <w:t>Sunkin</w:t>
      </w:r>
      <w:proofErr w:type="spellEnd"/>
      <w:r w:rsidRPr="000C4873">
        <w:rPr>
          <w:rFonts w:ascii="Athelas" w:hAnsi="Athelas"/>
        </w:rPr>
        <w:t xml:space="preserve"> and V. </w:t>
      </w:r>
      <w:proofErr w:type="spellStart"/>
      <w:r w:rsidRPr="000C4873">
        <w:rPr>
          <w:rFonts w:ascii="Athelas" w:hAnsi="Athelas"/>
        </w:rPr>
        <w:t>Bondy</w:t>
      </w:r>
      <w:proofErr w:type="spellEnd"/>
      <w:r w:rsidRPr="000C4873">
        <w:rPr>
          <w:rFonts w:ascii="Athelas" w:hAnsi="Athelas"/>
        </w:rPr>
        <w:t xml:space="preserve">, ‘Settlement in Judicial Review proceedings’ [2009] </w:t>
      </w:r>
      <w:r w:rsidRPr="000C4873">
        <w:rPr>
          <w:rFonts w:ascii="Athelas" w:hAnsi="Athelas"/>
          <w:i/>
        </w:rPr>
        <w:t>Public Law</w:t>
      </w:r>
      <w:r w:rsidRPr="000C4873">
        <w:rPr>
          <w:rFonts w:ascii="Athelas" w:hAnsi="Athelas"/>
        </w:rPr>
        <w:t xml:space="preserve"> 237.</w:t>
      </w:r>
    </w:p>
  </w:footnote>
  <w:footnote w:id="19">
    <w:p w14:paraId="3209D8BD" w14:textId="18BA00C3" w:rsidR="00945FB0" w:rsidRPr="00945FB0" w:rsidRDefault="00945FB0">
      <w:pPr>
        <w:pStyle w:val="FootnoteText"/>
        <w:rPr>
          <w:lang w:val="en-AU"/>
        </w:rPr>
      </w:pPr>
      <w:r>
        <w:rPr>
          <w:rStyle w:val="FootnoteReference"/>
        </w:rPr>
        <w:footnoteRef/>
      </w:r>
      <w:r>
        <w:t xml:space="preserve"> </w:t>
      </w:r>
      <w:r w:rsidR="00BA7EA6" w:rsidRPr="000C4873">
        <w:rPr>
          <w:rFonts w:ascii="Athelas" w:hAnsi="Athelas"/>
          <w:lang w:val="en-AU"/>
        </w:rPr>
        <w:t xml:space="preserve">All data is taken from </w:t>
      </w:r>
      <w:r w:rsidR="00BA7EA6">
        <w:rPr>
          <w:rFonts w:ascii="Athelas" w:hAnsi="Athelas"/>
          <w:lang w:val="en-AU"/>
        </w:rPr>
        <w:t xml:space="preserve">the </w:t>
      </w:r>
      <w:r w:rsidR="00BA7EA6" w:rsidRPr="000C4873">
        <w:rPr>
          <w:rFonts w:ascii="Athelas" w:hAnsi="Athelas"/>
          <w:lang w:val="en-AU"/>
        </w:rPr>
        <w:t>Ministry of Justice</w:t>
      </w:r>
      <w:r w:rsidR="00BA7EA6">
        <w:rPr>
          <w:rFonts w:ascii="Athelas" w:hAnsi="Athelas"/>
          <w:lang w:val="en-AU"/>
        </w:rPr>
        <w:t xml:space="preserve">’s civil justice statistics, </w:t>
      </w:r>
      <w:r w:rsidR="00B21C6F">
        <w:rPr>
          <w:rFonts w:ascii="Athelas" w:hAnsi="Athelas"/>
          <w:lang w:val="en-AU"/>
        </w:rPr>
        <w:t>which are published online every quarter. A</w:t>
      </w:r>
      <w:r w:rsidR="00BA7EA6">
        <w:rPr>
          <w:rFonts w:ascii="Athelas" w:hAnsi="Athelas"/>
          <w:lang w:val="en-AU"/>
        </w:rPr>
        <w:t xml:space="preserve">ll figures are on file with the authors. </w:t>
      </w:r>
      <w:r w:rsidR="00BA7EA6">
        <w:t>We do not attempt to explain this trend here, but it clearly warrants further observation and analysis into the future.</w:t>
      </w:r>
    </w:p>
  </w:footnote>
  <w:footnote w:id="20">
    <w:p w14:paraId="325EA0A3" w14:textId="4CC350D2" w:rsidR="00577FE5" w:rsidRPr="00577FE5" w:rsidRDefault="00577FE5">
      <w:pPr>
        <w:pStyle w:val="FootnoteText"/>
        <w:rPr>
          <w:lang w:val="en-AU"/>
        </w:rPr>
      </w:pPr>
      <w:r>
        <w:rPr>
          <w:rStyle w:val="FootnoteReference"/>
        </w:rPr>
        <w:footnoteRef/>
      </w:r>
      <w:r>
        <w:t xml:space="preserve"> </w:t>
      </w:r>
      <w:r w:rsidRPr="000C4873">
        <w:rPr>
          <w:rFonts w:ascii="Athelas" w:hAnsi="Athelas"/>
          <w:lang w:val="en-AU"/>
        </w:rPr>
        <w:t xml:space="preserve">Ministry of Justice, </w:t>
      </w:r>
      <w:r w:rsidRPr="000C4873">
        <w:rPr>
          <w:rFonts w:ascii="Athelas" w:hAnsi="Athelas"/>
          <w:i/>
          <w:lang w:val="en-AU"/>
        </w:rPr>
        <w:t xml:space="preserve">Civil Justice Statistics Quarterly: </w:t>
      </w:r>
      <w:r>
        <w:rPr>
          <w:rFonts w:ascii="Athelas" w:hAnsi="Athelas"/>
          <w:i/>
          <w:lang w:val="en-AU"/>
        </w:rPr>
        <w:t>January to March</w:t>
      </w:r>
      <w:r w:rsidRPr="000C4873">
        <w:rPr>
          <w:rFonts w:ascii="Athelas" w:hAnsi="Athelas"/>
          <w:i/>
          <w:lang w:val="en-AU"/>
        </w:rPr>
        <w:t xml:space="preserve"> 20</w:t>
      </w:r>
      <w:r>
        <w:rPr>
          <w:rFonts w:ascii="Athelas" w:hAnsi="Athelas"/>
          <w:i/>
          <w:lang w:val="en-AU"/>
        </w:rPr>
        <w:t>20</w:t>
      </w:r>
      <w:r w:rsidRPr="000C4873">
        <w:rPr>
          <w:rFonts w:ascii="Athelas" w:hAnsi="Athelas"/>
          <w:i/>
          <w:lang w:val="en-AU"/>
        </w:rPr>
        <w:t xml:space="preserve"> </w:t>
      </w:r>
      <w:r w:rsidRPr="000C4873">
        <w:rPr>
          <w:rFonts w:ascii="Athelas" w:hAnsi="Athelas"/>
          <w:lang w:val="en-AU"/>
        </w:rPr>
        <w:t>(</w:t>
      </w:r>
      <w:r>
        <w:rPr>
          <w:rFonts w:ascii="Athelas" w:hAnsi="Athelas"/>
          <w:lang w:val="en-AU"/>
        </w:rPr>
        <w:t>4 June</w:t>
      </w:r>
      <w:r w:rsidRPr="000C4873">
        <w:rPr>
          <w:rFonts w:ascii="Athelas" w:hAnsi="Athelas"/>
          <w:lang w:val="en-AU"/>
        </w:rPr>
        <w:t xml:space="preserve"> 2020),</w:t>
      </w:r>
      <w:r>
        <w:rPr>
          <w:rFonts w:ascii="Athelas" w:hAnsi="Athelas"/>
          <w:lang w:val="en-AU"/>
        </w:rPr>
        <w:t xml:space="preserve"> Table 2.1; </w:t>
      </w:r>
      <w:r w:rsidRPr="000C4873">
        <w:rPr>
          <w:rFonts w:ascii="Athelas" w:hAnsi="Athelas"/>
          <w:lang w:val="en-AU"/>
        </w:rPr>
        <w:t xml:space="preserve">Ministry of Justice, </w:t>
      </w:r>
      <w:r w:rsidRPr="000C4873">
        <w:rPr>
          <w:rFonts w:ascii="Athelas" w:hAnsi="Athelas"/>
          <w:i/>
          <w:lang w:val="en-AU"/>
        </w:rPr>
        <w:t xml:space="preserve">Civil Justice Statistics Quarterly: </w:t>
      </w:r>
      <w:r>
        <w:rPr>
          <w:rFonts w:ascii="Athelas" w:hAnsi="Athelas"/>
          <w:i/>
          <w:lang w:val="en-AU"/>
        </w:rPr>
        <w:t>April</w:t>
      </w:r>
      <w:r w:rsidRPr="000C4873">
        <w:rPr>
          <w:rFonts w:ascii="Athelas" w:hAnsi="Athelas"/>
          <w:i/>
          <w:lang w:val="en-AU"/>
        </w:rPr>
        <w:t xml:space="preserve"> to </w:t>
      </w:r>
      <w:r>
        <w:rPr>
          <w:rFonts w:ascii="Athelas" w:hAnsi="Athelas"/>
          <w:i/>
          <w:lang w:val="en-AU"/>
        </w:rPr>
        <w:t>June</w:t>
      </w:r>
      <w:r w:rsidRPr="000C4873">
        <w:rPr>
          <w:rFonts w:ascii="Athelas" w:hAnsi="Athelas"/>
          <w:i/>
          <w:lang w:val="en-AU"/>
        </w:rPr>
        <w:t xml:space="preserve"> 20</w:t>
      </w:r>
      <w:r>
        <w:rPr>
          <w:rFonts w:ascii="Athelas" w:hAnsi="Athelas"/>
          <w:i/>
          <w:lang w:val="en-AU"/>
        </w:rPr>
        <w:t>20</w:t>
      </w:r>
      <w:r w:rsidRPr="000C4873">
        <w:rPr>
          <w:rFonts w:ascii="Athelas" w:hAnsi="Athelas"/>
          <w:i/>
          <w:lang w:val="en-AU"/>
        </w:rPr>
        <w:t xml:space="preserve"> </w:t>
      </w:r>
      <w:r w:rsidRPr="000C4873">
        <w:rPr>
          <w:rFonts w:ascii="Athelas" w:hAnsi="Athelas"/>
          <w:lang w:val="en-AU"/>
        </w:rPr>
        <w:t>(</w:t>
      </w:r>
      <w:r>
        <w:rPr>
          <w:rFonts w:ascii="Athelas" w:hAnsi="Athelas"/>
          <w:lang w:val="en-AU"/>
        </w:rPr>
        <w:t>3 September</w:t>
      </w:r>
      <w:r w:rsidRPr="000C4873">
        <w:rPr>
          <w:rFonts w:ascii="Athelas" w:hAnsi="Athelas"/>
          <w:lang w:val="en-AU"/>
        </w:rPr>
        <w:t xml:space="preserve"> 2020),</w:t>
      </w:r>
      <w:r>
        <w:rPr>
          <w:rFonts w:ascii="Athelas" w:hAnsi="Athelas"/>
          <w:lang w:val="en-AU"/>
        </w:rPr>
        <w:t xml:space="preserve"> Table 2.1</w:t>
      </w:r>
      <w:r w:rsidRPr="000C4873">
        <w:rPr>
          <w:rFonts w:ascii="Athelas" w:hAnsi="Athelas"/>
          <w:lang w:val="en-AU"/>
        </w:rPr>
        <w:t>.</w:t>
      </w:r>
    </w:p>
  </w:footnote>
  <w:footnote w:id="21">
    <w:p w14:paraId="148B1A5A" w14:textId="0E3012C7" w:rsidR="009F2E47" w:rsidRPr="009370FF" w:rsidRDefault="009F2E47">
      <w:pPr>
        <w:pStyle w:val="FootnoteText"/>
        <w:rPr>
          <w:rFonts w:ascii="Athelas" w:hAnsi="Athelas"/>
        </w:rPr>
      </w:pPr>
      <w:r w:rsidRPr="000C4873">
        <w:rPr>
          <w:rStyle w:val="FootnoteReference"/>
          <w:rFonts w:ascii="Athelas" w:hAnsi="Athelas"/>
        </w:rPr>
        <w:footnoteRef/>
      </w:r>
      <w:r w:rsidR="009370FF">
        <w:rPr>
          <w:rFonts w:ascii="Athelas" w:hAnsi="Athelas"/>
        </w:rPr>
        <w:t xml:space="preserve"> Some of these instruments and documents </w:t>
      </w:r>
      <w:r w:rsidRPr="000C4873">
        <w:rPr>
          <w:rFonts w:ascii="Athelas" w:hAnsi="Athelas"/>
        </w:rPr>
        <w:t xml:space="preserve">have </w:t>
      </w:r>
      <w:r w:rsidR="009370FF">
        <w:rPr>
          <w:rFonts w:ascii="Athelas" w:hAnsi="Athelas"/>
        </w:rPr>
        <w:t>subsequently been revised</w:t>
      </w:r>
      <w:r w:rsidRPr="000C4873">
        <w:rPr>
          <w:rFonts w:ascii="Athelas" w:hAnsi="Athelas"/>
        </w:rPr>
        <w:t xml:space="preserve">, but they remained substantially in the form cited below </w:t>
      </w:r>
      <w:r w:rsidRPr="000C4873">
        <w:rPr>
          <w:rFonts w:ascii="Athelas" w:hAnsi="Athelas"/>
          <w:lang w:val="en-AU"/>
        </w:rPr>
        <w:t>for the duration of our research.</w:t>
      </w:r>
    </w:p>
  </w:footnote>
  <w:footnote w:id="22">
    <w:p w14:paraId="0C5A192B" w14:textId="0AF088D9" w:rsidR="007409A9" w:rsidRPr="00F62630" w:rsidRDefault="007409A9" w:rsidP="00A00F8B">
      <w:pPr>
        <w:pStyle w:val="FootnoteText"/>
        <w:jc w:val="both"/>
        <w:rPr>
          <w:rFonts w:ascii="Athelas" w:hAnsi="Athelas"/>
          <w:lang w:val="en-AU"/>
        </w:rPr>
      </w:pPr>
      <w:r w:rsidRPr="00F62630">
        <w:rPr>
          <w:rStyle w:val="FootnoteReference"/>
          <w:rFonts w:ascii="Athelas" w:hAnsi="Athelas"/>
        </w:rPr>
        <w:footnoteRef/>
      </w:r>
      <w:r w:rsidRPr="00F62630">
        <w:rPr>
          <w:rFonts w:ascii="Athelas" w:hAnsi="Athelas"/>
        </w:rPr>
        <w:t xml:space="preserve"> </w:t>
      </w:r>
      <w:r w:rsidR="009370FF" w:rsidRPr="00F62630">
        <w:rPr>
          <w:rFonts w:ascii="Athelas" w:hAnsi="Athelas"/>
          <w:lang w:val="en-AU"/>
        </w:rPr>
        <w:t xml:space="preserve">Administrative Court Office, </w:t>
      </w:r>
      <w:r w:rsidR="009370FF" w:rsidRPr="00F62630">
        <w:rPr>
          <w:rFonts w:ascii="Athelas" w:hAnsi="Athelas"/>
          <w:i/>
          <w:lang w:val="en-AU"/>
        </w:rPr>
        <w:t>Administrative Court Office Guidance – COVID-19 Measures</w:t>
      </w:r>
      <w:r w:rsidR="009370FF" w:rsidRPr="00F62630">
        <w:rPr>
          <w:rFonts w:ascii="Athelas" w:hAnsi="Athelas"/>
          <w:lang w:val="en-AU"/>
        </w:rPr>
        <w:t xml:space="preserve"> (27 March 2020) (Revised Administrative Court Guidance).</w:t>
      </w:r>
    </w:p>
  </w:footnote>
  <w:footnote w:id="23">
    <w:p w14:paraId="62DCC0EF" w14:textId="45049A10" w:rsidR="00F62630" w:rsidRPr="00F62630" w:rsidRDefault="00F62630">
      <w:pPr>
        <w:pStyle w:val="FootnoteText"/>
        <w:rPr>
          <w:lang w:val="en-AU"/>
        </w:rPr>
      </w:pPr>
      <w:r w:rsidRPr="00F62630">
        <w:rPr>
          <w:rStyle w:val="FootnoteReference"/>
          <w:rFonts w:ascii="Athelas" w:hAnsi="Athelas"/>
        </w:rPr>
        <w:footnoteRef/>
      </w:r>
      <w:r w:rsidRPr="00F62630">
        <w:rPr>
          <w:rFonts w:ascii="Athelas" w:hAnsi="Athelas"/>
        </w:rPr>
        <w:t xml:space="preserve"> Urgent applications were defined as those ‘where it is contended that irreversible action will take place if the Court does not act to prevent it, or where an expedited judicial review is required.’</w:t>
      </w:r>
      <w:r w:rsidRPr="00F62630">
        <w:t xml:space="preserve">  </w:t>
      </w:r>
    </w:p>
  </w:footnote>
  <w:footnote w:id="24">
    <w:p w14:paraId="7784493B" w14:textId="77777777" w:rsidR="007409A9" w:rsidRPr="000C4873" w:rsidRDefault="007409A9" w:rsidP="00A00F8B">
      <w:pPr>
        <w:pStyle w:val="FootnoteText"/>
        <w:jc w:val="both"/>
        <w:rPr>
          <w:rFonts w:ascii="Athelas" w:hAnsi="Athelas"/>
          <w:lang w:val="en-AU"/>
        </w:rPr>
      </w:pPr>
      <w:r w:rsidRPr="000C4873">
        <w:rPr>
          <w:rStyle w:val="FootnoteReference"/>
          <w:rFonts w:ascii="Athelas" w:hAnsi="Athelas"/>
        </w:rPr>
        <w:footnoteRef/>
      </w:r>
      <w:r w:rsidRPr="000C4873">
        <w:rPr>
          <w:rFonts w:ascii="Athelas" w:hAnsi="Athelas"/>
        </w:rPr>
        <w:t xml:space="preserve"> Revised </w:t>
      </w:r>
      <w:r w:rsidRPr="000C4873">
        <w:rPr>
          <w:rFonts w:ascii="Athelas" w:hAnsi="Athelas"/>
          <w:lang w:val="en-AU"/>
        </w:rPr>
        <w:t>Administrative Court Office Guidance.</w:t>
      </w:r>
    </w:p>
  </w:footnote>
  <w:footnote w:id="25">
    <w:p w14:paraId="28FA48A2" w14:textId="47DD6594" w:rsidR="007409A9" w:rsidRPr="000C4873" w:rsidRDefault="007409A9" w:rsidP="00A00F8B">
      <w:pPr>
        <w:pStyle w:val="FootnoteText"/>
        <w:jc w:val="both"/>
        <w:rPr>
          <w:rFonts w:ascii="Athelas" w:hAnsi="Athelas"/>
          <w:lang w:val="en-AU"/>
        </w:rPr>
      </w:pPr>
      <w:r w:rsidRPr="000C4873">
        <w:rPr>
          <w:rStyle w:val="FootnoteReference"/>
          <w:rFonts w:ascii="Athelas" w:hAnsi="Athelas"/>
        </w:rPr>
        <w:footnoteRef/>
      </w:r>
      <w:r w:rsidRPr="000C4873">
        <w:rPr>
          <w:rFonts w:ascii="Athelas" w:hAnsi="Athelas"/>
        </w:rPr>
        <w:t xml:space="preserve"> </w:t>
      </w:r>
      <w:r w:rsidR="009370FF" w:rsidRPr="000C4873">
        <w:rPr>
          <w:rFonts w:ascii="Athelas" w:hAnsi="Athelas"/>
          <w:lang w:val="en-AU"/>
        </w:rPr>
        <w:t xml:space="preserve">The Lord Burnett of Maldon, </w:t>
      </w:r>
      <w:r w:rsidR="009370FF" w:rsidRPr="000C4873">
        <w:rPr>
          <w:rFonts w:ascii="Athelas" w:hAnsi="Athelas"/>
          <w:i/>
          <w:lang w:val="en-AU"/>
        </w:rPr>
        <w:t>Review of court arrangements due to COVID-19, message from the Lord Chief Justice</w:t>
      </w:r>
      <w:r w:rsidR="009370FF">
        <w:rPr>
          <w:rFonts w:ascii="Athelas" w:hAnsi="Athelas"/>
          <w:i/>
          <w:lang w:val="en-AU"/>
        </w:rPr>
        <w:t xml:space="preserve"> </w:t>
      </w:r>
      <w:r w:rsidR="009370FF">
        <w:rPr>
          <w:rFonts w:ascii="Athelas" w:hAnsi="Athelas"/>
          <w:lang w:val="en-AU"/>
        </w:rPr>
        <w:t>(23 March 2020) (LCJ Guidance)</w:t>
      </w:r>
      <w:r w:rsidRPr="000C4873">
        <w:rPr>
          <w:rFonts w:ascii="Athelas" w:hAnsi="Athelas"/>
          <w:lang w:val="en-AU"/>
        </w:rPr>
        <w:t>.</w:t>
      </w:r>
    </w:p>
  </w:footnote>
  <w:footnote w:id="26">
    <w:p w14:paraId="24C12D6B" w14:textId="5FD09150" w:rsidR="007409A9" w:rsidRPr="000C4873" w:rsidRDefault="007409A9" w:rsidP="00A00F8B">
      <w:pPr>
        <w:pStyle w:val="FootnoteText"/>
        <w:jc w:val="both"/>
        <w:rPr>
          <w:rFonts w:ascii="Athelas" w:hAnsi="Athelas"/>
          <w:lang w:val="en-AU"/>
        </w:rPr>
      </w:pPr>
      <w:r w:rsidRPr="000C4873">
        <w:rPr>
          <w:rStyle w:val="FootnoteReference"/>
          <w:rFonts w:ascii="Athelas" w:hAnsi="Athelas"/>
        </w:rPr>
        <w:footnoteRef/>
      </w:r>
      <w:r w:rsidRPr="000C4873">
        <w:rPr>
          <w:rFonts w:ascii="Athelas" w:hAnsi="Athelas"/>
        </w:rPr>
        <w:t xml:space="preserve"> Revised </w:t>
      </w:r>
      <w:r w:rsidRPr="000C4873">
        <w:rPr>
          <w:rFonts w:ascii="Athelas" w:hAnsi="Athelas"/>
          <w:lang w:val="en-AU"/>
        </w:rPr>
        <w:t>Administrative Court Office Guidance.</w:t>
      </w:r>
      <w:r w:rsidRPr="000C4873">
        <w:rPr>
          <w:rFonts w:ascii="Athelas" w:hAnsi="Athelas"/>
        </w:rPr>
        <w:t xml:space="preserve"> The Guidance also advise</w:t>
      </w:r>
      <w:r w:rsidR="00F4253B" w:rsidRPr="000C4873">
        <w:rPr>
          <w:rFonts w:ascii="Athelas" w:hAnsi="Athelas"/>
        </w:rPr>
        <w:t>d</w:t>
      </w:r>
      <w:r w:rsidRPr="000C4873">
        <w:rPr>
          <w:rFonts w:ascii="Athelas" w:hAnsi="Athelas"/>
        </w:rPr>
        <w:t xml:space="preserve"> that, ‘[w]hen providing a time estimate for a hearing, any estimate should be adjusted for the fact that a hearing by Skype or telephone can take longer than a hearing conducted in person’.</w:t>
      </w:r>
    </w:p>
  </w:footnote>
  <w:footnote w:id="27">
    <w:p w14:paraId="21F82F0D" w14:textId="427BFF42" w:rsidR="007409A9" w:rsidRPr="000C4873" w:rsidRDefault="007409A9" w:rsidP="00A00F8B">
      <w:pPr>
        <w:pStyle w:val="FootnoteText"/>
        <w:jc w:val="both"/>
        <w:rPr>
          <w:rFonts w:ascii="Athelas" w:hAnsi="Athelas"/>
          <w:lang w:val="en-AU"/>
        </w:rPr>
      </w:pPr>
      <w:r w:rsidRPr="000C4873">
        <w:rPr>
          <w:rStyle w:val="FootnoteReference"/>
          <w:rFonts w:ascii="Athelas" w:hAnsi="Athelas"/>
        </w:rPr>
        <w:footnoteRef/>
      </w:r>
      <w:r w:rsidRPr="000C4873">
        <w:rPr>
          <w:rFonts w:ascii="Athelas" w:hAnsi="Athelas"/>
        </w:rPr>
        <w:t xml:space="preserve"> </w:t>
      </w:r>
      <w:r w:rsidRPr="000C4873">
        <w:rPr>
          <w:rFonts w:ascii="Athelas" w:hAnsi="Athelas"/>
          <w:lang w:val="en-AU"/>
        </w:rPr>
        <w:t xml:space="preserve">HMCTS, </w:t>
      </w:r>
      <w:r w:rsidR="00D10002" w:rsidRPr="000C4873">
        <w:rPr>
          <w:rFonts w:ascii="Athelas" w:hAnsi="Athelas"/>
          <w:i/>
          <w:lang w:val="en-AU"/>
        </w:rPr>
        <w:t xml:space="preserve">Guidance: </w:t>
      </w:r>
      <w:r w:rsidRPr="000C4873">
        <w:rPr>
          <w:rFonts w:ascii="Athelas" w:hAnsi="Athelas"/>
          <w:i/>
          <w:lang w:val="en-AU"/>
        </w:rPr>
        <w:t>Courts and tribunals tracker</w:t>
      </w:r>
      <w:r w:rsidR="00D10002" w:rsidRPr="000C4873">
        <w:rPr>
          <w:rFonts w:ascii="Athelas" w:hAnsi="Athelas"/>
          <w:i/>
          <w:lang w:val="en-AU"/>
        </w:rPr>
        <w:t xml:space="preserve"> list during coronavirus outbreak </w:t>
      </w:r>
      <w:r w:rsidR="00D10002" w:rsidRPr="000C4873">
        <w:rPr>
          <w:rFonts w:ascii="Athelas" w:hAnsi="Athelas"/>
          <w:lang w:val="en-AU"/>
        </w:rPr>
        <w:t>(2 April 2020). This tracker was updated periodically as the pandemic continued to affect</w:t>
      </w:r>
      <w:r w:rsidR="001B1C94" w:rsidRPr="000C4873">
        <w:rPr>
          <w:rFonts w:ascii="Athelas" w:hAnsi="Athelas"/>
          <w:lang w:val="en-AU"/>
        </w:rPr>
        <w:t xml:space="preserve"> court and tribunal hearings</w:t>
      </w:r>
      <w:r w:rsidR="00D10002" w:rsidRPr="000C4873">
        <w:rPr>
          <w:rFonts w:ascii="Athelas" w:hAnsi="Athelas"/>
          <w:lang w:val="en-AU"/>
        </w:rPr>
        <w:t>.</w:t>
      </w:r>
    </w:p>
  </w:footnote>
  <w:footnote w:id="28">
    <w:p w14:paraId="4931BCA5" w14:textId="3542F776" w:rsidR="007409A9" w:rsidRPr="000C4873" w:rsidRDefault="007409A9" w:rsidP="00A00F8B">
      <w:pPr>
        <w:pStyle w:val="FootnoteText"/>
        <w:jc w:val="both"/>
        <w:rPr>
          <w:rFonts w:ascii="Athelas" w:hAnsi="Athelas"/>
          <w:lang w:val="en-AU"/>
        </w:rPr>
      </w:pPr>
      <w:r w:rsidRPr="000C4873">
        <w:rPr>
          <w:rStyle w:val="FootnoteReference"/>
          <w:rFonts w:ascii="Athelas" w:hAnsi="Athelas"/>
        </w:rPr>
        <w:footnoteRef/>
      </w:r>
      <w:r w:rsidRPr="000C4873">
        <w:rPr>
          <w:rFonts w:ascii="Athelas" w:hAnsi="Athelas"/>
        </w:rPr>
        <w:t xml:space="preserve"> </w:t>
      </w:r>
      <w:r w:rsidRPr="000C4873">
        <w:rPr>
          <w:rFonts w:ascii="Athelas" w:hAnsi="Athelas"/>
          <w:lang w:val="en-AU"/>
        </w:rPr>
        <w:t xml:space="preserve">Revised Administrative Court Office Guidance. </w:t>
      </w:r>
    </w:p>
  </w:footnote>
  <w:footnote w:id="29">
    <w:p w14:paraId="141EE541" w14:textId="5820A0C0" w:rsidR="007409A9" w:rsidRPr="000C4873" w:rsidRDefault="007409A9" w:rsidP="00A00F8B">
      <w:pPr>
        <w:pStyle w:val="FootnoteText"/>
        <w:jc w:val="both"/>
        <w:rPr>
          <w:rFonts w:ascii="Athelas" w:hAnsi="Athelas"/>
          <w:lang w:val="en-AU"/>
        </w:rPr>
      </w:pPr>
      <w:r w:rsidRPr="000C4873">
        <w:rPr>
          <w:rStyle w:val="FootnoteReference"/>
          <w:rFonts w:ascii="Athelas" w:hAnsi="Athelas"/>
        </w:rPr>
        <w:footnoteRef/>
      </w:r>
      <w:r w:rsidRPr="000C4873">
        <w:rPr>
          <w:rFonts w:ascii="Athelas" w:hAnsi="Athelas"/>
        </w:rPr>
        <w:t xml:space="preserve"> </w:t>
      </w:r>
      <w:r w:rsidR="009370FF" w:rsidRPr="000C4873">
        <w:rPr>
          <w:rFonts w:ascii="Athelas" w:hAnsi="Athelas"/>
          <w:lang w:val="en-AU"/>
        </w:rPr>
        <w:t xml:space="preserve">Judiciary of England and Wales, </w:t>
      </w:r>
      <w:r w:rsidR="009370FF" w:rsidRPr="000C4873">
        <w:rPr>
          <w:rFonts w:ascii="Athelas" w:hAnsi="Athelas"/>
          <w:i/>
          <w:lang w:val="en-AU"/>
        </w:rPr>
        <w:t>Civil Justice in England and Wales: Protocol regarding Remote Hearings</w:t>
      </w:r>
      <w:r w:rsidR="009370FF">
        <w:rPr>
          <w:rFonts w:ascii="Athelas" w:hAnsi="Athelas"/>
          <w:i/>
          <w:lang w:val="en-AU"/>
        </w:rPr>
        <w:t xml:space="preserve"> </w:t>
      </w:r>
      <w:r w:rsidR="009370FF">
        <w:rPr>
          <w:rFonts w:ascii="Athelas" w:hAnsi="Athelas"/>
          <w:lang w:val="en-AU"/>
        </w:rPr>
        <w:t>(26 March 2020), [16]-[18] (Revised Remote Hearing Protocol).</w:t>
      </w:r>
    </w:p>
  </w:footnote>
  <w:footnote w:id="30">
    <w:p w14:paraId="004DA3E4" w14:textId="77777777" w:rsidR="007409A9" w:rsidRPr="000C4873" w:rsidRDefault="007409A9" w:rsidP="00A00F8B">
      <w:pPr>
        <w:pStyle w:val="FootnoteText"/>
        <w:jc w:val="both"/>
        <w:rPr>
          <w:rFonts w:ascii="Athelas" w:hAnsi="Athelas"/>
          <w:lang w:val="en-AU"/>
        </w:rPr>
      </w:pPr>
      <w:r w:rsidRPr="000C4873">
        <w:rPr>
          <w:rStyle w:val="FootnoteReference"/>
          <w:rFonts w:ascii="Athelas" w:hAnsi="Athelas"/>
        </w:rPr>
        <w:footnoteRef/>
      </w:r>
      <w:r w:rsidRPr="000C4873">
        <w:rPr>
          <w:rFonts w:ascii="Athelas" w:hAnsi="Athelas"/>
        </w:rPr>
        <w:t xml:space="preserve"> Revised Remote Hearing </w:t>
      </w:r>
      <w:r w:rsidRPr="000C4873">
        <w:rPr>
          <w:rFonts w:ascii="Athelas" w:hAnsi="Athelas"/>
          <w:lang w:val="en-AU"/>
        </w:rPr>
        <w:t>Protocol, [20].</w:t>
      </w:r>
    </w:p>
  </w:footnote>
  <w:footnote w:id="31">
    <w:p w14:paraId="3D951AED" w14:textId="0F677E42" w:rsidR="007409A9" w:rsidRPr="000C4873" w:rsidRDefault="007409A9" w:rsidP="00A00F8B">
      <w:pPr>
        <w:pStyle w:val="FootnoteText"/>
        <w:jc w:val="both"/>
        <w:rPr>
          <w:rFonts w:ascii="Athelas" w:hAnsi="Athelas"/>
          <w:lang w:val="en-AU"/>
        </w:rPr>
      </w:pPr>
      <w:r w:rsidRPr="000C4873">
        <w:rPr>
          <w:rFonts w:ascii="Athelas" w:hAnsi="Athelas"/>
          <w:vertAlign w:val="superscript"/>
          <w:lang w:val="en-AU"/>
        </w:rPr>
        <w:footnoteRef/>
      </w:r>
      <w:r w:rsidRPr="000C4873">
        <w:rPr>
          <w:rFonts w:ascii="Athelas" w:hAnsi="Athelas"/>
          <w:lang w:val="en-AU"/>
        </w:rPr>
        <w:t xml:space="preserve"> </w:t>
      </w:r>
      <w:r w:rsidR="009370FF" w:rsidRPr="000C4873">
        <w:rPr>
          <w:rFonts w:ascii="Athelas" w:hAnsi="Athelas"/>
          <w:lang w:val="en-AU"/>
        </w:rPr>
        <w:t xml:space="preserve">HMCTS, </w:t>
      </w:r>
      <w:r w:rsidR="009370FF" w:rsidRPr="000C4873">
        <w:rPr>
          <w:rFonts w:ascii="Athelas" w:hAnsi="Athelas"/>
          <w:i/>
          <w:lang w:val="en-AU"/>
        </w:rPr>
        <w:t>Guidance: How to join telephone and video hearings during coronavirus (COVID-19) outbreak</w:t>
      </w:r>
      <w:r w:rsidR="009370FF">
        <w:rPr>
          <w:rFonts w:ascii="Athelas" w:hAnsi="Athelas"/>
          <w:i/>
          <w:lang w:val="en-AU"/>
        </w:rPr>
        <w:t xml:space="preserve"> </w:t>
      </w:r>
      <w:r w:rsidR="009370FF">
        <w:rPr>
          <w:rFonts w:ascii="Athelas" w:hAnsi="Athelas"/>
          <w:lang w:val="en-AU"/>
        </w:rPr>
        <w:t>(8 April 2020)</w:t>
      </w:r>
      <w:r w:rsidRPr="000C4873">
        <w:rPr>
          <w:rFonts w:ascii="Athelas" w:hAnsi="Athelas"/>
          <w:lang w:val="en-AU"/>
        </w:rPr>
        <w:t>.</w:t>
      </w:r>
    </w:p>
  </w:footnote>
  <w:footnote w:id="32">
    <w:p w14:paraId="1C36B950" w14:textId="77777777" w:rsidR="007409A9" w:rsidRPr="000C4873" w:rsidRDefault="007409A9" w:rsidP="00A00F8B">
      <w:pPr>
        <w:pStyle w:val="FootnoteText"/>
        <w:jc w:val="both"/>
        <w:rPr>
          <w:rFonts w:ascii="Athelas" w:hAnsi="Athelas"/>
          <w:lang w:val="en-AU"/>
        </w:rPr>
      </w:pPr>
      <w:r w:rsidRPr="000C4873">
        <w:rPr>
          <w:rStyle w:val="FootnoteReference"/>
          <w:rFonts w:ascii="Athelas" w:hAnsi="Athelas"/>
        </w:rPr>
        <w:footnoteRef/>
      </w:r>
      <w:r w:rsidRPr="000C4873">
        <w:rPr>
          <w:rFonts w:ascii="Athelas" w:hAnsi="Athelas"/>
        </w:rPr>
        <w:t xml:space="preserve"> Revised Remote Hearing </w:t>
      </w:r>
      <w:r w:rsidRPr="000C4873">
        <w:rPr>
          <w:rFonts w:ascii="Athelas" w:hAnsi="Athelas"/>
          <w:lang w:val="en-AU"/>
        </w:rPr>
        <w:t>Protocol, [5], [9].</w:t>
      </w:r>
    </w:p>
  </w:footnote>
  <w:footnote w:id="33">
    <w:p w14:paraId="7A6FF14C" w14:textId="3302A804" w:rsidR="007409A9" w:rsidRPr="000C4873" w:rsidRDefault="007409A9" w:rsidP="00A00F8B">
      <w:pPr>
        <w:pStyle w:val="FootnoteText"/>
        <w:jc w:val="both"/>
        <w:rPr>
          <w:rFonts w:ascii="Athelas" w:hAnsi="Athelas"/>
          <w:lang w:val="en-AU"/>
        </w:rPr>
      </w:pPr>
      <w:r w:rsidRPr="000C4873">
        <w:rPr>
          <w:rStyle w:val="FootnoteReference"/>
          <w:rFonts w:ascii="Athelas" w:hAnsi="Athelas"/>
        </w:rPr>
        <w:footnoteRef/>
      </w:r>
      <w:r w:rsidRPr="000C4873">
        <w:rPr>
          <w:rFonts w:ascii="Athelas" w:hAnsi="Athelas"/>
        </w:rPr>
        <w:t xml:space="preserve"> </w:t>
      </w:r>
      <w:r w:rsidR="009370FF" w:rsidRPr="000C4873">
        <w:rPr>
          <w:rFonts w:ascii="Athelas" w:hAnsi="Athelas"/>
          <w:lang w:val="en-AU"/>
        </w:rPr>
        <w:t xml:space="preserve">HMCTS, </w:t>
      </w:r>
      <w:r w:rsidR="009370FF" w:rsidRPr="000C4873">
        <w:rPr>
          <w:rFonts w:ascii="Athelas" w:hAnsi="Athelas"/>
          <w:i/>
          <w:lang w:val="en-AU"/>
        </w:rPr>
        <w:t>Guidance: HMCTS telephone and video hearings during coronavirus outbreak</w:t>
      </w:r>
      <w:r w:rsidR="009370FF">
        <w:rPr>
          <w:rFonts w:ascii="Athelas" w:hAnsi="Athelas"/>
          <w:i/>
          <w:lang w:val="en-AU"/>
        </w:rPr>
        <w:t xml:space="preserve"> </w:t>
      </w:r>
      <w:r w:rsidR="009370FF">
        <w:rPr>
          <w:rFonts w:ascii="Athelas" w:hAnsi="Athelas"/>
          <w:lang w:val="en-AU"/>
        </w:rPr>
        <w:t>(18 March 2020) (HMCTS First Guidance)</w:t>
      </w:r>
      <w:r w:rsidRPr="000C4873">
        <w:rPr>
          <w:rFonts w:ascii="Athelas" w:hAnsi="Athelas"/>
          <w:lang w:val="en-AU"/>
        </w:rPr>
        <w:t>.</w:t>
      </w:r>
    </w:p>
  </w:footnote>
  <w:footnote w:id="34">
    <w:p w14:paraId="3388FC80" w14:textId="77777777" w:rsidR="007409A9" w:rsidRPr="000C4873" w:rsidRDefault="007409A9" w:rsidP="00A00F8B">
      <w:pPr>
        <w:pStyle w:val="FootnoteText"/>
        <w:jc w:val="both"/>
        <w:rPr>
          <w:rFonts w:ascii="Athelas" w:hAnsi="Athelas"/>
          <w:lang w:val="en-AU"/>
        </w:rPr>
      </w:pPr>
      <w:r w:rsidRPr="000C4873">
        <w:rPr>
          <w:rStyle w:val="FootnoteReference"/>
          <w:rFonts w:ascii="Athelas" w:hAnsi="Athelas"/>
        </w:rPr>
        <w:footnoteRef/>
      </w:r>
      <w:r w:rsidRPr="000C4873">
        <w:rPr>
          <w:rFonts w:ascii="Athelas" w:hAnsi="Athelas"/>
        </w:rPr>
        <w:t xml:space="preserve"> Revised Remote Hearing </w:t>
      </w:r>
      <w:r w:rsidRPr="000C4873">
        <w:rPr>
          <w:rFonts w:ascii="Athelas" w:hAnsi="Athelas"/>
          <w:lang w:val="en-AU"/>
        </w:rPr>
        <w:t>Protocol, [8].</w:t>
      </w:r>
    </w:p>
  </w:footnote>
  <w:footnote w:id="35">
    <w:p w14:paraId="294B9923" w14:textId="77777777" w:rsidR="007409A9" w:rsidRPr="000C4873" w:rsidRDefault="007409A9" w:rsidP="00A00F8B">
      <w:pPr>
        <w:pStyle w:val="FootnoteText"/>
        <w:jc w:val="both"/>
        <w:rPr>
          <w:rFonts w:ascii="Athelas" w:hAnsi="Athelas"/>
          <w:lang w:val="en-AU"/>
        </w:rPr>
      </w:pPr>
      <w:r w:rsidRPr="000C4873">
        <w:rPr>
          <w:rStyle w:val="FootnoteReference"/>
          <w:rFonts w:ascii="Athelas" w:hAnsi="Athelas"/>
        </w:rPr>
        <w:footnoteRef/>
      </w:r>
      <w:r w:rsidRPr="000C4873">
        <w:rPr>
          <w:rFonts w:ascii="Athelas" w:hAnsi="Athelas"/>
        </w:rPr>
        <w:t xml:space="preserve"> Revised Remote Hearing </w:t>
      </w:r>
      <w:r w:rsidRPr="000C4873">
        <w:rPr>
          <w:rFonts w:ascii="Athelas" w:hAnsi="Athelas"/>
          <w:lang w:val="en-AU"/>
        </w:rPr>
        <w:t>Protocol, [8].</w:t>
      </w:r>
    </w:p>
  </w:footnote>
  <w:footnote w:id="36">
    <w:p w14:paraId="543E9700" w14:textId="77777777" w:rsidR="007409A9" w:rsidRPr="000C4873" w:rsidRDefault="007409A9" w:rsidP="00A00F8B">
      <w:pPr>
        <w:pStyle w:val="FootnoteText"/>
        <w:jc w:val="both"/>
        <w:rPr>
          <w:rFonts w:ascii="Athelas" w:hAnsi="Athelas"/>
          <w:lang w:val="en-AU"/>
        </w:rPr>
      </w:pPr>
      <w:r w:rsidRPr="000C4873">
        <w:rPr>
          <w:rStyle w:val="FootnoteReference"/>
          <w:rFonts w:ascii="Athelas" w:hAnsi="Athelas"/>
        </w:rPr>
        <w:footnoteRef/>
      </w:r>
      <w:r w:rsidRPr="000C4873">
        <w:rPr>
          <w:rFonts w:ascii="Athelas" w:hAnsi="Athelas"/>
        </w:rPr>
        <w:t xml:space="preserve"> Coronavirus Act 2020 s.55 and sch.</w:t>
      </w:r>
      <w:r w:rsidRPr="000C4873">
        <w:rPr>
          <w:rFonts w:ascii="Athelas" w:hAnsi="Athelas"/>
          <w:lang w:val="en-AU"/>
        </w:rPr>
        <w:t>25, which insert new provisions in the Courts Act 2003 to this effect.</w:t>
      </w:r>
    </w:p>
  </w:footnote>
  <w:footnote w:id="37">
    <w:p w14:paraId="0033B930" w14:textId="77777777" w:rsidR="007409A9" w:rsidRPr="000C4873" w:rsidRDefault="007409A9" w:rsidP="00A00F8B">
      <w:pPr>
        <w:pStyle w:val="FootnoteText"/>
        <w:jc w:val="both"/>
        <w:rPr>
          <w:rFonts w:ascii="Athelas" w:hAnsi="Athelas"/>
          <w:lang w:val="en-AU"/>
        </w:rPr>
      </w:pPr>
      <w:r w:rsidRPr="000C4873">
        <w:rPr>
          <w:rStyle w:val="FootnoteReference"/>
          <w:rFonts w:ascii="Athelas" w:hAnsi="Athelas"/>
        </w:rPr>
        <w:footnoteRef/>
      </w:r>
      <w:r w:rsidRPr="000C4873">
        <w:rPr>
          <w:rFonts w:ascii="Athelas" w:hAnsi="Athelas"/>
        </w:rPr>
        <w:t xml:space="preserve"> </w:t>
      </w:r>
      <w:r w:rsidRPr="000C4873">
        <w:rPr>
          <w:rFonts w:ascii="Athelas" w:hAnsi="Athelas"/>
          <w:lang w:val="en-AU"/>
        </w:rPr>
        <w:t>HMCTS First Guidance.</w:t>
      </w:r>
    </w:p>
  </w:footnote>
  <w:footnote w:id="38">
    <w:p w14:paraId="6A09E2B0" w14:textId="04AD7CAF" w:rsidR="009370FF" w:rsidRPr="009370FF" w:rsidRDefault="009370FF">
      <w:pPr>
        <w:pStyle w:val="FootnoteText"/>
        <w:rPr>
          <w:lang w:val="en-AU"/>
        </w:rPr>
      </w:pPr>
      <w:r>
        <w:rPr>
          <w:rStyle w:val="FootnoteReference"/>
        </w:rPr>
        <w:footnoteRef/>
      </w:r>
      <w:r>
        <w:t xml:space="preserve"> </w:t>
      </w:r>
      <w:r w:rsidRPr="000C4873">
        <w:rPr>
          <w:rFonts w:ascii="Athelas" w:hAnsi="Athelas"/>
          <w:lang w:val="en-AU"/>
        </w:rPr>
        <w:t>CPR Practice Direction 51ZA – Extension of Time Limits and Clarification of Practice Direction 51Y</w:t>
      </w:r>
      <w:r>
        <w:rPr>
          <w:rFonts w:ascii="Athelas" w:hAnsi="Athelas"/>
          <w:lang w:val="en-AU"/>
        </w:rPr>
        <w:t xml:space="preserve"> (2 April 2020).</w:t>
      </w:r>
    </w:p>
  </w:footnote>
  <w:footnote w:id="39">
    <w:p w14:paraId="5B542646" w14:textId="77777777" w:rsidR="007409A9" w:rsidRPr="000C4873" w:rsidRDefault="007409A9" w:rsidP="007409A9">
      <w:pPr>
        <w:pStyle w:val="FootnoteText"/>
        <w:jc w:val="both"/>
        <w:rPr>
          <w:rFonts w:ascii="Athelas" w:hAnsi="Athelas"/>
          <w:lang w:val="en-AU"/>
        </w:rPr>
      </w:pPr>
      <w:r w:rsidRPr="000C4873">
        <w:rPr>
          <w:rStyle w:val="FootnoteReference"/>
          <w:rFonts w:ascii="Athelas" w:hAnsi="Athelas"/>
        </w:rPr>
        <w:footnoteRef/>
      </w:r>
      <w:r w:rsidRPr="000C4873">
        <w:rPr>
          <w:rFonts w:ascii="Athelas" w:hAnsi="Athelas"/>
        </w:rPr>
        <w:t xml:space="preserve"> </w:t>
      </w:r>
      <w:r w:rsidRPr="000C4873">
        <w:rPr>
          <w:rFonts w:ascii="Athelas" w:hAnsi="Athelas"/>
          <w:lang w:val="en-AU"/>
        </w:rPr>
        <w:t>Practice Direction 51ZA clarifies that a person is not required to make a formal application for access to a recording of a private hearing.</w:t>
      </w:r>
    </w:p>
  </w:footnote>
  <w:footnote w:id="40">
    <w:p w14:paraId="50492027" w14:textId="42394DB8" w:rsidR="000E5D1F" w:rsidRPr="000C4873" w:rsidRDefault="000E5D1F">
      <w:pPr>
        <w:pStyle w:val="FootnoteText"/>
        <w:rPr>
          <w:rFonts w:ascii="Athelas" w:hAnsi="Athelas"/>
          <w:lang w:val="en-AU"/>
        </w:rPr>
      </w:pPr>
      <w:r w:rsidRPr="000C4873">
        <w:rPr>
          <w:rStyle w:val="FootnoteReference"/>
          <w:rFonts w:ascii="Athelas" w:hAnsi="Athelas"/>
        </w:rPr>
        <w:footnoteRef/>
      </w:r>
      <w:r w:rsidRPr="000C4873">
        <w:rPr>
          <w:rFonts w:ascii="Athelas" w:hAnsi="Athelas"/>
        </w:rPr>
        <w:t xml:space="preserve"> </w:t>
      </w:r>
      <w:r w:rsidRPr="000C4873">
        <w:rPr>
          <w:rFonts w:ascii="Athelas" w:hAnsi="Athelas"/>
          <w:lang w:val="en-AU"/>
        </w:rPr>
        <w:t>Revised Administrative Court Guidance.</w:t>
      </w:r>
      <w:r w:rsidR="005F4F57">
        <w:rPr>
          <w:rFonts w:ascii="Athelas" w:hAnsi="Athelas"/>
          <w:lang w:val="en-AU"/>
        </w:rPr>
        <w:t xml:space="preserve"> As at the date of publication, the file size limit was 20MB for all cases. See Administrative Court Office, ‘Administrative Court office guide – COVID-19 measures’ (8 June 2020).</w:t>
      </w:r>
    </w:p>
  </w:footnote>
  <w:footnote w:id="41">
    <w:p w14:paraId="4037A67E" w14:textId="395CCE5C" w:rsidR="00DC46E5" w:rsidRPr="000C4873" w:rsidRDefault="00DC46E5">
      <w:pPr>
        <w:pStyle w:val="FootnoteText"/>
        <w:rPr>
          <w:rFonts w:ascii="Athelas" w:hAnsi="Athelas"/>
          <w:lang w:val="en-AU"/>
        </w:rPr>
      </w:pPr>
      <w:r w:rsidRPr="000C4873">
        <w:rPr>
          <w:rStyle w:val="FootnoteReference"/>
          <w:rFonts w:ascii="Athelas" w:hAnsi="Athelas"/>
        </w:rPr>
        <w:footnoteRef/>
      </w:r>
      <w:r w:rsidRPr="000C4873">
        <w:rPr>
          <w:rFonts w:ascii="Athelas" w:hAnsi="Athelas"/>
        </w:rPr>
        <w:t xml:space="preserve"> For a different perspective on the lack of formality in remote hearings during COVID-19, albeit in the Court of Protection rather than the Administrative Court, see: C. Kitzinger, ‘Remote justice: a family perspective’ (Trans</w:t>
      </w:r>
      <w:r w:rsidR="0094003B" w:rsidRPr="000C4873">
        <w:rPr>
          <w:rFonts w:ascii="Athelas" w:hAnsi="Athelas"/>
        </w:rPr>
        <w:t>parency Project, 29 March 2020) &lt;www.transparencyproject.org.uk/remote-justice-a-family-perspective&gt;.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E214E"/>
    <w:multiLevelType w:val="hybridMultilevel"/>
    <w:tmpl w:val="A968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F7C"/>
    <w:rsid w:val="00023A9D"/>
    <w:rsid w:val="00023E61"/>
    <w:rsid w:val="000319E1"/>
    <w:rsid w:val="0003437E"/>
    <w:rsid w:val="00037093"/>
    <w:rsid w:val="00041198"/>
    <w:rsid w:val="00051252"/>
    <w:rsid w:val="000539B6"/>
    <w:rsid w:val="00057791"/>
    <w:rsid w:val="00060ED2"/>
    <w:rsid w:val="00063646"/>
    <w:rsid w:val="000701DD"/>
    <w:rsid w:val="00074D5C"/>
    <w:rsid w:val="000828E7"/>
    <w:rsid w:val="00087E63"/>
    <w:rsid w:val="00093592"/>
    <w:rsid w:val="000B016C"/>
    <w:rsid w:val="000B2DB1"/>
    <w:rsid w:val="000B5570"/>
    <w:rsid w:val="000B76BF"/>
    <w:rsid w:val="000C4461"/>
    <w:rsid w:val="000C4873"/>
    <w:rsid w:val="000D383F"/>
    <w:rsid w:val="000E161D"/>
    <w:rsid w:val="000E5D1F"/>
    <w:rsid w:val="000F7754"/>
    <w:rsid w:val="000F7E42"/>
    <w:rsid w:val="001117C3"/>
    <w:rsid w:val="00112457"/>
    <w:rsid w:val="0011494E"/>
    <w:rsid w:val="00121501"/>
    <w:rsid w:val="00123A7A"/>
    <w:rsid w:val="00134BCE"/>
    <w:rsid w:val="00140BF9"/>
    <w:rsid w:val="0015265A"/>
    <w:rsid w:val="00156456"/>
    <w:rsid w:val="00165532"/>
    <w:rsid w:val="001736A3"/>
    <w:rsid w:val="00176165"/>
    <w:rsid w:val="0019442C"/>
    <w:rsid w:val="00195A74"/>
    <w:rsid w:val="001A2CF6"/>
    <w:rsid w:val="001A60A5"/>
    <w:rsid w:val="001A6D54"/>
    <w:rsid w:val="001B1C94"/>
    <w:rsid w:val="001B702E"/>
    <w:rsid w:val="001C0595"/>
    <w:rsid w:val="001C51CB"/>
    <w:rsid w:val="001D649B"/>
    <w:rsid w:val="001E0C53"/>
    <w:rsid w:val="001E52F9"/>
    <w:rsid w:val="001E6B2A"/>
    <w:rsid w:val="001F124F"/>
    <w:rsid w:val="001F7FC9"/>
    <w:rsid w:val="00207B6F"/>
    <w:rsid w:val="00210DC5"/>
    <w:rsid w:val="00213758"/>
    <w:rsid w:val="00221E06"/>
    <w:rsid w:val="00224175"/>
    <w:rsid w:val="00227A3D"/>
    <w:rsid w:val="00231854"/>
    <w:rsid w:val="0025783D"/>
    <w:rsid w:val="00263F5C"/>
    <w:rsid w:val="00271054"/>
    <w:rsid w:val="0027407B"/>
    <w:rsid w:val="0029523D"/>
    <w:rsid w:val="002C01CC"/>
    <w:rsid w:val="002C06B0"/>
    <w:rsid w:val="002C79D0"/>
    <w:rsid w:val="002D6614"/>
    <w:rsid w:val="002E7D52"/>
    <w:rsid w:val="003021E3"/>
    <w:rsid w:val="003120F6"/>
    <w:rsid w:val="00312440"/>
    <w:rsid w:val="00314DE9"/>
    <w:rsid w:val="00324D35"/>
    <w:rsid w:val="0032798E"/>
    <w:rsid w:val="00332280"/>
    <w:rsid w:val="00334B3E"/>
    <w:rsid w:val="00334B49"/>
    <w:rsid w:val="00335773"/>
    <w:rsid w:val="00335B45"/>
    <w:rsid w:val="00342D89"/>
    <w:rsid w:val="0034469A"/>
    <w:rsid w:val="00345284"/>
    <w:rsid w:val="00346FBE"/>
    <w:rsid w:val="00354243"/>
    <w:rsid w:val="00365952"/>
    <w:rsid w:val="00367BBB"/>
    <w:rsid w:val="0039149B"/>
    <w:rsid w:val="003924A0"/>
    <w:rsid w:val="003C0DC6"/>
    <w:rsid w:val="003C46EB"/>
    <w:rsid w:val="003C76AE"/>
    <w:rsid w:val="003F3D1B"/>
    <w:rsid w:val="003F48AD"/>
    <w:rsid w:val="004018B1"/>
    <w:rsid w:val="00411D4E"/>
    <w:rsid w:val="00430583"/>
    <w:rsid w:val="004320C4"/>
    <w:rsid w:val="0044286B"/>
    <w:rsid w:val="004454D8"/>
    <w:rsid w:val="00446439"/>
    <w:rsid w:val="00447370"/>
    <w:rsid w:val="00447A2A"/>
    <w:rsid w:val="00495E90"/>
    <w:rsid w:val="00496038"/>
    <w:rsid w:val="004A0671"/>
    <w:rsid w:val="004A2763"/>
    <w:rsid w:val="004C1EBA"/>
    <w:rsid w:val="004F10E1"/>
    <w:rsid w:val="00500125"/>
    <w:rsid w:val="005068F1"/>
    <w:rsid w:val="00514230"/>
    <w:rsid w:val="005233AD"/>
    <w:rsid w:val="005252E3"/>
    <w:rsid w:val="00526820"/>
    <w:rsid w:val="00533CD6"/>
    <w:rsid w:val="00562FCD"/>
    <w:rsid w:val="00564F28"/>
    <w:rsid w:val="005756FD"/>
    <w:rsid w:val="0057721B"/>
    <w:rsid w:val="00577FE5"/>
    <w:rsid w:val="00582718"/>
    <w:rsid w:val="005A2CD1"/>
    <w:rsid w:val="005A521B"/>
    <w:rsid w:val="005C2F1B"/>
    <w:rsid w:val="005D536A"/>
    <w:rsid w:val="005D5474"/>
    <w:rsid w:val="005F07E5"/>
    <w:rsid w:val="005F4F57"/>
    <w:rsid w:val="006105F3"/>
    <w:rsid w:val="00611AD0"/>
    <w:rsid w:val="006145A2"/>
    <w:rsid w:val="0061622C"/>
    <w:rsid w:val="00633EB5"/>
    <w:rsid w:val="0066207F"/>
    <w:rsid w:val="00670B0A"/>
    <w:rsid w:val="00672174"/>
    <w:rsid w:val="00672D13"/>
    <w:rsid w:val="00674625"/>
    <w:rsid w:val="00674977"/>
    <w:rsid w:val="00681541"/>
    <w:rsid w:val="00682626"/>
    <w:rsid w:val="00682832"/>
    <w:rsid w:val="006966B7"/>
    <w:rsid w:val="006C2444"/>
    <w:rsid w:val="006C2A00"/>
    <w:rsid w:val="006C6573"/>
    <w:rsid w:val="006C7309"/>
    <w:rsid w:val="006C74EE"/>
    <w:rsid w:val="006D7A31"/>
    <w:rsid w:val="006E585B"/>
    <w:rsid w:val="006F498D"/>
    <w:rsid w:val="006F59DC"/>
    <w:rsid w:val="00705AE5"/>
    <w:rsid w:val="00714350"/>
    <w:rsid w:val="00724C3A"/>
    <w:rsid w:val="00726574"/>
    <w:rsid w:val="007266ED"/>
    <w:rsid w:val="00734E98"/>
    <w:rsid w:val="00737476"/>
    <w:rsid w:val="007409A9"/>
    <w:rsid w:val="0074433C"/>
    <w:rsid w:val="00750849"/>
    <w:rsid w:val="00751467"/>
    <w:rsid w:val="0077154A"/>
    <w:rsid w:val="00783710"/>
    <w:rsid w:val="00787B55"/>
    <w:rsid w:val="007A5E2E"/>
    <w:rsid w:val="007B0819"/>
    <w:rsid w:val="007B2FCF"/>
    <w:rsid w:val="007C0DC7"/>
    <w:rsid w:val="007E6CC7"/>
    <w:rsid w:val="007E7DC8"/>
    <w:rsid w:val="007F3563"/>
    <w:rsid w:val="007F674C"/>
    <w:rsid w:val="007F7B16"/>
    <w:rsid w:val="0081117A"/>
    <w:rsid w:val="008170DE"/>
    <w:rsid w:val="0083029A"/>
    <w:rsid w:val="00830C5B"/>
    <w:rsid w:val="00832D70"/>
    <w:rsid w:val="00833979"/>
    <w:rsid w:val="00852293"/>
    <w:rsid w:val="008569A1"/>
    <w:rsid w:val="00865A40"/>
    <w:rsid w:val="00877D4A"/>
    <w:rsid w:val="00884886"/>
    <w:rsid w:val="00892BD9"/>
    <w:rsid w:val="00892D9F"/>
    <w:rsid w:val="008A0C90"/>
    <w:rsid w:val="008A5C2F"/>
    <w:rsid w:val="008B1DAC"/>
    <w:rsid w:val="008B5F7D"/>
    <w:rsid w:val="008D123D"/>
    <w:rsid w:val="008D508A"/>
    <w:rsid w:val="008E0A60"/>
    <w:rsid w:val="008E44FE"/>
    <w:rsid w:val="008E5A4B"/>
    <w:rsid w:val="008F148D"/>
    <w:rsid w:val="008F18BC"/>
    <w:rsid w:val="008F6F58"/>
    <w:rsid w:val="009027D8"/>
    <w:rsid w:val="00913E9F"/>
    <w:rsid w:val="009241AE"/>
    <w:rsid w:val="009370FF"/>
    <w:rsid w:val="0094003B"/>
    <w:rsid w:val="009459E0"/>
    <w:rsid w:val="00945FB0"/>
    <w:rsid w:val="0095007D"/>
    <w:rsid w:val="009543BA"/>
    <w:rsid w:val="00964D0A"/>
    <w:rsid w:val="00972BDC"/>
    <w:rsid w:val="00972D5A"/>
    <w:rsid w:val="00975B0D"/>
    <w:rsid w:val="0098289B"/>
    <w:rsid w:val="009859D4"/>
    <w:rsid w:val="0098736D"/>
    <w:rsid w:val="009A4247"/>
    <w:rsid w:val="009B1910"/>
    <w:rsid w:val="009B5E54"/>
    <w:rsid w:val="009D7CF2"/>
    <w:rsid w:val="009E04F5"/>
    <w:rsid w:val="009F2E47"/>
    <w:rsid w:val="009F3F49"/>
    <w:rsid w:val="009F52FD"/>
    <w:rsid w:val="009F7525"/>
    <w:rsid w:val="00A00F8B"/>
    <w:rsid w:val="00A0661F"/>
    <w:rsid w:val="00A107F0"/>
    <w:rsid w:val="00A201AF"/>
    <w:rsid w:val="00A2379F"/>
    <w:rsid w:val="00A34C96"/>
    <w:rsid w:val="00A36DEF"/>
    <w:rsid w:val="00A41F9F"/>
    <w:rsid w:val="00A51B2B"/>
    <w:rsid w:val="00A5680C"/>
    <w:rsid w:val="00A60004"/>
    <w:rsid w:val="00A603AD"/>
    <w:rsid w:val="00A64888"/>
    <w:rsid w:val="00A6671F"/>
    <w:rsid w:val="00A66B0C"/>
    <w:rsid w:val="00A736FE"/>
    <w:rsid w:val="00A80E63"/>
    <w:rsid w:val="00A816FD"/>
    <w:rsid w:val="00A917E8"/>
    <w:rsid w:val="00AA0E21"/>
    <w:rsid w:val="00AB25D2"/>
    <w:rsid w:val="00AB4B3F"/>
    <w:rsid w:val="00AB503B"/>
    <w:rsid w:val="00AC1BD6"/>
    <w:rsid w:val="00AC7C86"/>
    <w:rsid w:val="00AE2DB3"/>
    <w:rsid w:val="00AF1BB0"/>
    <w:rsid w:val="00B007E9"/>
    <w:rsid w:val="00B176CF"/>
    <w:rsid w:val="00B21C6F"/>
    <w:rsid w:val="00B35E5E"/>
    <w:rsid w:val="00B426BF"/>
    <w:rsid w:val="00B47A30"/>
    <w:rsid w:val="00B666C1"/>
    <w:rsid w:val="00B67097"/>
    <w:rsid w:val="00B6778F"/>
    <w:rsid w:val="00B80B41"/>
    <w:rsid w:val="00B832CB"/>
    <w:rsid w:val="00B863D3"/>
    <w:rsid w:val="00B86DAB"/>
    <w:rsid w:val="00B90D08"/>
    <w:rsid w:val="00BA7EA6"/>
    <w:rsid w:val="00BB2AAD"/>
    <w:rsid w:val="00BC088D"/>
    <w:rsid w:val="00BC785F"/>
    <w:rsid w:val="00BD58D4"/>
    <w:rsid w:val="00BE2101"/>
    <w:rsid w:val="00BF0AF0"/>
    <w:rsid w:val="00BF7200"/>
    <w:rsid w:val="00C142F2"/>
    <w:rsid w:val="00C16B56"/>
    <w:rsid w:val="00C16C05"/>
    <w:rsid w:val="00C25E3C"/>
    <w:rsid w:val="00C31256"/>
    <w:rsid w:val="00C37F43"/>
    <w:rsid w:val="00C4441A"/>
    <w:rsid w:val="00C53EB7"/>
    <w:rsid w:val="00C603D9"/>
    <w:rsid w:val="00C75A0F"/>
    <w:rsid w:val="00C940D1"/>
    <w:rsid w:val="00C9438A"/>
    <w:rsid w:val="00CC5ED0"/>
    <w:rsid w:val="00CE083F"/>
    <w:rsid w:val="00CE10D1"/>
    <w:rsid w:val="00CF0679"/>
    <w:rsid w:val="00CF1DF5"/>
    <w:rsid w:val="00D01BA2"/>
    <w:rsid w:val="00D07C88"/>
    <w:rsid w:val="00D10002"/>
    <w:rsid w:val="00D13A85"/>
    <w:rsid w:val="00D152C8"/>
    <w:rsid w:val="00D156F6"/>
    <w:rsid w:val="00D158BD"/>
    <w:rsid w:val="00D2686E"/>
    <w:rsid w:val="00D519F5"/>
    <w:rsid w:val="00D547BD"/>
    <w:rsid w:val="00D552B2"/>
    <w:rsid w:val="00D606B7"/>
    <w:rsid w:val="00D95F37"/>
    <w:rsid w:val="00DB0837"/>
    <w:rsid w:val="00DC46E5"/>
    <w:rsid w:val="00DC6182"/>
    <w:rsid w:val="00DC752C"/>
    <w:rsid w:val="00DF3036"/>
    <w:rsid w:val="00DF3571"/>
    <w:rsid w:val="00E05DB5"/>
    <w:rsid w:val="00E13101"/>
    <w:rsid w:val="00E1336C"/>
    <w:rsid w:val="00E20892"/>
    <w:rsid w:val="00E23B1F"/>
    <w:rsid w:val="00E263BB"/>
    <w:rsid w:val="00E27F7C"/>
    <w:rsid w:val="00E344BA"/>
    <w:rsid w:val="00E5022D"/>
    <w:rsid w:val="00E50CB9"/>
    <w:rsid w:val="00E6374C"/>
    <w:rsid w:val="00E677E0"/>
    <w:rsid w:val="00E72282"/>
    <w:rsid w:val="00E778EA"/>
    <w:rsid w:val="00E9239F"/>
    <w:rsid w:val="00E923FF"/>
    <w:rsid w:val="00E95A57"/>
    <w:rsid w:val="00EA0EFB"/>
    <w:rsid w:val="00EB0634"/>
    <w:rsid w:val="00EE7B44"/>
    <w:rsid w:val="00EF0F24"/>
    <w:rsid w:val="00EF3FF2"/>
    <w:rsid w:val="00EF7619"/>
    <w:rsid w:val="00F014E0"/>
    <w:rsid w:val="00F02C72"/>
    <w:rsid w:val="00F03821"/>
    <w:rsid w:val="00F06884"/>
    <w:rsid w:val="00F10188"/>
    <w:rsid w:val="00F1187B"/>
    <w:rsid w:val="00F233FD"/>
    <w:rsid w:val="00F26B45"/>
    <w:rsid w:val="00F33E23"/>
    <w:rsid w:val="00F4253B"/>
    <w:rsid w:val="00F43C1E"/>
    <w:rsid w:val="00F449AA"/>
    <w:rsid w:val="00F478A8"/>
    <w:rsid w:val="00F52BD8"/>
    <w:rsid w:val="00F62630"/>
    <w:rsid w:val="00F62BB0"/>
    <w:rsid w:val="00F636BF"/>
    <w:rsid w:val="00F66625"/>
    <w:rsid w:val="00F74D83"/>
    <w:rsid w:val="00F75D46"/>
    <w:rsid w:val="00F91C60"/>
    <w:rsid w:val="00F92714"/>
    <w:rsid w:val="00FA5ADD"/>
    <w:rsid w:val="00FB0CF0"/>
    <w:rsid w:val="00FB0D0A"/>
    <w:rsid w:val="00FC7438"/>
    <w:rsid w:val="00FD3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ED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1F9F"/>
    <w:pPr>
      <w:spacing w:after="0" w:line="276" w:lineRule="auto"/>
      <w:jc w:val="center"/>
      <w:outlineLvl w:val="0"/>
    </w:pPr>
    <w:rPr>
      <w:rFonts w:ascii="Baskerville" w:hAnsi="Baskerville"/>
      <w:smallCaps/>
      <w:sz w:val="28"/>
      <w:szCs w:val="24"/>
      <w:lang w:val="en-AU"/>
    </w:rPr>
  </w:style>
  <w:style w:type="paragraph" w:styleId="Heading4">
    <w:name w:val="heading 4"/>
    <w:basedOn w:val="Normal"/>
    <w:next w:val="Normal"/>
    <w:link w:val="Heading4Char"/>
    <w:uiPriority w:val="9"/>
    <w:semiHidden/>
    <w:unhideWhenUsed/>
    <w:qFormat/>
    <w:rsid w:val="00D2686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0D1"/>
    <w:pPr>
      <w:ind w:left="720"/>
      <w:contextualSpacing/>
    </w:pPr>
  </w:style>
  <w:style w:type="paragraph" w:styleId="FootnoteText">
    <w:name w:val="footnote text"/>
    <w:basedOn w:val="Normal"/>
    <w:link w:val="FootnoteTextChar"/>
    <w:uiPriority w:val="99"/>
    <w:unhideWhenUsed/>
    <w:rsid w:val="008569A1"/>
    <w:pPr>
      <w:spacing w:after="0" w:line="240" w:lineRule="auto"/>
    </w:pPr>
    <w:rPr>
      <w:sz w:val="20"/>
      <w:szCs w:val="20"/>
    </w:rPr>
  </w:style>
  <w:style w:type="character" w:customStyle="1" w:styleId="FootnoteTextChar">
    <w:name w:val="Footnote Text Char"/>
    <w:basedOn w:val="DefaultParagraphFont"/>
    <w:link w:val="FootnoteText"/>
    <w:uiPriority w:val="99"/>
    <w:rsid w:val="008569A1"/>
    <w:rPr>
      <w:sz w:val="20"/>
      <w:szCs w:val="20"/>
    </w:rPr>
  </w:style>
  <w:style w:type="character" w:styleId="FootnoteReference">
    <w:name w:val="footnote reference"/>
    <w:basedOn w:val="DefaultParagraphFont"/>
    <w:uiPriority w:val="99"/>
    <w:unhideWhenUsed/>
    <w:rsid w:val="008569A1"/>
    <w:rPr>
      <w:vertAlign w:val="superscript"/>
    </w:rPr>
  </w:style>
  <w:style w:type="character" w:styleId="Hyperlink">
    <w:name w:val="Hyperlink"/>
    <w:basedOn w:val="DefaultParagraphFont"/>
    <w:uiPriority w:val="99"/>
    <w:unhideWhenUsed/>
    <w:rsid w:val="0083029A"/>
    <w:rPr>
      <w:color w:val="0563C1" w:themeColor="hyperlink"/>
      <w:u w:val="single"/>
    </w:rPr>
  </w:style>
  <w:style w:type="paragraph" w:styleId="Header">
    <w:name w:val="header"/>
    <w:basedOn w:val="Normal"/>
    <w:link w:val="HeaderChar"/>
    <w:uiPriority w:val="99"/>
    <w:unhideWhenUsed/>
    <w:rsid w:val="00633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EB5"/>
  </w:style>
  <w:style w:type="paragraph" w:styleId="Footer">
    <w:name w:val="footer"/>
    <w:basedOn w:val="Normal"/>
    <w:link w:val="FooterChar"/>
    <w:uiPriority w:val="99"/>
    <w:unhideWhenUsed/>
    <w:rsid w:val="00633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EB5"/>
  </w:style>
  <w:style w:type="table" w:styleId="TableGrid">
    <w:name w:val="Table Grid"/>
    <w:basedOn w:val="TableNormal"/>
    <w:uiPriority w:val="39"/>
    <w:rsid w:val="00EB0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C74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74EE"/>
    <w:rPr>
      <w:sz w:val="20"/>
      <w:szCs w:val="20"/>
    </w:rPr>
  </w:style>
  <w:style w:type="character" w:styleId="EndnoteReference">
    <w:name w:val="endnote reference"/>
    <w:basedOn w:val="DefaultParagraphFont"/>
    <w:uiPriority w:val="99"/>
    <w:semiHidden/>
    <w:unhideWhenUsed/>
    <w:rsid w:val="006C74EE"/>
    <w:rPr>
      <w:vertAlign w:val="superscript"/>
    </w:rPr>
  </w:style>
  <w:style w:type="character" w:customStyle="1" w:styleId="Heading1Char">
    <w:name w:val="Heading 1 Char"/>
    <w:basedOn w:val="DefaultParagraphFont"/>
    <w:link w:val="Heading1"/>
    <w:uiPriority w:val="9"/>
    <w:rsid w:val="00A41F9F"/>
    <w:rPr>
      <w:rFonts w:ascii="Baskerville" w:hAnsi="Baskerville"/>
      <w:smallCaps/>
      <w:sz w:val="28"/>
      <w:szCs w:val="24"/>
      <w:lang w:val="en-AU"/>
    </w:rPr>
  </w:style>
  <w:style w:type="paragraph" w:styleId="DocumentMap">
    <w:name w:val="Document Map"/>
    <w:basedOn w:val="Normal"/>
    <w:link w:val="DocumentMapChar"/>
    <w:uiPriority w:val="99"/>
    <w:semiHidden/>
    <w:unhideWhenUsed/>
    <w:rsid w:val="00E131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13101"/>
    <w:rPr>
      <w:rFonts w:ascii="Times New Roman" w:hAnsi="Times New Roman" w:cs="Times New Roman"/>
      <w:sz w:val="24"/>
      <w:szCs w:val="24"/>
    </w:rPr>
  </w:style>
  <w:style w:type="paragraph" w:styleId="NormalWeb">
    <w:name w:val="Normal (Web)"/>
    <w:basedOn w:val="Normal"/>
    <w:uiPriority w:val="99"/>
    <w:unhideWhenUsed/>
    <w:rsid w:val="00CE083F"/>
    <w:pPr>
      <w:spacing w:before="100" w:beforeAutospacing="1" w:after="100" w:afterAutospacing="1" w:line="240" w:lineRule="auto"/>
    </w:pPr>
    <w:rPr>
      <w:rFonts w:ascii="Times New Roman" w:hAnsi="Times New Roman" w:cs="Times New Roman"/>
      <w:sz w:val="24"/>
      <w:szCs w:val="24"/>
      <w:lang w:val="en-US"/>
    </w:rPr>
  </w:style>
  <w:style w:type="character" w:customStyle="1" w:styleId="personname">
    <w:name w:val="person_name"/>
    <w:basedOn w:val="DefaultParagraphFont"/>
    <w:rsid w:val="00726574"/>
  </w:style>
  <w:style w:type="character" w:customStyle="1" w:styleId="Heading4Char">
    <w:name w:val="Heading 4 Char"/>
    <w:basedOn w:val="DefaultParagraphFont"/>
    <w:link w:val="Heading4"/>
    <w:uiPriority w:val="9"/>
    <w:semiHidden/>
    <w:rsid w:val="00D2686E"/>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D2686E"/>
    <w:rPr>
      <w:b/>
      <w:bCs/>
    </w:rPr>
  </w:style>
  <w:style w:type="paragraph" w:styleId="BalloonText">
    <w:name w:val="Balloon Text"/>
    <w:basedOn w:val="Normal"/>
    <w:link w:val="BalloonTextChar"/>
    <w:uiPriority w:val="99"/>
    <w:semiHidden/>
    <w:unhideWhenUsed/>
    <w:rsid w:val="00744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33C"/>
    <w:rPr>
      <w:rFonts w:ascii="Segoe UI" w:hAnsi="Segoe UI" w:cs="Segoe UI"/>
      <w:sz w:val="18"/>
      <w:szCs w:val="18"/>
    </w:rPr>
  </w:style>
  <w:style w:type="character" w:styleId="CommentReference">
    <w:name w:val="annotation reference"/>
    <w:basedOn w:val="DefaultParagraphFont"/>
    <w:uiPriority w:val="99"/>
    <w:semiHidden/>
    <w:unhideWhenUsed/>
    <w:rsid w:val="008B1DAC"/>
    <w:rPr>
      <w:sz w:val="18"/>
      <w:szCs w:val="18"/>
    </w:rPr>
  </w:style>
  <w:style w:type="paragraph" w:styleId="CommentText">
    <w:name w:val="annotation text"/>
    <w:basedOn w:val="Normal"/>
    <w:link w:val="CommentTextChar"/>
    <w:uiPriority w:val="99"/>
    <w:semiHidden/>
    <w:unhideWhenUsed/>
    <w:rsid w:val="008B1DAC"/>
    <w:pPr>
      <w:spacing w:line="240" w:lineRule="auto"/>
    </w:pPr>
    <w:rPr>
      <w:sz w:val="24"/>
      <w:szCs w:val="24"/>
    </w:rPr>
  </w:style>
  <w:style w:type="character" w:customStyle="1" w:styleId="CommentTextChar">
    <w:name w:val="Comment Text Char"/>
    <w:basedOn w:val="DefaultParagraphFont"/>
    <w:link w:val="CommentText"/>
    <w:uiPriority w:val="99"/>
    <w:semiHidden/>
    <w:rsid w:val="008B1DAC"/>
    <w:rPr>
      <w:sz w:val="24"/>
      <w:szCs w:val="24"/>
    </w:rPr>
  </w:style>
  <w:style w:type="paragraph" w:styleId="CommentSubject">
    <w:name w:val="annotation subject"/>
    <w:basedOn w:val="CommentText"/>
    <w:next w:val="CommentText"/>
    <w:link w:val="CommentSubjectChar"/>
    <w:uiPriority w:val="99"/>
    <w:semiHidden/>
    <w:unhideWhenUsed/>
    <w:rsid w:val="008B1DAC"/>
    <w:rPr>
      <w:b/>
      <w:bCs/>
      <w:sz w:val="20"/>
      <w:szCs w:val="20"/>
    </w:rPr>
  </w:style>
  <w:style w:type="character" w:customStyle="1" w:styleId="CommentSubjectChar">
    <w:name w:val="Comment Subject Char"/>
    <w:basedOn w:val="CommentTextChar"/>
    <w:link w:val="CommentSubject"/>
    <w:uiPriority w:val="99"/>
    <w:semiHidden/>
    <w:rsid w:val="008B1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8592">
      <w:bodyDiv w:val="1"/>
      <w:marLeft w:val="0"/>
      <w:marRight w:val="0"/>
      <w:marTop w:val="0"/>
      <w:marBottom w:val="0"/>
      <w:divBdr>
        <w:top w:val="none" w:sz="0" w:space="0" w:color="auto"/>
        <w:left w:val="none" w:sz="0" w:space="0" w:color="auto"/>
        <w:bottom w:val="none" w:sz="0" w:space="0" w:color="auto"/>
        <w:right w:val="none" w:sz="0" w:space="0" w:color="auto"/>
      </w:divBdr>
    </w:div>
    <w:div w:id="202063193">
      <w:bodyDiv w:val="1"/>
      <w:marLeft w:val="0"/>
      <w:marRight w:val="0"/>
      <w:marTop w:val="0"/>
      <w:marBottom w:val="0"/>
      <w:divBdr>
        <w:top w:val="none" w:sz="0" w:space="0" w:color="auto"/>
        <w:left w:val="none" w:sz="0" w:space="0" w:color="auto"/>
        <w:bottom w:val="none" w:sz="0" w:space="0" w:color="auto"/>
        <w:right w:val="none" w:sz="0" w:space="0" w:color="auto"/>
      </w:divBdr>
    </w:div>
    <w:div w:id="204683725">
      <w:bodyDiv w:val="1"/>
      <w:marLeft w:val="0"/>
      <w:marRight w:val="0"/>
      <w:marTop w:val="0"/>
      <w:marBottom w:val="0"/>
      <w:divBdr>
        <w:top w:val="none" w:sz="0" w:space="0" w:color="auto"/>
        <w:left w:val="none" w:sz="0" w:space="0" w:color="auto"/>
        <w:bottom w:val="none" w:sz="0" w:space="0" w:color="auto"/>
        <w:right w:val="none" w:sz="0" w:space="0" w:color="auto"/>
      </w:divBdr>
    </w:div>
    <w:div w:id="248582593">
      <w:bodyDiv w:val="1"/>
      <w:marLeft w:val="0"/>
      <w:marRight w:val="0"/>
      <w:marTop w:val="0"/>
      <w:marBottom w:val="0"/>
      <w:divBdr>
        <w:top w:val="none" w:sz="0" w:space="0" w:color="auto"/>
        <w:left w:val="none" w:sz="0" w:space="0" w:color="auto"/>
        <w:bottom w:val="none" w:sz="0" w:space="0" w:color="auto"/>
        <w:right w:val="none" w:sz="0" w:space="0" w:color="auto"/>
      </w:divBdr>
    </w:div>
    <w:div w:id="277683632">
      <w:bodyDiv w:val="1"/>
      <w:marLeft w:val="0"/>
      <w:marRight w:val="0"/>
      <w:marTop w:val="0"/>
      <w:marBottom w:val="0"/>
      <w:divBdr>
        <w:top w:val="none" w:sz="0" w:space="0" w:color="auto"/>
        <w:left w:val="none" w:sz="0" w:space="0" w:color="auto"/>
        <w:bottom w:val="none" w:sz="0" w:space="0" w:color="auto"/>
        <w:right w:val="none" w:sz="0" w:space="0" w:color="auto"/>
      </w:divBdr>
    </w:div>
    <w:div w:id="368065824">
      <w:bodyDiv w:val="1"/>
      <w:marLeft w:val="0"/>
      <w:marRight w:val="0"/>
      <w:marTop w:val="0"/>
      <w:marBottom w:val="0"/>
      <w:divBdr>
        <w:top w:val="none" w:sz="0" w:space="0" w:color="auto"/>
        <w:left w:val="none" w:sz="0" w:space="0" w:color="auto"/>
        <w:bottom w:val="none" w:sz="0" w:space="0" w:color="auto"/>
        <w:right w:val="none" w:sz="0" w:space="0" w:color="auto"/>
      </w:divBdr>
    </w:div>
    <w:div w:id="447043625">
      <w:bodyDiv w:val="1"/>
      <w:marLeft w:val="0"/>
      <w:marRight w:val="0"/>
      <w:marTop w:val="0"/>
      <w:marBottom w:val="0"/>
      <w:divBdr>
        <w:top w:val="none" w:sz="0" w:space="0" w:color="auto"/>
        <w:left w:val="none" w:sz="0" w:space="0" w:color="auto"/>
        <w:bottom w:val="none" w:sz="0" w:space="0" w:color="auto"/>
        <w:right w:val="none" w:sz="0" w:space="0" w:color="auto"/>
      </w:divBdr>
    </w:div>
    <w:div w:id="672687164">
      <w:bodyDiv w:val="1"/>
      <w:marLeft w:val="0"/>
      <w:marRight w:val="0"/>
      <w:marTop w:val="0"/>
      <w:marBottom w:val="0"/>
      <w:divBdr>
        <w:top w:val="none" w:sz="0" w:space="0" w:color="auto"/>
        <w:left w:val="none" w:sz="0" w:space="0" w:color="auto"/>
        <w:bottom w:val="none" w:sz="0" w:space="0" w:color="auto"/>
        <w:right w:val="none" w:sz="0" w:space="0" w:color="auto"/>
      </w:divBdr>
    </w:div>
    <w:div w:id="719061769">
      <w:bodyDiv w:val="1"/>
      <w:marLeft w:val="0"/>
      <w:marRight w:val="0"/>
      <w:marTop w:val="0"/>
      <w:marBottom w:val="0"/>
      <w:divBdr>
        <w:top w:val="none" w:sz="0" w:space="0" w:color="auto"/>
        <w:left w:val="none" w:sz="0" w:space="0" w:color="auto"/>
        <w:bottom w:val="none" w:sz="0" w:space="0" w:color="auto"/>
        <w:right w:val="none" w:sz="0" w:space="0" w:color="auto"/>
      </w:divBdr>
    </w:div>
    <w:div w:id="735591390">
      <w:bodyDiv w:val="1"/>
      <w:marLeft w:val="0"/>
      <w:marRight w:val="0"/>
      <w:marTop w:val="0"/>
      <w:marBottom w:val="0"/>
      <w:divBdr>
        <w:top w:val="none" w:sz="0" w:space="0" w:color="auto"/>
        <w:left w:val="none" w:sz="0" w:space="0" w:color="auto"/>
        <w:bottom w:val="none" w:sz="0" w:space="0" w:color="auto"/>
        <w:right w:val="none" w:sz="0" w:space="0" w:color="auto"/>
      </w:divBdr>
    </w:div>
    <w:div w:id="768424710">
      <w:bodyDiv w:val="1"/>
      <w:marLeft w:val="0"/>
      <w:marRight w:val="0"/>
      <w:marTop w:val="0"/>
      <w:marBottom w:val="0"/>
      <w:divBdr>
        <w:top w:val="none" w:sz="0" w:space="0" w:color="auto"/>
        <w:left w:val="none" w:sz="0" w:space="0" w:color="auto"/>
        <w:bottom w:val="none" w:sz="0" w:space="0" w:color="auto"/>
        <w:right w:val="none" w:sz="0" w:space="0" w:color="auto"/>
      </w:divBdr>
    </w:div>
    <w:div w:id="824010990">
      <w:bodyDiv w:val="1"/>
      <w:marLeft w:val="0"/>
      <w:marRight w:val="0"/>
      <w:marTop w:val="0"/>
      <w:marBottom w:val="0"/>
      <w:divBdr>
        <w:top w:val="none" w:sz="0" w:space="0" w:color="auto"/>
        <w:left w:val="none" w:sz="0" w:space="0" w:color="auto"/>
        <w:bottom w:val="none" w:sz="0" w:space="0" w:color="auto"/>
        <w:right w:val="none" w:sz="0" w:space="0" w:color="auto"/>
      </w:divBdr>
    </w:div>
    <w:div w:id="824053774">
      <w:bodyDiv w:val="1"/>
      <w:marLeft w:val="0"/>
      <w:marRight w:val="0"/>
      <w:marTop w:val="0"/>
      <w:marBottom w:val="0"/>
      <w:divBdr>
        <w:top w:val="none" w:sz="0" w:space="0" w:color="auto"/>
        <w:left w:val="none" w:sz="0" w:space="0" w:color="auto"/>
        <w:bottom w:val="none" w:sz="0" w:space="0" w:color="auto"/>
        <w:right w:val="none" w:sz="0" w:space="0" w:color="auto"/>
      </w:divBdr>
    </w:div>
    <w:div w:id="909845270">
      <w:bodyDiv w:val="1"/>
      <w:marLeft w:val="0"/>
      <w:marRight w:val="0"/>
      <w:marTop w:val="0"/>
      <w:marBottom w:val="0"/>
      <w:divBdr>
        <w:top w:val="none" w:sz="0" w:space="0" w:color="auto"/>
        <w:left w:val="none" w:sz="0" w:space="0" w:color="auto"/>
        <w:bottom w:val="none" w:sz="0" w:space="0" w:color="auto"/>
        <w:right w:val="none" w:sz="0" w:space="0" w:color="auto"/>
      </w:divBdr>
    </w:div>
    <w:div w:id="1688210025">
      <w:bodyDiv w:val="1"/>
      <w:marLeft w:val="0"/>
      <w:marRight w:val="0"/>
      <w:marTop w:val="0"/>
      <w:marBottom w:val="0"/>
      <w:divBdr>
        <w:top w:val="none" w:sz="0" w:space="0" w:color="auto"/>
        <w:left w:val="none" w:sz="0" w:space="0" w:color="auto"/>
        <w:bottom w:val="none" w:sz="0" w:space="0" w:color="auto"/>
        <w:right w:val="none" w:sz="0" w:space="0" w:color="auto"/>
      </w:divBdr>
    </w:div>
    <w:div w:id="1942952505">
      <w:bodyDiv w:val="1"/>
      <w:marLeft w:val="0"/>
      <w:marRight w:val="0"/>
      <w:marTop w:val="0"/>
      <w:marBottom w:val="0"/>
      <w:divBdr>
        <w:top w:val="none" w:sz="0" w:space="0" w:color="auto"/>
        <w:left w:val="none" w:sz="0" w:space="0" w:color="auto"/>
        <w:bottom w:val="none" w:sz="0" w:space="0" w:color="auto"/>
        <w:right w:val="none" w:sz="0" w:space="0" w:color="auto"/>
      </w:divBdr>
    </w:div>
    <w:div w:id="1945578341">
      <w:bodyDiv w:val="1"/>
      <w:marLeft w:val="0"/>
      <w:marRight w:val="0"/>
      <w:marTop w:val="0"/>
      <w:marBottom w:val="0"/>
      <w:divBdr>
        <w:top w:val="none" w:sz="0" w:space="0" w:color="auto"/>
        <w:left w:val="none" w:sz="0" w:space="0" w:color="auto"/>
        <w:bottom w:val="none" w:sz="0" w:space="0" w:color="auto"/>
        <w:right w:val="none" w:sz="0" w:space="0" w:color="auto"/>
      </w:divBdr>
    </w:div>
    <w:div w:id="198241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PLP-SRV04\Users%20Drive\Research\Judicial%20review%20statistics\200131%20-%20Judicial%20review%20statistics%202000-2019.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PLP-SRV04\Users%20Drive\Research\Judicial%20review%20statistics\200131%20-%20Judicial%20review%20statistics%202000-201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LP-SRV04\Users%20Drive\Research\Judicial%20review%20statistics\200131%20-%20Judicial%20review%20statistics%202000-2019.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thelas" panose="02000503000000020003"/>
                <a:ea typeface="+mn-ea"/>
                <a:cs typeface="+mn-cs"/>
              </a:defRPr>
            </a:pPr>
            <a:r>
              <a:rPr lang="en-GB"/>
              <a:t>Figure 1: Applications for judicial review in the Administrative Court (2014-2019)</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thelas" panose="02000503000000020003"/>
              <a:ea typeface="+mn-ea"/>
              <a:cs typeface="+mn-cs"/>
            </a:defRPr>
          </a:pPr>
          <a:endParaRPr lang="en-US"/>
        </a:p>
      </c:txPr>
    </c:title>
    <c:autoTitleDeleted val="0"/>
    <c:plotArea>
      <c:layout/>
      <c:lineChart>
        <c:grouping val="standard"/>
        <c:varyColors val="0"/>
        <c:ser>
          <c:idx val="0"/>
          <c:order val="0"/>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thelas" panose="02000503000000020003"/>
                    <a:ea typeface="+mn-ea"/>
                    <a:cs typeface="+mn-cs"/>
                  </a:defRPr>
                </a:pPr>
                <a:endParaRPr lang="en-US"/>
              </a:p>
            </c:txPr>
            <c:dLblPos val="b"/>
            <c:showLegendKey val="0"/>
            <c:showVal val="1"/>
            <c:showCatName val="0"/>
            <c:showSerName val="0"/>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'Simplified stats'!$A$2:$A$7</c:f>
              <c:numCache>
                <c:formatCode>General</c:formatCode>
                <c:ptCount val="6"/>
                <c:pt idx="0">
                  <c:v>2014</c:v>
                </c:pt>
                <c:pt idx="1">
                  <c:v>2015</c:v>
                </c:pt>
                <c:pt idx="2">
                  <c:v>2016</c:v>
                </c:pt>
                <c:pt idx="3">
                  <c:v>2017</c:v>
                </c:pt>
                <c:pt idx="4">
                  <c:v>2018</c:v>
                </c:pt>
                <c:pt idx="5">
                  <c:v>2019</c:v>
                </c:pt>
              </c:numCache>
            </c:numRef>
          </c:cat>
          <c:val>
            <c:numRef>
              <c:f>'Simplified stats'!$B$2:$B$7</c:f>
              <c:numCache>
                <c:formatCode>General</c:formatCode>
                <c:ptCount val="6"/>
                <c:pt idx="0">
                  <c:v>4065</c:v>
                </c:pt>
                <c:pt idx="1">
                  <c:v>4681</c:v>
                </c:pt>
                <c:pt idx="2">
                  <c:v>4301</c:v>
                </c:pt>
                <c:pt idx="3">
                  <c:v>4196</c:v>
                </c:pt>
                <c:pt idx="4">
                  <c:v>3595</c:v>
                </c:pt>
                <c:pt idx="5">
                  <c:v>3383</c:v>
                </c:pt>
              </c:numCache>
            </c:numRef>
          </c:val>
          <c:smooth val="0"/>
          <c:extLst>
            <c:ext xmlns:c16="http://schemas.microsoft.com/office/drawing/2014/chart" uri="{C3380CC4-5D6E-409C-BE32-E72D297353CC}">
              <c16:uniqueId val="{00000000-4091-44FE-A55A-8730E4776565}"/>
            </c:ext>
          </c:extLst>
        </c:ser>
        <c:dLbls>
          <c:showLegendKey val="0"/>
          <c:showVal val="1"/>
          <c:showCatName val="0"/>
          <c:showSerName val="0"/>
          <c:showPercent val="0"/>
          <c:showBubbleSize val="0"/>
        </c:dLbls>
        <c:marker val="1"/>
        <c:smooth val="0"/>
        <c:axId val="261754248"/>
        <c:axId val="261749328"/>
      </c:lineChart>
      <c:catAx>
        <c:axId val="261754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thelas" panose="02000503000000020003"/>
                <a:ea typeface="+mn-ea"/>
                <a:cs typeface="+mn-cs"/>
              </a:defRPr>
            </a:pPr>
            <a:endParaRPr lang="en-US"/>
          </a:p>
        </c:txPr>
        <c:crossAx val="261749328"/>
        <c:crosses val="autoZero"/>
        <c:auto val="1"/>
        <c:lblAlgn val="ctr"/>
        <c:lblOffset val="100"/>
        <c:noMultiLvlLbl val="0"/>
      </c:catAx>
      <c:valAx>
        <c:axId val="261749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thelas" panose="02000503000000020003"/>
                <a:ea typeface="+mn-ea"/>
                <a:cs typeface="+mn-cs"/>
              </a:defRPr>
            </a:pPr>
            <a:endParaRPr lang="en-US"/>
          </a:p>
        </c:txPr>
        <c:crossAx val="261754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thelas" panose="02000503000000020003"/>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thelas" panose="02000503000000020003"/>
                <a:ea typeface="+mn-ea"/>
                <a:cs typeface="+mn-cs"/>
              </a:defRPr>
            </a:pPr>
            <a:r>
              <a:rPr lang="en-GB"/>
              <a:t>Figure 2: Applications, permission, hearings, and judgments in the Administrative Court (2014-2019)</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thelas" panose="02000503000000020003"/>
              <a:ea typeface="+mn-ea"/>
              <a:cs typeface="+mn-cs"/>
            </a:defRPr>
          </a:pPr>
          <a:endParaRPr lang="en-US"/>
        </a:p>
      </c:txPr>
    </c:title>
    <c:autoTitleDeleted val="0"/>
    <c:plotArea>
      <c:layout/>
      <c:barChart>
        <c:barDir val="col"/>
        <c:grouping val="clustered"/>
        <c:varyColors val="0"/>
        <c:ser>
          <c:idx val="0"/>
          <c:order val="0"/>
          <c:tx>
            <c:v>Applications made</c:v>
          </c:tx>
          <c:spPr>
            <a:solidFill>
              <a:schemeClr val="accent3">
                <a:shade val="58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thelas" panose="02000503000000020003"/>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'Simplified stats'!$A$2:$A$7</c:f>
              <c:numCache>
                <c:formatCode>General</c:formatCode>
                <c:ptCount val="6"/>
                <c:pt idx="0">
                  <c:v>2014</c:v>
                </c:pt>
                <c:pt idx="1">
                  <c:v>2015</c:v>
                </c:pt>
                <c:pt idx="2">
                  <c:v>2016</c:v>
                </c:pt>
                <c:pt idx="3">
                  <c:v>2017</c:v>
                </c:pt>
                <c:pt idx="4">
                  <c:v>2018</c:v>
                </c:pt>
                <c:pt idx="5">
                  <c:v>2019</c:v>
                </c:pt>
              </c:numCache>
            </c:numRef>
          </c:cat>
          <c:val>
            <c:numRef>
              <c:f>'Simplified stats'!$B$2:$B$7</c:f>
              <c:numCache>
                <c:formatCode>General</c:formatCode>
                <c:ptCount val="6"/>
                <c:pt idx="0">
                  <c:v>4065</c:v>
                </c:pt>
                <c:pt idx="1">
                  <c:v>4681</c:v>
                </c:pt>
                <c:pt idx="2">
                  <c:v>4301</c:v>
                </c:pt>
                <c:pt idx="3">
                  <c:v>4196</c:v>
                </c:pt>
                <c:pt idx="4">
                  <c:v>3595</c:v>
                </c:pt>
                <c:pt idx="5">
                  <c:v>3383</c:v>
                </c:pt>
              </c:numCache>
            </c:numRef>
          </c:val>
          <c:extLst>
            <c:ext xmlns:c16="http://schemas.microsoft.com/office/drawing/2014/chart" uri="{C3380CC4-5D6E-409C-BE32-E72D297353CC}">
              <c16:uniqueId val="{00000000-E48B-42AA-ADEB-4975407D353C}"/>
            </c:ext>
          </c:extLst>
        </c:ser>
        <c:ser>
          <c:idx val="1"/>
          <c:order val="1"/>
          <c:tx>
            <c:v>Permission granted</c:v>
          </c:tx>
          <c:spPr>
            <a:solidFill>
              <a:schemeClr val="accent3">
                <a:shade val="8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thelas" panose="02000503000000020003"/>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'Simplified stats'!$A$2:$A$7</c:f>
              <c:numCache>
                <c:formatCode>General</c:formatCode>
                <c:ptCount val="6"/>
                <c:pt idx="0">
                  <c:v>2014</c:v>
                </c:pt>
                <c:pt idx="1">
                  <c:v>2015</c:v>
                </c:pt>
                <c:pt idx="2">
                  <c:v>2016</c:v>
                </c:pt>
                <c:pt idx="3">
                  <c:v>2017</c:v>
                </c:pt>
                <c:pt idx="4">
                  <c:v>2018</c:v>
                </c:pt>
                <c:pt idx="5">
                  <c:v>2019</c:v>
                </c:pt>
              </c:numCache>
            </c:numRef>
          </c:cat>
          <c:val>
            <c:numRef>
              <c:f>'Simplified stats'!$C$2:$C$7</c:f>
              <c:numCache>
                <c:formatCode>General</c:formatCode>
                <c:ptCount val="6"/>
                <c:pt idx="0">
                  <c:v>814</c:v>
                </c:pt>
                <c:pt idx="1">
                  <c:v>807</c:v>
                </c:pt>
                <c:pt idx="2">
                  <c:v>743</c:v>
                </c:pt>
                <c:pt idx="3">
                  <c:v>828</c:v>
                </c:pt>
                <c:pt idx="4">
                  <c:v>759</c:v>
                </c:pt>
                <c:pt idx="5">
                  <c:v>663</c:v>
                </c:pt>
              </c:numCache>
            </c:numRef>
          </c:val>
          <c:extLst>
            <c:ext xmlns:c16="http://schemas.microsoft.com/office/drawing/2014/chart" uri="{C3380CC4-5D6E-409C-BE32-E72D297353CC}">
              <c16:uniqueId val="{00000001-E48B-42AA-ADEB-4975407D353C}"/>
            </c:ext>
          </c:extLst>
        </c:ser>
        <c:ser>
          <c:idx val="2"/>
          <c:order val="2"/>
          <c:tx>
            <c:v>Final hearing</c:v>
          </c:tx>
          <c:spPr>
            <a:solidFill>
              <a:schemeClr val="accent3">
                <a:tint val="8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thelas" panose="02000503000000020003"/>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'Simplified stats'!$A$2:$A$7</c:f>
              <c:numCache>
                <c:formatCode>General</c:formatCode>
                <c:ptCount val="6"/>
                <c:pt idx="0">
                  <c:v>2014</c:v>
                </c:pt>
                <c:pt idx="1">
                  <c:v>2015</c:v>
                </c:pt>
                <c:pt idx="2">
                  <c:v>2016</c:v>
                </c:pt>
                <c:pt idx="3">
                  <c:v>2017</c:v>
                </c:pt>
                <c:pt idx="4">
                  <c:v>2018</c:v>
                </c:pt>
                <c:pt idx="5">
                  <c:v>2019</c:v>
                </c:pt>
              </c:numCache>
            </c:numRef>
          </c:cat>
          <c:val>
            <c:numRef>
              <c:f>'Simplified stats'!$D$2:$D$7</c:f>
              <c:numCache>
                <c:formatCode>General</c:formatCode>
                <c:ptCount val="6"/>
                <c:pt idx="0">
                  <c:v>398</c:v>
                </c:pt>
                <c:pt idx="1">
                  <c:v>384</c:v>
                </c:pt>
                <c:pt idx="2">
                  <c:v>341</c:v>
                </c:pt>
                <c:pt idx="3">
                  <c:v>334</c:v>
                </c:pt>
                <c:pt idx="4">
                  <c:v>289</c:v>
                </c:pt>
                <c:pt idx="5">
                  <c:v>212</c:v>
                </c:pt>
              </c:numCache>
            </c:numRef>
          </c:val>
          <c:extLst>
            <c:ext xmlns:c16="http://schemas.microsoft.com/office/drawing/2014/chart" uri="{C3380CC4-5D6E-409C-BE32-E72D297353CC}">
              <c16:uniqueId val="{00000002-E48B-42AA-ADEB-4975407D353C}"/>
            </c:ext>
          </c:extLst>
        </c:ser>
        <c:ser>
          <c:idx val="3"/>
          <c:order val="3"/>
          <c:tx>
            <c:v>Judgment delivered</c:v>
          </c:tx>
          <c:spPr>
            <a:solidFill>
              <a:schemeClr val="accent3">
                <a:tint val="58000"/>
              </a:schemeClr>
            </a:solidFill>
            <a:ln>
              <a:noFill/>
            </a:ln>
            <a:effectLst/>
          </c:spPr>
          <c:invertIfNegative val="0"/>
          <c:dLbls>
            <c:dLbl>
              <c:idx val="0"/>
              <c:layout>
                <c:manualLayout>
                  <c:x val="-2.2401174911472127E-17"/>
                  <c:y val="2.608128667680938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E48B-42AA-ADEB-4975407D353C}"/>
                </c:ext>
              </c:extLst>
            </c:dLbl>
            <c:dLbl>
              <c:idx val="1"/>
              <c:layout>
                <c:manualLayout>
                  <c:x val="-4.4802349822944254E-17"/>
                  <c:y val="3.4775048902412516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E48B-42AA-ADEB-4975407D353C}"/>
                </c:ext>
              </c:extLst>
            </c:dLbl>
            <c:dLbl>
              <c:idx val="2"/>
              <c:layout>
                <c:manualLayout>
                  <c:x val="0"/>
                  <c:y val="3.0428167789610956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E48B-42AA-ADEB-4975407D353C}"/>
                </c:ext>
              </c:extLst>
            </c:dLbl>
            <c:dLbl>
              <c:idx val="3"/>
              <c:layout>
                <c:manualLayout>
                  <c:x val="0"/>
                  <c:y val="2.608128667680938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E48B-42AA-ADEB-4975407D353C}"/>
                </c:ext>
              </c:extLst>
            </c:dLbl>
            <c:dLbl>
              <c:idx val="4"/>
              <c:layout>
                <c:manualLayout>
                  <c:x val="0"/>
                  <c:y val="3.0428167789610956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E48B-42AA-ADEB-4975407D353C}"/>
                </c:ext>
              </c:extLst>
            </c:dLbl>
            <c:dLbl>
              <c:idx val="5"/>
              <c:layout>
                <c:manualLayout>
                  <c:x val="0"/>
                  <c:y val="2.608128667680938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E48B-42AA-ADEB-4975407D353C}"/>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thelas" panose="02000503000000020003"/>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'Simplified stats'!$A$2:$A$7</c:f>
              <c:numCache>
                <c:formatCode>General</c:formatCode>
                <c:ptCount val="6"/>
                <c:pt idx="0">
                  <c:v>2014</c:v>
                </c:pt>
                <c:pt idx="1">
                  <c:v>2015</c:v>
                </c:pt>
                <c:pt idx="2">
                  <c:v>2016</c:v>
                </c:pt>
                <c:pt idx="3">
                  <c:v>2017</c:v>
                </c:pt>
                <c:pt idx="4">
                  <c:v>2018</c:v>
                </c:pt>
                <c:pt idx="5">
                  <c:v>2019</c:v>
                </c:pt>
              </c:numCache>
            </c:numRef>
          </c:cat>
          <c:val>
            <c:numRef>
              <c:f>'Simplified stats'!$E$2:$E$7</c:f>
              <c:numCache>
                <c:formatCode>General</c:formatCode>
                <c:ptCount val="6"/>
                <c:pt idx="0">
                  <c:v>374</c:v>
                </c:pt>
                <c:pt idx="1">
                  <c:v>354</c:v>
                </c:pt>
                <c:pt idx="2">
                  <c:v>326</c:v>
                </c:pt>
                <c:pt idx="3">
                  <c:v>315</c:v>
                </c:pt>
                <c:pt idx="4">
                  <c:v>277</c:v>
                </c:pt>
                <c:pt idx="5">
                  <c:v>189</c:v>
                </c:pt>
              </c:numCache>
            </c:numRef>
          </c:val>
          <c:extLst>
            <c:ext xmlns:c16="http://schemas.microsoft.com/office/drawing/2014/chart" uri="{C3380CC4-5D6E-409C-BE32-E72D297353CC}">
              <c16:uniqueId val="{00000003-E48B-42AA-ADEB-4975407D353C}"/>
            </c:ext>
          </c:extLst>
        </c:ser>
        <c:dLbls>
          <c:dLblPos val="outEnd"/>
          <c:showLegendKey val="0"/>
          <c:showVal val="1"/>
          <c:showCatName val="0"/>
          <c:showSerName val="0"/>
          <c:showPercent val="0"/>
          <c:showBubbleSize val="0"/>
        </c:dLbls>
        <c:gapWidth val="219"/>
        <c:axId val="261754248"/>
        <c:axId val="261749328"/>
      </c:barChart>
      <c:catAx>
        <c:axId val="261754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thelas" panose="02000503000000020003"/>
                <a:ea typeface="+mn-ea"/>
                <a:cs typeface="+mn-cs"/>
              </a:defRPr>
            </a:pPr>
            <a:endParaRPr lang="en-US"/>
          </a:p>
        </c:txPr>
        <c:crossAx val="261749328"/>
        <c:crosses val="autoZero"/>
        <c:auto val="1"/>
        <c:lblAlgn val="ctr"/>
        <c:lblOffset val="100"/>
        <c:noMultiLvlLbl val="0"/>
      </c:catAx>
      <c:valAx>
        <c:axId val="261749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thelas" panose="02000503000000020003"/>
                <a:ea typeface="+mn-ea"/>
                <a:cs typeface="+mn-cs"/>
              </a:defRPr>
            </a:pPr>
            <a:endParaRPr lang="en-US"/>
          </a:p>
        </c:txPr>
        <c:crossAx val="2617542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thelas" panose="02000503000000020003"/>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thelas" panose="02000503000000020003"/>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thelas" panose="02000503000000020003"/>
                <a:ea typeface="+mn-ea"/>
                <a:cs typeface="+mn-cs"/>
              </a:defRPr>
            </a:pPr>
            <a:r>
              <a:rPr lang="en-GB"/>
              <a:t>Figure 3: Judgments in the Administrative Court (2014-2019)</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thelas" panose="02000503000000020003"/>
              <a:ea typeface="+mn-ea"/>
              <a:cs typeface="+mn-cs"/>
            </a:defRPr>
          </a:pPr>
          <a:endParaRPr lang="en-US"/>
        </a:p>
      </c:txPr>
    </c:title>
    <c:autoTitleDeleted val="0"/>
    <c:plotArea>
      <c:layout/>
      <c:barChart>
        <c:barDir val="col"/>
        <c:grouping val="clustered"/>
        <c:varyColors val="0"/>
        <c:ser>
          <c:idx val="1"/>
          <c:order val="0"/>
          <c:tx>
            <c:v>Judgment for claimant</c:v>
          </c:tx>
          <c:spPr>
            <a:solidFill>
              <a:schemeClr val="accent3">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thelas" panose="02000503000000020003"/>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'Simplified stats'!$A$2:$A$7</c:f>
              <c:numCache>
                <c:formatCode>General</c:formatCode>
                <c:ptCount val="6"/>
                <c:pt idx="0">
                  <c:v>2014</c:v>
                </c:pt>
                <c:pt idx="1">
                  <c:v>2015</c:v>
                </c:pt>
                <c:pt idx="2">
                  <c:v>2016</c:v>
                </c:pt>
                <c:pt idx="3">
                  <c:v>2017</c:v>
                </c:pt>
                <c:pt idx="4">
                  <c:v>2018</c:v>
                </c:pt>
                <c:pt idx="5">
                  <c:v>2019</c:v>
                </c:pt>
              </c:numCache>
            </c:numRef>
          </c:cat>
          <c:val>
            <c:numRef>
              <c:f>'Simplified stats'!$F$2:$F$7</c:f>
              <c:numCache>
                <c:formatCode>General</c:formatCode>
                <c:ptCount val="6"/>
                <c:pt idx="0">
                  <c:v>155</c:v>
                </c:pt>
                <c:pt idx="1">
                  <c:v>159</c:v>
                </c:pt>
                <c:pt idx="2">
                  <c:v>142</c:v>
                </c:pt>
                <c:pt idx="3">
                  <c:v>130</c:v>
                </c:pt>
                <c:pt idx="4">
                  <c:v>118</c:v>
                </c:pt>
                <c:pt idx="5">
                  <c:v>87</c:v>
                </c:pt>
              </c:numCache>
            </c:numRef>
          </c:val>
          <c:extLst>
            <c:ext xmlns:c16="http://schemas.microsoft.com/office/drawing/2014/chart" uri="{C3380CC4-5D6E-409C-BE32-E72D297353CC}">
              <c16:uniqueId val="{00000000-6408-4305-B11D-C3E7B5D78624}"/>
            </c:ext>
          </c:extLst>
        </c:ser>
        <c:ser>
          <c:idx val="0"/>
          <c:order val="1"/>
          <c:tx>
            <c:v>Judgment for defendant</c:v>
          </c:tx>
          <c:spPr>
            <a:solidFill>
              <a:schemeClr val="accent3">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thelas" panose="02000503000000020003"/>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'Simplified stats'!$A$2:$A$7</c:f>
              <c:numCache>
                <c:formatCode>General</c:formatCode>
                <c:ptCount val="6"/>
                <c:pt idx="0">
                  <c:v>2014</c:v>
                </c:pt>
                <c:pt idx="1">
                  <c:v>2015</c:v>
                </c:pt>
                <c:pt idx="2">
                  <c:v>2016</c:v>
                </c:pt>
                <c:pt idx="3">
                  <c:v>2017</c:v>
                </c:pt>
                <c:pt idx="4">
                  <c:v>2018</c:v>
                </c:pt>
                <c:pt idx="5">
                  <c:v>2019</c:v>
                </c:pt>
              </c:numCache>
            </c:numRef>
          </c:cat>
          <c:val>
            <c:numRef>
              <c:f>'Simplified stats'!$H$2:$H$7</c:f>
              <c:numCache>
                <c:formatCode>General</c:formatCode>
                <c:ptCount val="6"/>
                <c:pt idx="0">
                  <c:v>219</c:v>
                </c:pt>
                <c:pt idx="1">
                  <c:v>195</c:v>
                </c:pt>
                <c:pt idx="2">
                  <c:v>184</c:v>
                </c:pt>
                <c:pt idx="3">
                  <c:v>185</c:v>
                </c:pt>
                <c:pt idx="4">
                  <c:v>159</c:v>
                </c:pt>
                <c:pt idx="5">
                  <c:v>102</c:v>
                </c:pt>
              </c:numCache>
            </c:numRef>
          </c:val>
          <c:extLst>
            <c:ext xmlns:c16="http://schemas.microsoft.com/office/drawing/2014/chart" uri="{C3380CC4-5D6E-409C-BE32-E72D297353CC}">
              <c16:uniqueId val="{00000001-6408-4305-B11D-C3E7B5D78624}"/>
            </c:ext>
          </c:extLst>
        </c:ser>
        <c:dLbls>
          <c:dLblPos val="outEnd"/>
          <c:showLegendKey val="0"/>
          <c:showVal val="1"/>
          <c:showCatName val="0"/>
          <c:showSerName val="0"/>
          <c:showPercent val="0"/>
          <c:showBubbleSize val="0"/>
        </c:dLbls>
        <c:gapWidth val="219"/>
        <c:axId val="261754248"/>
        <c:axId val="261749328"/>
      </c:barChart>
      <c:catAx>
        <c:axId val="261754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thelas" panose="02000503000000020003"/>
                <a:ea typeface="+mn-ea"/>
                <a:cs typeface="+mn-cs"/>
              </a:defRPr>
            </a:pPr>
            <a:endParaRPr lang="en-US"/>
          </a:p>
        </c:txPr>
        <c:crossAx val="261749328"/>
        <c:crosses val="autoZero"/>
        <c:auto val="1"/>
        <c:lblAlgn val="ctr"/>
        <c:lblOffset val="100"/>
        <c:noMultiLvlLbl val="0"/>
      </c:catAx>
      <c:valAx>
        <c:axId val="261749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thelas" panose="02000503000000020003"/>
                <a:ea typeface="+mn-ea"/>
                <a:cs typeface="+mn-cs"/>
              </a:defRPr>
            </a:pPr>
            <a:endParaRPr lang="en-US"/>
          </a:p>
        </c:txPr>
        <c:crossAx val="2617542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thelas" panose="02000503000000020003"/>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thelas" panose="02000503000000020003"/>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01DD583-406E-4EFD-B687-EB2550A13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12</Pages>
  <Words>3850</Words>
  <Characters>21950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Maxwell</dc:creator>
  <cp:keywords/>
  <dc:description/>
  <cp:lastModifiedBy>Jack Maxwell</cp:lastModifiedBy>
  <cp:revision>11</cp:revision>
  <cp:lastPrinted>2020-04-16T16:12:00Z</cp:lastPrinted>
  <dcterms:created xsi:type="dcterms:W3CDTF">2020-08-13T08:15:00Z</dcterms:created>
  <dcterms:modified xsi:type="dcterms:W3CDTF">2020-09-04T16:41:00Z</dcterms:modified>
</cp:coreProperties>
</file>